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44306467"/>
      <w:r>
        <w:t>Merkblatt der Landesarbeitsgemeinschaft Abfall für die Entsorgung von Abfällen aus Verbrennungsanlagen für Siedlungsabfälle</w:t>
      </w:r>
      <w:bookmarkEnd w:id="0"/>
    </w:p>
    <w:p>
      <w:pPr>
        <w:pStyle w:val="GesAbsatz"/>
        <w:jc w:val="center"/>
        <w:rPr>
          <w:rFonts w:cs="Arial"/>
        </w:rPr>
      </w:pPr>
      <w:r>
        <w:rPr>
          <w:rFonts w:cs="Arial"/>
        </w:rPr>
        <w:t>beschlossen durch die Länder-Arbeitsgemeinschaft Abfall (LAGA) am 1./2. März 1994</w:t>
      </w:r>
    </w:p>
    <w:p>
      <w:pPr>
        <w:pStyle w:val="GesAbsatz"/>
        <w:jc w:val="center"/>
        <w:rPr>
          <w:rFonts w:cs="Arial"/>
        </w:rPr>
      </w:pPr>
    </w:p>
    <w:p>
      <w:pPr>
        <w:pStyle w:val="GesAbsatz"/>
        <w:jc w:val="center"/>
        <w:rPr>
          <w:rFonts w:cs="Arial"/>
          <w:b/>
          <w:bCs/>
          <w:sz w:val="22"/>
        </w:rPr>
      </w:pPr>
      <w:r>
        <w:rPr>
          <w:rFonts w:cs="Arial"/>
          <w:b/>
          <w:bCs/>
          <w:sz w:val="22"/>
        </w:rPr>
        <w:t>Inhalt:</w:t>
      </w:r>
    </w:p>
    <w:p>
      <w:pPr>
        <w:pStyle w:val="Verzeichnis1"/>
        <w:tabs>
          <w:tab w:val="clear" w:pos="9638"/>
          <w:tab w:val="right" w:leader="dot" w:pos="9628"/>
        </w:tabs>
        <w:rPr>
          <w:b w:val="0"/>
          <w:bCs/>
          <w:caps w:val="0"/>
          <w:noProof/>
          <w:sz w:val="24"/>
        </w:rPr>
      </w:pPr>
      <w:r>
        <w:rPr>
          <w:rFonts w:cs="Arial"/>
          <w:b w:val="0"/>
          <w:bCs/>
          <w:caps w:val="0"/>
        </w:rPr>
        <w:fldChar w:fldCharType="begin"/>
      </w:r>
      <w:r>
        <w:rPr>
          <w:rFonts w:cs="Arial"/>
          <w:b w:val="0"/>
          <w:bCs/>
          <w:caps w:val="0"/>
        </w:rPr>
        <w:instrText xml:space="preserve"> TOC \o "1-3" \h \z </w:instrText>
      </w:r>
      <w:r>
        <w:rPr>
          <w:rFonts w:cs="Arial"/>
          <w:b w:val="0"/>
          <w:bCs/>
          <w:caps w:val="0"/>
        </w:rPr>
        <w:fldChar w:fldCharType="separate"/>
      </w:r>
      <w:hyperlink w:anchor="_Toc44306467" w:history="1">
        <w:r>
          <w:rPr>
            <w:rStyle w:val="Hyperlink"/>
            <w:noProof/>
            <w:szCs w:val="28"/>
          </w:rPr>
          <w:t>Merkblatt der Landesarbeitsgemeinschaft Abfall für die Entsorgung von Abfällen aus Verbrennungsanlagen für Siedlungsabfälle</w:t>
        </w:r>
        <w:r>
          <w:rPr>
            <w:noProof/>
            <w:webHidden/>
          </w:rPr>
          <w:tab/>
        </w:r>
        <w:r>
          <w:rPr>
            <w:noProof/>
            <w:webHidden/>
          </w:rPr>
          <w:fldChar w:fldCharType="begin"/>
        </w:r>
        <w:r>
          <w:rPr>
            <w:noProof/>
            <w:webHidden/>
          </w:rPr>
          <w:instrText xml:space="preserve"> PAGEREF _Toc44306467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rPr>
      </w:pPr>
      <w:hyperlink w:anchor="_Toc44306468" w:history="1">
        <w:r>
          <w:rPr>
            <w:rStyle w:val="Hyperlink"/>
            <w:noProof/>
          </w:rPr>
          <w:t>1 Einleitung</w:t>
        </w:r>
        <w:r>
          <w:rPr>
            <w:noProof/>
            <w:webHidden/>
          </w:rPr>
          <w:tab/>
        </w:r>
        <w:r>
          <w:rPr>
            <w:noProof/>
            <w:webHidden/>
          </w:rPr>
          <w:fldChar w:fldCharType="begin"/>
        </w:r>
        <w:r>
          <w:rPr>
            <w:noProof/>
            <w:webHidden/>
          </w:rPr>
          <w:instrText xml:space="preserve"> PAGEREF _Toc44306468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rPr>
      </w:pPr>
      <w:hyperlink w:anchor="_Toc44306469" w:history="1">
        <w:r>
          <w:rPr>
            <w:rStyle w:val="Hyperlink"/>
            <w:noProof/>
          </w:rPr>
          <w:t>2 Begriffsbestimmungen</w:t>
        </w:r>
        <w:r>
          <w:rPr>
            <w:noProof/>
            <w:webHidden/>
          </w:rPr>
          <w:tab/>
        </w:r>
        <w:r>
          <w:rPr>
            <w:noProof/>
            <w:webHidden/>
          </w:rPr>
          <w:fldChar w:fldCharType="begin"/>
        </w:r>
        <w:r>
          <w:rPr>
            <w:noProof/>
            <w:webHidden/>
          </w:rPr>
          <w:instrText xml:space="preserve"> PAGEREF _Toc44306469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rPr>
      </w:pPr>
      <w:hyperlink w:anchor="_Toc44306470" w:history="1">
        <w:r>
          <w:rPr>
            <w:rStyle w:val="Hyperlink"/>
            <w:noProof/>
          </w:rPr>
          <w:t>3 Untersuchung der Abfälle</w:t>
        </w:r>
        <w:r>
          <w:rPr>
            <w:noProof/>
            <w:webHidden/>
          </w:rPr>
          <w:tab/>
        </w:r>
        <w:r>
          <w:rPr>
            <w:noProof/>
            <w:webHidden/>
          </w:rPr>
          <w:fldChar w:fldCharType="begin"/>
        </w:r>
        <w:r>
          <w:rPr>
            <w:noProof/>
            <w:webHidden/>
          </w:rPr>
          <w:instrText xml:space="preserve"> PAGEREF _Toc44306470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rPr>
      </w:pPr>
      <w:hyperlink w:anchor="_Toc44306471" w:history="1">
        <w:r>
          <w:rPr>
            <w:rStyle w:val="Hyperlink"/>
            <w:noProof/>
          </w:rPr>
          <w:t>4 Verwertung der Abfälle</w:t>
        </w:r>
        <w:r>
          <w:rPr>
            <w:noProof/>
            <w:webHidden/>
          </w:rPr>
          <w:tab/>
        </w:r>
        <w:r>
          <w:rPr>
            <w:noProof/>
            <w:webHidden/>
          </w:rPr>
          <w:fldChar w:fldCharType="begin"/>
        </w:r>
        <w:r>
          <w:rPr>
            <w:noProof/>
            <w:webHidden/>
          </w:rPr>
          <w:instrText xml:space="preserve"> PAGEREF _Toc44306471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rPr>
      </w:pPr>
      <w:hyperlink w:anchor="_Toc44306472" w:history="1">
        <w:r>
          <w:rPr>
            <w:rStyle w:val="Hyperlink"/>
            <w:noProof/>
          </w:rPr>
          <w:t>4.1 Verwertung der HMV-Schlack</w:t>
        </w:r>
        <w:bookmarkStart w:id="1" w:name="_GoBack"/>
        <w:bookmarkEnd w:id="1"/>
        <w:r>
          <w:rPr>
            <w:rStyle w:val="Hyperlink"/>
            <w:noProof/>
          </w:rPr>
          <w:t>en</w:t>
        </w:r>
        <w:r>
          <w:rPr>
            <w:noProof/>
            <w:webHidden/>
          </w:rPr>
          <w:tab/>
        </w:r>
        <w:r>
          <w:rPr>
            <w:noProof/>
            <w:webHidden/>
          </w:rPr>
          <w:fldChar w:fldCharType="begin"/>
        </w:r>
        <w:r>
          <w:rPr>
            <w:noProof/>
            <w:webHidden/>
          </w:rPr>
          <w:instrText xml:space="preserve"> PAGEREF _Toc44306472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rPr>
      </w:pPr>
      <w:hyperlink w:anchor="_Toc44306473" w:history="1">
        <w:r>
          <w:rPr>
            <w:rStyle w:val="Hyperlink"/>
            <w:noProof/>
          </w:rPr>
          <w:t>4.2 Verwertung von sonstigen Abfällen</w:t>
        </w:r>
        <w:r>
          <w:rPr>
            <w:noProof/>
            <w:webHidden/>
          </w:rPr>
          <w:tab/>
        </w:r>
        <w:r>
          <w:rPr>
            <w:noProof/>
            <w:webHidden/>
          </w:rPr>
          <w:fldChar w:fldCharType="begin"/>
        </w:r>
        <w:r>
          <w:rPr>
            <w:noProof/>
            <w:webHidden/>
          </w:rPr>
          <w:instrText xml:space="preserve"> PAGEREF _Toc44306473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smallCaps w:val="0"/>
          <w:noProof/>
          <w:sz w:val="24"/>
        </w:rPr>
      </w:pPr>
      <w:hyperlink w:anchor="_Toc44306474" w:history="1">
        <w:r>
          <w:rPr>
            <w:rStyle w:val="Hyperlink"/>
            <w:noProof/>
          </w:rPr>
          <w:t>5 Einsatz im Bergbau</w:t>
        </w:r>
        <w:r>
          <w:rPr>
            <w:noProof/>
            <w:webHidden/>
          </w:rPr>
          <w:tab/>
        </w:r>
        <w:r>
          <w:rPr>
            <w:noProof/>
            <w:webHidden/>
          </w:rPr>
          <w:fldChar w:fldCharType="begin"/>
        </w:r>
        <w:r>
          <w:rPr>
            <w:noProof/>
            <w:webHidden/>
          </w:rPr>
          <w:instrText xml:space="preserve"> PAGEREF _Toc44306474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smallCaps w:val="0"/>
          <w:noProof/>
          <w:sz w:val="24"/>
        </w:rPr>
      </w:pPr>
      <w:hyperlink w:anchor="_Toc44306475" w:history="1">
        <w:r>
          <w:rPr>
            <w:rStyle w:val="Hyperlink"/>
            <w:noProof/>
          </w:rPr>
          <w:t>6 Anforderungen für die Beseitigung</w:t>
        </w:r>
        <w:r>
          <w:rPr>
            <w:noProof/>
            <w:webHidden/>
          </w:rPr>
          <w:tab/>
        </w:r>
        <w:r>
          <w:rPr>
            <w:noProof/>
            <w:webHidden/>
          </w:rPr>
          <w:fldChar w:fldCharType="begin"/>
        </w:r>
        <w:r>
          <w:rPr>
            <w:noProof/>
            <w:webHidden/>
          </w:rPr>
          <w:instrText xml:space="preserve"> PAGEREF _Toc44306475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rPr>
      </w:pPr>
      <w:hyperlink w:anchor="_Toc44306476" w:history="1">
        <w:r>
          <w:rPr>
            <w:rStyle w:val="Hyperlink"/>
            <w:noProof/>
          </w:rPr>
          <w:t>6.1 Schlacken und Aschen</w:t>
        </w:r>
        <w:r>
          <w:rPr>
            <w:noProof/>
            <w:webHidden/>
          </w:rPr>
          <w:tab/>
        </w:r>
        <w:r>
          <w:rPr>
            <w:noProof/>
            <w:webHidden/>
          </w:rPr>
          <w:fldChar w:fldCharType="begin"/>
        </w:r>
        <w:r>
          <w:rPr>
            <w:noProof/>
            <w:webHidden/>
          </w:rPr>
          <w:instrText xml:space="preserve"> PAGEREF _Toc44306476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rPr>
      </w:pPr>
      <w:hyperlink w:anchor="_Toc44306477" w:history="1">
        <w:r>
          <w:rPr>
            <w:rStyle w:val="Hyperlink"/>
            <w:noProof/>
          </w:rPr>
          <w:t>6.2 Filterstäube</w:t>
        </w:r>
        <w:r>
          <w:rPr>
            <w:noProof/>
            <w:webHidden/>
          </w:rPr>
          <w:tab/>
        </w:r>
        <w:r>
          <w:rPr>
            <w:noProof/>
            <w:webHidden/>
          </w:rPr>
          <w:fldChar w:fldCharType="begin"/>
        </w:r>
        <w:r>
          <w:rPr>
            <w:noProof/>
            <w:webHidden/>
          </w:rPr>
          <w:instrText xml:space="preserve"> PAGEREF _Toc44306477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rPr>
      </w:pPr>
      <w:hyperlink w:anchor="_Toc44306478" w:history="1">
        <w:r>
          <w:rPr>
            <w:rStyle w:val="Hyperlink"/>
            <w:noProof/>
          </w:rPr>
          <w:t>6.3 Reaktionsprodukte aus der Abgasreinigung</w:t>
        </w:r>
        <w:r>
          <w:rPr>
            <w:noProof/>
            <w:webHidden/>
          </w:rPr>
          <w:tab/>
        </w:r>
        <w:r>
          <w:rPr>
            <w:noProof/>
            <w:webHidden/>
          </w:rPr>
          <w:fldChar w:fldCharType="begin"/>
        </w:r>
        <w:r>
          <w:rPr>
            <w:noProof/>
            <w:webHidden/>
          </w:rPr>
          <w:instrText xml:space="preserve"> PAGEREF _Toc44306478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rPr>
      </w:pPr>
      <w:hyperlink w:anchor="_Toc44306479" w:history="1">
        <w:r>
          <w:rPr>
            <w:rStyle w:val="Hyperlink"/>
            <w:noProof/>
          </w:rPr>
          <w:t>Anhang 1</w:t>
        </w:r>
        <w:r>
          <w:rPr>
            <w:noProof/>
            <w:webHidden/>
          </w:rPr>
          <w:tab/>
        </w:r>
        <w:r>
          <w:rPr>
            <w:noProof/>
            <w:webHidden/>
          </w:rPr>
          <w:fldChar w:fldCharType="begin"/>
        </w:r>
        <w:r>
          <w:rPr>
            <w:noProof/>
            <w:webHidden/>
          </w:rPr>
          <w:instrText xml:space="preserve"> PAGEREF _Toc44306479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rPr>
      </w:pPr>
      <w:hyperlink w:anchor="_Toc44306480" w:history="1">
        <w:r>
          <w:rPr>
            <w:rStyle w:val="Hyperlink"/>
            <w:noProof/>
          </w:rPr>
          <w:t>Anhang 2</w:t>
        </w:r>
        <w:r>
          <w:rPr>
            <w:noProof/>
            <w:webHidden/>
          </w:rPr>
          <w:tab/>
        </w:r>
        <w:r>
          <w:rPr>
            <w:noProof/>
            <w:webHidden/>
          </w:rPr>
          <w:fldChar w:fldCharType="begin"/>
        </w:r>
        <w:r>
          <w:rPr>
            <w:noProof/>
            <w:webHidden/>
          </w:rPr>
          <w:instrText xml:space="preserve"> PAGEREF _Toc44306480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rPr>
      </w:pPr>
      <w:hyperlink w:anchor="_Toc44306481" w:history="1">
        <w:r>
          <w:rPr>
            <w:rStyle w:val="Hyperlink"/>
            <w:noProof/>
          </w:rPr>
          <w:t>Anhang 3</w:t>
        </w:r>
        <w:r>
          <w:rPr>
            <w:noProof/>
            <w:webHidden/>
          </w:rPr>
          <w:tab/>
        </w:r>
        <w:r>
          <w:rPr>
            <w:noProof/>
            <w:webHidden/>
          </w:rPr>
          <w:fldChar w:fldCharType="begin"/>
        </w:r>
        <w:r>
          <w:rPr>
            <w:noProof/>
            <w:webHidden/>
          </w:rPr>
          <w:instrText xml:space="preserve"> PAGEREF _Toc44306481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rPr>
      </w:pPr>
      <w:hyperlink w:anchor="_Toc44306482" w:history="1">
        <w:r>
          <w:rPr>
            <w:rStyle w:val="Hyperlink"/>
            <w:noProof/>
          </w:rPr>
          <w:t>Anhang 4</w:t>
        </w:r>
        <w:r>
          <w:rPr>
            <w:noProof/>
            <w:webHidden/>
          </w:rPr>
          <w:tab/>
        </w:r>
        <w:r>
          <w:rPr>
            <w:noProof/>
            <w:webHidden/>
          </w:rPr>
          <w:fldChar w:fldCharType="begin"/>
        </w:r>
        <w:r>
          <w:rPr>
            <w:noProof/>
            <w:webHidden/>
          </w:rPr>
          <w:instrText xml:space="preserve"> PAGEREF _Toc44306482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rPr>
      </w:pPr>
      <w:hyperlink w:anchor="_Toc44306483" w:history="1">
        <w:r>
          <w:rPr>
            <w:rStyle w:val="Hyperlink"/>
            <w:noProof/>
          </w:rPr>
          <w:t>Anhang 5</w:t>
        </w:r>
        <w:r>
          <w:rPr>
            <w:noProof/>
            <w:webHidden/>
          </w:rPr>
          <w:tab/>
        </w:r>
        <w:r>
          <w:rPr>
            <w:noProof/>
            <w:webHidden/>
          </w:rPr>
          <w:fldChar w:fldCharType="begin"/>
        </w:r>
        <w:r>
          <w:rPr>
            <w:noProof/>
            <w:webHidden/>
          </w:rPr>
          <w:instrText xml:space="preserve"> PAGEREF _Toc44306483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rPr>
      </w:pPr>
      <w:hyperlink w:anchor="_Toc44306484" w:history="1">
        <w:r>
          <w:rPr>
            <w:rStyle w:val="Hyperlink"/>
            <w:noProof/>
          </w:rPr>
          <w:t>Anhang 6</w:t>
        </w:r>
        <w:r>
          <w:rPr>
            <w:noProof/>
            <w:webHidden/>
          </w:rPr>
          <w:tab/>
        </w:r>
        <w:r>
          <w:rPr>
            <w:noProof/>
            <w:webHidden/>
          </w:rPr>
          <w:fldChar w:fldCharType="begin"/>
        </w:r>
        <w:r>
          <w:rPr>
            <w:noProof/>
            <w:webHidden/>
          </w:rPr>
          <w:instrText xml:space="preserve"> PAGEREF _Toc44306484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rPr>
      </w:pPr>
      <w:hyperlink w:anchor="_Toc44306485" w:history="1">
        <w:r>
          <w:rPr>
            <w:rStyle w:val="Hyperlink"/>
            <w:noProof/>
          </w:rPr>
          <w:t>Anhang 7</w:t>
        </w:r>
        <w:r>
          <w:rPr>
            <w:noProof/>
            <w:webHidden/>
          </w:rPr>
          <w:tab/>
        </w:r>
        <w:r>
          <w:rPr>
            <w:noProof/>
            <w:webHidden/>
          </w:rPr>
          <w:fldChar w:fldCharType="begin"/>
        </w:r>
        <w:r>
          <w:rPr>
            <w:noProof/>
            <w:webHidden/>
          </w:rPr>
          <w:instrText xml:space="preserve"> PAGEREF _Toc44306485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i w:val="0"/>
          <w:iCs/>
          <w:noProof/>
          <w:sz w:val="24"/>
        </w:rPr>
      </w:pPr>
      <w:hyperlink w:anchor="_Toc44306486" w:history="1">
        <w:r>
          <w:rPr>
            <w:rStyle w:val="Hyperlink"/>
            <w:noProof/>
          </w:rPr>
          <w:t>Anhang 8</w:t>
        </w:r>
        <w:r>
          <w:rPr>
            <w:noProof/>
            <w:webHidden/>
          </w:rPr>
          <w:tab/>
        </w:r>
        <w:r>
          <w:rPr>
            <w:noProof/>
            <w:webHidden/>
          </w:rPr>
          <w:fldChar w:fldCharType="begin"/>
        </w:r>
        <w:r>
          <w:rPr>
            <w:noProof/>
            <w:webHidden/>
          </w:rPr>
          <w:instrText xml:space="preserve"> PAGEREF _Toc44306486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rPr>
      </w:pPr>
      <w:hyperlink w:anchor="_Toc44306487" w:history="1">
        <w:r>
          <w:rPr>
            <w:rStyle w:val="Hyperlink"/>
            <w:noProof/>
          </w:rPr>
          <w:t>Anhang 9</w:t>
        </w:r>
        <w:r>
          <w:rPr>
            <w:noProof/>
            <w:webHidden/>
          </w:rPr>
          <w:tab/>
        </w:r>
        <w:r>
          <w:rPr>
            <w:noProof/>
            <w:webHidden/>
          </w:rPr>
          <w:fldChar w:fldCharType="begin"/>
        </w:r>
        <w:r>
          <w:rPr>
            <w:noProof/>
            <w:webHidden/>
          </w:rPr>
          <w:instrText xml:space="preserve"> PAGEREF _Toc44306487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rPr>
      </w:pPr>
      <w:hyperlink w:anchor="_Toc44306488" w:history="1">
        <w:r>
          <w:rPr>
            <w:rStyle w:val="Hyperlink"/>
            <w:noProof/>
          </w:rPr>
          <w:t>Anhang 10</w:t>
        </w:r>
        <w:r>
          <w:rPr>
            <w:noProof/>
            <w:webHidden/>
          </w:rPr>
          <w:tab/>
        </w:r>
        <w:r>
          <w:rPr>
            <w:noProof/>
            <w:webHidden/>
          </w:rPr>
          <w:fldChar w:fldCharType="begin"/>
        </w:r>
        <w:r>
          <w:rPr>
            <w:noProof/>
            <w:webHidden/>
          </w:rPr>
          <w:instrText xml:space="preserve"> PAGEREF _Toc44306488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8"/>
        </w:tabs>
        <w:rPr>
          <w:i w:val="0"/>
          <w:iCs/>
          <w:noProof/>
          <w:sz w:val="24"/>
        </w:rPr>
      </w:pPr>
      <w:hyperlink w:anchor="_Toc44306489" w:history="1">
        <w:r>
          <w:rPr>
            <w:rStyle w:val="Hyperlink"/>
            <w:noProof/>
          </w:rPr>
          <w:t>Anhang 11</w:t>
        </w:r>
        <w:r>
          <w:rPr>
            <w:noProof/>
            <w:webHidden/>
          </w:rPr>
          <w:tab/>
        </w:r>
        <w:r>
          <w:rPr>
            <w:noProof/>
            <w:webHidden/>
          </w:rPr>
          <w:fldChar w:fldCharType="begin"/>
        </w:r>
        <w:r>
          <w:rPr>
            <w:noProof/>
            <w:webHidden/>
          </w:rPr>
          <w:instrText xml:space="preserve"> PAGEREF _Toc44306489 \h </w:instrText>
        </w:r>
        <w:r>
          <w:rPr>
            <w:noProof/>
            <w:webHidden/>
          </w:rPr>
        </w:r>
        <w:r>
          <w:rPr>
            <w:noProof/>
            <w:webHidden/>
          </w:rPr>
          <w:fldChar w:fldCharType="separate"/>
        </w:r>
        <w:r>
          <w:rPr>
            <w:noProof/>
            <w:webHidden/>
          </w:rPr>
          <w:t>20</w:t>
        </w:r>
        <w:r>
          <w:rPr>
            <w:noProof/>
            <w:webHidden/>
          </w:rPr>
          <w:fldChar w:fldCharType="end"/>
        </w:r>
      </w:hyperlink>
    </w:p>
    <w:p>
      <w:pPr>
        <w:pStyle w:val="GesAbsatz"/>
        <w:rPr>
          <w:rFonts w:cs="Arial"/>
        </w:rPr>
      </w:pPr>
      <w:r>
        <w:rPr>
          <w:rFonts w:ascii="Times New Roman" w:hAnsi="Times New Roman" w:cs="Arial"/>
          <w:b/>
          <w:bCs/>
          <w:caps/>
          <w:color w:val="auto"/>
          <w:szCs w:val="24"/>
        </w:rPr>
        <w:fldChar w:fldCharType="end"/>
      </w:r>
    </w:p>
    <w:p>
      <w:pPr>
        <w:pStyle w:val="berschrift2"/>
        <w:jc w:val="left"/>
      </w:pPr>
      <w:bookmarkStart w:id="2" w:name="_Toc44306468"/>
      <w:r>
        <w:t>1 Einleitung</w:t>
      </w:r>
      <w:bookmarkEnd w:id="2"/>
    </w:p>
    <w:p>
      <w:pPr>
        <w:pStyle w:val="GesAbsatz"/>
        <w:rPr>
          <w:rFonts w:cs="Arial"/>
        </w:rPr>
      </w:pPr>
      <w:r>
        <w:rPr>
          <w:rFonts w:cs="Arial"/>
        </w:rPr>
        <w:t>Ziel dieses Merkblattes ist die bundeseinheitliche Regelung der Entsorgung von Abfällen aus Verbrennungsanlagen für Siedlungsabfälle (HMV). Der Schwerpunkt liegt bei der umweltverträglichen Verwertung der wesentlichen Abfälle. Da der Betreiber einer genehmigungsbedürftigen Anlage Abfälle Dritten zur Verwertung nur dann überlassen darf, wenn sichergestellt ist, daß diese Verwertung schadlos erfolgt, gelten die Regelungen dieses Merkblattes auch für Aufbereiter und Verwerter.</w:t>
      </w:r>
    </w:p>
    <w:p>
      <w:pPr>
        <w:pStyle w:val="GesAbsatz"/>
        <w:rPr>
          <w:rFonts w:cs="Arial"/>
        </w:rPr>
      </w:pPr>
      <w:r>
        <w:rPr>
          <w:rFonts w:cs="Arial"/>
        </w:rPr>
        <w:t>Durch eine Güteüberwachung nach Maßgabe dieses Merkblattes auf gewässerrelevante Inhaltsstoffe wird sichergestellt, daß nur solche Abfälle im Erd- und Straßenbau eingesetzt werden, die nach ihrer Zusammensetzung und ihrem Auslaugverhalten eindeutig definiert sind. Dieses Merkblatt regelt, in welcher Bauweise und in welchen Standorten der gewässerverträgliche Einsatz zulässig ist. Sofern die Anforderungen dieses Merkblattes eingehalten werden, bedarf es keiner wasserrechtlichen Erlaubnis. Dieses Merkblatt ersetzt das Merkblatt »Verwertung von festen Verbrennungsrückständen aus Hausmüllverbrennungsanlagen« (Ausgabe 1983).</w:t>
      </w:r>
    </w:p>
    <w:p>
      <w:pPr>
        <w:pStyle w:val="GesAbsatz"/>
        <w:rPr>
          <w:rFonts w:cs="Arial"/>
        </w:rPr>
      </w:pPr>
      <w:r>
        <w:rPr>
          <w:rFonts w:cs="Arial"/>
        </w:rPr>
        <w:t>Auf die Technischen Regeln »Anforderungen an die stoffliche Verwertung von mineralischen Reststoffen/Abfällen, Teil: Schlacken und Aschen aus thermischen Abfallbehandlungsanlagen« der LAGA (Stand: 1. März 1994), die die Anforderungen an die Verwendung und die Verwertung von HMV-Schlacken enthalten, das »Merkblatt über Verwendung von industriellen Nebenprodukten im Straßenbau; Teil: Müllverbrennungsasche« – Ausgabe 1986 – der Forschungsgesellschaft für Straßen- und Verkehrswesen (FGSV), Köln, das die bautechnischen Anforderungen enthält, das FGSV-Arbeitspapier Nr. 28/1 »Umweltverträglichkeit von Mineralstoffen, Teil: Wasserwirtschaftliche Verträglichkeit (Fassung 1992)« und die dazugehörigen »Technischen Lieferbedingungen für MV-Aschen im Straßenbau« (Entwurf November 1993) sowie den Entwurf einer »Musterverwaltungsvorschrift des LAI zur Vermeidung und Verwertung von Reststoffen nach § 5 Abs. 1 Nr. 3 BImSchG bei Anlagen nach Nr. 8.1 des Anhangs zur 4. BImSchV (Stand 1/94), wird hingewiesen.</w:t>
      </w:r>
    </w:p>
    <w:p>
      <w:pPr>
        <w:pStyle w:val="berschrift2"/>
        <w:jc w:val="left"/>
      </w:pPr>
      <w:bookmarkStart w:id="3" w:name="_Toc44306469"/>
      <w:r>
        <w:t>2 Begriffsbestimmungen</w:t>
      </w:r>
      <w:bookmarkEnd w:id="3"/>
    </w:p>
    <w:p>
      <w:pPr>
        <w:pStyle w:val="GesAbsatz"/>
        <w:rPr>
          <w:rFonts w:cs="Arial"/>
          <w:b/>
          <w:bCs/>
        </w:rPr>
      </w:pPr>
      <w:r>
        <w:rPr>
          <w:rFonts w:cs="Arial"/>
          <w:b/>
          <w:bCs/>
        </w:rPr>
        <w:t>–</w:t>
      </w:r>
      <w:r>
        <w:rPr>
          <w:rFonts w:cs="Arial"/>
          <w:b/>
          <w:bCs/>
        </w:rPr>
        <w:tab/>
        <w:t>Abfall</w:t>
      </w:r>
    </w:p>
    <w:p>
      <w:pPr>
        <w:pStyle w:val="GesAbsatz"/>
        <w:ind w:left="426"/>
        <w:rPr>
          <w:rFonts w:cs="Arial"/>
        </w:rPr>
      </w:pPr>
      <w:r>
        <w:rPr>
          <w:rFonts w:cs="Arial"/>
        </w:rPr>
        <w:lastRenderedPageBreak/>
        <w:t>Bewegliche Sache, derer sich der Besitzer entledigen will oder deren geordnete Entsorgung zur Wahrung des Wohls der Allgemeinheit, insbesondere des Schutzes der Umwelt, geboten ist (Def. gem. § 1 Abs. 1 Abfallgesetz).</w:t>
      </w:r>
    </w:p>
    <w:p>
      <w:pPr>
        <w:pStyle w:val="GesAbsatz"/>
        <w:ind w:left="426"/>
        <w:rPr>
          <w:rFonts w:cs="Arial"/>
        </w:rPr>
      </w:pPr>
      <w:r>
        <w:rPr>
          <w:rFonts w:cs="Arial"/>
        </w:rPr>
        <w:t>Alle Stoffe oder Gegenstände, die unter die in Anhang I »Abfallgruppen« aufgeführten Gruppen fallen und deren sich ihr Besitzer entledigt, entledigen will oder entledigen muss (Def. gem. 91/156/EWG – Richtlinie über Abfälle vom 18. März 1991).</w:t>
      </w:r>
    </w:p>
    <w:p>
      <w:pPr>
        <w:pStyle w:val="GesAbsatz"/>
        <w:ind w:left="426"/>
        <w:rPr>
          <w:rFonts w:cs="Arial"/>
        </w:rPr>
      </w:pPr>
      <w:r>
        <w:rPr>
          <w:rFonts w:cs="Arial"/>
        </w:rPr>
        <w:t>Das EG-Recht unterscheidet nicht zwischen Abfällen und Wertstoffen, sondern zwischen »Abfällen zur Beseitigung« und »Abfällen zur Verwertung. Reststoffe nach § 5 Abs. 1 Nr. 3 BImSchG gelten daher nach EG-Recht als Abfall.</w:t>
      </w:r>
    </w:p>
    <w:p>
      <w:pPr>
        <w:pStyle w:val="GesAbsatz"/>
        <w:ind w:left="426"/>
        <w:rPr>
          <w:rFonts w:cs="Arial"/>
        </w:rPr>
      </w:pPr>
      <w:r>
        <w:rPr>
          <w:rFonts w:cs="Arial"/>
        </w:rPr>
        <w:t>Im Sinne dieses Merkblattes handelt es sich um feste und flüssige Stoffe, die bei der Verbrennung von Siedlungsabfällen anfallen (HMV-Rohschlacken, Kessel- und Filterstäube sowie Reaktionsprodukte aus der Abgasreinigung).</w:t>
      </w:r>
    </w:p>
    <w:p>
      <w:pPr>
        <w:pStyle w:val="GesAbsatz"/>
        <w:ind w:left="426" w:hanging="426"/>
        <w:rPr>
          <w:rFonts w:cs="Arial"/>
          <w:b/>
          <w:bCs/>
        </w:rPr>
      </w:pPr>
      <w:r>
        <w:rPr>
          <w:rFonts w:cs="Arial"/>
          <w:b/>
          <w:bCs/>
        </w:rPr>
        <w:t>–</w:t>
      </w:r>
      <w:r>
        <w:rPr>
          <w:rFonts w:cs="Arial"/>
          <w:b/>
          <w:bCs/>
        </w:rPr>
        <w:tab/>
        <w:t>Wiederverwendung</w:t>
      </w:r>
    </w:p>
    <w:p>
      <w:pPr>
        <w:pStyle w:val="GesAbsatz"/>
        <w:ind w:left="426"/>
        <w:rPr>
          <w:rFonts w:cs="Arial"/>
        </w:rPr>
      </w:pPr>
      <w:r>
        <w:rPr>
          <w:rFonts w:cs="Arial"/>
        </w:rPr>
        <w:t>Wiederholte Benutzung eines Stoffes/Produktes für den gleichen Verwendungszweck.</w:t>
      </w:r>
    </w:p>
    <w:p>
      <w:pPr>
        <w:pStyle w:val="GesAbsatz"/>
        <w:ind w:left="426" w:hanging="426"/>
        <w:rPr>
          <w:rFonts w:cs="Arial"/>
          <w:b/>
          <w:bCs/>
        </w:rPr>
      </w:pPr>
      <w:r>
        <w:rPr>
          <w:rFonts w:cs="Arial"/>
          <w:b/>
          <w:bCs/>
        </w:rPr>
        <w:t>–</w:t>
      </w:r>
      <w:r>
        <w:rPr>
          <w:rFonts w:cs="Arial"/>
          <w:b/>
          <w:bCs/>
        </w:rPr>
        <w:tab/>
        <w:t>Aufbereitung</w:t>
      </w:r>
    </w:p>
    <w:p>
      <w:pPr>
        <w:pStyle w:val="GesAbsatz"/>
        <w:ind w:left="426"/>
        <w:rPr>
          <w:rFonts w:cs="Arial"/>
        </w:rPr>
      </w:pPr>
      <w:r>
        <w:rPr>
          <w:rFonts w:cs="Arial"/>
        </w:rPr>
        <w:t>Behandeln von Abfällen zur weiteren Verwendung, dazu gehören insbesondere:</w:t>
      </w:r>
    </w:p>
    <w:p>
      <w:pPr>
        <w:pStyle w:val="GesAbsatz"/>
        <w:tabs>
          <w:tab w:val="left" w:pos="851"/>
        </w:tabs>
        <w:ind w:left="426"/>
        <w:rPr>
          <w:rFonts w:cs="Arial"/>
        </w:rPr>
      </w:pPr>
      <w:r>
        <w:rPr>
          <w:rFonts w:cs="Arial"/>
        </w:rPr>
        <w:sym w:font="Symbol" w:char="F0B7"/>
      </w:r>
      <w:r>
        <w:rPr>
          <w:rFonts w:cs="Arial"/>
        </w:rPr>
        <w:tab/>
        <w:t>physikalische Verfahren (z. B. Sortierung, Zerkleinerung, Klassierung),</w:t>
      </w:r>
    </w:p>
    <w:p>
      <w:pPr>
        <w:pStyle w:val="GesAbsatz"/>
        <w:tabs>
          <w:tab w:val="left" w:pos="851"/>
        </w:tabs>
        <w:ind w:left="426"/>
        <w:rPr>
          <w:rFonts w:cs="Arial"/>
        </w:rPr>
      </w:pPr>
      <w:r>
        <w:rPr>
          <w:rFonts w:cs="Arial"/>
        </w:rPr>
        <w:sym w:font="Symbol" w:char="F0B7"/>
      </w:r>
      <w:r>
        <w:rPr>
          <w:rFonts w:cs="Arial"/>
        </w:rPr>
        <w:tab/>
        <w:t>chemische Verfahren,</w:t>
      </w:r>
    </w:p>
    <w:p>
      <w:pPr>
        <w:pStyle w:val="GesAbsatz"/>
        <w:tabs>
          <w:tab w:val="left" w:pos="851"/>
        </w:tabs>
        <w:ind w:left="426"/>
        <w:rPr>
          <w:rFonts w:cs="Arial"/>
        </w:rPr>
      </w:pPr>
      <w:r>
        <w:rPr>
          <w:rFonts w:cs="Arial"/>
        </w:rPr>
        <w:sym w:font="Symbol" w:char="F0B7"/>
      </w:r>
      <w:r>
        <w:rPr>
          <w:rFonts w:cs="Arial"/>
        </w:rPr>
        <w:tab/>
        <w:t>biologische Verfahren,</w:t>
      </w:r>
    </w:p>
    <w:p>
      <w:pPr>
        <w:pStyle w:val="GesAbsatz"/>
        <w:tabs>
          <w:tab w:val="left" w:pos="851"/>
        </w:tabs>
        <w:ind w:left="426"/>
        <w:rPr>
          <w:rFonts w:cs="Arial"/>
        </w:rPr>
      </w:pPr>
      <w:r>
        <w:rPr>
          <w:rFonts w:cs="Arial"/>
        </w:rPr>
        <w:sym w:font="Symbol" w:char="F0B7"/>
      </w:r>
      <w:r>
        <w:rPr>
          <w:rFonts w:cs="Arial"/>
        </w:rPr>
        <w:tab/>
        <w:t>thermische Verfahren,</w:t>
      </w:r>
    </w:p>
    <w:p>
      <w:pPr>
        <w:pStyle w:val="GesAbsatz"/>
        <w:tabs>
          <w:tab w:val="left" w:pos="851"/>
        </w:tabs>
        <w:ind w:left="426"/>
        <w:rPr>
          <w:rFonts w:cs="Arial"/>
        </w:rPr>
      </w:pPr>
      <w:r>
        <w:rPr>
          <w:rFonts w:cs="Arial"/>
        </w:rPr>
        <w:sym w:font="Symbol" w:char="F0B7"/>
      </w:r>
      <w:r>
        <w:rPr>
          <w:rFonts w:cs="Arial"/>
        </w:rPr>
        <w:tab/>
        <w:t>kombinierte Verfahren.</w:t>
      </w:r>
    </w:p>
    <w:p>
      <w:pPr>
        <w:pStyle w:val="GesAbsatz"/>
        <w:ind w:left="426" w:hanging="426"/>
        <w:rPr>
          <w:rFonts w:cs="Arial"/>
          <w:b/>
          <w:bCs/>
        </w:rPr>
      </w:pPr>
      <w:r>
        <w:rPr>
          <w:rFonts w:cs="Arial"/>
          <w:b/>
          <w:bCs/>
        </w:rPr>
        <w:t>–</w:t>
      </w:r>
      <w:r>
        <w:rPr>
          <w:rFonts w:cs="Arial"/>
          <w:b/>
          <w:bCs/>
        </w:rPr>
        <w:tab/>
        <w:t>Verwertung</w:t>
      </w:r>
    </w:p>
    <w:p>
      <w:pPr>
        <w:pStyle w:val="GesAbsatz"/>
        <w:ind w:left="426"/>
        <w:rPr>
          <w:rFonts w:cs="Arial"/>
        </w:rPr>
      </w:pPr>
      <w:r>
        <w:rPr>
          <w:rFonts w:cs="Arial"/>
        </w:rPr>
        <w:t>Verwendung von durch Aufbereitung von Abfällen entstandenen Stoffen.</w:t>
      </w:r>
    </w:p>
    <w:p>
      <w:pPr>
        <w:pStyle w:val="GesAbsatz"/>
        <w:ind w:left="426"/>
        <w:rPr>
          <w:rFonts w:cs="Arial"/>
        </w:rPr>
      </w:pPr>
      <w:r>
        <w:rPr>
          <w:rFonts w:cs="Arial"/>
        </w:rPr>
        <w:t>Die Verwertung im Sinne des AbfG umfasst die Wiederverwendung und die Verwertung. Nach EG-Recht ist Verwertung das »Rückgewinnen von Stoffen«.</w:t>
      </w:r>
    </w:p>
    <w:p>
      <w:pPr>
        <w:pStyle w:val="GesAbsatz"/>
        <w:ind w:left="426" w:hanging="426"/>
        <w:rPr>
          <w:rFonts w:cs="Arial"/>
          <w:b/>
          <w:bCs/>
        </w:rPr>
      </w:pPr>
      <w:r>
        <w:rPr>
          <w:rFonts w:cs="Arial"/>
          <w:b/>
          <w:bCs/>
        </w:rPr>
        <w:t>–</w:t>
      </w:r>
      <w:r>
        <w:rPr>
          <w:rFonts w:cs="Arial"/>
          <w:b/>
          <w:bCs/>
        </w:rPr>
        <w:tab/>
        <w:t>Uneingeschränkte Verwertung</w:t>
      </w:r>
    </w:p>
    <w:p>
      <w:pPr>
        <w:pStyle w:val="GesAbsatz"/>
        <w:ind w:left="426"/>
        <w:rPr>
          <w:rFonts w:cs="Arial"/>
        </w:rPr>
      </w:pPr>
      <w:r>
        <w:rPr>
          <w:rFonts w:cs="Arial"/>
        </w:rPr>
        <w:t>Verwendung ohne Vorkehrungen und Schutzmaßnahmen im jeweiligen Anwendungsbereich.</w:t>
      </w:r>
    </w:p>
    <w:p>
      <w:pPr>
        <w:pStyle w:val="GesAbsatz"/>
        <w:ind w:left="426" w:hanging="426"/>
        <w:rPr>
          <w:rFonts w:cs="Arial"/>
          <w:b/>
          <w:bCs/>
        </w:rPr>
      </w:pPr>
      <w:r>
        <w:rPr>
          <w:rFonts w:cs="Arial"/>
          <w:b/>
          <w:bCs/>
        </w:rPr>
        <w:t>–</w:t>
      </w:r>
      <w:r>
        <w:rPr>
          <w:rFonts w:cs="Arial"/>
          <w:b/>
          <w:bCs/>
        </w:rPr>
        <w:tab/>
        <w:t>Eingeschränkte Verwertung</w:t>
      </w:r>
    </w:p>
    <w:p>
      <w:pPr>
        <w:pStyle w:val="GesAbsatz"/>
        <w:ind w:left="426"/>
        <w:rPr>
          <w:rFonts w:cs="Arial"/>
        </w:rPr>
      </w:pPr>
      <w:r>
        <w:rPr>
          <w:rFonts w:cs="Arial"/>
        </w:rPr>
        <w:t>Verwendung mit definierten technischen Sicherungsmaßnahmen, die negative Auswirkungen auf die Umwelt nicht erwarten lassen.</w:t>
      </w:r>
    </w:p>
    <w:p>
      <w:pPr>
        <w:pStyle w:val="GesAbsatz"/>
        <w:ind w:left="426" w:hanging="426"/>
        <w:rPr>
          <w:rFonts w:cs="Arial"/>
          <w:b/>
          <w:bCs/>
        </w:rPr>
      </w:pPr>
      <w:r>
        <w:rPr>
          <w:rFonts w:cs="Arial"/>
          <w:b/>
          <w:bCs/>
        </w:rPr>
        <w:t>–</w:t>
      </w:r>
      <w:r>
        <w:rPr>
          <w:rFonts w:cs="Arial"/>
          <w:b/>
          <w:bCs/>
        </w:rPr>
        <w:tab/>
        <w:t>Einbau</w:t>
      </w:r>
    </w:p>
    <w:p>
      <w:pPr>
        <w:pStyle w:val="GesAbsatz"/>
        <w:ind w:left="426"/>
        <w:rPr>
          <w:rFonts w:cs="Arial"/>
        </w:rPr>
      </w:pPr>
      <w:r>
        <w:rPr>
          <w:rFonts w:cs="Arial"/>
        </w:rPr>
        <w:t>Wiederverwendung bzw. Verwertung von Abfällen bei Baumaßnahmen im weitesten Sinne, z.B. im Erd-, Straßen-, Landschafts- und Deponiebau sowie bei der Verfüllung von Baugruben und Rekultivierungsmaßnahmen.</w:t>
      </w:r>
    </w:p>
    <w:p>
      <w:pPr>
        <w:pStyle w:val="GesAbsatz"/>
        <w:ind w:left="426" w:hanging="426"/>
        <w:rPr>
          <w:rFonts w:cs="Arial"/>
          <w:b/>
          <w:bCs/>
        </w:rPr>
      </w:pPr>
      <w:r>
        <w:rPr>
          <w:rFonts w:cs="Arial"/>
          <w:b/>
          <w:bCs/>
        </w:rPr>
        <w:t>–</w:t>
      </w:r>
      <w:r>
        <w:rPr>
          <w:rFonts w:cs="Arial"/>
          <w:b/>
          <w:bCs/>
        </w:rPr>
        <w:tab/>
        <w:t>HMV-Rohschlacken (HMV-Rohaschen)</w:t>
      </w:r>
    </w:p>
    <w:p>
      <w:pPr>
        <w:pStyle w:val="GesAbsatz"/>
        <w:ind w:left="426"/>
        <w:rPr>
          <w:rFonts w:cs="Arial"/>
        </w:rPr>
      </w:pPr>
      <w:r>
        <w:rPr>
          <w:rFonts w:cs="Arial"/>
        </w:rPr>
        <w:t>Als Rostabwurf und Rostdurchfall anfallendes Gemenge aus gesinterten Verbrennungsprodukten (Schlacken), Eisenschrott und anderen Metallen, Glas und Keramikscherben, anderen mineralischen Bestandteilen sowie unverbrannten Resten.</w:t>
      </w:r>
    </w:p>
    <w:p>
      <w:pPr>
        <w:pStyle w:val="GesAbsatz"/>
        <w:ind w:left="426"/>
        <w:rPr>
          <w:rFonts w:cs="Arial"/>
        </w:rPr>
      </w:pPr>
      <w:r>
        <w:rPr>
          <w:rFonts w:cs="Arial"/>
        </w:rPr>
        <w:t>Nicht dazu gehören Kesselstäube, Filterstäube und Reaktionsprodukte aus der Abgasreinigung, die getrennt von anderen festen Abfällen zu erfassen sind.</w:t>
      </w:r>
    </w:p>
    <w:p>
      <w:pPr>
        <w:pStyle w:val="GesAbsatz"/>
        <w:ind w:left="426" w:hanging="426"/>
        <w:rPr>
          <w:rFonts w:cs="Arial"/>
          <w:b/>
          <w:bCs/>
        </w:rPr>
      </w:pPr>
      <w:r>
        <w:rPr>
          <w:rFonts w:cs="Arial"/>
          <w:b/>
          <w:bCs/>
        </w:rPr>
        <w:t>–</w:t>
      </w:r>
      <w:r>
        <w:rPr>
          <w:rFonts w:cs="Arial"/>
          <w:b/>
          <w:bCs/>
        </w:rPr>
        <w:tab/>
        <w:t>HMV-Schlacken (HMV-Aschen)</w:t>
      </w:r>
    </w:p>
    <w:p>
      <w:pPr>
        <w:pStyle w:val="GesAbsatz"/>
        <w:ind w:left="426"/>
        <w:rPr>
          <w:rFonts w:cs="Arial"/>
        </w:rPr>
      </w:pPr>
      <w:r>
        <w:rPr>
          <w:rFonts w:cs="Arial"/>
        </w:rPr>
        <w:t>Bezeichnung für aufbereitete und gealterte HMV-Rohschlacken.</w:t>
      </w:r>
    </w:p>
    <w:p>
      <w:pPr>
        <w:pStyle w:val="GesAbsatz"/>
        <w:ind w:left="426" w:hanging="426"/>
        <w:rPr>
          <w:rFonts w:cs="Arial"/>
          <w:b/>
          <w:bCs/>
        </w:rPr>
      </w:pPr>
      <w:r>
        <w:rPr>
          <w:rFonts w:cs="Arial"/>
          <w:b/>
          <w:bCs/>
        </w:rPr>
        <w:t>–</w:t>
      </w:r>
      <w:r>
        <w:rPr>
          <w:rFonts w:cs="Arial"/>
          <w:b/>
          <w:bCs/>
        </w:rPr>
        <w:tab/>
        <w:t>Rostabwurf</w:t>
      </w:r>
    </w:p>
    <w:p>
      <w:pPr>
        <w:pStyle w:val="GesAbsatz"/>
        <w:ind w:left="426"/>
        <w:rPr>
          <w:rFonts w:cs="Arial"/>
        </w:rPr>
      </w:pPr>
      <w:r>
        <w:rPr>
          <w:rFonts w:cs="Arial"/>
        </w:rPr>
        <w:t>Feste Verbrennungsabfälle, die am Ende des Verbrennungsrostes in den Naßentschlacker oder ein anderes Austragsystem abgeworfen werden.</w:t>
      </w:r>
    </w:p>
    <w:p>
      <w:pPr>
        <w:pStyle w:val="GesAbsatz"/>
        <w:ind w:left="426" w:hanging="426"/>
        <w:rPr>
          <w:rFonts w:cs="Arial"/>
          <w:b/>
          <w:bCs/>
        </w:rPr>
      </w:pPr>
      <w:r>
        <w:rPr>
          <w:rFonts w:cs="Arial"/>
          <w:b/>
          <w:bCs/>
        </w:rPr>
        <w:t>–</w:t>
      </w:r>
      <w:r>
        <w:rPr>
          <w:rFonts w:cs="Arial"/>
          <w:b/>
          <w:bCs/>
        </w:rPr>
        <w:tab/>
        <w:t>Rostdurchfall</w:t>
      </w:r>
    </w:p>
    <w:p>
      <w:pPr>
        <w:pStyle w:val="GesAbsatz"/>
        <w:ind w:left="426"/>
        <w:rPr>
          <w:rFonts w:cs="Arial"/>
        </w:rPr>
      </w:pPr>
      <w:r>
        <w:rPr>
          <w:rFonts w:cs="Arial"/>
        </w:rPr>
        <w:t>Feste Verbrennungsabfälle, die durch Spalten des Verbrennungsrostes in den darunter liegenden Luftkasten fallen.</w:t>
      </w:r>
    </w:p>
    <w:p>
      <w:pPr>
        <w:pStyle w:val="GesAbsatz"/>
        <w:ind w:left="426" w:hanging="426"/>
        <w:rPr>
          <w:rFonts w:cs="Arial"/>
          <w:b/>
          <w:bCs/>
        </w:rPr>
      </w:pPr>
      <w:r>
        <w:rPr>
          <w:rFonts w:cs="Arial"/>
          <w:b/>
          <w:bCs/>
        </w:rPr>
        <w:t>–</w:t>
      </w:r>
      <w:r>
        <w:rPr>
          <w:rFonts w:cs="Arial"/>
          <w:b/>
          <w:bCs/>
        </w:rPr>
        <w:tab/>
        <w:t>Kesselstäube</w:t>
      </w:r>
    </w:p>
    <w:p>
      <w:pPr>
        <w:pStyle w:val="GesAbsatz"/>
        <w:ind w:left="426"/>
        <w:rPr>
          <w:rFonts w:cs="Arial"/>
        </w:rPr>
      </w:pPr>
      <w:r>
        <w:rPr>
          <w:rFonts w:cs="Arial"/>
        </w:rPr>
        <w:lastRenderedPageBreak/>
        <w:t>Stäube, die mit dem Abgasstrom aus dem Feuerraum ausgetragen und schon in den Kesselzügen abgeschieden werden.</w:t>
      </w:r>
    </w:p>
    <w:p>
      <w:pPr>
        <w:pStyle w:val="GesAbsatz"/>
        <w:ind w:left="426" w:hanging="426"/>
        <w:rPr>
          <w:rFonts w:cs="Arial"/>
          <w:b/>
          <w:bCs/>
        </w:rPr>
      </w:pPr>
      <w:r>
        <w:rPr>
          <w:rFonts w:cs="Arial"/>
          <w:b/>
          <w:bCs/>
        </w:rPr>
        <w:t>–</w:t>
      </w:r>
      <w:r>
        <w:rPr>
          <w:rFonts w:cs="Arial"/>
          <w:b/>
          <w:bCs/>
        </w:rPr>
        <w:tab/>
        <w:t>Filterstäube</w:t>
      </w:r>
    </w:p>
    <w:p>
      <w:pPr>
        <w:pStyle w:val="GesAbsatz"/>
        <w:ind w:left="426"/>
        <w:rPr>
          <w:rFonts w:cs="Arial"/>
        </w:rPr>
      </w:pPr>
      <w:r>
        <w:rPr>
          <w:rFonts w:cs="Arial"/>
        </w:rPr>
        <w:t>Stäube, die mit dem Abgasstrom aus dem Feuerraum ausgetragen und durch Filteranlagen (Elektrofilter, Gewebefilter etc.) abgeschieden werden.</w:t>
      </w:r>
    </w:p>
    <w:p>
      <w:pPr>
        <w:pStyle w:val="GesAbsatz"/>
        <w:ind w:left="426" w:hanging="426"/>
        <w:rPr>
          <w:rFonts w:cs="Arial"/>
          <w:b/>
          <w:bCs/>
        </w:rPr>
      </w:pPr>
      <w:r>
        <w:rPr>
          <w:rFonts w:cs="Arial"/>
          <w:b/>
          <w:bCs/>
        </w:rPr>
        <w:t>–</w:t>
      </w:r>
      <w:r>
        <w:rPr>
          <w:rFonts w:cs="Arial"/>
          <w:b/>
          <w:bCs/>
        </w:rPr>
        <w:tab/>
        <w:t>Reaktionsprodukte aus der Abgasreinigung</w:t>
      </w:r>
    </w:p>
    <w:p>
      <w:pPr>
        <w:pStyle w:val="GesAbsatz"/>
        <w:ind w:left="426"/>
        <w:rPr>
          <w:rFonts w:cs="Arial"/>
        </w:rPr>
      </w:pPr>
      <w:r>
        <w:rPr>
          <w:rFonts w:cs="Arial"/>
        </w:rPr>
        <w:t>Feste und flüssige Abfälle unterschiedlicher Abgasreinigungsverfahren.</w:t>
      </w:r>
    </w:p>
    <w:p>
      <w:pPr>
        <w:pStyle w:val="GesAbsatz"/>
        <w:ind w:left="426" w:hanging="426"/>
        <w:rPr>
          <w:rFonts w:cs="Arial"/>
          <w:b/>
          <w:bCs/>
        </w:rPr>
      </w:pPr>
      <w:r>
        <w:rPr>
          <w:rFonts w:cs="Arial"/>
          <w:b/>
          <w:bCs/>
        </w:rPr>
        <w:t>–</w:t>
      </w:r>
      <w:r>
        <w:rPr>
          <w:rFonts w:cs="Arial"/>
          <w:b/>
          <w:bCs/>
        </w:rPr>
        <w:tab/>
        <w:t>Aufbereiter</w:t>
      </w:r>
    </w:p>
    <w:p>
      <w:pPr>
        <w:pStyle w:val="GesAbsatz"/>
        <w:ind w:left="426"/>
        <w:rPr>
          <w:rFonts w:cs="Arial"/>
        </w:rPr>
      </w:pPr>
      <w:r>
        <w:rPr>
          <w:rFonts w:cs="Arial"/>
        </w:rPr>
        <w:t>Betreiber einer Anlage, in der Abfälle zum Zwecke der Verwertung behandelt werden.</w:t>
      </w:r>
    </w:p>
    <w:p>
      <w:pPr>
        <w:pStyle w:val="GesAbsatz"/>
        <w:ind w:left="426" w:hanging="426"/>
        <w:rPr>
          <w:rFonts w:cs="Arial"/>
          <w:b/>
          <w:bCs/>
        </w:rPr>
      </w:pPr>
      <w:r>
        <w:rPr>
          <w:rFonts w:cs="Arial"/>
          <w:b/>
          <w:bCs/>
        </w:rPr>
        <w:t>–</w:t>
      </w:r>
      <w:r>
        <w:rPr>
          <w:rFonts w:cs="Arial"/>
          <w:b/>
          <w:bCs/>
        </w:rPr>
        <w:tab/>
        <w:t>Verwerter</w:t>
      </w:r>
    </w:p>
    <w:p>
      <w:pPr>
        <w:pStyle w:val="GesAbsatz"/>
        <w:ind w:left="426"/>
        <w:rPr>
          <w:rFonts w:cs="Arial"/>
        </w:rPr>
      </w:pPr>
      <w:r>
        <w:rPr>
          <w:rFonts w:cs="Arial"/>
        </w:rPr>
        <w:t>Anwender, der aufbereitete Abfälle einer umweltverträglichen Nutzung zuführt.</w:t>
      </w:r>
    </w:p>
    <w:p>
      <w:pPr>
        <w:pStyle w:val="GesAbsatz"/>
        <w:ind w:left="426" w:hanging="426"/>
        <w:rPr>
          <w:rFonts w:cs="Arial"/>
          <w:b/>
          <w:bCs/>
        </w:rPr>
      </w:pPr>
      <w:r>
        <w:rPr>
          <w:rFonts w:cs="Arial"/>
          <w:b/>
          <w:bCs/>
        </w:rPr>
        <w:t>–</w:t>
      </w:r>
      <w:r>
        <w:rPr>
          <w:rFonts w:cs="Arial"/>
          <w:b/>
          <w:bCs/>
        </w:rPr>
        <w:tab/>
        <w:t>Zuordnungswerte</w:t>
      </w:r>
    </w:p>
    <w:p>
      <w:pPr>
        <w:pStyle w:val="GesAbsatz"/>
        <w:ind w:left="426"/>
        <w:rPr>
          <w:rFonts w:cs="Arial"/>
        </w:rPr>
      </w:pPr>
      <w:r>
        <w:rPr>
          <w:rFonts w:cs="Arial"/>
        </w:rPr>
        <w:t>Vorsorgewerte, die vor allem aus Sicht des Boden- und Grundwasserschutzes festgelegt wurden und unter Berücksichtigung des Gefährdungspotentials eine umweltverträgliche Verwertung der jeweiligen Abfälle ermöglichen.</w:t>
      </w:r>
    </w:p>
    <w:p>
      <w:pPr>
        <w:pStyle w:val="GesAbsatz"/>
        <w:ind w:left="426"/>
        <w:rPr>
          <w:rFonts w:cs="Arial"/>
        </w:rPr>
      </w:pPr>
      <w:r>
        <w:rPr>
          <w:rFonts w:cs="Arial"/>
        </w:rPr>
        <w:t>Die Zuordnungswerte sind Orientierungswerte. Abweichungen können zugelassen werden, wenn im Einzelfall der Nachweis erbracht wird, dass das Wohl der Allgemeinheit nicht beeinträchtigt wird.</w:t>
      </w:r>
    </w:p>
    <w:p>
      <w:pPr>
        <w:pStyle w:val="berschrift2"/>
        <w:jc w:val="left"/>
      </w:pPr>
      <w:bookmarkStart w:id="4" w:name="_Toc44306470"/>
      <w:r>
        <w:t>3 Untersuchung der Abfälle</w:t>
      </w:r>
      <w:bookmarkEnd w:id="4"/>
    </w:p>
    <w:p>
      <w:pPr>
        <w:pStyle w:val="GesAbsatz"/>
        <w:rPr>
          <w:rFonts w:cs="Arial"/>
        </w:rPr>
      </w:pPr>
      <w:r>
        <w:rPr>
          <w:rFonts w:cs="Arial"/>
        </w:rPr>
        <w:t>Vor einer Untersuchung und Bewertung von Abfällen ist eine aussagekräftige Beschreibung der Herkunft und des geplanten Verwertungsvorhabens erforderlich (Deklarationspflicht). Die Schadlosigkeit der Verwertung ist in der Regel anhand von Analysen der maßgebenden Parameter im Hinblick auf</w:t>
      </w:r>
    </w:p>
    <w:p>
      <w:pPr>
        <w:pStyle w:val="GesAbsatz"/>
        <w:rPr>
          <w:rFonts w:cs="Arial"/>
        </w:rPr>
      </w:pPr>
      <w:r>
        <w:rPr>
          <w:rFonts w:cs="Arial"/>
        </w:rPr>
        <w:t>–</w:t>
      </w:r>
      <w:r>
        <w:rPr>
          <w:rFonts w:cs="Arial"/>
        </w:rPr>
        <w:tab/>
        <w:t>den verfügbaren (mobilen) Anteil der Schadstoffe (im Regelfall Eluatanalyse) und</w:t>
      </w:r>
    </w:p>
    <w:p>
      <w:pPr>
        <w:pStyle w:val="GesAbsatz"/>
        <w:rPr>
          <w:rFonts w:cs="Arial"/>
        </w:rPr>
      </w:pPr>
      <w:r>
        <w:rPr>
          <w:rFonts w:cs="Arial"/>
        </w:rPr>
        <w:t>–</w:t>
      </w:r>
      <w:r>
        <w:rPr>
          <w:rFonts w:cs="Arial"/>
        </w:rPr>
        <w:tab/>
        <w:t>den Gesamtgehalt (im Regelfall Feststoffanalyse)</w:t>
      </w:r>
    </w:p>
    <w:p>
      <w:pPr>
        <w:pStyle w:val="GesAbsatz"/>
        <w:rPr>
          <w:rFonts w:cs="Arial"/>
        </w:rPr>
      </w:pPr>
      <w:r>
        <w:rPr>
          <w:rFonts w:cs="Arial"/>
        </w:rPr>
        <w:t>und gegebenenfalls unter Berücksichtigung der sonstigen Randbedingungen (siehe 4.1.3) zu bewerten.</w:t>
      </w:r>
    </w:p>
    <w:p>
      <w:pPr>
        <w:pStyle w:val="GesAbsatz"/>
        <w:rPr>
          <w:rFonts w:cs="Arial"/>
        </w:rPr>
      </w:pPr>
      <w:r>
        <w:rPr>
          <w:rFonts w:cs="Arial"/>
        </w:rPr>
        <w:t>Abfälle, die verwertet werden sollen, sind getrennt zu halten. Sie dürfen grundsätzlich vor der Untersuchung und Bewertung nicht vermischt werden, auch wenn sie den gleichen Abfallschlüssel aufweisen (Vermischungsverbot). Eine Vermischung nach der Bewertung ist zulässig, wenn dies in Verbindung mit dem Entsorgungs-/Verwertungsnachweis entsprechend der Abfall- und Reststoffüberwachungsverordnung und im Auftrag und nach Maßgabe des Betreibers der vorgesehenen Abfallentsorgungsanlage oder des Verwerters erfolgt.</w:t>
      </w:r>
    </w:p>
    <w:p>
      <w:pPr>
        <w:pStyle w:val="GesAbsatz"/>
        <w:rPr>
          <w:rFonts w:cs="Arial"/>
        </w:rPr>
      </w:pPr>
      <w:r>
        <w:rPr>
          <w:rFonts w:cs="Arial"/>
        </w:rPr>
        <w:t>Für die Beurteilung der Verwertbarkeit ist vor allem die Analyse des Eluats erforderlich. Daneben ist – auch aus abfallwirtschaftlicher Sicht – die Bestimmung der Gesamtgehalte des HMV-Rohschlacken von Bedeutung. Die anzuwendenden Analyseverfahren sind im Anhang 1 für den Feststoff und im Anhang 2 für das Eluat genannt.</w:t>
      </w:r>
    </w:p>
    <w:p>
      <w:pPr>
        <w:pStyle w:val="GesAbsatz"/>
        <w:rPr>
          <w:rFonts w:cs="Arial"/>
        </w:rPr>
      </w:pPr>
      <w:r>
        <w:rPr>
          <w:rFonts w:cs="Arial"/>
        </w:rPr>
        <w:t>Die in den Anhängen 1 und 2 aufgeführten Analyseverfahren berücksichtigen vorzugsweise die DIN-Methoden. Bei Mehrfachnennung ist die Wahl freigestellt. Die aufgeführten Analyseverfahren gelten als Referenzverfahren. Die Anwendung anderer Verfahren ist zulässig, wenn die Gleichwertigkeit belegt ist.</w:t>
      </w:r>
    </w:p>
    <w:p>
      <w:pPr>
        <w:pStyle w:val="GesAbsatz"/>
        <w:rPr>
          <w:rFonts w:cs="Arial"/>
        </w:rPr>
      </w:pPr>
      <w:r>
        <w:rPr>
          <w:rFonts w:cs="Arial"/>
        </w:rPr>
        <w:t>Die Probenahme für die Verwertung erfolgt gemäß Anhang 3. Dieser Anhang ist Bestandteil des Abschnitts III »Probenahme und Analytik« der »Anforderungen an die stoffliche Verwertung von mineralischen Reststoffen/Abfällen« der LAGA-AG »Vereinheitlichung der Untersuchung und Bewertung von Reststoffen«.</w:t>
      </w:r>
    </w:p>
    <w:p>
      <w:pPr>
        <w:pStyle w:val="GesAbsatz"/>
        <w:rPr>
          <w:rFonts w:cs="Arial"/>
        </w:rPr>
      </w:pPr>
      <w:r>
        <w:rPr>
          <w:rFonts w:cs="Arial"/>
        </w:rPr>
        <w:t>Die Probenahme für die Ablagerung ist nach den Probenahmerichtlinien PN 2/78 und PN 2/78 K – »Richtlinie zur Entnahme und Vorbereitung von Proben aus festen, schlammigen und flüssigen Abfällen« (Stand 12/83) bzw. »Grundlagen für die Entnahme von Proben aus Abfällen und abgelagerten Stoffen« (Stand 12/83) – der Länderarbeitsgemeinschaft Abfall durchzuführen.</w:t>
      </w:r>
    </w:p>
    <w:p>
      <w:pPr>
        <w:pStyle w:val="berschrift2"/>
        <w:jc w:val="left"/>
      </w:pPr>
      <w:bookmarkStart w:id="5" w:name="_Toc44306471"/>
      <w:r>
        <w:t>4 Verwertung der Abfälle</w:t>
      </w:r>
      <w:bookmarkEnd w:id="5"/>
    </w:p>
    <w:p>
      <w:pPr>
        <w:pStyle w:val="berschrift3"/>
        <w:jc w:val="left"/>
      </w:pPr>
      <w:bookmarkStart w:id="6" w:name="_Toc44306472"/>
      <w:r>
        <w:t>4.1 Verwertung der HMV-Schlacken</w:t>
      </w:r>
      <w:bookmarkEnd w:id="6"/>
    </w:p>
    <w:p>
      <w:pPr>
        <w:pStyle w:val="GesAbsatz"/>
        <w:rPr>
          <w:rFonts w:cs="Arial"/>
        </w:rPr>
      </w:pPr>
      <w:r>
        <w:rPr>
          <w:rFonts w:cs="Arial"/>
        </w:rPr>
        <w:t>Für HMV-Schlacken kommt nur ein eingeschränkter Einbau mit definierten technischen Sicherungsmaßnahmen in Betracht (Einbauklasse Z 2 der Technischen Regeln »Anforderungen an die stoffliche Verwertung von mineralischen Reststoffen/Abfällen« der LAGA).</w:t>
      </w:r>
    </w:p>
    <w:p>
      <w:pPr>
        <w:pStyle w:val="GesAbsatz"/>
        <w:rPr>
          <w:rFonts w:cs="Arial"/>
          <w:b/>
        </w:rPr>
      </w:pPr>
      <w:r>
        <w:rPr>
          <w:rFonts w:cs="Arial"/>
          <w:b/>
        </w:rPr>
        <w:lastRenderedPageBreak/>
        <w:t>4.1.1 Anforderungen</w:t>
      </w:r>
    </w:p>
    <w:p>
      <w:pPr>
        <w:pStyle w:val="GesAbsatz"/>
        <w:rPr>
          <w:rFonts w:cs="Arial"/>
        </w:rPr>
      </w:pPr>
      <w:r>
        <w:rPr>
          <w:rFonts w:cs="Arial"/>
        </w:rPr>
        <w:t>HMV-Schlacken, die verwertet werden sollen, müssen die im folgenden beschriebenen Anforderungen erfüllen:</w:t>
      </w:r>
    </w:p>
    <w:p>
      <w:pPr>
        <w:pStyle w:val="GesAbsatz"/>
        <w:ind w:left="426" w:hanging="426"/>
        <w:rPr>
          <w:rFonts w:cs="Arial"/>
        </w:rPr>
      </w:pPr>
      <w:r>
        <w:rPr>
          <w:rFonts w:cs="Arial"/>
        </w:rPr>
        <w:t>1.</w:t>
      </w:r>
      <w:r>
        <w:rPr>
          <w:rFonts w:cs="Arial"/>
        </w:rPr>
        <w:tab/>
        <w:t>Die HMV-Rohschlacken müssen vor einer Verwertung aufbereitet werden. Sie sind mindestens in die folgenden Fraktionen zu trennen:</w:t>
      </w:r>
    </w:p>
    <w:p>
      <w:pPr>
        <w:pStyle w:val="GesAbsatz"/>
        <w:tabs>
          <w:tab w:val="left" w:pos="851"/>
        </w:tabs>
        <w:ind w:left="426"/>
        <w:rPr>
          <w:rFonts w:cs="Arial"/>
        </w:rPr>
      </w:pPr>
      <w:r>
        <w:rPr>
          <w:rFonts w:cs="Arial"/>
        </w:rPr>
        <w:t>–</w:t>
      </w:r>
      <w:r>
        <w:rPr>
          <w:rFonts w:cs="Arial"/>
        </w:rPr>
        <w:tab/>
        <w:t>Mineralische Anteile</w:t>
      </w:r>
    </w:p>
    <w:p>
      <w:pPr>
        <w:pStyle w:val="GesAbsatz"/>
        <w:tabs>
          <w:tab w:val="left" w:pos="851"/>
        </w:tabs>
        <w:ind w:left="426"/>
        <w:rPr>
          <w:rFonts w:cs="Arial"/>
        </w:rPr>
      </w:pPr>
      <w:r>
        <w:rPr>
          <w:rFonts w:cs="Arial"/>
        </w:rPr>
        <w:t>–</w:t>
      </w:r>
      <w:r>
        <w:rPr>
          <w:rFonts w:cs="Arial"/>
        </w:rPr>
        <w:tab/>
        <w:t>Unverbrannte Grobteile</w:t>
      </w:r>
    </w:p>
    <w:p>
      <w:pPr>
        <w:pStyle w:val="GesAbsatz"/>
        <w:tabs>
          <w:tab w:val="left" w:pos="851"/>
        </w:tabs>
        <w:ind w:left="426"/>
        <w:rPr>
          <w:rFonts w:cs="Arial"/>
        </w:rPr>
      </w:pPr>
      <w:r>
        <w:rPr>
          <w:rFonts w:cs="Arial"/>
        </w:rPr>
        <w:t>–</w:t>
      </w:r>
      <w:r>
        <w:rPr>
          <w:rFonts w:cs="Arial"/>
        </w:rPr>
        <w:tab/>
        <w:t>Metallschrott</w:t>
      </w:r>
    </w:p>
    <w:p>
      <w:pPr>
        <w:pStyle w:val="GesAbsatz"/>
        <w:ind w:left="426"/>
        <w:rPr>
          <w:rFonts w:cs="Arial"/>
        </w:rPr>
      </w:pPr>
      <w:r>
        <w:rPr>
          <w:rFonts w:cs="Arial"/>
        </w:rPr>
        <w:t>Die weitere Aufbereitung des mineralischen Anteils hat sich am Verwertungszweck zu orientieren.</w:t>
      </w:r>
    </w:p>
    <w:p>
      <w:pPr>
        <w:pStyle w:val="GesAbsatz"/>
        <w:ind w:left="426" w:hanging="426"/>
        <w:rPr>
          <w:rFonts w:cs="Arial"/>
        </w:rPr>
      </w:pPr>
      <w:r>
        <w:rPr>
          <w:rFonts w:cs="Arial"/>
        </w:rPr>
        <w:t>2.</w:t>
      </w:r>
      <w:r>
        <w:rPr>
          <w:rFonts w:cs="Arial"/>
        </w:rPr>
        <w:tab/>
        <w:t>Die Gehalte an Schwermetallen sowie organischen und löslichen Stoffen in den Abfällen sind entsprechend Nr. 4.1.2 zu minimieren.</w:t>
      </w:r>
    </w:p>
    <w:p>
      <w:pPr>
        <w:pStyle w:val="GesAbsatz"/>
        <w:ind w:left="426" w:hanging="426"/>
        <w:rPr>
          <w:rFonts w:cs="Arial"/>
        </w:rPr>
      </w:pPr>
      <w:r>
        <w:rPr>
          <w:rFonts w:cs="Arial"/>
        </w:rPr>
        <w:t>3.</w:t>
      </w:r>
      <w:r>
        <w:rPr>
          <w:rFonts w:cs="Arial"/>
        </w:rPr>
        <w:tab/>
        <w:t>HMV-Schlacken dürfen grundsätzlich entsprechend 4.1.3 Nr. 1a) und b) verwertet werden, wenn die Überwachung gem. 4.1.4 erfolgt und die in den Anhängen 4 und 5 genannten Zuordnungswerte unterschritten werden.</w:t>
      </w:r>
    </w:p>
    <w:p>
      <w:pPr>
        <w:pStyle w:val="GesAbsatz"/>
        <w:rPr>
          <w:rFonts w:cs="Arial"/>
          <w:b/>
          <w:bCs/>
        </w:rPr>
      </w:pPr>
      <w:r>
        <w:rPr>
          <w:rFonts w:cs="Arial"/>
          <w:b/>
          <w:bCs/>
        </w:rPr>
        <w:t>4.1.2 Technische Maßnahmen zur Verbesserung der Qualität</w:t>
      </w:r>
    </w:p>
    <w:p>
      <w:pPr>
        <w:pStyle w:val="GesAbsatz"/>
        <w:ind w:left="426" w:hanging="426"/>
        <w:rPr>
          <w:rFonts w:cs="Arial"/>
        </w:rPr>
      </w:pPr>
      <w:r>
        <w:rPr>
          <w:rFonts w:cs="Arial"/>
        </w:rPr>
        <w:t>1.</w:t>
      </w:r>
      <w:r>
        <w:rPr>
          <w:rFonts w:cs="Arial"/>
        </w:rPr>
        <w:tab/>
        <w:t>Getrennthaltung und Separierung Maßnahmen zur Getrennterfassung und Verwertung von Inertstoffen, welche die Masse der anfallenden HMV-Rohschlacken reduzieren, sind auszuschöpfen.</w:t>
      </w:r>
    </w:p>
    <w:p>
      <w:pPr>
        <w:pStyle w:val="GesAbsatz"/>
        <w:ind w:left="426"/>
        <w:rPr>
          <w:rFonts w:cs="Arial"/>
        </w:rPr>
      </w:pPr>
      <w:r>
        <w:rPr>
          <w:rFonts w:cs="Arial"/>
        </w:rPr>
        <w:t>Durch Separierung schwermetallhaltiger Problemstoffe vor der Verbrennung oder ein Verbrennungsverbot für bestimmte Abfälle von Direktanlieferern (Negativ-Katalog) sollen die Konzentrationen umweltrelevanter Inhaltsstoffe der HMV-Rohschlacken reduziert werden. Die entsprechenden Bewertungen und einzuleitenden Maßnahmen sollen nach Untersuchungen im Feststoff von HMV-Rohschlacken anhand der Parameter des Anhangs 6 erfolgen.</w:t>
      </w:r>
    </w:p>
    <w:p>
      <w:pPr>
        <w:pStyle w:val="GesAbsatz"/>
        <w:ind w:left="426" w:hanging="426"/>
        <w:rPr>
          <w:rFonts w:cs="Arial"/>
        </w:rPr>
      </w:pPr>
      <w:r>
        <w:rPr>
          <w:rFonts w:cs="Arial"/>
        </w:rPr>
        <w:t>2.</w:t>
      </w:r>
      <w:r>
        <w:rPr>
          <w:rFonts w:cs="Arial"/>
        </w:rPr>
        <w:tab/>
        <w:t>Erhöhung des HMV-Rohschlackenausbrandes</w:t>
      </w:r>
    </w:p>
    <w:p>
      <w:pPr>
        <w:pStyle w:val="GesAbsatz"/>
        <w:ind w:left="426"/>
        <w:rPr>
          <w:rFonts w:cs="Arial"/>
        </w:rPr>
      </w:pPr>
      <w:r>
        <w:rPr>
          <w:rFonts w:cs="Arial"/>
        </w:rPr>
        <w:t>Der Ausbrand der HMV-Rohschlacken lässt sich neben einer Vorsortierung des Abfalls im Wesentlichen durch folgende Maßnahmen verbessern:</w:t>
      </w:r>
    </w:p>
    <w:p>
      <w:pPr>
        <w:pStyle w:val="GesAbsatz"/>
        <w:tabs>
          <w:tab w:val="left" w:pos="851"/>
        </w:tabs>
        <w:ind w:left="426"/>
        <w:rPr>
          <w:rFonts w:cs="Arial"/>
        </w:rPr>
      </w:pPr>
      <w:r>
        <w:rPr>
          <w:rFonts w:cs="Arial"/>
        </w:rPr>
        <w:t>a)</w:t>
      </w:r>
      <w:r>
        <w:rPr>
          <w:rFonts w:cs="Arial"/>
        </w:rPr>
        <w:tab/>
        <w:t>Homogenisierung des Brennguts vor der Aufgabe</w:t>
      </w:r>
    </w:p>
    <w:p>
      <w:pPr>
        <w:pStyle w:val="GesAbsatz"/>
        <w:tabs>
          <w:tab w:val="left" w:pos="851"/>
        </w:tabs>
        <w:ind w:left="426"/>
        <w:rPr>
          <w:rFonts w:cs="Arial"/>
        </w:rPr>
      </w:pPr>
      <w:r>
        <w:rPr>
          <w:rFonts w:cs="Arial"/>
        </w:rPr>
        <w:t>b)</w:t>
      </w:r>
      <w:r>
        <w:rPr>
          <w:rFonts w:cs="Arial"/>
        </w:rPr>
        <w:tab/>
        <w:t>Gewährleistung einer ausreichenden Verbrennungstemperatur und Verweilzeit auf dem Rost</w:t>
      </w:r>
    </w:p>
    <w:p>
      <w:pPr>
        <w:pStyle w:val="GesAbsatz"/>
        <w:tabs>
          <w:tab w:val="left" w:pos="851"/>
        </w:tabs>
        <w:ind w:left="426"/>
        <w:rPr>
          <w:rFonts w:cs="Arial"/>
        </w:rPr>
      </w:pPr>
      <w:r>
        <w:rPr>
          <w:rFonts w:cs="Arial"/>
        </w:rPr>
        <w:t>c)</w:t>
      </w:r>
      <w:r>
        <w:rPr>
          <w:rFonts w:cs="Arial"/>
        </w:rPr>
        <w:tab/>
        <w:t>Bedarfsgerechte Verbrennungsluftverteilung über die gesamte Rostfläche</w:t>
      </w:r>
    </w:p>
    <w:p>
      <w:pPr>
        <w:pStyle w:val="GesAbsatz"/>
        <w:tabs>
          <w:tab w:val="left" w:pos="851"/>
        </w:tabs>
        <w:ind w:left="426"/>
        <w:rPr>
          <w:rFonts w:cs="Arial"/>
        </w:rPr>
      </w:pPr>
      <w:r>
        <w:rPr>
          <w:rFonts w:cs="Arial"/>
        </w:rPr>
        <w:t>d)</w:t>
      </w:r>
      <w:r>
        <w:rPr>
          <w:rFonts w:cs="Arial"/>
        </w:rPr>
        <w:tab/>
        <w:t>Intensive Schürung</w:t>
      </w:r>
    </w:p>
    <w:p>
      <w:pPr>
        <w:pStyle w:val="GesAbsatz"/>
        <w:ind w:left="426" w:hanging="426"/>
        <w:rPr>
          <w:rFonts w:cs="Arial"/>
        </w:rPr>
      </w:pPr>
      <w:r>
        <w:rPr>
          <w:rFonts w:cs="Arial"/>
        </w:rPr>
        <w:t>3.</w:t>
      </w:r>
      <w:r>
        <w:rPr>
          <w:rFonts w:cs="Arial"/>
        </w:rPr>
        <w:tab/>
        <w:t>Getrennte Erfassung</w:t>
      </w:r>
    </w:p>
    <w:p>
      <w:pPr>
        <w:pStyle w:val="GesAbsatz"/>
        <w:ind w:left="426"/>
        <w:rPr>
          <w:rFonts w:cs="Arial"/>
        </w:rPr>
      </w:pPr>
      <w:r>
        <w:rPr>
          <w:rFonts w:cs="Arial"/>
        </w:rPr>
        <w:t>Filter- und Kesselstäube sind getrennt von anderen Abfällen zu erfassen. Um dem Ziel möglichst schwermetallarmer HMV-Schlacken für die Verwertung näherzukommen, ist es vorteilhaft, den Rostdurchfall separat auszutragen und gegebenenfalls aufgrund des hohen organischen Anteils wieder der Verbrennung zuzuführen, wenn es im Hinblick auf die schadlose Verwertung der HMV-Schlacken geprüft und genehmigt ist.</w:t>
      </w:r>
    </w:p>
    <w:p>
      <w:pPr>
        <w:pStyle w:val="GesAbsatz"/>
        <w:ind w:left="426" w:hanging="426"/>
        <w:rPr>
          <w:rFonts w:cs="Arial"/>
        </w:rPr>
      </w:pPr>
      <w:r>
        <w:rPr>
          <w:rFonts w:cs="Arial"/>
        </w:rPr>
        <w:t>4.</w:t>
      </w:r>
      <w:r>
        <w:rPr>
          <w:rFonts w:cs="Arial"/>
        </w:rPr>
        <w:tab/>
        <w:t>Entwässern</w:t>
      </w:r>
    </w:p>
    <w:p>
      <w:pPr>
        <w:pStyle w:val="GesAbsatz"/>
        <w:ind w:left="426"/>
        <w:rPr>
          <w:rFonts w:cs="Arial"/>
        </w:rPr>
      </w:pPr>
      <w:r>
        <w:rPr>
          <w:rFonts w:cs="Arial"/>
        </w:rPr>
        <w:t>Vor der Aufbereitung müssen die HMV-Rohschlacken zwei bis vier Wochen entwässert werden. Dies soll auf befestigten Plätzen mit der Möglichkeit der Erfassung des Abwassers erfolgen.</w:t>
      </w:r>
    </w:p>
    <w:p>
      <w:pPr>
        <w:pStyle w:val="GesAbsatz"/>
        <w:ind w:left="426" w:hanging="426"/>
        <w:rPr>
          <w:rFonts w:cs="Arial"/>
        </w:rPr>
      </w:pPr>
      <w:r>
        <w:rPr>
          <w:rFonts w:cs="Arial"/>
        </w:rPr>
        <w:t>5.</w:t>
      </w:r>
      <w:r>
        <w:rPr>
          <w:rFonts w:cs="Arial"/>
        </w:rPr>
        <w:tab/>
        <w:t>Schrottabscheidung</w:t>
      </w:r>
    </w:p>
    <w:p>
      <w:pPr>
        <w:pStyle w:val="GesAbsatz"/>
        <w:ind w:left="426"/>
        <w:rPr>
          <w:rFonts w:cs="Arial"/>
        </w:rPr>
      </w:pPr>
      <w:r>
        <w:rPr>
          <w:rFonts w:cs="Arial"/>
        </w:rPr>
        <w:t>Die Eisenfraktion der HMV-Rohschlacken ist zu separieren. Zum Einsatz in Stahlwerken ist eine Vorbehandlung und Verdichtung erforderlich.</w:t>
      </w:r>
    </w:p>
    <w:p>
      <w:pPr>
        <w:pStyle w:val="GesAbsatz"/>
        <w:ind w:left="426" w:hanging="426"/>
        <w:rPr>
          <w:rFonts w:cs="Arial"/>
        </w:rPr>
      </w:pPr>
      <w:r>
        <w:rPr>
          <w:rFonts w:cs="Arial"/>
        </w:rPr>
        <w:t>6.</w:t>
      </w:r>
      <w:r>
        <w:rPr>
          <w:rFonts w:cs="Arial"/>
        </w:rPr>
        <w:tab/>
        <w:t>Klassierung</w:t>
      </w:r>
    </w:p>
    <w:p>
      <w:pPr>
        <w:pStyle w:val="GesAbsatz"/>
        <w:ind w:left="426"/>
        <w:rPr>
          <w:rFonts w:cs="Arial"/>
        </w:rPr>
      </w:pPr>
      <w:r>
        <w:rPr>
          <w:rFonts w:cs="Arial"/>
        </w:rPr>
        <w:t>Zur weiteren Verbesserung der Umweltverträglichkeit der HMV-Schlacken ist es vorteilhaft, den Feinanteil von einer Verwertung auszuschließen, da dieser einen erhöhten Schadstoffgehalt und eine größere Eluierbarkeit der Schadstoffe aufweist. Die bautechnischen Anforderungen (Kornverteilung) sind jedoch zu berücksichtigen. Das Überkorn (z. B. größer 45 mm) enthält einen hohen Anteil nicht verwertbarer, insbesondere unverbrannter Bestandteile und sollte in die Verbrennungsanlage zurückgeführt werden.</w:t>
      </w:r>
    </w:p>
    <w:p>
      <w:pPr>
        <w:pStyle w:val="GesAbsatz"/>
        <w:rPr>
          <w:rFonts w:cs="Arial"/>
        </w:rPr>
      </w:pPr>
      <w:r>
        <w:rPr>
          <w:rFonts w:cs="Arial"/>
        </w:rPr>
        <w:t>7.</w:t>
      </w:r>
      <w:r>
        <w:rPr>
          <w:rFonts w:cs="Arial"/>
        </w:rPr>
        <w:tab/>
        <w:t>Alterung</w:t>
      </w:r>
    </w:p>
    <w:p>
      <w:pPr>
        <w:pStyle w:val="GesAbsatz"/>
        <w:ind w:left="426"/>
        <w:rPr>
          <w:rFonts w:cs="Arial"/>
        </w:rPr>
      </w:pPr>
      <w:r>
        <w:rPr>
          <w:rFonts w:cs="Arial"/>
        </w:rPr>
        <w:t xml:space="preserve">Zur Verbesserung der Volumenbeständigkeit und des Elutionsverhaltens der aufbereiteten HMV-Rohschlacken ist eine Alterung der HMV-Schlacken von mindestens drei Monaten erforderlich. Um die Kontrolle der Lagerzeit vor der Verwertung zu erleichtern, sollten die aufbereiteten HMV-Rohschlacken nicht </w:t>
      </w:r>
      <w:r>
        <w:rPr>
          <w:rFonts w:cs="Arial"/>
        </w:rPr>
        <w:lastRenderedPageBreak/>
        <w:t>fortlaufend aufgehaldet, sondern mietenförmig gelagert werden. Je nach Platzverhältnissen und Betriebsablauf sind auch andere Lagerungsformen bzw. geeignete Maßnahmen zulässig, die eine eindeutige Zuordnung ermöglichen. Die Alterung kann durch eine kontinuierliche Durchlüftung, durch lockere, nicht zu hohe Schüttung und permanente Befeuchtung (Wasserkreislaufführung) positiv beeinflusst werden. Die Behandlung darf nur auf befestigten Plätzen mit der Möglichkeit der Abwassererfassung erfolgen. Das Ende der Alterung ist am Temperaturverlauf erkennbar, wenn durch die abgeschlossenen Hydratisierungsprozesse keine Reaktionswärme mehr freigesetzt wird.</w:t>
      </w:r>
    </w:p>
    <w:p>
      <w:pPr>
        <w:pStyle w:val="GesAbsatz"/>
        <w:rPr>
          <w:rFonts w:cs="Arial"/>
        </w:rPr>
      </w:pPr>
      <w:r>
        <w:rPr>
          <w:rFonts w:cs="Arial"/>
        </w:rPr>
        <w:t>8.</w:t>
      </w:r>
      <w:r>
        <w:rPr>
          <w:rFonts w:cs="Arial"/>
        </w:rPr>
        <w:tab/>
        <w:t>Waschen</w:t>
      </w:r>
    </w:p>
    <w:p>
      <w:pPr>
        <w:pStyle w:val="GesAbsatz"/>
        <w:ind w:left="426"/>
        <w:rPr>
          <w:rFonts w:cs="Arial"/>
        </w:rPr>
      </w:pPr>
      <w:r>
        <w:rPr>
          <w:rFonts w:cs="Arial"/>
        </w:rPr>
        <w:t>Durch Waschen der HMV-Rohschlacken. z. B. in Verbindung mit Nassentschlackung und Abgaswäsche, wird der Gehalt an leicht wasserlöslichen Bestandteilen reduziert.</w:t>
      </w:r>
    </w:p>
    <w:p>
      <w:pPr>
        <w:pStyle w:val="GesAbsatz"/>
        <w:ind w:left="426" w:hanging="426"/>
        <w:rPr>
          <w:rFonts w:cs="Arial"/>
        </w:rPr>
      </w:pPr>
      <w:r>
        <w:rPr>
          <w:rFonts w:cs="Arial"/>
        </w:rPr>
        <w:t>9.</w:t>
      </w:r>
      <w:r>
        <w:rPr>
          <w:rFonts w:cs="Arial"/>
        </w:rPr>
        <w:tab/>
        <w:t>Sintern und Schmelzen</w:t>
      </w:r>
    </w:p>
    <w:p>
      <w:pPr>
        <w:pStyle w:val="GesAbsatz"/>
        <w:ind w:left="426"/>
        <w:rPr>
          <w:rFonts w:cs="Arial"/>
        </w:rPr>
      </w:pPr>
      <w:r>
        <w:rPr>
          <w:rFonts w:cs="Arial"/>
        </w:rPr>
        <w:t>Entschrottete HMV-Rohschlacken lassen sich in Abhängigkeit von der Temperatur sintern oder aufschmelzen. Der Nachweis über die bautechnische Eignung für die Verwertung (Korngrößen, Bindungsfähigkeit) sowie über das Langzeitverhalten (Eluierbarkeit) ist zu erbringen.</w:t>
      </w:r>
    </w:p>
    <w:p>
      <w:pPr>
        <w:pStyle w:val="GesAbsatz"/>
        <w:rPr>
          <w:rFonts w:cs="Arial"/>
          <w:b/>
          <w:bCs/>
        </w:rPr>
      </w:pPr>
      <w:r>
        <w:rPr>
          <w:rFonts w:cs="Arial"/>
          <w:b/>
          <w:bCs/>
        </w:rPr>
        <w:t>4.1.3 Einsatzmöglichkeiten</w:t>
      </w:r>
    </w:p>
    <w:p>
      <w:pPr>
        <w:pStyle w:val="GesAbsatz"/>
        <w:ind w:left="426" w:hanging="426"/>
        <w:rPr>
          <w:rFonts w:cs="Arial"/>
        </w:rPr>
      </w:pPr>
      <w:r>
        <w:rPr>
          <w:rFonts w:cs="Arial"/>
        </w:rPr>
        <w:t>1.</w:t>
      </w:r>
      <w:r>
        <w:rPr>
          <w:rFonts w:cs="Arial"/>
        </w:rPr>
        <w:tab/>
        <w:t>Bei Unterschreitung der Zuordnungswerte gemäß Anhang 4 und 5 ist ein Einbau der HMV-Schlacken unter den nachstehend definierten technischen Sicherungsmaßnahmen bei bestimmten Baumaßnahmen möglich:</w:t>
      </w:r>
    </w:p>
    <w:p>
      <w:pPr>
        <w:pStyle w:val="GesAbsatz"/>
        <w:ind w:left="851" w:hanging="425"/>
        <w:rPr>
          <w:rFonts w:cs="Arial"/>
        </w:rPr>
      </w:pPr>
      <w:r>
        <w:rPr>
          <w:rFonts w:cs="Arial"/>
        </w:rPr>
        <w:t>a)</w:t>
      </w:r>
      <w:r>
        <w:rPr>
          <w:rFonts w:cs="Arial"/>
        </w:rPr>
        <w:tab/>
        <w:t>im Straßen- und Wegebau, bei der Anlage von befestigten Flächen in Industrie- und Gewerbegebieten (Parkplätze, Lagerflächen) sowie sonstigen Verkehrsflächen (z. B. Flugplätze, Hafenbereiche, Güterverkehrszentren) als</w:t>
      </w:r>
    </w:p>
    <w:p>
      <w:pPr>
        <w:pStyle w:val="GesAbsatz"/>
        <w:tabs>
          <w:tab w:val="left" w:pos="851"/>
        </w:tabs>
        <w:ind w:left="1276" w:hanging="425"/>
        <w:rPr>
          <w:rFonts w:cs="Arial"/>
        </w:rPr>
      </w:pPr>
      <w:r>
        <w:rPr>
          <w:rFonts w:cs="Arial"/>
        </w:rPr>
        <w:t>–</w:t>
      </w:r>
      <w:r>
        <w:rPr>
          <w:rFonts w:cs="Arial"/>
        </w:rPr>
        <w:tab/>
        <w:t>Tragschicht unter wasserundurchlässiger Deckschicht (Beton, Asphalt, Pflaster) und</w:t>
      </w:r>
    </w:p>
    <w:p>
      <w:pPr>
        <w:pStyle w:val="GesAbsatz"/>
        <w:tabs>
          <w:tab w:val="left" w:pos="851"/>
        </w:tabs>
        <w:ind w:left="1276" w:hanging="425"/>
        <w:rPr>
          <w:rFonts w:cs="Arial"/>
        </w:rPr>
      </w:pPr>
      <w:r>
        <w:rPr>
          <w:rFonts w:cs="Arial"/>
        </w:rPr>
        <w:t>–</w:t>
      </w:r>
      <w:r>
        <w:rPr>
          <w:rFonts w:cs="Arial"/>
        </w:rPr>
        <w:tab/>
        <w:t>gebundene Tragschicht unter wenig durchlässiger Deckschicht (Pflaster, Platten);</w:t>
      </w:r>
    </w:p>
    <w:p>
      <w:pPr>
        <w:pStyle w:val="GesAbsatz"/>
        <w:ind w:left="851" w:hanging="425"/>
        <w:rPr>
          <w:rFonts w:cs="Arial"/>
        </w:rPr>
      </w:pPr>
      <w:r>
        <w:rPr>
          <w:rFonts w:cs="Arial"/>
        </w:rPr>
        <w:t>b)</w:t>
      </w:r>
      <w:r>
        <w:rPr>
          <w:rFonts w:cs="Arial"/>
        </w:rPr>
        <w:tab/>
        <w:t>bei Erdbaumaßnahmen (kontrollierte Großbaumaßnahmen) in hydrogeologisch günstigen Gebieten als</w:t>
      </w:r>
    </w:p>
    <w:p>
      <w:pPr>
        <w:pStyle w:val="GesAbsatz"/>
        <w:tabs>
          <w:tab w:val="left" w:pos="851"/>
        </w:tabs>
        <w:ind w:left="1418" w:hanging="567"/>
        <w:rPr>
          <w:rFonts w:cs="Arial"/>
        </w:rPr>
      </w:pPr>
      <w:r>
        <w:rPr>
          <w:rFonts w:cs="Arial"/>
        </w:rPr>
        <w:t>–</w:t>
      </w:r>
      <w:r>
        <w:rPr>
          <w:rFonts w:cs="Arial"/>
        </w:rPr>
        <w:tab/>
        <w:t>Lärmschutzwall mit mineralischer Oberflächenabdichtung d &gt; 0,5 m und k</w:t>
      </w:r>
      <w:r>
        <w:rPr>
          <w:rFonts w:cs="Arial"/>
          <w:szCs w:val="13"/>
          <w:vertAlign w:val="subscript"/>
        </w:rPr>
        <w:t>f</w:t>
      </w:r>
      <w:r>
        <w:rPr>
          <w:rFonts w:cs="Arial"/>
          <w:szCs w:val="13"/>
        </w:rPr>
        <w:t xml:space="preserve"> </w:t>
      </w:r>
      <w:r>
        <w:rPr>
          <w:rFonts w:cs="Arial"/>
        </w:rPr>
        <w:t>&lt; 10</w:t>
      </w:r>
      <w:r>
        <w:rPr>
          <w:rFonts w:cs="Arial"/>
          <w:szCs w:val="13"/>
          <w:vertAlign w:val="superscript"/>
        </w:rPr>
        <w:t>-8</w:t>
      </w:r>
      <w:r>
        <w:rPr>
          <w:rFonts w:cs="Arial"/>
          <w:szCs w:val="13"/>
        </w:rPr>
        <w:t xml:space="preserve"> </w:t>
      </w:r>
      <w:r>
        <w:rPr>
          <w:rFonts w:cs="Arial"/>
        </w:rPr>
        <w:t>m/s und darüber liegender Rekultivierungsschicht und</w:t>
      </w:r>
    </w:p>
    <w:p>
      <w:pPr>
        <w:pStyle w:val="GesAbsatz"/>
        <w:tabs>
          <w:tab w:val="left" w:pos="851"/>
        </w:tabs>
        <w:ind w:left="1418" w:hanging="567"/>
        <w:rPr>
          <w:rFonts w:cs="Arial"/>
        </w:rPr>
      </w:pPr>
      <w:r>
        <w:rPr>
          <w:rFonts w:cs="Arial"/>
        </w:rPr>
        <w:t>–</w:t>
      </w:r>
      <w:r>
        <w:rPr>
          <w:rFonts w:cs="Arial"/>
        </w:rPr>
        <w:tab/>
        <w:t>Straßendamm (Unterbau) mit wasserundurchlässiger Fahrbahndecke und mineralischer Oberflächenabdichtung d &gt; 0,5 m und k</w:t>
      </w:r>
      <w:r>
        <w:rPr>
          <w:rFonts w:cs="Arial"/>
          <w:szCs w:val="13"/>
          <w:vertAlign w:val="subscript"/>
        </w:rPr>
        <w:t>f</w:t>
      </w:r>
      <w:r>
        <w:rPr>
          <w:rFonts w:cs="Arial"/>
          <w:szCs w:val="13"/>
        </w:rPr>
        <w:t xml:space="preserve"> </w:t>
      </w:r>
      <w:r>
        <w:rPr>
          <w:rFonts w:cs="Arial"/>
        </w:rPr>
        <w:t>&lt; 10</w:t>
      </w:r>
      <w:r>
        <w:rPr>
          <w:rFonts w:cs="Arial"/>
          <w:szCs w:val="13"/>
          <w:vertAlign w:val="superscript"/>
        </w:rPr>
        <w:t>-8</w:t>
      </w:r>
      <w:r>
        <w:rPr>
          <w:rFonts w:cs="Arial"/>
          <w:szCs w:val="13"/>
        </w:rPr>
        <w:t xml:space="preserve"> </w:t>
      </w:r>
      <w:r>
        <w:rPr>
          <w:rFonts w:cs="Arial"/>
        </w:rPr>
        <w:t>m/s im Böschungsbereich und darüber liegender Rekultivierungsschicht.</w:t>
      </w:r>
    </w:p>
    <w:p>
      <w:pPr>
        <w:pStyle w:val="GesAbsatz"/>
        <w:ind w:left="851"/>
        <w:rPr>
          <w:rFonts w:cs="Arial"/>
        </w:rPr>
      </w:pPr>
      <w:r>
        <w:rPr>
          <w:rFonts w:cs="Arial"/>
        </w:rPr>
        <w:t>Hydrogeologisch günstig sind u. a. Standorte, bei denen der Grundwasserleiter nach oben durch flächig verbreitete, ausreichend mächtige Deckschichten mit hohem Rückhaltevermögen gegenüber Schadstoffen überdeckt ist. Dieses Rückhaltevermögen ist in der Regel bei mindestens 2 m mächtigen Deckschichten aus Tonen, Schluffen oder Lehmen gegeben.</w:t>
      </w:r>
    </w:p>
    <w:p>
      <w:pPr>
        <w:pStyle w:val="GesAbsatz"/>
        <w:ind w:left="851"/>
        <w:rPr>
          <w:rFonts w:cs="Arial"/>
        </w:rPr>
      </w:pPr>
      <w:r>
        <w:rPr>
          <w:rFonts w:cs="Arial"/>
        </w:rPr>
        <w:t>Der Abstand zwischen der Schüttkörperbasis und dem höchsten zu erwartenden Grundwasserstand soll mindestens 1 m betragen. Der Einsatz bei Großbaumaßnahmen ist zu bevorzugen.</w:t>
      </w:r>
    </w:p>
    <w:p>
      <w:pPr>
        <w:pStyle w:val="GesAbsatz"/>
        <w:ind w:left="851"/>
        <w:rPr>
          <w:rFonts w:cs="Arial"/>
        </w:rPr>
      </w:pPr>
      <w:r>
        <w:rPr>
          <w:rFonts w:cs="Arial"/>
        </w:rPr>
        <w:t>Bei anderen als den unter a) und b) genannten Bauweisen ist in Abstimmung mit den zuständigen Behörden deren Gleichwertigkeit nachzuweisen.</w:t>
      </w:r>
    </w:p>
    <w:p>
      <w:pPr>
        <w:pStyle w:val="GesAbsatz"/>
        <w:ind w:left="426" w:hanging="426"/>
        <w:rPr>
          <w:rFonts w:cs="Arial"/>
        </w:rPr>
      </w:pPr>
      <w:r>
        <w:rPr>
          <w:rFonts w:cs="Arial"/>
        </w:rPr>
        <w:t>2.</w:t>
      </w:r>
      <w:r>
        <w:rPr>
          <w:rFonts w:cs="Arial"/>
        </w:rPr>
        <w:tab/>
        <w:t>Eine Verwertung sollte nicht in wasserwirtschaftlich bedeutenden und empfindlichen sowie hydrogeologisch sensiblen Gebieten erfolgen.</w:t>
      </w:r>
    </w:p>
    <w:p>
      <w:pPr>
        <w:pStyle w:val="GesAbsatz"/>
        <w:ind w:left="426"/>
        <w:rPr>
          <w:rFonts w:cs="Arial"/>
        </w:rPr>
      </w:pPr>
      <w:r>
        <w:rPr>
          <w:rFonts w:cs="Arial"/>
        </w:rPr>
        <w:t>Ausgeschlossen sind Baumaßnahmen</w:t>
      </w:r>
    </w:p>
    <w:p>
      <w:pPr>
        <w:pStyle w:val="GesAbsatz"/>
        <w:ind w:left="851" w:hanging="425"/>
        <w:rPr>
          <w:rFonts w:cs="Arial"/>
        </w:rPr>
      </w:pPr>
      <w:r>
        <w:rPr>
          <w:rFonts w:cs="Arial"/>
        </w:rPr>
        <w:t>–</w:t>
      </w:r>
      <w:r>
        <w:rPr>
          <w:rFonts w:cs="Arial"/>
        </w:rPr>
        <w:tab/>
        <w:t>in festgesetzten, vorläufig sichergestellten oder fachbehördlich geplanten Trinkwasserschutzgebieten (I–III B),</w:t>
      </w:r>
    </w:p>
    <w:p>
      <w:pPr>
        <w:pStyle w:val="GesAbsatz"/>
        <w:ind w:left="851" w:hanging="425"/>
        <w:rPr>
          <w:rFonts w:cs="Arial"/>
        </w:rPr>
      </w:pPr>
      <w:r>
        <w:rPr>
          <w:rFonts w:cs="Arial"/>
        </w:rPr>
        <w:t>–</w:t>
      </w:r>
      <w:r>
        <w:rPr>
          <w:rFonts w:cs="Arial"/>
        </w:rPr>
        <w:tab/>
        <w:t>in festgesetzten, vorläufig sichergestellten oder fachbehördlich geplanten Heilquellenschutzgebieten (I–IV),</w:t>
      </w:r>
    </w:p>
    <w:p>
      <w:pPr>
        <w:pStyle w:val="GesAbsatz"/>
        <w:ind w:left="851" w:hanging="425"/>
        <w:rPr>
          <w:rFonts w:cs="Arial"/>
        </w:rPr>
      </w:pPr>
      <w:r>
        <w:rPr>
          <w:rFonts w:cs="Arial"/>
        </w:rPr>
        <w:t>–</w:t>
      </w:r>
      <w:r>
        <w:rPr>
          <w:rFonts w:cs="Arial"/>
        </w:rPr>
        <w:tab/>
        <w:t>in Wasservorranggebieten, die im Interesse der Sicherung der künftigen Wasserversorgung raumordnerisch ausgewiesen sind,</w:t>
      </w:r>
    </w:p>
    <w:p>
      <w:pPr>
        <w:pStyle w:val="GesAbsatz"/>
        <w:ind w:left="851" w:hanging="425"/>
        <w:rPr>
          <w:rFonts w:cs="Arial"/>
        </w:rPr>
      </w:pPr>
      <w:r>
        <w:rPr>
          <w:rFonts w:cs="Arial"/>
        </w:rPr>
        <w:t>–</w:t>
      </w:r>
      <w:r>
        <w:rPr>
          <w:rFonts w:cs="Arial"/>
        </w:rPr>
        <w:tab/>
        <w:t>in Gebieten mit häufigen Überschwemmungen (z. B. Hochwasserrückhaltebecken, eingedeichte Flächen),</w:t>
      </w:r>
    </w:p>
    <w:p>
      <w:pPr>
        <w:pStyle w:val="GesAbsatz"/>
        <w:ind w:left="851" w:hanging="425"/>
        <w:rPr>
          <w:rFonts w:cs="Arial"/>
        </w:rPr>
      </w:pPr>
      <w:r>
        <w:rPr>
          <w:rFonts w:cs="Arial"/>
        </w:rPr>
        <w:t>–</w:t>
      </w:r>
      <w:r>
        <w:rPr>
          <w:rFonts w:cs="Arial"/>
        </w:rPr>
        <w:tab/>
        <w:t>in Karstgebieten ohne ausreichende Deckschichten und Randgebieten, die im Karst entwässern sowie Gebieten mit stark klüftigem, besonders wasserwegsamen Untergrund und</w:t>
      </w:r>
    </w:p>
    <w:p>
      <w:pPr>
        <w:pStyle w:val="GesAbsatz"/>
        <w:ind w:left="851" w:hanging="425"/>
        <w:rPr>
          <w:rFonts w:cs="Arial"/>
        </w:rPr>
      </w:pPr>
      <w:r>
        <w:rPr>
          <w:rFonts w:cs="Arial"/>
        </w:rPr>
        <w:t>–</w:t>
      </w:r>
      <w:r>
        <w:rPr>
          <w:rFonts w:cs="Arial"/>
        </w:rPr>
        <w:tab/>
        <w:t>aus Vorsorgegründen auch auf Flächen mit sensibler Nutzung (wie Kinderspielplätzen, Sportanlagen, Bolzplätzen und Schulhöfen).</w:t>
      </w:r>
    </w:p>
    <w:p>
      <w:pPr>
        <w:pStyle w:val="GesAbsatz"/>
        <w:ind w:left="851" w:hanging="425"/>
        <w:rPr>
          <w:rFonts w:cs="Arial"/>
        </w:rPr>
      </w:pPr>
      <w:r>
        <w:rPr>
          <w:rFonts w:cs="Arial"/>
        </w:rPr>
        <w:lastRenderedPageBreak/>
        <w:t>HMV-Schlacken dürfen nicht in Dränschichten verwertet werden.</w:t>
      </w:r>
    </w:p>
    <w:p>
      <w:pPr>
        <w:pStyle w:val="GesAbsatz"/>
        <w:ind w:left="426" w:hanging="426"/>
        <w:rPr>
          <w:rFonts w:cs="Arial"/>
        </w:rPr>
      </w:pPr>
      <w:r>
        <w:rPr>
          <w:rFonts w:cs="Arial"/>
        </w:rPr>
        <w:t>3.</w:t>
      </w:r>
      <w:r>
        <w:rPr>
          <w:rFonts w:cs="Arial"/>
        </w:rPr>
        <w:tab/>
        <w:t>Die Verwertung innerhalb wasserwirtschaftlich bedeutender und empfindlicher sowie hydrogeologisch sensibler Gebiete unterliegt der Einzelfallprüfung durch die zuständigen Behörden, sofern keine spezifischen landeseinheitlichen Regelungen vorliegen.</w:t>
      </w:r>
    </w:p>
    <w:p>
      <w:pPr>
        <w:pStyle w:val="GesAbsatz"/>
        <w:ind w:left="426"/>
        <w:rPr>
          <w:rFonts w:cs="Arial"/>
        </w:rPr>
      </w:pPr>
      <w:r>
        <w:rPr>
          <w:rFonts w:cs="Arial"/>
        </w:rPr>
        <w:t>Werden Maßnahmen durchgeführt, die die Gehalte oder die Eluierbarkeit ökologisch bedenklicher Inhaltsstoffe reduzieren und werden dadurch die Zuordnungswerte des Eluats erheblich unterschritten, kann im Einzelfall durch die zuständigen Behörden über eine Erweiterung der Verwertungsmöglichkeiten entschieden werden.</w:t>
      </w:r>
    </w:p>
    <w:p>
      <w:pPr>
        <w:pStyle w:val="GesAbsatz"/>
        <w:rPr>
          <w:rFonts w:cs="Arial"/>
          <w:b/>
          <w:bCs/>
        </w:rPr>
      </w:pPr>
      <w:r>
        <w:rPr>
          <w:rFonts w:cs="Arial"/>
          <w:b/>
          <w:bCs/>
        </w:rPr>
        <w:t>4.1.4 Überwachung</w:t>
      </w:r>
    </w:p>
    <w:p>
      <w:pPr>
        <w:pStyle w:val="GesAbsatz"/>
        <w:rPr>
          <w:rFonts w:cs="Arial"/>
        </w:rPr>
      </w:pPr>
      <w:r>
        <w:rPr>
          <w:rFonts w:cs="Arial"/>
        </w:rPr>
        <w:t>Die Überwachung setzt sich zusammen aus der</w:t>
      </w:r>
    </w:p>
    <w:p>
      <w:pPr>
        <w:pStyle w:val="GesAbsatz"/>
        <w:rPr>
          <w:rFonts w:cs="Arial"/>
        </w:rPr>
      </w:pPr>
      <w:r>
        <w:rPr>
          <w:rFonts w:cs="Arial"/>
        </w:rPr>
        <w:t>–</w:t>
      </w:r>
      <w:r>
        <w:rPr>
          <w:rFonts w:cs="Arial"/>
        </w:rPr>
        <w:tab/>
        <w:t>Qualitätskontrolle beim Betreiber der HMV,</w:t>
      </w:r>
    </w:p>
    <w:p>
      <w:pPr>
        <w:pStyle w:val="GesAbsatz"/>
        <w:rPr>
          <w:rFonts w:cs="Arial"/>
        </w:rPr>
      </w:pPr>
      <w:r>
        <w:rPr>
          <w:rFonts w:cs="Arial"/>
        </w:rPr>
        <w:t>–</w:t>
      </w:r>
      <w:r>
        <w:rPr>
          <w:rFonts w:cs="Arial"/>
        </w:rPr>
        <w:tab/>
        <w:t>Qualitätskontrolle beim Aufbereiter,</w:t>
      </w:r>
    </w:p>
    <w:p>
      <w:pPr>
        <w:pStyle w:val="GesAbsatz"/>
        <w:rPr>
          <w:rFonts w:cs="Arial"/>
        </w:rPr>
      </w:pPr>
      <w:r>
        <w:rPr>
          <w:rFonts w:cs="Arial"/>
        </w:rPr>
        <w:t>–</w:t>
      </w:r>
      <w:r>
        <w:rPr>
          <w:rFonts w:cs="Arial"/>
        </w:rPr>
        <w:tab/>
        <w:t>behördlichen Überwachung und der</w:t>
      </w:r>
    </w:p>
    <w:p>
      <w:pPr>
        <w:pStyle w:val="GesAbsatz"/>
        <w:rPr>
          <w:rFonts w:cs="Arial"/>
        </w:rPr>
      </w:pPr>
      <w:r>
        <w:rPr>
          <w:rFonts w:cs="Arial"/>
        </w:rPr>
        <w:t>–</w:t>
      </w:r>
      <w:r>
        <w:rPr>
          <w:rFonts w:cs="Arial"/>
        </w:rPr>
        <w:tab/>
        <w:t>Dokumentation.</w:t>
      </w:r>
    </w:p>
    <w:p>
      <w:pPr>
        <w:pStyle w:val="GesAbsatz"/>
        <w:ind w:left="426" w:hanging="426"/>
        <w:rPr>
          <w:rFonts w:cs="Arial"/>
        </w:rPr>
      </w:pPr>
      <w:r>
        <w:rPr>
          <w:rFonts w:cs="Arial"/>
        </w:rPr>
        <w:t>1.</w:t>
      </w:r>
      <w:r>
        <w:rPr>
          <w:rFonts w:cs="Arial"/>
        </w:rPr>
        <w:tab/>
        <w:t>Qualitätskontrolle beim Betreiber der HMV</w:t>
      </w:r>
    </w:p>
    <w:p>
      <w:pPr>
        <w:pStyle w:val="GesAbsatz"/>
        <w:ind w:left="426"/>
        <w:rPr>
          <w:rFonts w:cs="Arial"/>
        </w:rPr>
      </w:pPr>
      <w:r>
        <w:rPr>
          <w:rFonts w:cs="Arial"/>
        </w:rPr>
        <w:t>Die HMV-Rohschlacken sind vierteljährlich, zusätzlich jedoch nach Änderungen der Feuerungsführung der Verbrennungsanlage, auf die Parameter des Anhangs 6 zu untersuchen. Die angegebenen Werte dienen als Anhalt. Die Ergebnisse sind zu protokollieren.</w:t>
      </w:r>
    </w:p>
    <w:p>
      <w:pPr>
        <w:pStyle w:val="GesAbsatz"/>
        <w:rPr>
          <w:rFonts w:cs="Arial"/>
        </w:rPr>
      </w:pPr>
      <w:r>
        <w:rPr>
          <w:rFonts w:cs="Arial"/>
        </w:rPr>
        <w:t>2.</w:t>
      </w:r>
      <w:r>
        <w:rPr>
          <w:rFonts w:cs="Arial"/>
        </w:rPr>
        <w:tab/>
        <w:t>Qualitätskontrolle beim Aufbereiter</w:t>
      </w:r>
    </w:p>
    <w:p>
      <w:pPr>
        <w:pStyle w:val="GesAbsatz"/>
        <w:ind w:left="426"/>
        <w:rPr>
          <w:rFonts w:cs="Arial"/>
        </w:rPr>
      </w:pPr>
      <w:r>
        <w:rPr>
          <w:rFonts w:cs="Arial"/>
        </w:rPr>
        <w:t>Die Qualitätskontrolle umfasst die</w:t>
      </w:r>
    </w:p>
    <w:p>
      <w:pPr>
        <w:pStyle w:val="GesAbsatz"/>
        <w:tabs>
          <w:tab w:val="left" w:pos="851"/>
        </w:tabs>
        <w:ind w:left="426"/>
        <w:rPr>
          <w:rFonts w:cs="Arial"/>
        </w:rPr>
      </w:pPr>
      <w:r>
        <w:rPr>
          <w:rFonts w:cs="Arial"/>
        </w:rPr>
        <w:t>–</w:t>
      </w:r>
      <w:r>
        <w:rPr>
          <w:rFonts w:cs="Arial"/>
        </w:rPr>
        <w:tab/>
        <w:t>Eignungsfeststellung,</w:t>
      </w:r>
    </w:p>
    <w:p>
      <w:pPr>
        <w:pStyle w:val="GesAbsatz"/>
        <w:tabs>
          <w:tab w:val="left" w:pos="851"/>
        </w:tabs>
        <w:ind w:left="426"/>
        <w:rPr>
          <w:rFonts w:cs="Arial"/>
        </w:rPr>
      </w:pPr>
      <w:r>
        <w:rPr>
          <w:rFonts w:cs="Arial"/>
        </w:rPr>
        <w:t>–</w:t>
      </w:r>
      <w:r>
        <w:rPr>
          <w:rFonts w:cs="Arial"/>
        </w:rPr>
        <w:tab/>
        <w:t>Fremdüberwachung und</w:t>
      </w:r>
    </w:p>
    <w:p>
      <w:pPr>
        <w:pStyle w:val="GesAbsatz"/>
        <w:tabs>
          <w:tab w:val="left" w:pos="851"/>
        </w:tabs>
        <w:ind w:left="426"/>
        <w:rPr>
          <w:rFonts w:cs="Arial"/>
        </w:rPr>
      </w:pPr>
      <w:r>
        <w:rPr>
          <w:rFonts w:cs="Arial"/>
        </w:rPr>
        <w:t>–</w:t>
      </w:r>
      <w:r>
        <w:rPr>
          <w:rFonts w:cs="Arial"/>
        </w:rPr>
        <w:tab/>
        <w:t>Eigenkontrolle.</w:t>
      </w:r>
    </w:p>
    <w:p>
      <w:pPr>
        <w:pStyle w:val="GesAbsatz"/>
        <w:ind w:left="426"/>
        <w:rPr>
          <w:rFonts w:cs="Arial"/>
        </w:rPr>
      </w:pPr>
      <w:r>
        <w:rPr>
          <w:rFonts w:cs="Arial"/>
        </w:rPr>
        <w:t>Für die Beurteilung einer Verwertung ist für die zur Verwertung anstehenden HMV-Schlacken eine Eignungsfeststellung auf die Parameter der Anhänge 4 und 5 durchzuführen. Die Zuordnungswerte sind einzuhalten. Alle Werte sind zu protokollieren.</w:t>
      </w:r>
    </w:p>
    <w:p>
      <w:pPr>
        <w:pStyle w:val="GesAbsatz"/>
        <w:ind w:left="426"/>
        <w:rPr>
          <w:rFonts w:cs="Arial"/>
        </w:rPr>
      </w:pPr>
      <w:r>
        <w:rPr>
          <w:rFonts w:cs="Arial"/>
        </w:rPr>
        <w:t>Bei der Fremdüberwachung – nach Möglichkeit durch ein nach Landesrecht anerkanntes Prüflabor – sind die zur Verwertung anstehenden HMV-Schlacken halbjährlich auf die Parameter des Anhangs 4 sowie das Eluat vierteljährlich auf die entsprechenden Parameter des Anhangs 5 zu untersuchen. Die Zuordnungswerte sind einzuhalten. Alle Werte sind zu protokollieren.</w:t>
      </w:r>
    </w:p>
    <w:p>
      <w:pPr>
        <w:pStyle w:val="GesAbsatz"/>
        <w:ind w:left="426"/>
        <w:rPr>
          <w:rFonts w:cs="Arial"/>
        </w:rPr>
      </w:pPr>
      <w:r>
        <w:rPr>
          <w:rFonts w:cs="Arial"/>
        </w:rPr>
        <w:t>Um die Qualität der aufbereiteten HMV-Rohschlacken zu gewährleisten, muss der Aufbereiter im Rahmen der Eigenkontrolle für die fraktionierten, klassierten und noch nicht abgelagerten HMV-Schlacken wöchentlich die entsprechenden Parameter der Anhänge 4 und 5 bestimmen und protokollieren.</w:t>
      </w:r>
    </w:p>
    <w:p>
      <w:pPr>
        <w:pStyle w:val="GesAbsatz"/>
        <w:ind w:left="426" w:hanging="426"/>
        <w:rPr>
          <w:rFonts w:cs="Arial"/>
        </w:rPr>
      </w:pPr>
      <w:r>
        <w:rPr>
          <w:rFonts w:cs="Arial"/>
        </w:rPr>
        <w:t>3.</w:t>
      </w:r>
      <w:r>
        <w:rPr>
          <w:rFonts w:cs="Arial"/>
        </w:rPr>
        <w:tab/>
        <w:t>Behördliche Überwachung</w:t>
      </w:r>
    </w:p>
    <w:p>
      <w:pPr>
        <w:pStyle w:val="GesAbsatz"/>
        <w:ind w:left="426"/>
        <w:rPr>
          <w:rFonts w:cs="Arial"/>
        </w:rPr>
      </w:pPr>
      <w:r>
        <w:rPr>
          <w:rFonts w:cs="Arial"/>
        </w:rPr>
        <w:t>Untersuchungen im Rahmen der Überwachung des Aufbereiters durch die zuständigen Behörden sollten die für die Eignungsfeststellung erforderlichen Parameter der Anhänge 4 und 5 umfassen.</w:t>
      </w:r>
    </w:p>
    <w:p>
      <w:pPr>
        <w:pStyle w:val="GesAbsatz"/>
        <w:ind w:left="426"/>
        <w:rPr>
          <w:rFonts w:cs="Arial"/>
        </w:rPr>
      </w:pPr>
      <w:r>
        <w:rPr>
          <w:rFonts w:cs="Arial"/>
        </w:rPr>
        <w:t>Überschreitungen der Zuordnungswerte sind nur im Rahmen der Messungenauigkeiten tolerierbar. Sie dürfen nicht systematisch sein. Eine systematische Überschreitung liegt vor, wenn ein Zuordnungswert bei zwei aufeinanderfolgenden Überwachungen um mehr als die Messungenauigkeit überschritten wird.</w:t>
      </w:r>
    </w:p>
    <w:p>
      <w:pPr>
        <w:pStyle w:val="GesAbsatz"/>
        <w:ind w:left="426"/>
        <w:rPr>
          <w:rFonts w:cs="Arial"/>
        </w:rPr>
      </w:pPr>
      <w:r>
        <w:rPr>
          <w:rFonts w:cs="Arial"/>
        </w:rPr>
        <w:t>Der Aufbereiter ist verpflichtet, systematische Überschreitungen der in den Anhängen 4 und 5 genannten Zuordnungswerte bei den zuständigen Behörden anzuzeigen, die dann über die Zulässigkeit der weiteren Verwertung entscheiden.</w:t>
      </w:r>
    </w:p>
    <w:p>
      <w:pPr>
        <w:pStyle w:val="GesAbsatz"/>
        <w:ind w:left="426" w:hanging="426"/>
        <w:rPr>
          <w:rFonts w:cs="Arial"/>
        </w:rPr>
      </w:pPr>
      <w:r>
        <w:rPr>
          <w:rFonts w:cs="Arial"/>
        </w:rPr>
        <w:t>4.</w:t>
      </w:r>
      <w:r>
        <w:rPr>
          <w:rFonts w:cs="Arial"/>
        </w:rPr>
        <w:tab/>
        <w:t>Dokumentation</w:t>
      </w:r>
    </w:p>
    <w:p>
      <w:pPr>
        <w:pStyle w:val="GesAbsatz"/>
        <w:ind w:left="426"/>
        <w:rPr>
          <w:rFonts w:cs="Arial"/>
        </w:rPr>
      </w:pPr>
      <w:r>
        <w:rPr>
          <w:rFonts w:cs="Arial"/>
        </w:rPr>
        <w:t>Die Vorgaben für die Untersuchung, Bewertung, den Einbau und die sonstige Verwertung von HMV-Schlacken erfordern eine Qualitätssicherung und Kontrolle. Das entsprechende Verfahren und die zuständigen Stellen sind landeseinheitlich festzulegen. Der Einbau von HMV-Schlacken ist mit den in Anhang 7 aufgeführten Angaben zu dokumentieren.</w:t>
      </w:r>
    </w:p>
    <w:p>
      <w:pPr>
        <w:pStyle w:val="berschrift3"/>
        <w:jc w:val="left"/>
      </w:pPr>
      <w:bookmarkStart w:id="7" w:name="_Toc44306473"/>
      <w:r>
        <w:t>4.2 Verwertung von sonstigen Abfällen</w:t>
      </w:r>
      <w:bookmarkEnd w:id="7"/>
    </w:p>
    <w:p>
      <w:pPr>
        <w:pStyle w:val="GesAbsatz"/>
        <w:rPr>
          <w:rFonts w:cs="Arial"/>
          <w:b/>
          <w:bCs/>
        </w:rPr>
      </w:pPr>
      <w:r>
        <w:rPr>
          <w:rFonts w:cs="Arial"/>
          <w:b/>
          <w:bCs/>
        </w:rPr>
        <w:t>4.2.1 Metallschrott</w:t>
      </w:r>
    </w:p>
    <w:p>
      <w:pPr>
        <w:pStyle w:val="GesAbsatz"/>
        <w:rPr>
          <w:rFonts w:cs="Arial"/>
        </w:rPr>
      </w:pPr>
      <w:r>
        <w:rPr>
          <w:rFonts w:cs="Arial"/>
        </w:rPr>
        <w:lastRenderedPageBreak/>
        <w:t>Aus der abgetrennten Metallschrottfraktion lässt sich insbesondere der Anteil an Eisenschrott verwerten. Wird der Eisenschrott als Rohstoff in Stahlwerken eingesetzt, sind die Anforderungen der Stahlschrottsortenliste des Bundesverbandes der Deutschen Stahl-Recycling-Wirtschaft e. V. – die im Anhang 8 wiedergegeben sind – einzuhalten.</w:t>
      </w:r>
    </w:p>
    <w:p>
      <w:pPr>
        <w:pStyle w:val="GesAbsatz"/>
        <w:rPr>
          <w:rFonts w:cs="Arial"/>
          <w:b/>
          <w:bCs/>
        </w:rPr>
      </w:pPr>
      <w:r>
        <w:rPr>
          <w:rFonts w:cs="Arial"/>
          <w:b/>
          <w:bCs/>
        </w:rPr>
        <w:t>4.2.2 Filterstäube</w:t>
      </w:r>
    </w:p>
    <w:p>
      <w:pPr>
        <w:pStyle w:val="GesAbsatz"/>
        <w:rPr>
          <w:rFonts w:cs="Arial"/>
        </w:rPr>
      </w:pPr>
      <w:r>
        <w:rPr>
          <w:rFonts w:cs="Arial"/>
        </w:rPr>
        <w:t>Die Verwertung von Filterstäuben außerhalb des Bergbaus hat derzeit noch keine Bedeutung. Es befinden sich eine Reihe von Verfahren, mit dem Ziel der Schaffung von Verwertungsmöglichkeiten, in der Erprobung. Diese dürften auch für Kesselstäube anwendbar sein.</w:t>
      </w:r>
    </w:p>
    <w:p>
      <w:pPr>
        <w:pStyle w:val="GesAbsatz"/>
        <w:rPr>
          <w:rFonts w:cs="Arial"/>
          <w:b/>
          <w:bCs/>
        </w:rPr>
      </w:pPr>
      <w:r>
        <w:rPr>
          <w:rFonts w:cs="Arial"/>
          <w:b/>
          <w:bCs/>
        </w:rPr>
        <w:t>4.2.3 Reaktionsprodukte aus der Abgasreinigung</w:t>
      </w:r>
    </w:p>
    <w:p>
      <w:pPr>
        <w:pStyle w:val="GesAbsatz"/>
        <w:rPr>
          <w:rFonts w:cs="Arial"/>
        </w:rPr>
      </w:pPr>
      <w:r>
        <w:rPr>
          <w:rFonts w:cs="Arial"/>
        </w:rPr>
        <w:t>Abgasreinigungsverfahren für Abfallverbrennungsanlagen müssen als vorrangige Aufgabe die im Abgas enthaltenen Schadstoffe auf ein technisch mögliches Minimum reduzieren. Darüber hinaus sind Abgasreinigungseinrichtungen auf Grund der Vermeidungs- und Verwertungsgebote im Abfallgesetz und im Bundes-Immissionsschutzgesetz so auszulegen und zu betreiben, dass nur unvermeidbare Abfälle anfallen und sich möglichst verwertbare Abfälle und nur geringe Mengen mit aufkonzentrierten Schadstoffen zur Ablagerung in dafür zugelassenen Deponien ergeben.</w:t>
      </w:r>
    </w:p>
    <w:p>
      <w:pPr>
        <w:pStyle w:val="GesAbsatz"/>
        <w:rPr>
          <w:rFonts w:cs="Arial"/>
        </w:rPr>
      </w:pPr>
      <w:r>
        <w:rPr>
          <w:rFonts w:cs="Arial"/>
        </w:rPr>
        <w:t>Anforderungen an die Zusammensetzung von Abfällen aus der Abgasreinigung für spezielle Verwertungsvorhaben (Gewinnung von Natriumchlorid, Natriumsulfat, Gipsprodukte und Salzsäure) enthält der Anhang 9.</w:t>
      </w:r>
    </w:p>
    <w:p>
      <w:pPr>
        <w:pStyle w:val="berschrift2"/>
        <w:jc w:val="left"/>
      </w:pPr>
      <w:bookmarkStart w:id="8" w:name="_Toc44306474"/>
      <w:r>
        <w:t>5 Einsatz im Bergbau</w:t>
      </w:r>
      <w:bookmarkEnd w:id="8"/>
    </w:p>
    <w:p>
      <w:pPr>
        <w:pStyle w:val="GesAbsatz"/>
        <w:rPr>
          <w:rFonts w:cs="Arial"/>
        </w:rPr>
      </w:pPr>
      <w:r>
        <w:rPr>
          <w:rFonts w:cs="Arial"/>
        </w:rPr>
        <w:t>Die Bedingungen für das Einbringen von Abfällen aus Verbrennungsanlagen für Siedlungsabfälle (HMV) in untertägige Hohlräume für Maßnahmen der Bergsicherheit richten sich nach den bergbaurechtlichen sowie anderen bergbaulichen Anforderungen und sind nicht Gegenstand dieses Merkblattes.</w:t>
      </w:r>
    </w:p>
    <w:p>
      <w:pPr>
        <w:pStyle w:val="berschrift2"/>
        <w:jc w:val="left"/>
      </w:pPr>
      <w:bookmarkStart w:id="9" w:name="_Toc44306475"/>
      <w:r>
        <w:t>6 Anforderungen für die Beseitigung</w:t>
      </w:r>
      <w:bookmarkEnd w:id="9"/>
    </w:p>
    <w:p>
      <w:pPr>
        <w:pStyle w:val="GesAbsatz"/>
        <w:rPr>
          <w:rFonts w:cs="Arial"/>
        </w:rPr>
      </w:pPr>
      <w:r>
        <w:rPr>
          <w:rFonts w:cs="Arial"/>
        </w:rPr>
        <w:t>Abfälle dürfen nur dann auf Deponien abgelagert werden, wenn sie nachweislich nicht umweltverträglich verwertet werden können. Dies ist z. B. dann der Fall, wenn es technisch nicht möglich ist, die hierbei entstehenden Mehrkosten im Vergleich zu anderen Verfahren der Entsorgung unzumutbar sind oder für die gewonnenen Produkte kein Markt vorhanden ist.</w:t>
      </w:r>
    </w:p>
    <w:p>
      <w:pPr>
        <w:pStyle w:val="GesAbsatz"/>
        <w:rPr>
          <w:rFonts w:cs="Arial"/>
        </w:rPr>
      </w:pPr>
      <w:r>
        <w:rPr>
          <w:rFonts w:cs="Arial"/>
        </w:rPr>
        <w:t>Die Zuordnung der Abfälle aus HMV in der TA Siedlungsabfall bzw. der Abfallbestimmungsverordnung in Verbindung mit den Entsorgungshinweisen der TA Abfall Teil 1 gehen aus Anhang 10 hervor.</w:t>
      </w:r>
    </w:p>
    <w:p>
      <w:pPr>
        <w:pStyle w:val="berschrift3"/>
        <w:jc w:val="left"/>
      </w:pPr>
      <w:bookmarkStart w:id="10" w:name="_Toc44306476"/>
      <w:r>
        <w:t>6.1 Schlacken und Aschen</w:t>
      </w:r>
      <w:bookmarkEnd w:id="10"/>
    </w:p>
    <w:p>
      <w:pPr>
        <w:pStyle w:val="GesAbsatz"/>
        <w:rPr>
          <w:rFonts w:cs="Arial"/>
        </w:rPr>
      </w:pPr>
      <w:r>
        <w:rPr>
          <w:rFonts w:cs="Arial"/>
        </w:rPr>
        <w:t>Die Zuordnungswerte der TA Siedlungsabfall für die Deponieklasse II können durch zusätzliche anlagentechnische (z. B. Verbesserung des Ausbrandes) und/oder betriebliche Maßnahmen (z. B. mechanische Aufbereitung oder nasschemische Behandlung) bei bestehenden thermischen Behandlungsanlagen erreicht werden. Die Zuordnungswerte der Deponieklasse I sind anzustreben, mindestens jedoch die für die Deponieklasse II einzuhalten.</w:t>
      </w:r>
    </w:p>
    <w:p>
      <w:pPr>
        <w:pStyle w:val="GesAbsatz"/>
        <w:rPr>
          <w:rFonts w:cs="Arial"/>
        </w:rPr>
      </w:pPr>
      <w:r>
        <w:rPr>
          <w:rFonts w:cs="Arial"/>
        </w:rPr>
        <w:t>Hausmüllverbrennungsanlagen, die keine Altanlagen im Sinne der TA Siedlungsabfall sind, müssen die Zuordnungswerte für die Deponieklasse I einhalten.</w:t>
      </w:r>
    </w:p>
    <w:p>
      <w:pPr>
        <w:pStyle w:val="GesAbsatz"/>
        <w:rPr>
          <w:rFonts w:cs="Arial"/>
          <w:szCs w:val="13"/>
        </w:rPr>
      </w:pPr>
      <w:r>
        <w:rPr>
          <w:rFonts w:cs="Arial"/>
        </w:rPr>
        <w:t>Als Zuordnungskriterium für die Ablagerung ist in der TA Siedlungsabfall u. a. der »Organische Anteil des Trockenrückstandes der Originalsubstanz« festgelegt, und zwar zu bestimmen als Glühverlust oder TOC. Dabei ist zu berücksichtigen, dass bei diesen Bestimmungsmethoden die für die Ablagerung nicht relevanten anorganischen Kohlenstoffverbindungen, vor allem elementarer Kohlenstoff, mit erfaßt werden, die einen erheblichen Anteil ausmachen können.</w:t>
      </w:r>
      <w:r>
        <w:rPr>
          <w:rStyle w:val="Funotenzeichen"/>
          <w:rFonts w:cs="Arial"/>
        </w:rPr>
        <w:footnoteReference w:customMarkFollows="1" w:id="1"/>
        <w:t>*)</w:t>
      </w:r>
    </w:p>
    <w:p>
      <w:pPr>
        <w:pStyle w:val="berschrift3"/>
        <w:jc w:val="left"/>
      </w:pPr>
      <w:bookmarkStart w:id="11" w:name="_Toc44306477"/>
      <w:r>
        <w:t>6.2 Filterstäube</w:t>
      </w:r>
      <w:bookmarkEnd w:id="11"/>
    </w:p>
    <w:p>
      <w:pPr>
        <w:pStyle w:val="GesAbsatz"/>
        <w:rPr>
          <w:rFonts w:cs="Arial"/>
        </w:rPr>
      </w:pPr>
      <w:r>
        <w:rPr>
          <w:rFonts w:cs="Arial"/>
        </w:rPr>
        <w:t>Filterstäube sind grundsätzlich getrennt zu erfassen und zu halten, sofern sie nicht gemeinsam mit anderen Abfällen nach der Maßgabe der TA Abfall Teil I Ziffer 4.2 Abs. 2 behandelt und abgelagert werden. In Abweichung von den Entsorgungshinweisen der TA Abfall Teil I erfolgt die Zuordnung der Filterstäube ohne Vorbehandlung zur UTD, da unbehandelte Filterstäube die Zuordnungswerte der TA Abfall Teil I für die obertägige Ablagerung in der Regel nicht einhalten.</w:t>
      </w:r>
    </w:p>
    <w:p>
      <w:pPr>
        <w:pStyle w:val="GesAbsatz"/>
        <w:rPr>
          <w:rFonts w:cs="Arial"/>
        </w:rPr>
      </w:pPr>
      <w:r>
        <w:rPr>
          <w:rFonts w:cs="Arial"/>
        </w:rPr>
        <w:lastRenderedPageBreak/>
        <w:t>Fallen Filterstäube gemeinsam mit Reaktionsprodukten aus der Abgasreinigung an, sind sie dem Abfallschlüssel 31312 zuzuordnen.</w:t>
      </w:r>
    </w:p>
    <w:p>
      <w:pPr>
        <w:pStyle w:val="GesAbsatz"/>
        <w:rPr>
          <w:rFonts w:cs="Arial"/>
        </w:rPr>
      </w:pPr>
      <w:r>
        <w:rPr>
          <w:rFonts w:cs="Arial"/>
        </w:rPr>
        <w:t>Kesselstäube werden als Filterstäube eingestuft.</w:t>
      </w:r>
    </w:p>
    <w:p>
      <w:pPr>
        <w:pStyle w:val="berschrift3"/>
        <w:jc w:val="left"/>
      </w:pPr>
      <w:bookmarkStart w:id="12" w:name="_Toc44306478"/>
      <w:r>
        <w:t>6.3 Reaktionsprodukte aus der Abgasreinigung</w:t>
      </w:r>
      <w:bookmarkEnd w:id="12"/>
    </w:p>
    <w:p>
      <w:pPr>
        <w:pStyle w:val="GesAbsatz"/>
        <w:rPr>
          <w:rFonts w:cs="Arial"/>
        </w:rPr>
      </w:pPr>
      <w:r>
        <w:rPr>
          <w:rFonts w:cs="Arial"/>
        </w:rPr>
        <w:t>Reaktionsprodukte aus der Abgasreinigung sind von anderen Abfällen getrennt zu erfassen und zu halten, sofern sie nicht gemeinsam nach der Maßgabe der TA Abfall Teil I Ziffer 4.2 Abs. 2 behandelt und abgelagert werden.</w:t>
      </w:r>
    </w:p>
    <w:p>
      <w:pPr>
        <w:pStyle w:val="GesAbsatz"/>
        <w:rPr>
          <w:rFonts w:cs="Arial"/>
        </w:rPr>
      </w:pPr>
      <w:r>
        <w:rPr>
          <w:rFonts w:cs="Arial"/>
        </w:rPr>
        <w:t>Verbrauchte Filtermassen auf Aktivkohlebasis sind dem Abfallschlüssel 31435, Gemische auf Kalk-/Kohle-Basis dem Abfallschlüssel 31312 zuzuordnen. Abweichend von den Entsorgungshinweisen der TA Abfall Teil I erfolgt die Zuordnung nach der Art der Verunreinigung. Bei anorganisch belasteten Filtermassen erfolgt die Zuordnung zur UTD und für organisch belastete Filtermassen zur SAV. Eine Zuordnung zu anderen Anlagen kann nach Einzelfallprüfung zugelassen werden.</w:t>
      </w:r>
    </w:p>
    <w:p>
      <w:pPr>
        <w:pStyle w:val="berschrift3"/>
        <w:jc w:val="left"/>
      </w:pPr>
      <w:r>
        <w:br w:type="page"/>
      </w:r>
      <w:bookmarkStart w:id="13" w:name="_Toc44306479"/>
      <w:r>
        <w:lastRenderedPageBreak/>
        <w:t>Anhang 1</w:t>
      </w:r>
      <w:bookmarkEnd w:id="13"/>
    </w:p>
    <w:p>
      <w:pPr>
        <w:pStyle w:val="GesAbsatz"/>
        <w:jc w:val="center"/>
        <w:rPr>
          <w:rFonts w:cs="Arial"/>
          <w:b/>
          <w:bCs/>
        </w:rPr>
      </w:pPr>
      <w:r>
        <w:rPr>
          <w:rFonts w:cs="Arial"/>
          <w:b/>
          <w:bCs/>
        </w:rPr>
        <w:t>Analytische Verfahren – Feststoffe</w:t>
      </w:r>
    </w:p>
    <w:p>
      <w:pPr>
        <w:pStyle w:val="GesAbsatz"/>
        <w:ind w:left="5103" w:hanging="5103"/>
        <w:rPr>
          <w:rFonts w:cs="Arial"/>
        </w:rPr>
      </w:pPr>
      <w:r>
        <w:rPr>
          <w:rFonts w:cs="Arial"/>
        </w:rPr>
        <w:t>Parameter</w:t>
      </w:r>
      <w:r>
        <w:rPr>
          <w:rFonts w:cs="Arial"/>
        </w:rPr>
        <w:tab/>
        <w:t>Analyseverfahren</w:t>
      </w:r>
    </w:p>
    <w:p>
      <w:pPr>
        <w:pStyle w:val="GesAbsatz"/>
        <w:ind w:left="5103" w:hanging="5103"/>
        <w:rPr>
          <w:rFonts w:cs="Arial"/>
        </w:rPr>
      </w:pPr>
      <w:r>
        <w:rPr>
          <w:rFonts w:cs="Arial"/>
        </w:rPr>
        <w:t>Farbe</w:t>
      </w:r>
      <w:r>
        <w:rPr>
          <w:rFonts w:cs="Arial"/>
        </w:rPr>
        <w:tab/>
        <w:t>verbale Beschreibung</w:t>
      </w:r>
    </w:p>
    <w:p>
      <w:pPr>
        <w:pStyle w:val="GesAbsatz"/>
        <w:ind w:left="5103" w:hanging="5103"/>
        <w:rPr>
          <w:rFonts w:cs="Arial"/>
        </w:rPr>
      </w:pPr>
      <w:r>
        <w:rPr>
          <w:rFonts w:cs="Arial"/>
        </w:rPr>
        <w:t>Geruch</w:t>
      </w:r>
      <w:r>
        <w:rPr>
          <w:rFonts w:cs="Arial"/>
        </w:rPr>
        <w:tab/>
        <w:t>verbale Beschreibung</w:t>
      </w:r>
    </w:p>
    <w:p>
      <w:pPr>
        <w:pStyle w:val="GesAbsatz"/>
        <w:ind w:left="5103" w:hanging="5103"/>
        <w:rPr>
          <w:rFonts w:cs="Arial"/>
        </w:rPr>
      </w:pPr>
      <w:r>
        <w:rPr>
          <w:rFonts w:cs="Arial"/>
        </w:rPr>
        <w:t>Trockenrückstand</w:t>
      </w:r>
      <w:r>
        <w:rPr>
          <w:rFonts w:cs="Arial"/>
        </w:rPr>
        <w:tab/>
        <w:t>DIN 38414 – S 2</w:t>
      </w:r>
    </w:p>
    <w:p>
      <w:pPr>
        <w:pStyle w:val="GesAbsatz"/>
        <w:ind w:left="5103" w:hanging="5103"/>
        <w:rPr>
          <w:rFonts w:cs="Arial"/>
        </w:rPr>
      </w:pPr>
      <w:r>
        <w:rPr>
          <w:rFonts w:cs="Arial"/>
        </w:rPr>
        <w:t>Glühverlust</w:t>
      </w:r>
      <w:r>
        <w:rPr>
          <w:rFonts w:cs="Arial"/>
        </w:rPr>
        <w:tab/>
        <w:t>DIN 38414 – S 3</w:t>
      </w:r>
    </w:p>
    <w:p>
      <w:pPr>
        <w:pStyle w:val="GesAbsatz"/>
        <w:ind w:left="5103" w:hanging="5103"/>
        <w:rPr>
          <w:rFonts w:cs="Arial"/>
          <w:szCs w:val="13"/>
        </w:rPr>
      </w:pPr>
      <w:r>
        <w:rPr>
          <w:rFonts w:cs="Arial"/>
        </w:rPr>
        <w:t>Gesamter organisch gebundener Kohlenstoff (TOC)</w:t>
      </w:r>
      <w:r>
        <w:rPr>
          <w:rFonts w:cs="Arial"/>
        </w:rPr>
        <w:tab/>
        <w:t>Austreiben des CO</w:t>
      </w:r>
      <w:r>
        <w:rPr>
          <w:rFonts w:cs="Arial"/>
          <w:szCs w:val="13"/>
          <w:vertAlign w:val="subscript"/>
        </w:rPr>
        <w:t>2</w:t>
      </w:r>
      <w:r>
        <w:rPr>
          <w:rFonts w:cs="Arial"/>
          <w:szCs w:val="13"/>
        </w:rPr>
        <w:t xml:space="preserve"> </w:t>
      </w:r>
      <w:r>
        <w:rPr>
          <w:rFonts w:cs="Arial"/>
        </w:rPr>
        <w:t>(TIC) mittels Mineralsäure und Erhitzen; Verbrennung bzw. Nassoxidation und Bestimmung des CO</w:t>
      </w:r>
      <w:r>
        <w:rPr>
          <w:rFonts w:cs="Arial"/>
          <w:szCs w:val="13"/>
          <w:vertAlign w:val="subscript"/>
        </w:rPr>
        <w:t>2</w:t>
      </w:r>
    </w:p>
    <w:p>
      <w:pPr>
        <w:pStyle w:val="GesAbsatz"/>
        <w:ind w:left="5103" w:hanging="5103"/>
        <w:rPr>
          <w:rFonts w:cs="Arial"/>
        </w:rPr>
      </w:pPr>
      <w:r>
        <w:rPr>
          <w:rFonts w:cs="Arial"/>
        </w:rPr>
        <w:t>Cyanid, gesamt</w:t>
      </w:r>
      <w:r>
        <w:rPr>
          <w:rFonts w:cs="Arial"/>
        </w:rPr>
        <w:tab/>
        <w:t>LAGA-Richtlinie CN 2/79</w:t>
      </w:r>
    </w:p>
    <w:p>
      <w:pPr>
        <w:pStyle w:val="GesAbsatz"/>
        <w:ind w:left="5103" w:hanging="5103"/>
        <w:rPr>
          <w:rFonts w:cs="Arial"/>
        </w:rPr>
      </w:pPr>
      <w:r>
        <w:rPr>
          <w:rFonts w:cs="Arial"/>
        </w:rPr>
        <w:t>Cyanid, leicht freisetzbar</w:t>
      </w:r>
      <w:r>
        <w:rPr>
          <w:rFonts w:cs="Arial"/>
        </w:rPr>
        <w:tab/>
        <w:t>LAGA-Richtlinie CN 2/79</w:t>
      </w:r>
    </w:p>
    <w:p>
      <w:pPr>
        <w:pStyle w:val="GesAbsatz"/>
        <w:tabs>
          <w:tab w:val="left" w:pos="1701"/>
          <w:tab w:val="left" w:pos="5103"/>
        </w:tabs>
        <w:jc w:val="left"/>
        <w:rPr>
          <w:rFonts w:cs="Arial"/>
          <w:szCs w:val="18"/>
        </w:rPr>
      </w:pPr>
      <w:r>
        <w:rPr>
          <w:rFonts w:cs="Arial"/>
        </w:rPr>
        <w:t xml:space="preserve">Arsen </w:t>
      </w:r>
      <w:r>
        <w:rPr>
          <w:rFonts w:cs="Arial"/>
        </w:rPr>
        <w:tab/>
      </w:r>
      <w:r>
        <w:rPr>
          <w:rFonts w:cs="Arial"/>
        </w:rPr>
        <w:sym w:font="Wingdings" w:char="F0FC"/>
      </w:r>
      <w:r>
        <w:rPr>
          <w:rFonts w:cs="Arial"/>
        </w:rPr>
        <w:br/>
        <w:t xml:space="preserve">Cadmium </w:t>
      </w:r>
      <w:r>
        <w:rPr>
          <w:rFonts w:cs="Arial"/>
        </w:rPr>
        <w:tab/>
      </w:r>
      <w:r>
        <w:rPr>
          <w:rFonts w:cs="Arial"/>
        </w:rPr>
        <w:sym w:font="Symbol" w:char="F07F"/>
      </w:r>
      <w:r>
        <w:rPr>
          <w:rFonts w:cs="Arial"/>
        </w:rPr>
        <w:tab/>
        <w:t xml:space="preserve">Aufschluss mit Königswasser (DIN 38414 – Teil 7) Chrom </w:t>
      </w:r>
      <w:r>
        <w:rPr>
          <w:rFonts w:cs="Arial"/>
        </w:rPr>
        <w:tab/>
      </w:r>
      <w:r>
        <w:rPr>
          <w:rFonts w:cs="Arial"/>
        </w:rPr>
        <w:sym w:font="Symbol" w:char="F07F"/>
      </w:r>
      <w:r>
        <w:rPr>
          <w:rFonts w:cs="Arial"/>
        </w:rPr>
        <w:tab/>
        <w:t xml:space="preserve">zur nachfolgenden Bestimmung des säurelösliKupfer </w:t>
      </w:r>
      <w:r>
        <w:rPr>
          <w:rFonts w:cs="Arial"/>
        </w:rPr>
        <w:tab/>
      </w:r>
      <w:r>
        <w:rPr>
          <w:rFonts w:cs="Arial"/>
        </w:rPr>
        <w:sym w:font="Wingdings" w:char="F078"/>
      </w:r>
      <w:r>
        <w:rPr>
          <w:rFonts w:cs="Arial"/>
        </w:rPr>
        <w:tab/>
        <w:t xml:space="preserve">chen Anteils von Metallen nach den für Eluate in Quecksilber </w:t>
      </w:r>
      <w:r>
        <w:rPr>
          <w:rFonts w:cs="Arial"/>
        </w:rPr>
        <w:tab/>
      </w:r>
      <w:r>
        <w:rPr>
          <w:rFonts w:cs="Arial"/>
        </w:rPr>
        <w:sym w:font="Symbol" w:char="F07F"/>
      </w:r>
      <w:r>
        <w:rPr>
          <w:rFonts w:cs="Arial"/>
        </w:rPr>
        <w:tab/>
        <w:t>Anhang 2 angegebenen Bestimmungsverfahren</w:t>
      </w:r>
      <w:r>
        <w:rPr>
          <w:rFonts w:cs="Arial"/>
          <w:szCs w:val="18"/>
        </w:rPr>
        <w:br/>
      </w:r>
      <w:r>
        <w:rPr>
          <w:rFonts w:cs="Arial"/>
        </w:rPr>
        <w:t xml:space="preserve">Nickel </w:t>
      </w:r>
      <w:r>
        <w:rPr>
          <w:rFonts w:cs="Arial"/>
        </w:rPr>
        <w:tab/>
      </w:r>
      <w:r>
        <w:rPr>
          <w:rFonts w:cs="Arial"/>
        </w:rPr>
        <w:sym w:font="Symbol" w:char="F07F"/>
      </w:r>
      <w:r>
        <w:rPr>
          <w:rFonts w:cs="Arial"/>
        </w:rPr>
        <w:br/>
        <w:t xml:space="preserve">Blei </w:t>
      </w:r>
      <w:r>
        <w:rPr>
          <w:rFonts w:cs="Arial"/>
        </w:rPr>
        <w:tab/>
      </w:r>
      <w:r>
        <w:rPr>
          <w:rFonts w:cs="Arial"/>
        </w:rPr>
        <w:tab/>
      </w:r>
      <w:r>
        <w:rPr>
          <w:rFonts w:cs="Arial"/>
        </w:rPr>
        <w:sym w:font="Symbol" w:char="F07F"/>
      </w:r>
      <w:r>
        <w:rPr>
          <w:rFonts w:cs="Arial"/>
          <w:szCs w:val="18"/>
        </w:rPr>
        <w:br/>
      </w:r>
      <w:r>
        <w:rPr>
          <w:rFonts w:cs="Arial"/>
        </w:rPr>
        <w:t xml:space="preserve">Zink </w:t>
      </w:r>
      <w:r>
        <w:rPr>
          <w:rFonts w:cs="Arial"/>
        </w:rPr>
        <w:tab/>
      </w:r>
      <w:r>
        <w:rPr>
          <w:rFonts w:cs="Arial"/>
        </w:rPr>
        <w:sym w:font="Wingdings" w:char="F0FE"/>
      </w:r>
    </w:p>
    <w:p>
      <w:pPr>
        <w:pStyle w:val="GesAbsatz"/>
        <w:ind w:left="5103" w:hanging="5103"/>
        <w:rPr>
          <w:rFonts w:cs="Arial"/>
        </w:rPr>
      </w:pPr>
      <w:r>
        <w:rPr>
          <w:rFonts w:cs="Arial"/>
        </w:rPr>
        <w:t>Kohlenwasserstoffe (Stand: März 1990)</w:t>
      </w:r>
      <w:r>
        <w:rPr>
          <w:rFonts w:cs="Arial"/>
        </w:rPr>
        <w:tab/>
        <w:t>LAGA-Richtlinie KW-85</w:t>
      </w:r>
    </w:p>
    <w:p>
      <w:pPr>
        <w:pStyle w:val="GesAbsatz"/>
        <w:ind w:left="5103" w:hanging="5103"/>
        <w:rPr>
          <w:rFonts w:cs="Arial"/>
        </w:rPr>
      </w:pPr>
      <w:r>
        <w:rPr>
          <w:rFonts w:cs="Arial"/>
        </w:rPr>
        <w:t>Extrahierbare organisch gebundene Halogene (EOX)</w:t>
      </w:r>
      <w:r>
        <w:rPr>
          <w:rFonts w:cs="Arial"/>
        </w:rPr>
        <w:tab/>
        <w:t>DIN 38414 – S 17</w:t>
      </w:r>
    </w:p>
    <w:p>
      <w:pPr>
        <w:pStyle w:val="GesAbsatz"/>
        <w:tabs>
          <w:tab w:val="left" w:pos="5103"/>
        </w:tabs>
        <w:rPr>
          <w:rFonts w:cs="Arial"/>
        </w:rPr>
      </w:pPr>
      <w:r>
        <w:rPr>
          <w:rFonts w:cs="Arial"/>
        </w:rPr>
        <w:t>Polycyclische aromatische Kohlenwasserstoffe</w:t>
      </w:r>
      <w:r>
        <w:rPr>
          <w:rFonts w:cs="Arial"/>
        </w:rPr>
        <w:tab/>
        <w:t>Soxhletextraktion 3 h mit Cyclohexan, Analyse des</w:t>
      </w:r>
      <w:r>
        <w:rPr>
          <w:rFonts w:cs="Arial"/>
        </w:rPr>
        <w:br/>
        <w:t xml:space="preserve">(16 PAK nach EPA) </w:t>
      </w:r>
      <w:r>
        <w:rPr>
          <w:rFonts w:cs="Arial"/>
        </w:rPr>
        <w:tab/>
        <w:t>Extraktes analog U.S. EPA 610</w:t>
      </w:r>
    </w:p>
    <w:p>
      <w:pPr>
        <w:pStyle w:val="GesAbsatz"/>
        <w:ind w:left="5103" w:hanging="5103"/>
        <w:rPr>
          <w:rFonts w:cs="Arial"/>
        </w:rPr>
      </w:pPr>
      <w:r>
        <w:rPr>
          <w:rFonts w:cs="Arial"/>
        </w:rPr>
        <w:t>Polychlorierte Dibenzodioxine und Dibenzofurane</w:t>
      </w:r>
      <w:r>
        <w:rPr>
          <w:rFonts w:cs="Arial"/>
        </w:rPr>
        <w:tab/>
        <w:t>VDI 3499, Blatt 1 Punkt 11, Ausgabe März 1990 (Entwurf)</w:t>
      </w:r>
    </w:p>
    <w:p>
      <w:pPr>
        <w:pStyle w:val="berschrift3"/>
        <w:jc w:val="left"/>
      </w:pPr>
      <w:bookmarkStart w:id="14" w:name="_Toc44306480"/>
      <w:r>
        <w:t>Anhang 2</w:t>
      </w:r>
      <w:bookmarkEnd w:id="14"/>
    </w:p>
    <w:p>
      <w:pPr>
        <w:pStyle w:val="GesAbsatz"/>
        <w:rPr>
          <w:rFonts w:cs="Arial"/>
          <w:b/>
          <w:bCs/>
        </w:rPr>
      </w:pPr>
      <w:r>
        <w:rPr>
          <w:rFonts w:cs="Arial"/>
          <w:b/>
          <w:bCs/>
        </w:rPr>
        <w:t>Analytische Verfahren – Eluate</w:t>
      </w:r>
    </w:p>
    <w:p>
      <w:pPr>
        <w:pStyle w:val="GesAbsatz"/>
        <w:pBdr>
          <w:bottom w:val="single" w:sz="4" w:space="1" w:color="auto"/>
        </w:pBdr>
        <w:tabs>
          <w:tab w:val="left" w:pos="2977"/>
          <w:tab w:val="left" w:pos="5103"/>
          <w:tab w:val="left" w:pos="6946"/>
        </w:tabs>
        <w:rPr>
          <w:rFonts w:cs="Arial"/>
          <w:b/>
          <w:bCs/>
        </w:rPr>
      </w:pPr>
      <w:r>
        <w:rPr>
          <w:rFonts w:cs="Arial"/>
          <w:b/>
          <w:bCs/>
        </w:rPr>
        <w:t>Parameter</w:t>
      </w:r>
      <w:r>
        <w:rPr>
          <w:rFonts w:cs="Arial"/>
          <w:b/>
          <w:bCs/>
        </w:rPr>
        <w:tab/>
        <w:t>Analyseverfahren</w:t>
      </w:r>
      <w:r>
        <w:rPr>
          <w:rFonts w:cs="Arial"/>
          <w:b/>
          <w:bCs/>
        </w:rPr>
        <w:tab/>
        <w:t>Ausgabedatum</w:t>
      </w:r>
      <w:r>
        <w:rPr>
          <w:rFonts w:cs="Arial"/>
          <w:b/>
          <w:bCs/>
        </w:rPr>
        <w:tab/>
        <w:t>Untere Anwendungsgrenze</w:t>
      </w:r>
    </w:p>
    <w:p>
      <w:pPr>
        <w:pStyle w:val="GesAbsatz"/>
        <w:tabs>
          <w:tab w:val="left" w:pos="2977"/>
          <w:tab w:val="left" w:pos="5387"/>
          <w:tab w:val="left" w:pos="6946"/>
        </w:tabs>
        <w:rPr>
          <w:rFonts w:cs="Arial"/>
        </w:rPr>
      </w:pPr>
      <w:r>
        <w:rPr>
          <w:rFonts w:cs="Arial"/>
        </w:rPr>
        <w:t>Färbung</w:t>
      </w:r>
      <w:r>
        <w:rPr>
          <w:rFonts w:cs="Arial"/>
        </w:rPr>
        <w:tab/>
        <w:t>DIN 38404-C1-2</w:t>
      </w:r>
      <w:r>
        <w:rPr>
          <w:rFonts w:cs="Arial"/>
        </w:rPr>
        <w:tab/>
        <w:t>6.1992</w:t>
      </w:r>
    </w:p>
    <w:p>
      <w:pPr>
        <w:pStyle w:val="GesAbsatz"/>
        <w:tabs>
          <w:tab w:val="left" w:pos="2977"/>
          <w:tab w:val="left" w:pos="5387"/>
          <w:tab w:val="left" w:pos="6946"/>
        </w:tabs>
        <w:rPr>
          <w:rFonts w:cs="Arial"/>
        </w:rPr>
      </w:pPr>
      <w:r>
        <w:rPr>
          <w:rFonts w:cs="Arial"/>
        </w:rPr>
        <w:t>Trübung</w:t>
      </w:r>
      <w:r>
        <w:rPr>
          <w:rFonts w:cs="Arial"/>
        </w:rPr>
        <w:tab/>
        <w:t>DIN 38404-C2</w:t>
      </w:r>
      <w:r>
        <w:rPr>
          <w:rFonts w:cs="Arial"/>
        </w:rPr>
        <w:tab/>
        <w:t>10.1990</w:t>
      </w:r>
    </w:p>
    <w:p>
      <w:pPr>
        <w:pStyle w:val="GesAbsatz"/>
        <w:tabs>
          <w:tab w:val="left" w:pos="2977"/>
          <w:tab w:val="left" w:pos="5387"/>
          <w:tab w:val="left" w:pos="6946"/>
        </w:tabs>
        <w:rPr>
          <w:rFonts w:cs="Arial"/>
        </w:rPr>
      </w:pPr>
      <w:r>
        <w:rPr>
          <w:rFonts w:cs="Arial"/>
        </w:rPr>
        <w:t>pH-Wert</w:t>
      </w:r>
      <w:r>
        <w:rPr>
          <w:rFonts w:cs="Arial"/>
        </w:rPr>
        <w:tab/>
        <w:t>DIN 38404-C5</w:t>
      </w:r>
      <w:r>
        <w:rPr>
          <w:rFonts w:cs="Arial"/>
        </w:rPr>
        <w:tab/>
        <w:t>1.1984</w:t>
      </w:r>
    </w:p>
    <w:p>
      <w:pPr>
        <w:pStyle w:val="GesAbsatz"/>
        <w:tabs>
          <w:tab w:val="left" w:pos="2977"/>
          <w:tab w:val="left" w:pos="5387"/>
          <w:tab w:val="left" w:pos="6946"/>
        </w:tabs>
        <w:rPr>
          <w:rFonts w:cs="Arial"/>
        </w:rPr>
      </w:pPr>
      <w:r>
        <w:rPr>
          <w:rFonts w:cs="Arial"/>
        </w:rPr>
        <w:tab/>
      </w:r>
      <w:r>
        <w:rPr>
          <w:rFonts w:cs="Arial"/>
        </w:rPr>
        <w:tab/>
        <w:t>DIN 19684-Teil 1</w:t>
      </w:r>
      <w:r>
        <w:rPr>
          <w:rFonts w:cs="Arial"/>
        </w:rPr>
        <w:tab/>
        <w:t>2.1977</w:t>
      </w:r>
    </w:p>
    <w:p>
      <w:pPr>
        <w:pStyle w:val="GesAbsatz"/>
        <w:tabs>
          <w:tab w:val="left" w:pos="2977"/>
          <w:tab w:val="left" w:pos="5387"/>
          <w:tab w:val="left" w:pos="6946"/>
        </w:tabs>
        <w:rPr>
          <w:rFonts w:cs="Arial"/>
        </w:rPr>
      </w:pPr>
      <w:r>
        <w:rPr>
          <w:rFonts w:cs="Arial"/>
        </w:rPr>
        <w:t>Elektrische Leitfähigkeit</w:t>
      </w:r>
      <w:r>
        <w:rPr>
          <w:rFonts w:cs="Arial"/>
        </w:rPr>
        <w:tab/>
        <w:t>DIN EN 27888</w:t>
      </w:r>
      <w:r>
        <w:rPr>
          <w:rFonts w:cs="Arial"/>
        </w:rPr>
        <w:tab/>
        <w:t>11.1993</w:t>
      </w:r>
    </w:p>
    <w:p>
      <w:pPr>
        <w:pStyle w:val="GesAbsatz"/>
        <w:tabs>
          <w:tab w:val="left" w:pos="2977"/>
          <w:tab w:val="left" w:pos="5387"/>
          <w:tab w:val="left" w:pos="7938"/>
        </w:tabs>
        <w:jc w:val="left"/>
        <w:rPr>
          <w:rFonts w:cs="Arial"/>
        </w:rPr>
      </w:pPr>
      <w:r>
        <w:rPr>
          <w:rFonts w:cs="Arial"/>
        </w:rPr>
        <w:t>Gelöster organisch ge-</w:t>
      </w:r>
      <w:r>
        <w:rPr>
          <w:rFonts w:cs="Arial"/>
        </w:rPr>
        <w:br/>
        <w:t>bundener Kohlenstoff (DOC)</w:t>
      </w:r>
      <w:r>
        <w:rPr>
          <w:rFonts w:cs="Arial"/>
        </w:rPr>
        <w:tab/>
        <w:t>DIN38409-H3-1</w:t>
      </w:r>
      <w:r>
        <w:rPr>
          <w:rFonts w:cs="Arial"/>
        </w:rPr>
        <w:tab/>
        <w:t>6.1983</w:t>
      </w:r>
      <w:r>
        <w:rPr>
          <w:rFonts w:cs="Arial"/>
        </w:rPr>
        <w:tab/>
        <w:t>0,1 mg/l</w:t>
      </w:r>
    </w:p>
    <w:p>
      <w:pPr>
        <w:pStyle w:val="GesAbsatz"/>
        <w:tabs>
          <w:tab w:val="left" w:pos="2977"/>
          <w:tab w:val="left" w:pos="5387"/>
          <w:tab w:val="left" w:pos="7938"/>
        </w:tabs>
        <w:rPr>
          <w:rFonts w:cs="Arial"/>
          <w:lang w:val="en-GB"/>
        </w:rPr>
      </w:pPr>
      <w:r>
        <w:rPr>
          <w:rFonts w:cs="Arial"/>
          <w:lang w:val="en-GB"/>
        </w:rPr>
        <w:t>Chlorid</w:t>
      </w:r>
      <w:r>
        <w:rPr>
          <w:rFonts w:cs="Arial"/>
          <w:lang w:val="en-GB"/>
        </w:rPr>
        <w:tab/>
        <w:t>DIN 38405-D1-2</w:t>
      </w:r>
      <w:r>
        <w:rPr>
          <w:rFonts w:cs="Arial"/>
          <w:lang w:val="en-GB"/>
        </w:rPr>
        <w:tab/>
        <w:t>12.1985</w:t>
      </w:r>
      <w:r>
        <w:rPr>
          <w:rFonts w:cs="Arial"/>
          <w:lang w:val="en-GB"/>
        </w:rPr>
        <w:tab/>
        <w:t>7,0 mg/l</w:t>
      </w:r>
    </w:p>
    <w:p>
      <w:pPr>
        <w:pStyle w:val="GesAbsatz"/>
        <w:tabs>
          <w:tab w:val="left" w:pos="2977"/>
          <w:tab w:val="left" w:pos="5387"/>
          <w:tab w:val="left" w:pos="7938"/>
        </w:tabs>
        <w:rPr>
          <w:rFonts w:cs="Arial"/>
        </w:rPr>
      </w:pPr>
      <w:r>
        <w:rPr>
          <w:rFonts w:cs="Arial"/>
          <w:lang w:val="en-GB"/>
        </w:rPr>
        <w:tab/>
      </w:r>
      <w:r>
        <w:rPr>
          <w:rFonts w:cs="Arial"/>
          <w:lang w:val="en-GB"/>
        </w:rPr>
        <w:tab/>
      </w:r>
      <w:r>
        <w:rPr>
          <w:rFonts w:cs="Arial"/>
        </w:rPr>
        <w:t>DIN 38405-D1-3</w:t>
      </w:r>
      <w:r>
        <w:rPr>
          <w:rFonts w:cs="Arial"/>
        </w:rPr>
        <w:tab/>
        <w:t>12.1985</w:t>
      </w:r>
      <w:r>
        <w:rPr>
          <w:rFonts w:cs="Arial"/>
        </w:rPr>
        <w:tab/>
        <w:t>10,0 mg/l</w:t>
      </w:r>
    </w:p>
    <w:p>
      <w:pPr>
        <w:pStyle w:val="GesAbsatz"/>
        <w:tabs>
          <w:tab w:val="left" w:pos="2977"/>
          <w:tab w:val="left" w:pos="5387"/>
          <w:tab w:val="left" w:pos="7938"/>
        </w:tabs>
        <w:rPr>
          <w:rFonts w:cs="Arial"/>
        </w:rPr>
      </w:pPr>
      <w:r>
        <w:rPr>
          <w:rFonts w:cs="Arial"/>
        </w:rPr>
        <w:tab/>
      </w:r>
      <w:r>
        <w:rPr>
          <w:rFonts w:cs="Arial"/>
        </w:rPr>
        <w:tab/>
        <w:t>DIN 38405-D20</w:t>
      </w:r>
      <w:r>
        <w:rPr>
          <w:rFonts w:cs="Arial"/>
        </w:rPr>
        <w:tab/>
        <w:t>9.1991</w:t>
      </w:r>
      <w:r>
        <w:rPr>
          <w:rFonts w:cs="Arial"/>
        </w:rPr>
        <w:tab/>
        <w:t>0,1 mg/l</w:t>
      </w:r>
    </w:p>
    <w:p>
      <w:pPr>
        <w:pStyle w:val="GesAbsatz"/>
        <w:tabs>
          <w:tab w:val="left" w:pos="2977"/>
          <w:tab w:val="left" w:pos="5387"/>
          <w:tab w:val="left" w:pos="7938"/>
        </w:tabs>
        <w:rPr>
          <w:rFonts w:cs="Arial"/>
        </w:rPr>
      </w:pPr>
      <w:r>
        <w:rPr>
          <w:rFonts w:cs="Arial"/>
        </w:rPr>
        <w:t>Sulfat</w:t>
      </w:r>
      <w:r>
        <w:rPr>
          <w:rFonts w:cs="Arial"/>
        </w:rPr>
        <w:tab/>
        <w:t>DIN 38405-D5-1</w:t>
      </w:r>
      <w:r>
        <w:rPr>
          <w:rFonts w:cs="Arial"/>
        </w:rPr>
        <w:tab/>
        <w:t>1.1985</w:t>
      </w:r>
      <w:r>
        <w:rPr>
          <w:rFonts w:cs="Arial"/>
        </w:rPr>
        <w:tab/>
        <w:t>20,0 mg/l</w:t>
      </w:r>
    </w:p>
    <w:p>
      <w:pPr>
        <w:pStyle w:val="GesAbsatz"/>
        <w:tabs>
          <w:tab w:val="left" w:pos="2977"/>
          <w:tab w:val="left" w:pos="5387"/>
          <w:tab w:val="left" w:pos="7938"/>
        </w:tabs>
        <w:rPr>
          <w:rFonts w:cs="Arial"/>
        </w:rPr>
      </w:pPr>
      <w:r>
        <w:rPr>
          <w:rFonts w:cs="Arial"/>
        </w:rPr>
        <w:tab/>
      </w:r>
      <w:r>
        <w:rPr>
          <w:rFonts w:cs="Arial"/>
        </w:rPr>
        <w:tab/>
        <w:t>DIN 38405-D20</w:t>
      </w:r>
      <w:r>
        <w:rPr>
          <w:rFonts w:cs="Arial"/>
        </w:rPr>
        <w:tab/>
        <w:t>9.1991</w:t>
      </w:r>
      <w:r>
        <w:rPr>
          <w:rFonts w:cs="Arial"/>
        </w:rPr>
        <w:tab/>
        <w:t>0,1 mg/l</w:t>
      </w:r>
    </w:p>
    <w:p>
      <w:pPr>
        <w:pStyle w:val="GesAbsatz"/>
        <w:tabs>
          <w:tab w:val="left" w:pos="2977"/>
          <w:tab w:val="left" w:pos="5103"/>
          <w:tab w:val="left" w:pos="6946"/>
        </w:tabs>
        <w:rPr>
          <w:rFonts w:cs="Arial"/>
          <w:b/>
          <w:bCs/>
        </w:rPr>
      </w:pPr>
      <w:r>
        <w:rPr>
          <w:rFonts w:cs="Arial"/>
          <w:b/>
          <w:bCs/>
        </w:rPr>
        <w:br w:type="page"/>
      </w:r>
    </w:p>
    <w:p>
      <w:pPr>
        <w:pStyle w:val="GesAbsatz"/>
        <w:pBdr>
          <w:bottom w:val="single" w:sz="4" w:space="1" w:color="auto"/>
        </w:pBdr>
        <w:tabs>
          <w:tab w:val="left" w:pos="2977"/>
          <w:tab w:val="left" w:pos="5103"/>
          <w:tab w:val="left" w:pos="6946"/>
        </w:tabs>
        <w:rPr>
          <w:rFonts w:cs="Arial"/>
          <w:b/>
          <w:bCs/>
        </w:rPr>
      </w:pPr>
      <w:r>
        <w:rPr>
          <w:rFonts w:cs="Arial"/>
          <w:b/>
          <w:bCs/>
        </w:rPr>
        <w:lastRenderedPageBreak/>
        <w:t>Parameter</w:t>
      </w:r>
      <w:r>
        <w:rPr>
          <w:rFonts w:cs="Arial"/>
          <w:b/>
          <w:bCs/>
        </w:rPr>
        <w:tab/>
        <w:t>Analyseverfahren</w:t>
      </w:r>
      <w:r>
        <w:rPr>
          <w:rFonts w:cs="Arial"/>
          <w:b/>
          <w:bCs/>
        </w:rPr>
        <w:tab/>
        <w:t>Ausgabedatum</w:t>
      </w:r>
      <w:r>
        <w:rPr>
          <w:rFonts w:cs="Arial"/>
          <w:b/>
          <w:bCs/>
        </w:rPr>
        <w:tab/>
        <w:t>Untere Anwendungsgrenze</w:t>
      </w:r>
    </w:p>
    <w:p>
      <w:pPr>
        <w:pStyle w:val="GesAbsatz"/>
        <w:tabs>
          <w:tab w:val="left" w:pos="2977"/>
          <w:tab w:val="left" w:pos="5387"/>
          <w:tab w:val="left" w:pos="7938"/>
        </w:tabs>
        <w:rPr>
          <w:rFonts w:cs="Arial"/>
        </w:rPr>
      </w:pPr>
      <w:r>
        <w:rPr>
          <w:rFonts w:cs="Arial"/>
        </w:rPr>
        <w:t>Cyanid, leicht freisetzbar</w:t>
      </w:r>
      <w:r>
        <w:rPr>
          <w:rStyle w:val="Funotenzeichen"/>
          <w:rFonts w:cs="Arial"/>
        </w:rPr>
        <w:footnoteReference w:id="2"/>
      </w:r>
      <w:r>
        <w:rPr>
          <w:rFonts w:cs="Arial"/>
          <w:szCs w:val="13"/>
        </w:rPr>
        <w:t>1</w:t>
      </w:r>
      <w:r>
        <w:rPr>
          <w:rFonts w:cs="Arial"/>
          <w:szCs w:val="13"/>
        </w:rPr>
        <w:tab/>
      </w:r>
      <w:r>
        <w:rPr>
          <w:rFonts w:cs="Arial"/>
        </w:rPr>
        <w:t>DIN 38405-D13-2-3</w:t>
      </w:r>
      <w:r>
        <w:rPr>
          <w:rFonts w:cs="Arial"/>
        </w:rPr>
        <w:tab/>
        <w:t>2.1981</w:t>
      </w:r>
    </w:p>
    <w:p>
      <w:pPr>
        <w:pStyle w:val="GesAbsatz"/>
        <w:tabs>
          <w:tab w:val="left" w:pos="2977"/>
          <w:tab w:val="left" w:pos="5387"/>
          <w:tab w:val="left" w:pos="7938"/>
        </w:tabs>
        <w:rPr>
          <w:rFonts w:cs="Arial"/>
        </w:rPr>
      </w:pPr>
      <w:r>
        <w:rPr>
          <w:rFonts w:cs="Arial"/>
        </w:rPr>
        <w:tab/>
      </w:r>
      <w:r>
        <w:rPr>
          <w:rFonts w:cs="Arial"/>
        </w:rPr>
        <w:tab/>
        <w:t>DIN 38405-D14-2</w:t>
      </w:r>
      <w:r>
        <w:rPr>
          <w:rFonts w:cs="Arial"/>
        </w:rPr>
        <w:tab/>
        <w:t>12.1988</w:t>
      </w:r>
    </w:p>
    <w:p>
      <w:pPr>
        <w:pStyle w:val="GesAbsatz"/>
        <w:tabs>
          <w:tab w:val="left" w:pos="2977"/>
          <w:tab w:val="left" w:pos="5387"/>
          <w:tab w:val="left" w:pos="7938"/>
        </w:tabs>
        <w:rPr>
          <w:rFonts w:cs="Arial"/>
        </w:rPr>
      </w:pPr>
      <w:r>
        <w:rPr>
          <w:rFonts w:cs="Arial"/>
        </w:rPr>
        <w:t>Arsen</w:t>
      </w:r>
      <w:r>
        <w:rPr>
          <w:rFonts w:cs="Arial"/>
        </w:rPr>
        <w:tab/>
        <w:t>DIN 38405-D18</w:t>
      </w:r>
      <w:r>
        <w:rPr>
          <w:rFonts w:cs="Arial"/>
        </w:rPr>
        <w:tab/>
        <w:t>9.1985</w:t>
      </w:r>
      <w:r>
        <w:rPr>
          <w:rFonts w:cs="Arial"/>
        </w:rPr>
        <w:tab/>
        <w:t>0,001 mg/l</w:t>
      </w:r>
    </w:p>
    <w:p>
      <w:pPr>
        <w:pStyle w:val="GesAbsatz"/>
        <w:tabs>
          <w:tab w:val="clear" w:pos="425"/>
          <w:tab w:val="left" w:pos="2977"/>
          <w:tab w:val="left" w:pos="5387"/>
          <w:tab w:val="left" w:pos="7938"/>
        </w:tabs>
        <w:ind w:left="2"/>
        <w:rPr>
          <w:rFonts w:cs="Arial"/>
        </w:rPr>
      </w:pPr>
      <w:r>
        <w:rPr>
          <w:rFonts w:cs="Arial"/>
        </w:rPr>
        <w:t>Cadmium</w:t>
      </w:r>
      <w:r>
        <w:rPr>
          <w:rFonts w:cs="Arial"/>
        </w:rPr>
        <w:tab/>
        <w:t>DIN V 38406-E19-2</w:t>
      </w:r>
    </w:p>
    <w:p>
      <w:pPr>
        <w:pStyle w:val="GesAbsatz"/>
        <w:tabs>
          <w:tab w:val="clear" w:pos="425"/>
          <w:tab w:val="left" w:pos="2977"/>
          <w:tab w:val="left" w:pos="5387"/>
          <w:tab w:val="left" w:pos="7938"/>
        </w:tabs>
        <w:ind w:left="2"/>
        <w:rPr>
          <w:rFonts w:cs="Arial"/>
        </w:rPr>
      </w:pPr>
      <w:r>
        <w:rPr>
          <w:rFonts w:cs="Arial"/>
        </w:rPr>
        <w:tab/>
        <w:t>Vornorm</w:t>
      </w:r>
      <w:r>
        <w:rPr>
          <w:rFonts w:cs="Arial"/>
        </w:rPr>
        <w:tab/>
        <w:t>7.1993</w:t>
      </w:r>
      <w:r>
        <w:rPr>
          <w:rFonts w:cs="Arial"/>
        </w:rPr>
        <w:tab/>
        <w:t>0,0003 mg/l</w:t>
      </w:r>
    </w:p>
    <w:p>
      <w:pPr>
        <w:pStyle w:val="GesAbsatz"/>
        <w:tabs>
          <w:tab w:val="left" w:pos="2977"/>
          <w:tab w:val="left" w:pos="5387"/>
          <w:tab w:val="left" w:pos="7938"/>
        </w:tabs>
        <w:rPr>
          <w:rFonts w:cs="Arial"/>
        </w:rPr>
      </w:pPr>
      <w:r>
        <w:rPr>
          <w:rFonts w:cs="Arial"/>
        </w:rPr>
        <w:t>Chrom</w:t>
      </w:r>
      <w:r>
        <w:rPr>
          <w:rFonts w:cs="Arial"/>
        </w:rPr>
        <w:tab/>
        <w:t>DIN 38406-E10-2</w:t>
      </w:r>
      <w:r>
        <w:rPr>
          <w:rFonts w:cs="Arial"/>
        </w:rPr>
        <w:tab/>
        <w:t>6.1985</w:t>
      </w:r>
      <w:r>
        <w:rPr>
          <w:rFonts w:cs="Arial"/>
        </w:rPr>
        <w:tab/>
        <w:t>0,005 mg/l</w:t>
      </w:r>
    </w:p>
    <w:p>
      <w:pPr>
        <w:pStyle w:val="GesAbsatz"/>
        <w:tabs>
          <w:tab w:val="left" w:pos="2977"/>
          <w:tab w:val="left" w:pos="5387"/>
          <w:tab w:val="left" w:pos="7938"/>
        </w:tabs>
        <w:rPr>
          <w:rFonts w:cs="Arial"/>
          <w:lang w:val="it-IT"/>
        </w:rPr>
      </w:pPr>
      <w:r>
        <w:rPr>
          <w:rFonts w:cs="Arial"/>
        </w:rPr>
        <w:tab/>
      </w:r>
      <w:r>
        <w:rPr>
          <w:rFonts w:cs="Arial"/>
        </w:rPr>
        <w:tab/>
      </w:r>
      <w:r>
        <w:rPr>
          <w:rFonts w:cs="Arial"/>
          <w:lang w:val="it-IT"/>
        </w:rPr>
        <w:t>DIN 38406-E22</w:t>
      </w:r>
      <w:r>
        <w:rPr>
          <w:rFonts w:cs="Arial"/>
          <w:lang w:val="it-IT"/>
        </w:rPr>
        <w:tab/>
        <w:t>3.1988</w:t>
      </w:r>
      <w:r>
        <w:rPr>
          <w:rFonts w:cs="Arial"/>
          <w:lang w:val="it-IT"/>
        </w:rPr>
        <w:tab/>
        <w:t>0,010 mg/l</w:t>
      </w:r>
    </w:p>
    <w:p>
      <w:pPr>
        <w:pStyle w:val="GesAbsatz"/>
        <w:tabs>
          <w:tab w:val="left" w:pos="2977"/>
          <w:tab w:val="left" w:pos="5387"/>
          <w:tab w:val="left" w:pos="7938"/>
        </w:tabs>
        <w:rPr>
          <w:rFonts w:cs="Arial"/>
        </w:rPr>
      </w:pPr>
      <w:r>
        <w:rPr>
          <w:rFonts w:cs="Arial"/>
        </w:rPr>
        <w:t>Kupfer</w:t>
      </w:r>
      <w:r>
        <w:rPr>
          <w:rFonts w:cs="Arial"/>
        </w:rPr>
        <w:tab/>
        <w:t>DIN 38406-E7-2</w:t>
      </w:r>
      <w:r>
        <w:rPr>
          <w:rFonts w:cs="Arial"/>
        </w:rPr>
        <w:tab/>
        <w:t>9.1991</w:t>
      </w:r>
      <w:r>
        <w:rPr>
          <w:rFonts w:cs="Arial"/>
        </w:rPr>
        <w:tab/>
        <w:t>0,002 mg/l</w:t>
      </w:r>
    </w:p>
    <w:p>
      <w:pPr>
        <w:pStyle w:val="GesAbsatz"/>
        <w:tabs>
          <w:tab w:val="left" w:pos="2977"/>
          <w:tab w:val="left" w:pos="5387"/>
          <w:tab w:val="left" w:pos="7938"/>
        </w:tabs>
        <w:rPr>
          <w:rFonts w:cs="Arial"/>
          <w:lang w:val="it-IT"/>
        </w:rPr>
      </w:pPr>
      <w:r>
        <w:rPr>
          <w:rFonts w:cs="Arial"/>
        </w:rPr>
        <w:tab/>
      </w:r>
      <w:r>
        <w:rPr>
          <w:rFonts w:cs="Arial"/>
        </w:rPr>
        <w:tab/>
      </w:r>
      <w:r>
        <w:rPr>
          <w:rFonts w:cs="Arial"/>
          <w:lang w:val="it-IT"/>
        </w:rPr>
        <w:t>DIN 38406-E22</w:t>
      </w:r>
      <w:r>
        <w:rPr>
          <w:rFonts w:cs="Arial"/>
          <w:lang w:val="it-IT"/>
        </w:rPr>
        <w:tab/>
        <w:t>3.1983</w:t>
      </w:r>
      <w:r>
        <w:rPr>
          <w:rFonts w:cs="Arial"/>
          <w:lang w:val="it-IT"/>
        </w:rPr>
        <w:tab/>
        <w:t>0,010 mg/l</w:t>
      </w:r>
    </w:p>
    <w:p>
      <w:pPr>
        <w:pStyle w:val="GesAbsatz"/>
        <w:tabs>
          <w:tab w:val="left" w:pos="2977"/>
          <w:tab w:val="left" w:pos="5387"/>
          <w:tab w:val="left" w:pos="7938"/>
        </w:tabs>
        <w:rPr>
          <w:rFonts w:cs="Arial"/>
        </w:rPr>
      </w:pPr>
      <w:r>
        <w:rPr>
          <w:rFonts w:cs="Arial"/>
        </w:rPr>
        <w:t>Quecksilber</w:t>
      </w:r>
      <w:r>
        <w:rPr>
          <w:rFonts w:cs="Arial"/>
        </w:rPr>
        <w:tab/>
        <w:t>DEV E12-3</w:t>
      </w:r>
      <w:r>
        <w:rPr>
          <w:rFonts w:cs="Arial"/>
        </w:rPr>
        <w:tab/>
        <w:t>Vorschlag für DEV</w:t>
      </w:r>
    </w:p>
    <w:p>
      <w:pPr>
        <w:pStyle w:val="GesAbsatz"/>
        <w:tabs>
          <w:tab w:val="left" w:pos="2977"/>
          <w:tab w:val="left" w:pos="5387"/>
          <w:tab w:val="left" w:pos="7938"/>
        </w:tabs>
        <w:rPr>
          <w:rFonts w:cs="Arial"/>
        </w:rPr>
      </w:pPr>
      <w:r>
        <w:rPr>
          <w:rFonts w:cs="Arial"/>
        </w:rPr>
        <w:tab/>
      </w:r>
      <w:r>
        <w:rPr>
          <w:rFonts w:cs="Arial"/>
        </w:rPr>
        <w:tab/>
      </w:r>
      <w:r>
        <w:rPr>
          <w:rFonts w:cs="Arial"/>
        </w:rPr>
        <w:tab/>
        <w:t>24. Lfg.1991</w:t>
      </w:r>
      <w:r>
        <w:rPr>
          <w:rFonts w:cs="Arial"/>
        </w:rPr>
        <w:tab/>
        <w:t>0,00001 mg/l</w:t>
      </w:r>
    </w:p>
    <w:p>
      <w:pPr>
        <w:pStyle w:val="GesAbsatz"/>
        <w:tabs>
          <w:tab w:val="left" w:pos="2977"/>
          <w:tab w:val="left" w:pos="5387"/>
          <w:tab w:val="left" w:pos="7938"/>
        </w:tabs>
        <w:rPr>
          <w:rFonts w:cs="Arial"/>
        </w:rPr>
      </w:pPr>
      <w:r>
        <w:rPr>
          <w:rFonts w:cs="Arial"/>
        </w:rPr>
        <w:t>Nickel</w:t>
      </w:r>
      <w:r>
        <w:rPr>
          <w:rFonts w:cs="Arial"/>
        </w:rPr>
        <w:tab/>
        <w:t>DIN 38406-E11-2</w:t>
      </w:r>
      <w:r>
        <w:rPr>
          <w:rFonts w:cs="Arial"/>
        </w:rPr>
        <w:tab/>
        <w:t>9.1981</w:t>
      </w:r>
      <w:r>
        <w:rPr>
          <w:rFonts w:cs="Arial"/>
        </w:rPr>
        <w:tab/>
        <w:t>0,005 mg/l</w:t>
      </w:r>
    </w:p>
    <w:p>
      <w:pPr>
        <w:pStyle w:val="GesAbsatz"/>
        <w:tabs>
          <w:tab w:val="left" w:pos="2977"/>
          <w:tab w:val="left" w:pos="5387"/>
          <w:tab w:val="left" w:pos="7938"/>
        </w:tabs>
        <w:rPr>
          <w:rFonts w:cs="Arial"/>
        </w:rPr>
      </w:pPr>
      <w:r>
        <w:rPr>
          <w:rFonts w:cs="Arial"/>
        </w:rPr>
        <w:t>Blei</w:t>
      </w:r>
      <w:r>
        <w:rPr>
          <w:rFonts w:cs="Arial"/>
        </w:rPr>
        <w:tab/>
      </w:r>
      <w:r>
        <w:rPr>
          <w:rFonts w:cs="Arial"/>
        </w:rPr>
        <w:tab/>
        <w:t>DIN 38406-E6-3</w:t>
      </w:r>
      <w:r>
        <w:rPr>
          <w:rFonts w:cs="Arial"/>
        </w:rPr>
        <w:tab/>
        <w:t>5.1981</w:t>
      </w:r>
      <w:r>
        <w:rPr>
          <w:rFonts w:cs="Arial"/>
        </w:rPr>
        <w:tab/>
        <w:t>0,005 mg/l</w:t>
      </w:r>
    </w:p>
    <w:p>
      <w:pPr>
        <w:pStyle w:val="GesAbsatz"/>
        <w:tabs>
          <w:tab w:val="left" w:pos="2977"/>
          <w:tab w:val="left" w:pos="5387"/>
          <w:tab w:val="left" w:pos="7938"/>
        </w:tabs>
        <w:rPr>
          <w:rFonts w:cs="Arial"/>
        </w:rPr>
      </w:pPr>
      <w:r>
        <w:rPr>
          <w:rFonts w:cs="Arial"/>
        </w:rPr>
        <w:t>Zink</w:t>
      </w:r>
      <w:r>
        <w:rPr>
          <w:rFonts w:cs="Arial"/>
        </w:rPr>
        <w:tab/>
      </w:r>
      <w:r>
        <w:rPr>
          <w:rFonts w:cs="Arial"/>
        </w:rPr>
        <w:tab/>
        <w:t>DIN 38406-E8-1</w:t>
      </w:r>
      <w:r>
        <w:rPr>
          <w:rFonts w:cs="Arial"/>
        </w:rPr>
        <w:tab/>
        <w:t>10.1980</w:t>
      </w:r>
      <w:r>
        <w:rPr>
          <w:rFonts w:cs="Arial"/>
        </w:rPr>
        <w:tab/>
        <w:t>0,050 mg/l</w:t>
      </w:r>
    </w:p>
    <w:p>
      <w:pPr>
        <w:pStyle w:val="GesAbsatz"/>
        <w:tabs>
          <w:tab w:val="left" w:pos="2977"/>
          <w:tab w:val="left" w:pos="5387"/>
          <w:tab w:val="left" w:pos="7938"/>
        </w:tabs>
        <w:rPr>
          <w:rFonts w:cs="Arial"/>
        </w:rPr>
      </w:pPr>
      <w:r>
        <w:rPr>
          <w:rFonts w:cs="Arial"/>
        </w:rPr>
        <w:tab/>
      </w:r>
      <w:r>
        <w:rPr>
          <w:rFonts w:cs="Arial"/>
        </w:rPr>
        <w:tab/>
        <w:t>DIN 38406-E22</w:t>
      </w:r>
      <w:r>
        <w:rPr>
          <w:rFonts w:cs="Arial"/>
        </w:rPr>
        <w:tab/>
        <w:t>3.1988</w:t>
      </w:r>
      <w:r>
        <w:rPr>
          <w:rFonts w:cs="Arial"/>
        </w:rPr>
        <w:tab/>
        <w:t>0,010 mg/l</w:t>
      </w:r>
    </w:p>
    <w:p>
      <w:pPr>
        <w:pStyle w:val="berschrift3"/>
        <w:jc w:val="left"/>
      </w:pPr>
      <w:bookmarkStart w:id="15" w:name="_Toc44306481"/>
      <w:r>
        <w:t>Anhang 3</w:t>
      </w:r>
      <w:bookmarkEnd w:id="15"/>
    </w:p>
    <w:p>
      <w:pPr>
        <w:pStyle w:val="GesAbsatz"/>
        <w:rPr>
          <w:rFonts w:cs="Arial"/>
          <w:b/>
          <w:bCs/>
        </w:rPr>
      </w:pPr>
      <w:r>
        <w:rPr>
          <w:rFonts w:cs="Arial"/>
          <w:b/>
          <w:bCs/>
        </w:rPr>
        <w:t>Probenahme und Analytik</w:t>
      </w:r>
    </w:p>
    <w:p>
      <w:pPr>
        <w:pStyle w:val="GesAbsatz"/>
        <w:rPr>
          <w:rFonts w:cs="Arial"/>
          <w:b/>
          <w:bCs/>
        </w:rPr>
      </w:pPr>
      <w:r>
        <w:rPr>
          <w:rFonts w:cs="Arial"/>
          <w:b/>
          <w:bCs/>
        </w:rPr>
        <w:t>1 Allgemeine Grundsätze</w:t>
      </w:r>
    </w:p>
    <w:p>
      <w:pPr>
        <w:pStyle w:val="GesAbsatz"/>
        <w:rPr>
          <w:rFonts w:cs="Arial"/>
        </w:rPr>
      </w:pPr>
      <w:r>
        <w:rPr>
          <w:rFonts w:cs="Arial"/>
        </w:rPr>
        <w:t>Die Anleitung gibt Vorgaben, wie bei der Probenahme, der Probenbehandlung, der Analytik und der Beurteilung der Analyseergebnisse im Einzelnen verfahren werden soll.</w:t>
      </w:r>
    </w:p>
    <w:p>
      <w:pPr>
        <w:pStyle w:val="GesAbsatz"/>
        <w:rPr>
          <w:rFonts w:cs="Arial"/>
        </w:rPr>
      </w:pPr>
      <w:r>
        <w:rPr>
          <w:rFonts w:cs="Arial"/>
        </w:rPr>
        <w:t>Dabei sind zwei verschiedene Ebenen zu unterscheiden:</w:t>
      </w:r>
    </w:p>
    <w:p>
      <w:pPr>
        <w:pStyle w:val="GesAbsatz"/>
        <w:ind w:left="426" w:hanging="426"/>
        <w:rPr>
          <w:rFonts w:cs="Arial"/>
        </w:rPr>
      </w:pPr>
      <w:r>
        <w:rPr>
          <w:rFonts w:cs="Arial"/>
        </w:rPr>
        <w:t>–</w:t>
      </w:r>
      <w:r>
        <w:rPr>
          <w:rFonts w:cs="Arial"/>
        </w:rPr>
        <w:tab/>
        <w:t>Probenahme des zu verwertenden Materials am Entstehungsort (Verbrennungs-, Aufbereitungsanlage)</w:t>
      </w:r>
    </w:p>
    <w:p>
      <w:pPr>
        <w:pStyle w:val="GesAbsatz"/>
        <w:ind w:left="426" w:hanging="426"/>
        <w:rPr>
          <w:rFonts w:cs="Arial"/>
        </w:rPr>
      </w:pPr>
      <w:r>
        <w:rPr>
          <w:rFonts w:cs="Arial"/>
        </w:rPr>
        <w:t>–</w:t>
      </w:r>
      <w:r>
        <w:rPr>
          <w:rFonts w:cs="Arial"/>
        </w:rPr>
        <w:tab/>
        <w:t>Probenahme im Zusammenhang mit der Kontrolle des angelieferten oder eingebauten Materials am Ort der Verwertung.</w:t>
      </w:r>
    </w:p>
    <w:p>
      <w:pPr>
        <w:pStyle w:val="GesAbsatz"/>
        <w:rPr>
          <w:rFonts w:cs="Arial"/>
        </w:rPr>
      </w:pPr>
      <w:r>
        <w:rPr>
          <w:rFonts w:cs="Arial"/>
        </w:rPr>
        <w:t>Bei den durchzuführenden Untersuchungen sind die einschlägigen DlN-Normen sowie die im folgenden festgelegten Anforderungen an die Probenahme, Probenvorbereitung und Analytik zu beachten. Ihre Einhaltung ist die Grundlage für den Vergleich gemessener Stoffkonzentrationen mit den im Merkblatt festgesetzten Zuordnungswerten.</w:t>
      </w:r>
    </w:p>
    <w:p>
      <w:pPr>
        <w:pStyle w:val="GesAbsatz"/>
        <w:rPr>
          <w:rFonts w:cs="Arial"/>
        </w:rPr>
      </w:pPr>
      <w:r>
        <w:rPr>
          <w:rFonts w:cs="Arial"/>
        </w:rPr>
        <w:t>1.1 Probenahme</w:t>
      </w:r>
    </w:p>
    <w:p>
      <w:pPr>
        <w:pStyle w:val="GesAbsatz"/>
        <w:rPr>
          <w:rFonts w:cs="Arial"/>
        </w:rPr>
      </w:pPr>
      <w:r>
        <w:rPr>
          <w:rFonts w:cs="Arial"/>
        </w:rPr>
        <w:t>Die Probenahme ist so durchzuführen, dass das zu beurteilende Material repräsentativ erfaßt wird. Die verschiedenen Untersuchungsebenen erfordern allerdings ein differenziertes Vorgehen bei der Probenahme. Dies betrifft insbesondere die Anzahl der zu entnehmenden Proben und die Wahl des geeigneten Probenahmeverfahrens.</w:t>
      </w:r>
    </w:p>
    <w:p>
      <w:pPr>
        <w:pStyle w:val="GesAbsatz"/>
        <w:rPr>
          <w:rFonts w:cs="Arial"/>
        </w:rPr>
      </w:pPr>
      <w:r>
        <w:rPr>
          <w:rFonts w:cs="Arial"/>
        </w:rPr>
        <w:t>1.1.1 Probenahmegeräte</w:t>
      </w:r>
    </w:p>
    <w:p>
      <w:pPr>
        <w:pStyle w:val="GesAbsatz"/>
        <w:rPr>
          <w:rFonts w:cs="Arial"/>
        </w:rPr>
      </w:pPr>
      <w:r>
        <w:rPr>
          <w:rFonts w:cs="Arial"/>
        </w:rPr>
        <w:t>Bei der Auswahl des Probenahmegerätes ist darauf zu achten, dass die zu entnehmende Probe nicht durch Materialien der Geräte mit später zu untersuchenden Substanzen kontaminiert wird. Ebenso sollte das Material des Entnahmegerätes gegenüber den in den HMV-Schlacken befindlichen Substanzen und den zu untersuchenden Stoffen inert sein.</w:t>
      </w:r>
    </w:p>
    <w:p>
      <w:pPr>
        <w:pStyle w:val="GesAbsatz"/>
        <w:rPr>
          <w:rFonts w:cs="Arial"/>
        </w:rPr>
      </w:pPr>
      <w:r>
        <w:rPr>
          <w:rFonts w:cs="Arial"/>
        </w:rPr>
        <w:t>1.1.2 Probenahmeprotokoll</w:t>
      </w:r>
    </w:p>
    <w:p>
      <w:pPr>
        <w:pStyle w:val="GesAbsatz"/>
        <w:rPr>
          <w:rFonts w:cs="Arial"/>
        </w:rPr>
      </w:pPr>
      <w:r>
        <w:rPr>
          <w:rFonts w:cs="Arial"/>
        </w:rPr>
        <w:t>Verfahrensweisen und Ergebnisse der Probenahme sind in geeigneter Weise zu dokumentieren. Dazu ist ein Probenahmeprotokoll anzufertigen, dass mindestens die im Anhang 11 vorgegebenen Angaben enthält.</w:t>
      </w:r>
    </w:p>
    <w:p>
      <w:pPr>
        <w:pStyle w:val="GesAbsatz"/>
        <w:rPr>
          <w:rFonts w:cs="Arial"/>
        </w:rPr>
      </w:pPr>
      <w:r>
        <w:rPr>
          <w:rFonts w:cs="Arial"/>
        </w:rPr>
        <w:t>1.2 Probenbehandlung</w:t>
      </w:r>
    </w:p>
    <w:p>
      <w:pPr>
        <w:pStyle w:val="GesAbsatz"/>
        <w:rPr>
          <w:rFonts w:cs="Arial"/>
        </w:rPr>
      </w:pPr>
      <w:r>
        <w:rPr>
          <w:rFonts w:cs="Arial"/>
        </w:rPr>
        <w:t>1.2.1 Konservierung, Transport und Lagerung</w:t>
      </w:r>
    </w:p>
    <w:p>
      <w:pPr>
        <w:pStyle w:val="GesAbsatz"/>
        <w:rPr>
          <w:rFonts w:cs="Arial"/>
        </w:rPr>
      </w:pPr>
      <w:r>
        <w:rPr>
          <w:rFonts w:cs="Arial"/>
        </w:rPr>
        <w:lastRenderedPageBreak/>
        <w:t>Aufbewahrung von Proben vor Ort, während des Transports und im Labor sind Teilschritte der Untersuchung und daher bis ins Detail zu planen, mit großer Sorgfalt durchzuführen und zu dokumentieren.</w:t>
      </w:r>
    </w:p>
    <w:p>
      <w:pPr>
        <w:pStyle w:val="GesAbsatz"/>
        <w:rPr>
          <w:rFonts w:cs="Arial"/>
        </w:rPr>
      </w:pPr>
      <w:r>
        <w:rPr>
          <w:rFonts w:cs="Arial"/>
        </w:rPr>
        <w:t>Für Transport und Lagerung sind geeignete, dicht schließende Gefäße erforderlich. Sie sind vor dem Einsatz sehr sorgfältig zu reinigen. Die Behälter müssen so beschaffen sein, dass Beeinflussungen der Probe durch Bestandteile des Behältermaterials ausgeschlossen sind. In der Regel stellen Glasgefäße die geeignetsten Probebehälter dar. Soll sich die Analyse lediglich auf anorganische Inhaltsstoffe erstrecken, so können auch Behälter aus Kunststoff verwendet werden.</w:t>
      </w:r>
    </w:p>
    <w:p>
      <w:pPr>
        <w:pStyle w:val="GesAbsatz"/>
        <w:rPr>
          <w:rFonts w:cs="Arial"/>
        </w:rPr>
      </w:pPr>
      <w:r>
        <w:rPr>
          <w:rFonts w:cs="Arial"/>
        </w:rPr>
        <w:t>Für die Bestimmung leichtflüchtiger Komponenten sind die Einzelproben vor Ort bereits entsprechend der jeweiligen Analysemethoden zu behandeln.</w:t>
      </w:r>
    </w:p>
    <w:p>
      <w:pPr>
        <w:pStyle w:val="GesAbsatz"/>
        <w:rPr>
          <w:rFonts w:cs="Arial"/>
        </w:rPr>
      </w:pPr>
      <w:r>
        <w:rPr>
          <w:rFonts w:cs="Arial"/>
        </w:rPr>
        <w:t>Die Veränderung lichtempfindlicher Parameter ist durch Aufbewahrung in dunklen Gefäßen zu minimieren.</w:t>
      </w:r>
    </w:p>
    <w:p>
      <w:pPr>
        <w:pStyle w:val="GesAbsatz"/>
        <w:rPr>
          <w:rFonts w:cs="Arial"/>
        </w:rPr>
      </w:pPr>
      <w:r>
        <w:rPr>
          <w:rFonts w:cs="Arial"/>
        </w:rPr>
        <w:t>Das Probenmaterial ist sofort nach der Entnahme in die dafür vorgesehenen Gefäße zu überführen. Der Transport ins Labor soll gekühlt und dunkel erfolgen.</w:t>
      </w:r>
    </w:p>
    <w:p>
      <w:pPr>
        <w:pStyle w:val="GesAbsatz"/>
        <w:rPr>
          <w:rFonts w:cs="Arial"/>
        </w:rPr>
      </w:pPr>
      <w:r>
        <w:rPr>
          <w:rFonts w:cs="Arial"/>
        </w:rPr>
        <w:t>Die Proben sind im Labor umgehend zur Analyse vorzubereiten und auch zu untersuchen, da viele Inhaltsstoffe Umwandlungsprozessen unterworfen sind. Sofern eine sofortige Untersuchung nicht möglich ist, ist in Abhängigkeit von den zu untersuchenden Stoffen eine geeignete Aufbewahrungsform für die aufbereitete Probe zu wählen.</w:t>
      </w:r>
    </w:p>
    <w:p>
      <w:pPr>
        <w:pStyle w:val="GesAbsatz"/>
        <w:rPr>
          <w:rFonts w:cs="Arial"/>
        </w:rPr>
      </w:pPr>
      <w:r>
        <w:rPr>
          <w:rFonts w:cs="Arial"/>
        </w:rPr>
        <w:t>1.2.2 Gewinnung der Analyseprobe/Probenvorbereitung</w:t>
      </w:r>
    </w:p>
    <w:p>
      <w:pPr>
        <w:pStyle w:val="GesAbsatz"/>
        <w:rPr>
          <w:rFonts w:cs="Arial"/>
        </w:rPr>
      </w:pPr>
      <w:r>
        <w:rPr>
          <w:rFonts w:cs="Arial"/>
        </w:rPr>
        <w:t>Zur Probenvorbereitung gehören die Vorgänge des Mischens, Trocknens, Siebens und Zerkleinerns der Proben. Wie bei der Lagerung der Proben ist auch hier darauf zu achten, dass diese nicht durch äußere Einflüsse in ihrer Beschaffenheit verändert werden. Verfahren der Probenvorbereitung in Abhängigkeit von der Beschaffenheit (Korngröße) des zu untersuchenden Materials sind in der LAGA-Richtlinie PN 2/78 zusammengestellt. Spezielle Anforderungen an die Aufbereitung der Proben enthalten auch die folgenden Ausführungen.</w:t>
      </w:r>
    </w:p>
    <w:p>
      <w:pPr>
        <w:pStyle w:val="GesAbsatz"/>
        <w:rPr>
          <w:rFonts w:cs="Arial"/>
        </w:rPr>
      </w:pPr>
      <w:r>
        <w:rPr>
          <w:rFonts w:cs="Arial"/>
        </w:rPr>
        <w:t>Für die vom Merkblatt erfassten Abfälle gilt grundsätzlich, dass das Material in der Kornverteilung zu untersuchen ist, in der es verwertet werden soll.</w:t>
      </w:r>
    </w:p>
    <w:p>
      <w:pPr>
        <w:pStyle w:val="GesAbsatz"/>
        <w:rPr>
          <w:rFonts w:cs="Arial"/>
        </w:rPr>
      </w:pPr>
      <w:r>
        <w:rPr>
          <w:rFonts w:cs="Arial"/>
        </w:rPr>
        <w:t>1.2.3 Bestimmung der Gesamtgehalte</w:t>
      </w:r>
    </w:p>
    <w:p>
      <w:pPr>
        <w:pStyle w:val="GesAbsatz"/>
        <w:rPr>
          <w:rFonts w:cs="Arial"/>
        </w:rPr>
      </w:pPr>
      <w:r>
        <w:rPr>
          <w:rFonts w:cs="Arial"/>
        </w:rPr>
        <w:t>Aufbereitung der Probe durch Vierteln, Brechen und Mahlen, um homogen von 5 bis 50 kg auf 50 g zu kommen.</w:t>
      </w:r>
    </w:p>
    <w:p>
      <w:pPr>
        <w:pStyle w:val="GesAbsatz"/>
        <w:rPr>
          <w:rFonts w:cs="Arial"/>
        </w:rPr>
      </w:pPr>
      <w:r>
        <w:rPr>
          <w:rFonts w:cs="Arial"/>
        </w:rPr>
        <w:t>1.2.3.1 Arsen und Schwermetalle</w:t>
      </w:r>
    </w:p>
    <w:p>
      <w:pPr>
        <w:pStyle w:val="GesAbsatz"/>
        <w:rPr>
          <w:rFonts w:cs="Arial"/>
        </w:rPr>
      </w:pPr>
      <w:r>
        <w:rPr>
          <w:rFonts w:cs="Arial"/>
        </w:rPr>
        <w:t>Nach DIN 38414, Teil 7 ist zunächst ein Teil der zu untersuchenden Probe zu trocknen und analysefein zu mahlen (mindestens 50 g Trockenmasse &lt; 0,2 mm).</w:t>
      </w:r>
    </w:p>
    <w:p>
      <w:pPr>
        <w:pStyle w:val="GesAbsatz"/>
        <w:rPr>
          <w:rFonts w:cs="Arial"/>
        </w:rPr>
      </w:pPr>
      <w:r>
        <w:rPr>
          <w:rFonts w:cs="Arial"/>
        </w:rPr>
        <w:t>Die Bestimmung des säurelöslichen Anteils an Arsen und Schwermetallen erfolgt in Lösung nach Durchführung eines Königswasseraufschlusses gemäß DIN 38414-S7.</w:t>
      </w:r>
    </w:p>
    <w:p>
      <w:pPr>
        <w:pStyle w:val="GesAbsatz"/>
        <w:rPr>
          <w:rFonts w:cs="Arial"/>
        </w:rPr>
      </w:pPr>
      <w:r>
        <w:rPr>
          <w:rFonts w:cs="Arial"/>
        </w:rPr>
        <w:t>1.2.3.2 Organische Inhaltsstoffe</w:t>
      </w:r>
    </w:p>
    <w:p>
      <w:pPr>
        <w:pStyle w:val="GesAbsatz"/>
        <w:rPr>
          <w:rFonts w:cs="Arial"/>
        </w:rPr>
      </w:pPr>
      <w:r>
        <w:rPr>
          <w:rFonts w:cs="Arial"/>
        </w:rPr>
        <w:t>Zur Bestimmung der im Merkblatt genannten organischen Stoffe wird in der Regel von der Originalprobe ausgegangen. Die weitere Behandlung der Proben ist in den einschlägigen im Anhang 1 und 2 genannten Vorschriften für die einzelnen Stoffe und Beschaffenheitsmerkmale aufgeführt.</w:t>
      </w:r>
    </w:p>
    <w:p>
      <w:pPr>
        <w:pStyle w:val="GesAbsatz"/>
        <w:rPr>
          <w:rFonts w:cs="Arial"/>
        </w:rPr>
      </w:pPr>
      <w:r>
        <w:rPr>
          <w:rFonts w:cs="Arial"/>
        </w:rPr>
        <w:t>1.2.4 Bestimmung des eluierbaren Anteils</w:t>
      </w:r>
    </w:p>
    <w:p>
      <w:pPr>
        <w:pStyle w:val="GesAbsatz"/>
        <w:rPr>
          <w:rFonts w:cs="Arial"/>
        </w:rPr>
      </w:pPr>
      <w:r>
        <w:rPr>
          <w:rFonts w:cs="Arial"/>
        </w:rPr>
        <w:t>Die Herstellung des Eluats erfolgt nach DIN 38414, Teil 4 (DEV S4) mit den folgenden Abweichungen:</w:t>
      </w:r>
    </w:p>
    <w:p>
      <w:pPr>
        <w:pStyle w:val="GesAbsatz"/>
        <w:rPr>
          <w:rFonts w:cs="Arial"/>
        </w:rPr>
      </w:pPr>
      <w:r>
        <w:rPr>
          <w:rFonts w:cs="Arial"/>
        </w:rPr>
        <w:t>Bei den Untersuchungen zur Auslaugbarkeit der zu prüfenden Inhaltsstoffe ist in der Regel das Material in dem Zustand zu eluieren, in dem es verwertet werden soll. Eine Zerkleinerung darf im Einzelfall nur insoweit vorgenommen werden, wie es für die Durchführung der Untersuchungen unbedingt notwendig ist. Der Wassergehalt und die Korngrößenverteilung der zur Auslaugung vorgesehenen Probe sind an einer Parallelprobe nach Trocknung bei 150 °C entsprechend DIN 38414, Teil 2 zu ermitteln.</w:t>
      </w:r>
    </w:p>
    <w:p>
      <w:pPr>
        <w:pStyle w:val="GesAbsatz"/>
        <w:rPr>
          <w:rFonts w:cs="Arial"/>
        </w:rPr>
      </w:pPr>
      <w:r>
        <w:rPr>
          <w:rFonts w:cs="Arial"/>
        </w:rPr>
        <w:t>In Abhängigkeit vom Größtkorn der zu untersuchenden Originalprobe ist die Probenmenge für die Elution wie folgt zu wählen:</w:t>
      </w:r>
    </w:p>
    <w:p>
      <w:pPr>
        <w:pStyle w:val="GesAbsatz"/>
        <w:tabs>
          <w:tab w:val="clear" w:pos="425"/>
          <w:tab w:val="left" w:pos="3969"/>
        </w:tabs>
        <w:rPr>
          <w:rFonts w:cs="Arial"/>
          <w:u w:val="single"/>
        </w:rPr>
      </w:pPr>
      <w:r>
        <w:rPr>
          <w:rFonts w:cs="Arial"/>
        </w:rPr>
        <w:br w:type="page"/>
      </w:r>
      <w:r>
        <w:rPr>
          <w:rFonts w:cs="Arial"/>
          <w:u w:val="single"/>
        </w:rPr>
        <w:lastRenderedPageBreak/>
        <w:t>Größtkornanteil</w:t>
      </w:r>
      <w:r>
        <w:rPr>
          <w:rFonts w:cs="Arial"/>
          <w:u w:val="single"/>
        </w:rPr>
        <w:tab/>
        <w:t>mehr als 5%</w:t>
      </w:r>
    </w:p>
    <w:p>
      <w:pPr>
        <w:pStyle w:val="GesAbsatz"/>
        <w:tabs>
          <w:tab w:val="left" w:pos="1701"/>
          <w:tab w:val="left" w:pos="4111"/>
        </w:tabs>
        <w:rPr>
          <w:rFonts w:cs="Arial"/>
          <w:lang w:val="en-GB"/>
        </w:rPr>
      </w:pPr>
      <w:r>
        <w:rPr>
          <w:rFonts w:cs="Arial"/>
        </w:rPr>
        <w:tab/>
      </w:r>
      <w:r>
        <w:rPr>
          <w:rFonts w:cs="Arial"/>
        </w:rPr>
        <w:tab/>
      </w:r>
      <w:r>
        <w:rPr>
          <w:rFonts w:cs="Arial"/>
          <w:lang w:val="en-GB"/>
        </w:rPr>
        <w:t>&lt; 2,0 mm</w:t>
      </w:r>
      <w:r>
        <w:rPr>
          <w:rFonts w:cs="Arial"/>
          <w:lang w:val="en-GB"/>
        </w:rPr>
        <w:tab/>
        <w:t>rd. 100 g</w:t>
      </w:r>
    </w:p>
    <w:p>
      <w:pPr>
        <w:pStyle w:val="GesAbsatz"/>
        <w:tabs>
          <w:tab w:val="left" w:pos="1701"/>
          <w:tab w:val="left" w:pos="4111"/>
        </w:tabs>
        <w:rPr>
          <w:rFonts w:cs="Arial"/>
          <w:lang w:val="en-GB"/>
        </w:rPr>
      </w:pPr>
      <w:r>
        <w:rPr>
          <w:rFonts w:cs="Arial"/>
          <w:lang w:val="en-GB"/>
        </w:rPr>
        <w:tab/>
        <w:t>&gt; 2,0 mm</w:t>
      </w:r>
      <w:r>
        <w:rPr>
          <w:rFonts w:cs="Arial"/>
          <w:lang w:val="en-GB"/>
        </w:rPr>
        <w:tab/>
      </w:r>
      <w:r>
        <w:rPr>
          <w:rFonts w:cs="Arial"/>
        </w:rPr>
        <w:sym w:font="Symbol" w:char="F0A3"/>
      </w:r>
      <w:r>
        <w:rPr>
          <w:rFonts w:cs="Arial"/>
          <w:lang w:val="en-GB"/>
        </w:rPr>
        <w:t xml:space="preserve"> 11,4 mm</w:t>
      </w:r>
      <w:r>
        <w:rPr>
          <w:rFonts w:cs="Arial"/>
          <w:lang w:val="en-GB"/>
        </w:rPr>
        <w:tab/>
        <w:t>rd. 200 g</w:t>
      </w:r>
    </w:p>
    <w:p>
      <w:pPr>
        <w:pStyle w:val="GesAbsatz"/>
        <w:tabs>
          <w:tab w:val="left" w:pos="1701"/>
          <w:tab w:val="left" w:pos="4111"/>
        </w:tabs>
        <w:rPr>
          <w:rFonts w:cs="Arial"/>
          <w:lang w:val="en-GB"/>
        </w:rPr>
      </w:pPr>
      <w:r>
        <w:rPr>
          <w:rFonts w:cs="Arial"/>
          <w:lang w:val="en-GB"/>
        </w:rPr>
        <w:tab/>
        <w:t>&gt; 11,2 mm</w:t>
      </w:r>
      <w:r>
        <w:rPr>
          <w:rFonts w:cs="Arial"/>
          <w:lang w:val="en-GB"/>
        </w:rPr>
        <w:tab/>
      </w:r>
      <w:r>
        <w:rPr>
          <w:rFonts w:cs="Arial"/>
        </w:rPr>
        <w:sym w:font="Symbol" w:char="F0A3"/>
      </w:r>
      <w:r>
        <w:rPr>
          <w:rFonts w:cs="Arial"/>
          <w:lang w:val="en-GB"/>
        </w:rPr>
        <w:t xml:space="preserve"> 22.4 mm</w:t>
      </w:r>
      <w:r>
        <w:rPr>
          <w:rFonts w:cs="Arial"/>
          <w:lang w:val="en-GB"/>
        </w:rPr>
        <w:tab/>
        <w:t>rd. 1000 g</w:t>
      </w:r>
    </w:p>
    <w:p>
      <w:pPr>
        <w:pStyle w:val="GesAbsatz"/>
        <w:tabs>
          <w:tab w:val="left" w:pos="4111"/>
        </w:tabs>
        <w:rPr>
          <w:rFonts w:cs="Arial"/>
          <w:lang w:val="en-GB"/>
        </w:rPr>
      </w:pPr>
      <w:r>
        <w:rPr>
          <w:rFonts w:cs="Arial"/>
          <w:lang w:val="en-GB"/>
        </w:rPr>
        <w:tab/>
        <w:t>&gt; 22,4 mm</w:t>
      </w:r>
      <w:r>
        <w:rPr>
          <w:rFonts w:cs="Arial"/>
          <w:lang w:val="en-GB"/>
        </w:rPr>
        <w:tab/>
        <w:t>rd. 2500 g</w:t>
      </w:r>
    </w:p>
    <w:p>
      <w:pPr>
        <w:pStyle w:val="GesAbsatz"/>
        <w:rPr>
          <w:rFonts w:cs="Arial"/>
        </w:rPr>
      </w:pPr>
      <w:r>
        <w:rPr>
          <w:rFonts w:cs="Arial"/>
        </w:rPr>
        <w:t>Das Verhältnis Wasser/Feststoff beträgt in jedem Fall 10:1.</w:t>
      </w:r>
    </w:p>
    <w:p>
      <w:pPr>
        <w:pStyle w:val="GesAbsatz"/>
        <w:rPr>
          <w:rFonts w:cs="Arial"/>
        </w:rPr>
      </w:pPr>
      <w:r>
        <w:rPr>
          <w:rFonts w:cs="Arial"/>
        </w:rPr>
        <w:t>Die Eluierung mehrerer Teilproben ist zulässig; vor der Weiterbearbeitung sind dann die Teileluate zu vereinigen. Zur Elution ist das Wasser/Feststoff-Gemisch 24 Stunden zu schütteln. Dies kann z. B. durch einen Schwingtisch erfolgen. Dabei muss sichergestellt sein, dass die gesamte Probenmenge ständig bewegt wird und Kornverfeinerungen möglichst vermieden werden (empfohlen wird eine Frequenz zwischen 10 und 100 Schwingungen pro Minute).</w:t>
      </w:r>
    </w:p>
    <w:p>
      <w:pPr>
        <w:pStyle w:val="GesAbsatz"/>
        <w:rPr>
          <w:rFonts w:cs="Arial"/>
        </w:rPr>
      </w:pPr>
      <w:r>
        <w:rPr>
          <w:rFonts w:cs="Arial"/>
        </w:rPr>
        <w:t>Andere Elutionsverfahren wie das Perkolationsverfahren oder Lysimeterversuche sind im Rahmen der Untersuchungen für die durch das Merkblatt erfassten Abfälle nicht zu verwenden.</w:t>
      </w:r>
    </w:p>
    <w:p>
      <w:pPr>
        <w:pStyle w:val="GesAbsatz"/>
        <w:rPr>
          <w:rFonts w:cs="Arial"/>
        </w:rPr>
      </w:pPr>
      <w:r>
        <w:rPr>
          <w:rFonts w:cs="Arial"/>
        </w:rPr>
        <w:t>Zur Eluatherstellung und -weiterbehandlung sind grundsätzlich Geräte aus Glas zu verwenden. Als Elutionsflüssigkeit ist demineralisiertes Wasser zu verwenden. Die Wahl anderer Elutionsmittel für Untersuchungen im Geltungsbereich des Merkblattes ist im Hinblick auf die Vergleichbarkeit der Untersuchungsergebnisse sowie die in dem Merkblatt genannten Zuordnungswerte nicht zulässig.</w:t>
      </w:r>
    </w:p>
    <w:p>
      <w:pPr>
        <w:pStyle w:val="GesAbsatz"/>
        <w:rPr>
          <w:rFonts w:cs="Arial"/>
        </w:rPr>
      </w:pPr>
      <w:r>
        <w:rPr>
          <w:rFonts w:cs="Arial"/>
        </w:rPr>
        <w:t>Die Trennung von Feststoff und Eluat muss unmittelbar nach Beendigung der Elution erfolgen. Sollen organisch-chemische Parameter bestimmt werden, ist diese Trennung nicht durch Filtration, sondern durch Zentrifugieren bei 2000 g (Beschleunigung) zu bewerkstelligen.</w:t>
      </w:r>
    </w:p>
    <w:p>
      <w:pPr>
        <w:pStyle w:val="GesAbsatz"/>
        <w:rPr>
          <w:rFonts w:cs="Arial"/>
        </w:rPr>
      </w:pPr>
      <w:r>
        <w:rPr>
          <w:rFonts w:cs="Arial"/>
        </w:rPr>
        <w:t>Kann die weitere Aufarbeitung und Analytik des Eluats nicht unmittelbar im Anschluss an die Elution erfolgen, ist eine Lagerung des Eluats möglich, sofern die in den DlN-Verfahren zur Bestimmung der einzelnen Inhaltsstoffe genannten Konservierungsmaßnahmen durchgeführt werden.</w:t>
      </w:r>
    </w:p>
    <w:p>
      <w:pPr>
        <w:pStyle w:val="GesAbsatz"/>
        <w:rPr>
          <w:rFonts w:cs="Arial"/>
        </w:rPr>
      </w:pPr>
      <w:r>
        <w:rPr>
          <w:rFonts w:cs="Arial"/>
        </w:rPr>
        <w:t>1.3 Analyseverfahren</w:t>
      </w:r>
    </w:p>
    <w:p>
      <w:pPr>
        <w:pStyle w:val="GesAbsatz"/>
        <w:rPr>
          <w:rFonts w:cs="Arial"/>
        </w:rPr>
      </w:pPr>
      <w:r>
        <w:rPr>
          <w:rFonts w:cs="Arial"/>
        </w:rPr>
        <w:t>Die anzuwendenden Verfahren sind im Anhang 1 und 2 aufgeführt.</w:t>
      </w:r>
    </w:p>
    <w:p>
      <w:pPr>
        <w:pStyle w:val="GesAbsatz"/>
        <w:rPr>
          <w:rFonts w:cs="Arial"/>
          <w:b/>
          <w:bCs/>
        </w:rPr>
      </w:pPr>
      <w:r>
        <w:rPr>
          <w:rFonts w:cs="Arial"/>
          <w:b/>
          <w:bCs/>
        </w:rPr>
        <w:t>2 Besondere Probenahmeanforderungen</w:t>
      </w:r>
    </w:p>
    <w:p>
      <w:pPr>
        <w:pStyle w:val="GesAbsatz"/>
        <w:rPr>
          <w:rFonts w:cs="Arial"/>
        </w:rPr>
      </w:pPr>
      <w:r>
        <w:rPr>
          <w:rFonts w:cs="Arial"/>
        </w:rPr>
        <w:t>2.1 Allgemeines</w:t>
      </w:r>
    </w:p>
    <w:p>
      <w:pPr>
        <w:pStyle w:val="GesAbsatz"/>
        <w:rPr>
          <w:rFonts w:cs="Arial"/>
        </w:rPr>
      </w:pPr>
      <w:r>
        <w:rPr>
          <w:rFonts w:cs="Arial"/>
        </w:rPr>
        <w:t>Bei den im Merkblatt behandelten Materialien handelt es sich um Abfälle, die auf Grund ihrer Eigenschaften natürliche Rohstoffe ersetzen können.</w:t>
      </w:r>
    </w:p>
    <w:p>
      <w:pPr>
        <w:pStyle w:val="GesAbsatz"/>
        <w:rPr>
          <w:rFonts w:cs="Arial"/>
        </w:rPr>
      </w:pPr>
      <w:r>
        <w:rPr>
          <w:rFonts w:cs="Arial"/>
        </w:rPr>
        <w:t>Die Probenahme von Naturstein und Gesteinskörnungen erfolgt nach DIN 52101. Diese Probenahmevorschrift ist deshalb auch Grundlage für die Probenahme der zur Verwertung vorgesehenen Abfälle.</w:t>
      </w:r>
    </w:p>
    <w:p>
      <w:pPr>
        <w:pStyle w:val="GesAbsatz"/>
        <w:rPr>
          <w:rFonts w:cs="Arial"/>
        </w:rPr>
      </w:pPr>
      <w:r>
        <w:rPr>
          <w:rFonts w:cs="Arial"/>
        </w:rPr>
        <w:t>Für den Bereich des Straßenbaus ist die Probenahme nach den technischen Prüfvorschriften für Mineralstoffe im Straßenbau (TPMinStB 1992) verbindlich vorgegeben. In den übrigen Fällen wird auf die LAGA-Richtlinien PN 2/78 und PN 2/78 K verwiesen.</w:t>
      </w:r>
    </w:p>
    <w:p>
      <w:pPr>
        <w:pStyle w:val="GesAbsatz"/>
        <w:rPr>
          <w:rFonts w:cs="Arial"/>
        </w:rPr>
      </w:pPr>
      <w:r>
        <w:rPr>
          <w:rFonts w:cs="Arial"/>
        </w:rPr>
        <w:t>2.2 Probenahme für HMV-Schlacken</w:t>
      </w:r>
    </w:p>
    <w:p>
      <w:pPr>
        <w:pStyle w:val="GesAbsatz"/>
        <w:rPr>
          <w:rFonts w:cs="Arial"/>
        </w:rPr>
      </w:pPr>
      <w:r>
        <w:rPr>
          <w:rFonts w:cs="Arial"/>
        </w:rPr>
        <w:t>Die Probenahme für den Einsatz von HMV-Schlacken bei den o. a. Baumaßnahmen erfolgt grundsätzlich nach den technischen Prüfvorschriften für Mineralstoffe im Straßenbau (TPMinStB) Teil 2.2.1/2 – DIN 52101 –. Die Proben sind dabei in der Regel von der Halde (nach mindestens 3monatiger Alterung) zu entnehmen. Je angefangene 10 m</w:t>
      </w:r>
      <w:r>
        <w:rPr>
          <w:rFonts w:cs="Arial"/>
          <w:szCs w:val="13"/>
          <w:vertAlign w:val="superscript"/>
        </w:rPr>
        <w:t>3</w:t>
      </w:r>
      <w:r>
        <w:rPr>
          <w:rFonts w:cs="Arial"/>
          <w:szCs w:val="13"/>
        </w:rPr>
        <w:t xml:space="preserve"> </w:t>
      </w:r>
      <w:r>
        <w:rPr>
          <w:rFonts w:cs="Arial"/>
        </w:rPr>
        <w:t>ist eine Einzelprobe, max. jedoch insgesamt 10 Proben von einer Halde zu nehmen, zu einer Sammelprobe zu vereinen und nach DIN 52101 daraus eine Laborprobe zu gewinnen. Die Einzelprobe sollte mindestens 2000 g betragen.</w:t>
      </w:r>
    </w:p>
    <w:p>
      <w:pPr>
        <w:pStyle w:val="berschrift3"/>
        <w:jc w:val="left"/>
      </w:pPr>
      <w:r>
        <w:br w:type="page"/>
      </w:r>
      <w:bookmarkStart w:id="16" w:name="_Toc44306482"/>
      <w:r>
        <w:lastRenderedPageBreak/>
        <w:t>Anhang 4</w:t>
      </w:r>
      <w:bookmarkEnd w:id="16"/>
    </w:p>
    <w:p>
      <w:pPr>
        <w:pStyle w:val="GesAbsatz"/>
        <w:jc w:val="center"/>
        <w:rPr>
          <w:rFonts w:cs="Arial"/>
          <w:b/>
          <w:bCs/>
        </w:rPr>
      </w:pPr>
      <w:r>
        <w:rPr>
          <w:rFonts w:cs="Arial"/>
          <w:b/>
          <w:bCs/>
        </w:rPr>
        <w:t>Zuordnungswerte und Untersuchungen im Feststoff für HMV-Schlacken</w:t>
      </w:r>
    </w:p>
    <w:tbl>
      <w:tblPr>
        <w:tblpPr w:leftFromText="141" w:rightFromText="141" w:vertAnchor="text" w:horzAnchor="margin" w:tblpY="116"/>
        <w:tblW w:w="96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90"/>
        <w:gridCol w:w="1559"/>
        <w:gridCol w:w="1418"/>
        <w:gridCol w:w="1417"/>
        <w:gridCol w:w="1559"/>
        <w:gridCol w:w="1701"/>
      </w:tblGrid>
      <w:tr>
        <w:tc>
          <w:tcPr>
            <w:tcW w:w="1990" w:type="dxa"/>
          </w:tcPr>
          <w:p>
            <w:pPr>
              <w:pStyle w:val="GesAbsatz"/>
              <w:ind w:left="57"/>
              <w:jc w:val="center"/>
              <w:rPr>
                <w:rFonts w:cs="Arial"/>
                <w:b/>
                <w:bCs/>
              </w:rPr>
            </w:pPr>
            <w:r>
              <w:rPr>
                <w:rFonts w:cs="Arial"/>
                <w:b/>
                <w:bCs/>
              </w:rPr>
              <w:t>Parameter</w:t>
            </w:r>
          </w:p>
        </w:tc>
        <w:tc>
          <w:tcPr>
            <w:tcW w:w="1559" w:type="dxa"/>
          </w:tcPr>
          <w:p>
            <w:pPr>
              <w:pStyle w:val="GesAbsatz"/>
              <w:ind w:left="57"/>
              <w:jc w:val="center"/>
              <w:rPr>
                <w:rFonts w:cs="Arial"/>
                <w:b/>
                <w:bCs/>
              </w:rPr>
            </w:pPr>
            <w:r>
              <w:rPr>
                <w:rFonts w:cs="Arial"/>
                <w:b/>
                <w:bCs/>
              </w:rPr>
              <w:t>Dimension</w:t>
            </w:r>
          </w:p>
        </w:tc>
        <w:tc>
          <w:tcPr>
            <w:tcW w:w="1418" w:type="dxa"/>
          </w:tcPr>
          <w:p>
            <w:pPr>
              <w:pStyle w:val="GesAbsatz"/>
              <w:ind w:left="57"/>
              <w:jc w:val="center"/>
              <w:rPr>
                <w:rFonts w:cs="Arial"/>
                <w:b/>
                <w:bCs/>
              </w:rPr>
            </w:pPr>
            <w:r>
              <w:rPr>
                <w:rFonts w:cs="Arial"/>
                <w:b/>
                <w:bCs/>
              </w:rPr>
              <w:t>Zuordnungswert</w:t>
            </w:r>
          </w:p>
        </w:tc>
        <w:tc>
          <w:tcPr>
            <w:tcW w:w="1417" w:type="dxa"/>
          </w:tcPr>
          <w:p>
            <w:pPr>
              <w:pStyle w:val="GesAbsatz"/>
              <w:ind w:left="57"/>
              <w:jc w:val="center"/>
              <w:rPr>
                <w:rFonts w:cs="Arial"/>
                <w:b/>
                <w:bCs/>
              </w:rPr>
            </w:pPr>
            <w:r>
              <w:rPr>
                <w:rFonts w:cs="Arial"/>
                <w:b/>
                <w:bCs/>
              </w:rPr>
              <w:t>Eignungsfeststellung</w:t>
            </w:r>
          </w:p>
        </w:tc>
        <w:tc>
          <w:tcPr>
            <w:tcW w:w="1559" w:type="dxa"/>
          </w:tcPr>
          <w:p>
            <w:pPr>
              <w:pStyle w:val="GesAbsatz"/>
              <w:ind w:left="57"/>
              <w:jc w:val="center"/>
              <w:rPr>
                <w:rFonts w:cs="Arial"/>
                <w:b/>
                <w:bCs/>
              </w:rPr>
            </w:pPr>
            <w:r>
              <w:rPr>
                <w:rFonts w:cs="Arial"/>
                <w:b/>
                <w:bCs/>
              </w:rPr>
              <w:t>Fremdüberwachung</w:t>
            </w:r>
          </w:p>
        </w:tc>
        <w:tc>
          <w:tcPr>
            <w:tcW w:w="1701" w:type="dxa"/>
          </w:tcPr>
          <w:p>
            <w:pPr>
              <w:pStyle w:val="GesAbsatz"/>
              <w:ind w:left="57"/>
              <w:jc w:val="center"/>
              <w:rPr>
                <w:rFonts w:cs="Arial"/>
                <w:b/>
                <w:bCs/>
              </w:rPr>
            </w:pPr>
            <w:r>
              <w:rPr>
                <w:rFonts w:cs="Arial"/>
                <w:b/>
                <w:bCs/>
              </w:rPr>
              <w:t>Eigenkontrolle</w:t>
            </w:r>
          </w:p>
        </w:tc>
      </w:tr>
      <w:tr>
        <w:trPr>
          <w:cantSplit/>
          <w:trHeight w:val="1110"/>
        </w:trPr>
        <w:tc>
          <w:tcPr>
            <w:tcW w:w="1990" w:type="dxa"/>
            <w:tcBorders>
              <w:bottom w:val="single" w:sz="4" w:space="0" w:color="auto"/>
            </w:tcBorders>
          </w:tcPr>
          <w:p>
            <w:pPr>
              <w:pStyle w:val="GesAbsatz"/>
              <w:ind w:left="57"/>
              <w:rPr>
                <w:rFonts w:cs="Arial"/>
              </w:rPr>
            </w:pPr>
            <w:r>
              <w:rPr>
                <w:rFonts w:cs="Arial"/>
              </w:rPr>
              <w:t>Aussehen</w:t>
            </w:r>
          </w:p>
          <w:p>
            <w:pPr>
              <w:pStyle w:val="GesAbsatz"/>
              <w:ind w:left="57"/>
              <w:rPr>
                <w:rFonts w:cs="Arial"/>
              </w:rPr>
            </w:pPr>
            <w:r>
              <w:rPr>
                <w:rFonts w:cs="Arial"/>
              </w:rPr>
              <w:t>Farbe</w:t>
            </w:r>
          </w:p>
          <w:p>
            <w:pPr>
              <w:pStyle w:val="GesAbsatz"/>
              <w:ind w:left="57"/>
              <w:rPr>
                <w:rFonts w:cs="Arial"/>
              </w:rPr>
            </w:pPr>
            <w:r>
              <w:rPr>
                <w:rFonts w:cs="Arial"/>
              </w:rPr>
              <w:t>Geruch</w:t>
            </w:r>
          </w:p>
        </w:tc>
        <w:tc>
          <w:tcPr>
            <w:tcW w:w="1559" w:type="dxa"/>
            <w:tcBorders>
              <w:bottom w:val="single" w:sz="4" w:space="0" w:color="auto"/>
            </w:tcBorders>
          </w:tcPr>
          <w:p>
            <w:pPr>
              <w:pStyle w:val="GesAbsatz"/>
              <w:ind w:left="57"/>
              <w:jc w:val="center"/>
              <w:rPr>
                <w:rFonts w:cs="Arial"/>
              </w:rPr>
            </w:pPr>
            <w:r>
              <w:rPr>
                <w:rFonts w:cs="Arial"/>
              </w:rPr>
              <w:t>–</w:t>
            </w:r>
          </w:p>
          <w:p>
            <w:pPr>
              <w:pStyle w:val="GesAbsatz"/>
              <w:ind w:left="57"/>
              <w:jc w:val="center"/>
              <w:rPr>
                <w:rFonts w:cs="Arial"/>
              </w:rPr>
            </w:pPr>
            <w:r>
              <w:rPr>
                <w:rFonts w:cs="Arial"/>
              </w:rPr>
              <w:t>–</w:t>
            </w:r>
          </w:p>
          <w:p>
            <w:pPr>
              <w:pStyle w:val="GesAbsatz"/>
              <w:ind w:left="57"/>
              <w:jc w:val="center"/>
              <w:rPr>
                <w:rFonts w:cs="Arial"/>
              </w:rPr>
            </w:pPr>
            <w:r>
              <w:rPr>
                <w:rFonts w:cs="Arial"/>
              </w:rPr>
              <w:t>–</w:t>
            </w:r>
          </w:p>
        </w:tc>
        <w:tc>
          <w:tcPr>
            <w:tcW w:w="1418" w:type="dxa"/>
            <w:tcBorders>
              <w:bottom w:val="single" w:sz="4" w:space="0" w:color="auto"/>
            </w:tcBorders>
          </w:tcPr>
          <w:p>
            <w:pPr>
              <w:pStyle w:val="GesAbsatz"/>
              <w:ind w:left="57"/>
              <w:jc w:val="center"/>
              <w:rPr>
                <w:rFonts w:cs="Arial"/>
                <w:vertAlign w:val="superscript"/>
              </w:rPr>
            </w:pPr>
            <w:r>
              <w:rPr>
                <w:rFonts w:cs="Arial"/>
              </w:rPr>
              <w:t>–</w:t>
            </w:r>
            <w:r>
              <w:rPr>
                <w:rStyle w:val="Funotenzeichen"/>
                <w:rFonts w:cs="Arial"/>
              </w:rPr>
              <w:footnoteReference w:id="3"/>
            </w:r>
          </w:p>
          <w:p>
            <w:pPr>
              <w:pStyle w:val="GesAbsatz"/>
              <w:ind w:left="57"/>
              <w:jc w:val="center"/>
              <w:rPr>
                <w:rFonts w:cs="Arial"/>
                <w:vertAlign w:val="superscript"/>
              </w:rPr>
            </w:pPr>
            <w:r>
              <w:rPr>
                <w:rFonts w:cs="Arial"/>
              </w:rPr>
              <w:t>–</w:t>
            </w:r>
            <w:r>
              <w:rPr>
                <w:rFonts w:cs="Arial"/>
                <w:vertAlign w:val="superscript"/>
              </w:rPr>
              <w:t>2</w:t>
            </w:r>
          </w:p>
          <w:p>
            <w:pPr>
              <w:pStyle w:val="GesAbsatz"/>
              <w:ind w:left="57"/>
              <w:jc w:val="center"/>
              <w:rPr>
                <w:rFonts w:cs="Arial"/>
                <w:vertAlign w:val="superscript"/>
              </w:rPr>
            </w:pPr>
            <w:r>
              <w:rPr>
                <w:rFonts w:cs="Arial"/>
              </w:rPr>
              <w:t>–</w:t>
            </w:r>
            <w:r>
              <w:rPr>
                <w:rFonts w:cs="Arial"/>
                <w:vertAlign w:val="superscript"/>
              </w:rPr>
              <w:t>2</w:t>
            </w:r>
          </w:p>
        </w:tc>
        <w:tc>
          <w:tcPr>
            <w:tcW w:w="1417" w:type="dxa"/>
            <w:tcBorders>
              <w:bottom w:val="single" w:sz="4" w:space="0" w:color="auto"/>
            </w:tcBorders>
          </w:tcPr>
          <w:p>
            <w:pPr>
              <w:pStyle w:val="GesAbsatz"/>
              <w:ind w:left="57"/>
              <w:jc w:val="center"/>
              <w:rPr>
                <w:rFonts w:cs="Arial"/>
              </w:rPr>
            </w:pPr>
            <w:r>
              <w:rPr>
                <w:rFonts w:cs="Arial"/>
              </w:rPr>
              <w:t>+</w:t>
            </w:r>
          </w:p>
          <w:p>
            <w:pPr>
              <w:pStyle w:val="GesAbsatz"/>
              <w:ind w:left="57"/>
              <w:jc w:val="center"/>
              <w:rPr>
                <w:rFonts w:cs="Arial"/>
              </w:rPr>
            </w:pPr>
            <w:r>
              <w:rPr>
                <w:rFonts w:cs="Arial"/>
              </w:rPr>
              <w:t>+</w:t>
            </w:r>
          </w:p>
          <w:p>
            <w:pPr>
              <w:pStyle w:val="GesAbsatz"/>
              <w:ind w:left="57"/>
              <w:jc w:val="center"/>
              <w:rPr>
                <w:rFonts w:cs="Arial"/>
              </w:rPr>
            </w:pPr>
            <w:r>
              <w:rPr>
                <w:rFonts w:cs="Arial"/>
              </w:rPr>
              <w:t>+</w:t>
            </w:r>
          </w:p>
        </w:tc>
        <w:tc>
          <w:tcPr>
            <w:tcW w:w="1559" w:type="dxa"/>
            <w:tcBorders>
              <w:bottom w:val="single" w:sz="4" w:space="0" w:color="auto"/>
            </w:tcBorders>
          </w:tcPr>
          <w:p>
            <w:pPr>
              <w:pStyle w:val="GesAbsatz"/>
              <w:ind w:left="57"/>
              <w:jc w:val="center"/>
              <w:rPr>
                <w:rFonts w:cs="Arial"/>
              </w:rPr>
            </w:pPr>
            <w:r>
              <w:rPr>
                <w:rFonts w:cs="Arial"/>
              </w:rPr>
              <w:t>+</w:t>
            </w:r>
          </w:p>
          <w:p>
            <w:pPr>
              <w:pStyle w:val="GesAbsatz"/>
              <w:ind w:left="57"/>
              <w:jc w:val="center"/>
              <w:rPr>
                <w:rFonts w:cs="Arial"/>
              </w:rPr>
            </w:pPr>
            <w:r>
              <w:rPr>
                <w:rFonts w:cs="Arial"/>
              </w:rPr>
              <w:t>+</w:t>
            </w:r>
          </w:p>
          <w:p>
            <w:pPr>
              <w:pStyle w:val="GesAbsatz"/>
              <w:ind w:left="57"/>
              <w:jc w:val="center"/>
              <w:rPr>
                <w:rFonts w:cs="Arial"/>
              </w:rPr>
            </w:pPr>
            <w:r>
              <w:rPr>
                <w:rFonts w:cs="Arial"/>
              </w:rPr>
              <w:t>+</w:t>
            </w:r>
          </w:p>
        </w:tc>
        <w:tc>
          <w:tcPr>
            <w:tcW w:w="1701" w:type="dxa"/>
            <w:tcBorders>
              <w:bottom w:val="single" w:sz="4" w:space="0" w:color="auto"/>
            </w:tcBorders>
          </w:tcPr>
          <w:p>
            <w:pPr>
              <w:pStyle w:val="GesAbsatz"/>
              <w:ind w:left="57"/>
              <w:jc w:val="center"/>
              <w:rPr>
                <w:rFonts w:cs="Arial"/>
              </w:rPr>
            </w:pPr>
            <w:r>
              <w:rPr>
                <w:rFonts w:cs="Arial"/>
              </w:rPr>
              <w:t>+</w:t>
            </w:r>
          </w:p>
          <w:p>
            <w:pPr>
              <w:pStyle w:val="GesAbsatz"/>
              <w:ind w:left="57"/>
              <w:jc w:val="center"/>
              <w:rPr>
                <w:rFonts w:cs="Arial"/>
              </w:rPr>
            </w:pPr>
            <w:r>
              <w:rPr>
                <w:rFonts w:cs="Arial"/>
              </w:rPr>
              <w:t>+</w:t>
            </w:r>
          </w:p>
          <w:p>
            <w:pPr>
              <w:pStyle w:val="GesAbsatz"/>
              <w:ind w:left="57"/>
              <w:jc w:val="center"/>
              <w:rPr>
                <w:rFonts w:cs="Arial"/>
              </w:rPr>
            </w:pPr>
            <w:r>
              <w:rPr>
                <w:rFonts w:cs="Arial"/>
              </w:rPr>
              <w:t>+</w:t>
            </w:r>
          </w:p>
        </w:tc>
      </w:tr>
      <w:tr>
        <w:trPr>
          <w:cantSplit/>
          <w:trHeight w:val="669"/>
        </w:trPr>
        <w:tc>
          <w:tcPr>
            <w:tcW w:w="1990" w:type="dxa"/>
            <w:tcBorders>
              <w:bottom w:val="single" w:sz="4" w:space="0" w:color="auto"/>
            </w:tcBorders>
          </w:tcPr>
          <w:p>
            <w:pPr>
              <w:pStyle w:val="GesAbsatz"/>
              <w:ind w:left="57"/>
              <w:rPr>
                <w:rFonts w:cs="Arial"/>
              </w:rPr>
            </w:pPr>
            <w:r>
              <w:rPr>
                <w:rFonts w:cs="Arial"/>
              </w:rPr>
              <w:t>Trockenrückstand</w:t>
            </w:r>
          </w:p>
          <w:p>
            <w:pPr>
              <w:pStyle w:val="GesAbsatz"/>
              <w:ind w:left="57"/>
              <w:rPr>
                <w:rFonts w:cs="Arial"/>
              </w:rPr>
            </w:pPr>
            <w:r>
              <w:rPr>
                <w:rFonts w:cs="Arial"/>
              </w:rPr>
              <w:t>Glühverlust</w:t>
            </w:r>
          </w:p>
        </w:tc>
        <w:tc>
          <w:tcPr>
            <w:tcW w:w="1559" w:type="dxa"/>
            <w:tcBorders>
              <w:bottom w:val="single" w:sz="4" w:space="0" w:color="auto"/>
            </w:tcBorders>
          </w:tcPr>
          <w:p>
            <w:pPr>
              <w:pStyle w:val="GesAbsatz"/>
              <w:ind w:left="57"/>
              <w:jc w:val="center"/>
              <w:rPr>
                <w:rFonts w:cs="Arial"/>
              </w:rPr>
            </w:pPr>
            <w:r>
              <w:rPr>
                <w:rFonts w:cs="Arial"/>
              </w:rPr>
              <w:t>Masse-%</w:t>
            </w:r>
          </w:p>
          <w:p>
            <w:pPr>
              <w:pStyle w:val="GesAbsatz"/>
              <w:ind w:left="57"/>
              <w:jc w:val="center"/>
              <w:rPr>
                <w:rFonts w:cs="Arial"/>
                <w:lang w:val="fr-FR"/>
              </w:rPr>
            </w:pPr>
            <w:r>
              <w:rPr>
                <w:rFonts w:cs="Arial"/>
                <w:lang w:val="fr-FR"/>
              </w:rPr>
              <w:t>Masse-%</w:t>
            </w:r>
          </w:p>
        </w:tc>
        <w:tc>
          <w:tcPr>
            <w:tcW w:w="1418" w:type="dxa"/>
            <w:tcBorders>
              <w:bottom w:val="single" w:sz="4" w:space="0" w:color="auto"/>
            </w:tcBorders>
          </w:tcPr>
          <w:p>
            <w:pPr>
              <w:pStyle w:val="GesAbsatz"/>
              <w:ind w:left="57"/>
              <w:jc w:val="center"/>
              <w:rPr>
                <w:rFonts w:cs="Arial"/>
                <w:vertAlign w:val="superscript"/>
                <w:lang w:val="fr-FR"/>
              </w:rPr>
            </w:pPr>
            <w:r>
              <w:rPr>
                <w:rFonts w:cs="Arial"/>
                <w:lang w:val="fr-FR"/>
              </w:rPr>
              <w:t>–</w:t>
            </w:r>
            <w:r>
              <w:rPr>
                <w:rFonts w:cs="Arial"/>
                <w:vertAlign w:val="superscript"/>
                <w:lang w:val="fr-FR"/>
              </w:rPr>
              <w:t>2</w:t>
            </w:r>
          </w:p>
          <w:p>
            <w:pPr>
              <w:pStyle w:val="GesAbsatz"/>
              <w:ind w:left="57"/>
              <w:jc w:val="center"/>
              <w:rPr>
                <w:rFonts w:cs="Arial"/>
                <w:lang w:val="fr-FR"/>
              </w:rPr>
            </w:pPr>
            <w:r>
              <w:rPr>
                <w:rFonts w:cs="Arial"/>
                <w:lang w:val="fr-FR"/>
              </w:rPr>
              <w:t>–</w:t>
            </w:r>
            <w:r>
              <w:rPr>
                <w:rFonts w:cs="Arial"/>
                <w:vertAlign w:val="superscript"/>
                <w:lang w:val="fr-FR"/>
              </w:rPr>
              <w:t>2</w:t>
            </w:r>
          </w:p>
        </w:tc>
        <w:tc>
          <w:tcPr>
            <w:tcW w:w="1417" w:type="dxa"/>
            <w:tcBorders>
              <w:bottom w:val="single" w:sz="4" w:space="0" w:color="auto"/>
            </w:tcBorders>
          </w:tcPr>
          <w:p>
            <w:pPr>
              <w:pStyle w:val="GesAbsatz"/>
              <w:ind w:left="57"/>
              <w:jc w:val="center"/>
              <w:rPr>
                <w:rFonts w:cs="Arial"/>
                <w:lang w:val="fr-FR"/>
              </w:rPr>
            </w:pPr>
            <w:r>
              <w:rPr>
                <w:rFonts w:cs="Arial"/>
                <w:lang w:val="fr-FR"/>
              </w:rPr>
              <w:t>+</w:t>
            </w:r>
          </w:p>
          <w:p>
            <w:pPr>
              <w:pStyle w:val="GesAbsatz"/>
              <w:ind w:left="57"/>
              <w:jc w:val="center"/>
              <w:rPr>
                <w:rFonts w:cs="Arial"/>
                <w:lang w:val="fr-FR"/>
              </w:rPr>
            </w:pPr>
            <w:r>
              <w:rPr>
                <w:rFonts w:cs="Arial"/>
                <w:lang w:val="fr-FR"/>
              </w:rPr>
              <w:t>+</w:t>
            </w:r>
          </w:p>
        </w:tc>
        <w:tc>
          <w:tcPr>
            <w:tcW w:w="1559" w:type="dxa"/>
            <w:tcBorders>
              <w:bottom w:val="single" w:sz="4" w:space="0" w:color="auto"/>
            </w:tcBorders>
          </w:tcPr>
          <w:p>
            <w:pPr>
              <w:pStyle w:val="GesAbsatz"/>
              <w:ind w:left="57"/>
              <w:jc w:val="center"/>
              <w:rPr>
                <w:rFonts w:cs="Arial"/>
                <w:lang w:val="fr-FR"/>
              </w:rPr>
            </w:pPr>
            <w:r>
              <w:rPr>
                <w:rFonts w:cs="Arial"/>
                <w:lang w:val="fr-FR"/>
              </w:rPr>
              <w:t>+</w:t>
            </w:r>
          </w:p>
          <w:p>
            <w:pPr>
              <w:pStyle w:val="GesAbsatz"/>
              <w:ind w:left="57"/>
              <w:jc w:val="center"/>
              <w:rPr>
                <w:rFonts w:cs="Arial"/>
                <w:lang w:val="fr-FR"/>
              </w:rPr>
            </w:pPr>
            <w:r>
              <w:rPr>
                <w:rFonts w:cs="Arial"/>
                <w:lang w:val="fr-FR"/>
              </w:rPr>
              <w:t>+</w:t>
            </w:r>
          </w:p>
        </w:tc>
        <w:tc>
          <w:tcPr>
            <w:tcW w:w="1701" w:type="dxa"/>
            <w:tcBorders>
              <w:bottom w:val="single" w:sz="4" w:space="0" w:color="auto"/>
            </w:tcBorders>
          </w:tcPr>
          <w:p>
            <w:pPr>
              <w:pStyle w:val="GesAbsatz"/>
              <w:ind w:left="57"/>
              <w:jc w:val="center"/>
              <w:rPr>
                <w:rFonts w:cs="Arial"/>
                <w:lang w:val="fr-FR"/>
              </w:rPr>
            </w:pPr>
            <w:r>
              <w:rPr>
                <w:rFonts w:cs="Arial"/>
                <w:lang w:val="fr-FR"/>
              </w:rPr>
              <w:t>+</w:t>
            </w:r>
          </w:p>
          <w:p>
            <w:pPr>
              <w:pStyle w:val="GesAbsatz"/>
              <w:ind w:left="57"/>
              <w:jc w:val="center"/>
              <w:rPr>
                <w:rFonts w:cs="Arial"/>
                <w:lang w:val="fr-FR"/>
              </w:rPr>
            </w:pPr>
            <w:r>
              <w:rPr>
                <w:rFonts w:cs="Arial"/>
                <w:lang w:val="fr-FR"/>
              </w:rPr>
              <w:t>+</w:t>
            </w:r>
          </w:p>
        </w:tc>
      </w:tr>
      <w:tr>
        <w:trPr>
          <w:cantSplit/>
          <w:trHeight w:val="735"/>
        </w:trPr>
        <w:tc>
          <w:tcPr>
            <w:tcW w:w="1990" w:type="dxa"/>
            <w:tcBorders>
              <w:bottom w:val="single" w:sz="4" w:space="0" w:color="auto"/>
            </w:tcBorders>
          </w:tcPr>
          <w:p>
            <w:pPr>
              <w:pStyle w:val="GesAbsatz"/>
              <w:ind w:left="57"/>
              <w:rPr>
                <w:rFonts w:cs="Arial"/>
                <w:lang w:val="fr-FR"/>
              </w:rPr>
            </w:pPr>
            <w:r>
              <w:rPr>
                <w:rFonts w:cs="Arial"/>
                <w:lang w:val="fr-FR"/>
              </w:rPr>
              <w:t>TOC</w:t>
            </w:r>
          </w:p>
          <w:p>
            <w:pPr>
              <w:pStyle w:val="GesAbsatz"/>
              <w:ind w:left="57"/>
              <w:rPr>
                <w:rFonts w:cs="Arial"/>
                <w:lang w:val="fr-FR"/>
              </w:rPr>
            </w:pPr>
            <w:r>
              <w:rPr>
                <w:rFonts w:cs="Arial"/>
                <w:lang w:val="fr-FR"/>
              </w:rPr>
              <w:t>EOX</w:t>
            </w:r>
          </w:p>
        </w:tc>
        <w:tc>
          <w:tcPr>
            <w:tcW w:w="1559" w:type="dxa"/>
            <w:tcBorders>
              <w:bottom w:val="single" w:sz="4" w:space="0" w:color="auto"/>
            </w:tcBorders>
          </w:tcPr>
          <w:p>
            <w:pPr>
              <w:pStyle w:val="GesAbsatz"/>
              <w:ind w:left="57"/>
              <w:jc w:val="center"/>
              <w:rPr>
                <w:rFonts w:cs="Arial"/>
              </w:rPr>
            </w:pPr>
            <w:r>
              <w:rPr>
                <w:rFonts w:cs="Arial"/>
              </w:rPr>
              <w:t>Masse-%</w:t>
            </w:r>
          </w:p>
          <w:p>
            <w:pPr>
              <w:pStyle w:val="GesAbsatz"/>
              <w:ind w:left="57"/>
              <w:jc w:val="center"/>
              <w:rPr>
                <w:rFonts w:cs="Arial"/>
              </w:rPr>
            </w:pPr>
            <w:r>
              <w:rPr>
                <w:rFonts w:cs="Arial"/>
              </w:rPr>
              <w:t>mg/kg</w:t>
            </w:r>
          </w:p>
        </w:tc>
        <w:tc>
          <w:tcPr>
            <w:tcW w:w="1418" w:type="dxa"/>
            <w:tcBorders>
              <w:bottom w:val="single" w:sz="4" w:space="0" w:color="auto"/>
            </w:tcBorders>
          </w:tcPr>
          <w:p>
            <w:pPr>
              <w:pStyle w:val="GesAbsatz"/>
              <w:ind w:left="57"/>
              <w:jc w:val="center"/>
              <w:rPr>
                <w:rFonts w:cs="Arial"/>
                <w:vertAlign w:val="superscript"/>
              </w:rPr>
            </w:pPr>
            <w:r>
              <w:rPr>
                <w:rFonts w:cs="Arial"/>
              </w:rPr>
              <w:t>1</w:t>
            </w:r>
            <w:r>
              <w:rPr>
                <w:rStyle w:val="Funotenzeichen"/>
                <w:rFonts w:cs="Arial"/>
              </w:rPr>
              <w:footnoteReference w:id="4"/>
            </w:r>
          </w:p>
          <w:p>
            <w:pPr>
              <w:pStyle w:val="GesAbsatz"/>
              <w:ind w:left="57"/>
              <w:jc w:val="center"/>
              <w:rPr>
                <w:rFonts w:cs="Arial"/>
                <w:vertAlign w:val="superscript"/>
              </w:rPr>
            </w:pPr>
            <w:r>
              <w:rPr>
                <w:rFonts w:cs="Arial"/>
              </w:rPr>
              <w:t>3</w:t>
            </w:r>
          </w:p>
        </w:tc>
        <w:tc>
          <w:tcPr>
            <w:tcW w:w="1417" w:type="dxa"/>
            <w:tcBorders>
              <w:bottom w:val="single" w:sz="4" w:space="0" w:color="auto"/>
            </w:tcBorders>
          </w:tcPr>
          <w:p>
            <w:pPr>
              <w:pStyle w:val="GesAbsatz"/>
              <w:ind w:left="57"/>
              <w:jc w:val="center"/>
              <w:rPr>
                <w:rFonts w:cs="Arial"/>
              </w:rPr>
            </w:pPr>
            <w:r>
              <w:rPr>
                <w:rFonts w:cs="Arial"/>
              </w:rPr>
              <w:t>+</w:t>
            </w:r>
          </w:p>
          <w:p>
            <w:pPr>
              <w:pStyle w:val="GesAbsatz"/>
              <w:ind w:left="57"/>
              <w:jc w:val="center"/>
              <w:rPr>
                <w:rFonts w:cs="Arial"/>
              </w:rPr>
            </w:pPr>
            <w:r>
              <w:rPr>
                <w:rFonts w:cs="Arial"/>
              </w:rPr>
              <w:t>+</w:t>
            </w:r>
          </w:p>
        </w:tc>
        <w:tc>
          <w:tcPr>
            <w:tcW w:w="1559" w:type="dxa"/>
            <w:tcBorders>
              <w:bottom w:val="single" w:sz="4" w:space="0" w:color="auto"/>
            </w:tcBorders>
          </w:tcPr>
          <w:p>
            <w:pPr>
              <w:pStyle w:val="GesAbsatz"/>
              <w:ind w:left="57"/>
              <w:jc w:val="center"/>
              <w:rPr>
                <w:rFonts w:cs="Arial"/>
              </w:rPr>
            </w:pPr>
            <w:r>
              <w:rPr>
                <w:rFonts w:cs="Arial"/>
              </w:rPr>
              <w:t>+</w:t>
            </w:r>
          </w:p>
          <w:p>
            <w:pPr>
              <w:pStyle w:val="GesAbsatz"/>
              <w:ind w:left="57"/>
              <w:jc w:val="center"/>
              <w:rPr>
                <w:rFonts w:cs="Arial"/>
              </w:rPr>
            </w:pPr>
            <w:r>
              <w:rPr>
                <w:rFonts w:cs="Arial"/>
              </w:rPr>
              <w:t>+</w:t>
            </w:r>
          </w:p>
        </w:tc>
        <w:tc>
          <w:tcPr>
            <w:tcW w:w="1701" w:type="dxa"/>
            <w:tcBorders>
              <w:bottom w:val="single" w:sz="4" w:space="0" w:color="auto"/>
            </w:tcBorders>
          </w:tcPr>
          <w:p>
            <w:pPr>
              <w:pStyle w:val="GesAbsatz"/>
              <w:ind w:left="57"/>
              <w:jc w:val="center"/>
              <w:rPr>
                <w:rFonts w:cs="Arial"/>
              </w:rPr>
            </w:pPr>
          </w:p>
        </w:tc>
      </w:tr>
    </w:tbl>
    <w:p>
      <w:pPr>
        <w:pStyle w:val="GesAbsatz"/>
        <w:rPr>
          <w:rFonts w:cs="Arial"/>
        </w:rPr>
      </w:pPr>
    </w:p>
    <w:p>
      <w:pPr>
        <w:pStyle w:val="berschrift3"/>
        <w:jc w:val="left"/>
      </w:pPr>
      <w:bookmarkStart w:id="17" w:name="_Toc44306483"/>
      <w:r>
        <w:t>Anhang 5</w:t>
      </w:r>
      <w:bookmarkEnd w:id="17"/>
    </w:p>
    <w:p>
      <w:pPr>
        <w:pStyle w:val="GesAbsatz"/>
        <w:jc w:val="center"/>
        <w:rPr>
          <w:rFonts w:cs="Arial"/>
          <w:bCs/>
        </w:rPr>
      </w:pPr>
      <w:r>
        <w:rPr>
          <w:rFonts w:cs="Arial"/>
          <w:b/>
          <w:bCs/>
        </w:rPr>
        <w:t>Zuordnungswerte und Untersuchungen im Eluat für HMV Schlacken</w:t>
      </w:r>
    </w:p>
    <w:p>
      <w:pPr>
        <w:pStyle w:val="GesAbsatz"/>
        <w:rPr>
          <w:rFonts w:cs="Arial"/>
          <w:bCs/>
        </w:rPr>
      </w:pP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5"/>
        <w:gridCol w:w="1559"/>
        <w:gridCol w:w="1418"/>
        <w:gridCol w:w="1417"/>
        <w:gridCol w:w="1559"/>
        <w:gridCol w:w="1701"/>
      </w:tblGrid>
      <w:tr>
        <w:tc>
          <w:tcPr>
            <w:tcW w:w="1985" w:type="dxa"/>
          </w:tcPr>
          <w:p>
            <w:pPr>
              <w:pStyle w:val="GesAbsatz"/>
              <w:ind w:left="57"/>
              <w:jc w:val="center"/>
              <w:rPr>
                <w:rFonts w:cs="Arial"/>
                <w:b/>
                <w:bCs/>
              </w:rPr>
            </w:pPr>
            <w:r>
              <w:rPr>
                <w:rFonts w:cs="Arial"/>
                <w:b/>
                <w:bCs/>
              </w:rPr>
              <w:t>Parameter</w:t>
            </w:r>
          </w:p>
        </w:tc>
        <w:tc>
          <w:tcPr>
            <w:tcW w:w="1559" w:type="dxa"/>
          </w:tcPr>
          <w:p>
            <w:pPr>
              <w:pStyle w:val="GesAbsatz"/>
              <w:ind w:left="57"/>
              <w:jc w:val="center"/>
              <w:rPr>
                <w:rFonts w:cs="Arial"/>
                <w:b/>
                <w:bCs/>
              </w:rPr>
            </w:pPr>
            <w:r>
              <w:rPr>
                <w:rFonts w:cs="Arial"/>
                <w:b/>
                <w:bCs/>
              </w:rPr>
              <w:t>Dimension</w:t>
            </w:r>
          </w:p>
        </w:tc>
        <w:tc>
          <w:tcPr>
            <w:tcW w:w="1418" w:type="dxa"/>
          </w:tcPr>
          <w:p>
            <w:pPr>
              <w:pStyle w:val="GesAbsatz"/>
              <w:ind w:left="57"/>
              <w:jc w:val="center"/>
              <w:rPr>
                <w:rFonts w:cs="Arial"/>
                <w:b/>
                <w:bCs/>
              </w:rPr>
            </w:pPr>
            <w:r>
              <w:rPr>
                <w:rFonts w:cs="Arial"/>
                <w:b/>
                <w:bCs/>
              </w:rPr>
              <w:t>Zuordnungswert</w:t>
            </w:r>
          </w:p>
        </w:tc>
        <w:tc>
          <w:tcPr>
            <w:tcW w:w="1417" w:type="dxa"/>
          </w:tcPr>
          <w:p>
            <w:pPr>
              <w:pStyle w:val="GesAbsatz"/>
              <w:ind w:left="57"/>
              <w:jc w:val="center"/>
              <w:rPr>
                <w:rFonts w:cs="Arial"/>
                <w:b/>
                <w:bCs/>
              </w:rPr>
            </w:pPr>
            <w:r>
              <w:rPr>
                <w:rFonts w:cs="Arial"/>
                <w:b/>
                <w:bCs/>
              </w:rPr>
              <w:t>Eignungsfeststellung</w:t>
            </w:r>
          </w:p>
        </w:tc>
        <w:tc>
          <w:tcPr>
            <w:tcW w:w="1559" w:type="dxa"/>
          </w:tcPr>
          <w:p>
            <w:pPr>
              <w:pStyle w:val="GesAbsatz"/>
              <w:ind w:left="57"/>
              <w:jc w:val="center"/>
              <w:rPr>
                <w:rFonts w:cs="Arial"/>
                <w:b/>
                <w:bCs/>
              </w:rPr>
            </w:pPr>
            <w:r>
              <w:rPr>
                <w:rFonts w:cs="Arial"/>
                <w:b/>
                <w:bCs/>
              </w:rPr>
              <w:t>Fremdüberwachung</w:t>
            </w:r>
          </w:p>
        </w:tc>
        <w:tc>
          <w:tcPr>
            <w:tcW w:w="1701" w:type="dxa"/>
          </w:tcPr>
          <w:p>
            <w:pPr>
              <w:pStyle w:val="GesAbsatz"/>
              <w:ind w:left="57"/>
              <w:jc w:val="center"/>
              <w:rPr>
                <w:rFonts w:cs="Arial"/>
                <w:b/>
                <w:bCs/>
              </w:rPr>
            </w:pPr>
            <w:r>
              <w:rPr>
                <w:rFonts w:cs="Arial"/>
                <w:b/>
                <w:bCs/>
              </w:rPr>
              <w:t>Eigenkontrolle</w:t>
            </w:r>
          </w:p>
        </w:tc>
      </w:tr>
      <w:tr>
        <w:trPr>
          <w:cantSplit/>
          <w:trHeight w:val="1110"/>
        </w:trPr>
        <w:tc>
          <w:tcPr>
            <w:tcW w:w="1985" w:type="dxa"/>
            <w:tcBorders>
              <w:bottom w:val="single" w:sz="4" w:space="0" w:color="auto"/>
            </w:tcBorders>
          </w:tcPr>
          <w:p>
            <w:pPr>
              <w:pStyle w:val="GesAbsatz"/>
              <w:ind w:left="57"/>
              <w:rPr>
                <w:rFonts w:cs="Arial"/>
              </w:rPr>
            </w:pPr>
            <w:r>
              <w:rPr>
                <w:rFonts w:cs="Arial"/>
              </w:rPr>
              <w:t>Aussehen</w:t>
            </w:r>
          </w:p>
          <w:p>
            <w:pPr>
              <w:pStyle w:val="GesAbsatz"/>
              <w:ind w:left="57"/>
              <w:rPr>
                <w:rFonts w:cs="Arial"/>
              </w:rPr>
            </w:pPr>
            <w:r>
              <w:rPr>
                <w:rFonts w:cs="Arial"/>
              </w:rPr>
              <w:t>Trübung</w:t>
            </w:r>
          </w:p>
          <w:p>
            <w:pPr>
              <w:pStyle w:val="GesAbsatz"/>
              <w:ind w:left="57"/>
              <w:rPr>
                <w:rFonts w:cs="Arial"/>
              </w:rPr>
            </w:pPr>
            <w:r>
              <w:rPr>
                <w:rFonts w:cs="Arial"/>
              </w:rPr>
              <w:t>Geruch</w:t>
            </w:r>
          </w:p>
        </w:tc>
        <w:tc>
          <w:tcPr>
            <w:tcW w:w="1559" w:type="dxa"/>
            <w:tcBorders>
              <w:bottom w:val="single" w:sz="4" w:space="0" w:color="auto"/>
            </w:tcBorders>
          </w:tcPr>
          <w:p>
            <w:pPr>
              <w:pStyle w:val="GesAbsatz"/>
              <w:ind w:left="57"/>
              <w:jc w:val="center"/>
              <w:rPr>
                <w:rFonts w:cs="Arial"/>
              </w:rPr>
            </w:pPr>
            <w:r>
              <w:rPr>
                <w:rFonts w:cs="Arial"/>
              </w:rPr>
              <w:t>–</w:t>
            </w:r>
          </w:p>
          <w:p>
            <w:pPr>
              <w:pStyle w:val="GesAbsatz"/>
              <w:ind w:left="57"/>
              <w:jc w:val="center"/>
              <w:rPr>
                <w:rFonts w:cs="Arial"/>
              </w:rPr>
            </w:pPr>
            <w:r>
              <w:rPr>
                <w:rFonts w:cs="Arial"/>
              </w:rPr>
              <w:t>–</w:t>
            </w:r>
          </w:p>
          <w:p>
            <w:pPr>
              <w:pStyle w:val="GesAbsatz"/>
              <w:ind w:left="57"/>
              <w:jc w:val="center"/>
              <w:rPr>
                <w:rFonts w:cs="Arial"/>
              </w:rPr>
            </w:pPr>
            <w:r>
              <w:rPr>
                <w:rFonts w:cs="Arial"/>
              </w:rPr>
              <w:t>–</w:t>
            </w:r>
          </w:p>
        </w:tc>
        <w:tc>
          <w:tcPr>
            <w:tcW w:w="1418" w:type="dxa"/>
            <w:tcBorders>
              <w:bottom w:val="single" w:sz="4" w:space="0" w:color="auto"/>
            </w:tcBorders>
          </w:tcPr>
          <w:p>
            <w:pPr>
              <w:pStyle w:val="GesAbsatz"/>
              <w:ind w:left="57"/>
              <w:jc w:val="center"/>
              <w:rPr>
                <w:rFonts w:cs="Arial"/>
                <w:vertAlign w:val="superscript"/>
              </w:rPr>
            </w:pPr>
            <w:r>
              <w:rPr>
                <w:rFonts w:cs="Arial"/>
              </w:rPr>
              <w:t>–</w:t>
            </w:r>
            <w:r>
              <w:rPr>
                <w:rFonts w:cs="Arial"/>
                <w:vertAlign w:val="superscript"/>
              </w:rPr>
              <w:t>2</w:t>
            </w:r>
          </w:p>
          <w:p>
            <w:pPr>
              <w:pStyle w:val="GesAbsatz"/>
              <w:ind w:left="57"/>
              <w:jc w:val="center"/>
              <w:rPr>
                <w:rFonts w:cs="Arial"/>
                <w:vertAlign w:val="superscript"/>
              </w:rPr>
            </w:pPr>
            <w:r>
              <w:rPr>
                <w:rFonts w:cs="Arial"/>
              </w:rPr>
              <w:t>–</w:t>
            </w:r>
            <w:r>
              <w:rPr>
                <w:rFonts w:cs="Arial"/>
                <w:vertAlign w:val="superscript"/>
              </w:rPr>
              <w:t>2</w:t>
            </w:r>
          </w:p>
          <w:p>
            <w:pPr>
              <w:pStyle w:val="GesAbsatz"/>
              <w:ind w:left="57"/>
              <w:jc w:val="center"/>
              <w:rPr>
                <w:rFonts w:cs="Arial"/>
                <w:vertAlign w:val="superscript"/>
              </w:rPr>
            </w:pPr>
            <w:r>
              <w:rPr>
                <w:rFonts w:cs="Arial"/>
              </w:rPr>
              <w:t>–</w:t>
            </w:r>
            <w:r>
              <w:rPr>
                <w:rFonts w:cs="Arial"/>
                <w:vertAlign w:val="superscript"/>
              </w:rPr>
              <w:t>2</w:t>
            </w:r>
          </w:p>
        </w:tc>
        <w:tc>
          <w:tcPr>
            <w:tcW w:w="1417" w:type="dxa"/>
            <w:tcBorders>
              <w:bottom w:val="single" w:sz="4" w:space="0" w:color="auto"/>
            </w:tcBorders>
          </w:tcPr>
          <w:p>
            <w:pPr>
              <w:pStyle w:val="GesAbsatz"/>
              <w:ind w:left="57"/>
              <w:jc w:val="center"/>
              <w:rPr>
                <w:rFonts w:cs="Arial"/>
              </w:rPr>
            </w:pPr>
            <w:r>
              <w:rPr>
                <w:rFonts w:cs="Arial"/>
              </w:rPr>
              <w:t>+</w:t>
            </w:r>
          </w:p>
          <w:p>
            <w:pPr>
              <w:pStyle w:val="GesAbsatz"/>
              <w:ind w:left="57"/>
              <w:jc w:val="center"/>
              <w:rPr>
                <w:rFonts w:cs="Arial"/>
              </w:rPr>
            </w:pPr>
            <w:r>
              <w:rPr>
                <w:rFonts w:cs="Arial"/>
              </w:rPr>
              <w:t>+</w:t>
            </w:r>
          </w:p>
          <w:p>
            <w:pPr>
              <w:pStyle w:val="GesAbsatz"/>
              <w:ind w:left="57"/>
              <w:jc w:val="center"/>
              <w:rPr>
                <w:rFonts w:cs="Arial"/>
              </w:rPr>
            </w:pPr>
            <w:r>
              <w:rPr>
                <w:rFonts w:cs="Arial"/>
              </w:rPr>
              <w:t>+</w:t>
            </w:r>
          </w:p>
        </w:tc>
        <w:tc>
          <w:tcPr>
            <w:tcW w:w="1559" w:type="dxa"/>
            <w:tcBorders>
              <w:bottom w:val="single" w:sz="4" w:space="0" w:color="auto"/>
            </w:tcBorders>
          </w:tcPr>
          <w:p>
            <w:pPr>
              <w:pStyle w:val="GesAbsatz"/>
              <w:ind w:left="57"/>
              <w:jc w:val="center"/>
              <w:rPr>
                <w:rFonts w:cs="Arial"/>
              </w:rPr>
            </w:pPr>
            <w:r>
              <w:rPr>
                <w:rFonts w:cs="Arial"/>
              </w:rPr>
              <w:t>+</w:t>
            </w:r>
          </w:p>
          <w:p>
            <w:pPr>
              <w:pStyle w:val="GesAbsatz"/>
              <w:ind w:left="57"/>
              <w:jc w:val="center"/>
              <w:rPr>
                <w:rFonts w:cs="Arial"/>
              </w:rPr>
            </w:pPr>
            <w:r>
              <w:rPr>
                <w:rFonts w:cs="Arial"/>
              </w:rPr>
              <w:t>+</w:t>
            </w:r>
          </w:p>
          <w:p>
            <w:pPr>
              <w:pStyle w:val="GesAbsatz"/>
              <w:ind w:left="57"/>
              <w:jc w:val="center"/>
              <w:rPr>
                <w:rFonts w:cs="Arial"/>
              </w:rPr>
            </w:pPr>
            <w:r>
              <w:rPr>
                <w:rFonts w:cs="Arial"/>
              </w:rPr>
              <w:t>+</w:t>
            </w:r>
          </w:p>
        </w:tc>
        <w:tc>
          <w:tcPr>
            <w:tcW w:w="1701" w:type="dxa"/>
            <w:tcBorders>
              <w:bottom w:val="single" w:sz="4" w:space="0" w:color="auto"/>
            </w:tcBorders>
          </w:tcPr>
          <w:p>
            <w:pPr>
              <w:pStyle w:val="GesAbsatz"/>
              <w:ind w:left="57"/>
              <w:jc w:val="center"/>
              <w:rPr>
                <w:rFonts w:cs="Arial"/>
              </w:rPr>
            </w:pPr>
            <w:r>
              <w:rPr>
                <w:rFonts w:cs="Arial"/>
              </w:rPr>
              <w:t>+</w:t>
            </w:r>
          </w:p>
          <w:p>
            <w:pPr>
              <w:pStyle w:val="GesAbsatz"/>
              <w:ind w:left="57"/>
              <w:jc w:val="center"/>
              <w:rPr>
                <w:rFonts w:cs="Arial"/>
              </w:rPr>
            </w:pPr>
            <w:r>
              <w:rPr>
                <w:rFonts w:cs="Arial"/>
              </w:rPr>
              <w:t>+</w:t>
            </w:r>
          </w:p>
          <w:p>
            <w:pPr>
              <w:pStyle w:val="GesAbsatz"/>
              <w:ind w:left="57"/>
              <w:jc w:val="center"/>
              <w:rPr>
                <w:rFonts w:cs="Arial"/>
              </w:rPr>
            </w:pPr>
            <w:r>
              <w:rPr>
                <w:rFonts w:cs="Arial"/>
              </w:rPr>
              <w:t>+</w:t>
            </w:r>
          </w:p>
        </w:tc>
      </w:tr>
      <w:tr>
        <w:trPr>
          <w:cantSplit/>
          <w:trHeight w:val="719"/>
        </w:trPr>
        <w:tc>
          <w:tcPr>
            <w:tcW w:w="1985" w:type="dxa"/>
            <w:tcBorders>
              <w:bottom w:val="single" w:sz="4" w:space="0" w:color="auto"/>
            </w:tcBorders>
          </w:tcPr>
          <w:p>
            <w:pPr>
              <w:pStyle w:val="GesAbsatz"/>
              <w:ind w:left="57"/>
              <w:rPr>
                <w:rFonts w:cs="Arial"/>
              </w:rPr>
            </w:pPr>
            <w:r>
              <w:rPr>
                <w:rFonts w:cs="Arial"/>
              </w:rPr>
              <w:t>pH-Wert</w:t>
            </w:r>
          </w:p>
          <w:p>
            <w:pPr>
              <w:pStyle w:val="GesAbsatz"/>
              <w:ind w:left="57"/>
              <w:rPr>
                <w:rFonts w:cs="Arial"/>
              </w:rPr>
            </w:pPr>
            <w:r>
              <w:rPr>
                <w:rFonts w:cs="Arial"/>
              </w:rPr>
              <w:t>el. Leitfähigkeit</w:t>
            </w:r>
          </w:p>
        </w:tc>
        <w:tc>
          <w:tcPr>
            <w:tcW w:w="1559" w:type="dxa"/>
            <w:tcBorders>
              <w:bottom w:val="single" w:sz="4" w:space="0" w:color="auto"/>
            </w:tcBorders>
          </w:tcPr>
          <w:p>
            <w:pPr>
              <w:pStyle w:val="GesAbsatz"/>
              <w:ind w:left="57"/>
              <w:jc w:val="center"/>
              <w:rPr>
                <w:rFonts w:cs="Arial"/>
                <w:lang w:val="en-GB"/>
              </w:rPr>
            </w:pPr>
            <w:r>
              <w:rPr>
                <w:rFonts w:cs="Arial"/>
                <w:lang w:val="en-GB"/>
              </w:rPr>
              <w:t>–</w:t>
            </w:r>
          </w:p>
          <w:p>
            <w:pPr>
              <w:pStyle w:val="GesAbsatz"/>
              <w:ind w:left="57"/>
              <w:jc w:val="center"/>
              <w:rPr>
                <w:rFonts w:cs="Arial"/>
                <w:lang w:val="en-GB"/>
              </w:rPr>
            </w:pPr>
            <w:r>
              <w:rPr>
                <w:rFonts w:cs="Arial"/>
                <w:lang w:val="en-GB"/>
              </w:rPr>
              <w:t>µS/cm</w:t>
            </w:r>
          </w:p>
        </w:tc>
        <w:tc>
          <w:tcPr>
            <w:tcW w:w="1418" w:type="dxa"/>
            <w:tcBorders>
              <w:bottom w:val="single" w:sz="4" w:space="0" w:color="auto"/>
            </w:tcBorders>
          </w:tcPr>
          <w:p>
            <w:pPr>
              <w:pStyle w:val="GesAbsatz"/>
              <w:ind w:left="57"/>
              <w:jc w:val="center"/>
              <w:rPr>
                <w:rFonts w:cs="Arial"/>
                <w:lang w:val="en-GB"/>
              </w:rPr>
            </w:pPr>
            <w:r>
              <w:rPr>
                <w:rFonts w:cs="Arial"/>
                <w:lang w:val="en-GB"/>
              </w:rPr>
              <w:t>7–13</w:t>
            </w:r>
          </w:p>
          <w:p>
            <w:pPr>
              <w:pStyle w:val="GesAbsatz"/>
              <w:ind w:left="57"/>
              <w:jc w:val="center"/>
              <w:rPr>
                <w:rFonts w:cs="Arial"/>
                <w:lang w:val="en-GB"/>
              </w:rPr>
            </w:pPr>
            <w:r>
              <w:rPr>
                <w:rFonts w:cs="Arial"/>
                <w:lang w:val="en-GB"/>
              </w:rPr>
              <w:t>6000</w:t>
            </w:r>
          </w:p>
        </w:tc>
        <w:tc>
          <w:tcPr>
            <w:tcW w:w="1417" w:type="dxa"/>
            <w:tcBorders>
              <w:bottom w:val="single" w:sz="4" w:space="0" w:color="auto"/>
            </w:tcBorders>
          </w:tcPr>
          <w:p>
            <w:pPr>
              <w:pStyle w:val="GesAbsatz"/>
              <w:ind w:left="57"/>
              <w:jc w:val="center"/>
              <w:rPr>
                <w:rFonts w:cs="Arial"/>
                <w:lang w:val="en-GB"/>
              </w:rPr>
            </w:pPr>
            <w:r>
              <w:rPr>
                <w:rFonts w:cs="Arial"/>
                <w:lang w:val="en-GB"/>
              </w:rPr>
              <w:t>+</w:t>
            </w:r>
          </w:p>
          <w:p>
            <w:pPr>
              <w:pStyle w:val="GesAbsatz"/>
              <w:ind w:left="57"/>
              <w:jc w:val="center"/>
              <w:rPr>
                <w:rFonts w:cs="Arial"/>
                <w:lang w:val="en-GB"/>
              </w:rPr>
            </w:pPr>
            <w:r>
              <w:rPr>
                <w:rFonts w:cs="Arial"/>
                <w:lang w:val="en-GB"/>
              </w:rPr>
              <w:t>+</w:t>
            </w:r>
          </w:p>
        </w:tc>
        <w:tc>
          <w:tcPr>
            <w:tcW w:w="1559" w:type="dxa"/>
            <w:tcBorders>
              <w:bottom w:val="single" w:sz="4" w:space="0" w:color="auto"/>
            </w:tcBorders>
          </w:tcPr>
          <w:p>
            <w:pPr>
              <w:pStyle w:val="GesAbsatz"/>
              <w:ind w:left="57"/>
              <w:jc w:val="center"/>
              <w:rPr>
                <w:rFonts w:cs="Arial"/>
                <w:lang w:val="en-GB"/>
              </w:rPr>
            </w:pPr>
            <w:r>
              <w:rPr>
                <w:rFonts w:cs="Arial"/>
                <w:lang w:val="en-GB"/>
              </w:rPr>
              <w:t>+</w:t>
            </w:r>
          </w:p>
          <w:p>
            <w:pPr>
              <w:pStyle w:val="GesAbsatz"/>
              <w:ind w:left="57"/>
              <w:jc w:val="center"/>
              <w:rPr>
                <w:rFonts w:cs="Arial"/>
                <w:lang w:val="en-GB"/>
              </w:rPr>
            </w:pPr>
            <w:r>
              <w:rPr>
                <w:rFonts w:cs="Arial"/>
                <w:lang w:val="en-GB"/>
              </w:rPr>
              <w:t>+</w:t>
            </w:r>
          </w:p>
        </w:tc>
        <w:tc>
          <w:tcPr>
            <w:tcW w:w="1701" w:type="dxa"/>
            <w:tcBorders>
              <w:bottom w:val="single" w:sz="4" w:space="0" w:color="auto"/>
            </w:tcBorders>
          </w:tcPr>
          <w:p>
            <w:pPr>
              <w:pStyle w:val="GesAbsatz"/>
              <w:ind w:left="57"/>
              <w:jc w:val="center"/>
              <w:rPr>
                <w:rFonts w:cs="Arial"/>
                <w:lang w:val="en-GB"/>
              </w:rPr>
            </w:pPr>
            <w:r>
              <w:rPr>
                <w:rFonts w:cs="Arial"/>
                <w:lang w:val="en-GB"/>
              </w:rPr>
              <w:t>+</w:t>
            </w:r>
          </w:p>
          <w:p>
            <w:pPr>
              <w:pStyle w:val="GesAbsatz"/>
              <w:ind w:left="57"/>
              <w:jc w:val="center"/>
              <w:rPr>
                <w:rFonts w:cs="Arial"/>
                <w:lang w:val="en-GB"/>
              </w:rPr>
            </w:pPr>
            <w:r>
              <w:rPr>
                <w:rFonts w:cs="Arial"/>
                <w:lang w:val="en-GB"/>
              </w:rPr>
              <w:t>+</w:t>
            </w:r>
          </w:p>
        </w:tc>
      </w:tr>
      <w:tr>
        <w:tc>
          <w:tcPr>
            <w:tcW w:w="1985" w:type="dxa"/>
          </w:tcPr>
          <w:p>
            <w:pPr>
              <w:pStyle w:val="GesAbsatz"/>
              <w:ind w:left="57"/>
              <w:rPr>
                <w:rFonts w:cs="Arial"/>
                <w:lang w:val="en-GB"/>
              </w:rPr>
            </w:pPr>
            <w:r>
              <w:rPr>
                <w:rFonts w:cs="Arial"/>
                <w:lang w:val="en-GB"/>
              </w:rPr>
              <w:t>DOC</w:t>
            </w:r>
          </w:p>
        </w:tc>
        <w:tc>
          <w:tcPr>
            <w:tcW w:w="1559" w:type="dxa"/>
          </w:tcPr>
          <w:p>
            <w:pPr>
              <w:pStyle w:val="GesAbsatz"/>
              <w:ind w:left="57"/>
              <w:jc w:val="center"/>
              <w:rPr>
                <w:rFonts w:cs="Arial"/>
              </w:rPr>
            </w:pPr>
            <w:r>
              <w:rPr>
                <w:rFonts w:cs="Arial"/>
              </w:rPr>
              <w:t>µg/l</w:t>
            </w:r>
          </w:p>
        </w:tc>
        <w:tc>
          <w:tcPr>
            <w:tcW w:w="1418" w:type="dxa"/>
          </w:tcPr>
          <w:p>
            <w:pPr>
              <w:pStyle w:val="GesAbsatz"/>
              <w:ind w:left="57"/>
              <w:jc w:val="center"/>
              <w:rPr>
                <w:rFonts w:cs="Arial"/>
                <w:vertAlign w:val="superscript"/>
              </w:rPr>
            </w:pPr>
            <w:r>
              <w:rPr>
                <w:rFonts w:cs="Arial"/>
              </w:rPr>
              <w:t>–</w:t>
            </w:r>
            <w:r>
              <w:rPr>
                <w:rStyle w:val="Funotenzeichen"/>
                <w:rFonts w:cs="Arial"/>
              </w:rPr>
              <w:footnoteReference w:id="5"/>
            </w:r>
          </w:p>
        </w:tc>
        <w:tc>
          <w:tcPr>
            <w:tcW w:w="1417" w:type="dxa"/>
          </w:tcPr>
          <w:p>
            <w:pPr>
              <w:pStyle w:val="GesAbsatz"/>
              <w:ind w:left="57"/>
              <w:jc w:val="center"/>
              <w:rPr>
                <w:rFonts w:cs="Arial"/>
              </w:rPr>
            </w:pPr>
            <w:r>
              <w:rPr>
                <w:rFonts w:cs="Arial"/>
              </w:rPr>
              <w:t>+</w:t>
            </w:r>
          </w:p>
        </w:tc>
        <w:tc>
          <w:tcPr>
            <w:tcW w:w="1559" w:type="dxa"/>
          </w:tcPr>
          <w:p>
            <w:pPr>
              <w:pStyle w:val="GesAbsatz"/>
              <w:ind w:left="57"/>
              <w:jc w:val="center"/>
              <w:rPr>
                <w:rFonts w:cs="Arial"/>
              </w:rPr>
            </w:pPr>
          </w:p>
        </w:tc>
        <w:tc>
          <w:tcPr>
            <w:tcW w:w="1701" w:type="dxa"/>
          </w:tcPr>
          <w:p>
            <w:pPr>
              <w:pStyle w:val="GesAbsatz"/>
              <w:ind w:left="57"/>
              <w:jc w:val="center"/>
              <w:rPr>
                <w:rFonts w:cs="Arial"/>
              </w:rPr>
            </w:pPr>
          </w:p>
        </w:tc>
      </w:tr>
      <w:tr>
        <w:trPr>
          <w:cantSplit/>
          <w:trHeight w:val="2734"/>
        </w:trPr>
        <w:tc>
          <w:tcPr>
            <w:tcW w:w="1985" w:type="dxa"/>
            <w:tcBorders>
              <w:bottom w:val="single" w:sz="4" w:space="0" w:color="auto"/>
            </w:tcBorders>
          </w:tcPr>
          <w:p>
            <w:pPr>
              <w:pStyle w:val="GesAbsatz"/>
              <w:ind w:left="57"/>
              <w:rPr>
                <w:rFonts w:cs="Arial"/>
              </w:rPr>
            </w:pPr>
            <w:r>
              <w:rPr>
                <w:rFonts w:cs="Arial"/>
              </w:rPr>
              <w:t>Arsen</w:t>
            </w:r>
          </w:p>
          <w:p>
            <w:pPr>
              <w:pStyle w:val="GesAbsatz"/>
              <w:ind w:left="57"/>
              <w:rPr>
                <w:rFonts w:cs="Arial"/>
              </w:rPr>
            </w:pPr>
            <w:r>
              <w:rPr>
                <w:rFonts w:cs="Arial"/>
              </w:rPr>
              <w:t>Blei</w:t>
            </w:r>
          </w:p>
          <w:p>
            <w:pPr>
              <w:pStyle w:val="GesAbsatz"/>
              <w:ind w:left="57"/>
              <w:rPr>
                <w:rFonts w:cs="Arial"/>
                <w:lang w:val="en-GB"/>
              </w:rPr>
            </w:pPr>
            <w:r>
              <w:rPr>
                <w:rFonts w:cs="Arial"/>
                <w:lang w:val="en-GB"/>
              </w:rPr>
              <w:t>Cadmium</w:t>
            </w:r>
          </w:p>
          <w:p>
            <w:pPr>
              <w:pStyle w:val="GesAbsatz"/>
              <w:ind w:left="57"/>
              <w:rPr>
                <w:rFonts w:cs="Arial"/>
                <w:lang w:val="en-GB"/>
              </w:rPr>
            </w:pPr>
            <w:r>
              <w:rPr>
                <w:rFonts w:cs="Arial"/>
                <w:lang w:val="en-GB"/>
              </w:rPr>
              <w:t>Chrom ges.</w:t>
            </w:r>
          </w:p>
          <w:p>
            <w:pPr>
              <w:pStyle w:val="GesAbsatz"/>
              <w:ind w:left="57"/>
              <w:rPr>
                <w:rFonts w:cs="Arial"/>
              </w:rPr>
            </w:pPr>
            <w:r>
              <w:rPr>
                <w:rFonts w:cs="Arial"/>
              </w:rPr>
              <w:t>Kupfer</w:t>
            </w:r>
          </w:p>
          <w:p>
            <w:pPr>
              <w:pStyle w:val="GesAbsatz"/>
              <w:ind w:left="57"/>
              <w:rPr>
                <w:rFonts w:cs="Arial"/>
              </w:rPr>
            </w:pPr>
            <w:r>
              <w:rPr>
                <w:rFonts w:cs="Arial"/>
              </w:rPr>
              <w:t>Nickel</w:t>
            </w:r>
          </w:p>
          <w:p>
            <w:pPr>
              <w:pStyle w:val="GesAbsatz"/>
              <w:ind w:left="57"/>
              <w:rPr>
                <w:rFonts w:cs="Arial"/>
              </w:rPr>
            </w:pPr>
            <w:r>
              <w:rPr>
                <w:rFonts w:cs="Arial"/>
              </w:rPr>
              <w:t>Quecksilber</w:t>
            </w:r>
          </w:p>
          <w:p>
            <w:pPr>
              <w:pStyle w:val="GesAbsatz"/>
              <w:ind w:left="57"/>
              <w:rPr>
                <w:rFonts w:cs="Arial"/>
              </w:rPr>
            </w:pPr>
            <w:r>
              <w:rPr>
                <w:rFonts w:cs="Arial"/>
              </w:rPr>
              <w:t>Zink</w:t>
            </w:r>
          </w:p>
        </w:tc>
        <w:tc>
          <w:tcPr>
            <w:tcW w:w="1559" w:type="dxa"/>
            <w:tcBorders>
              <w:bottom w:val="single" w:sz="4" w:space="0" w:color="auto"/>
            </w:tcBorders>
          </w:tcPr>
          <w:p>
            <w:pPr>
              <w:pStyle w:val="GesAbsatz"/>
              <w:ind w:left="57"/>
              <w:jc w:val="center"/>
              <w:rPr>
                <w:rFonts w:cs="Arial"/>
              </w:rPr>
            </w:pPr>
            <w:r>
              <w:rPr>
                <w:rFonts w:cs="Arial"/>
              </w:rPr>
              <w:t>µg/l</w:t>
            </w:r>
          </w:p>
          <w:p>
            <w:pPr>
              <w:pStyle w:val="GesAbsatz"/>
              <w:ind w:left="57"/>
              <w:jc w:val="center"/>
              <w:rPr>
                <w:rFonts w:cs="Arial"/>
              </w:rPr>
            </w:pPr>
            <w:r>
              <w:rPr>
                <w:rFonts w:cs="Arial"/>
              </w:rPr>
              <w:t>µg/l</w:t>
            </w:r>
          </w:p>
          <w:p>
            <w:pPr>
              <w:pStyle w:val="GesAbsatz"/>
              <w:ind w:left="57"/>
              <w:jc w:val="center"/>
              <w:rPr>
                <w:rFonts w:cs="Arial"/>
              </w:rPr>
            </w:pPr>
            <w:r>
              <w:rPr>
                <w:rFonts w:cs="Arial"/>
              </w:rPr>
              <w:t>µg/l</w:t>
            </w:r>
          </w:p>
          <w:p>
            <w:pPr>
              <w:pStyle w:val="GesAbsatz"/>
              <w:ind w:left="57"/>
              <w:jc w:val="center"/>
              <w:rPr>
                <w:rFonts w:cs="Arial"/>
              </w:rPr>
            </w:pPr>
            <w:r>
              <w:rPr>
                <w:rFonts w:cs="Arial"/>
              </w:rPr>
              <w:t>µg/l</w:t>
            </w:r>
          </w:p>
          <w:p>
            <w:pPr>
              <w:pStyle w:val="GesAbsatz"/>
              <w:ind w:left="57"/>
              <w:jc w:val="center"/>
              <w:rPr>
                <w:rFonts w:cs="Arial"/>
              </w:rPr>
            </w:pPr>
            <w:r>
              <w:rPr>
                <w:rFonts w:cs="Arial"/>
              </w:rPr>
              <w:t>µg/l</w:t>
            </w:r>
          </w:p>
          <w:p>
            <w:pPr>
              <w:pStyle w:val="GesAbsatz"/>
              <w:ind w:left="57"/>
              <w:jc w:val="center"/>
              <w:rPr>
                <w:rFonts w:cs="Arial"/>
              </w:rPr>
            </w:pPr>
            <w:r>
              <w:rPr>
                <w:rFonts w:cs="Arial"/>
              </w:rPr>
              <w:t>µg/l</w:t>
            </w:r>
          </w:p>
          <w:p>
            <w:pPr>
              <w:pStyle w:val="GesAbsatz"/>
              <w:ind w:left="57"/>
              <w:jc w:val="center"/>
              <w:rPr>
                <w:rFonts w:cs="Arial"/>
              </w:rPr>
            </w:pPr>
            <w:r>
              <w:rPr>
                <w:rFonts w:cs="Arial"/>
              </w:rPr>
              <w:t>µg/l</w:t>
            </w:r>
          </w:p>
          <w:p>
            <w:pPr>
              <w:pStyle w:val="GesAbsatz"/>
              <w:ind w:left="57"/>
              <w:jc w:val="center"/>
              <w:rPr>
                <w:rFonts w:cs="Arial"/>
              </w:rPr>
            </w:pPr>
            <w:r>
              <w:rPr>
                <w:rFonts w:cs="Arial"/>
              </w:rPr>
              <w:t>µg/l</w:t>
            </w:r>
          </w:p>
        </w:tc>
        <w:tc>
          <w:tcPr>
            <w:tcW w:w="1418" w:type="dxa"/>
            <w:tcBorders>
              <w:bottom w:val="single" w:sz="4" w:space="0" w:color="auto"/>
            </w:tcBorders>
          </w:tcPr>
          <w:p>
            <w:pPr>
              <w:pStyle w:val="GesAbsatz"/>
              <w:ind w:left="57"/>
              <w:jc w:val="center"/>
              <w:rPr>
                <w:rFonts w:cs="Arial"/>
                <w:vertAlign w:val="superscript"/>
                <w:lang w:val="en-GB"/>
              </w:rPr>
            </w:pPr>
            <w:r>
              <w:rPr>
                <w:rFonts w:cs="Arial"/>
                <w:lang w:val="en-GB"/>
              </w:rPr>
              <w:t>–</w:t>
            </w:r>
            <w:r>
              <w:rPr>
                <w:rFonts w:cs="Arial"/>
                <w:vertAlign w:val="superscript"/>
                <w:lang w:val="en-GB"/>
              </w:rPr>
              <w:t>4</w:t>
            </w:r>
          </w:p>
          <w:p>
            <w:pPr>
              <w:pStyle w:val="GesAbsatz"/>
              <w:ind w:left="57"/>
              <w:jc w:val="center"/>
              <w:rPr>
                <w:rFonts w:cs="Arial"/>
                <w:lang w:val="en-GB"/>
              </w:rPr>
            </w:pPr>
            <w:r>
              <w:rPr>
                <w:rFonts w:cs="Arial"/>
                <w:lang w:val="en-GB"/>
              </w:rPr>
              <w:t>50</w:t>
            </w:r>
          </w:p>
          <w:p>
            <w:pPr>
              <w:pStyle w:val="GesAbsatz"/>
              <w:ind w:left="57"/>
              <w:jc w:val="center"/>
              <w:rPr>
                <w:rFonts w:cs="Arial"/>
                <w:lang w:val="en-GB"/>
              </w:rPr>
            </w:pPr>
            <w:r>
              <w:rPr>
                <w:rFonts w:cs="Arial"/>
                <w:lang w:val="en-GB"/>
              </w:rPr>
              <w:t>5</w:t>
            </w:r>
          </w:p>
          <w:p>
            <w:pPr>
              <w:pStyle w:val="GesAbsatz"/>
              <w:ind w:left="57"/>
              <w:jc w:val="center"/>
              <w:rPr>
                <w:rFonts w:cs="Arial"/>
                <w:lang w:val="en-GB"/>
              </w:rPr>
            </w:pPr>
            <w:r>
              <w:rPr>
                <w:rFonts w:cs="Arial"/>
                <w:lang w:val="en-GB"/>
              </w:rPr>
              <w:t>200</w:t>
            </w:r>
          </w:p>
          <w:p>
            <w:pPr>
              <w:pStyle w:val="GesAbsatz"/>
              <w:ind w:left="57"/>
              <w:jc w:val="center"/>
              <w:rPr>
                <w:rFonts w:cs="Arial"/>
                <w:lang w:val="en-GB"/>
              </w:rPr>
            </w:pPr>
            <w:r>
              <w:rPr>
                <w:rFonts w:cs="Arial"/>
                <w:lang w:val="en-GB"/>
              </w:rPr>
              <w:t>300</w:t>
            </w:r>
          </w:p>
          <w:p>
            <w:pPr>
              <w:pStyle w:val="GesAbsatz"/>
              <w:ind w:left="57"/>
              <w:jc w:val="center"/>
              <w:rPr>
                <w:rFonts w:cs="Arial"/>
                <w:lang w:val="en-GB"/>
              </w:rPr>
            </w:pPr>
            <w:r>
              <w:rPr>
                <w:rFonts w:cs="Arial"/>
                <w:lang w:val="en-GB"/>
              </w:rPr>
              <w:t>40</w:t>
            </w:r>
          </w:p>
          <w:p>
            <w:pPr>
              <w:pStyle w:val="GesAbsatz"/>
              <w:ind w:left="57"/>
              <w:jc w:val="center"/>
              <w:rPr>
                <w:rFonts w:cs="Arial"/>
                <w:lang w:val="en-GB"/>
              </w:rPr>
            </w:pPr>
            <w:r>
              <w:rPr>
                <w:rFonts w:cs="Arial"/>
                <w:lang w:val="en-GB"/>
              </w:rPr>
              <w:t>1</w:t>
            </w:r>
          </w:p>
          <w:p>
            <w:pPr>
              <w:pStyle w:val="GesAbsatz"/>
              <w:ind w:left="57"/>
              <w:jc w:val="center"/>
              <w:rPr>
                <w:rFonts w:cs="Arial"/>
                <w:vertAlign w:val="superscript"/>
                <w:lang w:val="en-GB"/>
              </w:rPr>
            </w:pPr>
            <w:r>
              <w:rPr>
                <w:rFonts w:cs="Arial"/>
                <w:lang w:val="en-GB"/>
              </w:rPr>
              <w:t>300</w:t>
            </w:r>
          </w:p>
        </w:tc>
        <w:tc>
          <w:tcPr>
            <w:tcW w:w="1417" w:type="dxa"/>
            <w:tcBorders>
              <w:bottom w:val="single" w:sz="4" w:space="0" w:color="auto"/>
            </w:tcBorders>
          </w:tcPr>
          <w:p>
            <w:pPr>
              <w:pStyle w:val="GesAbsatz"/>
              <w:ind w:left="57"/>
              <w:jc w:val="center"/>
              <w:rPr>
                <w:rFonts w:cs="Arial"/>
                <w:lang w:val="en-GB"/>
              </w:rPr>
            </w:pPr>
            <w:r>
              <w:rPr>
                <w:rFonts w:cs="Arial"/>
                <w:lang w:val="en-GB"/>
              </w:rPr>
              <w:t>+</w:t>
            </w:r>
          </w:p>
          <w:p>
            <w:pPr>
              <w:pStyle w:val="GesAbsatz"/>
              <w:ind w:left="57"/>
              <w:jc w:val="center"/>
              <w:rPr>
                <w:rFonts w:cs="Arial"/>
                <w:lang w:val="en-GB"/>
              </w:rPr>
            </w:pPr>
            <w:r>
              <w:rPr>
                <w:rFonts w:cs="Arial"/>
                <w:lang w:val="en-GB"/>
              </w:rPr>
              <w:t>+</w:t>
            </w:r>
          </w:p>
          <w:p>
            <w:pPr>
              <w:pStyle w:val="GesAbsatz"/>
              <w:ind w:left="57"/>
              <w:jc w:val="center"/>
              <w:rPr>
                <w:rFonts w:cs="Arial"/>
                <w:lang w:val="en-GB"/>
              </w:rPr>
            </w:pPr>
            <w:r>
              <w:rPr>
                <w:rFonts w:cs="Arial"/>
                <w:lang w:val="en-GB"/>
              </w:rPr>
              <w:t>+</w:t>
            </w:r>
          </w:p>
          <w:p>
            <w:pPr>
              <w:pStyle w:val="GesAbsatz"/>
              <w:ind w:left="57"/>
              <w:jc w:val="center"/>
              <w:rPr>
                <w:rFonts w:cs="Arial"/>
                <w:lang w:val="en-GB"/>
              </w:rPr>
            </w:pPr>
            <w:r>
              <w:rPr>
                <w:rFonts w:cs="Arial"/>
                <w:lang w:val="en-GB"/>
              </w:rPr>
              <w:t>+</w:t>
            </w:r>
          </w:p>
          <w:p>
            <w:pPr>
              <w:pStyle w:val="GesAbsatz"/>
              <w:ind w:left="57"/>
              <w:jc w:val="center"/>
              <w:rPr>
                <w:rFonts w:cs="Arial"/>
                <w:lang w:val="en-GB"/>
              </w:rPr>
            </w:pPr>
            <w:r>
              <w:rPr>
                <w:rFonts w:cs="Arial"/>
                <w:lang w:val="en-GB"/>
              </w:rPr>
              <w:t>+</w:t>
            </w:r>
          </w:p>
          <w:p>
            <w:pPr>
              <w:pStyle w:val="GesAbsatz"/>
              <w:ind w:left="57"/>
              <w:jc w:val="center"/>
              <w:rPr>
                <w:rFonts w:cs="Arial"/>
                <w:lang w:val="en-GB"/>
              </w:rPr>
            </w:pPr>
            <w:r>
              <w:rPr>
                <w:rFonts w:cs="Arial"/>
                <w:lang w:val="en-GB"/>
              </w:rPr>
              <w:t>+</w:t>
            </w:r>
          </w:p>
          <w:p>
            <w:pPr>
              <w:pStyle w:val="GesAbsatz"/>
              <w:ind w:left="57"/>
              <w:jc w:val="center"/>
              <w:rPr>
                <w:rFonts w:cs="Arial"/>
                <w:lang w:val="en-GB"/>
              </w:rPr>
            </w:pPr>
            <w:r>
              <w:rPr>
                <w:rFonts w:cs="Arial"/>
                <w:lang w:val="en-GB"/>
              </w:rPr>
              <w:t>+</w:t>
            </w:r>
          </w:p>
          <w:p>
            <w:pPr>
              <w:pStyle w:val="GesAbsatz"/>
              <w:ind w:left="57"/>
              <w:jc w:val="center"/>
              <w:rPr>
                <w:rFonts w:cs="Arial"/>
                <w:lang w:val="en-GB"/>
              </w:rPr>
            </w:pPr>
            <w:r>
              <w:rPr>
                <w:rFonts w:cs="Arial"/>
                <w:lang w:val="en-GB"/>
              </w:rPr>
              <w:t>+</w:t>
            </w:r>
          </w:p>
        </w:tc>
        <w:tc>
          <w:tcPr>
            <w:tcW w:w="1559" w:type="dxa"/>
            <w:tcBorders>
              <w:bottom w:val="single" w:sz="4" w:space="0" w:color="auto"/>
            </w:tcBorders>
          </w:tcPr>
          <w:p>
            <w:pPr>
              <w:pStyle w:val="GesAbsatz"/>
              <w:ind w:left="57"/>
              <w:jc w:val="center"/>
              <w:rPr>
                <w:rFonts w:cs="Arial"/>
                <w:lang w:val="en-GB"/>
              </w:rPr>
            </w:pPr>
            <w:r>
              <w:rPr>
                <w:rFonts w:cs="Arial"/>
                <w:lang w:val="en-GB"/>
              </w:rPr>
              <w:t>+</w:t>
            </w:r>
          </w:p>
          <w:p>
            <w:pPr>
              <w:pStyle w:val="GesAbsatz"/>
              <w:ind w:left="57"/>
              <w:jc w:val="center"/>
              <w:rPr>
                <w:rFonts w:cs="Arial"/>
                <w:lang w:val="en-GB"/>
              </w:rPr>
            </w:pPr>
            <w:r>
              <w:rPr>
                <w:rFonts w:cs="Arial"/>
                <w:lang w:val="en-GB"/>
              </w:rPr>
              <w:t>+</w:t>
            </w:r>
          </w:p>
          <w:p>
            <w:pPr>
              <w:pStyle w:val="GesAbsatz"/>
              <w:ind w:left="57"/>
              <w:jc w:val="center"/>
              <w:rPr>
                <w:rFonts w:cs="Arial"/>
                <w:lang w:val="en-GB"/>
              </w:rPr>
            </w:pPr>
            <w:r>
              <w:rPr>
                <w:rFonts w:cs="Arial"/>
                <w:lang w:val="en-GB"/>
              </w:rPr>
              <w:t>+</w:t>
            </w:r>
          </w:p>
          <w:p>
            <w:pPr>
              <w:pStyle w:val="GesAbsatz"/>
              <w:ind w:left="57"/>
              <w:jc w:val="center"/>
              <w:rPr>
                <w:rFonts w:cs="Arial"/>
                <w:lang w:val="en-GB"/>
              </w:rPr>
            </w:pPr>
            <w:r>
              <w:rPr>
                <w:rFonts w:cs="Arial"/>
                <w:lang w:val="en-GB"/>
              </w:rPr>
              <w:t>+</w:t>
            </w:r>
          </w:p>
          <w:p>
            <w:pPr>
              <w:pStyle w:val="GesAbsatz"/>
              <w:ind w:left="57"/>
              <w:jc w:val="center"/>
              <w:rPr>
                <w:rFonts w:cs="Arial"/>
                <w:lang w:val="en-GB"/>
              </w:rPr>
            </w:pPr>
            <w:r>
              <w:rPr>
                <w:rFonts w:cs="Arial"/>
                <w:lang w:val="en-GB"/>
              </w:rPr>
              <w:t>+</w:t>
            </w:r>
          </w:p>
          <w:p>
            <w:pPr>
              <w:pStyle w:val="GesAbsatz"/>
              <w:ind w:left="57"/>
              <w:jc w:val="center"/>
              <w:rPr>
                <w:rFonts w:cs="Arial"/>
                <w:lang w:val="en-GB"/>
              </w:rPr>
            </w:pPr>
            <w:r>
              <w:rPr>
                <w:rFonts w:cs="Arial"/>
                <w:lang w:val="en-GB"/>
              </w:rPr>
              <w:t>+</w:t>
            </w:r>
          </w:p>
          <w:p>
            <w:pPr>
              <w:pStyle w:val="GesAbsatz"/>
              <w:ind w:left="57"/>
              <w:jc w:val="center"/>
              <w:rPr>
                <w:rFonts w:cs="Arial"/>
                <w:lang w:val="en-GB"/>
              </w:rPr>
            </w:pPr>
            <w:r>
              <w:rPr>
                <w:rFonts w:cs="Arial"/>
                <w:lang w:val="en-GB"/>
              </w:rPr>
              <w:t>+</w:t>
            </w:r>
          </w:p>
        </w:tc>
        <w:tc>
          <w:tcPr>
            <w:tcW w:w="1701" w:type="dxa"/>
            <w:tcBorders>
              <w:bottom w:val="single" w:sz="4" w:space="0" w:color="auto"/>
            </w:tcBorders>
          </w:tcPr>
          <w:p>
            <w:pPr>
              <w:pStyle w:val="GesAbsatz"/>
              <w:ind w:left="57"/>
              <w:jc w:val="center"/>
              <w:rPr>
                <w:rFonts w:cs="Arial"/>
                <w:lang w:val="en-GB"/>
              </w:rPr>
            </w:pPr>
          </w:p>
        </w:tc>
      </w:tr>
      <w:tr>
        <w:trPr>
          <w:cantSplit/>
          <w:trHeight w:val="1017"/>
        </w:trPr>
        <w:tc>
          <w:tcPr>
            <w:tcW w:w="1985" w:type="dxa"/>
            <w:tcBorders>
              <w:bottom w:val="single" w:sz="4" w:space="0" w:color="auto"/>
            </w:tcBorders>
          </w:tcPr>
          <w:p>
            <w:pPr>
              <w:pStyle w:val="GesAbsatz"/>
              <w:ind w:left="57"/>
              <w:rPr>
                <w:rFonts w:cs="Arial"/>
                <w:lang w:val="en-GB"/>
              </w:rPr>
            </w:pPr>
            <w:r>
              <w:rPr>
                <w:rFonts w:cs="Arial"/>
                <w:lang w:val="en-GB"/>
              </w:rPr>
              <w:t>Chlorid</w:t>
            </w:r>
          </w:p>
          <w:p>
            <w:pPr>
              <w:pStyle w:val="GesAbsatz"/>
              <w:ind w:left="57"/>
              <w:rPr>
                <w:rFonts w:cs="Arial"/>
                <w:lang w:val="en-GB"/>
              </w:rPr>
            </w:pPr>
            <w:r>
              <w:rPr>
                <w:rFonts w:cs="Arial"/>
                <w:lang w:val="en-GB"/>
              </w:rPr>
              <w:t>Sulfat</w:t>
            </w:r>
          </w:p>
          <w:p>
            <w:pPr>
              <w:pStyle w:val="GesAbsatz"/>
              <w:ind w:left="57"/>
              <w:rPr>
                <w:rFonts w:cs="Arial"/>
                <w:lang w:val="en-GB"/>
              </w:rPr>
            </w:pPr>
            <w:r>
              <w:rPr>
                <w:rFonts w:cs="Arial"/>
                <w:lang w:val="en-GB"/>
              </w:rPr>
              <w:t>Cyanid (l. fr.)</w:t>
            </w:r>
          </w:p>
        </w:tc>
        <w:tc>
          <w:tcPr>
            <w:tcW w:w="1559" w:type="dxa"/>
            <w:tcBorders>
              <w:bottom w:val="single" w:sz="4" w:space="0" w:color="auto"/>
            </w:tcBorders>
          </w:tcPr>
          <w:p>
            <w:pPr>
              <w:pStyle w:val="GesAbsatz"/>
              <w:ind w:left="57"/>
              <w:jc w:val="center"/>
              <w:rPr>
                <w:rFonts w:cs="Arial"/>
              </w:rPr>
            </w:pPr>
            <w:r>
              <w:rPr>
                <w:rFonts w:cs="Arial"/>
              </w:rPr>
              <w:t>mg/l</w:t>
            </w:r>
          </w:p>
          <w:p>
            <w:pPr>
              <w:pStyle w:val="GesAbsatz"/>
              <w:ind w:left="57"/>
              <w:jc w:val="center"/>
              <w:rPr>
                <w:rFonts w:cs="Arial"/>
              </w:rPr>
            </w:pPr>
            <w:r>
              <w:rPr>
                <w:rFonts w:cs="Arial"/>
              </w:rPr>
              <w:t>mg/l</w:t>
            </w:r>
          </w:p>
          <w:p>
            <w:pPr>
              <w:pStyle w:val="GesAbsatz"/>
              <w:ind w:left="57"/>
              <w:jc w:val="center"/>
              <w:rPr>
                <w:rFonts w:cs="Arial"/>
              </w:rPr>
            </w:pPr>
            <w:r>
              <w:rPr>
                <w:rFonts w:cs="Arial"/>
              </w:rPr>
              <w:t>mg/l</w:t>
            </w:r>
          </w:p>
        </w:tc>
        <w:tc>
          <w:tcPr>
            <w:tcW w:w="1418" w:type="dxa"/>
            <w:tcBorders>
              <w:bottom w:val="single" w:sz="4" w:space="0" w:color="auto"/>
            </w:tcBorders>
          </w:tcPr>
          <w:p>
            <w:pPr>
              <w:pStyle w:val="GesAbsatz"/>
              <w:ind w:left="57"/>
              <w:jc w:val="center"/>
              <w:rPr>
                <w:rFonts w:cs="Arial"/>
              </w:rPr>
            </w:pPr>
            <w:r>
              <w:rPr>
                <w:rFonts w:cs="Arial"/>
              </w:rPr>
              <w:t>250</w:t>
            </w:r>
          </w:p>
          <w:p>
            <w:pPr>
              <w:pStyle w:val="GesAbsatz"/>
              <w:ind w:left="57"/>
              <w:jc w:val="center"/>
              <w:rPr>
                <w:rFonts w:cs="Arial"/>
              </w:rPr>
            </w:pPr>
            <w:r>
              <w:rPr>
                <w:rFonts w:cs="Arial"/>
              </w:rPr>
              <w:t>600</w:t>
            </w:r>
          </w:p>
          <w:p>
            <w:pPr>
              <w:pStyle w:val="GesAbsatz"/>
              <w:ind w:left="57"/>
              <w:jc w:val="center"/>
              <w:rPr>
                <w:rFonts w:cs="Arial"/>
              </w:rPr>
            </w:pPr>
            <w:r>
              <w:rPr>
                <w:rFonts w:cs="Arial"/>
              </w:rPr>
              <w:t>0,02</w:t>
            </w:r>
          </w:p>
        </w:tc>
        <w:tc>
          <w:tcPr>
            <w:tcW w:w="1417" w:type="dxa"/>
            <w:tcBorders>
              <w:bottom w:val="single" w:sz="4" w:space="0" w:color="auto"/>
            </w:tcBorders>
          </w:tcPr>
          <w:p>
            <w:pPr>
              <w:pStyle w:val="GesAbsatz"/>
              <w:ind w:left="57"/>
              <w:jc w:val="center"/>
              <w:rPr>
                <w:rFonts w:cs="Arial"/>
              </w:rPr>
            </w:pPr>
            <w:r>
              <w:rPr>
                <w:rFonts w:cs="Arial"/>
              </w:rPr>
              <w:t>+</w:t>
            </w:r>
          </w:p>
          <w:p>
            <w:pPr>
              <w:pStyle w:val="GesAbsatz"/>
              <w:ind w:left="57"/>
              <w:jc w:val="center"/>
              <w:rPr>
                <w:rFonts w:cs="Arial"/>
              </w:rPr>
            </w:pPr>
            <w:r>
              <w:rPr>
                <w:rFonts w:cs="Arial"/>
              </w:rPr>
              <w:t>+</w:t>
            </w:r>
          </w:p>
          <w:p>
            <w:pPr>
              <w:pStyle w:val="GesAbsatz"/>
              <w:ind w:left="57"/>
              <w:jc w:val="center"/>
              <w:rPr>
                <w:rFonts w:cs="Arial"/>
              </w:rPr>
            </w:pPr>
            <w:r>
              <w:rPr>
                <w:rFonts w:cs="Arial"/>
              </w:rPr>
              <w:t>+</w:t>
            </w:r>
          </w:p>
        </w:tc>
        <w:tc>
          <w:tcPr>
            <w:tcW w:w="1559" w:type="dxa"/>
            <w:tcBorders>
              <w:bottom w:val="single" w:sz="4" w:space="0" w:color="auto"/>
            </w:tcBorders>
          </w:tcPr>
          <w:p>
            <w:pPr>
              <w:pStyle w:val="GesAbsatz"/>
              <w:ind w:left="57"/>
              <w:jc w:val="center"/>
              <w:rPr>
                <w:rFonts w:cs="Arial"/>
              </w:rPr>
            </w:pPr>
            <w:r>
              <w:rPr>
                <w:rFonts w:cs="Arial"/>
              </w:rPr>
              <w:t>+</w:t>
            </w:r>
          </w:p>
          <w:p>
            <w:pPr>
              <w:pStyle w:val="GesAbsatz"/>
              <w:ind w:left="57"/>
              <w:jc w:val="center"/>
              <w:rPr>
                <w:rFonts w:cs="Arial"/>
              </w:rPr>
            </w:pPr>
            <w:r>
              <w:rPr>
                <w:rFonts w:cs="Arial"/>
              </w:rPr>
              <w:t>+</w:t>
            </w:r>
          </w:p>
        </w:tc>
        <w:tc>
          <w:tcPr>
            <w:tcW w:w="1701" w:type="dxa"/>
            <w:tcBorders>
              <w:bottom w:val="single" w:sz="4" w:space="0" w:color="auto"/>
            </w:tcBorders>
          </w:tcPr>
          <w:p>
            <w:pPr>
              <w:pStyle w:val="GesAbsatz"/>
              <w:ind w:left="57"/>
              <w:jc w:val="center"/>
              <w:rPr>
                <w:rFonts w:cs="Arial"/>
              </w:rPr>
            </w:pPr>
          </w:p>
        </w:tc>
      </w:tr>
    </w:tbl>
    <w:p>
      <w:pPr>
        <w:pStyle w:val="GesAbsatz"/>
        <w:rPr>
          <w:rFonts w:cs="Arial"/>
          <w:bCs/>
        </w:rPr>
      </w:pPr>
    </w:p>
    <w:p>
      <w:pPr>
        <w:pStyle w:val="berschrift3"/>
        <w:jc w:val="left"/>
      </w:pPr>
      <w:bookmarkStart w:id="18" w:name="_Toc44306484"/>
      <w:r>
        <w:lastRenderedPageBreak/>
        <w:t>Anhang 6</w:t>
      </w:r>
      <w:bookmarkEnd w:id="18"/>
    </w:p>
    <w:p>
      <w:pPr>
        <w:pStyle w:val="GesAbsatz"/>
        <w:jc w:val="center"/>
        <w:rPr>
          <w:rFonts w:cs="Arial"/>
          <w:b/>
          <w:bCs/>
          <w:szCs w:val="15"/>
        </w:rPr>
      </w:pPr>
      <w:r>
        <w:rPr>
          <w:rFonts w:cs="Arial"/>
          <w:b/>
          <w:bCs/>
        </w:rPr>
        <w:t>Untersuchungen im Feststoff für HMV-Rohschlacken</w:t>
      </w:r>
      <w:r>
        <w:rPr>
          <w:rStyle w:val="Funotenzeichen"/>
          <w:rFonts w:cs="Arial"/>
          <w:b/>
          <w:bCs/>
        </w:rPr>
        <w:footnoteReference w:id="6"/>
      </w:r>
    </w:p>
    <w:p>
      <w:pPr>
        <w:pStyle w:val="GesAbsatz"/>
        <w:rPr>
          <w:rFonts w:cs="Arial"/>
        </w:rPr>
      </w:pP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77"/>
        <w:gridCol w:w="2693"/>
        <w:gridCol w:w="1701"/>
        <w:gridCol w:w="2268"/>
      </w:tblGrid>
      <w:tr>
        <w:tc>
          <w:tcPr>
            <w:tcW w:w="2977" w:type="dxa"/>
          </w:tcPr>
          <w:p>
            <w:pPr>
              <w:pStyle w:val="GesAbsatz"/>
              <w:ind w:left="57"/>
              <w:jc w:val="center"/>
              <w:rPr>
                <w:b/>
                <w:bCs/>
              </w:rPr>
            </w:pPr>
            <w:r>
              <w:rPr>
                <w:b/>
                <w:bCs/>
              </w:rPr>
              <w:t>Parameter</w:t>
            </w:r>
          </w:p>
        </w:tc>
        <w:tc>
          <w:tcPr>
            <w:tcW w:w="2693" w:type="dxa"/>
          </w:tcPr>
          <w:p>
            <w:pPr>
              <w:pStyle w:val="GesAbsatz"/>
              <w:ind w:left="57"/>
              <w:jc w:val="center"/>
              <w:rPr>
                <w:b/>
                <w:bCs/>
              </w:rPr>
            </w:pPr>
            <w:r>
              <w:rPr>
                <w:b/>
                <w:bCs/>
              </w:rPr>
              <w:t>Dimension</w:t>
            </w:r>
          </w:p>
        </w:tc>
        <w:tc>
          <w:tcPr>
            <w:tcW w:w="1701" w:type="dxa"/>
          </w:tcPr>
          <w:p>
            <w:pPr>
              <w:pStyle w:val="GesAbsatz"/>
              <w:ind w:left="57"/>
              <w:jc w:val="center"/>
              <w:rPr>
                <w:rFonts w:ascii="Times New Roman" w:hAnsi="Times New Roman"/>
                <w:b/>
                <w:bCs/>
              </w:rPr>
            </w:pPr>
          </w:p>
        </w:tc>
        <w:tc>
          <w:tcPr>
            <w:tcW w:w="2268" w:type="dxa"/>
          </w:tcPr>
          <w:p>
            <w:pPr>
              <w:pStyle w:val="GesAbsatz"/>
              <w:ind w:left="57"/>
              <w:jc w:val="center"/>
              <w:rPr>
                <w:b/>
                <w:bCs/>
              </w:rPr>
            </w:pPr>
            <w:r>
              <w:rPr>
                <w:b/>
                <w:bCs/>
              </w:rPr>
              <w:t>Vorgabe</w:t>
            </w:r>
          </w:p>
        </w:tc>
      </w:tr>
      <w:tr>
        <w:trPr>
          <w:cantSplit/>
          <w:trHeight w:val="1110"/>
        </w:trPr>
        <w:tc>
          <w:tcPr>
            <w:tcW w:w="2977" w:type="dxa"/>
            <w:tcBorders>
              <w:bottom w:val="single" w:sz="4" w:space="0" w:color="auto"/>
            </w:tcBorders>
          </w:tcPr>
          <w:p>
            <w:pPr>
              <w:pStyle w:val="GesAbsatz"/>
              <w:ind w:left="57"/>
            </w:pPr>
            <w:r>
              <w:t>Aussehen</w:t>
            </w:r>
          </w:p>
          <w:p>
            <w:pPr>
              <w:pStyle w:val="GesAbsatz"/>
              <w:ind w:left="57"/>
            </w:pPr>
            <w:r>
              <w:t>Farbe</w:t>
            </w:r>
          </w:p>
          <w:p>
            <w:pPr>
              <w:pStyle w:val="GesAbsatz"/>
              <w:ind w:left="57"/>
            </w:pPr>
            <w:r>
              <w:t>Geruch</w:t>
            </w:r>
          </w:p>
        </w:tc>
        <w:tc>
          <w:tcPr>
            <w:tcW w:w="2693" w:type="dxa"/>
            <w:tcBorders>
              <w:bottom w:val="single" w:sz="4" w:space="0" w:color="auto"/>
            </w:tcBorders>
          </w:tcPr>
          <w:p>
            <w:pPr>
              <w:pStyle w:val="GesAbsatz"/>
              <w:ind w:left="57"/>
              <w:jc w:val="center"/>
            </w:pPr>
            <w:r>
              <w:t>–</w:t>
            </w:r>
          </w:p>
          <w:p>
            <w:pPr>
              <w:pStyle w:val="GesAbsatz"/>
              <w:ind w:left="57"/>
              <w:jc w:val="center"/>
            </w:pPr>
            <w:r>
              <w:t>–</w:t>
            </w:r>
          </w:p>
          <w:p>
            <w:pPr>
              <w:pStyle w:val="GesAbsatz"/>
              <w:ind w:left="57"/>
              <w:jc w:val="center"/>
            </w:pPr>
            <w:r>
              <w:t>–</w:t>
            </w:r>
          </w:p>
        </w:tc>
        <w:tc>
          <w:tcPr>
            <w:tcW w:w="1701" w:type="dxa"/>
            <w:tcBorders>
              <w:bottom w:val="single" w:sz="4" w:space="0" w:color="auto"/>
            </w:tcBorders>
          </w:tcPr>
          <w:p>
            <w:pPr>
              <w:pStyle w:val="GesAbsatz"/>
              <w:ind w:left="57"/>
              <w:jc w:val="center"/>
              <w:rPr>
                <w:vertAlign w:val="superscript"/>
              </w:rPr>
            </w:pPr>
            <w:r>
              <w:t>–</w:t>
            </w:r>
            <w:r>
              <w:rPr>
                <w:vertAlign w:val="superscript"/>
              </w:rPr>
              <w:t>5</w:t>
            </w:r>
          </w:p>
          <w:p>
            <w:pPr>
              <w:pStyle w:val="GesAbsatz"/>
              <w:ind w:left="57"/>
              <w:jc w:val="center"/>
              <w:rPr>
                <w:vertAlign w:val="superscript"/>
              </w:rPr>
            </w:pPr>
            <w:r>
              <w:t>–</w:t>
            </w:r>
            <w:r>
              <w:rPr>
                <w:rStyle w:val="Funotenzeichen"/>
              </w:rPr>
              <w:footnoteReference w:id="7"/>
            </w:r>
          </w:p>
          <w:p>
            <w:pPr>
              <w:pStyle w:val="GesAbsatz"/>
              <w:ind w:left="57"/>
              <w:jc w:val="center"/>
              <w:rPr>
                <w:vertAlign w:val="superscript"/>
              </w:rPr>
            </w:pPr>
            <w:r>
              <w:t>–</w:t>
            </w:r>
            <w:r>
              <w:rPr>
                <w:vertAlign w:val="superscript"/>
              </w:rPr>
              <w:t>6</w:t>
            </w:r>
          </w:p>
        </w:tc>
        <w:tc>
          <w:tcPr>
            <w:tcW w:w="2268" w:type="dxa"/>
            <w:tcBorders>
              <w:bottom w:val="single" w:sz="4" w:space="0" w:color="auto"/>
            </w:tcBorders>
          </w:tcPr>
          <w:p>
            <w:pPr>
              <w:pStyle w:val="GesAbsatz"/>
              <w:ind w:left="57"/>
              <w:jc w:val="center"/>
              <w:rPr>
                <w:rFonts w:ascii="Times New Roman" w:hAnsi="Times New Roman"/>
              </w:rPr>
            </w:pPr>
          </w:p>
        </w:tc>
      </w:tr>
      <w:tr>
        <w:trPr>
          <w:cantSplit/>
          <w:trHeight w:val="1110"/>
        </w:trPr>
        <w:tc>
          <w:tcPr>
            <w:tcW w:w="2977" w:type="dxa"/>
            <w:tcBorders>
              <w:bottom w:val="single" w:sz="4" w:space="0" w:color="auto"/>
            </w:tcBorders>
          </w:tcPr>
          <w:p>
            <w:pPr>
              <w:pStyle w:val="GesAbsatz"/>
              <w:ind w:left="57"/>
            </w:pPr>
            <w:r>
              <w:t>EOX</w:t>
            </w:r>
          </w:p>
          <w:p>
            <w:pPr>
              <w:pStyle w:val="GesAbsatz"/>
              <w:ind w:left="57"/>
              <w:rPr>
                <w:vertAlign w:val="superscript"/>
              </w:rPr>
            </w:pPr>
            <w:r>
              <w:t>PAK</w:t>
            </w:r>
            <w:r>
              <w:rPr>
                <w:rStyle w:val="Funotenzeichen"/>
              </w:rPr>
              <w:footnoteReference w:id="8"/>
            </w:r>
          </w:p>
          <w:p>
            <w:pPr>
              <w:pStyle w:val="GesAbsatz"/>
              <w:ind w:left="57"/>
            </w:pPr>
            <w:r>
              <w:t>PCDD/PCDF</w:t>
            </w:r>
            <w:r>
              <w:rPr>
                <w:rStyle w:val="Funotenzeichen"/>
              </w:rPr>
              <w:footnoteReference w:id="9"/>
            </w:r>
          </w:p>
        </w:tc>
        <w:tc>
          <w:tcPr>
            <w:tcW w:w="2693" w:type="dxa"/>
            <w:tcBorders>
              <w:bottom w:val="single" w:sz="4" w:space="0" w:color="auto"/>
            </w:tcBorders>
          </w:tcPr>
          <w:p>
            <w:pPr>
              <w:pStyle w:val="GesAbsatz"/>
              <w:ind w:left="57"/>
              <w:jc w:val="center"/>
            </w:pPr>
            <w:r>
              <w:t>mg/kg</w:t>
            </w:r>
          </w:p>
          <w:p>
            <w:pPr>
              <w:pStyle w:val="GesAbsatz"/>
              <w:ind w:left="57"/>
              <w:jc w:val="center"/>
            </w:pPr>
            <w:r>
              <w:t>mg/kg</w:t>
            </w:r>
          </w:p>
          <w:p>
            <w:pPr>
              <w:pStyle w:val="GesAbsatz"/>
              <w:ind w:left="57"/>
              <w:jc w:val="center"/>
            </w:pPr>
            <w:r>
              <w:t>ng I-TE/kg</w:t>
            </w:r>
          </w:p>
        </w:tc>
        <w:tc>
          <w:tcPr>
            <w:tcW w:w="1701" w:type="dxa"/>
            <w:tcBorders>
              <w:bottom w:val="single" w:sz="4" w:space="0" w:color="auto"/>
            </w:tcBorders>
          </w:tcPr>
          <w:p>
            <w:pPr>
              <w:pStyle w:val="GesAbsatz"/>
              <w:ind w:left="57"/>
              <w:jc w:val="center"/>
            </w:pPr>
            <w:r>
              <w:t>3</w:t>
            </w:r>
          </w:p>
        </w:tc>
        <w:tc>
          <w:tcPr>
            <w:tcW w:w="2268" w:type="dxa"/>
            <w:tcBorders>
              <w:bottom w:val="single" w:sz="4" w:space="0" w:color="auto"/>
            </w:tcBorders>
          </w:tcPr>
          <w:p>
            <w:pPr>
              <w:pStyle w:val="GesAbsatz"/>
              <w:ind w:left="57"/>
              <w:jc w:val="center"/>
              <w:rPr>
                <w:vertAlign w:val="superscript"/>
              </w:rPr>
            </w:pPr>
            <w:r>
              <w:t>–</w:t>
            </w:r>
            <w:r>
              <w:rPr>
                <w:vertAlign w:val="superscript"/>
              </w:rPr>
              <w:t>6</w:t>
            </w:r>
          </w:p>
          <w:p>
            <w:pPr>
              <w:pStyle w:val="GesAbsatz"/>
              <w:ind w:left="57"/>
              <w:jc w:val="center"/>
              <w:rPr>
                <w:rFonts w:ascii="Times New Roman" w:hAnsi="Times New Roman"/>
              </w:rPr>
            </w:pPr>
            <w:r>
              <w:t>0,6–30</w:t>
            </w:r>
          </w:p>
        </w:tc>
      </w:tr>
      <w:tr>
        <w:trPr>
          <w:cantSplit/>
          <w:trHeight w:val="2985"/>
        </w:trPr>
        <w:tc>
          <w:tcPr>
            <w:tcW w:w="2977" w:type="dxa"/>
            <w:tcBorders>
              <w:bottom w:val="single" w:sz="4" w:space="0" w:color="auto"/>
            </w:tcBorders>
          </w:tcPr>
          <w:p>
            <w:pPr>
              <w:pStyle w:val="GesAbsatz"/>
              <w:ind w:left="57"/>
              <w:rPr>
                <w:vertAlign w:val="superscript"/>
              </w:rPr>
            </w:pPr>
            <w:r>
              <w:t>Arsen</w:t>
            </w:r>
            <w:r>
              <w:rPr>
                <w:vertAlign w:val="superscript"/>
              </w:rPr>
              <w:t>7</w:t>
            </w:r>
          </w:p>
          <w:p>
            <w:pPr>
              <w:pStyle w:val="GesAbsatz"/>
              <w:ind w:left="57"/>
            </w:pPr>
            <w:r>
              <w:t>Blei</w:t>
            </w:r>
          </w:p>
          <w:p>
            <w:pPr>
              <w:pStyle w:val="GesAbsatz"/>
              <w:ind w:left="57"/>
            </w:pPr>
            <w:r>
              <w:t>Cadmium</w:t>
            </w:r>
          </w:p>
          <w:p>
            <w:pPr>
              <w:pStyle w:val="GesAbsatz"/>
              <w:ind w:left="57"/>
            </w:pPr>
            <w:r>
              <w:t>Chrom</w:t>
            </w:r>
          </w:p>
          <w:p>
            <w:pPr>
              <w:pStyle w:val="GesAbsatz"/>
              <w:ind w:left="57"/>
            </w:pPr>
            <w:r>
              <w:t>Kupfer</w:t>
            </w:r>
          </w:p>
          <w:p>
            <w:pPr>
              <w:pStyle w:val="GesAbsatz"/>
              <w:ind w:left="57"/>
            </w:pPr>
            <w:r>
              <w:t>Nickel</w:t>
            </w:r>
          </w:p>
          <w:p>
            <w:pPr>
              <w:pStyle w:val="GesAbsatz"/>
              <w:ind w:left="57"/>
              <w:rPr>
                <w:vertAlign w:val="superscript"/>
              </w:rPr>
            </w:pPr>
            <w:r>
              <w:t>Quecksilber</w:t>
            </w:r>
            <w:r>
              <w:rPr>
                <w:vertAlign w:val="superscript"/>
              </w:rPr>
              <w:t>7</w:t>
            </w:r>
          </w:p>
          <w:p>
            <w:pPr>
              <w:pStyle w:val="GesAbsatz"/>
              <w:ind w:left="57"/>
              <w:rPr>
                <w:vertAlign w:val="superscript"/>
              </w:rPr>
            </w:pPr>
            <w:r>
              <w:t>Zink</w:t>
            </w:r>
          </w:p>
        </w:tc>
        <w:tc>
          <w:tcPr>
            <w:tcW w:w="2693" w:type="dxa"/>
            <w:tcBorders>
              <w:bottom w:val="single" w:sz="4" w:space="0" w:color="auto"/>
            </w:tcBorders>
          </w:tcPr>
          <w:p>
            <w:pPr>
              <w:pStyle w:val="GesAbsatz"/>
              <w:ind w:left="57"/>
              <w:jc w:val="center"/>
            </w:pPr>
            <w:r>
              <w:t>mg/kg</w:t>
            </w:r>
          </w:p>
          <w:p>
            <w:pPr>
              <w:pStyle w:val="GesAbsatz"/>
              <w:ind w:left="57"/>
              <w:jc w:val="center"/>
            </w:pPr>
            <w:r>
              <w:t>mg/kg</w:t>
            </w:r>
          </w:p>
          <w:p>
            <w:pPr>
              <w:pStyle w:val="GesAbsatz"/>
              <w:ind w:left="57"/>
              <w:jc w:val="center"/>
            </w:pPr>
            <w:r>
              <w:t>mg/kg</w:t>
            </w:r>
          </w:p>
          <w:p>
            <w:pPr>
              <w:pStyle w:val="GesAbsatz"/>
              <w:ind w:left="57"/>
              <w:jc w:val="center"/>
            </w:pPr>
            <w:r>
              <w:t>mg/kg</w:t>
            </w:r>
          </w:p>
          <w:p>
            <w:pPr>
              <w:pStyle w:val="GesAbsatz"/>
              <w:ind w:left="57"/>
              <w:jc w:val="center"/>
            </w:pPr>
            <w:r>
              <w:t>mg/kg</w:t>
            </w:r>
          </w:p>
          <w:p>
            <w:pPr>
              <w:pStyle w:val="GesAbsatz"/>
              <w:ind w:left="57"/>
              <w:jc w:val="center"/>
            </w:pPr>
            <w:r>
              <w:t>mg/kg</w:t>
            </w:r>
          </w:p>
          <w:p>
            <w:pPr>
              <w:pStyle w:val="GesAbsatz"/>
              <w:ind w:left="57"/>
              <w:jc w:val="center"/>
            </w:pPr>
            <w:r>
              <w:t>mg/kg</w:t>
            </w:r>
          </w:p>
          <w:p>
            <w:pPr>
              <w:pStyle w:val="GesAbsatz"/>
              <w:ind w:left="57"/>
              <w:jc w:val="center"/>
            </w:pPr>
            <w:r>
              <w:t>mg/kg</w:t>
            </w:r>
          </w:p>
        </w:tc>
        <w:tc>
          <w:tcPr>
            <w:tcW w:w="1701" w:type="dxa"/>
            <w:tcBorders>
              <w:bottom w:val="single" w:sz="4" w:space="0" w:color="auto"/>
            </w:tcBorders>
          </w:tcPr>
          <w:p>
            <w:pPr>
              <w:pStyle w:val="GesAbsatz"/>
              <w:ind w:left="57"/>
              <w:jc w:val="center"/>
              <w:rPr>
                <w:rFonts w:ascii="Times New Roman" w:hAnsi="Times New Roman"/>
              </w:rPr>
            </w:pPr>
          </w:p>
        </w:tc>
        <w:tc>
          <w:tcPr>
            <w:tcW w:w="2268" w:type="dxa"/>
            <w:tcBorders>
              <w:bottom w:val="single" w:sz="4" w:space="0" w:color="auto"/>
            </w:tcBorders>
          </w:tcPr>
          <w:p>
            <w:pPr>
              <w:pStyle w:val="GesAbsatz"/>
              <w:ind w:left="57"/>
              <w:jc w:val="center"/>
              <w:rPr>
                <w:vertAlign w:val="superscript"/>
              </w:rPr>
            </w:pPr>
            <w:r>
              <w:t>–</w:t>
            </w:r>
            <w:r>
              <w:rPr>
                <w:vertAlign w:val="superscript"/>
              </w:rPr>
              <w:t>6</w:t>
            </w:r>
          </w:p>
          <w:p>
            <w:pPr>
              <w:pStyle w:val="GesAbsatz"/>
              <w:ind w:left="57"/>
              <w:jc w:val="center"/>
            </w:pPr>
            <w:r>
              <w:t>6 000</w:t>
            </w:r>
          </w:p>
          <w:p>
            <w:pPr>
              <w:pStyle w:val="GesAbsatz"/>
              <w:ind w:left="57"/>
              <w:jc w:val="center"/>
            </w:pPr>
            <w:r>
              <w:t>20</w:t>
            </w:r>
          </w:p>
          <w:p>
            <w:pPr>
              <w:pStyle w:val="GesAbsatz"/>
              <w:ind w:left="57"/>
              <w:jc w:val="center"/>
            </w:pPr>
            <w:r>
              <w:t>2 000</w:t>
            </w:r>
          </w:p>
          <w:p>
            <w:pPr>
              <w:pStyle w:val="GesAbsatz"/>
              <w:ind w:left="57"/>
              <w:jc w:val="center"/>
            </w:pPr>
            <w:r>
              <w:t>7 000</w:t>
            </w:r>
          </w:p>
          <w:p>
            <w:pPr>
              <w:pStyle w:val="GesAbsatz"/>
              <w:ind w:left="57"/>
              <w:jc w:val="center"/>
            </w:pPr>
            <w:r>
              <w:t>500</w:t>
            </w:r>
          </w:p>
          <w:p>
            <w:pPr>
              <w:pStyle w:val="GesAbsatz"/>
              <w:ind w:left="57"/>
              <w:jc w:val="center"/>
              <w:rPr>
                <w:vertAlign w:val="superscript"/>
              </w:rPr>
            </w:pPr>
            <w:r>
              <w:t>–</w:t>
            </w:r>
            <w:r>
              <w:rPr>
                <w:vertAlign w:val="superscript"/>
              </w:rPr>
              <w:t>6</w:t>
            </w:r>
          </w:p>
          <w:p>
            <w:pPr>
              <w:pStyle w:val="GesAbsatz"/>
              <w:ind w:left="57"/>
              <w:jc w:val="center"/>
              <w:rPr>
                <w:vertAlign w:val="superscript"/>
              </w:rPr>
            </w:pPr>
            <w:r>
              <w:t>10 000</w:t>
            </w:r>
          </w:p>
        </w:tc>
      </w:tr>
      <w:tr>
        <w:trPr>
          <w:cantSplit/>
          <w:trHeight w:val="735"/>
        </w:trPr>
        <w:tc>
          <w:tcPr>
            <w:tcW w:w="2977" w:type="dxa"/>
            <w:tcBorders>
              <w:bottom w:val="single" w:sz="4" w:space="0" w:color="auto"/>
            </w:tcBorders>
          </w:tcPr>
          <w:p>
            <w:pPr>
              <w:pStyle w:val="GesAbsatz"/>
              <w:ind w:left="57"/>
            </w:pPr>
            <w:r>
              <w:t>Trockenrückstand</w:t>
            </w:r>
          </w:p>
          <w:p>
            <w:pPr>
              <w:pStyle w:val="GesAbsatz"/>
              <w:ind w:left="57"/>
            </w:pPr>
            <w:r>
              <w:t>Glühverlust</w:t>
            </w:r>
          </w:p>
        </w:tc>
        <w:tc>
          <w:tcPr>
            <w:tcW w:w="2693" w:type="dxa"/>
            <w:tcBorders>
              <w:bottom w:val="single" w:sz="4" w:space="0" w:color="auto"/>
            </w:tcBorders>
          </w:tcPr>
          <w:p>
            <w:pPr>
              <w:pStyle w:val="GesAbsatz"/>
              <w:ind w:left="57"/>
              <w:jc w:val="center"/>
            </w:pPr>
            <w:r>
              <w:t>Masse-%</w:t>
            </w:r>
          </w:p>
          <w:p>
            <w:pPr>
              <w:pStyle w:val="GesAbsatz"/>
              <w:ind w:left="57"/>
              <w:jc w:val="center"/>
            </w:pPr>
            <w:r>
              <w:t>Masse-%</w:t>
            </w:r>
          </w:p>
        </w:tc>
        <w:tc>
          <w:tcPr>
            <w:tcW w:w="1701" w:type="dxa"/>
            <w:tcBorders>
              <w:bottom w:val="single" w:sz="4" w:space="0" w:color="auto"/>
            </w:tcBorders>
          </w:tcPr>
          <w:p>
            <w:pPr>
              <w:pStyle w:val="GesAbsatz"/>
              <w:ind w:left="57"/>
              <w:jc w:val="center"/>
              <w:rPr>
                <w:rFonts w:ascii="Times New Roman" w:hAnsi="Times New Roman"/>
              </w:rPr>
            </w:pPr>
          </w:p>
        </w:tc>
        <w:tc>
          <w:tcPr>
            <w:tcW w:w="2268" w:type="dxa"/>
            <w:tcBorders>
              <w:bottom w:val="single" w:sz="4" w:space="0" w:color="auto"/>
            </w:tcBorders>
          </w:tcPr>
          <w:p>
            <w:pPr>
              <w:pStyle w:val="GesAbsatz"/>
              <w:ind w:left="57"/>
              <w:jc w:val="center"/>
              <w:rPr>
                <w:vertAlign w:val="superscript"/>
              </w:rPr>
            </w:pPr>
            <w:r>
              <w:t>–</w:t>
            </w:r>
            <w:r>
              <w:rPr>
                <w:vertAlign w:val="superscript"/>
              </w:rPr>
              <w:t>2</w:t>
            </w:r>
          </w:p>
          <w:p>
            <w:pPr>
              <w:pStyle w:val="GesAbsatz"/>
              <w:ind w:left="57"/>
              <w:jc w:val="center"/>
              <w:rPr>
                <w:vertAlign w:val="superscript"/>
              </w:rPr>
            </w:pPr>
            <w:r>
              <w:t>&lt; 3</w:t>
            </w:r>
          </w:p>
        </w:tc>
      </w:tr>
    </w:tbl>
    <w:p>
      <w:pPr>
        <w:pStyle w:val="GesAbsatz"/>
        <w:rPr>
          <w:rFonts w:cs="Arial"/>
        </w:rPr>
      </w:pPr>
    </w:p>
    <w:p>
      <w:pPr>
        <w:pStyle w:val="berschrift3"/>
        <w:jc w:val="left"/>
      </w:pPr>
      <w:r>
        <w:br w:type="page"/>
      </w:r>
      <w:bookmarkStart w:id="19" w:name="_Toc44306485"/>
      <w:r>
        <w:lastRenderedPageBreak/>
        <w:t>Anhang 7</w:t>
      </w:r>
      <w:bookmarkEnd w:id="19"/>
    </w:p>
    <w:p>
      <w:pPr>
        <w:pStyle w:val="GesAbsatz"/>
        <w:jc w:val="center"/>
        <w:rPr>
          <w:rFonts w:cs="Arial"/>
          <w:b/>
          <w:bCs/>
        </w:rPr>
      </w:pPr>
      <w:r>
        <w:rPr>
          <w:rFonts w:cs="Arial"/>
          <w:b/>
          <w:bCs/>
        </w:rPr>
        <w:t>Vorgaben für den Umfang der Dokumentation</w:t>
      </w:r>
    </w:p>
    <w:p>
      <w:pPr>
        <w:pStyle w:val="GesAbsatz"/>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7"/>
        <w:gridCol w:w="1984"/>
        <w:gridCol w:w="1559"/>
        <w:gridCol w:w="3828"/>
      </w:tblGrid>
      <w:tr>
        <w:trPr>
          <w:cantSplit/>
          <w:trHeight w:val="585"/>
        </w:trPr>
        <w:tc>
          <w:tcPr>
            <w:tcW w:w="2127" w:type="dxa"/>
          </w:tcPr>
          <w:p>
            <w:pPr>
              <w:pStyle w:val="GesAbsatz"/>
              <w:ind w:left="57"/>
            </w:pPr>
            <w:r>
              <w:t>Lieferant/Aufbereiter</w:t>
            </w:r>
          </w:p>
        </w:tc>
        <w:tc>
          <w:tcPr>
            <w:tcW w:w="1984" w:type="dxa"/>
          </w:tcPr>
          <w:p>
            <w:pPr>
              <w:pStyle w:val="GesAbsatz"/>
              <w:ind w:left="57"/>
            </w:pPr>
            <w:r>
              <w:t>Transporteur / Einbaufirma</w:t>
            </w:r>
          </w:p>
        </w:tc>
        <w:tc>
          <w:tcPr>
            <w:tcW w:w="1559" w:type="dxa"/>
          </w:tcPr>
          <w:p>
            <w:pPr>
              <w:pStyle w:val="GesAbsatz"/>
              <w:ind w:left="57"/>
            </w:pPr>
            <w:r>
              <w:t>Bauträger</w:t>
            </w:r>
          </w:p>
        </w:tc>
        <w:tc>
          <w:tcPr>
            <w:tcW w:w="3828" w:type="dxa"/>
          </w:tcPr>
          <w:p>
            <w:pPr>
              <w:pStyle w:val="GesAbsatz"/>
              <w:ind w:left="57"/>
              <w:rPr>
                <w:rFonts w:ascii="Times New Roman" w:hAnsi="Times New Roman"/>
              </w:rPr>
            </w:pPr>
          </w:p>
        </w:tc>
      </w:tr>
      <w:tr>
        <w:trPr>
          <w:cantSplit/>
          <w:trHeight w:val="522"/>
        </w:trPr>
        <w:tc>
          <w:tcPr>
            <w:tcW w:w="2127" w:type="dxa"/>
          </w:tcPr>
          <w:p>
            <w:pPr>
              <w:pStyle w:val="GesAbsatz"/>
              <w:ind w:left="57"/>
            </w:pPr>
            <w:r>
              <w:t>x</w:t>
            </w:r>
          </w:p>
        </w:tc>
        <w:tc>
          <w:tcPr>
            <w:tcW w:w="1984" w:type="dxa"/>
          </w:tcPr>
          <w:p>
            <w:pPr>
              <w:pStyle w:val="GesAbsatz"/>
              <w:ind w:left="57"/>
            </w:pPr>
            <w:r>
              <w:t>x</w:t>
            </w:r>
          </w:p>
        </w:tc>
        <w:tc>
          <w:tcPr>
            <w:tcW w:w="1559" w:type="dxa"/>
          </w:tcPr>
          <w:p>
            <w:pPr>
              <w:pStyle w:val="GesAbsatz"/>
              <w:ind w:left="57"/>
            </w:pPr>
            <w:r>
              <w:t>x</w:t>
            </w:r>
          </w:p>
        </w:tc>
        <w:tc>
          <w:tcPr>
            <w:tcW w:w="3828" w:type="dxa"/>
          </w:tcPr>
          <w:p>
            <w:pPr>
              <w:pStyle w:val="GesAbsatz"/>
              <w:ind w:left="57"/>
            </w:pPr>
            <w:r>
              <w:t>Ort des Einbaus (Lage, Koordinaten, Flurbezeichnung)</w:t>
            </w:r>
          </w:p>
        </w:tc>
      </w:tr>
      <w:tr>
        <w:tc>
          <w:tcPr>
            <w:tcW w:w="2127" w:type="dxa"/>
          </w:tcPr>
          <w:p>
            <w:pPr>
              <w:pStyle w:val="GesAbsatz"/>
              <w:ind w:left="57"/>
            </w:pPr>
            <w:r>
              <w:t>x</w:t>
            </w:r>
          </w:p>
        </w:tc>
        <w:tc>
          <w:tcPr>
            <w:tcW w:w="1984" w:type="dxa"/>
          </w:tcPr>
          <w:p>
            <w:pPr>
              <w:pStyle w:val="GesAbsatz"/>
              <w:ind w:left="57"/>
            </w:pPr>
            <w:r>
              <w:t>x</w:t>
            </w:r>
          </w:p>
        </w:tc>
        <w:tc>
          <w:tcPr>
            <w:tcW w:w="1559" w:type="dxa"/>
          </w:tcPr>
          <w:p>
            <w:pPr>
              <w:pStyle w:val="GesAbsatz"/>
              <w:ind w:left="57"/>
            </w:pPr>
            <w:r>
              <w:t>x</w:t>
            </w:r>
          </w:p>
        </w:tc>
        <w:tc>
          <w:tcPr>
            <w:tcW w:w="3828" w:type="dxa"/>
          </w:tcPr>
          <w:p>
            <w:pPr>
              <w:pStyle w:val="GesAbsatz"/>
              <w:ind w:left="57"/>
            </w:pPr>
            <w:r>
              <w:t>Art der Maßnahme</w:t>
            </w:r>
          </w:p>
        </w:tc>
      </w:tr>
      <w:tr>
        <w:trPr>
          <w:cantSplit/>
          <w:trHeight w:val="479"/>
        </w:trPr>
        <w:tc>
          <w:tcPr>
            <w:tcW w:w="2127" w:type="dxa"/>
          </w:tcPr>
          <w:p>
            <w:pPr>
              <w:pStyle w:val="GesAbsatz"/>
              <w:ind w:left="57"/>
            </w:pPr>
            <w:r>
              <w:t>x</w:t>
            </w:r>
          </w:p>
        </w:tc>
        <w:tc>
          <w:tcPr>
            <w:tcW w:w="1984" w:type="dxa"/>
          </w:tcPr>
          <w:p>
            <w:pPr>
              <w:pStyle w:val="GesAbsatz"/>
              <w:ind w:left="57"/>
            </w:pPr>
            <w:r>
              <w:t>x</w:t>
            </w:r>
          </w:p>
        </w:tc>
        <w:tc>
          <w:tcPr>
            <w:tcW w:w="1559" w:type="dxa"/>
          </w:tcPr>
          <w:p>
            <w:pPr>
              <w:pStyle w:val="GesAbsatz"/>
              <w:ind w:left="57"/>
            </w:pPr>
            <w:r>
              <w:t>x</w:t>
            </w:r>
          </w:p>
        </w:tc>
        <w:tc>
          <w:tcPr>
            <w:tcW w:w="3828" w:type="dxa"/>
          </w:tcPr>
          <w:p>
            <w:pPr>
              <w:pStyle w:val="GesAbsatz"/>
              <w:ind w:left="57"/>
            </w:pPr>
            <w:r>
              <w:t>Art und Herkunft der HMV-Schlacken bzw. Rohschlacken</w:t>
            </w:r>
          </w:p>
        </w:tc>
      </w:tr>
      <w:tr>
        <w:trPr>
          <w:cantSplit/>
          <w:trHeight w:val="318"/>
        </w:trPr>
        <w:tc>
          <w:tcPr>
            <w:tcW w:w="2127" w:type="dxa"/>
          </w:tcPr>
          <w:p>
            <w:pPr>
              <w:pStyle w:val="GesAbsatz"/>
              <w:ind w:left="57"/>
            </w:pPr>
            <w:r>
              <w:t>x</w:t>
            </w:r>
          </w:p>
        </w:tc>
        <w:tc>
          <w:tcPr>
            <w:tcW w:w="1984" w:type="dxa"/>
          </w:tcPr>
          <w:p>
            <w:pPr>
              <w:pStyle w:val="GesAbsatz"/>
              <w:ind w:left="57"/>
              <w:rPr>
                <w:rFonts w:ascii="Times New Roman" w:hAnsi="Times New Roman"/>
              </w:rPr>
            </w:pPr>
          </w:p>
        </w:tc>
        <w:tc>
          <w:tcPr>
            <w:tcW w:w="1559" w:type="dxa"/>
          </w:tcPr>
          <w:p>
            <w:pPr>
              <w:pStyle w:val="GesAbsatz"/>
              <w:ind w:left="57"/>
            </w:pPr>
            <w:r>
              <w:t>x</w:t>
            </w:r>
          </w:p>
        </w:tc>
        <w:tc>
          <w:tcPr>
            <w:tcW w:w="3828" w:type="dxa"/>
          </w:tcPr>
          <w:p>
            <w:pPr>
              <w:pStyle w:val="GesAbsatz"/>
              <w:ind w:left="57"/>
            </w:pPr>
            <w:r>
              <w:t>Gütenachweis, Analyseergebnisse</w:t>
            </w:r>
          </w:p>
        </w:tc>
      </w:tr>
      <w:tr>
        <w:tc>
          <w:tcPr>
            <w:tcW w:w="2127" w:type="dxa"/>
          </w:tcPr>
          <w:p>
            <w:pPr>
              <w:pStyle w:val="GesAbsatz"/>
              <w:ind w:left="57"/>
            </w:pPr>
            <w:r>
              <w:t>x</w:t>
            </w:r>
          </w:p>
        </w:tc>
        <w:tc>
          <w:tcPr>
            <w:tcW w:w="1984" w:type="dxa"/>
          </w:tcPr>
          <w:p>
            <w:pPr>
              <w:pStyle w:val="GesAbsatz"/>
              <w:ind w:left="57"/>
              <w:rPr>
                <w:rFonts w:ascii="Times New Roman" w:hAnsi="Times New Roman"/>
              </w:rPr>
            </w:pPr>
          </w:p>
        </w:tc>
        <w:tc>
          <w:tcPr>
            <w:tcW w:w="1559" w:type="dxa"/>
          </w:tcPr>
          <w:p>
            <w:pPr>
              <w:pStyle w:val="GesAbsatz"/>
              <w:ind w:left="57"/>
            </w:pPr>
            <w:r>
              <w:t>x</w:t>
            </w:r>
          </w:p>
        </w:tc>
        <w:tc>
          <w:tcPr>
            <w:tcW w:w="3828" w:type="dxa"/>
          </w:tcPr>
          <w:p>
            <w:pPr>
              <w:pStyle w:val="GesAbsatz"/>
              <w:ind w:left="57"/>
            </w:pPr>
            <w:r>
              <w:t>Einbauklasse</w:t>
            </w:r>
          </w:p>
        </w:tc>
      </w:tr>
      <w:tr>
        <w:trPr>
          <w:cantSplit/>
          <w:trHeight w:val="538"/>
        </w:trPr>
        <w:tc>
          <w:tcPr>
            <w:tcW w:w="2127" w:type="dxa"/>
          </w:tcPr>
          <w:p>
            <w:pPr>
              <w:pStyle w:val="GesAbsatz"/>
              <w:ind w:left="57"/>
            </w:pPr>
            <w:r>
              <w:t>x</w:t>
            </w:r>
          </w:p>
        </w:tc>
        <w:tc>
          <w:tcPr>
            <w:tcW w:w="1984" w:type="dxa"/>
          </w:tcPr>
          <w:p>
            <w:pPr>
              <w:pStyle w:val="GesAbsatz"/>
              <w:ind w:left="57"/>
            </w:pPr>
            <w:r>
              <w:t>x</w:t>
            </w:r>
          </w:p>
        </w:tc>
        <w:tc>
          <w:tcPr>
            <w:tcW w:w="1559" w:type="dxa"/>
          </w:tcPr>
          <w:p>
            <w:pPr>
              <w:pStyle w:val="GesAbsatz"/>
              <w:ind w:left="57"/>
            </w:pPr>
            <w:r>
              <w:t>x</w:t>
            </w:r>
          </w:p>
        </w:tc>
        <w:tc>
          <w:tcPr>
            <w:tcW w:w="3828" w:type="dxa"/>
          </w:tcPr>
          <w:p>
            <w:pPr>
              <w:pStyle w:val="GesAbsatz"/>
              <w:ind w:left="57"/>
            </w:pPr>
            <w:r>
              <w:t>Menge (ausgeliefert, transportiert, eingebaut)</w:t>
            </w:r>
          </w:p>
        </w:tc>
      </w:tr>
      <w:tr>
        <w:trPr>
          <w:cantSplit/>
          <w:trHeight w:val="903"/>
        </w:trPr>
        <w:tc>
          <w:tcPr>
            <w:tcW w:w="2127" w:type="dxa"/>
          </w:tcPr>
          <w:p>
            <w:pPr>
              <w:pStyle w:val="GesAbsatz"/>
              <w:ind w:left="57"/>
              <w:rPr>
                <w:rFonts w:ascii="Times New Roman" w:hAnsi="Times New Roman"/>
              </w:rPr>
            </w:pPr>
          </w:p>
        </w:tc>
        <w:tc>
          <w:tcPr>
            <w:tcW w:w="1984" w:type="dxa"/>
          </w:tcPr>
          <w:p>
            <w:pPr>
              <w:pStyle w:val="GesAbsatz"/>
              <w:ind w:left="57"/>
              <w:rPr>
                <w:rFonts w:ascii="Times New Roman" w:hAnsi="Times New Roman"/>
              </w:rPr>
            </w:pPr>
          </w:p>
        </w:tc>
        <w:tc>
          <w:tcPr>
            <w:tcW w:w="1559" w:type="dxa"/>
          </w:tcPr>
          <w:p>
            <w:pPr>
              <w:pStyle w:val="GesAbsatz"/>
              <w:ind w:left="57"/>
            </w:pPr>
            <w:r>
              <w:t>x</w:t>
            </w:r>
          </w:p>
        </w:tc>
        <w:tc>
          <w:tcPr>
            <w:tcW w:w="3828" w:type="dxa"/>
          </w:tcPr>
          <w:p>
            <w:pPr>
              <w:pStyle w:val="GesAbsatz"/>
              <w:ind w:left="57"/>
            </w:pPr>
            <w:r>
              <w:t>Angaben über hydrogeologische Verhältnisse, z. B. Abstand der Schüttkörperbasis zum höchsten zu erwartenden Grundwasserstand, Ausbildung der Deckschichten</w:t>
            </w:r>
          </w:p>
        </w:tc>
      </w:tr>
      <w:tr>
        <w:trPr>
          <w:cantSplit/>
          <w:trHeight w:val="379"/>
        </w:trPr>
        <w:tc>
          <w:tcPr>
            <w:tcW w:w="2127" w:type="dxa"/>
          </w:tcPr>
          <w:p>
            <w:pPr>
              <w:pStyle w:val="GesAbsatz"/>
              <w:ind w:left="57"/>
              <w:rPr>
                <w:rFonts w:ascii="Times New Roman" w:hAnsi="Times New Roman"/>
              </w:rPr>
            </w:pPr>
          </w:p>
        </w:tc>
        <w:tc>
          <w:tcPr>
            <w:tcW w:w="1984" w:type="dxa"/>
          </w:tcPr>
          <w:p>
            <w:pPr>
              <w:pStyle w:val="GesAbsatz"/>
              <w:ind w:left="57"/>
              <w:rPr>
                <w:rFonts w:ascii="Times New Roman" w:hAnsi="Times New Roman"/>
              </w:rPr>
            </w:pPr>
          </w:p>
        </w:tc>
        <w:tc>
          <w:tcPr>
            <w:tcW w:w="1559" w:type="dxa"/>
          </w:tcPr>
          <w:p>
            <w:pPr>
              <w:pStyle w:val="GesAbsatz"/>
              <w:ind w:left="57"/>
            </w:pPr>
            <w:r>
              <w:t>x</w:t>
            </w:r>
          </w:p>
        </w:tc>
        <w:tc>
          <w:tcPr>
            <w:tcW w:w="3828" w:type="dxa"/>
          </w:tcPr>
          <w:p>
            <w:pPr>
              <w:pStyle w:val="GesAbsatz"/>
              <w:ind w:left="57"/>
            </w:pPr>
            <w:r>
              <w:t>Art der techn. Sicherungsmaßnahme</w:t>
            </w:r>
          </w:p>
        </w:tc>
      </w:tr>
      <w:tr>
        <w:trPr>
          <w:cantSplit/>
          <w:trHeight w:val="285"/>
        </w:trPr>
        <w:tc>
          <w:tcPr>
            <w:tcW w:w="2127" w:type="dxa"/>
          </w:tcPr>
          <w:p>
            <w:pPr>
              <w:pStyle w:val="GesAbsatz"/>
              <w:ind w:left="57"/>
            </w:pPr>
            <w:r>
              <w:t>x</w:t>
            </w:r>
          </w:p>
        </w:tc>
        <w:tc>
          <w:tcPr>
            <w:tcW w:w="1984" w:type="dxa"/>
          </w:tcPr>
          <w:p>
            <w:pPr>
              <w:pStyle w:val="GesAbsatz"/>
              <w:ind w:left="57"/>
            </w:pPr>
            <w:r>
              <w:t>x</w:t>
            </w:r>
          </w:p>
        </w:tc>
        <w:tc>
          <w:tcPr>
            <w:tcW w:w="1559" w:type="dxa"/>
          </w:tcPr>
          <w:p>
            <w:pPr>
              <w:pStyle w:val="GesAbsatz"/>
              <w:ind w:left="57"/>
              <w:rPr>
                <w:rFonts w:ascii="Times New Roman" w:hAnsi="Times New Roman"/>
              </w:rPr>
            </w:pPr>
          </w:p>
        </w:tc>
        <w:tc>
          <w:tcPr>
            <w:tcW w:w="3828" w:type="dxa"/>
          </w:tcPr>
          <w:p>
            <w:pPr>
              <w:pStyle w:val="GesAbsatz"/>
              <w:ind w:left="57"/>
            </w:pPr>
            <w:r>
              <w:t>Träger der Baumaßnahme</w:t>
            </w:r>
          </w:p>
        </w:tc>
      </w:tr>
      <w:tr>
        <w:tc>
          <w:tcPr>
            <w:tcW w:w="2127" w:type="dxa"/>
          </w:tcPr>
          <w:p>
            <w:pPr>
              <w:pStyle w:val="GesAbsatz"/>
              <w:ind w:left="57"/>
              <w:rPr>
                <w:rFonts w:ascii="Times New Roman" w:hAnsi="Times New Roman"/>
              </w:rPr>
            </w:pPr>
          </w:p>
        </w:tc>
        <w:tc>
          <w:tcPr>
            <w:tcW w:w="1984" w:type="dxa"/>
          </w:tcPr>
          <w:p>
            <w:pPr>
              <w:pStyle w:val="GesAbsatz"/>
              <w:ind w:left="57"/>
            </w:pPr>
            <w:r>
              <w:t>x</w:t>
            </w:r>
          </w:p>
        </w:tc>
        <w:tc>
          <w:tcPr>
            <w:tcW w:w="1559" w:type="dxa"/>
          </w:tcPr>
          <w:p>
            <w:pPr>
              <w:pStyle w:val="GesAbsatz"/>
              <w:ind w:left="57"/>
            </w:pPr>
            <w:r>
              <w:t>x</w:t>
            </w:r>
          </w:p>
        </w:tc>
        <w:tc>
          <w:tcPr>
            <w:tcW w:w="3828" w:type="dxa"/>
          </w:tcPr>
          <w:p>
            <w:pPr>
              <w:pStyle w:val="GesAbsatz"/>
              <w:ind w:left="57"/>
            </w:pPr>
            <w:r>
              <w:t>Aufbereiter</w:t>
            </w:r>
          </w:p>
        </w:tc>
      </w:tr>
      <w:tr>
        <w:tc>
          <w:tcPr>
            <w:tcW w:w="2127" w:type="dxa"/>
          </w:tcPr>
          <w:p>
            <w:pPr>
              <w:pStyle w:val="GesAbsatz"/>
              <w:ind w:left="57"/>
              <w:rPr>
                <w:lang w:val="fr-FR"/>
              </w:rPr>
            </w:pPr>
            <w:r>
              <w:rPr>
                <w:lang w:val="fr-FR"/>
              </w:rPr>
              <w:t>x</w:t>
            </w:r>
          </w:p>
        </w:tc>
        <w:tc>
          <w:tcPr>
            <w:tcW w:w="1984" w:type="dxa"/>
          </w:tcPr>
          <w:p>
            <w:pPr>
              <w:pStyle w:val="GesAbsatz"/>
              <w:ind w:left="57"/>
              <w:rPr>
                <w:rFonts w:ascii="Times New Roman" w:hAnsi="Times New Roman"/>
                <w:lang w:val="fr-FR"/>
              </w:rPr>
            </w:pPr>
          </w:p>
        </w:tc>
        <w:tc>
          <w:tcPr>
            <w:tcW w:w="1559" w:type="dxa"/>
          </w:tcPr>
          <w:p>
            <w:pPr>
              <w:pStyle w:val="GesAbsatz"/>
              <w:ind w:left="57"/>
              <w:rPr>
                <w:lang w:val="fr-FR"/>
              </w:rPr>
            </w:pPr>
            <w:r>
              <w:rPr>
                <w:lang w:val="fr-FR"/>
              </w:rPr>
              <w:t>x</w:t>
            </w:r>
          </w:p>
        </w:tc>
        <w:tc>
          <w:tcPr>
            <w:tcW w:w="3828" w:type="dxa"/>
          </w:tcPr>
          <w:p>
            <w:pPr>
              <w:pStyle w:val="GesAbsatz"/>
              <w:ind w:left="57"/>
              <w:rPr>
                <w:lang w:val="fr-FR"/>
              </w:rPr>
            </w:pPr>
            <w:r>
              <w:rPr>
                <w:lang w:val="fr-FR"/>
              </w:rPr>
              <w:t>Transporteur</w:t>
            </w:r>
          </w:p>
        </w:tc>
      </w:tr>
      <w:tr>
        <w:tc>
          <w:tcPr>
            <w:tcW w:w="2127" w:type="dxa"/>
          </w:tcPr>
          <w:p>
            <w:pPr>
              <w:pStyle w:val="GesAbsatz"/>
              <w:ind w:left="57"/>
              <w:rPr>
                <w:lang w:val="fr-FR"/>
              </w:rPr>
            </w:pPr>
            <w:r>
              <w:rPr>
                <w:lang w:val="fr-FR"/>
              </w:rPr>
              <w:t>x</w:t>
            </w:r>
          </w:p>
        </w:tc>
        <w:tc>
          <w:tcPr>
            <w:tcW w:w="1984" w:type="dxa"/>
          </w:tcPr>
          <w:p>
            <w:pPr>
              <w:pStyle w:val="GesAbsatz"/>
              <w:ind w:left="57"/>
              <w:rPr>
                <w:lang w:val="fr-FR"/>
              </w:rPr>
            </w:pPr>
            <w:r>
              <w:rPr>
                <w:lang w:val="fr-FR"/>
              </w:rPr>
              <w:t>x</w:t>
            </w:r>
          </w:p>
        </w:tc>
        <w:tc>
          <w:tcPr>
            <w:tcW w:w="1559" w:type="dxa"/>
          </w:tcPr>
          <w:p>
            <w:pPr>
              <w:pStyle w:val="GesAbsatz"/>
              <w:ind w:left="57"/>
              <w:rPr>
                <w:lang w:val="fr-FR"/>
              </w:rPr>
            </w:pPr>
            <w:r>
              <w:rPr>
                <w:lang w:val="fr-FR"/>
              </w:rPr>
              <w:t>x</w:t>
            </w:r>
          </w:p>
        </w:tc>
        <w:tc>
          <w:tcPr>
            <w:tcW w:w="3828" w:type="dxa"/>
          </w:tcPr>
          <w:p>
            <w:pPr>
              <w:pStyle w:val="GesAbsatz"/>
              <w:ind w:left="57"/>
            </w:pPr>
            <w:r>
              <w:t>Einbaufirma</w:t>
            </w:r>
          </w:p>
        </w:tc>
      </w:tr>
    </w:tbl>
    <w:p>
      <w:pPr>
        <w:pStyle w:val="GesAbsatz"/>
        <w:rPr>
          <w:rFonts w:cs="Arial"/>
          <w:szCs w:val="18"/>
        </w:rPr>
      </w:pPr>
    </w:p>
    <w:p>
      <w:pPr>
        <w:pStyle w:val="berschrift3"/>
        <w:jc w:val="left"/>
      </w:pPr>
      <w:r>
        <w:br w:type="page"/>
      </w:r>
      <w:bookmarkStart w:id="20" w:name="_Toc44306486"/>
      <w:r>
        <w:lastRenderedPageBreak/>
        <w:t>Anhang 8</w:t>
      </w:r>
      <w:bookmarkEnd w:id="20"/>
    </w:p>
    <w:p>
      <w:pPr>
        <w:pStyle w:val="GesAbsatz"/>
        <w:jc w:val="center"/>
        <w:rPr>
          <w:rFonts w:cs="Arial"/>
          <w:b/>
          <w:bCs/>
        </w:rPr>
      </w:pPr>
      <w:r>
        <w:rPr>
          <w:rFonts w:cs="Arial"/>
          <w:b/>
          <w:bCs/>
        </w:rPr>
        <w:t>Sortenbeschreibung für Stahlschrott</w:t>
      </w:r>
      <w:r>
        <w:rPr>
          <w:rStyle w:val="Funotenzeichen"/>
          <w:rFonts w:cs="Arial"/>
          <w:b/>
          <w:bCs/>
        </w:rPr>
        <w:footnoteReference w:customMarkFollows="1" w:id="10"/>
        <w:t>*)</w:t>
      </w:r>
      <w:r>
        <w:rPr>
          <w:rFonts w:cs="Arial"/>
          <w:b/>
          <w:bCs/>
        </w:rPr>
        <w:t>*</w:t>
      </w:r>
    </w:p>
    <w:p>
      <w:pPr>
        <w:pStyle w:val="GesAbsatz"/>
        <w:rPr>
          <w:rFonts w:cs="Arial"/>
          <w:szCs w:val="18"/>
        </w:rPr>
      </w:pPr>
    </w:p>
    <w:tbl>
      <w:tblPr>
        <w:tblW w:w="0" w:type="auto"/>
        <w:tblInd w:w="6" w:type="dxa"/>
        <w:tblLayout w:type="fixed"/>
        <w:tblCellMar>
          <w:left w:w="0" w:type="dxa"/>
          <w:right w:w="0" w:type="dxa"/>
        </w:tblCellMar>
        <w:tblLook w:val="0000" w:firstRow="0" w:lastRow="0" w:firstColumn="0" w:lastColumn="0" w:noHBand="0" w:noVBand="0"/>
      </w:tblPr>
      <w:tblGrid>
        <w:gridCol w:w="1985"/>
        <w:gridCol w:w="2835"/>
        <w:gridCol w:w="4678"/>
      </w:tblGrid>
      <w:tr>
        <w:trPr>
          <w:cantSplit/>
          <w:trHeight w:val="319"/>
        </w:trPr>
        <w:tc>
          <w:tcPr>
            <w:tcW w:w="1985" w:type="dxa"/>
            <w:tcBorders>
              <w:top w:val="single" w:sz="4" w:space="0" w:color="auto"/>
              <w:left w:val="single" w:sz="4" w:space="0" w:color="auto"/>
              <w:bottom w:val="single" w:sz="6" w:space="0" w:color="auto"/>
              <w:right w:val="single" w:sz="6" w:space="0" w:color="auto"/>
            </w:tcBorders>
          </w:tcPr>
          <w:p>
            <w:pPr>
              <w:pStyle w:val="GesAbsatz"/>
              <w:ind w:left="57"/>
              <w:rPr>
                <w:b/>
                <w:bCs/>
              </w:rPr>
            </w:pPr>
            <w:r>
              <w:rPr>
                <w:b/>
                <w:bCs/>
              </w:rPr>
              <w:t>Sorten-Nr.</w:t>
            </w:r>
          </w:p>
        </w:tc>
        <w:tc>
          <w:tcPr>
            <w:tcW w:w="7513" w:type="dxa"/>
            <w:gridSpan w:val="2"/>
            <w:tcBorders>
              <w:top w:val="single" w:sz="4" w:space="0" w:color="auto"/>
              <w:left w:val="single" w:sz="6" w:space="0" w:color="auto"/>
              <w:bottom w:val="single" w:sz="6" w:space="0" w:color="auto"/>
              <w:right w:val="single" w:sz="4" w:space="0" w:color="auto"/>
            </w:tcBorders>
          </w:tcPr>
          <w:p>
            <w:pPr>
              <w:pStyle w:val="GesAbsatz"/>
              <w:ind w:left="57"/>
              <w:rPr>
                <w:rFonts w:ascii="Times New Roman" w:hAnsi="Times New Roman"/>
                <w:b/>
                <w:bCs/>
              </w:rPr>
            </w:pPr>
            <w:r>
              <w:rPr>
                <w:b/>
                <w:bCs/>
              </w:rPr>
              <w:t>Sortenbeschreibung</w:t>
            </w:r>
          </w:p>
        </w:tc>
      </w:tr>
      <w:tr>
        <w:trPr>
          <w:cantSplit/>
          <w:trHeight w:val="605"/>
        </w:trPr>
        <w:tc>
          <w:tcPr>
            <w:tcW w:w="1985" w:type="dxa"/>
            <w:vMerge w:val="restart"/>
            <w:tcBorders>
              <w:top w:val="single" w:sz="6" w:space="0" w:color="auto"/>
              <w:left w:val="single" w:sz="4" w:space="0" w:color="auto"/>
              <w:bottom w:val="single" w:sz="6" w:space="0" w:color="auto"/>
              <w:right w:val="single" w:sz="6" w:space="0" w:color="auto"/>
            </w:tcBorders>
          </w:tcPr>
          <w:p>
            <w:pPr>
              <w:pStyle w:val="GesAbsatz"/>
              <w:ind w:left="57"/>
            </w:pPr>
            <w:r>
              <w:t>46</w:t>
            </w:r>
          </w:p>
        </w:tc>
        <w:tc>
          <w:tcPr>
            <w:tcW w:w="7513" w:type="dxa"/>
            <w:gridSpan w:val="2"/>
            <w:tcBorders>
              <w:top w:val="single" w:sz="6" w:space="0" w:color="auto"/>
              <w:left w:val="single" w:sz="6" w:space="0" w:color="auto"/>
              <w:bottom w:val="single" w:sz="6" w:space="0" w:color="auto"/>
              <w:right w:val="single" w:sz="4" w:space="0" w:color="auto"/>
            </w:tcBorders>
          </w:tcPr>
          <w:p>
            <w:pPr>
              <w:pStyle w:val="GesAbsatz"/>
              <w:ind w:left="57"/>
            </w:pPr>
            <w:r>
              <w:t>Geshredderter oder durch ähnliche Verfahren aufbereiteter Stahlschrott aus der Müllverbrennung,</w:t>
            </w:r>
          </w:p>
        </w:tc>
      </w:tr>
      <w:tr>
        <w:trPr>
          <w:cantSplit/>
          <w:trHeight w:val="514"/>
        </w:trPr>
        <w:tc>
          <w:tcPr>
            <w:tcW w:w="1985" w:type="dxa"/>
            <w:vMerge/>
            <w:tcBorders>
              <w:top w:val="single" w:sz="6" w:space="0" w:color="auto"/>
              <w:left w:val="single" w:sz="4" w:space="0" w:color="auto"/>
              <w:bottom w:val="single" w:sz="6" w:space="0" w:color="auto"/>
              <w:right w:val="single" w:sz="6" w:space="0" w:color="auto"/>
            </w:tcBorders>
          </w:tcPr>
          <w:p>
            <w:pPr>
              <w:pStyle w:val="GesAbsatz"/>
              <w:ind w:left="57"/>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pPr>
              <w:pStyle w:val="GesAbsatz"/>
              <w:ind w:left="57"/>
            </w:pPr>
            <w:r>
              <w:t>Schüttgewicht</w:t>
            </w:r>
            <w:r>
              <w:br/>
              <w:t>(i. tr.):</w:t>
            </w:r>
          </w:p>
        </w:tc>
        <w:tc>
          <w:tcPr>
            <w:tcW w:w="4678" w:type="dxa"/>
            <w:tcBorders>
              <w:top w:val="single" w:sz="6" w:space="0" w:color="auto"/>
              <w:left w:val="single" w:sz="6" w:space="0" w:color="auto"/>
              <w:bottom w:val="single" w:sz="6" w:space="0" w:color="auto"/>
              <w:right w:val="single" w:sz="4" w:space="0" w:color="auto"/>
            </w:tcBorders>
          </w:tcPr>
          <w:p>
            <w:pPr>
              <w:pStyle w:val="GesAbsatz"/>
              <w:ind w:left="57"/>
              <w:rPr>
                <w:rFonts w:ascii="Times New Roman" w:hAnsi="Times New Roman"/>
                <w:lang w:val="en-GB"/>
              </w:rPr>
            </w:pPr>
            <w:r>
              <w:rPr>
                <w:lang w:val="en-GB"/>
              </w:rPr>
              <w:br/>
              <w:t>mind. 0,9 Mg/m</w:t>
            </w:r>
            <w:r>
              <w:rPr>
                <w:vertAlign w:val="superscript"/>
                <w:lang w:val="en-GB"/>
              </w:rPr>
              <w:t>3</w:t>
            </w:r>
          </w:p>
        </w:tc>
      </w:tr>
      <w:tr>
        <w:trPr>
          <w:cantSplit/>
          <w:trHeight w:val="539"/>
        </w:trPr>
        <w:tc>
          <w:tcPr>
            <w:tcW w:w="1985" w:type="dxa"/>
            <w:vMerge/>
            <w:tcBorders>
              <w:top w:val="single" w:sz="6" w:space="0" w:color="auto"/>
              <w:left w:val="single" w:sz="4" w:space="0" w:color="auto"/>
              <w:bottom w:val="single" w:sz="6" w:space="0" w:color="auto"/>
              <w:right w:val="single" w:sz="6" w:space="0" w:color="auto"/>
            </w:tcBorders>
          </w:tcPr>
          <w:p>
            <w:pPr>
              <w:pStyle w:val="GesAbsatz"/>
              <w:ind w:left="57"/>
              <w:rPr>
                <w:rFonts w:ascii="Times New Roman" w:hAnsi="Times New Roman"/>
                <w:lang w:val="en-GB"/>
              </w:rPr>
            </w:pPr>
          </w:p>
        </w:tc>
        <w:tc>
          <w:tcPr>
            <w:tcW w:w="2835" w:type="dxa"/>
            <w:tcBorders>
              <w:top w:val="single" w:sz="6" w:space="0" w:color="auto"/>
              <w:left w:val="single" w:sz="6" w:space="0" w:color="auto"/>
              <w:bottom w:val="single" w:sz="6" w:space="0" w:color="auto"/>
              <w:right w:val="single" w:sz="6" w:space="0" w:color="auto"/>
            </w:tcBorders>
          </w:tcPr>
          <w:p>
            <w:pPr>
              <w:pStyle w:val="GesAbsatz"/>
              <w:ind w:left="57"/>
            </w:pPr>
            <w:r>
              <w:t>Korngröße:</w:t>
            </w:r>
          </w:p>
        </w:tc>
        <w:tc>
          <w:tcPr>
            <w:tcW w:w="4678" w:type="dxa"/>
            <w:tcBorders>
              <w:top w:val="single" w:sz="6" w:space="0" w:color="auto"/>
              <w:left w:val="single" w:sz="6" w:space="0" w:color="auto"/>
              <w:bottom w:val="single" w:sz="6" w:space="0" w:color="auto"/>
              <w:right w:val="single" w:sz="4" w:space="0" w:color="auto"/>
            </w:tcBorders>
          </w:tcPr>
          <w:p>
            <w:pPr>
              <w:pStyle w:val="GesAbsatz"/>
              <w:ind w:left="57"/>
            </w:pPr>
            <w:r>
              <w:t>Obergrenze 50–70 mm</w:t>
            </w:r>
            <w:r>
              <w:br/>
              <w:t>max. 5 Gew.-% &lt; 5 mm</w:t>
            </w:r>
          </w:p>
        </w:tc>
      </w:tr>
      <w:tr>
        <w:trPr>
          <w:cantSplit/>
          <w:trHeight w:val="535"/>
        </w:trPr>
        <w:tc>
          <w:tcPr>
            <w:tcW w:w="1985" w:type="dxa"/>
            <w:vMerge/>
            <w:tcBorders>
              <w:top w:val="single" w:sz="6" w:space="0" w:color="auto"/>
              <w:left w:val="single" w:sz="4" w:space="0" w:color="auto"/>
              <w:bottom w:val="single" w:sz="6" w:space="0" w:color="auto"/>
              <w:right w:val="single" w:sz="6" w:space="0" w:color="auto"/>
            </w:tcBorders>
          </w:tcPr>
          <w:p>
            <w:pPr>
              <w:pStyle w:val="GesAbsatz"/>
              <w:ind w:left="57"/>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pPr>
              <w:pStyle w:val="GesAbsatz"/>
              <w:ind w:left="57"/>
            </w:pPr>
            <w:r>
              <w:t>Fe-Gehalt</w:t>
            </w:r>
            <w:r>
              <w:br/>
              <w:t>metallisch:</w:t>
            </w:r>
          </w:p>
        </w:tc>
        <w:tc>
          <w:tcPr>
            <w:tcW w:w="4678" w:type="dxa"/>
            <w:tcBorders>
              <w:top w:val="single" w:sz="6" w:space="0" w:color="auto"/>
              <w:left w:val="single" w:sz="6" w:space="0" w:color="auto"/>
              <w:bottom w:val="single" w:sz="6" w:space="0" w:color="auto"/>
              <w:right w:val="single" w:sz="4" w:space="0" w:color="auto"/>
            </w:tcBorders>
          </w:tcPr>
          <w:p>
            <w:pPr>
              <w:pStyle w:val="GesAbsatz"/>
              <w:ind w:left="57"/>
              <w:rPr>
                <w:rFonts w:ascii="Times New Roman" w:hAnsi="Times New Roman"/>
              </w:rPr>
            </w:pPr>
            <w:r>
              <w:br/>
              <w:t>mind. 92%</w:t>
            </w:r>
          </w:p>
        </w:tc>
      </w:tr>
      <w:tr>
        <w:trPr>
          <w:cantSplit/>
        </w:trPr>
        <w:tc>
          <w:tcPr>
            <w:tcW w:w="1985" w:type="dxa"/>
            <w:vMerge/>
            <w:tcBorders>
              <w:top w:val="single" w:sz="6" w:space="0" w:color="auto"/>
              <w:left w:val="single" w:sz="4" w:space="0" w:color="auto"/>
              <w:bottom w:val="single" w:sz="6" w:space="0" w:color="auto"/>
              <w:right w:val="single" w:sz="6" w:space="0" w:color="auto"/>
            </w:tcBorders>
          </w:tcPr>
          <w:p>
            <w:pPr>
              <w:pStyle w:val="GesAbsatz"/>
              <w:ind w:left="57"/>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pPr>
              <w:pStyle w:val="GesAbsatz"/>
              <w:ind w:left="57"/>
            </w:pPr>
            <w:r>
              <w:t>Nässe:</w:t>
            </w:r>
          </w:p>
        </w:tc>
        <w:tc>
          <w:tcPr>
            <w:tcW w:w="4678" w:type="dxa"/>
            <w:tcBorders>
              <w:top w:val="single" w:sz="6" w:space="0" w:color="auto"/>
              <w:left w:val="single" w:sz="6" w:space="0" w:color="auto"/>
              <w:bottom w:val="single" w:sz="6" w:space="0" w:color="auto"/>
              <w:right w:val="single" w:sz="4" w:space="0" w:color="auto"/>
            </w:tcBorders>
          </w:tcPr>
          <w:p>
            <w:pPr>
              <w:pStyle w:val="GesAbsatz"/>
              <w:ind w:left="57"/>
            </w:pPr>
            <w:r>
              <w:t>gesonderte Vereinbarung</w:t>
            </w:r>
          </w:p>
        </w:tc>
      </w:tr>
      <w:tr>
        <w:trPr>
          <w:trHeight w:val="1000"/>
        </w:trPr>
        <w:tc>
          <w:tcPr>
            <w:tcW w:w="9498" w:type="dxa"/>
            <w:gridSpan w:val="3"/>
            <w:tcBorders>
              <w:top w:val="single" w:sz="6" w:space="0" w:color="auto"/>
              <w:left w:val="single" w:sz="4" w:space="0" w:color="auto"/>
              <w:bottom w:val="single" w:sz="4" w:space="0" w:color="auto"/>
              <w:right w:val="single" w:sz="4" w:space="0" w:color="auto"/>
            </w:tcBorders>
          </w:tcPr>
          <w:p>
            <w:pPr>
              <w:pStyle w:val="GesAbsatz"/>
              <w:ind w:left="57"/>
            </w:pPr>
            <w:r>
              <w:t>Die definierten Stahlschrottsorten verstehen sich nur für Kohlenstoff-Stahlschrott. Stahlschrott aus der Müllverbrennung muss wegen der unterschiedlichen Cu- und Sn-Gehalte notwendigerweise im Stahlwerk gezielt eingesetzt werden und von daher auch separat erfaßt, aufbereitet und entsprechend der Sortenbeschreibung angeliefert werden. Es wird ein möglichst Cu-armer Schrott angestrebt.</w:t>
            </w:r>
          </w:p>
        </w:tc>
      </w:tr>
    </w:tbl>
    <w:p>
      <w:pPr>
        <w:pStyle w:val="GesAbsatz"/>
        <w:rPr>
          <w:rFonts w:cs="Arial"/>
          <w:szCs w:val="18"/>
        </w:rPr>
      </w:pPr>
    </w:p>
    <w:p>
      <w:pPr>
        <w:pStyle w:val="GesAbsatz"/>
        <w:rPr>
          <w:rFonts w:cs="Arial"/>
          <w:szCs w:val="18"/>
        </w:rPr>
      </w:pPr>
    </w:p>
    <w:p>
      <w:pPr>
        <w:pStyle w:val="berschrift3"/>
        <w:jc w:val="left"/>
      </w:pPr>
      <w:bookmarkStart w:id="21" w:name="_Toc44306487"/>
      <w:r>
        <w:t>Anhang 9</w:t>
      </w:r>
      <w:bookmarkEnd w:id="21"/>
    </w:p>
    <w:p>
      <w:pPr>
        <w:pStyle w:val="GesAbsatz"/>
        <w:rPr>
          <w:rFonts w:cs="Arial"/>
          <w:b/>
          <w:bCs/>
        </w:rPr>
      </w:pPr>
      <w:r>
        <w:rPr>
          <w:rFonts w:cs="Arial"/>
          <w:b/>
          <w:bCs/>
        </w:rPr>
        <w:t>9 Anforderungen an die Zusammensetzung von Abfällen aus der Abgasreinigung für spezielle Verwertungsvorhaben</w:t>
      </w:r>
    </w:p>
    <w:p>
      <w:pPr>
        <w:pStyle w:val="GesAbsatz"/>
        <w:rPr>
          <w:rFonts w:cs="Arial"/>
        </w:rPr>
      </w:pPr>
      <w:r>
        <w:rPr>
          <w:rFonts w:cs="Arial"/>
        </w:rPr>
        <w:t>9.1 Spezifikation</w:t>
      </w:r>
      <w:r>
        <w:rPr>
          <w:rStyle w:val="Funotenzeichen"/>
          <w:rFonts w:cs="Arial"/>
        </w:rPr>
        <w:footnoteReference w:customMarkFollows="1" w:id="11"/>
        <w:t>*)</w:t>
      </w:r>
      <w:r>
        <w:rPr>
          <w:rFonts w:cs="Arial"/>
        </w:rPr>
        <w:t xml:space="preserve"> von NaCI-Abfällen aus der Abgasreinigung von Verbrennungsanlagen für den Einsatz in der Chloralkali-Elektrolyse (TAKE-Liste von 7/93)</w:t>
      </w:r>
    </w:p>
    <w:p>
      <w:pPr>
        <w:pStyle w:val="GesAbsatz"/>
        <w:rPr>
          <w:rFonts w:cs="Arial"/>
        </w:rPr>
      </w:pPr>
    </w:p>
    <w:tbl>
      <w:tblPr>
        <w:tblW w:w="0" w:type="auto"/>
        <w:tblLayout w:type="fixed"/>
        <w:tblCellMar>
          <w:left w:w="0" w:type="dxa"/>
          <w:right w:w="0" w:type="dxa"/>
        </w:tblCellMar>
        <w:tblLook w:val="0000" w:firstRow="0" w:lastRow="0" w:firstColumn="0" w:lastColumn="0" w:noHBand="0" w:noVBand="0"/>
      </w:tblPr>
      <w:tblGrid>
        <w:gridCol w:w="1560"/>
        <w:gridCol w:w="992"/>
        <w:gridCol w:w="992"/>
        <w:gridCol w:w="1985"/>
        <w:gridCol w:w="708"/>
      </w:tblGrid>
      <w:tr>
        <w:tc>
          <w:tcPr>
            <w:tcW w:w="1560" w:type="dxa"/>
            <w:tcBorders>
              <w:top w:val="nil"/>
              <w:left w:val="nil"/>
              <w:bottom w:val="nil"/>
              <w:right w:val="nil"/>
            </w:tcBorders>
          </w:tcPr>
          <w:p>
            <w:pPr>
              <w:pStyle w:val="GesAbsatz"/>
              <w:ind w:left="57"/>
              <w:rPr>
                <w:lang w:val="it-IT"/>
              </w:rPr>
            </w:pPr>
            <w:r>
              <w:rPr>
                <w:lang w:val="it-IT"/>
              </w:rPr>
              <w:t>NaCI</w:t>
            </w:r>
          </w:p>
        </w:tc>
        <w:tc>
          <w:tcPr>
            <w:tcW w:w="992" w:type="dxa"/>
            <w:tcBorders>
              <w:top w:val="nil"/>
              <w:left w:val="nil"/>
              <w:bottom w:val="nil"/>
              <w:right w:val="nil"/>
            </w:tcBorders>
          </w:tcPr>
          <w:p>
            <w:pPr>
              <w:pStyle w:val="GesAbsatz"/>
              <w:ind w:left="57"/>
              <w:jc w:val="center"/>
              <w:rPr>
                <w:lang w:val="it-IT"/>
              </w:rPr>
            </w:pPr>
            <w:r>
              <w:rPr>
                <w:lang w:val="it-IT"/>
              </w:rPr>
              <w:t>&gt;</w:t>
            </w:r>
          </w:p>
        </w:tc>
        <w:tc>
          <w:tcPr>
            <w:tcW w:w="992" w:type="dxa"/>
            <w:tcBorders>
              <w:top w:val="nil"/>
              <w:left w:val="nil"/>
              <w:bottom w:val="nil"/>
              <w:right w:val="nil"/>
            </w:tcBorders>
          </w:tcPr>
          <w:p>
            <w:pPr>
              <w:pStyle w:val="GesAbsatz"/>
              <w:ind w:left="57"/>
              <w:jc w:val="center"/>
              <w:rPr>
                <w:lang w:val="it-IT"/>
              </w:rPr>
            </w:pPr>
            <w:r>
              <w:rPr>
                <w:lang w:val="it-IT"/>
              </w:rPr>
              <w:t>95 –</w:t>
            </w:r>
          </w:p>
        </w:tc>
        <w:tc>
          <w:tcPr>
            <w:tcW w:w="2693" w:type="dxa"/>
            <w:gridSpan w:val="2"/>
            <w:tcBorders>
              <w:top w:val="nil"/>
              <w:left w:val="nil"/>
              <w:bottom w:val="nil"/>
              <w:right w:val="nil"/>
            </w:tcBorders>
          </w:tcPr>
          <w:p>
            <w:pPr>
              <w:pStyle w:val="GesAbsatz"/>
              <w:ind w:left="57"/>
              <w:jc w:val="center"/>
              <w:rPr>
                <w:lang w:val="it-IT"/>
              </w:rPr>
            </w:pPr>
            <w:r>
              <w:rPr>
                <w:lang w:val="it-IT"/>
              </w:rPr>
              <w:t>96%</w:t>
            </w:r>
          </w:p>
        </w:tc>
      </w:tr>
      <w:tr>
        <w:tc>
          <w:tcPr>
            <w:tcW w:w="1560" w:type="dxa"/>
            <w:tcBorders>
              <w:top w:val="nil"/>
              <w:left w:val="nil"/>
              <w:bottom w:val="nil"/>
              <w:right w:val="nil"/>
            </w:tcBorders>
          </w:tcPr>
          <w:p>
            <w:pPr>
              <w:pStyle w:val="GesAbsatz"/>
              <w:ind w:left="57"/>
              <w:rPr>
                <w:lang w:val="it-IT"/>
              </w:rPr>
            </w:pPr>
            <w:r>
              <w:rPr>
                <w:lang w:val="it-IT"/>
              </w:rPr>
              <w:t>Ca</w:t>
            </w:r>
          </w:p>
        </w:tc>
        <w:tc>
          <w:tcPr>
            <w:tcW w:w="992" w:type="dxa"/>
            <w:tcBorders>
              <w:top w:val="nil"/>
              <w:left w:val="nil"/>
              <w:bottom w:val="nil"/>
              <w:right w:val="nil"/>
            </w:tcBorders>
          </w:tcPr>
          <w:p>
            <w:pPr>
              <w:pStyle w:val="GesAbsatz"/>
              <w:ind w:left="57"/>
              <w:jc w:val="center"/>
              <w:rPr>
                <w:lang w:val="it-IT"/>
              </w:rPr>
            </w:pPr>
            <w:r>
              <w:rPr>
                <w:lang w:val="it-IT"/>
              </w:rPr>
              <w:t>&lt;</w:t>
            </w:r>
          </w:p>
        </w:tc>
        <w:tc>
          <w:tcPr>
            <w:tcW w:w="992" w:type="dxa"/>
            <w:tcBorders>
              <w:top w:val="nil"/>
              <w:left w:val="nil"/>
              <w:bottom w:val="nil"/>
              <w:right w:val="nil"/>
            </w:tcBorders>
          </w:tcPr>
          <w:p>
            <w:pPr>
              <w:pStyle w:val="GesAbsatz"/>
              <w:ind w:left="57"/>
              <w:jc w:val="center"/>
              <w:rPr>
                <w:rFonts w:ascii="Times New Roman" w:hAnsi="Times New Roman"/>
                <w:sz w:val="13"/>
                <w:szCs w:val="13"/>
                <w:lang w:val="it-IT"/>
              </w:rPr>
            </w:pPr>
          </w:p>
        </w:tc>
        <w:tc>
          <w:tcPr>
            <w:tcW w:w="2693" w:type="dxa"/>
            <w:gridSpan w:val="2"/>
            <w:tcBorders>
              <w:top w:val="nil"/>
              <w:left w:val="nil"/>
              <w:bottom w:val="nil"/>
              <w:right w:val="nil"/>
            </w:tcBorders>
          </w:tcPr>
          <w:p>
            <w:pPr>
              <w:pStyle w:val="GesAbsatz"/>
              <w:ind w:left="57"/>
              <w:jc w:val="center"/>
              <w:rPr>
                <w:lang w:val="it-IT"/>
              </w:rPr>
            </w:pPr>
            <w:r>
              <w:rPr>
                <w:lang w:val="it-IT"/>
              </w:rPr>
              <w:t>2%</w:t>
            </w:r>
          </w:p>
        </w:tc>
      </w:tr>
      <w:tr>
        <w:tc>
          <w:tcPr>
            <w:tcW w:w="1560" w:type="dxa"/>
            <w:tcBorders>
              <w:top w:val="nil"/>
              <w:left w:val="nil"/>
              <w:bottom w:val="nil"/>
              <w:right w:val="nil"/>
            </w:tcBorders>
          </w:tcPr>
          <w:p>
            <w:pPr>
              <w:pStyle w:val="GesAbsatz"/>
              <w:ind w:left="57"/>
              <w:rPr>
                <w:lang w:val="it-IT"/>
              </w:rPr>
            </w:pPr>
            <w:r>
              <w:rPr>
                <w:lang w:val="it-IT"/>
              </w:rPr>
              <w:t>Mg</w:t>
            </w:r>
          </w:p>
        </w:tc>
        <w:tc>
          <w:tcPr>
            <w:tcW w:w="992" w:type="dxa"/>
            <w:tcBorders>
              <w:top w:val="nil"/>
              <w:left w:val="nil"/>
              <w:bottom w:val="nil"/>
              <w:right w:val="nil"/>
            </w:tcBorders>
          </w:tcPr>
          <w:p>
            <w:pPr>
              <w:pStyle w:val="GesAbsatz"/>
              <w:ind w:left="57"/>
              <w:jc w:val="center"/>
            </w:pPr>
            <w:r>
              <w:t>&lt;</w:t>
            </w:r>
          </w:p>
        </w:tc>
        <w:tc>
          <w:tcPr>
            <w:tcW w:w="992" w:type="dxa"/>
            <w:tcBorders>
              <w:top w:val="nil"/>
              <w:left w:val="nil"/>
              <w:bottom w:val="nil"/>
              <w:right w:val="nil"/>
            </w:tcBorders>
          </w:tcPr>
          <w:p>
            <w:pPr>
              <w:pStyle w:val="GesAbsatz"/>
              <w:ind w:left="57"/>
              <w:jc w:val="center"/>
              <w:rPr>
                <w:rFonts w:ascii="Times New Roman" w:hAnsi="Times New Roman"/>
                <w:sz w:val="13"/>
                <w:szCs w:val="13"/>
              </w:rPr>
            </w:pPr>
          </w:p>
        </w:tc>
        <w:tc>
          <w:tcPr>
            <w:tcW w:w="2693" w:type="dxa"/>
            <w:gridSpan w:val="2"/>
            <w:tcBorders>
              <w:top w:val="nil"/>
              <w:left w:val="nil"/>
              <w:bottom w:val="nil"/>
              <w:right w:val="nil"/>
            </w:tcBorders>
          </w:tcPr>
          <w:p>
            <w:pPr>
              <w:pStyle w:val="GesAbsatz"/>
              <w:ind w:left="57"/>
              <w:jc w:val="center"/>
            </w:pPr>
            <w:r>
              <w:t>0,2%</w:t>
            </w:r>
          </w:p>
        </w:tc>
      </w:tr>
      <w:tr>
        <w:tc>
          <w:tcPr>
            <w:tcW w:w="1560" w:type="dxa"/>
            <w:tcBorders>
              <w:top w:val="nil"/>
              <w:left w:val="nil"/>
              <w:bottom w:val="nil"/>
              <w:right w:val="nil"/>
            </w:tcBorders>
          </w:tcPr>
          <w:p>
            <w:pPr>
              <w:pStyle w:val="GesAbsatz"/>
              <w:ind w:left="57"/>
              <w:rPr>
                <w:szCs w:val="13"/>
              </w:rPr>
            </w:pPr>
            <w:r>
              <w:rPr>
                <w:szCs w:val="13"/>
              </w:rPr>
              <w:t>SO</w:t>
            </w:r>
            <w:r>
              <w:rPr>
                <w:szCs w:val="13"/>
                <w:vertAlign w:val="subscript"/>
              </w:rPr>
              <w:t>4</w:t>
            </w:r>
          </w:p>
        </w:tc>
        <w:tc>
          <w:tcPr>
            <w:tcW w:w="992" w:type="dxa"/>
            <w:tcBorders>
              <w:top w:val="nil"/>
              <w:left w:val="nil"/>
              <w:bottom w:val="nil"/>
              <w:right w:val="nil"/>
            </w:tcBorders>
          </w:tcPr>
          <w:p>
            <w:pPr>
              <w:pStyle w:val="GesAbsatz"/>
              <w:ind w:left="57"/>
              <w:jc w:val="center"/>
            </w:pPr>
            <w:r>
              <w:t>&lt;</w:t>
            </w:r>
          </w:p>
        </w:tc>
        <w:tc>
          <w:tcPr>
            <w:tcW w:w="992" w:type="dxa"/>
            <w:tcBorders>
              <w:top w:val="nil"/>
              <w:left w:val="nil"/>
              <w:bottom w:val="nil"/>
              <w:right w:val="nil"/>
            </w:tcBorders>
          </w:tcPr>
          <w:p>
            <w:pPr>
              <w:pStyle w:val="GesAbsatz"/>
              <w:ind w:left="57"/>
              <w:jc w:val="center"/>
              <w:rPr>
                <w:rFonts w:ascii="Times New Roman" w:hAnsi="Times New Roman"/>
                <w:sz w:val="13"/>
                <w:szCs w:val="13"/>
              </w:rPr>
            </w:pPr>
          </w:p>
        </w:tc>
        <w:tc>
          <w:tcPr>
            <w:tcW w:w="2693" w:type="dxa"/>
            <w:gridSpan w:val="2"/>
            <w:tcBorders>
              <w:top w:val="nil"/>
              <w:left w:val="nil"/>
              <w:bottom w:val="nil"/>
              <w:right w:val="nil"/>
            </w:tcBorders>
          </w:tcPr>
          <w:p>
            <w:pPr>
              <w:pStyle w:val="GesAbsatz"/>
              <w:ind w:left="57"/>
              <w:jc w:val="center"/>
            </w:pPr>
            <w:r>
              <w:t>2%</w:t>
            </w:r>
          </w:p>
        </w:tc>
      </w:tr>
      <w:tr>
        <w:tc>
          <w:tcPr>
            <w:tcW w:w="1560" w:type="dxa"/>
            <w:tcBorders>
              <w:top w:val="nil"/>
              <w:left w:val="nil"/>
              <w:bottom w:val="nil"/>
              <w:right w:val="nil"/>
            </w:tcBorders>
          </w:tcPr>
          <w:p>
            <w:pPr>
              <w:pStyle w:val="GesAbsatz"/>
              <w:ind w:left="57"/>
            </w:pPr>
            <w:r>
              <w:t>K</w:t>
            </w:r>
          </w:p>
        </w:tc>
        <w:tc>
          <w:tcPr>
            <w:tcW w:w="992" w:type="dxa"/>
            <w:tcBorders>
              <w:top w:val="nil"/>
              <w:left w:val="nil"/>
              <w:bottom w:val="nil"/>
              <w:right w:val="nil"/>
            </w:tcBorders>
          </w:tcPr>
          <w:p>
            <w:pPr>
              <w:pStyle w:val="GesAbsatz"/>
              <w:ind w:left="57"/>
              <w:jc w:val="center"/>
            </w:pPr>
            <w:r>
              <w:t>&lt;</w:t>
            </w:r>
          </w:p>
        </w:tc>
        <w:tc>
          <w:tcPr>
            <w:tcW w:w="992" w:type="dxa"/>
            <w:tcBorders>
              <w:top w:val="nil"/>
              <w:left w:val="nil"/>
              <w:bottom w:val="nil"/>
              <w:right w:val="nil"/>
            </w:tcBorders>
          </w:tcPr>
          <w:p>
            <w:pPr>
              <w:pStyle w:val="GesAbsatz"/>
              <w:ind w:left="57"/>
              <w:jc w:val="center"/>
              <w:rPr>
                <w:rFonts w:ascii="Times New Roman" w:hAnsi="Times New Roman"/>
                <w:sz w:val="13"/>
                <w:szCs w:val="13"/>
              </w:rPr>
            </w:pPr>
          </w:p>
        </w:tc>
        <w:tc>
          <w:tcPr>
            <w:tcW w:w="2693" w:type="dxa"/>
            <w:gridSpan w:val="2"/>
            <w:tcBorders>
              <w:top w:val="nil"/>
              <w:left w:val="nil"/>
              <w:bottom w:val="nil"/>
              <w:right w:val="nil"/>
            </w:tcBorders>
          </w:tcPr>
          <w:p>
            <w:pPr>
              <w:pStyle w:val="GesAbsatz"/>
              <w:ind w:left="57"/>
              <w:jc w:val="center"/>
            </w:pPr>
            <w:r>
              <w:t>1500 mg/kg</w:t>
            </w:r>
          </w:p>
        </w:tc>
      </w:tr>
      <w:tr>
        <w:tc>
          <w:tcPr>
            <w:tcW w:w="1560" w:type="dxa"/>
            <w:tcBorders>
              <w:top w:val="nil"/>
              <w:left w:val="nil"/>
              <w:bottom w:val="nil"/>
              <w:right w:val="nil"/>
            </w:tcBorders>
          </w:tcPr>
          <w:p>
            <w:pPr>
              <w:pStyle w:val="GesAbsatz"/>
              <w:ind w:left="57"/>
            </w:pPr>
            <w:r>
              <w:t>F</w:t>
            </w:r>
          </w:p>
        </w:tc>
        <w:tc>
          <w:tcPr>
            <w:tcW w:w="992" w:type="dxa"/>
            <w:tcBorders>
              <w:top w:val="nil"/>
              <w:left w:val="nil"/>
              <w:bottom w:val="nil"/>
              <w:right w:val="nil"/>
            </w:tcBorders>
          </w:tcPr>
          <w:p>
            <w:pPr>
              <w:pStyle w:val="GesAbsatz"/>
              <w:ind w:left="57"/>
              <w:jc w:val="center"/>
            </w:pPr>
            <w:r>
              <w:t>&lt;</w:t>
            </w:r>
          </w:p>
        </w:tc>
        <w:tc>
          <w:tcPr>
            <w:tcW w:w="992" w:type="dxa"/>
            <w:tcBorders>
              <w:top w:val="nil"/>
              <w:left w:val="nil"/>
              <w:bottom w:val="nil"/>
              <w:right w:val="nil"/>
            </w:tcBorders>
          </w:tcPr>
          <w:p>
            <w:pPr>
              <w:pStyle w:val="GesAbsatz"/>
              <w:ind w:left="57"/>
              <w:jc w:val="center"/>
              <w:rPr>
                <w:rFonts w:ascii="Times New Roman" w:hAnsi="Times New Roman"/>
                <w:sz w:val="13"/>
                <w:szCs w:val="13"/>
              </w:rPr>
            </w:pPr>
          </w:p>
        </w:tc>
        <w:tc>
          <w:tcPr>
            <w:tcW w:w="2693" w:type="dxa"/>
            <w:gridSpan w:val="2"/>
            <w:tcBorders>
              <w:top w:val="nil"/>
              <w:left w:val="nil"/>
              <w:bottom w:val="nil"/>
              <w:right w:val="nil"/>
            </w:tcBorders>
          </w:tcPr>
          <w:p>
            <w:pPr>
              <w:pStyle w:val="GesAbsatz"/>
              <w:ind w:left="57"/>
              <w:jc w:val="center"/>
            </w:pPr>
            <w:r>
              <w:t>60 mg/kg</w:t>
            </w:r>
          </w:p>
        </w:tc>
      </w:tr>
      <w:tr>
        <w:tc>
          <w:tcPr>
            <w:tcW w:w="1560" w:type="dxa"/>
            <w:tcBorders>
              <w:top w:val="nil"/>
              <w:left w:val="nil"/>
              <w:bottom w:val="nil"/>
              <w:right w:val="nil"/>
            </w:tcBorders>
          </w:tcPr>
          <w:p>
            <w:pPr>
              <w:pStyle w:val="GesAbsatz"/>
              <w:ind w:left="57"/>
            </w:pPr>
            <w:r>
              <w:t>Br</w:t>
            </w:r>
          </w:p>
        </w:tc>
        <w:tc>
          <w:tcPr>
            <w:tcW w:w="992" w:type="dxa"/>
            <w:tcBorders>
              <w:top w:val="nil"/>
              <w:left w:val="nil"/>
              <w:bottom w:val="nil"/>
              <w:right w:val="nil"/>
            </w:tcBorders>
          </w:tcPr>
          <w:p>
            <w:pPr>
              <w:pStyle w:val="GesAbsatz"/>
              <w:ind w:left="57"/>
              <w:jc w:val="center"/>
            </w:pPr>
            <w:r>
              <w:t>&lt;</w:t>
            </w:r>
          </w:p>
        </w:tc>
        <w:tc>
          <w:tcPr>
            <w:tcW w:w="992" w:type="dxa"/>
            <w:tcBorders>
              <w:top w:val="nil"/>
              <w:left w:val="nil"/>
              <w:bottom w:val="nil"/>
              <w:right w:val="nil"/>
            </w:tcBorders>
          </w:tcPr>
          <w:p>
            <w:pPr>
              <w:pStyle w:val="GesAbsatz"/>
              <w:ind w:left="57"/>
              <w:jc w:val="center"/>
              <w:rPr>
                <w:rFonts w:ascii="Times New Roman" w:hAnsi="Times New Roman"/>
                <w:sz w:val="13"/>
                <w:szCs w:val="13"/>
              </w:rPr>
            </w:pPr>
          </w:p>
        </w:tc>
        <w:tc>
          <w:tcPr>
            <w:tcW w:w="2693" w:type="dxa"/>
            <w:gridSpan w:val="2"/>
            <w:tcBorders>
              <w:top w:val="nil"/>
              <w:left w:val="nil"/>
              <w:bottom w:val="nil"/>
              <w:right w:val="nil"/>
            </w:tcBorders>
          </w:tcPr>
          <w:p>
            <w:pPr>
              <w:pStyle w:val="GesAbsatz"/>
              <w:ind w:left="57"/>
              <w:jc w:val="center"/>
            </w:pPr>
            <w:r>
              <w:t>50 mg/kg</w:t>
            </w:r>
          </w:p>
        </w:tc>
      </w:tr>
      <w:tr>
        <w:tc>
          <w:tcPr>
            <w:tcW w:w="1560" w:type="dxa"/>
            <w:tcBorders>
              <w:top w:val="nil"/>
              <w:left w:val="nil"/>
              <w:bottom w:val="nil"/>
              <w:right w:val="nil"/>
            </w:tcBorders>
          </w:tcPr>
          <w:p>
            <w:pPr>
              <w:pStyle w:val="GesAbsatz"/>
              <w:ind w:left="57"/>
            </w:pPr>
            <w:r>
              <w:t>J</w:t>
            </w:r>
          </w:p>
        </w:tc>
        <w:tc>
          <w:tcPr>
            <w:tcW w:w="992" w:type="dxa"/>
            <w:tcBorders>
              <w:top w:val="nil"/>
              <w:left w:val="nil"/>
              <w:bottom w:val="nil"/>
              <w:right w:val="nil"/>
            </w:tcBorders>
          </w:tcPr>
          <w:p>
            <w:pPr>
              <w:pStyle w:val="GesAbsatz"/>
              <w:ind w:left="57"/>
              <w:jc w:val="center"/>
            </w:pPr>
            <w:r>
              <w:t>&lt;</w:t>
            </w:r>
          </w:p>
        </w:tc>
        <w:tc>
          <w:tcPr>
            <w:tcW w:w="992" w:type="dxa"/>
            <w:tcBorders>
              <w:top w:val="nil"/>
              <w:left w:val="nil"/>
              <w:bottom w:val="nil"/>
              <w:right w:val="nil"/>
            </w:tcBorders>
          </w:tcPr>
          <w:p>
            <w:pPr>
              <w:pStyle w:val="GesAbsatz"/>
              <w:ind w:left="57"/>
              <w:jc w:val="center"/>
              <w:rPr>
                <w:rFonts w:ascii="Times New Roman" w:hAnsi="Times New Roman"/>
                <w:sz w:val="13"/>
                <w:szCs w:val="13"/>
              </w:rPr>
            </w:pPr>
          </w:p>
        </w:tc>
        <w:tc>
          <w:tcPr>
            <w:tcW w:w="2693" w:type="dxa"/>
            <w:gridSpan w:val="2"/>
            <w:tcBorders>
              <w:top w:val="nil"/>
              <w:left w:val="nil"/>
              <w:bottom w:val="nil"/>
              <w:right w:val="nil"/>
            </w:tcBorders>
          </w:tcPr>
          <w:p>
            <w:pPr>
              <w:pStyle w:val="GesAbsatz"/>
              <w:ind w:left="57"/>
              <w:jc w:val="center"/>
            </w:pPr>
            <w:r>
              <w:t>10 mg/kg</w:t>
            </w:r>
          </w:p>
        </w:tc>
      </w:tr>
      <w:tr>
        <w:trPr>
          <w:cantSplit/>
        </w:trPr>
        <w:tc>
          <w:tcPr>
            <w:tcW w:w="1560" w:type="dxa"/>
            <w:tcBorders>
              <w:top w:val="nil"/>
              <w:left w:val="nil"/>
              <w:bottom w:val="nil"/>
              <w:right w:val="nil"/>
            </w:tcBorders>
          </w:tcPr>
          <w:p>
            <w:pPr>
              <w:pStyle w:val="GesAbsatz"/>
              <w:ind w:left="57"/>
            </w:pPr>
            <w:r>
              <w:t>Sr</w:t>
            </w:r>
          </w:p>
        </w:tc>
        <w:tc>
          <w:tcPr>
            <w:tcW w:w="992" w:type="dxa"/>
            <w:tcBorders>
              <w:top w:val="nil"/>
              <w:left w:val="nil"/>
              <w:right w:val="nil"/>
            </w:tcBorders>
          </w:tcPr>
          <w:p>
            <w:pPr>
              <w:pStyle w:val="GesAbsatz"/>
              <w:ind w:left="57"/>
              <w:jc w:val="center"/>
            </w:pPr>
            <w:r>
              <w:t>&lt;</w:t>
            </w:r>
          </w:p>
        </w:tc>
        <w:tc>
          <w:tcPr>
            <w:tcW w:w="992" w:type="dxa"/>
            <w:tcBorders>
              <w:top w:val="nil"/>
              <w:left w:val="nil"/>
              <w:right w:val="nil"/>
            </w:tcBorders>
          </w:tcPr>
          <w:p>
            <w:pPr>
              <w:pStyle w:val="GesAbsatz"/>
              <w:ind w:left="57"/>
              <w:jc w:val="center"/>
            </w:pPr>
            <w:r>
              <w:t>&lt;</w:t>
            </w:r>
          </w:p>
        </w:tc>
        <w:tc>
          <w:tcPr>
            <w:tcW w:w="1985" w:type="dxa"/>
            <w:tcBorders>
              <w:top w:val="nil"/>
              <w:left w:val="nil"/>
              <w:bottom w:val="nil"/>
              <w:right w:val="nil"/>
            </w:tcBorders>
          </w:tcPr>
          <w:p>
            <w:pPr>
              <w:pStyle w:val="GesAbsatz"/>
              <w:ind w:left="57"/>
              <w:jc w:val="center"/>
            </w:pPr>
            <w:r>
              <w:t>20 mg/kg</w:t>
            </w:r>
          </w:p>
        </w:tc>
        <w:tc>
          <w:tcPr>
            <w:tcW w:w="708" w:type="dxa"/>
            <w:tcBorders>
              <w:top w:val="nil"/>
              <w:left w:val="nil"/>
              <w:bottom w:val="nil"/>
              <w:right w:val="nil"/>
            </w:tcBorders>
          </w:tcPr>
          <w:p>
            <w:pPr>
              <w:pStyle w:val="GesAbsatz"/>
              <w:ind w:left="57"/>
              <w:jc w:val="center"/>
              <w:rPr>
                <w:rFonts w:ascii="Times New Roman" w:hAnsi="Times New Roman"/>
                <w:sz w:val="10"/>
                <w:szCs w:val="10"/>
              </w:rPr>
            </w:pPr>
          </w:p>
        </w:tc>
      </w:tr>
      <w:tr>
        <w:trPr>
          <w:cantSplit/>
        </w:trPr>
        <w:tc>
          <w:tcPr>
            <w:tcW w:w="1560" w:type="dxa"/>
            <w:tcBorders>
              <w:top w:val="nil"/>
              <w:left w:val="nil"/>
              <w:bottom w:val="nil"/>
              <w:right w:val="nil"/>
            </w:tcBorders>
          </w:tcPr>
          <w:p>
            <w:pPr>
              <w:pStyle w:val="GesAbsatz"/>
              <w:ind w:left="57"/>
            </w:pPr>
            <w:r>
              <w:t>Ba</w:t>
            </w:r>
          </w:p>
        </w:tc>
        <w:tc>
          <w:tcPr>
            <w:tcW w:w="992" w:type="dxa"/>
            <w:tcBorders>
              <w:left w:val="nil"/>
              <w:right w:val="nil"/>
            </w:tcBorders>
          </w:tcPr>
          <w:p>
            <w:pPr>
              <w:pStyle w:val="GesAbsatz"/>
              <w:ind w:left="57"/>
              <w:jc w:val="center"/>
            </w:pPr>
            <w:r>
              <w:t>&lt;</w:t>
            </w:r>
          </w:p>
        </w:tc>
        <w:tc>
          <w:tcPr>
            <w:tcW w:w="992" w:type="dxa"/>
            <w:tcBorders>
              <w:left w:val="nil"/>
              <w:right w:val="nil"/>
            </w:tcBorders>
          </w:tcPr>
          <w:p>
            <w:pPr>
              <w:pStyle w:val="GesAbsatz"/>
              <w:ind w:left="57"/>
              <w:jc w:val="center"/>
            </w:pPr>
          </w:p>
        </w:tc>
        <w:tc>
          <w:tcPr>
            <w:tcW w:w="1985" w:type="dxa"/>
            <w:tcBorders>
              <w:top w:val="nil"/>
              <w:left w:val="nil"/>
              <w:bottom w:val="nil"/>
              <w:right w:val="nil"/>
            </w:tcBorders>
          </w:tcPr>
          <w:p>
            <w:pPr>
              <w:pStyle w:val="GesAbsatz"/>
              <w:ind w:left="57"/>
              <w:jc w:val="center"/>
            </w:pPr>
            <w:r>
              <w:t>20 mg/kg</w:t>
            </w:r>
          </w:p>
        </w:tc>
        <w:tc>
          <w:tcPr>
            <w:tcW w:w="708" w:type="dxa"/>
            <w:tcBorders>
              <w:top w:val="nil"/>
              <w:left w:val="nil"/>
              <w:bottom w:val="nil"/>
              <w:right w:val="nil"/>
            </w:tcBorders>
          </w:tcPr>
          <w:p>
            <w:pPr>
              <w:pStyle w:val="GesAbsatz"/>
              <w:ind w:left="57"/>
              <w:jc w:val="center"/>
              <w:rPr>
                <w:rFonts w:ascii="Times New Roman" w:hAnsi="Times New Roman"/>
                <w:sz w:val="10"/>
                <w:szCs w:val="10"/>
              </w:rPr>
            </w:pPr>
          </w:p>
        </w:tc>
      </w:tr>
      <w:tr>
        <w:trPr>
          <w:cantSplit/>
        </w:trPr>
        <w:tc>
          <w:tcPr>
            <w:tcW w:w="1560" w:type="dxa"/>
            <w:tcBorders>
              <w:top w:val="nil"/>
              <w:left w:val="nil"/>
              <w:bottom w:val="nil"/>
              <w:right w:val="nil"/>
            </w:tcBorders>
          </w:tcPr>
          <w:p>
            <w:pPr>
              <w:pStyle w:val="GesAbsatz"/>
              <w:ind w:left="57"/>
            </w:pPr>
            <w:r>
              <w:t>Fe</w:t>
            </w:r>
          </w:p>
        </w:tc>
        <w:tc>
          <w:tcPr>
            <w:tcW w:w="992" w:type="dxa"/>
            <w:tcBorders>
              <w:left w:val="nil"/>
              <w:right w:val="nil"/>
            </w:tcBorders>
          </w:tcPr>
          <w:p>
            <w:pPr>
              <w:pStyle w:val="GesAbsatz"/>
              <w:ind w:left="57"/>
              <w:jc w:val="center"/>
            </w:pPr>
            <w:r>
              <w:t>&lt;</w:t>
            </w:r>
          </w:p>
        </w:tc>
        <w:tc>
          <w:tcPr>
            <w:tcW w:w="992" w:type="dxa"/>
            <w:tcBorders>
              <w:left w:val="nil"/>
              <w:right w:val="nil"/>
            </w:tcBorders>
          </w:tcPr>
          <w:p>
            <w:pPr>
              <w:pStyle w:val="GesAbsatz"/>
              <w:ind w:left="57"/>
              <w:jc w:val="center"/>
            </w:pPr>
          </w:p>
        </w:tc>
        <w:tc>
          <w:tcPr>
            <w:tcW w:w="1985" w:type="dxa"/>
            <w:tcBorders>
              <w:top w:val="nil"/>
              <w:left w:val="nil"/>
              <w:bottom w:val="nil"/>
              <w:right w:val="nil"/>
            </w:tcBorders>
          </w:tcPr>
          <w:p>
            <w:pPr>
              <w:pStyle w:val="GesAbsatz"/>
              <w:ind w:left="57"/>
              <w:jc w:val="center"/>
            </w:pPr>
            <w:r>
              <w:t>10 mg/kg</w:t>
            </w:r>
          </w:p>
        </w:tc>
        <w:tc>
          <w:tcPr>
            <w:tcW w:w="708" w:type="dxa"/>
            <w:tcBorders>
              <w:top w:val="nil"/>
              <w:left w:val="nil"/>
              <w:bottom w:val="nil"/>
              <w:right w:val="nil"/>
            </w:tcBorders>
          </w:tcPr>
          <w:p>
            <w:pPr>
              <w:pStyle w:val="GesAbsatz"/>
              <w:ind w:left="57"/>
              <w:jc w:val="center"/>
              <w:rPr>
                <w:rFonts w:ascii="Times New Roman" w:hAnsi="Times New Roman"/>
                <w:sz w:val="10"/>
                <w:szCs w:val="10"/>
              </w:rPr>
            </w:pPr>
          </w:p>
        </w:tc>
      </w:tr>
      <w:tr>
        <w:trPr>
          <w:cantSplit/>
          <w:trHeight w:val="341"/>
        </w:trPr>
        <w:tc>
          <w:tcPr>
            <w:tcW w:w="1560" w:type="dxa"/>
            <w:tcBorders>
              <w:top w:val="nil"/>
              <w:left w:val="nil"/>
              <w:bottom w:val="nil"/>
              <w:right w:val="nil"/>
            </w:tcBorders>
          </w:tcPr>
          <w:p>
            <w:pPr>
              <w:pStyle w:val="GesAbsatz"/>
              <w:ind w:left="57"/>
              <w:rPr>
                <w:rFonts w:ascii="Times New Roman" w:hAnsi="Times New Roman"/>
                <w:sz w:val="10"/>
                <w:szCs w:val="10"/>
              </w:rPr>
            </w:pPr>
            <w:r>
              <w:t>Mn</w:t>
            </w:r>
          </w:p>
        </w:tc>
        <w:tc>
          <w:tcPr>
            <w:tcW w:w="992" w:type="dxa"/>
            <w:tcBorders>
              <w:left w:val="nil"/>
              <w:bottom w:val="nil"/>
              <w:right w:val="nil"/>
            </w:tcBorders>
          </w:tcPr>
          <w:p>
            <w:pPr>
              <w:pStyle w:val="GesAbsatz"/>
              <w:ind w:left="57"/>
              <w:jc w:val="center"/>
              <w:rPr>
                <w:rFonts w:ascii="Times New Roman" w:hAnsi="Times New Roman"/>
                <w:sz w:val="10"/>
                <w:szCs w:val="10"/>
              </w:rPr>
            </w:pPr>
            <w:r>
              <w:t>&lt;</w:t>
            </w:r>
          </w:p>
        </w:tc>
        <w:tc>
          <w:tcPr>
            <w:tcW w:w="992" w:type="dxa"/>
            <w:tcBorders>
              <w:left w:val="nil"/>
              <w:bottom w:val="nil"/>
              <w:right w:val="nil"/>
            </w:tcBorders>
          </w:tcPr>
          <w:p>
            <w:pPr>
              <w:pStyle w:val="GesAbsatz"/>
              <w:ind w:left="57"/>
              <w:jc w:val="center"/>
              <w:rPr>
                <w:rFonts w:ascii="Times New Roman" w:hAnsi="Times New Roman"/>
                <w:sz w:val="10"/>
                <w:szCs w:val="10"/>
              </w:rPr>
            </w:pPr>
          </w:p>
        </w:tc>
        <w:tc>
          <w:tcPr>
            <w:tcW w:w="1985" w:type="dxa"/>
            <w:tcBorders>
              <w:top w:val="nil"/>
              <w:left w:val="nil"/>
              <w:bottom w:val="nil"/>
              <w:right w:val="nil"/>
            </w:tcBorders>
          </w:tcPr>
          <w:p>
            <w:pPr>
              <w:pStyle w:val="GesAbsatz"/>
              <w:ind w:left="57"/>
              <w:jc w:val="center"/>
              <w:rPr>
                <w:rFonts w:ascii="Times New Roman" w:hAnsi="Times New Roman"/>
                <w:sz w:val="10"/>
                <w:szCs w:val="10"/>
              </w:rPr>
            </w:pPr>
            <w:r>
              <w:t>1 mg/kg</w:t>
            </w:r>
          </w:p>
        </w:tc>
        <w:tc>
          <w:tcPr>
            <w:tcW w:w="708" w:type="dxa"/>
            <w:tcBorders>
              <w:top w:val="nil"/>
              <w:left w:val="nil"/>
              <w:bottom w:val="nil"/>
              <w:right w:val="nil"/>
            </w:tcBorders>
          </w:tcPr>
          <w:p>
            <w:pPr>
              <w:pStyle w:val="GesAbsatz"/>
              <w:ind w:left="57"/>
              <w:jc w:val="center"/>
              <w:rPr>
                <w:sz w:val="13"/>
                <w:szCs w:val="13"/>
                <w:lang w:val="fr-FR"/>
              </w:rPr>
            </w:pPr>
            <w:r>
              <w:rPr>
                <w:sz w:val="13"/>
                <w:szCs w:val="13"/>
                <w:lang w:val="fr-FR"/>
              </w:rPr>
              <w:t>1</w:t>
            </w:r>
          </w:p>
        </w:tc>
      </w:tr>
      <w:tr>
        <w:trPr>
          <w:cantSplit/>
          <w:trHeight w:val="261"/>
        </w:trPr>
        <w:tc>
          <w:tcPr>
            <w:tcW w:w="1560" w:type="dxa"/>
            <w:tcBorders>
              <w:top w:val="nil"/>
              <w:left w:val="nil"/>
              <w:bottom w:val="nil"/>
              <w:right w:val="nil"/>
            </w:tcBorders>
          </w:tcPr>
          <w:p>
            <w:pPr>
              <w:pStyle w:val="GesAbsatz"/>
              <w:ind w:left="57"/>
              <w:rPr>
                <w:rFonts w:ascii="Times New Roman" w:hAnsi="Times New Roman"/>
                <w:sz w:val="10"/>
                <w:szCs w:val="10"/>
                <w:lang w:val="fr-FR"/>
              </w:rPr>
            </w:pPr>
            <w:r>
              <w:rPr>
                <w:lang w:val="fr-FR"/>
              </w:rPr>
              <w:t>Ni</w:t>
            </w:r>
          </w:p>
        </w:tc>
        <w:tc>
          <w:tcPr>
            <w:tcW w:w="992" w:type="dxa"/>
            <w:tcBorders>
              <w:left w:val="nil"/>
              <w:bottom w:val="nil"/>
              <w:right w:val="nil"/>
            </w:tcBorders>
          </w:tcPr>
          <w:p>
            <w:pPr>
              <w:pStyle w:val="GesAbsatz"/>
              <w:ind w:left="57"/>
              <w:jc w:val="center"/>
              <w:rPr>
                <w:rFonts w:ascii="Times New Roman" w:hAnsi="Times New Roman"/>
                <w:sz w:val="10"/>
                <w:szCs w:val="10"/>
                <w:lang w:val="fr-FR"/>
              </w:rPr>
            </w:pPr>
            <w:r>
              <w:rPr>
                <w:lang w:val="fr-FR"/>
              </w:rPr>
              <w:t>&lt;</w:t>
            </w:r>
          </w:p>
        </w:tc>
        <w:tc>
          <w:tcPr>
            <w:tcW w:w="992" w:type="dxa"/>
            <w:tcBorders>
              <w:left w:val="nil"/>
              <w:bottom w:val="nil"/>
              <w:right w:val="nil"/>
            </w:tcBorders>
          </w:tcPr>
          <w:p>
            <w:pPr>
              <w:pStyle w:val="GesAbsatz"/>
              <w:ind w:left="57"/>
              <w:jc w:val="center"/>
              <w:rPr>
                <w:rFonts w:ascii="Times New Roman" w:hAnsi="Times New Roman"/>
                <w:sz w:val="10"/>
                <w:szCs w:val="10"/>
                <w:lang w:val="fr-FR"/>
              </w:rPr>
            </w:pPr>
          </w:p>
        </w:tc>
        <w:tc>
          <w:tcPr>
            <w:tcW w:w="1985" w:type="dxa"/>
            <w:tcBorders>
              <w:top w:val="nil"/>
              <w:left w:val="nil"/>
              <w:bottom w:val="nil"/>
              <w:right w:val="nil"/>
            </w:tcBorders>
          </w:tcPr>
          <w:p>
            <w:pPr>
              <w:pStyle w:val="GesAbsatz"/>
              <w:ind w:left="57"/>
              <w:jc w:val="center"/>
              <w:rPr>
                <w:rFonts w:ascii="Times New Roman" w:hAnsi="Times New Roman"/>
                <w:sz w:val="10"/>
                <w:szCs w:val="10"/>
                <w:lang w:val="fr-FR"/>
              </w:rPr>
            </w:pPr>
            <w:r>
              <w:rPr>
                <w:lang w:val="fr-FR"/>
              </w:rPr>
              <w:t>1 mg/kg</w:t>
            </w:r>
          </w:p>
        </w:tc>
        <w:tc>
          <w:tcPr>
            <w:tcW w:w="708" w:type="dxa"/>
            <w:tcBorders>
              <w:top w:val="nil"/>
              <w:left w:val="nil"/>
              <w:bottom w:val="nil"/>
              <w:right w:val="nil"/>
            </w:tcBorders>
          </w:tcPr>
          <w:p>
            <w:pPr>
              <w:pStyle w:val="GesAbsatz"/>
              <w:ind w:left="57"/>
              <w:jc w:val="center"/>
              <w:rPr>
                <w:sz w:val="13"/>
                <w:szCs w:val="13"/>
                <w:lang w:val="en-GB"/>
              </w:rPr>
            </w:pPr>
            <w:r>
              <w:rPr>
                <w:sz w:val="13"/>
                <w:szCs w:val="13"/>
                <w:lang w:val="en-GB"/>
              </w:rPr>
              <w:t>1</w:t>
            </w:r>
          </w:p>
        </w:tc>
      </w:tr>
      <w:tr>
        <w:trPr>
          <w:cantSplit/>
          <w:trHeight w:val="324"/>
        </w:trPr>
        <w:tc>
          <w:tcPr>
            <w:tcW w:w="1560" w:type="dxa"/>
            <w:tcBorders>
              <w:top w:val="nil"/>
              <w:left w:val="nil"/>
              <w:bottom w:val="nil"/>
              <w:right w:val="nil"/>
            </w:tcBorders>
          </w:tcPr>
          <w:p>
            <w:pPr>
              <w:pStyle w:val="GesAbsatz"/>
              <w:ind w:left="57"/>
              <w:rPr>
                <w:rFonts w:ascii="Times New Roman" w:hAnsi="Times New Roman"/>
                <w:sz w:val="10"/>
                <w:szCs w:val="10"/>
                <w:lang w:val="en-GB"/>
              </w:rPr>
            </w:pPr>
            <w:r>
              <w:rPr>
                <w:lang w:val="en-GB"/>
              </w:rPr>
              <w:lastRenderedPageBreak/>
              <w:t>Co</w:t>
            </w:r>
          </w:p>
        </w:tc>
        <w:tc>
          <w:tcPr>
            <w:tcW w:w="992" w:type="dxa"/>
            <w:tcBorders>
              <w:left w:val="nil"/>
              <w:bottom w:val="nil"/>
              <w:right w:val="nil"/>
            </w:tcBorders>
          </w:tcPr>
          <w:p>
            <w:pPr>
              <w:pStyle w:val="GesAbsatz"/>
              <w:ind w:left="57"/>
              <w:jc w:val="center"/>
              <w:rPr>
                <w:rFonts w:ascii="Times New Roman" w:hAnsi="Times New Roman"/>
                <w:sz w:val="10"/>
                <w:szCs w:val="10"/>
                <w:lang w:val="en-GB"/>
              </w:rPr>
            </w:pPr>
            <w:r>
              <w:rPr>
                <w:lang w:val="en-GB"/>
              </w:rPr>
              <w:t>&lt;</w:t>
            </w:r>
          </w:p>
        </w:tc>
        <w:tc>
          <w:tcPr>
            <w:tcW w:w="992" w:type="dxa"/>
            <w:tcBorders>
              <w:left w:val="nil"/>
              <w:bottom w:val="nil"/>
              <w:right w:val="nil"/>
            </w:tcBorders>
          </w:tcPr>
          <w:p>
            <w:pPr>
              <w:pStyle w:val="GesAbsatz"/>
              <w:ind w:left="57"/>
              <w:jc w:val="center"/>
              <w:rPr>
                <w:rFonts w:ascii="Times New Roman" w:hAnsi="Times New Roman"/>
                <w:sz w:val="10"/>
                <w:szCs w:val="10"/>
                <w:lang w:val="en-GB"/>
              </w:rPr>
            </w:pPr>
          </w:p>
        </w:tc>
        <w:tc>
          <w:tcPr>
            <w:tcW w:w="1985" w:type="dxa"/>
            <w:tcBorders>
              <w:top w:val="nil"/>
              <w:left w:val="nil"/>
              <w:bottom w:val="nil"/>
              <w:right w:val="nil"/>
            </w:tcBorders>
          </w:tcPr>
          <w:p>
            <w:pPr>
              <w:pStyle w:val="GesAbsatz"/>
              <w:ind w:left="57"/>
              <w:jc w:val="center"/>
              <w:rPr>
                <w:rFonts w:ascii="Times New Roman" w:hAnsi="Times New Roman"/>
                <w:sz w:val="10"/>
                <w:szCs w:val="10"/>
                <w:lang w:val="en-GB"/>
              </w:rPr>
            </w:pPr>
            <w:r>
              <w:rPr>
                <w:lang w:val="en-GB"/>
              </w:rPr>
              <w:t>1 mg/kg</w:t>
            </w:r>
          </w:p>
        </w:tc>
        <w:tc>
          <w:tcPr>
            <w:tcW w:w="708" w:type="dxa"/>
            <w:tcBorders>
              <w:top w:val="nil"/>
              <w:left w:val="nil"/>
              <w:bottom w:val="nil"/>
              <w:right w:val="nil"/>
            </w:tcBorders>
          </w:tcPr>
          <w:p>
            <w:pPr>
              <w:pStyle w:val="GesAbsatz"/>
              <w:ind w:left="57"/>
              <w:jc w:val="center"/>
              <w:rPr>
                <w:sz w:val="13"/>
                <w:szCs w:val="13"/>
              </w:rPr>
            </w:pPr>
            <w:r>
              <w:rPr>
                <w:sz w:val="13"/>
                <w:szCs w:val="13"/>
              </w:rPr>
              <w:t>1</w:t>
            </w:r>
          </w:p>
        </w:tc>
      </w:tr>
      <w:tr>
        <w:trPr>
          <w:cantSplit/>
          <w:trHeight w:val="257"/>
        </w:trPr>
        <w:tc>
          <w:tcPr>
            <w:tcW w:w="1560" w:type="dxa"/>
            <w:tcBorders>
              <w:top w:val="nil"/>
              <w:left w:val="nil"/>
              <w:bottom w:val="nil"/>
              <w:right w:val="nil"/>
            </w:tcBorders>
          </w:tcPr>
          <w:p>
            <w:pPr>
              <w:pStyle w:val="GesAbsatz"/>
              <w:ind w:left="57"/>
              <w:rPr>
                <w:rFonts w:ascii="Times New Roman" w:hAnsi="Times New Roman"/>
                <w:sz w:val="10"/>
                <w:szCs w:val="10"/>
              </w:rPr>
            </w:pPr>
            <w:r>
              <w:t>Cr</w:t>
            </w:r>
          </w:p>
        </w:tc>
        <w:tc>
          <w:tcPr>
            <w:tcW w:w="992" w:type="dxa"/>
            <w:tcBorders>
              <w:left w:val="nil"/>
              <w:bottom w:val="nil"/>
              <w:right w:val="nil"/>
            </w:tcBorders>
          </w:tcPr>
          <w:p>
            <w:pPr>
              <w:pStyle w:val="GesAbsatz"/>
              <w:ind w:left="57"/>
              <w:jc w:val="center"/>
              <w:rPr>
                <w:rFonts w:ascii="Times New Roman" w:hAnsi="Times New Roman"/>
                <w:sz w:val="10"/>
                <w:szCs w:val="10"/>
              </w:rPr>
            </w:pPr>
            <w:r>
              <w:t>&lt;</w:t>
            </w:r>
          </w:p>
        </w:tc>
        <w:tc>
          <w:tcPr>
            <w:tcW w:w="992" w:type="dxa"/>
            <w:tcBorders>
              <w:left w:val="nil"/>
              <w:bottom w:val="nil"/>
              <w:right w:val="nil"/>
            </w:tcBorders>
          </w:tcPr>
          <w:p>
            <w:pPr>
              <w:pStyle w:val="GesAbsatz"/>
              <w:ind w:left="57"/>
              <w:jc w:val="center"/>
              <w:rPr>
                <w:rFonts w:ascii="Times New Roman" w:hAnsi="Times New Roman"/>
                <w:sz w:val="10"/>
                <w:szCs w:val="10"/>
              </w:rPr>
            </w:pPr>
          </w:p>
        </w:tc>
        <w:tc>
          <w:tcPr>
            <w:tcW w:w="1985" w:type="dxa"/>
            <w:tcBorders>
              <w:top w:val="nil"/>
              <w:left w:val="nil"/>
              <w:bottom w:val="nil"/>
              <w:right w:val="nil"/>
            </w:tcBorders>
          </w:tcPr>
          <w:p>
            <w:pPr>
              <w:pStyle w:val="GesAbsatz"/>
              <w:ind w:left="57"/>
              <w:jc w:val="center"/>
              <w:rPr>
                <w:rFonts w:ascii="Times New Roman" w:hAnsi="Times New Roman"/>
                <w:sz w:val="10"/>
                <w:szCs w:val="10"/>
              </w:rPr>
            </w:pPr>
            <w:r>
              <w:t>1 mg/kg</w:t>
            </w:r>
          </w:p>
        </w:tc>
        <w:tc>
          <w:tcPr>
            <w:tcW w:w="708" w:type="dxa"/>
            <w:tcBorders>
              <w:top w:val="nil"/>
              <w:left w:val="nil"/>
              <w:bottom w:val="nil"/>
              <w:right w:val="nil"/>
            </w:tcBorders>
          </w:tcPr>
          <w:p>
            <w:pPr>
              <w:pStyle w:val="GesAbsatz"/>
              <w:ind w:left="57"/>
              <w:jc w:val="center"/>
              <w:rPr>
                <w:sz w:val="13"/>
                <w:szCs w:val="13"/>
              </w:rPr>
            </w:pPr>
            <w:r>
              <w:rPr>
                <w:sz w:val="13"/>
                <w:szCs w:val="13"/>
              </w:rPr>
              <w:t>1</w:t>
            </w:r>
          </w:p>
        </w:tc>
      </w:tr>
      <w:tr>
        <w:trPr>
          <w:cantSplit/>
          <w:trHeight w:val="334"/>
        </w:trPr>
        <w:tc>
          <w:tcPr>
            <w:tcW w:w="1560" w:type="dxa"/>
            <w:tcBorders>
              <w:top w:val="nil"/>
              <w:left w:val="nil"/>
              <w:bottom w:val="nil"/>
              <w:right w:val="nil"/>
            </w:tcBorders>
          </w:tcPr>
          <w:p>
            <w:pPr>
              <w:pStyle w:val="GesAbsatz"/>
              <w:ind w:left="57"/>
            </w:pPr>
            <w:r>
              <w:t>Cu</w:t>
            </w:r>
          </w:p>
        </w:tc>
        <w:tc>
          <w:tcPr>
            <w:tcW w:w="992" w:type="dxa"/>
            <w:tcBorders>
              <w:left w:val="nil"/>
              <w:bottom w:val="nil"/>
              <w:right w:val="nil"/>
            </w:tcBorders>
          </w:tcPr>
          <w:p>
            <w:pPr>
              <w:pStyle w:val="GesAbsatz"/>
              <w:ind w:left="57"/>
              <w:jc w:val="center"/>
            </w:pPr>
            <w:r>
              <w:t>&lt;</w:t>
            </w:r>
          </w:p>
        </w:tc>
        <w:tc>
          <w:tcPr>
            <w:tcW w:w="992" w:type="dxa"/>
            <w:tcBorders>
              <w:left w:val="nil"/>
              <w:bottom w:val="nil"/>
              <w:right w:val="nil"/>
            </w:tcBorders>
          </w:tcPr>
          <w:p>
            <w:pPr>
              <w:pStyle w:val="GesAbsatz"/>
              <w:ind w:left="57"/>
              <w:jc w:val="center"/>
            </w:pPr>
          </w:p>
        </w:tc>
        <w:tc>
          <w:tcPr>
            <w:tcW w:w="1985" w:type="dxa"/>
            <w:tcBorders>
              <w:top w:val="nil"/>
              <w:left w:val="nil"/>
              <w:bottom w:val="nil"/>
              <w:right w:val="nil"/>
            </w:tcBorders>
          </w:tcPr>
          <w:p>
            <w:pPr>
              <w:pStyle w:val="GesAbsatz"/>
              <w:ind w:left="57"/>
              <w:jc w:val="center"/>
            </w:pPr>
            <w:r>
              <w:t>1 mg/kg</w:t>
            </w:r>
          </w:p>
        </w:tc>
        <w:tc>
          <w:tcPr>
            <w:tcW w:w="708" w:type="dxa"/>
            <w:tcBorders>
              <w:top w:val="nil"/>
              <w:left w:val="nil"/>
              <w:bottom w:val="nil"/>
              <w:right w:val="nil"/>
            </w:tcBorders>
          </w:tcPr>
          <w:p>
            <w:pPr>
              <w:pStyle w:val="GesAbsatz"/>
              <w:ind w:left="57"/>
              <w:jc w:val="center"/>
              <w:rPr>
                <w:rFonts w:ascii="Times New Roman" w:hAnsi="Times New Roman"/>
                <w:sz w:val="10"/>
                <w:szCs w:val="10"/>
                <w:lang w:val="en-GB"/>
              </w:rPr>
            </w:pPr>
            <w:r>
              <w:rPr>
                <w:sz w:val="13"/>
                <w:szCs w:val="13"/>
                <w:lang w:val="en-GB"/>
              </w:rPr>
              <w:t>1</w:t>
            </w:r>
          </w:p>
        </w:tc>
      </w:tr>
      <w:tr>
        <w:trPr>
          <w:cantSplit/>
          <w:trHeight w:val="254"/>
        </w:trPr>
        <w:tc>
          <w:tcPr>
            <w:tcW w:w="1560" w:type="dxa"/>
            <w:tcBorders>
              <w:top w:val="nil"/>
              <w:left w:val="nil"/>
              <w:bottom w:val="nil"/>
              <w:right w:val="nil"/>
            </w:tcBorders>
          </w:tcPr>
          <w:p>
            <w:pPr>
              <w:pStyle w:val="GesAbsatz"/>
              <w:ind w:left="57"/>
              <w:rPr>
                <w:lang w:val="en-GB"/>
              </w:rPr>
            </w:pPr>
            <w:r>
              <w:rPr>
                <w:lang w:val="en-GB"/>
              </w:rPr>
              <w:t>W</w:t>
            </w:r>
          </w:p>
        </w:tc>
        <w:tc>
          <w:tcPr>
            <w:tcW w:w="992" w:type="dxa"/>
            <w:tcBorders>
              <w:left w:val="nil"/>
              <w:bottom w:val="nil"/>
              <w:right w:val="nil"/>
            </w:tcBorders>
          </w:tcPr>
          <w:p>
            <w:pPr>
              <w:pStyle w:val="GesAbsatz"/>
              <w:ind w:left="57"/>
              <w:jc w:val="center"/>
              <w:rPr>
                <w:lang w:val="en-GB"/>
              </w:rPr>
            </w:pPr>
            <w:r>
              <w:rPr>
                <w:lang w:val="en-GB"/>
              </w:rPr>
              <w:t>&lt;</w:t>
            </w:r>
          </w:p>
        </w:tc>
        <w:tc>
          <w:tcPr>
            <w:tcW w:w="992" w:type="dxa"/>
            <w:tcBorders>
              <w:left w:val="nil"/>
              <w:bottom w:val="nil"/>
              <w:right w:val="nil"/>
            </w:tcBorders>
          </w:tcPr>
          <w:p>
            <w:pPr>
              <w:pStyle w:val="GesAbsatz"/>
              <w:ind w:left="57"/>
              <w:jc w:val="center"/>
              <w:rPr>
                <w:lang w:val="en-GB"/>
              </w:rPr>
            </w:pPr>
          </w:p>
        </w:tc>
        <w:tc>
          <w:tcPr>
            <w:tcW w:w="1985" w:type="dxa"/>
            <w:tcBorders>
              <w:top w:val="nil"/>
              <w:left w:val="nil"/>
              <w:bottom w:val="nil"/>
              <w:right w:val="nil"/>
            </w:tcBorders>
          </w:tcPr>
          <w:p>
            <w:pPr>
              <w:pStyle w:val="GesAbsatz"/>
              <w:ind w:left="57"/>
              <w:jc w:val="center"/>
              <w:rPr>
                <w:lang w:val="en-GB"/>
              </w:rPr>
            </w:pPr>
            <w:r>
              <w:rPr>
                <w:lang w:val="en-GB"/>
              </w:rPr>
              <w:t>1 mg/kg</w:t>
            </w:r>
          </w:p>
        </w:tc>
        <w:tc>
          <w:tcPr>
            <w:tcW w:w="708" w:type="dxa"/>
            <w:tcBorders>
              <w:top w:val="nil"/>
              <w:left w:val="nil"/>
              <w:bottom w:val="nil"/>
              <w:right w:val="nil"/>
            </w:tcBorders>
          </w:tcPr>
          <w:p>
            <w:pPr>
              <w:pStyle w:val="GesAbsatz"/>
              <w:ind w:left="57"/>
              <w:jc w:val="center"/>
              <w:rPr>
                <w:rFonts w:ascii="Times New Roman" w:hAnsi="Times New Roman"/>
                <w:sz w:val="10"/>
                <w:szCs w:val="10"/>
                <w:lang w:val="en-GB"/>
              </w:rPr>
            </w:pPr>
            <w:r>
              <w:rPr>
                <w:sz w:val="13"/>
                <w:szCs w:val="13"/>
                <w:lang w:val="en-GB"/>
              </w:rPr>
              <w:t>1</w:t>
            </w:r>
          </w:p>
        </w:tc>
      </w:tr>
      <w:tr>
        <w:trPr>
          <w:cantSplit/>
          <w:trHeight w:val="325"/>
        </w:trPr>
        <w:tc>
          <w:tcPr>
            <w:tcW w:w="1560" w:type="dxa"/>
            <w:tcBorders>
              <w:top w:val="nil"/>
              <w:left w:val="nil"/>
              <w:bottom w:val="nil"/>
              <w:right w:val="nil"/>
            </w:tcBorders>
          </w:tcPr>
          <w:p>
            <w:pPr>
              <w:pStyle w:val="GesAbsatz"/>
              <w:ind w:left="57"/>
              <w:rPr>
                <w:lang w:val="en-GB"/>
              </w:rPr>
            </w:pPr>
            <w:r>
              <w:rPr>
                <w:lang w:val="en-GB"/>
              </w:rPr>
              <w:t>Mo</w:t>
            </w:r>
          </w:p>
        </w:tc>
        <w:tc>
          <w:tcPr>
            <w:tcW w:w="992" w:type="dxa"/>
            <w:tcBorders>
              <w:left w:val="nil"/>
              <w:bottom w:val="nil"/>
              <w:right w:val="nil"/>
            </w:tcBorders>
          </w:tcPr>
          <w:p>
            <w:pPr>
              <w:pStyle w:val="GesAbsatz"/>
              <w:ind w:left="57"/>
              <w:jc w:val="center"/>
            </w:pPr>
            <w:r>
              <w:t>&lt;</w:t>
            </w:r>
          </w:p>
        </w:tc>
        <w:tc>
          <w:tcPr>
            <w:tcW w:w="992" w:type="dxa"/>
            <w:tcBorders>
              <w:left w:val="nil"/>
              <w:bottom w:val="nil"/>
              <w:right w:val="nil"/>
            </w:tcBorders>
          </w:tcPr>
          <w:p>
            <w:pPr>
              <w:pStyle w:val="GesAbsatz"/>
              <w:ind w:left="57"/>
              <w:jc w:val="center"/>
            </w:pPr>
          </w:p>
        </w:tc>
        <w:tc>
          <w:tcPr>
            <w:tcW w:w="1985" w:type="dxa"/>
            <w:tcBorders>
              <w:top w:val="nil"/>
              <w:left w:val="nil"/>
              <w:bottom w:val="nil"/>
              <w:right w:val="nil"/>
            </w:tcBorders>
          </w:tcPr>
          <w:p>
            <w:pPr>
              <w:pStyle w:val="GesAbsatz"/>
              <w:ind w:left="57"/>
              <w:jc w:val="center"/>
            </w:pPr>
            <w:r>
              <w:t>1 mg/kg</w:t>
            </w:r>
          </w:p>
        </w:tc>
        <w:tc>
          <w:tcPr>
            <w:tcW w:w="708" w:type="dxa"/>
            <w:tcBorders>
              <w:top w:val="nil"/>
              <w:left w:val="nil"/>
              <w:bottom w:val="nil"/>
              <w:right w:val="nil"/>
            </w:tcBorders>
          </w:tcPr>
          <w:p>
            <w:pPr>
              <w:pStyle w:val="GesAbsatz"/>
              <w:ind w:left="57"/>
              <w:jc w:val="center"/>
              <w:rPr>
                <w:rFonts w:ascii="Times New Roman" w:hAnsi="Times New Roman"/>
                <w:sz w:val="10"/>
                <w:szCs w:val="10"/>
              </w:rPr>
            </w:pPr>
            <w:r>
              <w:rPr>
                <w:sz w:val="13"/>
                <w:szCs w:val="13"/>
              </w:rPr>
              <w:t>1</w:t>
            </w:r>
          </w:p>
        </w:tc>
      </w:tr>
      <w:tr>
        <w:trPr>
          <w:cantSplit/>
        </w:trPr>
        <w:tc>
          <w:tcPr>
            <w:tcW w:w="1560" w:type="dxa"/>
            <w:tcBorders>
              <w:top w:val="nil"/>
              <w:left w:val="nil"/>
              <w:bottom w:val="nil"/>
              <w:right w:val="nil"/>
            </w:tcBorders>
          </w:tcPr>
          <w:p>
            <w:pPr>
              <w:pStyle w:val="GesAbsatz"/>
              <w:ind w:left="57"/>
            </w:pPr>
            <w:r>
              <w:t>V</w:t>
            </w:r>
          </w:p>
        </w:tc>
        <w:tc>
          <w:tcPr>
            <w:tcW w:w="992" w:type="dxa"/>
            <w:tcBorders>
              <w:left w:val="nil"/>
              <w:right w:val="nil"/>
            </w:tcBorders>
          </w:tcPr>
          <w:p>
            <w:pPr>
              <w:pStyle w:val="GesAbsatz"/>
              <w:ind w:left="57"/>
              <w:jc w:val="center"/>
              <w:rPr>
                <w:lang w:val="it-IT"/>
              </w:rPr>
            </w:pPr>
            <w:r>
              <w:rPr>
                <w:lang w:val="it-IT"/>
              </w:rPr>
              <w:t>&lt;</w:t>
            </w:r>
          </w:p>
        </w:tc>
        <w:tc>
          <w:tcPr>
            <w:tcW w:w="992" w:type="dxa"/>
            <w:tcBorders>
              <w:left w:val="nil"/>
              <w:right w:val="nil"/>
            </w:tcBorders>
          </w:tcPr>
          <w:p>
            <w:pPr>
              <w:pStyle w:val="GesAbsatz"/>
              <w:ind w:left="57"/>
              <w:jc w:val="center"/>
              <w:rPr>
                <w:lang w:val="it-IT"/>
              </w:rPr>
            </w:pPr>
          </w:p>
        </w:tc>
        <w:tc>
          <w:tcPr>
            <w:tcW w:w="1985" w:type="dxa"/>
            <w:tcBorders>
              <w:top w:val="nil"/>
              <w:left w:val="nil"/>
              <w:bottom w:val="nil"/>
              <w:right w:val="nil"/>
            </w:tcBorders>
          </w:tcPr>
          <w:p>
            <w:pPr>
              <w:pStyle w:val="GesAbsatz"/>
              <w:ind w:left="57"/>
              <w:jc w:val="center"/>
              <w:rPr>
                <w:lang w:val="it-IT"/>
              </w:rPr>
            </w:pPr>
            <w:r>
              <w:rPr>
                <w:lang w:val="it-IT"/>
              </w:rPr>
              <w:t>1 mg/kg</w:t>
            </w:r>
          </w:p>
        </w:tc>
        <w:tc>
          <w:tcPr>
            <w:tcW w:w="708" w:type="dxa"/>
            <w:tcBorders>
              <w:top w:val="nil"/>
              <w:left w:val="nil"/>
              <w:bottom w:val="nil"/>
              <w:right w:val="nil"/>
            </w:tcBorders>
          </w:tcPr>
          <w:p>
            <w:pPr>
              <w:pStyle w:val="GesAbsatz"/>
              <w:ind w:left="57"/>
              <w:jc w:val="center"/>
              <w:rPr>
                <w:rFonts w:ascii="Times New Roman" w:hAnsi="Times New Roman"/>
                <w:sz w:val="13"/>
                <w:szCs w:val="10"/>
                <w:lang w:val="it-IT"/>
              </w:rPr>
            </w:pPr>
            <w:r>
              <w:rPr>
                <w:rFonts w:ascii="Times New Roman" w:hAnsi="Times New Roman"/>
                <w:sz w:val="13"/>
                <w:szCs w:val="10"/>
                <w:lang w:val="it-IT"/>
              </w:rPr>
              <w:t>1</w:t>
            </w:r>
          </w:p>
        </w:tc>
      </w:tr>
      <w:tr>
        <w:trPr>
          <w:cantSplit/>
        </w:trPr>
        <w:tc>
          <w:tcPr>
            <w:tcW w:w="1560" w:type="dxa"/>
            <w:tcBorders>
              <w:top w:val="nil"/>
              <w:left w:val="nil"/>
              <w:bottom w:val="nil"/>
              <w:right w:val="nil"/>
            </w:tcBorders>
          </w:tcPr>
          <w:p>
            <w:pPr>
              <w:pStyle w:val="GesAbsatz"/>
              <w:ind w:left="57"/>
              <w:rPr>
                <w:lang w:val="it-IT"/>
              </w:rPr>
            </w:pPr>
            <w:r>
              <w:rPr>
                <w:lang w:val="it-IT"/>
              </w:rPr>
              <w:t>Ti</w:t>
            </w:r>
          </w:p>
        </w:tc>
        <w:tc>
          <w:tcPr>
            <w:tcW w:w="992" w:type="dxa"/>
            <w:tcBorders>
              <w:left w:val="nil"/>
              <w:right w:val="nil"/>
            </w:tcBorders>
          </w:tcPr>
          <w:p>
            <w:pPr>
              <w:pStyle w:val="GesAbsatz"/>
              <w:ind w:left="57"/>
              <w:jc w:val="center"/>
            </w:pPr>
            <w:r>
              <w:t>&lt;</w:t>
            </w:r>
          </w:p>
        </w:tc>
        <w:tc>
          <w:tcPr>
            <w:tcW w:w="992" w:type="dxa"/>
            <w:tcBorders>
              <w:left w:val="nil"/>
              <w:right w:val="nil"/>
            </w:tcBorders>
          </w:tcPr>
          <w:p>
            <w:pPr>
              <w:pStyle w:val="GesAbsatz"/>
              <w:ind w:left="57"/>
              <w:jc w:val="center"/>
            </w:pPr>
          </w:p>
        </w:tc>
        <w:tc>
          <w:tcPr>
            <w:tcW w:w="1985" w:type="dxa"/>
            <w:tcBorders>
              <w:top w:val="nil"/>
              <w:left w:val="nil"/>
              <w:bottom w:val="nil"/>
              <w:right w:val="nil"/>
            </w:tcBorders>
          </w:tcPr>
          <w:p>
            <w:pPr>
              <w:pStyle w:val="GesAbsatz"/>
              <w:ind w:left="57"/>
              <w:jc w:val="center"/>
            </w:pPr>
            <w:r>
              <w:t>10 mg/kg</w:t>
            </w:r>
          </w:p>
        </w:tc>
        <w:tc>
          <w:tcPr>
            <w:tcW w:w="708" w:type="dxa"/>
            <w:tcBorders>
              <w:top w:val="nil"/>
              <w:left w:val="nil"/>
              <w:bottom w:val="nil"/>
              <w:right w:val="nil"/>
            </w:tcBorders>
          </w:tcPr>
          <w:p>
            <w:pPr>
              <w:pStyle w:val="GesAbsatz"/>
              <w:ind w:left="57"/>
              <w:jc w:val="center"/>
              <w:rPr>
                <w:rFonts w:ascii="Times New Roman" w:hAnsi="Times New Roman"/>
                <w:sz w:val="10"/>
                <w:szCs w:val="10"/>
              </w:rPr>
            </w:pPr>
          </w:p>
        </w:tc>
      </w:tr>
      <w:tr>
        <w:trPr>
          <w:cantSplit/>
        </w:trPr>
        <w:tc>
          <w:tcPr>
            <w:tcW w:w="1560" w:type="dxa"/>
            <w:tcBorders>
              <w:top w:val="nil"/>
              <w:left w:val="nil"/>
              <w:bottom w:val="nil"/>
              <w:right w:val="nil"/>
            </w:tcBorders>
          </w:tcPr>
          <w:p>
            <w:pPr>
              <w:pStyle w:val="GesAbsatz"/>
              <w:ind w:left="57"/>
            </w:pPr>
            <w:r>
              <w:t>Zn</w:t>
            </w:r>
          </w:p>
        </w:tc>
        <w:tc>
          <w:tcPr>
            <w:tcW w:w="992" w:type="dxa"/>
            <w:tcBorders>
              <w:left w:val="nil"/>
              <w:right w:val="nil"/>
            </w:tcBorders>
          </w:tcPr>
          <w:p>
            <w:pPr>
              <w:pStyle w:val="GesAbsatz"/>
              <w:ind w:left="57"/>
              <w:jc w:val="center"/>
            </w:pPr>
            <w:r>
              <w:t>&lt;</w:t>
            </w:r>
          </w:p>
        </w:tc>
        <w:tc>
          <w:tcPr>
            <w:tcW w:w="992" w:type="dxa"/>
            <w:tcBorders>
              <w:left w:val="nil"/>
              <w:right w:val="nil"/>
            </w:tcBorders>
          </w:tcPr>
          <w:p>
            <w:pPr>
              <w:pStyle w:val="GesAbsatz"/>
              <w:ind w:left="57"/>
              <w:jc w:val="center"/>
            </w:pPr>
          </w:p>
        </w:tc>
        <w:tc>
          <w:tcPr>
            <w:tcW w:w="1985" w:type="dxa"/>
            <w:tcBorders>
              <w:top w:val="nil"/>
              <w:left w:val="nil"/>
              <w:bottom w:val="nil"/>
              <w:right w:val="nil"/>
            </w:tcBorders>
          </w:tcPr>
          <w:p>
            <w:pPr>
              <w:pStyle w:val="GesAbsatz"/>
              <w:ind w:left="57"/>
              <w:jc w:val="center"/>
            </w:pPr>
            <w:r>
              <w:t>1 mg/kg</w:t>
            </w:r>
          </w:p>
        </w:tc>
        <w:tc>
          <w:tcPr>
            <w:tcW w:w="708" w:type="dxa"/>
            <w:tcBorders>
              <w:top w:val="nil"/>
              <w:left w:val="nil"/>
              <w:bottom w:val="nil"/>
              <w:right w:val="nil"/>
            </w:tcBorders>
          </w:tcPr>
          <w:p>
            <w:pPr>
              <w:pStyle w:val="GesAbsatz"/>
              <w:ind w:left="57"/>
              <w:jc w:val="center"/>
              <w:rPr>
                <w:rFonts w:ascii="Times New Roman" w:hAnsi="Times New Roman"/>
                <w:sz w:val="10"/>
                <w:szCs w:val="10"/>
              </w:rPr>
            </w:pPr>
          </w:p>
        </w:tc>
      </w:tr>
      <w:tr>
        <w:trPr>
          <w:cantSplit/>
          <w:trHeight w:val="255"/>
        </w:trPr>
        <w:tc>
          <w:tcPr>
            <w:tcW w:w="1560" w:type="dxa"/>
            <w:tcBorders>
              <w:top w:val="nil"/>
              <w:left w:val="nil"/>
              <w:bottom w:val="nil"/>
              <w:right w:val="nil"/>
            </w:tcBorders>
          </w:tcPr>
          <w:p>
            <w:pPr>
              <w:pStyle w:val="GesAbsatz"/>
              <w:ind w:left="57"/>
              <w:rPr>
                <w:rFonts w:ascii="Times New Roman" w:hAnsi="Times New Roman"/>
                <w:sz w:val="10"/>
                <w:szCs w:val="10"/>
              </w:rPr>
            </w:pPr>
            <w:r>
              <w:t>Cd</w:t>
            </w:r>
          </w:p>
        </w:tc>
        <w:tc>
          <w:tcPr>
            <w:tcW w:w="992" w:type="dxa"/>
            <w:tcBorders>
              <w:left w:val="nil"/>
              <w:bottom w:val="nil"/>
              <w:right w:val="nil"/>
            </w:tcBorders>
          </w:tcPr>
          <w:p>
            <w:pPr>
              <w:pStyle w:val="GesAbsatz"/>
              <w:ind w:left="57"/>
              <w:jc w:val="center"/>
              <w:rPr>
                <w:rFonts w:ascii="Times New Roman" w:hAnsi="Times New Roman"/>
                <w:sz w:val="10"/>
                <w:szCs w:val="10"/>
              </w:rPr>
            </w:pPr>
            <w:r>
              <w:t>&lt;</w:t>
            </w:r>
          </w:p>
        </w:tc>
        <w:tc>
          <w:tcPr>
            <w:tcW w:w="992" w:type="dxa"/>
            <w:tcBorders>
              <w:left w:val="nil"/>
              <w:bottom w:val="nil"/>
              <w:right w:val="nil"/>
            </w:tcBorders>
          </w:tcPr>
          <w:p>
            <w:pPr>
              <w:pStyle w:val="GesAbsatz"/>
              <w:ind w:left="57"/>
              <w:jc w:val="center"/>
              <w:rPr>
                <w:rFonts w:ascii="Times New Roman" w:hAnsi="Times New Roman"/>
                <w:sz w:val="10"/>
                <w:szCs w:val="10"/>
              </w:rPr>
            </w:pPr>
          </w:p>
        </w:tc>
        <w:tc>
          <w:tcPr>
            <w:tcW w:w="1985" w:type="dxa"/>
            <w:tcBorders>
              <w:top w:val="nil"/>
              <w:left w:val="nil"/>
              <w:bottom w:val="nil"/>
              <w:right w:val="nil"/>
            </w:tcBorders>
          </w:tcPr>
          <w:p>
            <w:pPr>
              <w:pStyle w:val="GesAbsatz"/>
              <w:ind w:left="57"/>
              <w:jc w:val="center"/>
              <w:rPr>
                <w:rFonts w:ascii="Times New Roman" w:hAnsi="Times New Roman"/>
                <w:sz w:val="10"/>
                <w:szCs w:val="10"/>
              </w:rPr>
            </w:pPr>
            <w:r>
              <w:t>1 mg/kg</w:t>
            </w:r>
          </w:p>
        </w:tc>
        <w:tc>
          <w:tcPr>
            <w:tcW w:w="708" w:type="dxa"/>
            <w:tcBorders>
              <w:top w:val="nil"/>
              <w:left w:val="nil"/>
              <w:bottom w:val="nil"/>
              <w:right w:val="nil"/>
            </w:tcBorders>
          </w:tcPr>
          <w:p>
            <w:pPr>
              <w:pStyle w:val="GesAbsatz"/>
              <w:ind w:left="57"/>
              <w:jc w:val="center"/>
              <w:rPr>
                <w:sz w:val="13"/>
                <w:szCs w:val="13"/>
              </w:rPr>
            </w:pPr>
            <w:r>
              <w:rPr>
                <w:sz w:val="13"/>
                <w:szCs w:val="13"/>
              </w:rPr>
              <w:t>1</w:t>
            </w:r>
          </w:p>
        </w:tc>
      </w:tr>
      <w:tr>
        <w:trPr>
          <w:cantSplit/>
        </w:trPr>
        <w:tc>
          <w:tcPr>
            <w:tcW w:w="1560" w:type="dxa"/>
            <w:tcBorders>
              <w:top w:val="nil"/>
              <w:left w:val="nil"/>
              <w:bottom w:val="nil"/>
              <w:right w:val="nil"/>
            </w:tcBorders>
          </w:tcPr>
          <w:p>
            <w:pPr>
              <w:pStyle w:val="GesAbsatz"/>
              <w:ind w:left="57"/>
            </w:pPr>
            <w:r>
              <w:t>Hg</w:t>
            </w:r>
          </w:p>
        </w:tc>
        <w:tc>
          <w:tcPr>
            <w:tcW w:w="992" w:type="dxa"/>
            <w:tcBorders>
              <w:left w:val="nil"/>
              <w:right w:val="nil"/>
            </w:tcBorders>
          </w:tcPr>
          <w:p>
            <w:pPr>
              <w:pStyle w:val="GesAbsatz"/>
              <w:ind w:left="57"/>
              <w:jc w:val="center"/>
              <w:rPr>
                <w:lang w:val="it-IT"/>
              </w:rPr>
            </w:pPr>
            <w:r>
              <w:rPr>
                <w:lang w:val="it-IT"/>
              </w:rPr>
              <w:t>&lt;</w:t>
            </w:r>
          </w:p>
        </w:tc>
        <w:tc>
          <w:tcPr>
            <w:tcW w:w="992" w:type="dxa"/>
            <w:tcBorders>
              <w:left w:val="nil"/>
              <w:right w:val="nil"/>
            </w:tcBorders>
          </w:tcPr>
          <w:p>
            <w:pPr>
              <w:pStyle w:val="GesAbsatz"/>
              <w:ind w:left="57"/>
              <w:jc w:val="center"/>
              <w:rPr>
                <w:lang w:val="it-IT"/>
              </w:rPr>
            </w:pPr>
          </w:p>
        </w:tc>
        <w:tc>
          <w:tcPr>
            <w:tcW w:w="1985" w:type="dxa"/>
            <w:tcBorders>
              <w:top w:val="nil"/>
              <w:left w:val="nil"/>
              <w:bottom w:val="nil"/>
              <w:right w:val="nil"/>
            </w:tcBorders>
          </w:tcPr>
          <w:p>
            <w:pPr>
              <w:pStyle w:val="GesAbsatz"/>
              <w:ind w:left="57"/>
              <w:jc w:val="center"/>
              <w:rPr>
                <w:lang w:val="it-IT"/>
              </w:rPr>
            </w:pPr>
            <w:r>
              <w:rPr>
                <w:lang w:val="it-IT"/>
              </w:rPr>
              <w:t>1 mg/kg</w:t>
            </w:r>
          </w:p>
        </w:tc>
        <w:tc>
          <w:tcPr>
            <w:tcW w:w="708" w:type="dxa"/>
            <w:tcBorders>
              <w:top w:val="nil"/>
              <w:left w:val="nil"/>
              <w:bottom w:val="nil"/>
              <w:right w:val="nil"/>
            </w:tcBorders>
          </w:tcPr>
          <w:p>
            <w:pPr>
              <w:pStyle w:val="GesAbsatz"/>
              <w:ind w:left="57"/>
              <w:jc w:val="center"/>
              <w:rPr>
                <w:rFonts w:ascii="Times New Roman" w:hAnsi="Times New Roman"/>
                <w:sz w:val="10"/>
                <w:szCs w:val="10"/>
                <w:lang w:val="it-IT"/>
              </w:rPr>
            </w:pPr>
          </w:p>
        </w:tc>
      </w:tr>
      <w:tr>
        <w:trPr>
          <w:cantSplit/>
          <w:trHeight w:val="266"/>
        </w:trPr>
        <w:tc>
          <w:tcPr>
            <w:tcW w:w="1560" w:type="dxa"/>
            <w:tcBorders>
              <w:top w:val="nil"/>
              <w:left w:val="nil"/>
              <w:bottom w:val="nil"/>
              <w:right w:val="nil"/>
            </w:tcBorders>
          </w:tcPr>
          <w:p>
            <w:pPr>
              <w:pStyle w:val="GesAbsatz"/>
              <w:ind w:left="57"/>
              <w:rPr>
                <w:rFonts w:ascii="Times New Roman" w:hAnsi="Times New Roman"/>
                <w:sz w:val="10"/>
                <w:szCs w:val="10"/>
                <w:lang w:val="it-IT"/>
              </w:rPr>
            </w:pPr>
            <w:r>
              <w:rPr>
                <w:lang w:val="it-IT"/>
              </w:rPr>
              <w:t>Si</w:t>
            </w:r>
          </w:p>
        </w:tc>
        <w:tc>
          <w:tcPr>
            <w:tcW w:w="992" w:type="dxa"/>
            <w:tcBorders>
              <w:left w:val="nil"/>
              <w:bottom w:val="nil"/>
              <w:right w:val="nil"/>
            </w:tcBorders>
          </w:tcPr>
          <w:p>
            <w:pPr>
              <w:pStyle w:val="GesAbsatz"/>
              <w:ind w:left="57"/>
              <w:jc w:val="center"/>
              <w:rPr>
                <w:rFonts w:ascii="Times New Roman" w:hAnsi="Times New Roman"/>
                <w:sz w:val="10"/>
                <w:szCs w:val="10"/>
                <w:lang w:val="it-IT"/>
              </w:rPr>
            </w:pPr>
          </w:p>
        </w:tc>
        <w:tc>
          <w:tcPr>
            <w:tcW w:w="992" w:type="dxa"/>
            <w:tcBorders>
              <w:left w:val="nil"/>
              <w:bottom w:val="nil"/>
              <w:right w:val="nil"/>
            </w:tcBorders>
          </w:tcPr>
          <w:p>
            <w:pPr>
              <w:pStyle w:val="GesAbsatz"/>
              <w:ind w:left="57"/>
              <w:jc w:val="center"/>
              <w:rPr>
                <w:rFonts w:ascii="Times New Roman" w:hAnsi="Times New Roman"/>
                <w:sz w:val="10"/>
                <w:szCs w:val="10"/>
                <w:lang w:val="it-IT"/>
              </w:rPr>
            </w:pPr>
          </w:p>
        </w:tc>
        <w:tc>
          <w:tcPr>
            <w:tcW w:w="1985" w:type="dxa"/>
            <w:tcBorders>
              <w:top w:val="nil"/>
              <w:left w:val="nil"/>
              <w:bottom w:val="nil"/>
              <w:right w:val="nil"/>
            </w:tcBorders>
          </w:tcPr>
          <w:p>
            <w:pPr>
              <w:pStyle w:val="GesAbsatz"/>
              <w:ind w:left="57"/>
              <w:jc w:val="center"/>
              <w:rPr>
                <w:rFonts w:ascii="Times New Roman" w:hAnsi="Times New Roman"/>
                <w:sz w:val="10"/>
                <w:szCs w:val="10"/>
              </w:rPr>
            </w:pPr>
            <w:r>
              <w:t>unkrit.</w:t>
            </w:r>
          </w:p>
        </w:tc>
        <w:tc>
          <w:tcPr>
            <w:tcW w:w="708" w:type="dxa"/>
            <w:tcBorders>
              <w:top w:val="nil"/>
              <w:left w:val="nil"/>
              <w:bottom w:val="nil"/>
              <w:right w:val="nil"/>
            </w:tcBorders>
          </w:tcPr>
          <w:p>
            <w:pPr>
              <w:pStyle w:val="GesAbsatz"/>
              <w:ind w:left="57"/>
              <w:jc w:val="center"/>
              <w:rPr>
                <w:sz w:val="13"/>
                <w:szCs w:val="13"/>
              </w:rPr>
            </w:pPr>
            <w:r>
              <w:rPr>
                <w:sz w:val="13"/>
                <w:szCs w:val="13"/>
              </w:rPr>
              <w:t>3</w:t>
            </w:r>
          </w:p>
        </w:tc>
      </w:tr>
      <w:tr>
        <w:trPr>
          <w:cantSplit/>
          <w:trHeight w:val="252"/>
        </w:trPr>
        <w:tc>
          <w:tcPr>
            <w:tcW w:w="1560" w:type="dxa"/>
            <w:tcBorders>
              <w:top w:val="nil"/>
              <w:left w:val="nil"/>
              <w:bottom w:val="nil"/>
              <w:right w:val="nil"/>
            </w:tcBorders>
          </w:tcPr>
          <w:p>
            <w:pPr>
              <w:pStyle w:val="GesAbsatz"/>
              <w:ind w:left="57"/>
              <w:rPr>
                <w:rFonts w:ascii="Times New Roman" w:hAnsi="Times New Roman"/>
                <w:sz w:val="10"/>
                <w:szCs w:val="10"/>
              </w:rPr>
            </w:pPr>
            <w:r>
              <w:t>Sn</w:t>
            </w:r>
          </w:p>
        </w:tc>
        <w:tc>
          <w:tcPr>
            <w:tcW w:w="992" w:type="dxa"/>
            <w:tcBorders>
              <w:left w:val="nil"/>
              <w:bottom w:val="nil"/>
              <w:right w:val="nil"/>
            </w:tcBorders>
          </w:tcPr>
          <w:p>
            <w:pPr>
              <w:pStyle w:val="GesAbsatz"/>
              <w:ind w:left="57"/>
              <w:jc w:val="center"/>
              <w:rPr>
                <w:rFonts w:ascii="Times New Roman" w:hAnsi="Times New Roman"/>
                <w:sz w:val="10"/>
                <w:szCs w:val="10"/>
              </w:rPr>
            </w:pPr>
          </w:p>
        </w:tc>
        <w:tc>
          <w:tcPr>
            <w:tcW w:w="992" w:type="dxa"/>
            <w:tcBorders>
              <w:left w:val="nil"/>
              <w:bottom w:val="nil"/>
              <w:right w:val="nil"/>
            </w:tcBorders>
          </w:tcPr>
          <w:p>
            <w:pPr>
              <w:pStyle w:val="GesAbsatz"/>
              <w:ind w:left="57"/>
              <w:jc w:val="center"/>
              <w:rPr>
                <w:rFonts w:ascii="Times New Roman" w:hAnsi="Times New Roman"/>
                <w:sz w:val="10"/>
                <w:szCs w:val="10"/>
              </w:rPr>
            </w:pPr>
          </w:p>
        </w:tc>
        <w:tc>
          <w:tcPr>
            <w:tcW w:w="1985" w:type="dxa"/>
            <w:tcBorders>
              <w:top w:val="nil"/>
              <w:left w:val="nil"/>
              <w:bottom w:val="nil"/>
              <w:right w:val="nil"/>
            </w:tcBorders>
          </w:tcPr>
          <w:p>
            <w:pPr>
              <w:pStyle w:val="GesAbsatz"/>
              <w:ind w:left="57"/>
              <w:jc w:val="center"/>
              <w:rPr>
                <w:rFonts w:ascii="Times New Roman" w:hAnsi="Times New Roman"/>
                <w:sz w:val="10"/>
                <w:szCs w:val="10"/>
              </w:rPr>
            </w:pPr>
            <w:r>
              <w:t>1 mg/kg</w:t>
            </w:r>
          </w:p>
        </w:tc>
        <w:tc>
          <w:tcPr>
            <w:tcW w:w="708" w:type="dxa"/>
            <w:tcBorders>
              <w:top w:val="nil"/>
              <w:left w:val="nil"/>
              <w:bottom w:val="nil"/>
              <w:right w:val="nil"/>
            </w:tcBorders>
          </w:tcPr>
          <w:p>
            <w:pPr>
              <w:pStyle w:val="GesAbsatz"/>
              <w:ind w:left="57"/>
              <w:jc w:val="center"/>
              <w:rPr>
                <w:sz w:val="13"/>
                <w:szCs w:val="13"/>
              </w:rPr>
            </w:pPr>
            <w:r>
              <w:rPr>
                <w:sz w:val="13"/>
                <w:szCs w:val="13"/>
              </w:rPr>
              <w:t>2</w:t>
            </w:r>
          </w:p>
        </w:tc>
      </w:tr>
      <w:tr>
        <w:trPr>
          <w:cantSplit/>
          <w:trHeight w:val="313"/>
        </w:trPr>
        <w:tc>
          <w:tcPr>
            <w:tcW w:w="1560" w:type="dxa"/>
            <w:tcBorders>
              <w:top w:val="nil"/>
              <w:left w:val="nil"/>
              <w:bottom w:val="nil"/>
              <w:right w:val="nil"/>
            </w:tcBorders>
          </w:tcPr>
          <w:p>
            <w:pPr>
              <w:pStyle w:val="GesAbsatz"/>
              <w:ind w:left="57"/>
              <w:rPr>
                <w:rFonts w:ascii="Times New Roman" w:hAnsi="Times New Roman"/>
                <w:sz w:val="10"/>
                <w:szCs w:val="10"/>
              </w:rPr>
            </w:pPr>
            <w:r>
              <w:t>Pb</w:t>
            </w:r>
          </w:p>
        </w:tc>
        <w:tc>
          <w:tcPr>
            <w:tcW w:w="992" w:type="dxa"/>
            <w:tcBorders>
              <w:left w:val="nil"/>
              <w:bottom w:val="nil"/>
              <w:right w:val="nil"/>
            </w:tcBorders>
          </w:tcPr>
          <w:p>
            <w:pPr>
              <w:pStyle w:val="GesAbsatz"/>
              <w:ind w:left="57"/>
              <w:jc w:val="center"/>
              <w:rPr>
                <w:rFonts w:ascii="Times New Roman" w:hAnsi="Times New Roman"/>
                <w:sz w:val="10"/>
                <w:szCs w:val="10"/>
              </w:rPr>
            </w:pPr>
          </w:p>
        </w:tc>
        <w:tc>
          <w:tcPr>
            <w:tcW w:w="992" w:type="dxa"/>
            <w:tcBorders>
              <w:left w:val="nil"/>
              <w:bottom w:val="nil"/>
              <w:right w:val="nil"/>
            </w:tcBorders>
          </w:tcPr>
          <w:p>
            <w:pPr>
              <w:pStyle w:val="GesAbsatz"/>
              <w:ind w:left="57"/>
              <w:jc w:val="center"/>
              <w:rPr>
                <w:rFonts w:ascii="Times New Roman" w:hAnsi="Times New Roman"/>
                <w:sz w:val="10"/>
                <w:szCs w:val="10"/>
              </w:rPr>
            </w:pPr>
          </w:p>
        </w:tc>
        <w:tc>
          <w:tcPr>
            <w:tcW w:w="1985" w:type="dxa"/>
            <w:tcBorders>
              <w:top w:val="nil"/>
              <w:left w:val="nil"/>
              <w:bottom w:val="nil"/>
              <w:right w:val="nil"/>
            </w:tcBorders>
          </w:tcPr>
          <w:p>
            <w:pPr>
              <w:pStyle w:val="GesAbsatz"/>
              <w:ind w:left="57"/>
              <w:jc w:val="center"/>
              <w:rPr>
                <w:rFonts w:ascii="Times New Roman" w:hAnsi="Times New Roman"/>
                <w:sz w:val="10"/>
                <w:szCs w:val="10"/>
              </w:rPr>
            </w:pPr>
            <w:r>
              <w:t>1 mg/kg</w:t>
            </w:r>
          </w:p>
        </w:tc>
        <w:tc>
          <w:tcPr>
            <w:tcW w:w="708" w:type="dxa"/>
            <w:tcBorders>
              <w:top w:val="nil"/>
              <w:left w:val="nil"/>
              <w:bottom w:val="nil"/>
              <w:right w:val="nil"/>
            </w:tcBorders>
          </w:tcPr>
          <w:p>
            <w:pPr>
              <w:pStyle w:val="GesAbsatz"/>
              <w:ind w:left="57"/>
              <w:jc w:val="center"/>
              <w:rPr>
                <w:sz w:val="13"/>
                <w:szCs w:val="13"/>
                <w:lang w:val="en-GB"/>
              </w:rPr>
            </w:pPr>
            <w:r>
              <w:rPr>
                <w:sz w:val="13"/>
                <w:szCs w:val="13"/>
                <w:lang w:val="en-GB"/>
              </w:rPr>
              <w:t>2</w:t>
            </w:r>
          </w:p>
        </w:tc>
      </w:tr>
      <w:tr>
        <w:trPr>
          <w:cantSplit/>
        </w:trPr>
        <w:tc>
          <w:tcPr>
            <w:tcW w:w="1560" w:type="dxa"/>
            <w:tcBorders>
              <w:top w:val="nil"/>
              <w:left w:val="nil"/>
              <w:bottom w:val="nil"/>
              <w:right w:val="nil"/>
            </w:tcBorders>
          </w:tcPr>
          <w:p>
            <w:pPr>
              <w:pStyle w:val="GesAbsatz"/>
              <w:ind w:left="57"/>
              <w:rPr>
                <w:lang w:val="en-GB"/>
              </w:rPr>
            </w:pPr>
            <w:r>
              <w:rPr>
                <w:lang w:val="en-GB"/>
              </w:rPr>
              <w:t>As</w:t>
            </w:r>
          </w:p>
        </w:tc>
        <w:tc>
          <w:tcPr>
            <w:tcW w:w="992" w:type="dxa"/>
            <w:tcBorders>
              <w:left w:val="nil"/>
              <w:right w:val="nil"/>
            </w:tcBorders>
          </w:tcPr>
          <w:p>
            <w:pPr>
              <w:pStyle w:val="GesAbsatz"/>
              <w:ind w:left="57"/>
              <w:jc w:val="center"/>
              <w:rPr>
                <w:lang w:val="en-GB"/>
              </w:rPr>
            </w:pPr>
          </w:p>
        </w:tc>
        <w:tc>
          <w:tcPr>
            <w:tcW w:w="992" w:type="dxa"/>
            <w:tcBorders>
              <w:left w:val="nil"/>
              <w:right w:val="nil"/>
            </w:tcBorders>
          </w:tcPr>
          <w:p>
            <w:pPr>
              <w:pStyle w:val="GesAbsatz"/>
              <w:ind w:left="57"/>
              <w:jc w:val="center"/>
              <w:rPr>
                <w:lang w:val="en-GB"/>
              </w:rPr>
            </w:pPr>
          </w:p>
        </w:tc>
        <w:tc>
          <w:tcPr>
            <w:tcW w:w="1985" w:type="dxa"/>
            <w:tcBorders>
              <w:top w:val="nil"/>
              <w:left w:val="nil"/>
              <w:bottom w:val="nil"/>
              <w:right w:val="nil"/>
            </w:tcBorders>
          </w:tcPr>
          <w:p>
            <w:pPr>
              <w:pStyle w:val="GesAbsatz"/>
              <w:ind w:left="57"/>
              <w:jc w:val="center"/>
              <w:rPr>
                <w:lang w:val="en-GB"/>
              </w:rPr>
            </w:pPr>
            <w:r>
              <w:rPr>
                <w:lang w:val="en-GB"/>
              </w:rPr>
              <w:t>0,5 mg/kg</w:t>
            </w:r>
          </w:p>
        </w:tc>
        <w:tc>
          <w:tcPr>
            <w:tcW w:w="708" w:type="dxa"/>
            <w:tcBorders>
              <w:top w:val="nil"/>
              <w:left w:val="nil"/>
              <w:bottom w:val="nil"/>
              <w:right w:val="nil"/>
            </w:tcBorders>
          </w:tcPr>
          <w:p>
            <w:pPr>
              <w:pStyle w:val="GesAbsatz"/>
              <w:ind w:left="57"/>
              <w:jc w:val="center"/>
              <w:rPr>
                <w:rFonts w:ascii="Times New Roman" w:hAnsi="Times New Roman"/>
                <w:sz w:val="10"/>
                <w:szCs w:val="10"/>
                <w:lang w:val="en-GB"/>
              </w:rPr>
            </w:pPr>
          </w:p>
        </w:tc>
      </w:tr>
      <w:tr>
        <w:trPr>
          <w:cantSplit/>
        </w:trPr>
        <w:tc>
          <w:tcPr>
            <w:tcW w:w="1560" w:type="dxa"/>
            <w:tcBorders>
              <w:top w:val="nil"/>
              <w:left w:val="nil"/>
              <w:bottom w:val="nil"/>
              <w:right w:val="nil"/>
            </w:tcBorders>
          </w:tcPr>
          <w:p>
            <w:pPr>
              <w:pStyle w:val="GesAbsatz"/>
              <w:ind w:left="57"/>
              <w:rPr>
                <w:lang w:val="it-IT"/>
              </w:rPr>
            </w:pPr>
            <w:r>
              <w:rPr>
                <w:lang w:val="it-IT"/>
              </w:rPr>
              <w:t>Al</w:t>
            </w:r>
          </w:p>
        </w:tc>
        <w:tc>
          <w:tcPr>
            <w:tcW w:w="992" w:type="dxa"/>
            <w:tcBorders>
              <w:left w:val="nil"/>
              <w:right w:val="nil"/>
            </w:tcBorders>
          </w:tcPr>
          <w:p>
            <w:pPr>
              <w:pStyle w:val="GesAbsatz"/>
              <w:ind w:left="57"/>
              <w:jc w:val="center"/>
              <w:rPr>
                <w:lang w:val="it-IT"/>
              </w:rPr>
            </w:pPr>
          </w:p>
        </w:tc>
        <w:tc>
          <w:tcPr>
            <w:tcW w:w="992" w:type="dxa"/>
            <w:tcBorders>
              <w:left w:val="nil"/>
              <w:right w:val="nil"/>
            </w:tcBorders>
          </w:tcPr>
          <w:p>
            <w:pPr>
              <w:pStyle w:val="GesAbsatz"/>
              <w:ind w:left="57"/>
              <w:jc w:val="center"/>
              <w:rPr>
                <w:lang w:val="it-IT"/>
              </w:rPr>
            </w:pPr>
          </w:p>
        </w:tc>
        <w:tc>
          <w:tcPr>
            <w:tcW w:w="1985" w:type="dxa"/>
            <w:tcBorders>
              <w:top w:val="nil"/>
              <w:left w:val="nil"/>
              <w:bottom w:val="nil"/>
              <w:right w:val="nil"/>
            </w:tcBorders>
          </w:tcPr>
          <w:p>
            <w:pPr>
              <w:pStyle w:val="GesAbsatz"/>
              <w:ind w:left="57"/>
              <w:jc w:val="center"/>
              <w:rPr>
                <w:lang w:val="it-IT"/>
              </w:rPr>
            </w:pPr>
            <w:r>
              <w:rPr>
                <w:lang w:val="it-IT"/>
              </w:rPr>
              <w:t>1000 mg/kg</w:t>
            </w:r>
          </w:p>
        </w:tc>
        <w:tc>
          <w:tcPr>
            <w:tcW w:w="708" w:type="dxa"/>
            <w:tcBorders>
              <w:top w:val="nil"/>
              <w:left w:val="nil"/>
              <w:bottom w:val="nil"/>
              <w:right w:val="nil"/>
            </w:tcBorders>
          </w:tcPr>
          <w:p>
            <w:pPr>
              <w:pStyle w:val="GesAbsatz"/>
              <w:ind w:left="57"/>
              <w:jc w:val="center"/>
              <w:rPr>
                <w:rFonts w:ascii="Times New Roman" w:hAnsi="Times New Roman"/>
                <w:sz w:val="10"/>
                <w:szCs w:val="10"/>
                <w:lang w:val="it-IT"/>
              </w:rPr>
            </w:pPr>
          </w:p>
        </w:tc>
      </w:tr>
      <w:tr>
        <w:trPr>
          <w:cantSplit/>
        </w:trPr>
        <w:tc>
          <w:tcPr>
            <w:tcW w:w="1560" w:type="dxa"/>
            <w:tcBorders>
              <w:top w:val="nil"/>
              <w:left w:val="nil"/>
              <w:bottom w:val="nil"/>
              <w:right w:val="nil"/>
            </w:tcBorders>
          </w:tcPr>
          <w:p>
            <w:pPr>
              <w:pStyle w:val="GesAbsatz"/>
              <w:ind w:left="57"/>
            </w:pPr>
            <w:r>
              <w:t>N ges.</w:t>
            </w:r>
          </w:p>
        </w:tc>
        <w:tc>
          <w:tcPr>
            <w:tcW w:w="992" w:type="dxa"/>
            <w:tcBorders>
              <w:left w:val="nil"/>
              <w:right w:val="nil"/>
            </w:tcBorders>
          </w:tcPr>
          <w:p>
            <w:pPr>
              <w:pStyle w:val="GesAbsatz"/>
              <w:ind w:left="57"/>
              <w:jc w:val="center"/>
            </w:pPr>
          </w:p>
        </w:tc>
        <w:tc>
          <w:tcPr>
            <w:tcW w:w="992" w:type="dxa"/>
            <w:tcBorders>
              <w:left w:val="nil"/>
              <w:right w:val="nil"/>
            </w:tcBorders>
          </w:tcPr>
          <w:p>
            <w:pPr>
              <w:pStyle w:val="GesAbsatz"/>
              <w:ind w:left="57"/>
              <w:jc w:val="center"/>
            </w:pPr>
          </w:p>
        </w:tc>
        <w:tc>
          <w:tcPr>
            <w:tcW w:w="1985" w:type="dxa"/>
            <w:tcBorders>
              <w:top w:val="nil"/>
              <w:left w:val="nil"/>
              <w:bottom w:val="nil"/>
              <w:right w:val="nil"/>
            </w:tcBorders>
          </w:tcPr>
          <w:p>
            <w:pPr>
              <w:pStyle w:val="GesAbsatz"/>
              <w:ind w:left="57"/>
              <w:jc w:val="center"/>
            </w:pPr>
            <w:r>
              <w:t>20 mg/kg</w:t>
            </w:r>
          </w:p>
        </w:tc>
        <w:tc>
          <w:tcPr>
            <w:tcW w:w="708" w:type="dxa"/>
            <w:tcBorders>
              <w:top w:val="nil"/>
              <w:left w:val="nil"/>
              <w:bottom w:val="nil"/>
              <w:right w:val="nil"/>
            </w:tcBorders>
          </w:tcPr>
          <w:p>
            <w:pPr>
              <w:pStyle w:val="GesAbsatz"/>
              <w:ind w:left="57"/>
              <w:jc w:val="center"/>
              <w:rPr>
                <w:rFonts w:ascii="Times New Roman" w:hAnsi="Times New Roman"/>
                <w:sz w:val="10"/>
                <w:szCs w:val="10"/>
              </w:rPr>
            </w:pPr>
          </w:p>
        </w:tc>
      </w:tr>
      <w:tr>
        <w:trPr>
          <w:cantSplit/>
          <w:trHeight w:val="306"/>
        </w:trPr>
        <w:tc>
          <w:tcPr>
            <w:tcW w:w="1560" w:type="dxa"/>
            <w:tcBorders>
              <w:top w:val="nil"/>
              <w:left w:val="nil"/>
              <w:bottom w:val="nil"/>
              <w:right w:val="nil"/>
            </w:tcBorders>
          </w:tcPr>
          <w:p>
            <w:pPr>
              <w:pStyle w:val="GesAbsatz"/>
              <w:ind w:left="57"/>
              <w:rPr>
                <w:rFonts w:ascii="Times New Roman" w:hAnsi="Times New Roman"/>
                <w:sz w:val="10"/>
                <w:szCs w:val="10"/>
              </w:rPr>
            </w:pPr>
            <w:r>
              <w:t>C org.</w:t>
            </w:r>
          </w:p>
        </w:tc>
        <w:tc>
          <w:tcPr>
            <w:tcW w:w="992" w:type="dxa"/>
            <w:tcBorders>
              <w:left w:val="nil"/>
              <w:bottom w:val="nil"/>
              <w:right w:val="nil"/>
            </w:tcBorders>
          </w:tcPr>
          <w:p>
            <w:pPr>
              <w:pStyle w:val="GesAbsatz"/>
              <w:ind w:left="57"/>
              <w:jc w:val="center"/>
              <w:rPr>
                <w:rFonts w:ascii="Times New Roman" w:hAnsi="Times New Roman"/>
                <w:sz w:val="10"/>
                <w:szCs w:val="10"/>
              </w:rPr>
            </w:pPr>
          </w:p>
        </w:tc>
        <w:tc>
          <w:tcPr>
            <w:tcW w:w="992" w:type="dxa"/>
            <w:tcBorders>
              <w:left w:val="nil"/>
              <w:bottom w:val="nil"/>
              <w:right w:val="nil"/>
            </w:tcBorders>
          </w:tcPr>
          <w:p>
            <w:pPr>
              <w:pStyle w:val="GesAbsatz"/>
              <w:ind w:left="57"/>
              <w:jc w:val="center"/>
              <w:rPr>
                <w:rFonts w:ascii="Times New Roman" w:hAnsi="Times New Roman"/>
                <w:sz w:val="10"/>
                <w:szCs w:val="10"/>
              </w:rPr>
            </w:pPr>
          </w:p>
        </w:tc>
        <w:tc>
          <w:tcPr>
            <w:tcW w:w="1985" w:type="dxa"/>
            <w:tcBorders>
              <w:top w:val="nil"/>
              <w:left w:val="nil"/>
              <w:bottom w:val="nil"/>
              <w:right w:val="nil"/>
            </w:tcBorders>
          </w:tcPr>
          <w:p>
            <w:pPr>
              <w:pStyle w:val="GesAbsatz"/>
              <w:ind w:left="57"/>
              <w:jc w:val="center"/>
              <w:rPr>
                <w:rFonts w:ascii="Times New Roman" w:hAnsi="Times New Roman"/>
                <w:sz w:val="10"/>
                <w:szCs w:val="10"/>
              </w:rPr>
            </w:pPr>
          </w:p>
        </w:tc>
        <w:tc>
          <w:tcPr>
            <w:tcW w:w="708" w:type="dxa"/>
            <w:tcBorders>
              <w:top w:val="nil"/>
              <w:left w:val="nil"/>
              <w:bottom w:val="nil"/>
              <w:right w:val="nil"/>
            </w:tcBorders>
          </w:tcPr>
          <w:p>
            <w:pPr>
              <w:pStyle w:val="GesAbsatz"/>
              <w:ind w:left="57"/>
              <w:jc w:val="center"/>
              <w:rPr>
                <w:sz w:val="13"/>
                <w:szCs w:val="13"/>
              </w:rPr>
            </w:pPr>
            <w:r>
              <w:rPr>
                <w:sz w:val="13"/>
                <w:szCs w:val="13"/>
              </w:rPr>
              <w:t>4</w:t>
            </w:r>
          </w:p>
        </w:tc>
      </w:tr>
      <w:tr>
        <w:trPr>
          <w:cantSplit/>
          <w:trHeight w:val="1378"/>
        </w:trPr>
        <w:tc>
          <w:tcPr>
            <w:tcW w:w="6237" w:type="dxa"/>
            <w:gridSpan w:val="5"/>
            <w:tcBorders>
              <w:top w:val="nil"/>
              <w:left w:val="nil"/>
              <w:bottom w:val="nil"/>
              <w:right w:val="nil"/>
            </w:tcBorders>
          </w:tcPr>
          <w:p>
            <w:pPr>
              <w:pStyle w:val="GesAbsatz"/>
              <w:ind w:left="57"/>
              <w:rPr>
                <w:rFonts w:ascii="Times New Roman" w:hAnsi="Times New Roman"/>
                <w:szCs w:val="10"/>
              </w:rPr>
            </w:pPr>
            <w:r>
              <w:rPr>
                <w:szCs w:val="10"/>
                <w:vertAlign w:val="superscript"/>
              </w:rPr>
              <w:t>1</w:t>
            </w:r>
            <w:r>
              <w:rPr>
                <w:szCs w:val="10"/>
              </w:rPr>
              <w:t xml:space="preserve"> </w:t>
            </w:r>
            <w:r>
              <w:rPr>
                <w:szCs w:val="16"/>
              </w:rPr>
              <w:t>kritischer Wert</w:t>
            </w:r>
          </w:p>
          <w:p>
            <w:pPr>
              <w:pStyle w:val="GesAbsatz"/>
              <w:ind w:left="57"/>
              <w:rPr>
                <w:rFonts w:ascii="Times New Roman" w:hAnsi="Times New Roman"/>
                <w:szCs w:val="10"/>
              </w:rPr>
            </w:pPr>
            <w:r>
              <w:rPr>
                <w:szCs w:val="10"/>
                <w:vertAlign w:val="superscript"/>
              </w:rPr>
              <w:t xml:space="preserve">2 </w:t>
            </w:r>
            <w:r>
              <w:rPr>
                <w:szCs w:val="16"/>
              </w:rPr>
              <w:t>wenig kritischer Wert</w:t>
            </w:r>
          </w:p>
          <w:p>
            <w:pPr>
              <w:pStyle w:val="GesAbsatz"/>
              <w:ind w:left="57"/>
              <w:rPr>
                <w:rFonts w:ascii="Times New Roman" w:hAnsi="Times New Roman"/>
                <w:szCs w:val="10"/>
              </w:rPr>
            </w:pPr>
            <w:r>
              <w:rPr>
                <w:szCs w:val="10"/>
                <w:vertAlign w:val="superscript"/>
              </w:rPr>
              <w:t xml:space="preserve">3 </w:t>
            </w:r>
            <w:r>
              <w:rPr>
                <w:szCs w:val="16"/>
              </w:rPr>
              <w:t>unkritischer Wert</w:t>
            </w:r>
          </w:p>
          <w:p>
            <w:pPr>
              <w:pStyle w:val="GesAbsatz"/>
              <w:ind w:left="57"/>
              <w:rPr>
                <w:rFonts w:ascii="Times New Roman" w:hAnsi="Times New Roman"/>
                <w:sz w:val="10"/>
                <w:szCs w:val="10"/>
              </w:rPr>
            </w:pPr>
            <w:r>
              <w:rPr>
                <w:szCs w:val="10"/>
                <w:vertAlign w:val="superscript"/>
              </w:rPr>
              <w:t>4</w:t>
            </w:r>
            <w:r>
              <w:rPr>
                <w:szCs w:val="10"/>
              </w:rPr>
              <w:t xml:space="preserve"> </w:t>
            </w:r>
            <w:r>
              <w:rPr>
                <w:szCs w:val="16"/>
              </w:rPr>
              <w:t>bedarf der Prüfung und Festlegung</w:t>
            </w:r>
          </w:p>
        </w:tc>
      </w:tr>
    </w:tbl>
    <w:p>
      <w:pPr>
        <w:pStyle w:val="GesAbsatz"/>
        <w:rPr>
          <w:rFonts w:cs="Arial"/>
        </w:rPr>
      </w:pPr>
    </w:p>
    <w:p>
      <w:pPr>
        <w:pStyle w:val="GesAbsatz"/>
      </w:pPr>
      <w:r>
        <w:t>9.2 Spezifikation für Natriumsulfat</w:t>
      </w:r>
    </w:p>
    <w:tbl>
      <w:tblPr>
        <w:tblW w:w="0" w:type="auto"/>
        <w:tblLayout w:type="fixed"/>
        <w:tblCellMar>
          <w:left w:w="0" w:type="dxa"/>
          <w:right w:w="0" w:type="dxa"/>
        </w:tblCellMar>
        <w:tblLook w:val="0000" w:firstRow="0" w:lastRow="0" w:firstColumn="0" w:lastColumn="0" w:noHBand="0" w:noVBand="0"/>
      </w:tblPr>
      <w:tblGrid>
        <w:gridCol w:w="3261"/>
        <w:gridCol w:w="2976"/>
      </w:tblGrid>
      <w:tr>
        <w:tc>
          <w:tcPr>
            <w:tcW w:w="3261" w:type="dxa"/>
            <w:tcBorders>
              <w:top w:val="nil"/>
              <w:left w:val="nil"/>
              <w:bottom w:val="nil"/>
              <w:right w:val="nil"/>
            </w:tcBorders>
          </w:tcPr>
          <w:p>
            <w:pPr>
              <w:pStyle w:val="GesAbsatz"/>
              <w:ind w:left="57"/>
            </w:pPr>
            <w:r>
              <w:t>Natriumsulfat als Na</w:t>
            </w:r>
            <w:r>
              <w:rPr>
                <w:vertAlign w:val="subscript"/>
              </w:rPr>
              <w:t>2</w:t>
            </w:r>
            <w:r>
              <w:t>SO</w:t>
            </w:r>
            <w:r>
              <w:rPr>
                <w:vertAlign w:val="subscript"/>
              </w:rPr>
              <w:t>4</w:t>
            </w:r>
          </w:p>
        </w:tc>
        <w:tc>
          <w:tcPr>
            <w:tcW w:w="2976" w:type="dxa"/>
            <w:tcBorders>
              <w:top w:val="nil"/>
              <w:left w:val="nil"/>
              <w:bottom w:val="nil"/>
              <w:right w:val="nil"/>
            </w:tcBorders>
          </w:tcPr>
          <w:p>
            <w:pPr>
              <w:pStyle w:val="GesAbsatz"/>
              <w:ind w:left="57"/>
            </w:pPr>
            <w:r>
              <w:t>&gt; 41,5%</w:t>
            </w:r>
          </w:p>
        </w:tc>
      </w:tr>
      <w:tr>
        <w:tc>
          <w:tcPr>
            <w:tcW w:w="3261" w:type="dxa"/>
            <w:tcBorders>
              <w:top w:val="nil"/>
              <w:left w:val="nil"/>
              <w:bottom w:val="nil"/>
              <w:right w:val="nil"/>
            </w:tcBorders>
          </w:tcPr>
          <w:p>
            <w:pPr>
              <w:pStyle w:val="GesAbsatz"/>
              <w:ind w:left="57"/>
            </w:pPr>
            <w:r>
              <w:t>Natriumchlorid</w:t>
            </w:r>
          </w:p>
        </w:tc>
        <w:tc>
          <w:tcPr>
            <w:tcW w:w="2976" w:type="dxa"/>
            <w:tcBorders>
              <w:top w:val="nil"/>
              <w:left w:val="nil"/>
              <w:bottom w:val="nil"/>
              <w:right w:val="nil"/>
            </w:tcBorders>
          </w:tcPr>
          <w:p>
            <w:pPr>
              <w:pStyle w:val="GesAbsatz"/>
              <w:ind w:left="57"/>
            </w:pPr>
            <w:r>
              <w:t>&lt; 1,0%</w:t>
            </w:r>
          </w:p>
        </w:tc>
      </w:tr>
      <w:tr>
        <w:tc>
          <w:tcPr>
            <w:tcW w:w="3261" w:type="dxa"/>
            <w:tcBorders>
              <w:top w:val="nil"/>
              <w:left w:val="nil"/>
              <w:bottom w:val="nil"/>
              <w:right w:val="nil"/>
            </w:tcBorders>
          </w:tcPr>
          <w:p>
            <w:pPr>
              <w:pStyle w:val="GesAbsatz"/>
              <w:ind w:left="57"/>
            </w:pPr>
            <w:r>
              <w:t>Schwefelsäure als H</w:t>
            </w:r>
            <w:r>
              <w:rPr>
                <w:vertAlign w:val="subscript"/>
              </w:rPr>
              <w:t>2</w:t>
            </w:r>
            <w:r>
              <w:t>SO</w:t>
            </w:r>
            <w:r>
              <w:rPr>
                <w:vertAlign w:val="subscript"/>
              </w:rPr>
              <w:t>4</w:t>
            </w:r>
          </w:p>
        </w:tc>
        <w:tc>
          <w:tcPr>
            <w:tcW w:w="2976" w:type="dxa"/>
            <w:tcBorders>
              <w:top w:val="nil"/>
              <w:left w:val="nil"/>
              <w:bottom w:val="nil"/>
              <w:right w:val="nil"/>
            </w:tcBorders>
          </w:tcPr>
          <w:p>
            <w:pPr>
              <w:pStyle w:val="GesAbsatz"/>
              <w:ind w:left="57"/>
            </w:pPr>
            <w:r>
              <w:t>&lt; 1,0%</w:t>
            </w:r>
          </w:p>
        </w:tc>
      </w:tr>
      <w:tr>
        <w:tc>
          <w:tcPr>
            <w:tcW w:w="3261" w:type="dxa"/>
            <w:tcBorders>
              <w:top w:val="nil"/>
              <w:left w:val="nil"/>
              <w:bottom w:val="nil"/>
              <w:right w:val="nil"/>
            </w:tcBorders>
          </w:tcPr>
          <w:p>
            <w:pPr>
              <w:pStyle w:val="GesAbsatz"/>
              <w:ind w:left="57"/>
            </w:pPr>
            <w:r>
              <w:t>pH-Wert</w:t>
            </w:r>
          </w:p>
        </w:tc>
        <w:tc>
          <w:tcPr>
            <w:tcW w:w="2976" w:type="dxa"/>
            <w:tcBorders>
              <w:top w:val="nil"/>
              <w:left w:val="nil"/>
              <w:bottom w:val="nil"/>
              <w:right w:val="nil"/>
            </w:tcBorders>
          </w:tcPr>
          <w:p>
            <w:pPr>
              <w:pStyle w:val="GesAbsatz"/>
              <w:ind w:left="57"/>
            </w:pPr>
            <w:r>
              <w:t>Neutralbereich</w:t>
            </w:r>
          </w:p>
        </w:tc>
      </w:tr>
      <w:tr>
        <w:tc>
          <w:tcPr>
            <w:tcW w:w="3261" w:type="dxa"/>
            <w:tcBorders>
              <w:top w:val="nil"/>
              <w:left w:val="nil"/>
              <w:bottom w:val="nil"/>
              <w:right w:val="nil"/>
            </w:tcBorders>
          </w:tcPr>
          <w:p>
            <w:pPr>
              <w:pStyle w:val="GesAbsatz"/>
              <w:ind w:left="57"/>
            </w:pPr>
            <w:r>
              <w:t>Wasserunlösliches</w:t>
            </w:r>
          </w:p>
        </w:tc>
        <w:tc>
          <w:tcPr>
            <w:tcW w:w="2976" w:type="dxa"/>
            <w:tcBorders>
              <w:top w:val="nil"/>
              <w:left w:val="nil"/>
              <w:bottom w:val="nil"/>
              <w:right w:val="nil"/>
            </w:tcBorders>
          </w:tcPr>
          <w:p>
            <w:pPr>
              <w:pStyle w:val="GesAbsatz"/>
              <w:ind w:left="57"/>
            </w:pPr>
            <w:r>
              <w:t>0,05%</w:t>
            </w:r>
          </w:p>
        </w:tc>
      </w:tr>
      <w:tr>
        <w:tc>
          <w:tcPr>
            <w:tcW w:w="3261" w:type="dxa"/>
            <w:tcBorders>
              <w:top w:val="nil"/>
              <w:left w:val="nil"/>
              <w:bottom w:val="nil"/>
              <w:right w:val="nil"/>
            </w:tcBorders>
          </w:tcPr>
          <w:p>
            <w:pPr>
              <w:pStyle w:val="GesAbsatz"/>
              <w:ind w:left="57"/>
            </w:pPr>
            <w:r>
              <w:t>Feuchtigkeit (105°C)</w:t>
            </w:r>
          </w:p>
        </w:tc>
        <w:tc>
          <w:tcPr>
            <w:tcW w:w="2976" w:type="dxa"/>
            <w:tcBorders>
              <w:top w:val="nil"/>
              <w:left w:val="nil"/>
              <w:bottom w:val="nil"/>
              <w:right w:val="nil"/>
            </w:tcBorders>
          </w:tcPr>
          <w:p>
            <w:pPr>
              <w:pStyle w:val="GesAbsatz"/>
              <w:ind w:left="57"/>
            </w:pPr>
            <w:r>
              <w:t>&lt; 60,0%</w:t>
            </w:r>
          </w:p>
        </w:tc>
      </w:tr>
      <w:tr>
        <w:trPr>
          <w:cantSplit/>
          <w:trHeight w:val="591"/>
        </w:trPr>
        <w:tc>
          <w:tcPr>
            <w:tcW w:w="3261" w:type="dxa"/>
            <w:tcBorders>
              <w:top w:val="nil"/>
              <w:left w:val="nil"/>
              <w:bottom w:val="nil"/>
              <w:right w:val="nil"/>
            </w:tcBorders>
          </w:tcPr>
          <w:p>
            <w:pPr>
              <w:pStyle w:val="GesAbsatz"/>
              <w:ind w:left="57"/>
            </w:pPr>
            <w:r>
              <w:t>Farbe und Verunreinigungen</w:t>
            </w:r>
          </w:p>
        </w:tc>
        <w:tc>
          <w:tcPr>
            <w:tcW w:w="2976" w:type="dxa"/>
            <w:tcBorders>
              <w:top w:val="nil"/>
              <w:left w:val="nil"/>
              <w:bottom w:val="nil"/>
              <w:right w:val="nil"/>
            </w:tcBorders>
          </w:tcPr>
          <w:p>
            <w:pPr>
              <w:pStyle w:val="GesAbsatz"/>
              <w:ind w:left="57"/>
            </w:pPr>
            <w:r>
              <w:t>Farbe weiß, frei von Fremdsubstanzen</w:t>
            </w:r>
          </w:p>
        </w:tc>
      </w:tr>
      <w:tr>
        <w:trPr>
          <w:cantSplit/>
          <w:trHeight w:val="585"/>
        </w:trPr>
        <w:tc>
          <w:tcPr>
            <w:tcW w:w="3261" w:type="dxa"/>
            <w:tcBorders>
              <w:top w:val="nil"/>
              <w:left w:val="nil"/>
              <w:bottom w:val="nil"/>
              <w:right w:val="nil"/>
            </w:tcBorders>
          </w:tcPr>
          <w:p>
            <w:pPr>
              <w:pStyle w:val="GesAbsatz"/>
              <w:ind w:left="57"/>
            </w:pPr>
            <w:r>
              <w:t>CSB</w:t>
            </w:r>
          </w:p>
        </w:tc>
        <w:tc>
          <w:tcPr>
            <w:tcW w:w="2976" w:type="dxa"/>
            <w:tcBorders>
              <w:top w:val="nil"/>
              <w:left w:val="nil"/>
              <w:bottom w:val="nil"/>
              <w:right w:val="nil"/>
            </w:tcBorders>
          </w:tcPr>
          <w:p>
            <w:pPr>
              <w:pStyle w:val="GesAbsatz"/>
              <w:ind w:left="57"/>
            </w:pPr>
            <w:r>
              <w:t>100 mg O</w:t>
            </w:r>
            <w:r>
              <w:rPr>
                <w:vertAlign w:val="subscript"/>
              </w:rPr>
              <w:t>2</w:t>
            </w:r>
            <w:r>
              <w:t>/l (bestimmt in einer Na</w:t>
            </w:r>
            <w:r>
              <w:rPr>
                <w:vertAlign w:val="subscript"/>
              </w:rPr>
              <w:t>2</w:t>
            </w:r>
            <w:r>
              <w:t>SO</w:t>
            </w:r>
            <w:r>
              <w:rPr>
                <w:vertAlign w:val="subscript"/>
              </w:rPr>
              <w:t>4</w:t>
            </w:r>
            <w:r>
              <w:t>-Lösung von 200 g/l)</w:t>
            </w:r>
          </w:p>
        </w:tc>
      </w:tr>
      <w:tr>
        <w:tc>
          <w:tcPr>
            <w:tcW w:w="3261" w:type="dxa"/>
            <w:tcBorders>
              <w:top w:val="nil"/>
              <w:left w:val="nil"/>
              <w:bottom w:val="nil"/>
              <w:right w:val="nil"/>
            </w:tcBorders>
          </w:tcPr>
          <w:p>
            <w:pPr>
              <w:pStyle w:val="GesAbsatz"/>
              <w:ind w:left="57"/>
            </w:pPr>
            <w:r>
              <w:t>Eisen</w:t>
            </w:r>
          </w:p>
        </w:tc>
        <w:tc>
          <w:tcPr>
            <w:tcW w:w="2976" w:type="dxa"/>
            <w:tcBorders>
              <w:top w:val="nil"/>
              <w:left w:val="nil"/>
              <w:bottom w:val="nil"/>
              <w:right w:val="nil"/>
            </w:tcBorders>
          </w:tcPr>
          <w:p>
            <w:pPr>
              <w:pStyle w:val="GesAbsatz"/>
              <w:ind w:left="57"/>
            </w:pPr>
            <w:r>
              <w:t>&lt; 50 mg/kg</w:t>
            </w:r>
          </w:p>
        </w:tc>
      </w:tr>
      <w:tr>
        <w:trPr>
          <w:cantSplit/>
          <w:trHeight w:val="450"/>
        </w:trPr>
        <w:tc>
          <w:tcPr>
            <w:tcW w:w="3261" w:type="dxa"/>
            <w:tcBorders>
              <w:top w:val="nil"/>
              <w:left w:val="nil"/>
              <w:bottom w:val="nil"/>
              <w:right w:val="nil"/>
            </w:tcBorders>
          </w:tcPr>
          <w:p>
            <w:pPr>
              <w:pStyle w:val="GesAbsatz"/>
              <w:ind w:left="57"/>
            </w:pPr>
            <w:r>
              <w:t>Zink</w:t>
            </w:r>
          </w:p>
        </w:tc>
        <w:tc>
          <w:tcPr>
            <w:tcW w:w="2976" w:type="dxa"/>
            <w:tcBorders>
              <w:top w:val="nil"/>
              <w:left w:val="nil"/>
              <w:bottom w:val="nil"/>
              <w:right w:val="nil"/>
            </w:tcBorders>
          </w:tcPr>
          <w:p>
            <w:pPr>
              <w:pStyle w:val="GesAbsatz"/>
              <w:ind w:left="57"/>
            </w:pPr>
            <w:r>
              <w:t>&lt; 250 mg/kg</w:t>
            </w:r>
            <w:r>
              <w:br/>
              <w:t>(max. 500)</w:t>
            </w:r>
          </w:p>
        </w:tc>
      </w:tr>
      <w:tr>
        <w:trPr>
          <w:cantSplit/>
        </w:trPr>
        <w:tc>
          <w:tcPr>
            <w:tcW w:w="3261" w:type="dxa"/>
            <w:tcBorders>
              <w:top w:val="nil"/>
              <w:left w:val="nil"/>
              <w:bottom w:val="nil"/>
              <w:right w:val="nil"/>
            </w:tcBorders>
          </w:tcPr>
          <w:p>
            <w:pPr>
              <w:pStyle w:val="GesAbsatz"/>
              <w:ind w:left="57"/>
            </w:pPr>
            <w:r>
              <w:t>Mangan</w:t>
            </w:r>
          </w:p>
        </w:tc>
        <w:tc>
          <w:tcPr>
            <w:tcW w:w="2976" w:type="dxa"/>
            <w:tcBorders>
              <w:top w:val="nil"/>
              <w:left w:val="nil"/>
              <w:bottom w:val="nil"/>
              <w:right w:val="nil"/>
            </w:tcBorders>
          </w:tcPr>
          <w:p>
            <w:pPr>
              <w:pStyle w:val="GesAbsatz"/>
              <w:ind w:left="57"/>
              <w:rPr>
                <w:lang w:val="en-GB"/>
              </w:rPr>
            </w:pPr>
            <w:r>
              <w:rPr>
                <w:lang w:val="en-GB"/>
              </w:rPr>
              <w:t>&lt; 2 mg/kg</w:t>
            </w:r>
          </w:p>
        </w:tc>
      </w:tr>
      <w:tr>
        <w:trPr>
          <w:cantSplit/>
        </w:trPr>
        <w:tc>
          <w:tcPr>
            <w:tcW w:w="3261" w:type="dxa"/>
            <w:tcBorders>
              <w:top w:val="nil"/>
              <w:left w:val="nil"/>
              <w:bottom w:val="nil"/>
              <w:right w:val="nil"/>
            </w:tcBorders>
          </w:tcPr>
          <w:p>
            <w:pPr>
              <w:pStyle w:val="GesAbsatz"/>
              <w:ind w:left="57"/>
              <w:rPr>
                <w:lang w:val="en-GB"/>
              </w:rPr>
            </w:pPr>
            <w:r>
              <w:rPr>
                <w:lang w:val="en-GB"/>
              </w:rPr>
              <w:t>Vanadium</w:t>
            </w:r>
          </w:p>
        </w:tc>
        <w:tc>
          <w:tcPr>
            <w:tcW w:w="2976" w:type="dxa"/>
            <w:tcBorders>
              <w:top w:val="nil"/>
              <w:left w:val="nil"/>
              <w:bottom w:val="nil"/>
              <w:right w:val="nil"/>
            </w:tcBorders>
          </w:tcPr>
          <w:p>
            <w:pPr>
              <w:pStyle w:val="GesAbsatz"/>
              <w:ind w:left="57"/>
            </w:pPr>
            <w:r>
              <w:t>&lt; 10 mg/kg</w:t>
            </w:r>
          </w:p>
        </w:tc>
      </w:tr>
      <w:tr>
        <w:trPr>
          <w:cantSplit/>
        </w:trPr>
        <w:tc>
          <w:tcPr>
            <w:tcW w:w="3261" w:type="dxa"/>
            <w:tcBorders>
              <w:top w:val="nil"/>
              <w:left w:val="nil"/>
              <w:bottom w:val="nil"/>
              <w:right w:val="nil"/>
            </w:tcBorders>
          </w:tcPr>
          <w:p>
            <w:pPr>
              <w:pStyle w:val="GesAbsatz"/>
              <w:ind w:left="57"/>
            </w:pPr>
            <w:r>
              <w:t>Aluminium</w:t>
            </w:r>
          </w:p>
        </w:tc>
        <w:tc>
          <w:tcPr>
            <w:tcW w:w="2976" w:type="dxa"/>
            <w:tcBorders>
              <w:top w:val="nil"/>
              <w:left w:val="nil"/>
              <w:bottom w:val="nil"/>
              <w:right w:val="nil"/>
            </w:tcBorders>
          </w:tcPr>
          <w:p>
            <w:pPr>
              <w:pStyle w:val="GesAbsatz"/>
              <w:ind w:left="57"/>
            </w:pPr>
            <w:r>
              <w:t>&lt; 10 mg/kg</w:t>
            </w:r>
          </w:p>
        </w:tc>
      </w:tr>
      <w:tr>
        <w:trPr>
          <w:cantSplit/>
        </w:trPr>
        <w:tc>
          <w:tcPr>
            <w:tcW w:w="3261" w:type="dxa"/>
            <w:tcBorders>
              <w:top w:val="nil"/>
              <w:left w:val="nil"/>
              <w:bottom w:val="nil"/>
              <w:right w:val="nil"/>
            </w:tcBorders>
          </w:tcPr>
          <w:p>
            <w:pPr>
              <w:pStyle w:val="GesAbsatz"/>
              <w:ind w:left="57"/>
            </w:pPr>
            <w:r>
              <w:lastRenderedPageBreak/>
              <w:t>Strontium</w:t>
            </w:r>
          </w:p>
        </w:tc>
        <w:tc>
          <w:tcPr>
            <w:tcW w:w="2976" w:type="dxa"/>
            <w:tcBorders>
              <w:top w:val="nil"/>
              <w:left w:val="nil"/>
              <w:bottom w:val="nil"/>
              <w:right w:val="nil"/>
            </w:tcBorders>
          </w:tcPr>
          <w:p>
            <w:pPr>
              <w:pStyle w:val="GesAbsatz"/>
              <w:ind w:left="57"/>
              <w:rPr>
                <w:lang w:val="en-GB"/>
              </w:rPr>
            </w:pPr>
            <w:r>
              <w:rPr>
                <w:lang w:val="en-GB"/>
              </w:rPr>
              <w:t>&lt; 10 mg/kg</w:t>
            </w:r>
          </w:p>
        </w:tc>
      </w:tr>
      <w:tr>
        <w:trPr>
          <w:cantSplit/>
        </w:trPr>
        <w:tc>
          <w:tcPr>
            <w:tcW w:w="3261" w:type="dxa"/>
            <w:tcBorders>
              <w:top w:val="nil"/>
              <w:left w:val="nil"/>
              <w:bottom w:val="nil"/>
              <w:right w:val="nil"/>
            </w:tcBorders>
          </w:tcPr>
          <w:p>
            <w:pPr>
              <w:pStyle w:val="GesAbsatz"/>
              <w:ind w:left="57"/>
              <w:rPr>
                <w:lang w:val="en-GB"/>
              </w:rPr>
            </w:pPr>
            <w:r>
              <w:rPr>
                <w:lang w:val="en-GB"/>
              </w:rPr>
              <w:t>Chrom</w:t>
            </w:r>
          </w:p>
        </w:tc>
        <w:tc>
          <w:tcPr>
            <w:tcW w:w="2976" w:type="dxa"/>
            <w:tcBorders>
              <w:top w:val="nil"/>
              <w:left w:val="nil"/>
              <w:bottom w:val="nil"/>
              <w:right w:val="nil"/>
            </w:tcBorders>
          </w:tcPr>
          <w:p>
            <w:pPr>
              <w:pStyle w:val="GesAbsatz"/>
              <w:ind w:left="57"/>
            </w:pPr>
            <w:r>
              <w:t>&lt; 10 mg/kg</w:t>
            </w:r>
          </w:p>
        </w:tc>
      </w:tr>
      <w:tr>
        <w:trPr>
          <w:cantSplit/>
        </w:trPr>
        <w:tc>
          <w:tcPr>
            <w:tcW w:w="3261" w:type="dxa"/>
            <w:tcBorders>
              <w:top w:val="nil"/>
              <w:left w:val="nil"/>
              <w:bottom w:val="nil"/>
              <w:right w:val="nil"/>
            </w:tcBorders>
          </w:tcPr>
          <w:p>
            <w:pPr>
              <w:pStyle w:val="GesAbsatz"/>
              <w:ind w:left="57"/>
            </w:pPr>
            <w:r>
              <w:t>Magnesium</w:t>
            </w:r>
          </w:p>
        </w:tc>
        <w:tc>
          <w:tcPr>
            <w:tcW w:w="2976" w:type="dxa"/>
            <w:tcBorders>
              <w:top w:val="nil"/>
              <w:left w:val="nil"/>
              <w:bottom w:val="nil"/>
              <w:right w:val="nil"/>
            </w:tcBorders>
          </w:tcPr>
          <w:p>
            <w:pPr>
              <w:pStyle w:val="GesAbsatz"/>
              <w:ind w:left="57"/>
            </w:pPr>
            <w:r>
              <w:t>&lt; 25 mg/kg</w:t>
            </w:r>
          </w:p>
        </w:tc>
      </w:tr>
      <w:tr>
        <w:trPr>
          <w:cantSplit/>
        </w:trPr>
        <w:tc>
          <w:tcPr>
            <w:tcW w:w="3261" w:type="dxa"/>
            <w:tcBorders>
              <w:top w:val="nil"/>
              <w:left w:val="nil"/>
              <w:bottom w:val="nil"/>
              <w:right w:val="nil"/>
            </w:tcBorders>
          </w:tcPr>
          <w:p>
            <w:pPr>
              <w:pStyle w:val="GesAbsatz"/>
              <w:ind w:left="57"/>
              <w:rPr>
                <w:lang w:val="it-IT"/>
              </w:rPr>
            </w:pPr>
            <w:r>
              <w:rPr>
                <w:lang w:val="it-IT"/>
              </w:rPr>
              <w:t>Calcium</w:t>
            </w:r>
          </w:p>
        </w:tc>
        <w:tc>
          <w:tcPr>
            <w:tcW w:w="2976" w:type="dxa"/>
            <w:tcBorders>
              <w:top w:val="nil"/>
              <w:left w:val="nil"/>
              <w:bottom w:val="nil"/>
              <w:right w:val="nil"/>
            </w:tcBorders>
          </w:tcPr>
          <w:p>
            <w:pPr>
              <w:pStyle w:val="GesAbsatz"/>
              <w:ind w:left="57"/>
              <w:rPr>
                <w:lang w:val="it-IT"/>
              </w:rPr>
            </w:pPr>
            <w:r>
              <w:rPr>
                <w:lang w:val="it-IT"/>
              </w:rPr>
              <w:t>&lt; 50 mg/kg</w:t>
            </w:r>
          </w:p>
        </w:tc>
      </w:tr>
    </w:tbl>
    <w:p>
      <w:pPr>
        <w:pStyle w:val="GesAbsatz"/>
        <w:rPr>
          <w:rFonts w:cs="Arial"/>
          <w:lang w:val="it-IT"/>
        </w:rPr>
      </w:pPr>
    </w:p>
    <w:p>
      <w:pPr>
        <w:pStyle w:val="GesAbsatz"/>
        <w:rPr>
          <w:rFonts w:cs="Arial"/>
        </w:rPr>
      </w:pPr>
      <w:r>
        <w:rPr>
          <w:rFonts w:cs="Arial"/>
        </w:rPr>
        <w:t>9.3 Geforderte Zusammensetzung für Gipsprodukte</w:t>
      </w:r>
    </w:p>
    <w:p>
      <w:pPr>
        <w:pStyle w:val="GesAbsatz"/>
        <w:rPr>
          <w:rFonts w:cs="Arial"/>
        </w:rPr>
      </w:pPr>
    </w:p>
    <w:tbl>
      <w:tblPr>
        <w:tblW w:w="0" w:type="auto"/>
        <w:tblLayout w:type="fixed"/>
        <w:tblCellMar>
          <w:left w:w="0" w:type="dxa"/>
          <w:right w:w="0" w:type="dxa"/>
        </w:tblCellMar>
        <w:tblLook w:val="0000" w:firstRow="0" w:lastRow="0" w:firstColumn="0" w:lastColumn="0" w:noHBand="0" w:noVBand="0"/>
      </w:tblPr>
      <w:tblGrid>
        <w:gridCol w:w="3261"/>
        <w:gridCol w:w="425"/>
        <w:gridCol w:w="2551"/>
      </w:tblGrid>
      <w:tr>
        <w:tc>
          <w:tcPr>
            <w:tcW w:w="3261" w:type="dxa"/>
            <w:tcBorders>
              <w:top w:val="nil"/>
              <w:left w:val="nil"/>
              <w:bottom w:val="nil"/>
              <w:right w:val="nil"/>
            </w:tcBorders>
          </w:tcPr>
          <w:p>
            <w:pPr>
              <w:pStyle w:val="GesAbsatz"/>
              <w:ind w:left="57"/>
            </w:pPr>
            <w:r>
              <w:t>Freie Feuchtigkeit</w:t>
            </w:r>
          </w:p>
        </w:tc>
        <w:tc>
          <w:tcPr>
            <w:tcW w:w="425" w:type="dxa"/>
            <w:tcBorders>
              <w:top w:val="nil"/>
              <w:left w:val="nil"/>
              <w:bottom w:val="nil"/>
              <w:right w:val="nil"/>
            </w:tcBorders>
          </w:tcPr>
          <w:p>
            <w:pPr>
              <w:pStyle w:val="GesAbsatz"/>
              <w:ind w:left="57"/>
            </w:pPr>
            <w:r>
              <w:t>&lt;</w:t>
            </w:r>
          </w:p>
        </w:tc>
        <w:tc>
          <w:tcPr>
            <w:tcW w:w="2551" w:type="dxa"/>
            <w:tcBorders>
              <w:top w:val="nil"/>
              <w:left w:val="nil"/>
              <w:bottom w:val="nil"/>
              <w:right w:val="nil"/>
            </w:tcBorders>
          </w:tcPr>
          <w:p>
            <w:pPr>
              <w:pStyle w:val="GesAbsatz"/>
              <w:tabs>
                <w:tab w:val="clear" w:pos="425"/>
                <w:tab w:val="decimal" w:pos="1275"/>
              </w:tabs>
              <w:ind w:left="57"/>
            </w:pPr>
            <w:r>
              <w:t>10%</w:t>
            </w:r>
          </w:p>
        </w:tc>
      </w:tr>
      <w:tr>
        <w:tc>
          <w:tcPr>
            <w:tcW w:w="3261" w:type="dxa"/>
            <w:tcBorders>
              <w:top w:val="nil"/>
              <w:left w:val="nil"/>
              <w:bottom w:val="nil"/>
              <w:right w:val="nil"/>
            </w:tcBorders>
          </w:tcPr>
          <w:p>
            <w:pPr>
              <w:pStyle w:val="GesAbsatz"/>
              <w:ind w:left="57"/>
            </w:pPr>
            <w:r>
              <w:t>Reinheitsgrad:</w:t>
            </w:r>
          </w:p>
        </w:tc>
        <w:tc>
          <w:tcPr>
            <w:tcW w:w="425" w:type="dxa"/>
            <w:tcBorders>
              <w:top w:val="nil"/>
              <w:left w:val="nil"/>
              <w:bottom w:val="nil"/>
              <w:right w:val="nil"/>
            </w:tcBorders>
          </w:tcPr>
          <w:p>
            <w:pPr>
              <w:pStyle w:val="GesAbsatz"/>
              <w:ind w:left="57"/>
              <w:rPr>
                <w:lang w:val="it-IT"/>
              </w:rPr>
            </w:pPr>
            <w:r>
              <w:rPr>
                <w:lang w:val="it-IT"/>
              </w:rPr>
              <w:t>&gt;</w:t>
            </w:r>
          </w:p>
        </w:tc>
        <w:tc>
          <w:tcPr>
            <w:tcW w:w="2551" w:type="dxa"/>
            <w:tcBorders>
              <w:top w:val="nil"/>
              <w:left w:val="nil"/>
              <w:bottom w:val="nil"/>
              <w:right w:val="nil"/>
            </w:tcBorders>
          </w:tcPr>
          <w:p>
            <w:pPr>
              <w:pStyle w:val="GesAbsatz"/>
              <w:tabs>
                <w:tab w:val="clear" w:pos="425"/>
                <w:tab w:val="decimal" w:pos="1275"/>
              </w:tabs>
              <w:ind w:left="57"/>
              <w:rPr>
                <w:lang w:val="it-IT"/>
              </w:rPr>
            </w:pPr>
            <w:r>
              <w:rPr>
                <w:lang w:val="it-IT"/>
              </w:rPr>
              <w:t>95%</w:t>
            </w:r>
          </w:p>
        </w:tc>
      </w:tr>
      <w:tr>
        <w:tc>
          <w:tcPr>
            <w:tcW w:w="3261" w:type="dxa"/>
            <w:tcBorders>
              <w:top w:val="nil"/>
              <w:left w:val="nil"/>
              <w:bottom w:val="nil"/>
              <w:right w:val="nil"/>
            </w:tcBorders>
          </w:tcPr>
          <w:p>
            <w:pPr>
              <w:pStyle w:val="GesAbsatz"/>
              <w:ind w:left="57"/>
              <w:rPr>
                <w:szCs w:val="13"/>
                <w:lang w:val="it-IT"/>
              </w:rPr>
            </w:pPr>
            <w:r>
              <w:rPr>
                <w:szCs w:val="13"/>
                <w:lang w:val="it-IT"/>
              </w:rPr>
              <w:t>CaSO</w:t>
            </w:r>
            <w:r>
              <w:rPr>
                <w:szCs w:val="13"/>
                <w:vertAlign w:val="subscript"/>
                <w:lang w:val="it-IT"/>
              </w:rPr>
              <w:t>4</w:t>
            </w:r>
            <w:r>
              <w:rPr>
                <w:lang w:val="it-IT"/>
              </w:rPr>
              <w:t xml:space="preserve"> </w:t>
            </w:r>
            <w:r>
              <w:rPr>
                <w:rFonts w:ascii="Symbol" w:hAnsi="Symbol"/>
                <w:b/>
                <w:bCs/>
              </w:rPr>
              <w:t></w:t>
            </w:r>
            <w:r>
              <w:rPr>
                <w:lang w:val="it-IT"/>
              </w:rPr>
              <w:t xml:space="preserve"> </w:t>
            </w:r>
            <w:r>
              <w:rPr>
                <w:szCs w:val="13"/>
                <w:lang w:val="it-IT"/>
              </w:rPr>
              <w:t>2H</w:t>
            </w:r>
            <w:r>
              <w:rPr>
                <w:szCs w:val="13"/>
                <w:vertAlign w:val="subscript"/>
                <w:lang w:val="it-IT"/>
              </w:rPr>
              <w:t>2</w:t>
            </w:r>
            <w:r>
              <w:rPr>
                <w:szCs w:val="13"/>
                <w:lang w:val="it-IT"/>
              </w:rPr>
              <w:t>O</w:t>
            </w:r>
          </w:p>
        </w:tc>
        <w:tc>
          <w:tcPr>
            <w:tcW w:w="425" w:type="dxa"/>
            <w:tcBorders>
              <w:top w:val="nil"/>
              <w:left w:val="nil"/>
              <w:bottom w:val="nil"/>
              <w:right w:val="nil"/>
            </w:tcBorders>
          </w:tcPr>
          <w:p>
            <w:pPr>
              <w:pStyle w:val="GesAbsatz"/>
              <w:ind w:left="57"/>
              <w:rPr>
                <w:rFonts w:ascii="Times New Roman" w:hAnsi="Times New Roman"/>
                <w:szCs w:val="13"/>
                <w:lang w:val="it-IT"/>
              </w:rPr>
            </w:pPr>
          </w:p>
        </w:tc>
        <w:tc>
          <w:tcPr>
            <w:tcW w:w="2551" w:type="dxa"/>
            <w:tcBorders>
              <w:top w:val="nil"/>
              <w:left w:val="nil"/>
              <w:bottom w:val="nil"/>
              <w:right w:val="nil"/>
            </w:tcBorders>
          </w:tcPr>
          <w:p>
            <w:pPr>
              <w:pStyle w:val="GesAbsatz"/>
              <w:tabs>
                <w:tab w:val="clear" w:pos="425"/>
                <w:tab w:val="decimal" w:pos="1275"/>
              </w:tabs>
              <w:ind w:left="57"/>
              <w:rPr>
                <w:rFonts w:ascii="Times New Roman" w:hAnsi="Times New Roman"/>
                <w:szCs w:val="13"/>
                <w:lang w:val="it-IT"/>
              </w:rPr>
            </w:pPr>
          </w:p>
        </w:tc>
      </w:tr>
      <w:tr>
        <w:tc>
          <w:tcPr>
            <w:tcW w:w="3261" w:type="dxa"/>
            <w:tcBorders>
              <w:top w:val="nil"/>
              <w:left w:val="nil"/>
              <w:bottom w:val="nil"/>
              <w:right w:val="nil"/>
            </w:tcBorders>
          </w:tcPr>
          <w:p>
            <w:pPr>
              <w:pStyle w:val="GesAbsatz"/>
              <w:ind w:left="57"/>
              <w:rPr>
                <w:lang w:val="it-IT"/>
              </w:rPr>
            </w:pPr>
            <w:r>
              <w:rPr>
                <w:lang w:val="it-IT"/>
              </w:rPr>
              <w:t>pH-</w:t>
            </w:r>
            <w:r>
              <w:t>Wert</w:t>
            </w:r>
          </w:p>
        </w:tc>
        <w:tc>
          <w:tcPr>
            <w:tcW w:w="425" w:type="dxa"/>
            <w:tcBorders>
              <w:top w:val="nil"/>
              <w:left w:val="nil"/>
              <w:bottom w:val="nil"/>
              <w:right w:val="nil"/>
            </w:tcBorders>
          </w:tcPr>
          <w:p>
            <w:pPr>
              <w:pStyle w:val="GesAbsatz"/>
              <w:ind w:left="57"/>
              <w:rPr>
                <w:rFonts w:ascii="Times New Roman" w:hAnsi="Times New Roman"/>
                <w:sz w:val="13"/>
                <w:szCs w:val="13"/>
                <w:lang w:val="it-IT"/>
              </w:rPr>
            </w:pPr>
          </w:p>
        </w:tc>
        <w:tc>
          <w:tcPr>
            <w:tcW w:w="2551" w:type="dxa"/>
            <w:tcBorders>
              <w:top w:val="nil"/>
              <w:left w:val="nil"/>
              <w:bottom w:val="nil"/>
              <w:right w:val="nil"/>
            </w:tcBorders>
          </w:tcPr>
          <w:p>
            <w:pPr>
              <w:pStyle w:val="GesAbsatz"/>
              <w:tabs>
                <w:tab w:val="clear" w:pos="425"/>
                <w:tab w:val="decimal" w:pos="1275"/>
              </w:tabs>
              <w:ind w:left="57"/>
            </w:pPr>
            <w:r>
              <w:t>5–9</w:t>
            </w:r>
          </w:p>
        </w:tc>
      </w:tr>
      <w:tr>
        <w:tc>
          <w:tcPr>
            <w:tcW w:w="3261" w:type="dxa"/>
            <w:tcBorders>
              <w:top w:val="nil"/>
              <w:left w:val="nil"/>
              <w:bottom w:val="nil"/>
              <w:right w:val="nil"/>
            </w:tcBorders>
          </w:tcPr>
          <w:p>
            <w:pPr>
              <w:pStyle w:val="GesAbsatz"/>
              <w:ind w:left="57"/>
            </w:pPr>
            <w:r>
              <w:t>Farbe (Weißgrad)</w:t>
            </w:r>
          </w:p>
        </w:tc>
        <w:tc>
          <w:tcPr>
            <w:tcW w:w="425" w:type="dxa"/>
            <w:tcBorders>
              <w:top w:val="nil"/>
              <w:left w:val="nil"/>
              <w:bottom w:val="nil"/>
              <w:right w:val="nil"/>
            </w:tcBorders>
          </w:tcPr>
          <w:p>
            <w:pPr>
              <w:pStyle w:val="GesAbsatz"/>
              <w:ind w:left="57"/>
            </w:pPr>
            <w:r>
              <w:t>&gt;</w:t>
            </w:r>
          </w:p>
        </w:tc>
        <w:tc>
          <w:tcPr>
            <w:tcW w:w="2551" w:type="dxa"/>
            <w:tcBorders>
              <w:top w:val="nil"/>
              <w:left w:val="nil"/>
              <w:bottom w:val="nil"/>
              <w:right w:val="nil"/>
            </w:tcBorders>
          </w:tcPr>
          <w:p>
            <w:pPr>
              <w:pStyle w:val="GesAbsatz"/>
              <w:tabs>
                <w:tab w:val="clear" w:pos="425"/>
                <w:tab w:val="decimal" w:pos="1275"/>
              </w:tabs>
              <w:ind w:left="57"/>
            </w:pPr>
            <w:r>
              <w:t>80%</w:t>
            </w:r>
          </w:p>
        </w:tc>
      </w:tr>
      <w:tr>
        <w:tc>
          <w:tcPr>
            <w:tcW w:w="3261" w:type="dxa"/>
            <w:tcBorders>
              <w:top w:val="nil"/>
              <w:left w:val="nil"/>
              <w:bottom w:val="nil"/>
              <w:right w:val="nil"/>
            </w:tcBorders>
          </w:tcPr>
          <w:p>
            <w:pPr>
              <w:pStyle w:val="GesAbsatz"/>
              <w:ind w:left="57"/>
            </w:pPr>
            <w:r>
              <w:t>Geruch</w:t>
            </w:r>
          </w:p>
        </w:tc>
        <w:tc>
          <w:tcPr>
            <w:tcW w:w="425" w:type="dxa"/>
            <w:tcBorders>
              <w:top w:val="nil"/>
              <w:left w:val="nil"/>
              <w:bottom w:val="nil"/>
              <w:right w:val="nil"/>
            </w:tcBorders>
          </w:tcPr>
          <w:p>
            <w:pPr>
              <w:pStyle w:val="GesAbsatz"/>
              <w:ind w:left="57"/>
              <w:rPr>
                <w:rFonts w:ascii="Times New Roman" w:hAnsi="Times New Roman"/>
                <w:sz w:val="13"/>
                <w:szCs w:val="13"/>
              </w:rPr>
            </w:pPr>
          </w:p>
        </w:tc>
        <w:tc>
          <w:tcPr>
            <w:tcW w:w="2551" w:type="dxa"/>
            <w:tcBorders>
              <w:top w:val="nil"/>
              <w:left w:val="nil"/>
              <w:bottom w:val="nil"/>
              <w:right w:val="nil"/>
            </w:tcBorders>
          </w:tcPr>
          <w:p>
            <w:pPr>
              <w:pStyle w:val="GesAbsatz"/>
              <w:tabs>
                <w:tab w:val="clear" w:pos="425"/>
                <w:tab w:val="decimal" w:pos="1275"/>
              </w:tabs>
              <w:ind w:left="57"/>
            </w:pPr>
            <w:r>
              <w:t>neutral</w:t>
            </w:r>
          </w:p>
        </w:tc>
      </w:tr>
      <w:tr>
        <w:trPr>
          <w:cantSplit/>
          <w:trHeight w:val="537"/>
        </w:trPr>
        <w:tc>
          <w:tcPr>
            <w:tcW w:w="3261" w:type="dxa"/>
            <w:tcBorders>
              <w:top w:val="nil"/>
              <w:left w:val="nil"/>
              <w:bottom w:val="nil"/>
              <w:right w:val="nil"/>
            </w:tcBorders>
          </w:tcPr>
          <w:p>
            <w:pPr>
              <w:pStyle w:val="GesAbsatz"/>
              <w:ind w:left="57"/>
            </w:pPr>
            <w:r>
              <w:t>Mittl. Teilchengr. (Siebrückstand bei 32 µm Maschenweite)</w:t>
            </w:r>
          </w:p>
        </w:tc>
        <w:tc>
          <w:tcPr>
            <w:tcW w:w="425" w:type="dxa"/>
            <w:tcBorders>
              <w:top w:val="nil"/>
              <w:left w:val="nil"/>
              <w:bottom w:val="nil"/>
              <w:right w:val="nil"/>
            </w:tcBorders>
          </w:tcPr>
          <w:p>
            <w:pPr>
              <w:pStyle w:val="GesAbsatz"/>
              <w:ind w:left="57"/>
            </w:pPr>
            <w:r>
              <w:t>&gt;</w:t>
            </w:r>
          </w:p>
        </w:tc>
        <w:tc>
          <w:tcPr>
            <w:tcW w:w="2551" w:type="dxa"/>
            <w:tcBorders>
              <w:top w:val="nil"/>
              <w:left w:val="nil"/>
              <w:bottom w:val="nil"/>
              <w:right w:val="nil"/>
            </w:tcBorders>
          </w:tcPr>
          <w:p>
            <w:pPr>
              <w:pStyle w:val="GesAbsatz"/>
              <w:tabs>
                <w:tab w:val="clear" w:pos="425"/>
                <w:tab w:val="decimal" w:pos="1275"/>
              </w:tabs>
              <w:ind w:left="57"/>
            </w:pPr>
            <w:r>
              <w:t>60%</w:t>
            </w:r>
          </w:p>
        </w:tc>
      </w:tr>
      <w:tr>
        <w:trPr>
          <w:cantSplit/>
          <w:trHeight w:val="518"/>
        </w:trPr>
        <w:tc>
          <w:tcPr>
            <w:tcW w:w="3261" w:type="dxa"/>
            <w:tcBorders>
              <w:top w:val="nil"/>
              <w:left w:val="nil"/>
              <w:bottom w:val="nil"/>
              <w:right w:val="nil"/>
            </w:tcBorders>
          </w:tcPr>
          <w:p>
            <w:pPr>
              <w:pStyle w:val="GesAbsatz"/>
              <w:ind w:left="57"/>
            </w:pPr>
            <w:r>
              <w:t>Nebenbestandteile</w:t>
            </w:r>
            <w:r>
              <w:br/>
              <w:t>(Summe)</w:t>
            </w:r>
          </w:p>
        </w:tc>
        <w:tc>
          <w:tcPr>
            <w:tcW w:w="425" w:type="dxa"/>
            <w:tcBorders>
              <w:top w:val="nil"/>
              <w:left w:val="nil"/>
              <w:bottom w:val="nil"/>
              <w:right w:val="nil"/>
            </w:tcBorders>
          </w:tcPr>
          <w:p>
            <w:pPr>
              <w:pStyle w:val="GesAbsatz"/>
              <w:ind w:left="57"/>
            </w:pPr>
            <w:r>
              <w:t>&lt;</w:t>
            </w:r>
          </w:p>
        </w:tc>
        <w:tc>
          <w:tcPr>
            <w:tcW w:w="2551" w:type="dxa"/>
            <w:tcBorders>
              <w:top w:val="nil"/>
              <w:left w:val="nil"/>
              <w:bottom w:val="nil"/>
              <w:right w:val="nil"/>
            </w:tcBorders>
          </w:tcPr>
          <w:p>
            <w:pPr>
              <w:pStyle w:val="GesAbsatz"/>
              <w:tabs>
                <w:tab w:val="clear" w:pos="425"/>
                <w:tab w:val="decimal" w:pos="1275"/>
              </w:tabs>
              <w:ind w:left="57"/>
            </w:pPr>
            <w:r>
              <w:t>5%</w:t>
            </w:r>
          </w:p>
        </w:tc>
      </w:tr>
      <w:tr>
        <w:tc>
          <w:tcPr>
            <w:tcW w:w="3261" w:type="dxa"/>
            <w:tcBorders>
              <w:top w:val="nil"/>
              <w:left w:val="nil"/>
              <w:bottom w:val="nil"/>
              <w:right w:val="nil"/>
            </w:tcBorders>
          </w:tcPr>
          <w:p>
            <w:pPr>
              <w:pStyle w:val="GesAbsatz"/>
              <w:ind w:left="57"/>
            </w:pPr>
            <w:r>
              <w:t>MgO wasserlöslich</w:t>
            </w:r>
          </w:p>
        </w:tc>
        <w:tc>
          <w:tcPr>
            <w:tcW w:w="425" w:type="dxa"/>
            <w:tcBorders>
              <w:top w:val="nil"/>
              <w:left w:val="nil"/>
              <w:bottom w:val="nil"/>
              <w:right w:val="nil"/>
            </w:tcBorders>
          </w:tcPr>
          <w:p>
            <w:pPr>
              <w:pStyle w:val="GesAbsatz"/>
              <w:ind w:left="57"/>
            </w:pPr>
            <w:r>
              <w:t>&lt;</w:t>
            </w:r>
          </w:p>
        </w:tc>
        <w:tc>
          <w:tcPr>
            <w:tcW w:w="2551" w:type="dxa"/>
            <w:tcBorders>
              <w:top w:val="nil"/>
              <w:left w:val="nil"/>
              <w:bottom w:val="nil"/>
              <w:right w:val="nil"/>
            </w:tcBorders>
          </w:tcPr>
          <w:p>
            <w:pPr>
              <w:pStyle w:val="GesAbsatz"/>
              <w:tabs>
                <w:tab w:val="clear" w:pos="425"/>
                <w:tab w:val="decimal" w:pos="1275"/>
              </w:tabs>
              <w:ind w:left="57"/>
            </w:pPr>
            <w:r>
              <w:t>0,10%</w:t>
            </w:r>
          </w:p>
        </w:tc>
      </w:tr>
      <w:tr>
        <w:tc>
          <w:tcPr>
            <w:tcW w:w="3261" w:type="dxa"/>
            <w:tcBorders>
              <w:top w:val="nil"/>
              <w:left w:val="nil"/>
              <w:bottom w:val="nil"/>
              <w:right w:val="nil"/>
            </w:tcBorders>
          </w:tcPr>
          <w:p>
            <w:pPr>
              <w:pStyle w:val="GesAbsatz"/>
              <w:ind w:left="57"/>
              <w:rPr>
                <w:szCs w:val="13"/>
              </w:rPr>
            </w:pPr>
            <w:r>
              <w:rPr>
                <w:szCs w:val="13"/>
              </w:rPr>
              <w:t>Na</w:t>
            </w:r>
            <w:r>
              <w:rPr>
                <w:szCs w:val="13"/>
                <w:vertAlign w:val="subscript"/>
              </w:rPr>
              <w:t>2</w:t>
            </w:r>
            <w:r>
              <w:rPr>
                <w:szCs w:val="13"/>
              </w:rPr>
              <w:t>O wasserlöslich</w:t>
            </w:r>
          </w:p>
        </w:tc>
        <w:tc>
          <w:tcPr>
            <w:tcW w:w="425" w:type="dxa"/>
            <w:tcBorders>
              <w:top w:val="nil"/>
              <w:left w:val="nil"/>
              <w:bottom w:val="nil"/>
              <w:right w:val="nil"/>
            </w:tcBorders>
          </w:tcPr>
          <w:p>
            <w:pPr>
              <w:pStyle w:val="GesAbsatz"/>
              <w:ind w:left="57"/>
            </w:pPr>
            <w:r>
              <w:t>&lt;</w:t>
            </w:r>
          </w:p>
        </w:tc>
        <w:tc>
          <w:tcPr>
            <w:tcW w:w="2551" w:type="dxa"/>
            <w:tcBorders>
              <w:top w:val="nil"/>
              <w:left w:val="nil"/>
              <w:bottom w:val="nil"/>
              <w:right w:val="nil"/>
            </w:tcBorders>
          </w:tcPr>
          <w:p>
            <w:pPr>
              <w:pStyle w:val="GesAbsatz"/>
              <w:tabs>
                <w:tab w:val="clear" w:pos="425"/>
                <w:tab w:val="decimal" w:pos="1275"/>
              </w:tabs>
              <w:ind w:left="57"/>
            </w:pPr>
            <w:r>
              <w:t>0,06%</w:t>
            </w:r>
          </w:p>
        </w:tc>
      </w:tr>
      <w:tr>
        <w:tc>
          <w:tcPr>
            <w:tcW w:w="3261" w:type="dxa"/>
            <w:tcBorders>
              <w:top w:val="nil"/>
              <w:left w:val="nil"/>
              <w:bottom w:val="nil"/>
              <w:right w:val="nil"/>
            </w:tcBorders>
          </w:tcPr>
          <w:p>
            <w:pPr>
              <w:pStyle w:val="GesAbsatz"/>
              <w:ind w:left="57"/>
              <w:rPr>
                <w:szCs w:val="13"/>
              </w:rPr>
            </w:pPr>
            <w:r>
              <w:rPr>
                <w:szCs w:val="13"/>
              </w:rPr>
              <w:t>K</w:t>
            </w:r>
            <w:r>
              <w:rPr>
                <w:szCs w:val="13"/>
                <w:vertAlign w:val="subscript"/>
              </w:rPr>
              <w:t>2</w:t>
            </w:r>
            <w:r>
              <w:rPr>
                <w:szCs w:val="13"/>
              </w:rPr>
              <w:t>O wasserlöslich</w:t>
            </w:r>
          </w:p>
        </w:tc>
        <w:tc>
          <w:tcPr>
            <w:tcW w:w="425" w:type="dxa"/>
            <w:tcBorders>
              <w:top w:val="nil"/>
              <w:left w:val="nil"/>
              <w:bottom w:val="nil"/>
              <w:right w:val="nil"/>
            </w:tcBorders>
          </w:tcPr>
          <w:p>
            <w:pPr>
              <w:pStyle w:val="GesAbsatz"/>
              <w:ind w:left="57"/>
            </w:pPr>
            <w:r>
              <w:t>&lt;</w:t>
            </w:r>
          </w:p>
        </w:tc>
        <w:tc>
          <w:tcPr>
            <w:tcW w:w="2551" w:type="dxa"/>
            <w:tcBorders>
              <w:top w:val="nil"/>
              <w:left w:val="nil"/>
              <w:bottom w:val="nil"/>
              <w:right w:val="nil"/>
            </w:tcBorders>
          </w:tcPr>
          <w:p>
            <w:pPr>
              <w:pStyle w:val="GesAbsatz"/>
              <w:tabs>
                <w:tab w:val="clear" w:pos="425"/>
                <w:tab w:val="decimal" w:pos="1275"/>
              </w:tabs>
              <w:ind w:left="57"/>
            </w:pPr>
            <w:r>
              <w:t>0,06%</w:t>
            </w:r>
          </w:p>
        </w:tc>
      </w:tr>
      <w:tr>
        <w:tc>
          <w:tcPr>
            <w:tcW w:w="3261" w:type="dxa"/>
            <w:tcBorders>
              <w:top w:val="nil"/>
              <w:left w:val="nil"/>
              <w:bottom w:val="nil"/>
              <w:right w:val="nil"/>
            </w:tcBorders>
          </w:tcPr>
          <w:p>
            <w:pPr>
              <w:pStyle w:val="GesAbsatz"/>
              <w:ind w:left="57"/>
            </w:pPr>
            <w:r>
              <w:t>Cl wasserlöslich</w:t>
            </w:r>
          </w:p>
        </w:tc>
        <w:tc>
          <w:tcPr>
            <w:tcW w:w="425" w:type="dxa"/>
            <w:tcBorders>
              <w:top w:val="nil"/>
              <w:left w:val="nil"/>
              <w:bottom w:val="nil"/>
              <w:right w:val="nil"/>
            </w:tcBorders>
          </w:tcPr>
          <w:p>
            <w:pPr>
              <w:pStyle w:val="GesAbsatz"/>
              <w:ind w:left="57"/>
            </w:pPr>
            <w:r>
              <w:t>&lt;</w:t>
            </w:r>
          </w:p>
        </w:tc>
        <w:tc>
          <w:tcPr>
            <w:tcW w:w="2551" w:type="dxa"/>
            <w:tcBorders>
              <w:top w:val="nil"/>
              <w:left w:val="nil"/>
              <w:bottom w:val="nil"/>
              <w:right w:val="nil"/>
            </w:tcBorders>
          </w:tcPr>
          <w:p>
            <w:pPr>
              <w:pStyle w:val="GesAbsatz"/>
              <w:tabs>
                <w:tab w:val="clear" w:pos="425"/>
                <w:tab w:val="decimal" w:pos="1275"/>
              </w:tabs>
              <w:ind w:left="57"/>
            </w:pPr>
            <w:r>
              <w:t>100 mg/kg</w:t>
            </w:r>
          </w:p>
        </w:tc>
      </w:tr>
      <w:tr>
        <w:tc>
          <w:tcPr>
            <w:tcW w:w="3261" w:type="dxa"/>
            <w:tcBorders>
              <w:top w:val="nil"/>
              <w:left w:val="nil"/>
              <w:bottom w:val="nil"/>
              <w:right w:val="nil"/>
            </w:tcBorders>
          </w:tcPr>
          <w:p>
            <w:pPr>
              <w:pStyle w:val="GesAbsatz"/>
              <w:ind w:left="57"/>
            </w:pPr>
            <w:r>
              <w:rPr>
                <w:szCs w:val="13"/>
              </w:rPr>
              <w:t>SO</w:t>
            </w:r>
            <w:r>
              <w:rPr>
                <w:szCs w:val="13"/>
                <w:vertAlign w:val="subscript"/>
              </w:rPr>
              <w:t>2</w:t>
            </w:r>
            <w:r>
              <w:t xml:space="preserve"> wasserlöslich</w:t>
            </w:r>
          </w:p>
        </w:tc>
        <w:tc>
          <w:tcPr>
            <w:tcW w:w="425" w:type="dxa"/>
            <w:tcBorders>
              <w:top w:val="nil"/>
              <w:left w:val="nil"/>
              <w:bottom w:val="nil"/>
              <w:right w:val="nil"/>
            </w:tcBorders>
          </w:tcPr>
          <w:p>
            <w:pPr>
              <w:pStyle w:val="GesAbsatz"/>
              <w:ind w:left="57"/>
            </w:pPr>
            <w:r>
              <w:t>&lt;</w:t>
            </w:r>
          </w:p>
        </w:tc>
        <w:tc>
          <w:tcPr>
            <w:tcW w:w="2551" w:type="dxa"/>
            <w:tcBorders>
              <w:top w:val="nil"/>
              <w:left w:val="nil"/>
              <w:bottom w:val="nil"/>
              <w:right w:val="nil"/>
            </w:tcBorders>
          </w:tcPr>
          <w:p>
            <w:pPr>
              <w:pStyle w:val="GesAbsatz"/>
              <w:tabs>
                <w:tab w:val="clear" w:pos="425"/>
                <w:tab w:val="decimal" w:pos="1275"/>
              </w:tabs>
              <w:ind w:left="57"/>
            </w:pPr>
            <w:r>
              <w:t>0,25%</w:t>
            </w:r>
          </w:p>
        </w:tc>
      </w:tr>
      <w:tr>
        <w:tc>
          <w:tcPr>
            <w:tcW w:w="3261" w:type="dxa"/>
            <w:tcBorders>
              <w:top w:val="nil"/>
              <w:left w:val="nil"/>
              <w:bottom w:val="nil"/>
              <w:right w:val="nil"/>
            </w:tcBorders>
          </w:tcPr>
          <w:p>
            <w:pPr>
              <w:pStyle w:val="GesAbsatz"/>
              <w:ind w:left="57"/>
              <w:rPr>
                <w:szCs w:val="13"/>
              </w:rPr>
            </w:pPr>
            <w:r>
              <w:rPr>
                <w:szCs w:val="13"/>
              </w:rPr>
              <w:t>CaSO</w:t>
            </w:r>
            <w:r>
              <w:rPr>
                <w:szCs w:val="13"/>
                <w:vertAlign w:val="subscript"/>
              </w:rPr>
              <w:t>3</w:t>
            </w:r>
            <w:r>
              <w:t xml:space="preserve"> </w:t>
            </w:r>
            <w:r>
              <w:rPr>
                <w:rFonts w:ascii="Symbol" w:hAnsi="Symbol"/>
                <w:b/>
                <w:bCs/>
              </w:rPr>
              <w:t></w:t>
            </w:r>
            <w:r>
              <w:t xml:space="preserve"> </w:t>
            </w:r>
            <w:r>
              <w:rPr>
                <w:szCs w:val="13"/>
              </w:rPr>
              <w:t>½ H</w:t>
            </w:r>
            <w:r>
              <w:rPr>
                <w:szCs w:val="13"/>
                <w:vertAlign w:val="subscript"/>
              </w:rPr>
              <w:t>2</w:t>
            </w:r>
            <w:r>
              <w:rPr>
                <w:szCs w:val="13"/>
              </w:rPr>
              <w:t>O</w:t>
            </w:r>
          </w:p>
        </w:tc>
        <w:tc>
          <w:tcPr>
            <w:tcW w:w="425" w:type="dxa"/>
            <w:tcBorders>
              <w:top w:val="nil"/>
              <w:left w:val="nil"/>
              <w:bottom w:val="nil"/>
              <w:right w:val="nil"/>
            </w:tcBorders>
          </w:tcPr>
          <w:p>
            <w:pPr>
              <w:pStyle w:val="GesAbsatz"/>
              <w:ind w:left="57"/>
              <w:rPr>
                <w:lang w:val="it-IT"/>
              </w:rPr>
            </w:pPr>
            <w:r>
              <w:rPr>
                <w:lang w:val="it-IT"/>
              </w:rPr>
              <w:t>&lt;</w:t>
            </w:r>
          </w:p>
        </w:tc>
        <w:tc>
          <w:tcPr>
            <w:tcW w:w="2551" w:type="dxa"/>
            <w:tcBorders>
              <w:top w:val="nil"/>
              <w:left w:val="nil"/>
              <w:bottom w:val="nil"/>
              <w:right w:val="nil"/>
            </w:tcBorders>
          </w:tcPr>
          <w:p>
            <w:pPr>
              <w:pStyle w:val="GesAbsatz"/>
              <w:tabs>
                <w:tab w:val="clear" w:pos="425"/>
                <w:tab w:val="decimal" w:pos="1275"/>
              </w:tabs>
              <w:ind w:left="57"/>
              <w:rPr>
                <w:lang w:val="it-IT"/>
              </w:rPr>
            </w:pPr>
            <w:r>
              <w:rPr>
                <w:lang w:val="it-IT"/>
              </w:rPr>
              <w:t>0,50%</w:t>
            </w:r>
          </w:p>
        </w:tc>
      </w:tr>
      <w:tr>
        <w:tc>
          <w:tcPr>
            <w:tcW w:w="3261" w:type="dxa"/>
            <w:tcBorders>
              <w:top w:val="nil"/>
              <w:left w:val="nil"/>
              <w:bottom w:val="nil"/>
              <w:right w:val="nil"/>
            </w:tcBorders>
          </w:tcPr>
          <w:p>
            <w:pPr>
              <w:pStyle w:val="GesAbsatz"/>
              <w:ind w:left="57"/>
              <w:rPr>
                <w:szCs w:val="13"/>
                <w:lang w:val="it-IT"/>
              </w:rPr>
            </w:pPr>
            <w:r>
              <w:rPr>
                <w:szCs w:val="13"/>
                <w:lang w:val="it-IT"/>
              </w:rPr>
              <w:t>Al</w:t>
            </w:r>
            <w:r>
              <w:rPr>
                <w:szCs w:val="13"/>
                <w:vertAlign w:val="subscript"/>
                <w:lang w:val="it-IT"/>
              </w:rPr>
              <w:t>2</w:t>
            </w:r>
            <w:r>
              <w:rPr>
                <w:szCs w:val="13"/>
                <w:lang w:val="it-IT"/>
              </w:rPr>
              <w:t>O</w:t>
            </w:r>
            <w:r>
              <w:rPr>
                <w:szCs w:val="13"/>
                <w:vertAlign w:val="subscript"/>
                <w:lang w:val="it-IT"/>
              </w:rPr>
              <w:t>3</w:t>
            </w:r>
          </w:p>
        </w:tc>
        <w:tc>
          <w:tcPr>
            <w:tcW w:w="425" w:type="dxa"/>
            <w:tcBorders>
              <w:top w:val="nil"/>
              <w:left w:val="nil"/>
              <w:bottom w:val="nil"/>
              <w:right w:val="nil"/>
            </w:tcBorders>
          </w:tcPr>
          <w:p>
            <w:pPr>
              <w:pStyle w:val="GesAbsatz"/>
              <w:ind w:left="57"/>
              <w:rPr>
                <w:lang w:val="it-IT"/>
              </w:rPr>
            </w:pPr>
            <w:r>
              <w:rPr>
                <w:lang w:val="it-IT"/>
              </w:rPr>
              <w:t>&lt;</w:t>
            </w:r>
          </w:p>
        </w:tc>
        <w:tc>
          <w:tcPr>
            <w:tcW w:w="2551" w:type="dxa"/>
            <w:tcBorders>
              <w:top w:val="nil"/>
              <w:left w:val="nil"/>
              <w:bottom w:val="nil"/>
              <w:right w:val="nil"/>
            </w:tcBorders>
          </w:tcPr>
          <w:p>
            <w:pPr>
              <w:pStyle w:val="GesAbsatz"/>
              <w:tabs>
                <w:tab w:val="clear" w:pos="425"/>
                <w:tab w:val="decimal" w:pos="1275"/>
              </w:tabs>
              <w:ind w:left="57"/>
              <w:rPr>
                <w:lang w:val="it-IT"/>
              </w:rPr>
            </w:pPr>
            <w:r>
              <w:rPr>
                <w:lang w:val="it-IT"/>
              </w:rPr>
              <w:t>0,30%</w:t>
            </w:r>
          </w:p>
        </w:tc>
      </w:tr>
      <w:tr>
        <w:tc>
          <w:tcPr>
            <w:tcW w:w="3261" w:type="dxa"/>
            <w:tcBorders>
              <w:top w:val="nil"/>
              <w:left w:val="nil"/>
              <w:bottom w:val="nil"/>
              <w:right w:val="nil"/>
            </w:tcBorders>
          </w:tcPr>
          <w:p>
            <w:pPr>
              <w:pStyle w:val="GesAbsatz"/>
              <w:ind w:left="57"/>
              <w:rPr>
                <w:szCs w:val="13"/>
                <w:lang w:val="it-IT"/>
              </w:rPr>
            </w:pPr>
            <w:r>
              <w:rPr>
                <w:szCs w:val="13"/>
                <w:lang w:val="it-IT"/>
              </w:rPr>
              <w:t>Fe</w:t>
            </w:r>
            <w:r>
              <w:rPr>
                <w:szCs w:val="13"/>
                <w:vertAlign w:val="subscript"/>
                <w:lang w:val="it-IT"/>
              </w:rPr>
              <w:t>2</w:t>
            </w:r>
            <w:r>
              <w:rPr>
                <w:szCs w:val="13"/>
                <w:lang w:val="it-IT"/>
              </w:rPr>
              <w:t>O</w:t>
            </w:r>
            <w:r>
              <w:rPr>
                <w:szCs w:val="13"/>
                <w:vertAlign w:val="subscript"/>
                <w:lang w:val="it-IT"/>
              </w:rPr>
              <w:t>3</w:t>
            </w:r>
          </w:p>
        </w:tc>
        <w:tc>
          <w:tcPr>
            <w:tcW w:w="425" w:type="dxa"/>
            <w:tcBorders>
              <w:top w:val="nil"/>
              <w:left w:val="nil"/>
              <w:bottom w:val="nil"/>
              <w:right w:val="nil"/>
            </w:tcBorders>
          </w:tcPr>
          <w:p>
            <w:pPr>
              <w:pStyle w:val="GesAbsatz"/>
              <w:ind w:left="57"/>
              <w:rPr>
                <w:lang w:val="it-IT"/>
              </w:rPr>
            </w:pPr>
            <w:r>
              <w:rPr>
                <w:lang w:val="it-IT"/>
              </w:rPr>
              <w:t>&lt;</w:t>
            </w:r>
          </w:p>
        </w:tc>
        <w:tc>
          <w:tcPr>
            <w:tcW w:w="2551" w:type="dxa"/>
            <w:tcBorders>
              <w:top w:val="nil"/>
              <w:left w:val="nil"/>
              <w:bottom w:val="nil"/>
              <w:right w:val="nil"/>
            </w:tcBorders>
          </w:tcPr>
          <w:p>
            <w:pPr>
              <w:pStyle w:val="GesAbsatz"/>
              <w:tabs>
                <w:tab w:val="clear" w:pos="425"/>
                <w:tab w:val="decimal" w:pos="1275"/>
              </w:tabs>
              <w:ind w:left="57"/>
              <w:rPr>
                <w:lang w:val="it-IT"/>
              </w:rPr>
            </w:pPr>
            <w:r>
              <w:rPr>
                <w:lang w:val="it-IT"/>
              </w:rPr>
              <w:t>0,15%</w:t>
            </w:r>
          </w:p>
        </w:tc>
      </w:tr>
      <w:tr>
        <w:tc>
          <w:tcPr>
            <w:tcW w:w="3261" w:type="dxa"/>
            <w:tcBorders>
              <w:top w:val="nil"/>
              <w:left w:val="nil"/>
              <w:bottom w:val="nil"/>
              <w:right w:val="nil"/>
            </w:tcBorders>
          </w:tcPr>
          <w:p>
            <w:pPr>
              <w:pStyle w:val="GesAbsatz"/>
              <w:ind w:left="57"/>
              <w:rPr>
                <w:szCs w:val="13"/>
                <w:lang w:val="it-IT"/>
              </w:rPr>
            </w:pPr>
            <w:r>
              <w:rPr>
                <w:szCs w:val="13"/>
                <w:lang w:val="it-IT"/>
              </w:rPr>
              <w:t>SiO</w:t>
            </w:r>
            <w:r>
              <w:rPr>
                <w:szCs w:val="13"/>
                <w:vertAlign w:val="subscript"/>
                <w:lang w:val="it-IT"/>
              </w:rPr>
              <w:t>2</w:t>
            </w:r>
          </w:p>
        </w:tc>
        <w:tc>
          <w:tcPr>
            <w:tcW w:w="425" w:type="dxa"/>
            <w:tcBorders>
              <w:top w:val="nil"/>
              <w:left w:val="nil"/>
              <w:bottom w:val="nil"/>
              <w:right w:val="nil"/>
            </w:tcBorders>
          </w:tcPr>
          <w:p>
            <w:pPr>
              <w:pStyle w:val="GesAbsatz"/>
              <w:ind w:left="57"/>
              <w:rPr>
                <w:lang w:val="it-IT"/>
              </w:rPr>
            </w:pPr>
            <w:r>
              <w:rPr>
                <w:lang w:val="it-IT"/>
              </w:rPr>
              <w:t>&lt;</w:t>
            </w:r>
          </w:p>
        </w:tc>
        <w:tc>
          <w:tcPr>
            <w:tcW w:w="2551" w:type="dxa"/>
            <w:tcBorders>
              <w:top w:val="nil"/>
              <w:left w:val="nil"/>
              <w:bottom w:val="nil"/>
              <w:right w:val="nil"/>
            </w:tcBorders>
          </w:tcPr>
          <w:p>
            <w:pPr>
              <w:pStyle w:val="GesAbsatz"/>
              <w:tabs>
                <w:tab w:val="clear" w:pos="425"/>
                <w:tab w:val="decimal" w:pos="1275"/>
              </w:tabs>
              <w:ind w:left="57"/>
              <w:rPr>
                <w:lang w:val="it-IT"/>
              </w:rPr>
            </w:pPr>
            <w:r>
              <w:rPr>
                <w:lang w:val="it-IT"/>
              </w:rPr>
              <w:t>2,50%</w:t>
            </w:r>
          </w:p>
        </w:tc>
      </w:tr>
      <w:tr>
        <w:tc>
          <w:tcPr>
            <w:tcW w:w="3261" w:type="dxa"/>
            <w:tcBorders>
              <w:top w:val="nil"/>
              <w:left w:val="nil"/>
              <w:bottom w:val="nil"/>
              <w:right w:val="nil"/>
            </w:tcBorders>
          </w:tcPr>
          <w:p>
            <w:pPr>
              <w:pStyle w:val="GesAbsatz"/>
              <w:ind w:left="57"/>
              <w:rPr>
                <w:szCs w:val="13"/>
                <w:lang w:val="it-IT"/>
              </w:rPr>
            </w:pPr>
            <w:r>
              <w:rPr>
                <w:szCs w:val="13"/>
                <w:lang w:val="it-IT"/>
              </w:rPr>
              <w:t>CaCO</w:t>
            </w:r>
            <w:r>
              <w:rPr>
                <w:szCs w:val="13"/>
                <w:vertAlign w:val="subscript"/>
                <w:lang w:val="it-IT"/>
              </w:rPr>
              <w:t>3</w:t>
            </w:r>
            <w:r>
              <w:rPr>
                <w:lang w:val="it-IT"/>
              </w:rPr>
              <w:t xml:space="preserve"> </w:t>
            </w:r>
            <w:r>
              <w:rPr>
                <w:szCs w:val="13"/>
                <w:lang w:val="it-IT"/>
              </w:rPr>
              <w:t>+ MgCO</w:t>
            </w:r>
            <w:r>
              <w:rPr>
                <w:szCs w:val="13"/>
                <w:vertAlign w:val="subscript"/>
                <w:lang w:val="it-IT"/>
              </w:rPr>
              <w:t>3</w:t>
            </w:r>
          </w:p>
        </w:tc>
        <w:tc>
          <w:tcPr>
            <w:tcW w:w="425" w:type="dxa"/>
            <w:tcBorders>
              <w:top w:val="nil"/>
              <w:left w:val="nil"/>
              <w:bottom w:val="nil"/>
              <w:right w:val="nil"/>
            </w:tcBorders>
          </w:tcPr>
          <w:p>
            <w:pPr>
              <w:pStyle w:val="GesAbsatz"/>
              <w:ind w:left="57"/>
              <w:rPr>
                <w:lang w:val="it-IT"/>
              </w:rPr>
            </w:pPr>
            <w:r>
              <w:rPr>
                <w:lang w:val="it-IT"/>
              </w:rPr>
              <w:t>&lt;</w:t>
            </w:r>
          </w:p>
        </w:tc>
        <w:tc>
          <w:tcPr>
            <w:tcW w:w="2551" w:type="dxa"/>
            <w:tcBorders>
              <w:top w:val="nil"/>
              <w:left w:val="nil"/>
              <w:bottom w:val="nil"/>
              <w:right w:val="nil"/>
            </w:tcBorders>
          </w:tcPr>
          <w:p>
            <w:pPr>
              <w:pStyle w:val="GesAbsatz"/>
              <w:tabs>
                <w:tab w:val="clear" w:pos="425"/>
                <w:tab w:val="decimal" w:pos="1275"/>
              </w:tabs>
              <w:ind w:left="57"/>
              <w:rPr>
                <w:lang w:val="it-IT"/>
              </w:rPr>
            </w:pPr>
            <w:r>
              <w:rPr>
                <w:lang w:val="it-IT"/>
              </w:rPr>
              <w:t>1,50%</w:t>
            </w:r>
          </w:p>
        </w:tc>
      </w:tr>
      <w:tr>
        <w:trPr>
          <w:cantSplit/>
          <w:trHeight w:val="286"/>
        </w:trPr>
        <w:tc>
          <w:tcPr>
            <w:tcW w:w="3261" w:type="dxa"/>
            <w:tcBorders>
              <w:top w:val="nil"/>
              <w:left w:val="nil"/>
              <w:bottom w:val="nil"/>
              <w:right w:val="nil"/>
            </w:tcBorders>
          </w:tcPr>
          <w:p>
            <w:pPr>
              <w:pStyle w:val="GesAbsatz"/>
              <w:ind w:left="57"/>
              <w:rPr>
                <w:lang w:val="it-IT"/>
              </w:rPr>
            </w:pPr>
            <w:r>
              <w:rPr>
                <w:rFonts w:cs="Arial"/>
                <w:lang w:val="it-IT"/>
              </w:rPr>
              <w:t>NH</w:t>
            </w:r>
            <w:r>
              <w:rPr>
                <w:rFonts w:cs="Arial"/>
                <w:vertAlign w:val="subscript"/>
                <w:lang w:val="it-IT"/>
              </w:rPr>
              <w:t>3</w:t>
            </w:r>
            <w:r>
              <w:rPr>
                <w:rFonts w:cs="Arial"/>
                <w:lang w:val="it-IT"/>
              </w:rPr>
              <w:t>, NO</w:t>
            </w:r>
            <w:r>
              <w:rPr>
                <w:rFonts w:cs="Arial"/>
                <w:vertAlign w:val="subscript"/>
                <w:lang w:val="it-IT"/>
              </w:rPr>
              <w:t>3</w:t>
            </w:r>
          </w:p>
        </w:tc>
        <w:tc>
          <w:tcPr>
            <w:tcW w:w="2976" w:type="dxa"/>
            <w:gridSpan w:val="2"/>
            <w:tcBorders>
              <w:top w:val="nil"/>
              <w:left w:val="nil"/>
              <w:bottom w:val="nil"/>
              <w:right w:val="nil"/>
            </w:tcBorders>
          </w:tcPr>
          <w:p>
            <w:pPr>
              <w:pStyle w:val="GesAbsatz"/>
              <w:ind w:left="57"/>
              <w:jc w:val="center"/>
              <w:rPr>
                <w:rFonts w:cs="Arial"/>
                <w:szCs w:val="18"/>
              </w:rPr>
            </w:pPr>
            <w:r>
              <w:rPr>
                <w:rFonts w:cs="Arial"/>
                <w:szCs w:val="18"/>
              </w:rPr>
              <w:t>nicht nachweisbar</w:t>
            </w:r>
          </w:p>
        </w:tc>
      </w:tr>
      <w:tr>
        <w:tc>
          <w:tcPr>
            <w:tcW w:w="3261" w:type="dxa"/>
            <w:tcBorders>
              <w:top w:val="nil"/>
              <w:left w:val="nil"/>
              <w:bottom w:val="nil"/>
              <w:right w:val="nil"/>
            </w:tcBorders>
          </w:tcPr>
          <w:p>
            <w:pPr>
              <w:pStyle w:val="GesAbsatz"/>
              <w:ind w:left="57"/>
              <w:rPr>
                <w:rFonts w:cs="Arial"/>
              </w:rPr>
            </w:pPr>
            <w:r>
              <w:rPr>
                <w:rFonts w:cs="Arial"/>
              </w:rPr>
              <w:t>oxidierbare organ. Best.</w:t>
            </w:r>
          </w:p>
        </w:tc>
        <w:tc>
          <w:tcPr>
            <w:tcW w:w="425" w:type="dxa"/>
            <w:tcBorders>
              <w:top w:val="nil"/>
              <w:left w:val="nil"/>
              <w:bottom w:val="nil"/>
              <w:right w:val="nil"/>
            </w:tcBorders>
          </w:tcPr>
          <w:p>
            <w:pPr>
              <w:pStyle w:val="GesAbsatz"/>
              <w:ind w:left="57"/>
              <w:rPr>
                <w:rFonts w:cs="Arial"/>
              </w:rPr>
            </w:pPr>
            <w:r>
              <w:rPr>
                <w:rFonts w:cs="Arial"/>
              </w:rPr>
              <w:t>&lt;</w:t>
            </w:r>
          </w:p>
        </w:tc>
        <w:tc>
          <w:tcPr>
            <w:tcW w:w="2551" w:type="dxa"/>
            <w:tcBorders>
              <w:top w:val="nil"/>
              <w:left w:val="nil"/>
              <w:bottom w:val="nil"/>
              <w:right w:val="nil"/>
            </w:tcBorders>
          </w:tcPr>
          <w:p>
            <w:pPr>
              <w:pStyle w:val="GesAbsatz"/>
              <w:tabs>
                <w:tab w:val="clear" w:pos="425"/>
                <w:tab w:val="decimal" w:pos="1276"/>
              </w:tabs>
              <w:ind w:left="57"/>
              <w:rPr>
                <w:rFonts w:cs="Arial"/>
              </w:rPr>
            </w:pPr>
            <w:r>
              <w:rPr>
                <w:rFonts w:cs="Arial"/>
              </w:rPr>
              <w:t>0,10%</w:t>
            </w:r>
          </w:p>
        </w:tc>
      </w:tr>
      <w:tr>
        <w:trPr>
          <w:cantSplit/>
        </w:trPr>
        <w:tc>
          <w:tcPr>
            <w:tcW w:w="6237" w:type="dxa"/>
            <w:gridSpan w:val="3"/>
            <w:tcBorders>
              <w:top w:val="nil"/>
              <w:left w:val="nil"/>
              <w:bottom w:val="nil"/>
              <w:right w:val="nil"/>
            </w:tcBorders>
          </w:tcPr>
          <w:p>
            <w:pPr>
              <w:pStyle w:val="GesAbsatz"/>
              <w:ind w:left="57"/>
            </w:pPr>
            <w:r>
              <w:rPr>
                <w:rFonts w:cs="Arial"/>
              </w:rPr>
              <w:t>Ruß, Flugkoks (als C best.)</w:t>
            </w:r>
          </w:p>
        </w:tc>
      </w:tr>
      <w:tr>
        <w:trPr>
          <w:cantSplit/>
          <w:trHeight w:val="627"/>
        </w:trPr>
        <w:tc>
          <w:tcPr>
            <w:tcW w:w="3261" w:type="dxa"/>
            <w:tcBorders>
              <w:top w:val="nil"/>
              <w:left w:val="nil"/>
              <w:bottom w:val="nil"/>
              <w:right w:val="nil"/>
            </w:tcBorders>
          </w:tcPr>
          <w:p>
            <w:pPr>
              <w:pStyle w:val="GesAbsatz"/>
              <w:ind w:left="57"/>
              <w:rPr>
                <w:rFonts w:cs="Arial"/>
              </w:rPr>
            </w:pPr>
            <w:r>
              <w:rPr>
                <w:rFonts w:cs="Arial"/>
              </w:rPr>
              <w:t>Spurenelemente</w:t>
            </w:r>
          </w:p>
        </w:tc>
        <w:tc>
          <w:tcPr>
            <w:tcW w:w="2976" w:type="dxa"/>
            <w:gridSpan w:val="2"/>
            <w:tcBorders>
              <w:top w:val="nil"/>
              <w:left w:val="nil"/>
              <w:bottom w:val="nil"/>
              <w:right w:val="nil"/>
            </w:tcBorders>
          </w:tcPr>
          <w:p>
            <w:pPr>
              <w:pStyle w:val="GesAbsatz"/>
              <w:ind w:left="57"/>
              <w:rPr>
                <w:rFonts w:cs="Arial"/>
              </w:rPr>
            </w:pPr>
            <w:r>
              <w:rPr>
                <w:rFonts w:cs="Arial"/>
              </w:rPr>
              <w:t>toxisch und radioaktiv unbedenkliche Mengen</w:t>
            </w:r>
          </w:p>
        </w:tc>
      </w:tr>
      <w:tr>
        <w:trPr>
          <w:trHeight w:val="282"/>
        </w:trPr>
        <w:tc>
          <w:tcPr>
            <w:tcW w:w="6237" w:type="dxa"/>
            <w:gridSpan w:val="3"/>
            <w:tcBorders>
              <w:top w:val="nil"/>
              <w:left w:val="nil"/>
              <w:bottom w:val="nil"/>
              <w:right w:val="nil"/>
            </w:tcBorders>
          </w:tcPr>
          <w:p>
            <w:pPr>
              <w:pStyle w:val="GesAbsatz"/>
              <w:ind w:left="57"/>
              <w:rPr>
                <w:rFonts w:cs="Arial"/>
                <w:szCs w:val="16"/>
              </w:rPr>
            </w:pPr>
            <w:r>
              <w:rPr>
                <w:rFonts w:cs="Arial"/>
                <w:szCs w:val="16"/>
              </w:rPr>
              <w:t>(Alle Prozentangaben außer bei Farbe (Weißgrad) in Gew. %)</w:t>
            </w:r>
          </w:p>
        </w:tc>
      </w:tr>
    </w:tbl>
    <w:p>
      <w:pPr>
        <w:pStyle w:val="GesAbsatz"/>
        <w:rPr>
          <w:rFonts w:cs="Arial"/>
        </w:rPr>
      </w:pPr>
    </w:p>
    <w:p>
      <w:pPr>
        <w:pStyle w:val="GesAbsatz"/>
        <w:rPr>
          <w:rFonts w:cs="Arial"/>
        </w:rPr>
      </w:pPr>
      <w:r>
        <w:rPr>
          <w:rFonts w:cs="Arial"/>
        </w:rPr>
        <w:t>9.4 Spezifikation für technische Salzsäure</w:t>
      </w:r>
      <w:r>
        <w:rPr>
          <w:rStyle w:val="Funotenzeichen"/>
          <w:rFonts w:cs="Arial"/>
        </w:rPr>
        <w:footnoteReference w:customMarkFollows="1" w:id="12"/>
        <w:t>*)</w:t>
      </w:r>
    </w:p>
    <w:p>
      <w:pPr>
        <w:pStyle w:val="GesAbsatz"/>
        <w:rPr>
          <w:rFonts w:cs="Arial"/>
        </w:rPr>
      </w:pPr>
    </w:p>
    <w:tbl>
      <w:tblPr>
        <w:tblW w:w="0" w:type="auto"/>
        <w:tblLayout w:type="fixed"/>
        <w:tblCellMar>
          <w:left w:w="0" w:type="dxa"/>
          <w:right w:w="0" w:type="dxa"/>
        </w:tblCellMar>
        <w:tblLook w:val="0000" w:firstRow="0" w:lastRow="0" w:firstColumn="0" w:lastColumn="0" w:noHBand="0" w:noVBand="0"/>
      </w:tblPr>
      <w:tblGrid>
        <w:gridCol w:w="3261"/>
        <w:gridCol w:w="425"/>
        <w:gridCol w:w="2551"/>
      </w:tblGrid>
      <w:tr>
        <w:tc>
          <w:tcPr>
            <w:tcW w:w="3261" w:type="dxa"/>
            <w:tcBorders>
              <w:top w:val="nil"/>
              <w:left w:val="nil"/>
              <w:bottom w:val="nil"/>
              <w:right w:val="nil"/>
            </w:tcBorders>
          </w:tcPr>
          <w:p>
            <w:pPr>
              <w:pStyle w:val="GesAbsatz"/>
              <w:ind w:left="57"/>
            </w:pPr>
            <w:r>
              <w:t>HCl-Konzentration</w:t>
            </w:r>
          </w:p>
        </w:tc>
        <w:tc>
          <w:tcPr>
            <w:tcW w:w="425" w:type="dxa"/>
            <w:tcBorders>
              <w:top w:val="nil"/>
              <w:left w:val="nil"/>
              <w:bottom w:val="nil"/>
              <w:right w:val="nil"/>
            </w:tcBorders>
          </w:tcPr>
          <w:p>
            <w:pPr>
              <w:pStyle w:val="GesAbsatz"/>
              <w:ind w:left="57"/>
              <w:rPr>
                <w:rFonts w:ascii="Times New Roman" w:hAnsi="Times New Roman"/>
                <w:szCs w:val="13"/>
              </w:rPr>
            </w:pPr>
          </w:p>
        </w:tc>
        <w:tc>
          <w:tcPr>
            <w:tcW w:w="2551" w:type="dxa"/>
            <w:tcBorders>
              <w:top w:val="nil"/>
              <w:left w:val="nil"/>
              <w:bottom w:val="nil"/>
              <w:right w:val="nil"/>
            </w:tcBorders>
          </w:tcPr>
          <w:p>
            <w:pPr>
              <w:pStyle w:val="GesAbsatz"/>
              <w:tabs>
                <w:tab w:val="clear" w:pos="425"/>
                <w:tab w:val="decimal" w:pos="1276"/>
              </w:tabs>
              <w:ind w:left="57"/>
            </w:pPr>
            <w:r>
              <w:t>30–31%</w:t>
            </w:r>
          </w:p>
        </w:tc>
      </w:tr>
      <w:tr>
        <w:tc>
          <w:tcPr>
            <w:tcW w:w="3261" w:type="dxa"/>
            <w:tcBorders>
              <w:top w:val="nil"/>
              <w:left w:val="nil"/>
              <w:bottom w:val="nil"/>
              <w:right w:val="nil"/>
            </w:tcBorders>
          </w:tcPr>
          <w:p>
            <w:pPr>
              <w:pStyle w:val="GesAbsatz"/>
              <w:ind w:left="57"/>
            </w:pPr>
            <w:r>
              <w:lastRenderedPageBreak/>
              <w:t>Sulfat</w:t>
            </w:r>
          </w:p>
        </w:tc>
        <w:tc>
          <w:tcPr>
            <w:tcW w:w="425" w:type="dxa"/>
            <w:tcBorders>
              <w:top w:val="nil"/>
              <w:left w:val="nil"/>
              <w:bottom w:val="nil"/>
              <w:right w:val="nil"/>
            </w:tcBorders>
          </w:tcPr>
          <w:p>
            <w:pPr>
              <w:pStyle w:val="GesAbsatz"/>
              <w:ind w:left="57"/>
            </w:pPr>
            <w:r>
              <w:t>&lt;</w:t>
            </w:r>
          </w:p>
        </w:tc>
        <w:tc>
          <w:tcPr>
            <w:tcW w:w="2551" w:type="dxa"/>
            <w:tcBorders>
              <w:top w:val="nil"/>
              <w:left w:val="nil"/>
              <w:bottom w:val="nil"/>
              <w:right w:val="nil"/>
            </w:tcBorders>
          </w:tcPr>
          <w:p>
            <w:pPr>
              <w:pStyle w:val="GesAbsatz"/>
              <w:tabs>
                <w:tab w:val="clear" w:pos="425"/>
                <w:tab w:val="decimal" w:pos="1276"/>
              </w:tabs>
              <w:ind w:left="57"/>
            </w:pPr>
            <w:r>
              <w:t>20 mg/l</w:t>
            </w:r>
          </w:p>
        </w:tc>
      </w:tr>
      <w:tr>
        <w:tc>
          <w:tcPr>
            <w:tcW w:w="3261" w:type="dxa"/>
            <w:tcBorders>
              <w:top w:val="nil"/>
              <w:left w:val="nil"/>
              <w:bottom w:val="nil"/>
              <w:right w:val="nil"/>
            </w:tcBorders>
          </w:tcPr>
          <w:p>
            <w:pPr>
              <w:pStyle w:val="GesAbsatz"/>
              <w:ind w:left="57"/>
            </w:pPr>
            <w:r>
              <w:t>Eisen</w:t>
            </w:r>
          </w:p>
        </w:tc>
        <w:tc>
          <w:tcPr>
            <w:tcW w:w="425" w:type="dxa"/>
            <w:tcBorders>
              <w:top w:val="nil"/>
              <w:left w:val="nil"/>
              <w:bottom w:val="nil"/>
              <w:right w:val="nil"/>
            </w:tcBorders>
          </w:tcPr>
          <w:p>
            <w:pPr>
              <w:pStyle w:val="GesAbsatz"/>
              <w:ind w:left="57"/>
            </w:pPr>
            <w:r>
              <w:t>&lt;</w:t>
            </w:r>
          </w:p>
        </w:tc>
        <w:tc>
          <w:tcPr>
            <w:tcW w:w="2551" w:type="dxa"/>
            <w:tcBorders>
              <w:top w:val="nil"/>
              <w:left w:val="nil"/>
              <w:bottom w:val="nil"/>
              <w:right w:val="nil"/>
            </w:tcBorders>
          </w:tcPr>
          <w:p>
            <w:pPr>
              <w:pStyle w:val="GesAbsatz"/>
              <w:tabs>
                <w:tab w:val="clear" w:pos="425"/>
                <w:tab w:val="decimal" w:pos="1276"/>
              </w:tabs>
              <w:ind w:left="57"/>
            </w:pPr>
            <w:r>
              <w:t>10 mg/l</w:t>
            </w:r>
          </w:p>
        </w:tc>
      </w:tr>
      <w:tr>
        <w:tc>
          <w:tcPr>
            <w:tcW w:w="3261" w:type="dxa"/>
            <w:tcBorders>
              <w:top w:val="nil"/>
              <w:left w:val="nil"/>
              <w:bottom w:val="nil"/>
              <w:right w:val="nil"/>
            </w:tcBorders>
          </w:tcPr>
          <w:p>
            <w:pPr>
              <w:pStyle w:val="GesAbsatz"/>
              <w:ind w:left="57"/>
            </w:pPr>
            <w:r>
              <w:t>Schwermetalle gesamt</w:t>
            </w:r>
          </w:p>
        </w:tc>
        <w:tc>
          <w:tcPr>
            <w:tcW w:w="425" w:type="dxa"/>
            <w:tcBorders>
              <w:top w:val="nil"/>
              <w:left w:val="nil"/>
              <w:bottom w:val="nil"/>
              <w:right w:val="nil"/>
            </w:tcBorders>
          </w:tcPr>
          <w:p>
            <w:pPr>
              <w:pStyle w:val="GesAbsatz"/>
              <w:ind w:left="57"/>
              <w:rPr>
                <w:lang w:val="en-GB"/>
              </w:rPr>
            </w:pPr>
            <w:r>
              <w:rPr>
                <w:lang w:val="en-GB"/>
              </w:rPr>
              <w:t>&lt;</w:t>
            </w:r>
          </w:p>
        </w:tc>
        <w:tc>
          <w:tcPr>
            <w:tcW w:w="2551" w:type="dxa"/>
            <w:tcBorders>
              <w:top w:val="nil"/>
              <w:left w:val="nil"/>
              <w:bottom w:val="nil"/>
              <w:right w:val="nil"/>
            </w:tcBorders>
          </w:tcPr>
          <w:p>
            <w:pPr>
              <w:pStyle w:val="GesAbsatz"/>
              <w:tabs>
                <w:tab w:val="clear" w:pos="425"/>
                <w:tab w:val="decimal" w:pos="1276"/>
              </w:tabs>
              <w:ind w:left="57"/>
              <w:rPr>
                <w:lang w:val="en-GB"/>
              </w:rPr>
            </w:pPr>
            <w:r>
              <w:rPr>
                <w:lang w:val="en-GB"/>
              </w:rPr>
              <w:t>1 mg/l</w:t>
            </w:r>
          </w:p>
        </w:tc>
      </w:tr>
      <w:tr>
        <w:tc>
          <w:tcPr>
            <w:tcW w:w="3261" w:type="dxa"/>
            <w:tcBorders>
              <w:top w:val="nil"/>
              <w:left w:val="nil"/>
              <w:bottom w:val="nil"/>
              <w:right w:val="nil"/>
            </w:tcBorders>
          </w:tcPr>
          <w:p>
            <w:pPr>
              <w:pStyle w:val="GesAbsatz"/>
              <w:ind w:left="57"/>
              <w:rPr>
                <w:lang w:val="en-GB"/>
              </w:rPr>
            </w:pPr>
            <w:r>
              <w:rPr>
                <w:lang w:val="en-GB"/>
              </w:rPr>
              <w:t>Cadmium</w:t>
            </w:r>
          </w:p>
        </w:tc>
        <w:tc>
          <w:tcPr>
            <w:tcW w:w="425" w:type="dxa"/>
            <w:tcBorders>
              <w:top w:val="nil"/>
              <w:left w:val="nil"/>
              <w:bottom w:val="nil"/>
              <w:right w:val="nil"/>
            </w:tcBorders>
          </w:tcPr>
          <w:p>
            <w:pPr>
              <w:pStyle w:val="GesAbsatz"/>
              <w:ind w:left="57"/>
            </w:pPr>
            <w:r>
              <w:t>&lt;</w:t>
            </w:r>
          </w:p>
        </w:tc>
        <w:tc>
          <w:tcPr>
            <w:tcW w:w="2551" w:type="dxa"/>
            <w:tcBorders>
              <w:top w:val="nil"/>
              <w:left w:val="nil"/>
              <w:bottom w:val="nil"/>
              <w:right w:val="nil"/>
            </w:tcBorders>
          </w:tcPr>
          <w:p>
            <w:pPr>
              <w:pStyle w:val="GesAbsatz"/>
              <w:tabs>
                <w:tab w:val="clear" w:pos="425"/>
                <w:tab w:val="decimal" w:pos="1276"/>
              </w:tabs>
              <w:ind w:left="57"/>
            </w:pPr>
            <w:r>
              <w:t>0,1 mg/l</w:t>
            </w:r>
          </w:p>
        </w:tc>
      </w:tr>
      <w:tr>
        <w:tc>
          <w:tcPr>
            <w:tcW w:w="3261" w:type="dxa"/>
            <w:tcBorders>
              <w:top w:val="nil"/>
              <w:left w:val="nil"/>
              <w:bottom w:val="nil"/>
              <w:right w:val="nil"/>
            </w:tcBorders>
          </w:tcPr>
          <w:p>
            <w:pPr>
              <w:pStyle w:val="GesAbsatz"/>
              <w:ind w:left="57"/>
            </w:pPr>
            <w:r>
              <w:t>Quecksilber</w:t>
            </w:r>
          </w:p>
        </w:tc>
        <w:tc>
          <w:tcPr>
            <w:tcW w:w="425" w:type="dxa"/>
            <w:tcBorders>
              <w:top w:val="nil"/>
              <w:left w:val="nil"/>
              <w:bottom w:val="nil"/>
              <w:right w:val="nil"/>
            </w:tcBorders>
          </w:tcPr>
          <w:p>
            <w:pPr>
              <w:pStyle w:val="GesAbsatz"/>
              <w:ind w:left="57"/>
            </w:pPr>
            <w:r>
              <w:t>&lt;</w:t>
            </w:r>
          </w:p>
        </w:tc>
        <w:tc>
          <w:tcPr>
            <w:tcW w:w="2551" w:type="dxa"/>
            <w:tcBorders>
              <w:top w:val="nil"/>
              <w:left w:val="nil"/>
              <w:bottom w:val="nil"/>
              <w:right w:val="nil"/>
            </w:tcBorders>
          </w:tcPr>
          <w:p>
            <w:pPr>
              <w:pStyle w:val="GesAbsatz"/>
              <w:tabs>
                <w:tab w:val="clear" w:pos="425"/>
                <w:tab w:val="decimal" w:pos="1276"/>
              </w:tabs>
              <w:ind w:left="57"/>
            </w:pPr>
            <w:r>
              <w:t>0,1 mg/l</w:t>
            </w:r>
          </w:p>
        </w:tc>
      </w:tr>
      <w:tr>
        <w:tc>
          <w:tcPr>
            <w:tcW w:w="3261" w:type="dxa"/>
            <w:tcBorders>
              <w:top w:val="nil"/>
              <w:left w:val="nil"/>
              <w:bottom w:val="nil"/>
              <w:right w:val="nil"/>
            </w:tcBorders>
          </w:tcPr>
          <w:p>
            <w:pPr>
              <w:pStyle w:val="GesAbsatz"/>
              <w:ind w:left="57"/>
            </w:pPr>
            <w:r>
              <w:t>Arsen</w:t>
            </w:r>
          </w:p>
        </w:tc>
        <w:tc>
          <w:tcPr>
            <w:tcW w:w="425" w:type="dxa"/>
            <w:tcBorders>
              <w:top w:val="nil"/>
              <w:left w:val="nil"/>
              <w:bottom w:val="nil"/>
              <w:right w:val="nil"/>
            </w:tcBorders>
          </w:tcPr>
          <w:p>
            <w:pPr>
              <w:pStyle w:val="GesAbsatz"/>
              <w:ind w:left="57"/>
            </w:pPr>
            <w:r>
              <w:t>&lt;</w:t>
            </w:r>
          </w:p>
        </w:tc>
        <w:tc>
          <w:tcPr>
            <w:tcW w:w="2551" w:type="dxa"/>
            <w:tcBorders>
              <w:top w:val="nil"/>
              <w:left w:val="nil"/>
              <w:bottom w:val="nil"/>
              <w:right w:val="nil"/>
            </w:tcBorders>
          </w:tcPr>
          <w:p>
            <w:pPr>
              <w:pStyle w:val="GesAbsatz"/>
              <w:tabs>
                <w:tab w:val="clear" w:pos="425"/>
                <w:tab w:val="decimal" w:pos="1276"/>
              </w:tabs>
              <w:ind w:left="57"/>
            </w:pPr>
            <w:r>
              <w:t>0,1 mg/l</w:t>
            </w:r>
          </w:p>
        </w:tc>
      </w:tr>
      <w:tr>
        <w:tc>
          <w:tcPr>
            <w:tcW w:w="3261" w:type="dxa"/>
            <w:tcBorders>
              <w:top w:val="nil"/>
              <w:left w:val="nil"/>
              <w:bottom w:val="nil"/>
              <w:right w:val="nil"/>
            </w:tcBorders>
          </w:tcPr>
          <w:p>
            <w:pPr>
              <w:pStyle w:val="GesAbsatz"/>
              <w:ind w:left="57"/>
            </w:pPr>
            <w:r>
              <w:t>Thallium</w:t>
            </w:r>
          </w:p>
        </w:tc>
        <w:tc>
          <w:tcPr>
            <w:tcW w:w="425" w:type="dxa"/>
            <w:tcBorders>
              <w:top w:val="nil"/>
              <w:left w:val="nil"/>
              <w:bottom w:val="nil"/>
              <w:right w:val="nil"/>
            </w:tcBorders>
          </w:tcPr>
          <w:p>
            <w:pPr>
              <w:pStyle w:val="GesAbsatz"/>
              <w:ind w:left="57"/>
            </w:pPr>
            <w:r>
              <w:t>&lt;</w:t>
            </w:r>
          </w:p>
        </w:tc>
        <w:tc>
          <w:tcPr>
            <w:tcW w:w="2551" w:type="dxa"/>
            <w:tcBorders>
              <w:top w:val="nil"/>
              <w:left w:val="nil"/>
              <w:bottom w:val="nil"/>
              <w:right w:val="nil"/>
            </w:tcBorders>
          </w:tcPr>
          <w:p>
            <w:pPr>
              <w:pStyle w:val="GesAbsatz"/>
              <w:tabs>
                <w:tab w:val="clear" w:pos="425"/>
                <w:tab w:val="decimal" w:pos="1276"/>
              </w:tabs>
              <w:ind w:left="57"/>
            </w:pPr>
            <w:r>
              <w:t>0,1 mg/l</w:t>
            </w:r>
          </w:p>
        </w:tc>
      </w:tr>
      <w:tr>
        <w:tc>
          <w:tcPr>
            <w:tcW w:w="3261" w:type="dxa"/>
            <w:tcBorders>
              <w:top w:val="nil"/>
              <w:left w:val="nil"/>
              <w:bottom w:val="nil"/>
              <w:right w:val="nil"/>
            </w:tcBorders>
          </w:tcPr>
          <w:p>
            <w:pPr>
              <w:pStyle w:val="GesAbsatz"/>
              <w:ind w:left="57"/>
              <w:rPr>
                <w:szCs w:val="13"/>
              </w:rPr>
            </w:pPr>
            <w:r>
              <w:rPr>
                <w:szCs w:val="13"/>
              </w:rPr>
              <w:t>Chlor (Cl</w:t>
            </w:r>
            <w:r>
              <w:rPr>
                <w:szCs w:val="13"/>
                <w:vertAlign w:val="subscript"/>
              </w:rPr>
              <w:t>2</w:t>
            </w:r>
            <w:r>
              <w:rPr>
                <w:szCs w:val="13"/>
              </w:rPr>
              <w:t>)</w:t>
            </w:r>
          </w:p>
        </w:tc>
        <w:tc>
          <w:tcPr>
            <w:tcW w:w="425" w:type="dxa"/>
            <w:tcBorders>
              <w:top w:val="nil"/>
              <w:left w:val="nil"/>
              <w:bottom w:val="nil"/>
              <w:right w:val="nil"/>
            </w:tcBorders>
          </w:tcPr>
          <w:p>
            <w:pPr>
              <w:pStyle w:val="GesAbsatz"/>
              <w:ind w:left="57"/>
            </w:pPr>
            <w:r>
              <w:t>&lt;</w:t>
            </w:r>
          </w:p>
        </w:tc>
        <w:tc>
          <w:tcPr>
            <w:tcW w:w="2551" w:type="dxa"/>
            <w:tcBorders>
              <w:top w:val="nil"/>
              <w:left w:val="nil"/>
              <w:bottom w:val="nil"/>
              <w:right w:val="nil"/>
            </w:tcBorders>
          </w:tcPr>
          <w:p>
            <w:pPr>
              <w:pStyle w:val="GesAbsatz"/>
              <w:tabs>
                <w:tab w:val="clear" w:pos="425"/>
                <w:tab w:val="decimal" w:pos="1276"/>
              </w:tabs>
              <w:ind w:left="57"/>
            </w:pPr>
            <w:r>
              <w:t>10 mg/l</w:t>
            </w:r>
          </w:p>
        </w:tc>
      </w:tr>
      <w:tr>
        <w:tc>
          <w:tcPr>
            <w:tcW w:w="3261" w:type="dxa"/>
            <w:tcBorders>
              <w:top w:val="nil"/>
              <w:left w:val="nil"/>
              <w:bottom w:val="nil"/>
              <w:right w:val="nil"/>
            </w:tcBorders>
          </w:tcPr>
          <w:p>
            <w:pPr>
              <w:pStyle w:val="GesAbsatz"/>
              <w:ind w:left="57"/>
            </w:pPr>
            <w:r>
              <w:t>Brom (HBr)</w:t>
            </w:r>
          </w:p>
        </w:tc>
        <w:tc>
          <w:tcPr>
            <w:tcW w:w="425" w:type="dxa"/>
            <w:tcBorders>
              <w:top w:val="nil"/>
              <w:left w:val="nil"/>
              <w:bottom w:val="nil"/>
              <w:right w:val="nil"/>
            </w:tcBorders>
          </w:tcPr>
          <w:p>
            <w:pPr>
              <w:pStyle w:val="GesAbsatz"/>
              <w:ind w:left="57"/>
            </w:pPr>
            <w:r>
              <w:t>&lt;</w:t>
            </w:r>
          </w:p>
        </w:tc>
        <w:tc>
          <w:tcPr>
            <w:tcW w:w="2551" w:type="dxa"/>
            <w:tcBorders>
              <w:top w:val="nil"/>
              <w:left w:val="nil"/>
              <w:bottom w:val="nil"/>
              <w:right w:val="nil"/>
            </w:tcBorders>
          </w:tcPr>
          <w:p>
            <w:pPr>
              <w:pStyle w:val="GesAbsatz"/>
              <w:tabs>
                <w:tab w:val="clear" w:pos="425"/>
                <w:tab w:val="decimal" w:pos="1276"/>
              </w:tabs>
              <w:ind w:left="57"/>
            </w:pPr>
            <w:r>
              <w:t>25 mg/l</w:t>
            </w:r>
          </w:p>
        </w:tc>
      </w:tr>
      <w:tr>
        <w:tc>
          <w:tcPr>
            <w:tcW w:w="3261" w:type="dxa"/>
            <w:tcBorders>
              <w:top w:val="nil"/>
              <w:left w:val="nil"/>
              <w:bottom w:val="nil"/>
              <w:right w:val="nil"/>
            </w:tcBorders>
          </w:tcPr>
          <w:p>
            <w:pPr>
              <w:pStyle w:val="GesAbsatz"/>
              <w:ind w:left="57"/>
            </w:pPr>
            <w:r>
              <w:t>Jod (HJ)</w:t>
            </w:r>
          </w:p>
        </w:tc>
        <w:tc>
          <w:tcPr>
            <w:tcW w:w="425" w:type="dxa"/>
            <w:tcBorders>
              <w:top w:val="nil"/>
              <w:left w:val="nil"/>
              <w:bottom w:val="nil"/>
              <w:right w:val="nil"/>
            </w:tcBorders>
          </w:tcPr>
          <w:p>
            <w:pPr>
              <w:pStyle w:val="GesAbsatz"/>
              <w:ind w:left="57"/>
            </w:pPr>
            <w:r>
              <w:t>&lt;</w:t>
            </w:r>
          </w:p>
        </w:tc>
        <w:tc>
          <w:tcPr>
            <w:tcW w:w="2551" w:type="dxa"/>
            <w:tcBorders>
              <w:top w:val="nil"/>
              <w:left w:val="nil"/>
              <w:bottom w:val="nil"/>
              <w:right w:val="nil"/>
            </w:tcBorders>
          </w:tcPr>
          <w:p>
            <w:pPr>
              <w:pStyle w:val="GesAbsatz"/>
              <w:tabs>
                <w:tab w:val="clear" w:pos="425"/>
                <w:tab w:val="decimal" w:pos="1276"/>
              </w:tabs>
              <w:ind w:left="57"/>
            </w:pPr>
            <w:r>
              <w:t>10 mg/l</w:t>
            </w:r>
          </w:p>
        </w:tc>
      </w:tr>
      <w:tr>
        <w:tc>
          <w:tcPr>
            <w:tcW w:w="3261" w:type="dxa"/>
            <w:tcBorders>
              <w:top w:val="nil"/>
              <w:left w:val="nil"/>
              <w:bottom w:val="nil"/>
              <w:right w:val="nil"/>
            </w:tcBorders>
          </w:tcPr>
          <w:p>
            <w:pPr>
              <w:pStyle w:val="GesAbsatz"/>
              <w:ind w:left="57"/>
            </w:pPr>
            <w:r>
              <w:t>Fluorid (HF)</w:t>
            </w:r>
          </w:p>
        </w:tc>
        <w:tc>
          <w:tcPr>
            <w:tcW w:w="425" w:type="dxa"/>
            <w:tcBorders>
              <w:top w:val="nil"/>
              <w:left w:val="nil"/>
              <w:bottom w:val="nil"/>
              <w:right w:val="nil"/>
            </w:tcBorders>
          </w:tcPr>
          <w:p>
            <w:pPr>
              <w:pStyle w:val="GesAbsatz"/>
              <w:ind w:left="57"/>
            </w:pPr>
            <w:r>
              <w:t>&lt;</w:t>
            </w:r>
          </w:p>
        </w:tc>
        <w:tc>
          <w:tcPr>
            <w:tcW w:w="2551" w:type="dxa"/>
            <w:tcBorders>
              <w:top w:val="nil"/>
              <w:left w:val="nil"/>
              <w:bottom w:val="nil"/>
              <w:right w:val="nil"/>
            </w:tcBorders>
          </w:tcPr>
          <w:p>
            <w:pPr>
              <w:pStyle w:val="GesAbsatz"/>
              <w:tabs>
                <w:tab w:val="clear" w:pos="425"/>
                <w:tab w:val="decimal" w:pos="1276"/>
              </w:tabs>
              <w:ind w:left="57"/>
            </w:pPr>
            <w:r>
              <w:t>10 mg/l</w:t>
            </w:r>
          </w:p>
        </w:tc>
      </w:tr>
      <w:tr>
        <w:tc>
          <w:tcPr>
            <w:tcW w:w="3261" w:type="dxa"/>
            <w:tcBorders>
              <w:top w:val="nil"/>
              <w:left w:val="nil"/>
              <w:bottom w:val="nil"/>
              <w:right w:val="nil"/>
            </w:tcBorders>
          </w:tcPr>
          <w:p>
            <w:pPr>
              <w:pStyle w:val="GesAbsatz"/>
              <w:ind w:left="57"/>
            </w:pPr>
            <w:r>
              <w:t>Nitrat</w:t>
            </w:r>
          </w:p>
        </w:tc>
        <w:tc>
          <w:tcPr>
            <w:tcW w:w="425" w:type="dxa"/>
            <w:tcBorders>
              <w:top w:val="nil"/>
              <w:left w:val="nil"/>
              <w:bottom w:val="nil"/>
              <w:right w:val="nil"/>
            </w:tcBorders>
          </w:tcPr>
          <w:p>
            <w:pPr>
              <w:pStyle w:val="GesAbsatz"/>
              <w:ind w:left="57"/>
              <w:rPr>
                <w:lang w:val="en-GB"/>
              </w:rPr>
            </w:pPr>
            <w:r>
              <w:rPr>
                <w:lang w:val="en-GB"/>
              </w:rPr>
              <w:t>&lt;</w:t>
            </w:r>
          </w:p>
        </w:tc>
        <w:tc>
          <w:tcPr>
            <w:tcW w:w="2551" w:type="dxa"/>
            <w:tcBorders>
              <w:top w:val="nil"/>
              <w:left w:val="nil"/>
              <w:bottom w:val="nil"/>
              <w:right w:val="nil"/>
            </w:tcBorders>
          </w:tcPr>
          <w:p>
            <w:pPr>
              <w:pStyle w:val="GesAbsatz"/>
              <w:tabs>
                <w:tab w:val="clear" w:pos="425"/>
                <w:tab w:val="decimal" w:pos="1276"/>
              </w:tabs>
              <w:ind w:left="57"/>
              <w:rPr>
                <w:lang w:val="en-GB"/>
              </w:rPr>
            </w:pPr>
            <w:r>
              <w:rPr>
                <w:lang w:val="en-GB"/>
              </w:rPr>
              <w:t>10 mg/l</w:t>
            </w:r>
          </w:p>
        </w:tc>
      </w:tr>
      <w:tr>
        <w:tc>
          <w:tcPr>
            <w:tcW w:w="3261" w:type="dxa"/>
            <w:tcBorders>
              <w:top w:val="nil"/>
              <w:left w:val="nil"/>
              <w:bottom w:val="nil"/>
              <w:right w:val="nil"/>
            </w:tcBorders>
          </w:tcPr>
          <w:p>
            <w:pPr>
              <w:pStyle w:val="GesAbsatz"/>
              <w:ind w:left="57"/>
              <w:rPr>
                <w:lang w:val="en-GB"/>
              </w:rPr>
            </w:pPr>
            <w:r>
              <w:rPr>
                <w:lang w:val="en-GB"/>
              </w:rPr>
              <w:t>Ammonium</w:t>
            </w:r>
          </w:p>
        </w:tc>
        <w:tc>
          <w:tcPr>
            <w:tcW w:w="425" w:type="dxa"/>
            <w:tcBorders>
              <w:top w:val="nil"/>
              <w:left w:val="nil"/>
              <w:bottom w:val="nil"/>
              <w:right w:val="nil"/>
            </w:tcBorders>
          </w:tcPr>
          <w:p>
            <w:pPr>
              <w:pStyle w:val="GesAbsatz"/>
              <w:ind w:left="57"/>
            </w:pPr>
            <w:r>
              <w:t>&lt;</w:t>
            </w:r>
          </w:p>
        </w:tc>
        <w:tc>
          <w:tcPr>
            <w:tcW w:w="2551" w:type="dxa"/>
            <w:tcBorders>
              <w:top w:val="nil"/>
              <w:left w:val="nil"/>
              <w:bottom w:val="nil"/>
              <w:right w:val="nil"/>
            </w:tcBorders>
          </w:tcPr>
          <w:p>
            <w:pPr>
              <w:pStyle w:val="GesAbsatz"/>
              <w:tabs>
                <w:tab w:val="clear" w:pos="425"/>
                <w:tab w:val="decimal" w:pos="1276"/>
              </w:tabs>
              <w:ind w:left="57"/>
            </w:pPr>
            <w:r>
              <w:t>1 mg/l</w:t>
            </w:r>
          </w:p>
        </w:tc>
      </w:tr>
      <w:tr>
        <w:tc>
          <w:tcPr>
            <w:tcW w:w="3261" w:type="dxa"/>
            <w:tcBorders>
              <w:top w:val="nil"/>
              <w:left w:val="nil"/>
              <w:bottom w:val="nil"/>
              <w:right w:val="nil"/>
            </w:tcBorders>
          </w:tcPr>
          <w:p>
            <w:pPr>
              <w:pStyle w:val="GesAbsatz"/>
              <w:ind w:left="57"/>
            </w:pPr>
            <w:r>
              <w:t>TOC (C)</w:t>
            </w:r>
          </w:p>
        </w:tc>
        <w:tc>
          <w:tcPr>
            <w:tcW w:w="425" w:type="dxa"/>
            <w:tcBorders>
              <w:top w:val="nil"/>
              <w:left w:val="nil"/>
              <w:bottom w:val="nil"/>
              <w:right w:val="nil"/>
            </w:tcBorders>
          </w:tcPr>
          <w:p>
            <w:pPr>
              <w:pStyle w:val="GesAbsatz"/>
              <w:ind w:left="57"/>
            </w:pPr>
            <w:r>
              <w:t>&lt;</w:t>
            </w:r>
          </w:p>
        </w:tc>
        <w:tc>
          <w:tcPr>
            <w:tcW w:w="2551" w:type="dxa"/>
            <w:tcBorders>
              <w:top w:val="nil"/>
              <w:left w:val="nil"/>
              <w:bottom w:val="nil"/>
              <w:right w:val="nil"/>
            </w:tcBorders>
          </w:tcPr>
          <w:p>
            <w:pPr>
              <w:pStyle w:val="GesAbsatz"/>
              <w:tabs>
                <w:tab w:val="clear" w:pos="425"/>
                <w:tab w:val="decimal" w:pos="1276"/>
              </w:tabs>
              <w:ind w:left="57"/>
            </w:pPr>
            <w:r>
              <w:t>5 mg/l</w:t>
            </w:r>
          </w:p>
        </w:tc>
      </w:tr>
      <w:tr>
        <w:tc>
          <w:tcPr>
            <w:tcW w:w="3261" w:type="dxa"/>
            <w:tcBorders>
              <w:top w:val="nil"/>
              <w:left w:val="nil"/>
              <w:bottom w:val="nil"/>
              <w:right w:val="nil"/>
            </w:tcBorders>
          </w:tcPr>
          <w:p>
            <w:pPr>
              <w:pStyle w:val="GesAbsatz"/>
              <w:ind w:left="57"/>
            </w:pPr>
            <w:r>
              <w:t>AOX</w:t>
            </w:r>
          </w:p>
        </w:tc>
        <w:tc>
          <w:tcPr>
            <w:tcW w:w="425" w:type="dxa"/>
            <w:tcBorders>
              <w:top w:val="nil"/>
              <w:left w:val="nil"/>
              <w:bottom w:val="nil"/>
              <w:right w:val="nil"/>
            </w:tcBorders>
          </w:tcPr>
          <w:p>
            <w:pPr>
              <w:pStyle w:val="GesAbsatz"/>
              <w:ind w:left="57"/>
            </w:pPr>
            <w:r>
              <w:t>&lt;</w:t>
            </w:r>
          </w:p>
        </w:tc>
        <w:tc>
          <w:tcPr>
            <w:tcW w:w="2551" w:type="dxa"/>
            <w:tcBorders>
              <w:top w:val="nil"/>
              <w:left w:val="nil"/>
              <w:bottom w:val="nil"/>
              <w:right w:val="nil"/>
            </w:tcBorders>
          </w:tcPr>
          <w:p>
            <w:pPr>
              <w:pStyle w:val="GesAbsatz"/>
              <w:tabs>
                <w:tab w:val="clear" w:pos="425"/>
                <w:tab w:val="decimal" w:pos="1276"/>
              </w:tabs>
              <w:ind w:left="57"/>
            </w:pPr>
            <w:r>
              <w:t>1 mg/l</w:t>
            </w:r>
          </w:p>
        </w:tc>
      </w:tr>
      <w:tr>
        <w:tc>
          <w:tcPr>
            <w:tcW w:w="3261" w:type="dxa"/>
            <w:tcBorders>
              <w:top w:val="nil"/>
              <w:left w:val="nil"/>
              <w:bottom w:val="nil"/>
              <w:right w:val="nil"/>
            </w:tcBorders>
          </w:tcPr>
          <w:p>
            <w:pPr>
              <w:pStyle w:val="GesAbsatz"/>
              <w:ind w:left="57"/>
            </w:pPr>
            <w:r>
              <w:t>PCDD/PCDF</w:t>
            </w:r>
          </w:p>
        </w:tc>
        <w:tc>
          <w:tcPr>
            <w:tcW w:w="425" w:type="dxa"/>
            <w:tcBorders>
              <w:top w:val="nil"/>
              <w:left w:val="nil"/>
              <w:bottom w:val="nil"/>
              <w:right w:val="nil"/>
            </w:tcBorders>
          </w:tcPr>
          <w:p>
            <w:pPr>
              <w:pStyle w:val="GesAbsatz"/>
              <w:ind w:left="57"/>
            </w:pPr>
            <w:r>
              <w:t>&lt;</w:t>
            </w:r>
          </w:p>
        </w:tc>
        <w:tc>
          <w:tcPr>
            <w:tcW w:w="2551" w:type="dxa"/>
            <w:tcBorders>
              <w:top w:val="nil"/>
              <w:left w:val="nil"/>
              <w:bottom w:val="nil"/>
              <w:right w:val="nil"/>
            </w:tcBorders>
          </w:tcPr>
          <w:p>
            <w:pPr>
              <w:pStyle w:val="GesAbsatz"/>
              <w:tabs>
                <w:tab w:val="clear" w:pos="425"/>
                <w:tab w:val="decimal" w:pos="1276"/>
              </w:tabs>
              <w:ind w:left="57"/>
            </w:pPr>
            <w:r>
              <w:t>1 ng I-TE/l</w:t>
            </w:r>
          </w:p>
        </w:tc>
      </w:tr>
    </w:tbl>
    <w:p>
      <w:pPr>
        <w:pStyle w:val="GesAbsatz"/>
        <w:rPr>
          <w:rFonts w:cs="Arial"/>
        </w:rPr>
      </w:pPr>
    </w:p>
    <w:p>
      <w:pPr>
        <w:pStyle w:val="berschrift3"/>
        <w:jc w:val="left"/>
      </w:pPr>
      <w:bookmarkStart w:id="22" w:name="_Toc44306488"/>
      <w:r>
        <w:t>Anhang 10</w:t>
      </w:r>
      <w:bookmarkEnd w:id="22"/>
    </w:p>
    <w:p>
      <w:pPr>
        <w:pStyle w:val="GesAbsatz"/>
        <w:rPr>
          <w:rFonts w:cs="Arial"/>
          <w:b/>
          <w:bCs/>
        </w:rPr>
      </w:pPr>
      <w:r>
        <w:rPr>
          <w:rFonts w:cs="Arial"/>
          <w:b/>
          <w:bCs/>
        </w:rPr>
        <w:t>Zuordnung der Abfälle für die Beseitigung</w:t>
      </w:r>
    </w:p>
    <w:p>
      <w:pPr>
        <w:pStyle w:val="GesAbsatz"/>
        <w:rPr>
          <w:rFonts w:cs="Arial"/>
        </w:rPr>
      </w:pPr>
    </w:p>
    <w:tbl>
      <w:tblPr>
        <w:tblW w:w="10188" w:type="dxa"/>
        <w:tblLayout w:type="fixed"/>
        <w:tblCellMar>
          <w:left w:w="0" w:type="dxa"/>
          <w:right w:w="0" w:type="dxa"/>
        </w:tblCellMar>
        <w:tblLook w:val="0000" w:firstRow="0" w:lastRow="0" w:firstColumn="0" w:lastColumn="0" w:noHBand="0" w:noVBand="0"/>
      </w:tblPr>
      <w:tblGrid>
        <w:gridCol w:w="1260"/>
        <w:gridCol w:w="1240"/>
        <w:gridCol w:w="2720"/>
        <w:gridCol w:w="600"/>
        <w:gridCol w:w="720"/>
        <w:gridCol w:w="780"/>
        <w:gridCol w:w="620"/>
        <w:gridCol w:w="660"/>
        <w:gridCol w:w="1588"/>
      </w:tblGrid>
      <w:tr>
        <w:trPr>
          <w:cantSplit/>
        </w:trPr>
        <w:tc>
          <w:tcPr>
            <w:tcW w:w="2500" w:type="dxa"/>
            <w:gridSpan w:val="2"/>
            <w:vMerge w:val="restart"/>
            <w:tcBorders>
              <w:top w:val="nil"/>
              <w:left w:val="nil"/>
              <w:right w:val="nil"/>
            </w:tcBorders>
          </w:tcPr>
          <w:p>
            <w:pPr>
              <w:pStyle w:val="GesAbsatz"/>
              <w:ind w:left="57"/>
            </w:pPr>
            <w:r>
              <w:t>Abfallschlüssel</w:t>
            </w:r>
          </w:p>
        </w:tc>
        <w:tc>
          <w:tcPr>
            <w:tcW w:w="2720" w:type="dxa"/>
            <w:vMerge w:val="restart"/>
            <w:tcBorders>
              <w:top w:val="nil"/>
              <w:left w:val="nil"/>
              <w:right w:val="nil"/>
            </w:tcBorders>
          </w:tcPr>
          <w:p>
            <w:pPr>
              <w:pStyle w:val="GesAbsatz"/>
              <w:ind w:left="57"/>
            </w:pPr>
            <w:r>
              <w:t>Bezeichnung</w:t>
            </w:r>
          </w:p>
        </w:tc>
        <w:tc>
          <w:tcPr>
            <w:tcW w:w="4968" w:type="dxa"/>
            <w:gridSpan w:val="6"/>
            <w:tcBorders>
              <w:top w:val="nil"/>
              <w:left w:val="nil"/>
              <w:bottom w:val="nil"/>
              <w:right w:val="nil"/>
            </w:tcBorders>
          </w:tcPr>
          <w:p>
            <w:pPr>
              <w:pStyle w:val="GesAbsatz"/>
              <w:ind w:left="57"/>
              <w:jc w:val="center"/>
              <w:rPr>
                <w:rFonts w:ascii="Times New Roman" w:hAnsi="Times New Roman"/>
                <w:sz w:val="13"/>
                <w:szCs w:val="13"/>
              </w:rPr>
            </w:pPr>
            <w:r>
              <w:t>Entsorgungshinweise*</w:t>
            </w:r>
          </w:p>
        </w:tc>
      </w:tr>
      <w:tr>
        <w:trPr>
          <w:cantSplit/>
        </w:trPr>
        <w:tc>
          <w:tcPr>
            <w:tcW w:w="2500" w:type="dxa"/>
            <w:gridSpan w:val="2"/>
            <w:vMerge/>
            <w:tcBorders>
              <w:left w:val="nil"/>
              <w:bottom w:val="nil"/>
              <w:right w:val="nil"/>
            </w:tcBorders>
          </w:tcPr>
          <w:p>
            <w:pPr>
              <w:pStyle w:val="GesAbsatz"/>
              <w:ind w:left="57"/>
              <w:rPr>
                <w:rFonts w:ascii="Times New Roman" w:hAnsi="Times New Roman"/>
                <w:sz w:val="13"/>
                <w:szCs w:val="13"/>
              </w:rPr>
            </w:pPr>
          </w:p>
        </w:tc>
        <w:tc>
          <w:tcPr>
            <w:tcW w:w="2720" w:type="dxa"/>
            <w:vMerge/>
            <w:tcBorders>
              <w:left w:val="nil"/>
              <w:bottom w:val="nil"/>
              <w:right w:val="nil"/>
            </w:tcBorders>
          </w:tcPr>
          <w:p>
            <w:pPr>
              <w:pStyle w:val="GesAbsatz"/>
              <w:ind w:left="57"/>
              <w:rPr>
                <w:rFonts w:ascii="Times New Roman" w:hAnsi="Times New Roman"/>
                <w:sz w:val="13"/>
                <w:szCs w:val="13"/>
              </w:rPr>
            </w:pPr>
          </w:p>
        </w:tc>
        <w:tc>
          <w:tcPr>
            <w:tcW w:w="600" w:type="dxa"/>
            <w:tcBorders>
              <w:top w:val="nil"/>
              <w:left w:val="nil"/>
              <w:bottom w:val="nil"/>
              <w:right w:val="nil"/>
            </w:tcBorders>
          </w:tcPr>
          <w:p>
            <w:pPr>
              <w:pStyle w:val="GesAbsatz"/>
              <w:ind w:left="57"/>
              <w:rPr>
                <w:lang w:val="it-IT"/>
              </w:rPr>
            </w:pPr>
            <w:r>
              <w:rPr>
                <w:lang w:val="it-IT"/>
              </w:rPr>
              <w:t>DKI</w:t>
            </w:r>
          </w:p>
        </w:tc>
        <w:tc>
          <w:tcPr>
            <w:tcW w:w="720" w:type="dxa"/>
            <w:tcBorders>
              <w:top w:val="nil"/>
              <w:left w:val="nil"/>
              <w:bottom w:val="nil"/>
              <w:right w:val="nil"/>
            </w:tcBorders>
          </w:tcPr>
          <w:p>
            <w:pPr>
              <w:pStyle w:val="GesAbsatz"/>
              <w:ind w:left="57"/>
              <w:rPr>
                <w:lang w:val="it-IT"/>
              </w:rPr>
            </w:pPr>
            <w:r>
              <w:rPr>
                <w:lang w:val="it-IT"/>
              </w:rPr>
              <w:t>DKII</w:t>
            </w:r>
          </w:p>
        </w:tc>
        <w:tc>
          <w:tcPr>
            <w:tcW w:w="780" w:type="dxa"/>
            <w:tcBorders>
              <w:top w:val="nil"/>
              <w:left w:val="nil"/>
              <w:bottom w:val="nil"/>
              <w:right w:val="nil"/>
            </w:tcBorders>
          </w:tcPr>
          <w:p>
            <w:pPr>
              <w:pStyle w:val="GesAbsatz"/>
              <w:ind w:left="57"/>
              <w:rPr>
                <w:lang w:val="it-IT"/>
              </w:rPr>
            </w:pPr>
            <w:r>
              <w:rPr>
                <w:lang w:val="it-IT"/>
              </w:rPr>
              <w:t>SAD</w:t>
            </w:r>
          </w:p>
        </w:tc>
        <w:tc>
          <w:tcPr>
            <w:tcW w:w="620" w:type="dxa"/>
            <w:tcBorders>
              <w:top w:val="nil"/>
              <w:left w:val="nil"/>
              <w:bottom w:val="nil"/>
              <w:right w:val="nil"/>
            </w:tcBorders>
          </w:tcPr>
          <w:p>
            <w:pPr>
              <w:pStyle w:val="GesAbsatz"/>
              <w:ind w:left="57"/>
            </w:pPr>
            <w:r>
              <w:t>UTD</w:t>
            </w:r>
          </w:p>
        </w:tc>
        <w:tc>
          <w:tcPr>
            <w:tcW w:w="660" w:type="dxa"/>
            <w:tcBorders>
              <w:top w:val="nil"/>
              <w:left w:val="nil"/>
              <w:bottom w:val="nil"/>
              <w:right w:val="nil"/>
            </w:tcBorders>
          </w:tcPr>
          <w:p>
            <w:pPr>
              <w:pStyle w:val="GesAbsatz"/>
              <w:ind w:left="57"/>
            </w:pPr>
            <w:r>
              <w:t>SAV</w:t>
            </w:r>
          </w:p>
        </w:tc>
        <w:tc>
          <w:tcPr>
            <w:tcW w:w="1588" w:type="dxa"/>
            <w:tcBorders>
              <w:top w:val="nil"/>
              <w:left w:val="nil"/>
              <w:bottom w:val="nil"/>
              <w:right w:val="nil"/>
            </w:tcBorders>
          </w:tcPr>
          <w:p>
            <w:pPr>
              <w:pStyle w:val="GesAbsatz"/>
              <w:ind w:left="57"/>
            </w:pPr>
            <w:r>
              <w:t>Sonstiges</w:t>
            </w:r>
          </w:p>
        </w:tc>
      </w:tr>
      <w:tr>
        <w:trPr>
          <w:cantSplit/>
          <w:trHeight w:val="591"/>
        </w:trPr>
        <w:tc>
          <w:tcPr>
            <w:tcW w:w="1260" w:type="dxa"/>
            <w:tcBorders>
              <w:top w:val="nil"/>
              <w:left w:val="nil"/>
              <w:bottom w:val="nil"/>
              <w:right w:val="nil"/>
            </w:tcBorders>
          </w:tcPr>
          <w:p>
            <w:pPr>
              <w:pStyle w:val="GesAbsatz"/>
              <w:ind w:left="57"/>
            </w:pPr>
            <w:r>
              <w:t>31308</w:t>
            </w:r>
          </w:p>
        </w:tc>
        <w:tc>
          <w:tcPr>
            <w:tcW w:w="1240" w:type="dxa"/>
            <w:tcBorders>
              <w:top w:val="nil"/>
              <w:left w:val="nil"/>
              <w:bottom w:val="nil"/>
              <w:right w:val="nil"/>
            </w:tcBorders>
          </w:tcPr>
          <w:p>
            <w:pPr>
              <w:pStyle w:val="GesAbsatz"/>
              <w:ind w:left="57"/>
            </w:pPr>
            <w:r>
              <w:t>(LAGA)</w:t>
            </w:r>
          </w:p>
        </w:tc>
        <w:tc>
          <w:tcPr>
            <w:tcW w:w="2720" w:type="dxa"/>
            <w:tcBorders>
              <w:top w:val="nil"/>
              <w:left w:val="nil"/>
              <w:bottom w:val="nil"/>
              <w:right w:val="nil"/>
            </w:tcBorders>
          </w:tcPr>
          <w:p>
            <w:pPr>
              <w:pStyle w:val="GesAbsatz"/>
              <w:ind w:left="57"/>
            </w:pPr>
            <w:r>
              <w:t>Schlacke und Asche aus Abfallverbrennungsanlagen</w:t>
            </w:r>
          </w:p>
        </w:tc>
        <w:tc>
          <w:tcPr>
            <w:tcW w:w="600" w:type="dxa"/>
            <w:tcBorders>
              <w:top w:val="nil"/>
              <w:left w:val="nil"/>
              <w:bottom w:val="nil"/>
              <w:right w:val="nil"/>
            </w:tcBorders>
          </w:tcPr>
          <w:p>
            <w:pPr>
              <w:pStyle w:val="GesAbsatz"/>
              <w:ind w:left="57"/>
            </w:pPr>
            <w:r>
              <w:t>1</w:t>
            </w:r>
          </w:p>
        </w:tc>
        <w:tc>
          <w:tcPr>
            <w:tcW w:w="720" w:type="dxa"/>
            <w:tcBorders>
              <w:top w:val="nil"/>
              <w:left w:val="nil"/>
              <w:bottom w:val="nil"/>
              <w:right w:val="nil"/>
            </w:tcBorders>
          </w:tcPr>
          <w:p>
            <w:pPr>
              <w:pStyle w:val="GesAbsatz"/>
              <w:ind w:left="57"/>
            </w:pPr>
            <w:r>
              <w:t>2</w:t>
            </w:r>
          </w:p>
        </w:tc>
        <w:tc>
          <w:tcPr>
            <w:tcW w:w="780" w:type="dxa"/>
            <w:tcBorders>
              <w:top w:val="nil"/>
              <w:left w:val="nil"/>
              <w:bottom w:val="nil"/>
              <w:right w:val="nil"/>
            </w:tcBorders>
          </w:tcPr>
          <w:p>
            <w:pPr>
              <w:pStyle w:val="GesAbsatz"/>
              <w:ind w:left="57"/>
              <w:rPr>
                <w:rFonts w:ascii="Times New Roman" w:hAnsi="Times New Roman"/>
                <w:sz w:val="13"/>
                <w:szCs w:val="13"/>
              </w:rPr>
            </w:pPr>
          </w:p>
        </w:tc>
        <w:tc>
          <w:tcPr>
            <w:tcW w:w="620" w:type="dxa"/>
            <w:tcBorders>
              <w:top w:val="nil"/>
              <w:left w:val="nil"/>
              <w:bottom w:val="nil"/>
              <w:right w:val="nil"/>
            </w:tcBorders>
          </w:tcPr>
          <w:p>
            <w:pPr>
              <w:pStyle w:val="GesAbsatz"/>
              <w:ind w:left="57"/>
              <w:rPr>
                <w:rFonts w:ascii="Times New Roman" w:hAnsi="Times New Roman"/>
                <w:sz w:val="13"/>
                <w:szCs w:val="13"/>
              </w:rPr>
            </w:pPr>
          </w:p>
        </w:tc>
        <w:tc>
          <w:tcPr>
            <w:tcW w:w="660" w:type="dxa"/>
            <w:tcBorders>
              <w:top w:val="nil"/>
              <w:left w:val="nil"/>
              <w:bottom w:val="nil"/>
              <w:right w:val="nil"/>
            </w:tcBorders>
          </w:tcPr>
          <w:p>
            <w:pPr>
              <w:pStyle w:val="GesAbsatz"/>
              <w:ind w:left="57"/>
              <w:rPr>
                <w:rFonts w:ascii="Times New Roman" w:hAnsi="Times New Roman"/>
                <w:sz w:val="13"/>
                <w:szCs w:val="13"/>
              </w:rPr>
            </w:pPr>
          </w:p>
        </w:tc>
        <w:tc>
          <w:tcPr>
            <w:tcW w:w="1588" w:type="dxa"/>
            <w:tcBorders>
              <w:top w:val="nil"/>
              <w:left w:val="nil"/>
              <w:bottom w:val="nil"/>
              <w:right w:val="nil"/>
            </w:tcBorders>
          </w:tcPr>
          <w:p>
            <w:pPr>
              <w:pStyle w:val="GesAbsatz"/>
              <w:ind w:left="57"/>
              <w:rPr>
                <w:rFonts w:ascii="Times New Roman" w:hAnsi="Times New Roman"/>
                <w:sz w:val="13"/>
                <w:szCs w:val="13"/>
              </w:rPr>
            </w:pPr>
          </w:p>
        </w:tc>
      </w:tr>
      <w:tr>
        <w:trPr>
          <w:cantSplit/>
          <w:trHeight w:val="1280"/>
        </w:trPr>
        <w:tc>
          <w:tcPr>
            <w:tcW w:w="1260" w:type="dxa"/>
            <w:tcBorders>
              <w:top w:val="nil"/>
              <w:left w:val="nil"/>
              <w:bottom w:val="nil"/>
              <w:right w:val="nil"/>
            </w:tcBorders>
          </w:tcPr>
          <w:p>
            <w:pPr>
              <w:pStyle w:val="GesAbsatz"/>
              <w:ind w:left="57"/>
            </w:pPr>
            <w:r>
              <w:t>31309</w:t>
            </w:r>
          </w:p>
        </w:tc>
        <w:tc>
          <w:tcPr>
            <w:tcW w:w="1240" w:type="dxa"/>
            <w:tcBorders>
              <w:top w:val="nil"/>
              <w:left w:val="nil"/>
              <w:bottom w:val="nil"/>
              <w:right w:val="nil"/>
            </w:tcBorders>
          </w:tcPr>
          <w:p>
            <w:pPr>
              <w:pStyle w:val="GesAbsatz"/>
              <w:ind w:left="57"/>
            </w:pPr>
            <w:r>
              <w:t>(AbfBestV)</w:t>
            </w:r>
          </w:p>
        </w:tc>
        <w:tc>
          <w:tcPr>
            <w:tcW w:w="2720" w:type="dxa"/>
            <w:tcBorders>
              <w:top w:val="nil"/>
              <w:left w:val="nil"/>
              <w:bottom w:val="nil"/>
              <w:right w:val="nil"/>
            </w:tcBorders>
          </w:tcPr>
          <w:p>
            <w:pPr>
              <w:pStyle w:val="GesAbsatz"/>
              <w:ind w:left="57"/>
            </w:pPr>
            <w:r>
              <w:t>Filterstäube aus Abfallverbrennungsanlagen</w:t>
            </w:r>
          </w:p>
        </w:tc>
        <w:tc>
          <w:tcPr>
            <w:tcW w:w="600" w:type="dxa"/>
            <w:tcBorders>
              <w:top w:val="nil"/>
              <w:left w:val="nil"/>
              <w:bottom w:val="nil"/>
              <w:right w:val="nil"/>
            </w:tcBorders>
          </w:tcPr>
          <w:p>
            <w:pPr>
              <w:pStyle w:val="GesAbsatz"/>
              <w:ind w:left="57"/>
              <w:rPr>
                <w:rFonts w:ascii="Times New Roman" w:hAnsi="Times New Roman"/>
                <w:sz w:val="13"/>
                <w:szCs w:val="13"/>
              </w:rPr>
            </w:pPr>
          </w:p>
        </w:tc>
        <w:tc>
          <w:tcPr>
            <w:tcW w:w="720" w:type="dxa"/>
            <w:tcBorders>
              <w:top w:val="nil"/>
              <w:left w:val="nil"/>
              <w:bottom w:val="nil"/>
              <w:right w:val="nil"/>
            </w:tcBorders>
          </w:tcPr>
          <w:p>
            <w:pPr>
              <w:pStyle w:val="GesAbsatz"/>
              <w:ind w:left="57"/>
              <w:rPr>
                <w:rFonts w:ascii="Times New Roman" w:hAnsi="Times New Roman"/>
                <w:sz w:val="13"/>
                <w:szCs w:val="13"/>
              </w:rPr>
            </w:pPr>
          </w:p>
        </w:tc>
        <w:tc>
          <w:tcPr>
            <w:tcW w:w="780" w:type="dxa"/>
            <w:tcBorders>
              <w:top w:val="nil"/>
              <w:left w:val="nil"/>
              <w:bottom w:val="nil"/>
              <w:right w:val="nil"/>
            </w:tcBorders>
          </w:tcPr>
          <w:p>
            <w:pPr>
              <w:pStyle w:val="GesAbsatz"/>
              <w:ind w:left="57"/>
            </w:pPr>
            <w:r>
              <w:t>2</w:t>
            </w:r>
          </w:p>
        </w:tc>
        <w:tc>
          <w:tcPr>
            <w:tcW w:w="620" w:type="dxa"/>
            <w:tcBorders>
              <w:top w:val="nil"/>
              <w:left w:val="nil"/>
              <w:bottom w:val="nil"/>
              <w:right w:val="nil"/>
            </w:tcBorders>
          </w:tcPr>
          <w:p>
            <w:pPr>
              <w:pStyle w:val="GesAbsatz"/>
              <w:ind w:left="57"/>
            </w:pPr>
            <w:r>
              <w:t>1</w:t>
            </w:r>
          </w:p>
        </w:tc>
        <w:tc>
          <w:tcPr>
            <w:tcW w:w="660" w:type="dxa"/>
            <w:tcBorders>
              <w:top w:val="nil"/>
              <w:left w:val="nil"/>
              <w:bottom w:val="nil"/>
              <w:right w:val="nil"/>
            </w:tcBorders>
          </w:tcPr>
          <w:p>
            <w:pPr>
              <w:pStyle w:val="GesAbsatz"/>
              <w:ind w:left="57"/>
              <w:rPr>
                <w:rFonts w:ascii="Times New Roman" w:hAnsi="Times New Roman"/>
                <w:sz w:val="13"/>
                <w:szCs w:val="13"/>
              </w:rPr>
            </w:pPr>
          </w:p>
        </w:tc>
        <w:tc>
          <w:tcPr>
            <w:tcW w:w="1588" w:type="dxa"/>
            <w:tcBorders>
              <w:top w:val="nil"/>
              <w:left w:val="nil"/>
              <w:bottom w:val="nil"/>
              <w:right w:val="nil"/>
            </w:tcBorders>
          </w:tcPr>
          <w:p>
            <w:pPr>
              <w:pStyle w:val="GesAbsatz"/>
              <w:ind w:left="57"/>
            </w:pPr>
            <w:r>
              <w:t>Monodeponie zur Zeit noch in Sonderbereichen der HMD möglich</w:t>
            </w:r>
          </w:p>
        </w:tc>
      </w:tr>
      <w:tr>
        <w:trPr>
          <w:cantSplit/>
          <w:trHeight w:val="689"/>
        </w:trPr>
        <w:tc>
          <w:tcPr>
            <w:tcW w:w="1260" w:type="dxa"/>
            <w:tcBorders>
              <w:top w:val="nil"/>
              <w:left w:val="nil"/>
              <w:bottom w:val="nil"/>
              <w:right w:val="nil"/>
            </w:tcBorders>
          </w:tcPr>
          <w:p>
            <w:pPr>
              <w:pStyle w:val="GesAbsatz"/>
              <w:ind w:left="57"/>
            </w:pPr>
            <w:r>
              <w:t>31312</w:t>
            </w:r>
          </w:p>
        </w:tc>
        <w:tc>
          <w:tcPr>
            <w:tcW w:w="1240" w:type="dxa"/>
            <w:tcBorders>
              <w:top w:val="nil"/>
              <w:left w:val="nil"/>
              <w:bottom w:val="nil"/>
              <w:right w:val="nil"/>
            </w:tcBorders>
          </w:tcPr>
          <w:p>
            <w:pPr>
              <w:pStyle w:val="GesAbsatz"/>
              <w:ind w:left="57"/>
            </w:pPr>
            <w:r>
              <w:t>(AbfBestV)</w:t>
            </w:r>
          </w:p>
        </w:tc>
        <w:tc>
          <w:tcPr>
            <w:tcW w:w="2720" w:type="dxa"/>
            <w:tcBorders>
              <w:top w:val="nil"/>
              <w:left w:val="nil"/>
              <w:bottom w:val="nil"/>
              <w:right w:val="nil"/>
            </w:tcBorders>
          </w:tcPr>
          <w:p>
            <w:pPr>
              <w:pStyle w:val="GesAbsatz"/>
              <w:ind w:left="57"/>
            </w:pPr>
            <w:r>
              <w:t>Feste Reaktionsprodukte aus der Abgasreinigung von Abfallverbrennungsanlagen</w:t>
            </w:r>
          </w:p>
        </w:tc>
        <w:tc>
          <w:tcPr>
            <w:tcW w:w="600" w:type="dxa"/>
            <w:tcBorders>
              <w:top w:val="nil"/>
              <w:left w:val="nil"/>
              <w:bottom w:val="nil"/>
              <w:right w:val="nil"/>
            </w:tcBorders>
          </w:tcPr>
          <w:p>
            <w:pPr>
              <w:pStyle w:val="GesAbsatz"/>
              <w:ind w:left="57"/>
              <w:rPr>
                <w:rFonts w:ascii="Times New Roman" w:hAnsi="Times New Roman"/>
                <w:sz w:val="13"/>
                <w:szCs w:val="13"/>
              </w:rPr>
            </w:pPr>
          </w:p>
        </w:tc>
        <w:tc>
          <w:tcPr>
            <w:tcW w:w="720" w:type="dxa"/>
            <w:tcBorders>
              <w:top w:val="nil"/>
              <w:left w:val="nil"/>
              <w:bottom w:val="nil"/>
              <w:right w:val="nil"/>
            </w:tcBorders>
          </w:tcPr>
          <w:p>
            <w:pPr>
              <w:pStyle w:val="GesAbsatz"/>
              <w:ind w:left="57"/>
              <w:rPr>
                <w:rFonts w:ascii="Times New Roman" w:hAnsi="Times New Roman"/>
                <w:sz w:val="13"/>
                <w:szCs w:val="13"/>
              </w:rPr>
            </w:pPr>
          </w:p>
        </w:tc>
        <w:tc>
          <w:tcPr>
            <w:tcW w:w="780" w:type="dxa"/>
            <w:tcBorders>
              <w:top w:val="nil"/>
              <w:left w:val="nil"/>
              <w:bottom w:val="nil"/>
              <w:right w:val="nil"/>
            </w:tcBorders>
          </w:tcPr>
          <w:p>
            <w:pPr>
              <w:pStyle w:val="GesAbsatz"/>
              <w:ind w:left="57"/>
            </w:pPr>
            <w:r>
              <w:t>2</w:t>
            </w:r>
          </w:p>
        </w:tc>
        <w:tc>
          <w:tcPr>
            <w:tcW w:w="620" w:type="dxa"/>
            <w:tcBorders>
              <w:top w:val="nil"/>
              <w:left w:val="nil"/>
              <w:bottom w:val="nil"/>
              <w:right w:val="nil"/>
            </w:tcBorders>
          </w:tcPr>
          <w:p>
            <w:pPr>
              <w:pStyle w:val="GesAbsatz"/>
              <w:ind w:left="57"/>
            </w:pPr>
            <w:r>
              <w:t>1</w:t>
            </w:r>
          </w:p>
        </w:tc>
        <w:tc>
          <w:tcPr>
            <w:tcW w:w="660" w:type="dxa"/>
            <w:tcBorders>
              <w:top w:val="nil"/>
              <w:left w:val="nil"/>
              <w:bottom w:val="nil"/>
              <w:right w:val="nil"/>
            </w:tcBorders>
          </w:tcPr>
          <w:p>
            <w:pPr>
              <w:pStyle w:val="GesAbsatz"/>
              <w:ind w:left="57"/>
              <w:rPr>
                <w:rFonts w:ascii="Times New Roman" w:hAnsi="Times New Roman"/>
                <w:sz w:val="13"/>
                <w:szCs w:val="13"/>
              </w:rPr>
            </w:pPr>
          </w:p>
        </w:tc>
        <w:tc>
          <w:tcPr>
            <w:tcW w:w="1588" w:type="dxa"/>
            <w:tcBorders>
              <w:top w:val="nil"/>
              <w:left w:val="nil"/>
              <w:bottom w:val="nil"/>
              <w:right w:val="nil"/>
            </w:tcBorders>
          </w:tcPr>
          <w:p>
            <w:pPr>
              <w:pStyle w:val="GesAbsatz"/>
              <w:ind w:left="57"/>
            </w:pPr>
            <w:r>
              <w:t>Monodeponie</w:t>
            </w:r>
          </w:p>
        </w:tc>
      </w:tr>
      <w:tr>
        <w:trPr>
          <w:cantSplit/>
          <w:trHeight w:val="728"/>
        </w:trPr>
        <w:tc>
          <w:tcPr>
            <w:tcW w:w="1260" w:type="dxa"/>
            <w:tcBorders>
              <w:top w:val="nil"/>
              <w:left w:val="nil"/>
              <w:bottom w:val="nil"/>
              <w:right w:val="nil"/>
            </w:tcBorders>
          </w:tcPr>
          <w:p>
            <w:pPr>
              <w:pStyle w:val="GesAbsatz"/>
              <w:ind w:left="57"/>
            </w:pPr>
            <w:r>
              <w:t>31435</w:t>
            </w:r>
          </w:p>
        </w:tc>
        <w:tc>
          <w:tcPr>
            <w:tcW w:w="1240" w:type="dxa"/>
            <w:tcBorders>
              <w:top w:val="nil"/>
              <w:left w:val="nil"/>
              <w:bottom w:val="nil"/>
              <w:right w:val="nil"/>
            </w:tcBorders>
          </w:tcPr>
          <w:p>
            <w:pPr>
              <w:pStyle w:val="GesAbsatz"/>
              <w:ind w:left="57"/>
            </w:pPr>
            <w:r>
              <w:t>(AbfBestV)</w:t>
            </w:r>
          </w:p>
        </w:tc>
        <w:tc>
          <w:tcPr>
            <w:tcW w:w="2720" w:type="dxa"/>
            <w:tcBorders>
              <w:top w:val="nil"/>
              <w:left w:val="nil"/>
              <w:bottom w:val="nil"/>
              <w:right w:val="nil"/>
            </w:tcBorders>
          </w:tcPr>
          <w:p>
            <w:pPr>
              <w:pStyle w:val="GesAbsatz"/>
              <w:ind w:left="57"/>
            </w:pPr>
            <w:r>
              <w:t>Verbrauchte Filter- und Aufsaugmassen mit schädlichen Verunreinigungen</w:t>
            </w:r>
          </w:p>
        </w:tc>
        <w:tc>
          <w:tcPr>
            <w:tcW w:w="600" w:type="dxa"/>
            <w:tcBorders>
              <w:top w:val="nil"/>
              <w:left w:val="nil"/>
              <w:bottom w:val="nil"/>
              <w:right w:val="nil"/>
            </w:tcBorders>
          </w:tcPr>
          <w:p>
            <w:pPr>
              <w:pStyle w:val="GesAbsatz"/>
              <w:ind w:left="57"/>
              <w:rPr>
                <w:rFonts w:ascii="Times New Roman" w:hAnsi="Times New Roman"/>
                <w:sz w:val="13"/>
                <w:szCs w:val="13"/>
              </w:rPr>
            </w:pPr>
          </w:p>
        </w:tc>
        <w:tc>
          <w:tcPr>
            <w:tcW w:w="720" w:type="dxa"/>
            <w:tcBorders>
              <w:top w:val="nil"/>
              <w:left w:val="nil"/>
              <w:bottom w:val="nil"/>
              <w:right w:val="nil"/>
            </w:tcBorders>
          </w:tcPr>
          <w:p>
            <w:pPr>
              <w:pStyle w:val="GesAbsatz"/>
              <w:ind w:left="57"/>
              <w:rPr>
                <w:rFonts w:ascii="Times New Roman" w:hAnsi="Times New Roman"/>
                <w:sz w:val="13"/>
                <w:szCs w:val="13"/>
              </w:rPr>
            </w:pPr>
          </w:p>
        </w:tc>
        <w:tc>
          <w:tcPr>
            <w:tcW w:w="780" w:type="dxa"/>
            <w:tcBorders>
              <w:top w:val="nil"/>
              <w:left w:val="nil"/>
              <w:bottom w:val="nil"/>
              <w:right w:val="nil"/>
            </w:tcBorders>
          </w:tcPr>
          <w:p>
            <w:pPr>
              <w:pStyle w:val="GesAbsatz"/>
              <w:ind w:left="57"/>
              <w:rPr>
                <w:rFonts w:ascii="Times New Roman" w:hAnsi="Times New Roman"/>
                <w:sz w:val="13"/>
                <w:szCs w:val="13"/>
              </w:rPr>
            </w:pPr>
          </w:p>
        </w:tc>
        <w:tc>
          <w:tcPr>
            <w:tcW w:w="620" w:type="dxa"/>
            <w:tcBorders>
              <w:top w:val="nil"/>
              <w:left w:val="nil"/>
              <w:bottom w:val="nil"/>
              <w:right w:val="nil"/>
            </w:tcBorders>
          </w:tcPr>
          <w:p>
            <w:pPr>
              <w:pStyle w:val="GesAbsatz"/>
              <w:ind w:left="57"/>
              <w:rPr>
                <w:vertAlign w:val="superscript"/>
              </w:rPr>
            </w:pPr>
            <w:r>
              <w:t>1</w:t>
            </w:r>
            <w:r>
              <w:rPr>
                <w:vertAlign w:val="superscript"/>
              </w:rPr>
              <w:t>x</w:t>
            </w:r>
          </w:p>
        </w:tc>
        <w:tc>
          <w:tcPr>
            <w:tcW w:w="660" w:type="dxa"/>
            <w:tcBorders>
              <w:top w:val="nil"/>
              <w:left w:val="nil"/>
              <w:bottom w:val="nil"/>
              <w:right w:val="nil"/>
            </w:tcBorders>
          </w:tcPr>
          <w:p>
            <w:pPr>
              <w:pStyle w:val="GesAbsatz"/>
              <w:ind w:left="57"/>
            </w:pPr>
            <w:r>
              <w:t>1</w:t>
            </w:r>
          </w:p>
        </w:tc>
        <w:tc>
          <w:tcPr>
            <w:tcW w:w="1588" w:type="dxa"/>
            <w:tcBorders>
              <w:top w:val="nil"/>
              <w:left w:val="nil"/>
              <w:bottom w:val="nil"/>
              <w:right w:val="nil"/>
            </w:tcBorders>
          </w:tcPr>
          <w:p>
            <w:pPr>
              <w:pStyle w:val="GesAbsatz"/>
              <w:ind w:left="57"/>
            </w:pPr>
            <w:r>
              <w:rPr>
                <w:sz w:val="13"/>
                <w:szCs w:val="13"/>
              </w:rPr>
              <w:t>x</w:t>
            </w:r>
            <w:r>
              <w:t xml:space="preserve"> anorganisch belastet</w:t>
            </w:r>
          </w:p>
        </w:tc>
      </w:tr>
    </w:tbl>
    <w:p>
      <w:pPr>
        <w:pStyle w:val="GesAbsatz"/>
        <w:rPr>
          <w:rFonts w:cs="Arial"/>
        </w:rPr>
      </w:pPr>
    </w:p>
    <w:p>
      <w:pPr>
        <w:pStyle w:val="berschrift3"/>
        <w:jc w:val="left"/>
      </w:pPr>
      <w:r>
        <w:br w:type="page"/>
      </w:r>
      <w:bookmarkStart w:id="23" w:name="_Toc44306489"/>
      <w:r>
        <w:lastRenderedPageBreak/>
        <w:t>Anhang 11</w:t>
      </w:r>
      <w:bookmarkEnd w:id="23"/>
    </w:p>
    <w:p>
      <w:pPr>
        <w:pStyle w:val="GesAbsatz"/>
        <w:jc w:val="center"/>
        <w:rPr>
          <w:rFonts w:cs="Arial"/>
          <w:b/>
          <w:bCs/>
        </w:rPr>
      </w:pPr>
      <w:r>
        <w:rPr>
          <w:rFonts w:cs="Arial"/>
          <w:b/>
          <w:bCs/>
        </w:rPr>
        <w:t>Protokoll über die Entnahme einer Feststoffprobe</w:t>
      </w:r>
    </w:p>
    <w:p>
      <w:pPr>
        <w:pStyle w:val="GesAbsatz"/>
        <w:tabs>
          <w:tab w:val="left" w:pos="6521"/>
        </w:tabs>
        <w:rPr>
          <w:rFonts w:cs="Arial"/>
        </w:rPr>
      </w:pPr>
      <w:r>
        <w:rPr>
          <w:rFonts w:cs="Arial"/>
        </w:rPr>
        <w:t xml:space="preserve">Entnehmende Stelle </w:t>
      </w:r>
      <w:r>
        <w:rPr>
          <w:rFonts w:cs="Arial"/>
        </w:rPr>
        <w:tab/>
        <w:t>Zweck der Probenahme</w:t>
      </w:r>
    </w:p>
    <w:p>
      <w:pPr>
        <w:pStyle w:val="GesAbsatz"/>
        <w:tabs>
          <w:tab w:val="left" w:pos="5670"/>
        </w:tabs>
        <w:rPr>
          <w:rFonts w:cs="Arial"/>
        </w:rPr>
      </w:pPr>
      <w:r>
        <w:rPr>
          <w:rFonts w:cs="Arial"/>
        </w:rPr>
        <w:t xml:space="preserve">_____________________________________ </w:t>
      </w:r>
      <w:r>
        <w:rPr>
          <w:rFonts w:cs="Arial"/>
        </w:rPr>
        <w:tab/>
        <w:t>___________________________________</w:t>
      </w:r>
    </w:p>
    <w:p>
      <w:pPr>
        <w:pStyle w:val="GesAbsatz"/>
        <w:rPr>
          <w:rFonts w:cs="Arial"/>
        </w:rPr>
      </w:pPr>
      <w:r>
        <w:rPr>
          <w:rFonts w:cs="Arial"/>
        </w:rPr>
        <w:t>_______________________________________________________________________________________</w:t>
      </w:r>
    </w:p>
    <w:p>
      <w:pPr>
        <w:pStyle w:val="GesAbsatz"/>
        <w:rPr>
          <w:rFonts w:cs="Arial"/>
        </w:rPr>
      </w:pPr>
      <w:r>
        <w:rPr>
          <w:rFonts w:cs="Arial"/>
        </w:rPr>
        <w:t>1. Probenahmestelle: ____________________________________________________________________</w:t>
      </w:r>
      <w:r>
        <w:rPr>
          <w:rFonts w:cs="Arial"/>
        </w:rPr>
        <w:br/>
        <w:t>(Bezeichnung, Nr. im Lageplan)</w:t>
      </w:r>
    </w:p>
    <w:p>
      <w:pPr>
        <w:pStyle w:val="GesAbsatz"/>
        <w:rPr>
          <w:rFonts w:cs="Arial"/>
        </w:rPr>
      </w:pPr>
      <w:r>
        <w:rPr>
          <w:rFonts w:cs="Arial"/>
        </w:rPr>
        <w:t>2. Lage: TK ____________________Rechts___________________ Hoch ___________________________</w:t>
      </w:r>
    </w:p>
    <w:p>
      <w:pPr>
        <w:pStyle w:val="GesAbsatz"/>
        <w:rPr>
          <w:rFonts w:cs="Arial"/>
        </w:rPr>
      </w:pPr>
      <w:r>
        <w:rPr>
          <w:rFonts w:cs="Arial"/>
        </w:rPr>
        <w:t>3. Datum/Uhrzeit der Probenahme: __________________________________________________________</w:t>
      </w:r>
    </w:p>
    <w:p>
      <w:pPr>
        <w:pStyle w:val="GesAbsatz"/>
        <w:rPr>
          <w:rFonts w:cs="Arial"/>
        </w:rPr>
      </w:pPr>
      <w:r>
        <w:rPr>
          <w:rFonts w:cs="Arial"/>
        </w:rPr>
        <w:t>4. Art der Probe: _________________________________________________________________________</w:t>
      </w:r>
    </w:p>
    <w:p>
      <w:pPr>
        <w:pStyle w:val="GesAbsatz"/>
        <w:rPr>
          <w:rFonts w:cs="Arial"/>
        </w:rPr>
      </w:pPr>
      <w:r>
        <w:rPr>
          <w:rFonts w:cs="Arial"/>
        </w:rPr>
        <w:t>5. Entnahmegerät:_______________________________________________________________________</w:t>
      </w:r>
    </w:p>
    <w:p>
      <w:pPr>
        <w:pStyle w:val="GesAbsatz"/>
        <w:tabs>
          <w:tab w:val="left" w:pos="3402"/>
          <w:tab w:val="left" w:pos="5670"/>
        </w:tabs>
        <w:rPr>
          <w:rFonts w:cs="Arial"/>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3381375</wp:posOffset>
                </wp:positionH>
                <wp:positionV relativeFrom="paragraph">
                  <wp:posOffset>77470</wp:posOffset>
                </wp:positionV>
                <wp:extent cx="800100" cy="2286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EFFB6" id="Rectangle 5" o:spid="_x0000_s1026" style="position:absolute;margin-left:266.25pt;margin-top:6.1pt;width:6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"/>
            </w:pict>
          </mc:Fallback>
        </mc:AlternateContent>
      </w:r>
      <w:r>
        <w:rPr>
          <w:rFonts w:cs="Arial"/>
        </w:rPr>
        <w:t>6. Art der Probenahme</w:t>
      </w:r>
      <w:r>
        <w:rPr>
          <w:rFonts w:cs="Arial"/>
        </w:rPr>
        <w:tab/>
        <w:t>Einzelprobe</w:t>
      </w:r>
    </w:p>
    <w:p>
      <w:pPr>
        <w:pStyle w:val="GesAbsatz"/>
        <w:tabs>
          <w:tab w:val="left" w:pos="3402"/>
          <w:tab w:val="left" w:pos="5670"/>
        </w:tabs>
        <w:rPr>
          <w:rFonts w:cs="Arial"/>
        </w:rPr>
      </w:pPr>
      <w:r>
        <w:rPr>
          <w:rFonts w:cs="Arial"/>
          <w:noProof/>
        </w:rPr>
        <mc:AlternateContent>
          <mc:Choice Requires="wps">
            <w:drawing>
              <wp:anchor distT="0" distB="0" distL="114300" distR="114300" simplePos="0" relativeHeight="251658240" behindDoc="0" locked="0" layoutInCell="1" allowOverlap="1">
                <wp:simplePos x="0" y="0"/>
                <wp:positionH relativeFrom="column">
                  <wp:posOffset>3381375</wp:posOffset>
                </wp:positionH>
                <wp:positionV relativeFrom="paragraph">
                  <wp:posOffset>194310</wp:posOffset>
                </wp:positionV>
                <wp:extent cx="800100" cy="2286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E84A3" id="Rectangle 6" o:spid="_x0000_s1026" style="position:absolute;margin-left:266.25pt;margin-top:15.3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"/>
            </w:pict>
          </mc:Fallback>
        </mc:AlternateContent>
      </w:r>
    </w:p>
    <w:p>
      <w:pPr>
        <w:pStyle w:val="GesAbsatz"/>
        <w:tabs>
          <w:tab w:val="left" w:pos="3402"/>
          <w:tab w:val="left" w:pos="5670"/>
        </w:tabs>
        <w:rPr>
          <w:rFonts w:cs="Arial"/>
        </w:rPr>
      </w:pPr>
      <w:r>
        <w:rPr>
          <w:rFonts w:cs="Arial"/>
        </w:rPr>
        <w:tab/>
      </w:r>
      <w:r>
        <w:rPr>
          <w:rFonts w:cs="Arial"/>
        </w:rPr>
        <w:tab/>
        <w:t>Mischprobe</w:t>
      </w:r>
    </w:p>
    <w:p>
      <w:pPr>
        <w:pStyle w:val="GesAbsatz"/>
        <w:rPr>
          <w:rFonts w:cs="Arial"/>
        </w:rPr>
      </w:pPr>
      <w:r>
        <w:rPr>
          <w:rFonts w:cs="Arial"/>
        </w:rPr>
        <w:t>6a) bei Mischproben: Zahl der Einzelproben __________________________________________________</w:t>
      </w:r>
    </w:p>
    <w:p>
      <w:pPr>
        <w:pStyle w:val="GesAbsatz"/>
        <w:rPr>
          <w:rFonts w:cs="Arial"/>
        </w:rPr>
      </w:pPr>
      <w:r>
        <w:rPr>
          <w:rFonts w:cs="Arial"/>
        </w:rPr>
        <w:t>7. Entnahmedaten:</w:t>
      </w:r>
    </w:p>
    <w:p>
      <w:pPr>
        <w:pStyle w:val="GesAbsatz"/>
        <w:rPr>
          <w:rFonts w:cs="Arial"/>
        </w:rPr>
      </w:pPr>
    </w:p>
    <w:p>
      <w:pPr>
        <w:pStyle w:val="GesAbsatz"/>
        <w:rPr>
          <w:rFonts w:cs="Arial"/>
        </w:rPr>
      </w:pPr>
    </w:p>
    <w:p>
      <w:pPr>
        <w:pStyle w:val="GesAbsatz"/>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4"/>
        <w:gridCol w:w="1116"/>
        <w:gridCol w:w="976"/>
        <w:gridCol w:w="1116"/>
        <w:gridCol w:w="1116"/>
        <w:gridCol w:w="1116"/>
        <w:gridCol w:w="1044"/>
      </w:tblGrid>
      <w:tr>
        <w:tc>
          <w:tcPr>
            <w:tcW w:w="3189" w:type="dxa"/>
          </w:tcPr>
          <w:p>
            <w:pPr>
              <w:pStyle w:val="GesAbsatz"/>
              <w:rPr>
                <w:rFonts w:cs="Arial"/>
              </w:rPr>
            </w:pPr>
            <w:r>
              <w:rPr>
                <w:rFonts w:cs="Arial"/>
              </w:rPr>
              <w:t>Probenbezeichnung/-nummer</w:t>
            </w:r>
          </w:p>
        </w:tc>
        <w:tc>
          <w:tcPr>
            <w:tcW w:w="1134" w:type="dxa"/>
          </w:tcPr>
          <w:p>
            <w:pPr>
              <w:pStyle w:val="GesAbsatz"/>
              <w:rPr>
                <w:rFonts w:cs="Arial"/>
              </w:rPr>
            </w:pPr>
          </w:p>
        </w:tc>
        <w:tc>
          <w:tcPr>
            <w:tcW w:w="992" w:type="dxa"/>
          </w:tcPr>
          <w:p>
            <w:pPr>
              <w:pStyle w:val="GesAbsatz"/>
              <w:rPr>
                <w:rFonts w:cs="Arial"/>
              </w:rPr>
            </w:pPr>
          </w:p>
        </w:tc>
        <w:tc>
          <w:tcPr>
            <w:tcW w:w="1134" w:type="dxa"/>
          </w:tcPr>
          <w:p>
            <w:pPr>
              <w:pStyle w:val="GesAbsatz"/>
              <w:rPr>
                <w:rFonts w:cs="Arial"/>
              </w:rPr>
            </w:pPr>
          </w:p>
        </w:tc>
        <w:tc>
          <w:tcPr>
            <w:tcW w:w="1134" w:type="dxa"/>
          </w:tcPr>
          <w:p>
            <w:pPr>
              <w:pStyle w:val="GesAbsatz"/>
              <w:rPr>
                <w:rFonts w:cs="Arial"/>
              </w:rPr>
            </w:pPr>
          </w:p>
        </w:tc>
        <w:tc>
          <w:tcPr>
            <w:tcW w:w="1134" w:type="dxa"/>
          </w:tcPr>
          <w:p>
            <w:pPr>
              <w:pStyle w:val="GesAbsatz"/>
              <w:rPr>
                <w:rFonts w:cs="Arial"/>
              </w:rPr>
            </w:pPr>
          </w:p>
        </w:tc>
        <w:tc>
          <w:tcPr>
            <w:tcW w:w="1061" w:type="dxa"/>
          </w:tcPr>
          <w:p>
            <w:pPr>
              <w:pStyle w:val="GesAbsatz"/>
              <w:rPr>
                <w:rFonts w:cs="Arial"/>
              </w:rPr>
            </w:pPr>
          </w:p>
        </w:tc>
      </w:tr>
      <w:tr>
        <w:tc>
          <w:tcPr>
            <w:tcW w:w="3189" w:type="dxa"/>
          </w:tcPr>
          <w:p>
            <w:pPr>
              <w:pStyle w:val="GesAbsatz"/>
              <w:rPr>
                <w:rFonts w:cs="Arial"/>
              </w:rPr>
            </w:pPr>
            <w:r>
              <w:rPr>
                <w:rFonts w:cs="Arial"/>
              </w:rPr>
              <w:t>Entnahmetiefe</w:t>
            </w:r>
          </w:p>
        </w:tc>
        <w:tc>
          <w:tcPr>
            <w:tcW w:w="1134" w:type="dxa"/>
          </w:tcPr>
          <w:p>
            <w:pPr>
              <w:pStyle w:val="GesAbsatz"/>
              <w:rPr>
                <w:rFonts w:cs="Arial"/>
              </w:rPr>
            </w:pPr>
          </w:p>
        </w:tc>
        <w:tc>
          <w:tcPr>
            <w:tcW w:w="992" w:type="dxa"/>
          </w:tcPr>
          <w:p>
            <w:pPr>
              <w:pStyle w:val="GesAbsatz"/>
              <w:rPr>
                <w:rFonts w:cs="Arial"/>
              </w:rPr>
            </w:pPr>
          </w:p>
        </w:tc>
        <w:tc>
          <w:tcPr>
            <w:tcW w:w="1134" w:type="dxa"/>
          </w:tcPr>
          <w:p>
            <w:pPr>
              <w:pStyle w:val="GesAbsatz"/>
              <w:rPr>
                <w:rFonts w:cs="Arial"/>
              </w:rPr>
            </w:pPr>
          </w:p>
        </w:tc>
        <w:tc>
          <w:tcPr>
            <w:tcW w:w="1134" w:type="dxa"/>
          </w:tcPr>
          <w:p>
            <w:pPr>
              <w:pStyle w:val="GesAbsatz"/>
              <w:rPr>
                <w:rFonts w:cs="Arial"/>
              </w:rPr>
            </w:pPr>
          </w:p>
        </w:tc>
        <w:tc>
          <w:tcPr>
            <w:tcW w:w="1134" w:type="dxa"/>
          </w:tcPr>
          <w:p>
            <w:pPr>
              <w:pStyle w:val="GesAbsatz"/>
              <w:rPr>
                <w:rFonts w:cs="Arial"/>
              </w:rPr>
            </w:pPr>
          </w:p>
        </w:tc>
        <w:tc>
          <w:tcPr>
            <w:tcW w:w="1061" w:type="dxa"/>
          </w:tcPr>
          <w:p>
            <w:pPr>
              <w:pStyle w:val="GesAbsatz"/>
              <w:rPr>
                <w:rFonts w:cs="Arial"/>
              </w:rPr>
            </w:pPr>
          </w:p>
        </w:tc>
      </w:tr>
      <w:tr>
        <w:tc>
          <w:tcPr>
            <w:tcW w:w="3189" w:type="dxa"/>
          </w:tcPr>
          <w:p>
            <w:pPr>
              <w:pStyle w:val="GesAbsatz"/>
              <w:rPr>
                <w:rFonts w:cs="Arial"/>
              </w:rPr>
            </w:pPr>
            <w:r>
              <w:rPr>
                <w:rFonts w:cs="Arial"/>
              </w:rPr>
              <w:t>Farbe</w:t>
            </w:r>
          </w:p>
        </w:tc>
        <w:tc>
          <w:tcPr>
            <w:tcW w:w="1134" w:type="dxa"/>
          </w:tcPr>
          <w:p>
            <w:pPr>
              <w:pStyle w:val="GesAbsatz"/>
              <w:rPr>
                <w:rFonts w:cs="Arial"/>
              </w:rPr>
            </w:pPr>
          </w:p>
        </w:tc>
        <w:tc>
          <w:tcPr>
            <w:tcW w:w="992" w:type="dxa"/>
          </w:tcPr>
          <w:p>
            <w:pPr>
              <w:pStyle w:val="GesAbsatz"/>
              <w:rPr>
                <w:rFonts w:cs="Arial"/>
              </w:rPr>
            </w:pPr>
          </w:p>
        </w:tc>
        <w:tc>
          <w:tcPr>
            <w:tcW w:w="1134" w:type="dxa"/>
          </w:tcPr>
          <w:p>
            <w:pPr>
              <w:pStyle w:val="GesAbsatz"/>
              <w:rPr>
                <w:rFonts w:cs="Arial"/>
              </w:rPr>
            </w:pPr>
          </w:p>
        </w:tc>
        <w:tc>
          <w:tcPr>
            <w:tcW w:w="1134" w:type="dxa"/>
          </w:tcPr>
          <w:p>
            <w:pPr>
              <w:pStyle w:val="GesAbsatz"/>
              <w:rPr>
                <w:rFonts w:cs="Arial"/>
              </w:rPr>
            </w:pPr>
          </w:p>
        </w:tc>
        <w:tc>
          <w:tcPr>
            <w:tcW w:w="1134" w:type="dxa"/>
          </w:tcPr>
          <w:p>
            <w:pPr>
              <w:pStyle w:val="GesAbsatz"/>
              <w:rPr>
                <w:rFonts w:cs="Arial"/>
              </w:rPr>
            </w:pPr>
          </w:p>
        </w:tc>
        <w:tc>
          <w:tcPr>
            <w:tcW w:w="1061" w:type="dxa"/>
          </w:tcPr>
          <w:p>
            <w:pPr>
              <w:pStyle w:val="GesAbsatz"/>
              <w:rPr>
                <w:rFonts w:cs="Arial"/>
              </w:rPr>
            </w:pPr>
          </w:p>
        </w:tc>
      </w:tr>
      <w:tr>
        <w:tc>
          <w:tcPr>
            <w:tcW w:w="3189" w:type="dxa"/>
          </w:tcPr>
          <w:p>
            <w:pPr>
              <w:pStyle w:val="GesAbsatz"/>
              <w:rPr>
                <w:rFonts w:cs="Arial"/>
              </w:rPr>
            </w:pPr>
            <w:r>
              <w:rPr>
                <w:rFonts w:cs="Arial"/>
              </w:rPr>
              <w:t>Geruch</w:t>
            </w:r>
          </w:p>
        </w:tc>
        <w:tc>
          <w:tcPr>
            <w:tcW w:w="1134" w:type="dxa"/>
          </w:tcPr>
          <w:p>
            <w:pPr>
              <w:pStyle w:val="GesAbsatz"/>
              <w:rPr>
                <w:rFonts w:cs="Arial"/>
              </w:rPr>
            </w:pPr>
          </w:p>
        </w:tc>
        <w:tc>
          <w:tcPr>
            <w:tcW w:w="992" w:type="dxa"/>
          </w:tcPr>
          <w:p>
            <w:pPr>
              <w:pStyle w:val="GesAbsatz"/>
              <w:rPr>
                <w:rFonts w:cs="Arial"/>
              </w:rPr>
            </w:pPr>
          </w:p>
        </w:tc>
        <w:tc>
          <w:tcPr>
            <w:tcW w:w="1134" w:type="dxa"/>
          </w:tcPr>
          <w:p>
            <w:pPr>
              <w:pStyle w:val="GesAbsatz"/>
              <w:rPr>
                <w:rFonts w:cs="Arial"/>
              </w:rPr>
            </w:pPr>
          </w:p>
        </w:tc>
        <w:tc>
          <w:tcPr>
            <w:tcW w:w="1134" w:type="dxa"/>
          </w:tcPr>
          <w:p>
            <w:pPr>
              <w:pStyle w:val="GesAbsatz"/>
              <w:rPr>
                <w:rFonts w:cs="Arial"/>
              </w:rPr>
            </w:pPr>
          </w:p>
        </w:tc>
        <w:tc>
          <w:tcPr>
            <w:tcW w:w="1134" w:type="dxa"/>
          </w:tcPr>
          <w:p>
            <w:pPr>
              <w:pStyle w:val="GesAbsatz"/>
              <w:rPr>
                <w:rFonts w:cs="Arial"/>
              </w:rPr>
            </w:pPr>
          </w:p>
        </w:tc>
        <w:tc>
          <w:tcPr>
            <w:tcW w:w="1061" w:type="dxa"/>
          </w:tcPr>
          <w:p>
            <w:pPr>
              <w:pStyle w:val="GesAbsatz"/>
              <w:rPr>
                <w:rFonts w:cs="Arial"/>
              </w:rPr>
            </w:pPr>
          </w:p>
        </w:tc>
      </w:tr>
      <w:tr>
        <w:tc>
          <w:tcPr>
            <w:tcW w:w="3189" w:type="dxa"/>
          </w:tcPr>
          <w:p>
            <w:pPr>
              <w:pStyle w:val="GesAbsatz"/>
              <w:rPr>
                <w:rFonts w:cs="Arial"/>
              </w:rPr>
            </w:pPr>
            <w:r>
              <w:rPr>
                <w:rFonts w:cs="Arial"/>
              </w:rPr>
              <w:t>Probenmenge</w:t>
            </w:r>
          </w:p>
        </w:tc>
        <w:tc>
          <w:tcPr>
            <w:tcW w:w="1134" w:type="dxa"/>
          </w:tcPr>
          <w:p>
            <w:pPr>
              <w:pStyle w:val="GesAbsatz"/>
              <w:rPr>
                <w:rFonts w:cs="Arial"/>
              </w:rPr>
            </w:pPr>
          </w:p>
        </w:tc>
        <w:tc>
          <w:tcPr>
            <w:tcW w:w="992" w:type="dxa"/>
          </w:tcPr>
          <w:p>
            <w:pPr>
              <w:pStyle w:val="GesAbsatz"/>
              <w:rPr>
                <w:rFonts w:cs="Arial"/>
              </w:rPr>
            </w:pPr>
          </w:p>
        </w:tc>
        <w:tc>
          <w:tcPr>
            <w:tcW w:w="1134" w:type="dxa"/>
          </w:tcPr>
          <w:p>
            <w:pPr>
              <w:pStyle w:val="GesAbsatz"/>
              <w:rPr>
                <w:rFonts w:cs="Arial"/>
              </w:rPr>
            </w:pPr>
          </w:p>
        </w:tc>
        <w:tc>
          <w:tcPr>
            <w:tcW w:w="1134" w:type="dxa"/>
          </w:tcPr>
          <w:p>
            <w:pPr>
              <w:pStyle w:val="GesAbsatz"/>
              <w:rPr>
                <w:rFonts w:cs="Arial"/>
              </w:rPr>
            </w:pPr>
          </w:p>
        </w:tc>
        <w:tc>
          <w:tcPr>
            <w:tcW w:w="1134" w:type="dxa"/>
          </w:tcPr>
          <w:p>
            <w:pPr>
              <w:pStyle w:val="GesAbsatz"/>
              <w:rPr>
                <w:rFonts w:cs="Arial"/>
              </w:rPr>
            </w:pPr>
          </w:p>
        </w:tc>
        <w:tc>
          <w:tcPr>
            <w:tcW w:w="1061" w:type="dxa"/>
          </w:tcPr>
          <w:p>
            <w:pPr>
              <w:pStyle w:val="GesAbsatz"/>
              <w:rPr>
                <w:rFonts w:cs="Arial"/>
              </w:rPr>
            </w:pPr>
          </w:p>
        </w:tc>
      </w:tr>
      <w:tr>
        <w:tc>
          <w:tcPr>
            <w:tcW w:w="3189" w:type="dxa"/>
          </w:tcPr>
          <w:p>
            <w:pPr>
              <w:pStyle w:val="GesAbsatz"/>
              <w:rPr>
                <w:rFonts w:cs="Arial"/>
              </w:rPr>
            </w:pPr>
            <w:r>
              <w:rPr>
                <w:rFonts w:cs="Arial"/>
              </w:rPr>
              <w:t>Probenbehälter</w:t>
            </w:r>
          </w:p>
        </w:tc>
        <w:tc>
          <w:tcPr>
            <w:tcW w:w="1134" w:type="dxa"/>
          </w:tcPr>
          <w:p>
            <w:pPr>
              <w:pStyle w:val="GesAbsatz"/>
              <w:rPr>
                <w:rFonts w:cs="Arial"/>
              </w:rPr>
            </w:pPr>
          </w:p>
        </w:tc>
        <w:tc>
          <w:tcPr>
            <w:tcW w:w="992" w:type="dxa"/>
          </w:tcPr>
          <w:p>
            <w:pPr>
              <w:pStyle w:val="GesAbsatz"/>
              <w:rPr>
                <w:rFonts w:cs="Arial"/>
              </w:rPr>
            </w:pPr>
          </w:p>
        </w:tc>
        <w:tc>
          <w:tcPr>
            <w:tcW w:w="1134" w:type="dxa"/>
          </w:tcPr>
          <w:p>
            <w:pPr>
              <w:pStyle w:val="GesAbsatz"/>
              <w:rPr>
                <w:rFonts w:cs="Arial"/>
              </w:rPr>
            </w:pPr>
          </w:p>
        </w:tc>
        <w:tc>
          <w:tcPr>
            <w:tcW w:w="1134" w:type="dxa"/>
          </w:tcPr>
          <w:p>
            <w:pPr>
              <w:pStyle w:val="GesAbsatz"/>
              <w:rPr>
                <w:rFonts w:cs="Arial"/>
              </w:rPr>
            </w:pPr>
          </w:p>
        </w:tc>
        <w:tc>
          <w:tcPr>
            <w:tcW w:w="1134" w:type="dxa"/>
          </w:tcPr>
          <w:p>
            <w:pPr>
              <w:pStyle w:val="GesAbsatz"/>
              <w:rPr>
                <w:rFonts w:cs="Arial"/>
              </w:rPr>
            </w:pPr>
          </w:p>
        </w:tc>
        <w:tc>
          <w:tcPr>
            <w:tcW w:w="1061" w:type="dxa"/>
          </w:tcPr>
          <w:p>
            <w:pPr>
              <w:pStyle w:val="GesAbsatz"/>
              <w:rPr>
                <w:rFonts w:cs="Arial"/>
              </w:rPr>
            </w:pPr>
          </w:p>
        </w:tc>
      </w:tr>
      <w:tr>
        <w:tc>
          <w:tcPr>
            <w:tcW w:w="3189" w:type="dxa"/>
          </w:tcPr>
          <w:p>
            <w:pPr>
              <w:pStyle w:val="GesAbsatz"/>
              <w:rPr>
                <w:rFonts w:cs="Arial"/>
              </w:rPr>
            </w:pPr>
            <w:r>
              <w:rPr>
                <w:rFonts w:cs="Arial"/>
              </w:rPr>
              <w:t>Probenkonservierung</w:t>
            </w:r>
          </w:p>
        </w:tc>
        <w:tc>
          <w:tcPr>
            <w:tcW w:w="1134" w:type="dxa"/>
          </w:tcPr>
          <w:p>
            <w:pPr>
              <w:pStyle w:val="GesAbsatz"/>
              <w:rPr>
                <w:rFonts w:cs="Arial"/>
              </w:rPr>
            </w:pPr>
          </w:p>
        </w:tc>
        <w:tc>
          <w:tcPr>
            <w:tcW w:w="992" w:type="dxa"/>
          </w:tcPr>
          <w:p>
            <w:pPr>
              <w:pStyle w:val="GesAbsatz"/>
              <w:rPr>
                <w:rFonts w:cs="Arial"/>
              </w:rPr>
            </w:pPr>
          </w:p>
        </w:tc>
        <w:tc>
          <w:tcPr>
            <w:tcW w:w="1134" w:type="dxa"/>
          </w:tcPr>
          <w:p>
            <w:pPr>
              <w:pStyle w:val="GesAbsatz"/>
              <w:rPr>
                <w:rFonts w:cs="Arial"/>
              </w:rPr>
            </w:pPr>
          </w:p>
        </w:tc>
        <w:tc>
          <w:tcPr>
            <w:tcW w:w="1134" w:type="dxa"/>
          </w:tcPr>
          <w:p>
            <w:pPr>
              <w:pStyle w:val="GesAbsatz"/>
              <w:rPr>
                <w:rFonts w:cs="Arial"/>
              </w:rPr>
            </w:pPr>
          </w:p>
        </w:tc>
        <w:tc>
          <w:tcPr>
            <w:tcW w:w="1134" w:type="dxa"/>
          </w:tcPr>
          <w:p>
            <w:pPr>
              <w:pStyle w:val="GesAbsatz"/>
              <w:rPr>
                <w:rFonts w:cs="Arial"/>
              </w:rPr>
            </w:pPr>
          </w:p>
        </w:tc>
        <w:tc>
          <w:tcPr>
            <w:tcW w:w="1061" w:type="dxa"/>
          </w:tcPr>
          <w:p>
            <w:pPr>
              <w:pStyle w:val="GesAbsatz"/>
              <w:rPr>
                <w:rFonts w:cs="Arial"/>
              </w:rPr>
            </w:pPr>
          </w:p>
        </w:tc>
      </w:tr>
    </w:tbl>
    <w:p>
      <w:pPr>
        <w:pStyle w:val="GesAbsatz"/>
        <w:rPr>
          <w:rFonts w:cs="Arial"/>
        </w:rPr>
      </w:pPr>
    </w:p>
    <w:p>
      <w:pPr>
        <w:pStyle w:val="GesAbsatz"/>
        <w:rPr>
          <w:rFonts w:cs="Arial"/>
        </w:rPr>
      </w:pPr>
      <w:r>
        <w:rPr>
          <w:rFonts w:cs="Arial"/>
        </w:rPr>
        <w:t>8. Bemerkungen/Begleitinformationen _______________________________________________________</w:t>
      </w:r>
    </w:p>
    <w:p>
      <w:pPr>
        <w:pStyle w:val="GesAbsatz"/>
        <w:rPr>
          <w:rFonts w:cs="Arial"/>
        </w:rPr>
      </w:pPr>
      <w:r>
        <w:rPr>
          <w:rFonts w:cs="Arial"/>
        </w:rPr>
        <w:t>______________________________________________________________________________________</w:t>
      </w:r>
    </w:p>
    <w:p>
      <w:pPr>
        <w:pStyle w:val="GesAbsatz"/>
        <w:tabs>
          <w:tab w:val="left" w:pos="5670"/>
          <w:tab w:val="left" w:pos="6237"/>
        </w:tabs>
        <w:rPr>
          <w:rFonts w:cs="Arial"/>
        </w:rPr>
      </w:pPr>
      <w:r>
        <w:rPr>
          <w:rFonts w:cs="Arial"/>
        </w:rPr>
        <w:t>_______________________________________</w:t>
      </w:r>
      <w:r>
        <w:rPr>
          <w:rFonts w:cs="Arial"/>
        </w:rPr>
        <w:tab/>
        <w:t>___________________________________</w:t>
      </w:r>
      <w:r>
        <w:rPr>
          <w:rFonts w:cs="Arial"/>
        </w:rPr>
        <w:br/>
      </w:r>
      <w:r>
        <w:rPr>
          <w:rFonts w:cs="Arial"/>
          <w:szCs w:val="16"/>
        </w:rPr>
        <w:t>Ort</w:t>
      </w:r>
      <w:r>
        <w:rPr>
          <w:rFonts w:cs="Arial"/>
          <w:szCs w:val="16"/>
        </w:rPr>
        <w:tab/>
      </w:r>
      <w:r>
        <w:rPr>
          <w:rFonts w:cs="Arial"/>
          <w:szCs w:val="16"/>
        </w:rPr>
        <w:tab/>
      </w:r>
      <w:r>
        <w:rPr>
          <w:rFonts w:cs="Arial"/>
          <w:szCs w:val="16"/>
        </w:rPr>
        <w:tab/>
        <w:t>Probenehmer</w:t>
      </w:r>
    </w:p>
    <w:p>
      <w:pPr>
        <w:pStyle w:val="GesAbsatz"/>
        <w:rPr>
          <w:rFonts w:cs="Arial"/>
        </w:rPr>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01.03.1994</w:t>
    </w:r>
    <w:r>
      <w:tab/>
      <w:t xml:space="preserve">Seite </w:t>
    </w:r>
    <w:r>
      <w:fldChar w:fldCharType="begin"/>
    </w:r>
    <w:r>
      <w:instrText xml:space="preserve"> PAGE  \* MERGEFORMAT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GesAbsatz"/>
        <w:rPr>
          <w:sz w:val="16"/>
        </w:rPr>
      </w:pPr>
      <w:r>
        <w:rPr>
          <w:rStyle w:val="Funotenzeichen"/>
        </w:rPr>
        <w:t>*)</w:t>
      </w:r>
      <w:r>
        <w:t xml:space="preserve"> </w:t>
      </w:r>
      <w:r>
        <w:rPr>
          <w:sz w:val="16"/>
        </w:rPr>
        <w:t>Zur Bestimmung des für die Ablagerung relevanten biologisch abbaubaren organisch gebundenen Kohlenstoffgehaltes ist eine spezielle Untersuchungsmethode entwickelt worden (Technische Vereinigung der Großkraftwerksbetreiber/VGB: »Bestimmung von organischem Kohlenstoff in Müllverbrennungsschlacken unter Berücksichtigung des Kokskohlenstoffgehaltes«, Ausgaben 1/93).</w:t>
      </w:r>
    </w:p>
  </w:footnote>
  <w:footnote w:id="2">
    <w:p>
      <w:pPr>
        <w:pStyle w:val="Funotentext"/>
      </w:pPr>
      <w:r>
        <w:rPr>
          <w:rStyle w:val="Funotenzeichen"/>
        </w:rPr>
        <w:footnoteRef/>
      </w:r>
      <w:r>
        <w:t xml:space="preserve"> </w:t>
      </w:r>
      <w:r>
        <w:rPr>
          <w:rFonts w:cs="Arial"/>
          <w:szCs w:val="16"/>
        </w:rPr>
        <w:t>für gering belastetes Trink-, Grund- und Oberflächenwasser</w:t>
      </w:r>
    </w:p>
  </w:footnote>
  <w:footnote w:id="3">
    <w:p>
      <w:pPr>
        <w:pStyle w:val="Funotentext"/>
      </w:pPr>
      <w:r>
        <w:rPr>
          <w:rStyle w:val="Funotenzeichen"/>
        </w:rPr>
        <w:footnoteRef/>
      </w:r>
      <w:r>
        <w:t xml:space="preserve"> </w:t>
      </w:r>
      <w:r>
        <w:rPr>
          <w:rFonts w:cs="Arial"/>
          <w:szCs w:val="16"/>
        </w:rPr>
        <w:t>Ist anzugeben</w:t>
      </w:r>
    </w:p>
  </w:footnote>
  <w:footnote w:id="4">
    <w:p>
      <w:pPr>
        <w:pStyle w:val="Funotentext"/>
      </w:pPr>
      <w:r>
        <w:rPr>
          <w:rStyle w:val="Funotenzeichen"/>
        </w:rPr>
        <w:footnoteRef/>
      </w:r>
      <w:r>
        <w:t xml:space="preserve"> Für Altanlagen gilt 3 Masse-%.</w:t>
      </w:r>
    </w:p>
  </w:footnote>
  <w:footnote w:id="5">
    <w:p>
      <w:pPr>
        <w:pStyle w:val="Funotentext"/>
      </w:pPr>
      <w:r>
        <w:rPr>
          <w:rStyle w:val="Funotenzeichen"/>
        </w:rPr>
        <w:footnoteRef/>
      </w:r>
      <w:r>
        <w:t xml:space="preserve"> </w:t>
      </w:r>
      <w:r>
        <w:rPr>
          <w:rFonts w:cs="Arial"/>
          <w:szCs w:val="16"/>
        </w:rPr>
        <w:t>Ist zur Erfahrungssammlung zu bestimmen.</w:t>
      </w:r>
    </w:p>
  </w:footnote>
  <w:footnote w:id="6">
    <w:p>
      <w:pPr>
        <w:pStyle w:val="GesAbsatz"/>
        <w:rPr>
          <w:sz w:val="16"/>
        </w:rPr>
      </w:pPr>
      <w:r>
        <w:rPr>
          <w:rStyle w:val="Funotenzeichen"/>
        </w:rPr>
        <w:footnoteRef/>
      </w:r>
      <w:r>
        <w:t xml:space="preserve"> </w:t>
      </w:r>
      <w:r>
        <w:rPr>
          <w:sz w:val="16"/>
        </w:rPr>
        <w:t>Die angegebenen Werte dienen als Anhalt. Probenahme gemäß Anhang 3 am Ende des Verbrennungsrostes nach Nassentschlacker oder einem anderen Austragsystem. Untersucht werden soll die – auch labormäßig – entschrottete HMV-Rohschlacke.</w:t>
      </w:r>
    </w:p>
  </w:footnote>
  <w:footnote w:id="7">
    <w:p>
      <w:pPr>
        <w:pStyle w:val="Funotentext"/>
      </w:pPr>
      <w:r>
        <w:rPr>
          <w:rStyle w:val="Funotenzeichen"/>
        </w:rPr>
        <w:footnoteRef/>
      </w:r>
      <w:r>
        <w:t xml:space="preserve"> </w:t>
      </w:r>
      <w:r>
        <w:rPr>
          <w:rFonts w:cs="Arial"/>
          <w:szCs w:val="16"/>
        </w:rPr>
        <w:t>Ist anzugeben.</w:t>
      </w:r>
    </w:p>
  </w:footnote>
  <w:footnote w:id="8">
    <w:p>
      <w:pPr>
        <w:pStyle w:val="GesAbsatz"/>
        <w:rPr>
          <w:sz w:val="16"/>
        </w:rPr>
      </w:pPr>
      <w:r>
        <w:rPr>
          <w:rStyle w:val="Funotenzeichen"/>
        </w:rPr>
        <w:footnoteRef/>
      </w:r>
      <w:r>
        <w:t xml:space="preserve"> </w:t>
      </w:r>
      <w:r>
        <w:rPr>
          <w:sz w:val="16"/>
        </w:rPr>
        <w:t>PAK, Arsen und Quecksilber sind zusätzlich zur Erfahrungssammlung zu bestimmen.</w:t>
      </w:r>
    </w:p>
  </w:footnote>
  <w:footnote w:id="9">
    <w:p>
      <w:pPr>
        <w:pStyle w:val="GesAbsatz"/>
        <w:rPr>
          <w:sz w:val="16"/>
        </w:rPr>
      </w:pPr>
      <w:r>
        <w:rPr>
          <w:rStyle w:val="Funotenzeichen"/>
        </w:rPr>
        <w:footnoteRef/>
      </w:r>
      <w:r>
        <w:t xml:space="preserve"> </w:t>
      </w:r>
      <w:r>
        <w:rPr>
          <w:sz w:val="16"/>
        </w:rPr>
        <w:t>Die Bestimmung erfolgt jährlich. Dabei sind Congenere unterhalb der Nachweisgrenze 0,2 ng/kg nicht zu berücksichtigen.</w:t>
      </w:r>
    </w:p>
  </w:footnote>
  <w:footnote w:id="10">
    <w:p>
      <w:pPr>
        <w:pStyle w:val="GesAbsatz"/>
        <w:rPr>
          <w:sz w:val="16"/>
        </w:rPr>
      </w:pPr>
      <w:r>
        <w:rPr>
          <w:rStyle w:val="Funotenzeichen"/>
        </w:rPr>
        <w:t>*)</w:t>
      </w:r>
      <w:r>
        <w:t xml:space="preserve"> </w:t>
      </w:r>
      <w:r>
        <w:rPr>
          <w:sz w:val="16"/>
        </w:rPr>
        <w:t>Stahlschrottsortenliste des Bundesverbandes der Deutschen Stahl-Recycling-Wirtschaft e. V. in der Fassung vom 1. September 1990.</w:t>
      </w:r>
    </w:p>
  </w:footnote>
  <w:footnote w:id="11">
    <w:p>
      <w:pPr>
        <w:pStyle w:val="GesAbsatz"/>
        <w:rPr>
          <w:sz w:val="16"/>
        </w:rPr>
      </w:pPr>
      <w:r>
        <w:rPr>
          <w:rStyle w:val="Funotenzeichen"/>
        </w:rPr>
        <w:t>*)</w:t>
      </w:r>
      <w:r>
        <w:t xml:space="preserve"> </w:t>
      </w:r>
      <w:r>
        <w:rPr>
          <w:sz w:val="16"/>
        </w:rPr>
        <w:t>Diese Spezifikation setzt voraus, dass nicht mehr als 4–5% des NaCl-Abfalles dem Salz. das normalerweise als Rohstoff für die Elektrolyse eingesetzt wird, möglichst gleichmäßig zugemischt wird. Verunreinigungen mit Bor sind zu vermeiden.</w:t>
      </w:r>
    </w:p>
  </w:footnote>
  <w:footnote w:id="12">
    <w:p>
      <w:pPr>
        <w:pStyle w:val="GesAbsatz"/>
        <w:rPr>
          <w:sz w:val="16"/>
        </w:rPr>
      </w:pPr>
      <w:r>
        <w:rPr>
          <w:rStyle w:val="Funotenzeichen"/>
        </w:rPr>
        <w:t>*)</w:t>
      </w:r>
      <w:r>
        <w:t xml:space="preserve"> </w:t>
      </w:r>
      <w:r>
        <w:rPr>
          <w:sz w:val="16"/>
        </w:rPr>
        <w:t>Die sonstigen Anforderungen für technische Salzsäure sind in der DIN 19610 (Salzsäure zur Wasseraufbereitung) festgelegt.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49.0-06</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7AB65D-036E-4AEF-BAE7-02B257AD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20</Pages>
  <Words>5415</Words>
  <Characters>38363</Characters>
  <Application>Microsoft Office Word</Application>
  <DocSecurity>0</DocSecurity>
  <Lines>319</Lines>
  <Paragraphs>87</Paragraphs>
  <ScaleCrop>false</ScaleCrop>
  <HeadingPairs>
    <vt:vector size="2" baseType="variant">
      <vt:variant>
        <vt:lpstr>Titel</vt:lpstr>
      </vt:variant>
      <vt:variant>
        <vt:i4>1</vt:i4>
      </vt:variant>
    </vt:vector>
  </HeadingPairs>
  <TitlesOfParts>
    <vt:vector size="1" baseType="lpstr">
      <vt:lpstr>Merkblatt der Landesarbeitsgemeinschaft Abfall für die Entsorgung von Abfällen aus Verbrennungsanlagen für Siedlungsabfälle</vt:lpstr>
    </vt:vector>
  </TitlesOfParts>
  <Company>LANUV NRW</Company>
  <LinksUpToDate>false</LinksUpToDate>
  <CharactersWithSpaces>43691</CharactersWithSpaces>
  <SharedDoc>false</SharedDoc>
  <HLinks>
    <vt:vector size="138" baseType="variant">
      <vt:variant>
        <vt:i4>1966137</vt:i4>
      </vt:variant>
      <vt:variant>
        <vt:i4>134</vt:i4>
      </vt:variant>
      <vt:variant>
        <vt:i4>0</vt:i4>
      </vt:variant>
      <vt:variant>
        <vt:i4>5</vt:i4>
      </vt:variant>
      <vt:variant>
        <vt:lpwstr/>
      </vt:variant>
      <vt:variant>
        <vt:lpwstr>_Toc44306489</vt:lpwstr>
      </vt:variant>
      <vt:variant>
        <vt:i4>2031673</vt:i4>
      </vt:variant>
      <vt:variant>
        <vt:i4>128</vt:i4>
      </vt:variant>
      <vt:variant>
        <vt:i4>0</vt:i4>
      </vt:variant>
      <vt:variant>
        <vt:i4>5</vt:i4>
      </vt:variant>
      <vt:variant>
        <vt:lpwstr/>
      </vt:variant>
      <vt:variant>
        <vt:lpwstr>_Toc44306488</vt:lpwstr>
      </vt:variant>
      <vt:variant>
        <vt:i4>1048633</vt:i4>
      </vt:variant>
      <vt:variant>
        <vt:i4>122</vt:i4>
      </vt:variant>
      <vt:variant>
        <vt:i4>0</vt:i4>
      </vt:variant>
      <vt:variant>
        <vt:i4>5</vt:i4>
      </vt:variant>
      <vt:variant>
        <vt:lpwstr/>
      </vt:variant>
      <vt:variant>
        <vt:lpwstr>_Toc44306487</vt:lpwstr>
      </vt:variant>
      <vt:variant>
        <vt:i4>1114169</vt:i4>
      </vt:variant>
      <vt:variant>
        <vt:i4>116</vt:i4>
      </vt:variant>
      <vt:variant>
        <vt:i4>0</vt:i4>
      </vt:variant>
      <vt:variant>
        <vt:i4>5</vt:i4>
      </vt:variant>
      <vt:variant>
        <vt:lpwstr/>
      </vt:variant>
      <vt:variant>
        <vt:lpwstr>_Toc44306486</vt:lpwstr>
      </vt:variant>
      <vt:variant>
        <vt:i4>1179705</vt:i4>
      </vt:variant>
      <vt:variant>
        <vt:i4>110</vt:i4>
      </vt:variant>
      <vt:variant>
        <vt:i4>0</vt:i4>
      </vt:variant>
      <vt:variant>
        <vt:i4>5</vt:i4>
      </vt:variant>
      <vt:variant>
        <vt:lpwstr/>
      </vt:variant>
      <vt:variant>
        <vt:lpwstr>_Toc44306485</vt:lpwstr>
      </vt:variant>
      <vt:variant>
        <vt:i4>1245241</vt:i4>
      </vt:variant>
      <vt:variant>
        <vt:i4>104</vt:i4>
      </vt:variant>
      <vt:variant>
        <vt:i4>0</vt:i4>
      </vt:variant>
      <vt:variant>
        <vt:i4>5</vt:i4>
      </vt:variant>
      <vt:variant>
        <vt:lpwstr/>
      </vt:variant>
      <vt:variant>
        <vt:lpwstr>_Toc44306484</vt:lpwstr>
      </vt:variant>
      <vt:variant>
        <vt:i4>1310777</vt:i4>
      </vt:variant>
      <vt:variant>
        <vt:i4>98</vt:i4>
      </vt:variant>
      <vt:variant>
        <vt:i4>0</vt:i4>
      </vt:variant>
      <vt:variant>
        <vt:i4>5</vt:i4>
      </vt:variant>
      <vt:variant>
        <vt:lpwstr/>
      </vt:variant>
      <vt:variant>
        <vt:lpwstr>_Toc44306483</vt:lpwstr>
      </vt:variant>
      <vt:variant>
        <vt:i4>1376313</vt:i4>
      </vt:variant>
      <vt:variant>
        <vt:i4>92</vt:i4>
      </vt:variant>
      <vt:variant>
        <vt:i4>0</vt:i4>
      </vt:variant>
      <vt:variant>
        <vt:i4>5</vt:i4>
      </vt:variant>
      <vt:variant>
        <vt:lpwstr/>
      </vt:variant>
      <vt:variant>
        <vt:lpwstr>_Toc44306482</vt:lpwstr>
      </vt:variant>
      <vt:variant>
        <vt:i4>1441849</vt:i4>
      </vt:variant>
      <vt:variant>
        <vt:i4>86</vt:i4>
      </vt:variant>
      <vt:variant>
        <vt:i4>0</vt:i4>
      </vt:variant>
      <vt:variant>
        <vt:i4>5</vt:i4>
      </vt:variant>
      <vt:variant>
        <vt:lpwstr/>
      </vt:variant>
      <vt:variant>
        <vt:lpwstr>_Toc44306481</vt:lpwstr>
      </vt:variant>
      <vt:variant>
        <vt:i4>1507385</vt:i4>
      </vt:variant>
      <vt:variant>
        <vt:i4>80</vt:i4>
      </vt:variant>
      <vt:variant>
        <vt:i4>0</vt:i4>
      </vt:variant>
      <vt:variant>
        <vt:i4>5</vt:i4>
      </vt:variant>
      <vt:variant>
        <vt:lpwstr/>
      </vt:variant>
      <vt:variant>
        <vt:lpwstr>_Toc44306480</vt:lpwstr>
      </vt:variant>
      <vt:variant>
        <vt:i4>1966134</vt:i4>
      </vt:variant>
      <vt:variant>
        <vt:i4>74</vt:i4>
      </vt:variant>
      <vt:variant>
        <vt:i4>0</vt:i4>
      </vt:variant>
      <vt:variant>
        <vt:i4>5</vt:i4>
      </vt:variant>
      <vt:variant>
        <vt:lpwstr/>
      </vt:variant>
      <vt:variant>
        <vt:lpwstr>_Toc44306479</vt:lpwstr>
      </vt:variant>
      <vt:variant>
        <vt:i4>2031670</vt:i4>
      </vt:variant>
      <vt:variant>
        <vt:i4>68</vt:i4>
      </vt:variant>
      <vt:variant>
        <vt:i4>0</vt:i4>
      </vt:variant>
      <vt:variant>
        <vt:i4>5</vt:i4>
      </vt:variant>
      <vt:variant>
        <vt:lpwstr/>
      </vt:variant>
      <vt:variant>
        <vt:lpwstr>_Toc44306478</vt:lpwstr>
      </vt:variant>
      <vt:variant>
        <vt:i4>1048630</vt:i4>
      </vt:variant>
      <vt:variant>
        <vt:i4>62</vt:i4>
      </vt:variant>
      <vt:variant>
        <vt:i4>0</vt:i4>
      </vt:variant>
      <vt:variant>
        <vt:i4>5</vt:i4>
      </vt:variant>
      <vt:variant>
        <vt:lpwstr/>
      </vt:variant>
      <vt:variant>
        <vt:lpwstr>_Toc44306477</vt:lpwstr>
      </vt:variant>
      <vt:variant>
        <vt:i4>1114166</vt:i4>
      </vt:variant>
      <vt:variant>
        <vt:i4>56</vt:i4>
      </vt:variant>
      <vt:variant>
        <vt:i4>0</vt:i4>
      </vt:variant>
      <vt:variant>
        <vt:i4>5</vt:i4>
      </vt:variant>
      <vt:variant>
        <vt:lpwstr/>
      </vt:variant>
      <vt:variant>
        <vt:lpwstr>_Toc44306476</vt:lpwstr>
      </vt:variant>
      <vt:variant>
        <vt:i4>1179702</vt:i4>
      </vt:variant>
      <vt:variant>
        <vt:i4>50</vt:i4>
      </vt:variant>
      <vt:variant>
        <vt:i4>0</vt:i4>
      </vt:variant>
      <vt:variant>
        <vt:i4>5</vt:i4>
      </vt:variant>
      <vt:variant>
        <vt:lpwstr/>
      </vt:variant>
      <vt:variant>
        <vt:lpwstr>_Toc44306475</vt:lpwstr>
      </vt:variant>
      <vt:variant>
        <vt:i4>1245238</vt:i4>
      </vt:variant>
      <vt:variant>
        <vt:i4>44</vt:i4>
      </vt:variant>
      <vt:variant>
        <vt:i4>0</vt:i4>
      </vt:variant>
      <vt:variant>
        <vt:i4>5</vt:i4>
      </vt:variant>
      <vt:variant>
        <vt:lpwstr/>
      </vt:variant>
      <vt:variant>
        <vt:lpwstr>_Toc44306474</vt:lpwstr>
      </vt:variant>
      <vt:variant>
        <vt:i4>1310774</vt:i4>
      </vt:variant>
      <vt:variant>
        <vt:i4>38</vt:i4>
      </vt:variant>
      <vt:variant>
        <vt:i4>0</vt:i4>
      </vt:variant>
      <vt:variant>
        <vt:i4>5</vt:i4>
      </vt:variant>
      <vt:variant>
        <vt:lpwstr/>
      </vt:variant>
      <vt:variant>
        <vt:lpwstr>_Toc44306473</vt:lpwstr>
      </vt:variant>
      <vt:variant>
        <vt:i4>1376310</vt:i4>
      </vt:variant>
      <vt:variant>
        <vt:i4>32</vt:i4>
      </vt:variant>
      <vt:variant>
        <vt:i4>0</vt:i4>
      </vt:variant>
      <vt:variant>
        <vt:i4>5</vt:i4>
      </vt:variant>
      <vt:variant>
        <vt:lpwstr/>
      </vt:variant>
      <vt:variant>
        <vt:lpwstr>_Toc44306472</vt:lpwstr>
      </vt:variant>
      <vt:variant>
        <vt:i4>1441846</vt:i4>
      </vt:variant>
      <vt:variant>
        <vt:i4>26</vt:i4>
      </vt:variant>
      <vt:variant>
        <vt:i4>0</vt:i4>
      </vt:variant>
      <vt:variant>
        <vt:i4>5</vt:i4>
      </vt:variant>
      <vt:variant>
        <vt:lpwstr/>
      </vt:variant>
      <vt:variant>
        <vt:lpwstr>_Toc44306471</vt:lpwstr>
      </vt:variant>
      <vt:variant>
        <vt:i4>1507382</vt:i4>
      </vt:variant>
      <vt:variant>
        <vt:i4>20</vt:i4>
      </vt:variant>
      <vt:variant>
        <vt:i4>0</vt:i4>
      </vt:variant>
      <vt:variant>
        <vt:i4>5</vt:i4>
      </vt:variant>
      <vt:variant>
        <vt:lpwstr/>
      </vt:variant>
      <vt:variant>
        <vt:lpwstr>_Toc44306470</vt:lpwstr>
      </vt:variant>
      <vt:variant>
        <vt:i4>1966135</vt:i4>
      </vt:variant>
      <vt:variant>
        <vt:i4>14</vt:i4>
      </vt:variant>
      <vt:variant>
        <vt:i4>0</vt:i4>
      </vt:variant>
      <vt:variant>
        <vt:i4>5</vt:i4>
      </vt:variant>
      <vt:variant>
        <vt:lpwstr/>
      </vt:variant>
      <vt:variant>
        <vt:lpwstr>_Toc44306469</vt:lpwstr>
      </vt:variant>
      <vt:variant>
        <vt:i4>2031671</vt:i4>
      </vt:variant>
      <vt:variant>
        <vt:i4>8</vt:i4>
      </vt:variant>
      <vt:variant>
        <vt:i4>0</vt:i4>
      </vt:variant>
      <vt:variant>
        <vt:i4>5</vt:i4>
      </vt:variant>
      <vt:variant>
        <vt:lpwstr/>
      </vt:variant>
      <vt:variant>
        <vt:lpwstr>_Toc44306468</vt:lpwstr>
      </vt:variant>
      <vt:variant>
        <vt:i4>1048631</vt:i4>
      </vt:variant>
      <vt:variant>
        <vt:i4>2</vt:i4>
      </vt:variant>
      <vt:variant>
        <vt:i4>0</vt:i4>
      </vt:variant>
      <vt:variant>
        <vt:i4>5</vt:i4>
      </vt:variant>
      <vt:variant>
        <vt:lpwstr/>
      </vt:variant>
      <vt:variant>
        <vt:lpwstr>_Toc44306467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der Landesarbeitsgemeinschaft Abfall für die Entsorgung von Abfällen aus Verbrennungsanlagen für Siedlungsabfälle</dc:title>
  <dc:creator>Natrop</dc:creator>
  <cp:lastModifiedBy>Rüter, Dr., Ingo</cp:lastModifiedBy>
  <cp:revision>5</cp:revision>
  <cp:lastPrinted>1899-12-31T23:00:00Z</cp:lastPrinted>
  <dcterms:created xsi:type="dcterms:W3CDTF">2014-09-05T13:31:00Z</dcterms:created>
  <dcterms:modified xsi:type="dcterms:W3CDTF">2024-06-14T07:14:00Z</dcterms:modified>
</cp:coreProperties>
</file>