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spacing w:before="0"/>
        <w:rPr>
          <w:rFonts w:eastAsia="Arial Unicode MS"/>
        </w:rPr>
      </w:pPr>
      <w:bookmarkStart w:id="0" w:name="_Toc45599489"/>
      <w:r>
        <w:rPr>
          <w:rFonts w:eastAsia="Arial Unicode MS"/>
        </w:rPr>
        <w:t>Bio</w:t>
      </w:r>
      <w:bookmarkStart w:id="1" w:name="_GoBack"/>
      <w:bookmarkEnd w:id="1"/>
      <w:r>
        <w:rPr>
          <w:rFonts w:eastAsia="Arial Unicode MS"/>
        </w:rPr>
        <w:t>abfallsammlung und Kompostverwertung</w:t>
      </w:r>
      <w:r>
        <w:rPr>
          <w:rFonts w:eastAsia="Arial Unicode MS"/>
        </w:rPr>
        <w:br/>
        <w:t>in Nordrhein-Westfalen</w:t>
      </w:r>
      <w:bookmarkEnd w:id="0"/>
    </w:p>
    <w:p>
      <w:pPr>
        <w:pStyle w:val="GesAbsatz"/>
        <w:jc w:val="center"/>
        <w:rPr>
          <w:rFonts w:eastAsia="Arial Unicode MS" w:cs="Arial"/>
        </w:rPr>
      </w:pPr>
    </w:p>
    <w:p>
      <w:pPr>
        <w:pStyle w:val="GesAbsatz"/>
        <w:jc w:val="center"/>
        <w:rPr>
          <w:rFonts w:eastAsia="Arial Unicode MS" w:cs="Arial"/>
          <w:b/>
          <w:bCs/>
          <w:sz w:val="22"/>
        </w:rPr>
      </w:pPr>
      <w:r>
        <w:rPr>
          <w:rFonts w:eastAsia="Arial Unicode MS" w:cs="Arial"/>
          <w:b/>
          <w:bCs/>
          <w:sz w:val="22"/>
        </w:rPr>
        <w:t>Inhalt:</w:t>
      </w:r>
    </w:p>
    <w:p>
      <w:pPr>
        <w:pStyle w:val="Verzeichnis1"/>
        <w:tabs>
          <w:tab w:val="clear" w:pos="9638"/>
          <w:tab w:val="right" w:leader="dot" w:pos="9628"/>
        </w:tabs>
        <w:rPr>
          <w:b w:val="0"/>
          <w:bCs/>
          <w:caps w:val="0"/>
          <w:noProof/>
          <w:sz w:val="24"/>
        </w:rPr>
      </w:pPr>
      <w:r>
        <w:rPr>
          <w:rFonts w:eastAsia="Arial Unicode MS" w:cs="Arial"/>
        </w:rPr>
        <w:fldChar w:fldCharType="begin"/>
      </w:r>
      <w:r>
        <w:rPr>
          <w:rFonts w:eastAsia="Arial Unicode MS" w:cs="Arial"/>
        </w:rPr>
        <w:instrText xml:space="preserve"> TOC \o "1-3" \h \z </w:instrText>
      </w:r>
      <w:r>
        <w:rPr>
          <w:rFonts w:eastAsia="Arial Unicode MS" w:cs="Arial"/>
        </w:rPr>
        <w:fldChar w:fldCharType="separate"/>
      </w:r>
      <w:hyperlink w:anchor="_Toc45599489" w:history="1">
        <w:r>
          <w:rPr>
            <w:rStyle w:val="Hyperlink"/>
            <w:rFonts w:eastAsia="Arial Unicode MS"/>
            <w:noProof/>
            <w:szCs w:val="28"/>
          </w:rPr>
          <w:t>Bioabfallsammlung und Kompostverwertung in Nordrhein-Westfalen</w:t>
        </w:r>
        <w:r>
          <w:rPr>
            <w:noProof/>
            <w:webHidden/>
          </w:rPr>
          <w:tab/>
        </w:r>
        <w:r>
          <w:rPr>
            <w:noProof/>
            <w:webHidden/>
          </w:rPr>
          <w:fldChar w:fldCharType="begin"/>
        </w:r>
        <w:r>
          <w:rPr>
            <w:noProof/>
            <w:webHidden/>
          </w:rPr>
          <w:instrText xml:space="preserve"> PAGEREF _Toc45599489 \h </w:instrText>
        </w:r>
        <w:r>
          <w:rPr>
            <w:noProof/>
            <w:webHidden/>
          </w:rPr>
        </w:r>
        <w:r>
          <w:rPr>
            <w:noProof/>
            <w:webHidden/>
          </w:rPr>
          <w:fldChar w:fldCharType="separate"/>
        </w:r>
        <w:r>
          <w:rPr>
            <w:noProof/>
            <w:webHidden/>
          </w:rPr>
          <w:t>1</w:t>
        </w:r>
        <w:r>
          <w:rPr>
            <w:noProof/>
            <w:webHidden/>
          </w:rPr>
          <w:fldChar w:fldCharType="end"/>
        </w:r>
      </w:hyperlink>
    </w:p>
    <w:p>
      <w:pPr>
        <w:pStyle w:val="Verzeichnis2"/>
        <w:tabs>
          <w:tab w:val="clear" w:pos="9638"/>
          <w:tab w:val="right" w:leader="dot" w:pos="9628"/>
        </w:tabs>
        <w:rPr>
          <w:smallCaps w:val="0"/>
          <w:noProof/>
          <w:sz w:val="24"/>
        </w:rPr>
      </w:pPr>
      <w:hyperlink w:anchor="_Toc45599490" w:history="1">
        <w:r>
          <w:rPr>
            <w:rStyle w:val="Hyperlink"/>
            <w:rFonts w:eastAsia="Arial Unicode MS"/>
            <w:noProof/>
          </w:rPr>
          <w:t>1 Rechtliche Rahmenbedingungen der Kompostverwertung</w:t>
        </w:r>
        <w:r>
          <w:rPr>
            <w:noProof/>
            <w:webHidden/>
          </w:rPr>
          <w:tab/>
        </w:r>
        <w:r>
          <w:rPr>
            <w:noProof/>
            <w:webHidden/>
          </w:rPr>
          <w:fldChar w:fldCharType="begin"/>
        </w:r>
        <w:r>
          <w:rPr>
            <w:noProof/>
            <w:webHidden/>
          </w:rPr>
          <w:instrText xml:space="preserve"> PAGEREF _Toc45599490 \h </w:instrText>
        </w:r>
        <w:r>
          <w:rPr>
            <w:noProof/>
            <w:webHidden/>
          </w:rPr>
        </w:r>
        <w:r>
          <w:rPr>
            <w:noProof/>
            <w:webHidden/>
          </w:rPr>
          <w:fldChar w:fldCharType="separate"/>
        </w:r>
        <w:r>
          <w:rPr>
            <w:noProof/>
            <w:webHidden/>
          </w:rPr>
          <w:t>1</w:t>
        </w:r>
        <w:r>
          <w:rPr>
            <w:noProof/>
            <w:webHidden/>
          </w:rPr>
          <w:fldChar w:fldCharType="end"/>
        </w:r>
      </w:hyperlink>
    </w:p>
    <w:p>
      <w:pPr>
        <w:pStyle w:val="Verzeichnis2"/>
        <w:tabs>
          <w:tab w:val="clear" w:pos="9638"/>
          <w:tab w:val="right" w:leader="dot" w:pos="9628"/>
        </w:tabs>
        <w:rPr>
          <w:smallCaps w:val="0"/>
          <w:noProof/>
          <w:sz w:val="24"/>
        </w:rPr>
      </w:pPr>
      <w:hyperlink w:anchor="_Toc45599491" w:history="1">
        <w:r>
          <w:rPr>
            <w:rStyle w:val="Hyperlink"/>
            <w:rFonts w:eastAsia="Arial Unicode MS"/>
            <w:noProof/>
          </w:rPr>
          <w:t>2 Vorgehensweise bei der Datenerhebung</w:t>
        </w:r>
        <w:r>
          <w:rPr>
            <w:noProof/>
            <w:webHidden/>
          </w:rPr>
          <w:tab/>
        </w:r>
        <w:r>
          <w:rPr>
            <w:noProof/>
            <w:webHidden/>
          </w:rPr>
          <w:fldChar w:fldCharType="begin"/>
        </w:r>
        <w:r>
          <w:rPr>
            <w:noProof/>
            <w:webHidden/>
          </w:rPr>
          <w:instrText xml:space="preserve"> PAGEREF _Toc45599491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492" w:history="1">
        <w:r>
          <w:rPr>
            <w:rStyle w:val="Hyperlink"/>
            <w:noProof/>
          </w:rPr>
          <w:t>2.2 Grün- und Bioabfallkomposte</w:t>
        </w:r>
        <w:r>
          <w:rPr>
            <w:noProof/>
            <w:webHidden/>
          </w:rPr>
          <w:tab/>
        </w:r>
        <w:r>
          <w:rPr>
            <w:noProof/>
            <w:webHidden/>
          </w:rPr>
          <w:fldChar w:fldCharType="begin"/>
        </w:r>
        <w:r>
          <w:rPr>
            <w:noProof/>
            <w:webHidden/>
          </w:rPr>
          <w:instrText xml:space="preserve"> PAGEREF _Toc45599492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493" w:history="1">
        <w:r>
          <w:rPr>
            <w:rStyle w:val="Hyperlink"/>
            <w:noProof/>
          </w:rPr>
          <w:t>2.3 Wirtschaftsdünger</w:t>
        </w:r>
        <w:r>
          <w:rPr>
            <w:noProof/>
            <w:webHidden/>
          </w:rPr>
          <w:tab/>
        </w:r>
        <w:r>
          <w:rPr>
            <w:noProof/>
            <w:webHidden/>
          </w:rPr>
          <w:fldChar w:fldCharType="begin"/>
        </w:r>
        <w:r>
          <w:rPr>
            <w:noProof/>
            <w:webHidden/>
          </w:rPr>
          <w:instrText xml:space="preserve"> PAGEREF _Toc45599493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494" w:history="1">
        <w:r>
          <w:rPr>
            <w:rStyle w:val="Hyperlink"/>
            <w:noProof/>
          </w:rPr>
          <w:t>2.4 Klärschlamm</w:t>
        </w:r>
        <w:r>
          <w:rPr>
            <w:noProof/>
            <w:webHidden/>
          </w:rPr>
          <w:tab/>
        </w:r>
        <w:r>
          <w:rPr>
            <w:noProof/>
            <w:webHidden/>
          </w:rPr>
          <w:fldChar w:fldCharType="begin"/>
        </w:r>
        <w:r>
          <w:rPr>
            <w:noProof/>
            <w:webHidden/>
          </w:rPr>
          <w:instrText xml:space="preserve"> PAGEREF _Toc45599494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495" w:history="1">
        <w:r>
          <w:rPr>
            <w:rStyle w:val="Hyperlink"/>
            <w:noProof/>
          </w:rPr>
          <w:t>2.5 Limitierende Schutzgebiete</w:t>
        </w:r>
        <w:r>
          <w:rPr>
            <w:noProof/>
            <w:webHidden/>
          </w:rPr>
          <w:tab/>
        </w:r>
        <w:r>
          <w:rPr>
            <w:noProof/>
            <w:webHidden/>
          </w:rPr>
          <w:fldChar w:fldCharType="begin"/>
        </w:r>
        <w:r>
          <w:rPr>
            <w:noProof/>
            <w:webHidden/>
          </w:rPr>
          <w:instrText xml:space="preserve"> PAGEREF _Toc45599495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496" w:history="1">
        <w:r>
          <w:rPr>
            <w:rStyle w:val="Hyperlink"/>
            <w:noProof/>
          </w:rPr>
          <w:t>2.6 Rindenaufkommen</w:t>
        </w:r>
        <w:r>
          <w:rPr>
            <w:noProof/>
            <w:webHidden/>
          </w:rPr>
          <w:tab/>
        </w:r>
        <w:r>
          <w:rPr>
            <w:noProof/>
            <w:webHidden/>
          </w:rPr>
          <w:fldChar w:fldCharType="begin"/>
        </w:r>
        <w:r>
          <w:rPr>
            <w:noProof/>
            <w:webHidden/>
          </w:rPr>
          <w:instrText xml:space="preserve"> PAGEREF _Toc45599496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497" w:history="1">
        <w:r>
          <w:rPr>
            <w:rStyle w:val="Hyperlink"/>
            <w:noProof/>
          </w:rPr>
          <w:t>2.8 Organische Gewerbeabfälle</w:t>
        </w:r>
        <w:r>
          <w:rPr>
            <w:noProof/>
            <w:webHidden/>
          </w:rPr>
          <w:tab/>
        </w:r>
        <w:r>
          <w:rPr>
            <w:noProof/>
            <w:webHidden/>
          </w:rPr>
          <w:fldChar w:fldCharType="begin"/>
        </w:r>
        <w:r>
          <w:rPr>
            <w:noProof/>
            <w:webHidden/>
          </w:rPr>
          <w:instrText xml:space="preserve"> PAGEREF _Toc45599497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498" w:history="1">
        <w:r>
          <w:rPr>
            <w:rStyle w:val="Hyperlink"/>
            <w:noProof/>
          </w:rPr>
          <w:t>2.9 Fachgespräche</w:t>
        </w:r>
        <w:r>
          <w:rPr>
            <w:noProof/>
            <w:webHidden/>
          </w:rPr>
          <w:tab/>
        </w:r>
        <w:r>
          <w:rPr>
            <w:noProof/>
            <w:webHidden/>
          </w:rPr>
          <w:fldChar w:fldCharType="begin"/>
        </w:r>
        <w:r>
          <w:rPr>
            <w:noProof/>
            <w:webHidden/>
          </w:rPr>
          <w:instrText xml:space="preserve"> PAGEREF _Toc45599498 \h </w:instrText>
        </w:r>
        <w:r>
          <w:rPr>
            <w:noProof/>
            <w:webHidden/>
          </w:rPr>
        </w:r>
        <w:r>
          <w:rPr>
            <w:noProof/>
            <w:webHidden/>
          </w:rPr>
          <w:fldChar w:fldCharType="separate"/>
        </w:r>
        <w:r>
          <w:rPr>
            <w:noProof/>
            <w:webHidden/>
          </w:rPr>
          <w:t>2</w:t>
        </w:r>
        <w:r>
          <w:rPr>
            <w:noProof/>
            <w:webHidden/>
          </w:rPr>
          <w:fldChar w:fldCharType="end"/>
        </w:r>
      </w:hyperlink>
    </w:p>
    <w:p>
      <w:pPr>
        <w:pStyle w:val="Verzeichnis2"/>
        <w:tabs>
          <w:tab w:val="clear" w:pos="9638"/>
          <w:tab w:val="right" w:leader="dot" w:pos="9628"/>
        </w:tabs>
        <w:rPr>
          <w:smallCaps w:val="0"/>
          <w:noProof/>
          <w:sz w:val="24"/>
        </w:rPr>
      </w:pPr>
      <w:hyperlink w:anchor="_Toc45599499" w:history="1">
        <w:r>
          <w:rPr>
            <w:rStyle w:val="Hyperlink"/>
            <w:noProof/>
          </w:rPr>
          <w:t>3. Strukturanalyse zur Kompostverwertung in Nordrhein-Westfalen</w:t>
        </w:r>
        <w:r>
          <w:rPr>
            <w:noProof/>
            <w:webHidden/>
          </w:rPr>
          <w:tab/>
        </w:r>
        <w:r>
          <w:rPr>
            <w:noProof/>
            <w:webHidden/>
          </w:rPr>
          <w:fldChar w:fldCharType="begin"/>
        </w:r>
        <w:r>
          <w:rPr>
            <w:noProof/>
            <w:webHidden/>
          </w:rPr>
          <w:instrText xml:space="preserve"> PAGEREF _Toc45599499 \h </w:instrText>
        </w:r>
        <w:r>
          <w:rPr>
            <w:noProof/>
            <w:webHidden/>
          </w:rPr>
        </w:r>
        <w:r>
          <w:rPr>
            <w:noProof/>
            <w:webHidden/>
          </w:rPr>
          <w:fldChar w:fldCharType="separate"/>
        </w:r>
        <w:r>
          <w:rPr>
            <w:noProof/>
            <w:webHidden/>
          </w:rPr>
          <w:t>2</w:t>
        </w:r>
        <w:r>
          <w:rPr>
            <w:noProof/>
            <w:webHidden/>
          </w:rPr>
          <w:fldChar w:fldCharType="end"/>
        </w:r>
      </w:hyperlink>
    </w:p>
    <w:p>
      <w:pPr>
        <w:pStyle w:val="Verzeichnis2"/>
        <w:tabs>
          <w:tab w:val="clear" w:pos="9638"/>
          <w:tab w:val="right" w:leader="dot" w:pos="9628"/>
        </w:tabs>
        <w:rPr>
          <w:smallCaps w:val="0"/>
          <w:noProof/>
          <w:sz w:val="24"/>
        </w:rPr>
      </w:pPr>
      <w:hyperlink w:anchor="_Toc45599500" w:history="1">
        <w:r>
          <w:rPr>
            <w:rStyle w:val="Hyperlink"/>
            <w:noProof/>
          </w:rPr>
          <w:t>4 Ist-Situation der Kompostverwertung</w:t>
        </w:r>
        <w:r>
          <w:rPr>
            <w:noProof/>
            <w:webHidden/>
          </w:rPr>
          <w:tab/>
        </w:r>
        <w:r>
          <w:rPr>
            <w:noProof/>
            <w:webHidden/>
          </w:rPr>
          <w:fldChar w:fldCharType="begin"/>
        </w:r>
        <w:r>
          <w:rPr>
            <w:noProof/>
            <w:webHidden/>
          </w:rPr>
          <w:instrText xml:space="preserve"> PAGEREF _Toc45599500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501" w:history="1">
        <w:r>
          <w:rPr>
            <w:rStyle w:val="Hyperlink"/>
            <w:noProof/>
          </w:rPr>
          <w:t>4.1 Ergebnisse der Befragung der Anlagenbetreiber</w:t>
        </w:r>
        <w:r>
          <w:rPr>
            <w:noProof/>
            <w:webHidden/>
          </w:rPr>
          <w:tab/>
        </w:r>
        <w:r>
          <w:rPr>
            <w:noProof/>
            <w:webHidden/>
          </w:rPr>
          <w:fldChar w:fldCharType="begin"/>
        </w:r>
        <w:r>
          <w:rPr>
            <w:noProof/>
            <w:webHidden/>
          </w:rPr>
          <w:instrText xml:space="preserve"> PAGEREF _Toc45599501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502" w:history="1">
        <w:r>
          <w:rPr>
            <w:rStyle w:val="Hyperlink"/>
            <w:noProof/>
          </w:rPr>
          <w:t>4.2 Böden und Sekundärrohstoffdünger</w:t>
        </w:r>
        <w:r>
          <w:rPr>
            <w:noProof/>
            <w:webHidden/>
          </w:rPr>
          <w:tab/>
        </w:r>
        <w:r>
          <w:rPr>
            <w:noProof/>
            <w:webHidden/>
          </w:rPr>
          <w:fldChar w:fldCharType="begin"/>
        </w:r>
        <w:r>
          <w:rPr>
            <w:noProof/>
            <w:webHidden/>
          </w:rPr>
          <w:instrText xml:space="preserve"> PAGEREF _Toc45599502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503" w:history="1">
        <w:r>
          <w:rPr>
            <w:rStyle w:val="Hyperlink"/>
            <w:noProof/>
          </w:rPr>
          <w:t>4.3 Einschätzungen durch Fachkreise und Multiplikatoren</w:t>
        </w:r>
        <w:r>
          <w:rPr>
            <w:noProof/>
            <w:webHidden/>
          </w:rPr>
          <w:tab/>
        </w:r>
        <w:r>
          <w:rPr>
            <w:noProof/>
            <w:webHidden/>
          </w:rPr>
          <w:fldChar w:fldCharType="begin"/>
        </w:r>
        <w:r>
          <w:rPr>
            <w:noProof/>
            <w:webHidden/>
          </w:rPr>
          <w:instrText xml:space="preserve"> PAGEREF _Toc45599503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504" w:history="1">
        <w:r>
          <w:rPr>
            <w:rStyle w:val="Hyperlink"/>
            <w:noProof/>
          </w:rPr>
          <w:t>4.4 Beurteilung der Kompostqualitäten und Substitutionsmöglichkeiten</w:t>
        </w:r>
        <w:r>
          <w:rPr>
            <w:noProof/>
            <w:webHidden/>
          </w:rPr>
          <w:tab/>
        </w:r>
        <w:r>
          <w:rPr>
            <w:noProof/>
            <w:webHidden/>
          </w:rPr>
          <w:fldChar w:fldCharType="begin"/>
        </w:r>
        <w:r>
          <w:rPr>
            <w:noProof/>
            <w:webHidden/>
          </w:rPr>
          <w:instrText xml:space="preserve"> PAGEREF _Toc45599504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505" w:history="1">
        <w:r>
          <w:rPr>
            <w:rStyle w:val="Hyperlink"/>
            <w:noProof/>
          </w:rPr>
          <w:t>4.5 Einschätzung der Marktsegmente</w:t>
        </w:r>
        <w:r>
          <w:rPr>
            <w:noProof/>
            <w:webHidden/>
          </w:rPr>
          <w:tab/>
        </w:r>
        <w:r>
          <w:rPr>
            <w:noProof/>
            <w:webHidden/>
          </w:rPr>
          <w:fldChar w:fldCharType="begin"/>
        </w:r>
        <w:r>
          <w:rPr>
            <w:noProof/>
            <w:webHidden/>
          </w:rPr>
          <w:instrText xml:space="preserve"> PAGEREF _Toc45599505 \h </w:instrText>
        </w:r>
        <w:r>
          <w:rPr>
            <w:noProof/>
            <w:webHidden/>
          </w:rPr>
        </w:r>
        <w:r>
          <w:rPr>
            <w:noProof/>
            <w:webHidden/>
          </w:rPr>
          <w:fldChar w:fldCharType="separate"/>
        </w:r>
        <w:r>
          <w:rPr>
            <w:noProof/>
            <w:webHidden/>
          </w:rPr>
          <w:t>2</w:t>
        </w:r>
        <w:r>
          <w:rPr>
            <w:noProof/>
            <w:webHidden/>
          </w:rPr>
          <w:fldChar w:fldCharType="end"/>
        </w:r>
      </w:hyperlink>
    </w:p>
    <w:p>
      <w:pPr>
        <w:pStyle w:val="Verzeichnis2"/>
        <w:tabs>
          <w:tab w:val="clear" w:pos="9638"/>
          <w:tab w:val="right" w:leader="dot" w:pos="9628"/>
        </w:tabs>
        <w:rPr>
          <w:smallCaps w:val="0"/>
          <w:noProof/>
          <w:sz w:val="24"/>
        </w:rPr>
      </w:pPr>
      <w:hyperlink w:anchor="_Toc45599506" w:history="1">
        <w:r>
          <w:rPr>
            <w:rStyle w:val="Hyperlink"/>
            <w:rFonts w:eastAsia="Arial Unicode MS"/>
            <w:noProof/>
          </w:rPr>
          <w:t>5 Prognose der zukünftigen Kompostverwertung</w:t>
        </w:r>
        <w:r>
          <w:rPr>
            <w:noProof/>
            <w:webHidden/>
          </w:rPr>
          <w:tab/>
        </w:r>
        <w:r>
          <w:rPr>
            <w:noProof/>
            <w:webHidden/>
          </w:rPr>
          <w:fldChar w:fldCharType="begin"/>
        </w:r>
        <w:r>
          <w:rPr>
            <w:noProof/>
            <w:webHidden/>
          </w:rPr>
          <w:instrText xml:space="preserve"> PAGEREF _Toc45599506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507" w:history="1">
        <w:r>
          <w:rPr>
            <w:rStyle w:val="Hyperlink"/>
            <w:noProof/>
          </w:rPr>
          <w:t>5.1 Varianten</w:t>
        </w:r>
        <w:r>
          <w:rPr>
            <w:noProof/>
            <w:webHidden/>
          </w:rPr>
          <w:tab/>
        </w:r>
        <w:r>
          <w:rPr>
            <w:noProof/>
            <w:webHidden/>
          </w:rPr>
          <w:fldChar w:fldCharType="begin"/>
        </w:r>
        <w:r>
          <w:rPr>
            <w:noProof/>
            <w:webHidden/>
          </w:rPr>
          <w:instrText xml:space="preserve"> PAGEREF _Toc45599507 \h </w:instrText>
        </w:r>
        <w:r>
          <w:rPr>
            <w:noProof/>
            <w:webHidden/>
          </w:rPr>
        </w:r>
        <w:r>
          <w:rPr>
            <w:noProof/>
            <w:webHidden/>
          </w:rPr>
          <w:fldChar w:fldCharType="separate"/>
        </w:r>
        <w:r>
          <w:rPr>
            <w:noProof/>
            <w:webHidden/>
          </w:rPr>
          <w:t>2</w:t>
        </w:r>
        <w:r>
          <w:rPr>
            <w:noProof/>
            <w:webHidden/>
          </w:rPr>
          <w:fldChar w:fldCharType="end"/>
        </w:r>
      </w:hyperlink>
    </w:p>
    <w:p>
      <w:pPr>
        <w:pStyle w:val="Verzeichnis2"/>
        <w:tabs>
          <w:tab w:val="clear" w:pos="9638"/>
          <w:tab w:val="right" w:leader="dot" w:pos="9628"/>
        </w:tabs>
        <w:rPr>
          <w:smallCaps w:val="0"/>
          <w:noProof/>
          <w:sz w:val="24"/>
        </w:rPr>
      </w:pPr>
      <w:hyperlink w:anchor="_Toc45599508" w:history="1">
        <w:r>
          <w:rPr>
            <w:rStyle w:val="Hyperlink"/>
            <w:rFonts w:eastAsia="Arial Unicode MS"/>
            <w:noProof/>
          </w:rPr>
          <w:t>6 Beurteilung der Verwertungssituation der heutigen und zukünftigen Kompostmengen</w:t>
        </w:r>
        <w:r>
          <w:rPr>
            <w:noProof/>
            <w:webHidden/>
          </w:rPr>
          <w:tab/>
        </w:r>
        <w:r>
          <w:rPr>
            <w:noProof/>
            <w:webHidden/>
          </w:rPr>
          <w:fldChar w:fldCharType="begin"/>
        </w:r>
        <w:r>
          <w:rPr>
            <w:noProof/>
            <w:webHidden/>
          </w:rPr>
          <w:instrText xml:space="preserve"> PAGEREF _Toc45599508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509" w:history="1">
        <w:r>
          <w:rPr>
            <w:rStyle w:val="Hyperlink"/>
            <w:noProof/>
          </w:rPr>
          <w:t>6.1 Beurteilung der Ist-Situation</w:t>
        </w:r>
        <w:r>
          <w:rPr>
            <w:noProof/>
            <w:webHidden/>
          </w:rPr>
          <w:tab/>
        </w:r>
        <w:r>
          <w:rPr>
            <w:noProof/>
            <w:webHidden/>
          </w:rPr>
          <w:fldChar w:fldCharType="begin"/>
        </w:r>
        <w:r>
          <w:rPr>
            <w:noProof/>
            <w:webHidden/>
          </w:rPr>
          <w:instrText xml:space="preserve"> PAGEREF _Toc45599509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510" w:history="1">
        <w:r>
          <w:rPr>
            <w:rStyle w:val="Hyperlink"/>
            <w:noProof/>
          </w:rPr>
          <w:t>6.2 Zukünftige Situation der Kompostverwertung</w:t>
        </w:r>
        <w:r>
          <w:rPr>
            <w:noProof/>
            <w:webHidden/>
          </w:rPr>
          <w:tab/>
        </w:r>
        <w:r>
          <w:rPr>
            <w:noProof/>
            <w:webHidden/>
          </w:rPr>
          <w:fldChar w:fldCharType="begin"/>
        </w:r>
        <w:r>
          <w:rPr>
            <w:noProof/>
            <w:webHidden/>
          </w:rPr>
          <w:instrText xml:space="preserve"> PAGEREF _Toc45599510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clear" w:pos="9638"/>
          <w:tab w:val="right" w:leader="dot" w:pos="9628"/>
        </w:tabs>
        <w:rPr>
          <w:i w:val="0"/>
          <w:iCs/>
          <w:noProof/>
          <w:sz w:val="24"/>
        </w:rPr>
      </w:pPr>
      <w:hyperlink w:anchor="_Toc45599511" w:history="1">
        <w:r>
          <w:rPr>
            <w:rStyle w:val="Hyperlink"/>
            <w:noProof/>
          </w:rPr>
          <w:t>6.3 Schlussfolgerungen</w:t>
        </w:r>
        <w:r>
          <w:rPr>
            <w:noProof/>
            <w:webHidden/>
          </w:rPr>
          <w:tab/>
        </w:r>
        <w:r>
          <w:rPr>
            <w:noProof/>
            <w:webHidden/>
          </w:rPr>
          <w:fldChar w:fldCharType="begin"/>
        </w:r>
        <w:r>
          <w:rPr>
            <w:noProof/>
            <w:webHidden/>
          </w:rPr>
          <w:instrText xml:space="preserve"> PAGEREF _Toc45599511 \h </w:instrText>
        </w:r>
        <w:r>
          <w:rPr>
            <w:noProof/>
            <w:webHidden/>
          </w:rPr>
        </w:r>
        <w:r>
          <w:rPr>
            <w:noProof/>
            <w:webHidden/>
          </w:rPr>
          <w:fldChar w:fldCharType="separate"/>
        </w:r>
        <w:r>
          <w:rPr>
            <w:noProof/>
            <w:webHidden/>
          </w:rPr>
          <w:t>2</w:t>
        </w:r>
        <w:r>
          <w:rPr>
            <w:noProof/>
            <w:webHidden/>
          </w:rPr>
          <w:fldChar w:fldCharType="end"/>
        </w:r>
      </w:hyperlink>
    </w:p>
    <w:p>
      <w:pPr>
        <w:pStyle w:val="GesAbsatz"/>
        <w:rPr>
          <w:rFonts w:eastAsia="Arial Unicode MS" w:cs="Arial"/>
        </w:rPr>
      </w:pPr>
      <w:r>
        <w:rPr>
          <w:rFonts w:ascii="Times New Roman" w:eastAsia="Arial Unicode MS" w:hAnsi="Times New Roman" w:cs="Arial"/>
          <w:color w:val="auto"/>
          <w:szCs w:val="24"/>
        </w:rPr>
        <w:fldChar w:fldCharType="end"/>
      </w:r>
    </w:p>
    <w:p>
      <w:pPr>
        <w:pStyle w:val="berschrift2"/>
        <w:jc w:val="left"/>
        <w:rPr>
          <w:rFonts w:eastAsia="Arial Unicode MS"/>
        </w:rPr>
      </w:pPr>
      <w:bookmarkStart w:id="2" w:name="_Toc45599490"/>
      <w:r>
        <w:rPr>
          <w:rFonts w:eastAsia="Arial Unicode MS"/>
        </w:rPr>
        <w:t>1 Rechtliche Rahmenbedingungen der Kompostverwertung</w:t>
      </w:r>
      <w:bookmarkEnd w:id="2"/>
    </w:p>
    <w:p>
      <w:pPr>
        <w:pStyle w:val="GesAbsatz"/>
        <w:rPr>
          <w:rFonts w:cs="Arial"/>
        </w:rPr>
      </w:pPr>
      <w:r>
        <w:rPr>
          <w:rFonts w:cs="Arial"/>
        </w:rPr>
        <w:t>In der Bundesrepublik Deutschland wurde durch verschiedene gesetzliche Regelungen die Grundlage für die Anwendung von Kompost und die Diversifizierung von Kompostprodukten geschaffen. An dieser Stelle werden die wichtigsten Inhalte dieser Regelungen für die Kompostqualität und -anwendung vorgestellt.</w:t>
      </w:r>
    </w:p>
    <w:p>
      <w:pPr>
        <w:pStyle w:val="GesAbsatz"/>
        <w:rPr>
          <w:rFonts w:cs="Arial"/>
        </w:rPr>
      </w:pPr>
      <w:r>
        <w:rPr>
          <w:rFonts w:cs="Arial"/>
        </w:rPr>
        <w:t>Ergänzend zu den gesetzlichen Bestimmungen existieren DIN-Normen (einschlägige Normen zur Vegetationstechnik, z.B. ATV DIN 18320, DIN 18035 und DIN 18915 bis 18919) und verschiedene Richtlinien, z.B. für den Bereich Landschaftsbau (FLL – Forschungsgesellschaft Landschaftsentwicklung – Landschaftsbau e.V. 1994) oder für den Anwendungsbereich Rekultivierung (z.B. des vormaligen Landesamts für Wasser und Abfall Nordrhein-Westfalen, heute Landesumweltamt, Thüringische Kali-Haldenrichtlinie 1995, in Vorbereitung befindliche Richtlinie des Länderarbeitskreises Bergbau). Auch die Gütekriterien der Bundesgütegemeinschaft Kompost (RAL-GZ 251) werden hinsichtlich differenzierter Anforderungen an Komposte für verschiedene Einsatzzwecke ständig weiterentwickelt (Aufnahme der Produkte Substrat- und Mulchkompost).</w:t>
      </w:r>
    </w:p>
    <w:p>
      <w:pPr>
        <w:pStyle w:val="GesAbsatz"/>
        <w:rPr>
          <w:rFonts w:cs="Arial"/>
          <w:b/>
          <w:bCs/>
        </w:rPr>
      </w:pPr>
      <w:r>
        <w:rPr>
          <w:rFonts w:cs="Arial"/>
          <w:b/>
          <w:bCs/>
        </w:rPr>
        <w:t>Tabelle 1: Rechtliche Vorgaben für Kompostanwendung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9"/>
        <w:gridCol w:w="3910"/>
        <w:gridCol w:w="4389"/>
      </w:tblGrid>
      <w:tr>
        <w:trPr>
          <w:tblHeader/>
        </w:trPr>
        <w:tc>
          <w:tcPr>
            <w:tcW w:w="1346" w:type="dxa"/>
          </w:tcPr>
          <w:p>
            <w:pPr>
              <w:pStyle w:val="GesAbsatz"/>
              <w:jc w:val="center"/>
              <w:rPr>
                <w:rFonts w:eastAsia="Arial Unicode MS" w:cs="Arial"/>
                <w:b/>
                <w:bCs/>
                <w:sz w:val="18"/>
                <w:szCs w:val="24"/>
              </w:rPr>
            </w:pPr>
            <w:r>
              <w:rPr>
                <w:rFonts w:cs="Arial"/>
                <w:b/>
                <w:bCs/>
                <w:sz w:val="18"/>
              </w:rPr>
              <w:t>Bereich</w:t>
            </w:r>
          </w:p>
        </w:tc>
        <w:tc>
          <w:tcPr>
            <w:tcW w:w="3969" w:type="dxa"/>
          </w:tcPr>
          <w:p>
            <w:pPr>
              <w:pStyle w:val="GesAbsatz"/>
              <w:jc w:val="center"/>
              <w:rPr>
                <w:rFonts w:eastAsia="Arial Unicode MS" w:cs="Arial"/>
                <w:b/>
                <w:bCs/>
                <w:sz w:val="18"/>
                <w:szCs w:val="24"/>
              </w:rPr>
            </w:pPr>
            <w:r>
              <w:rPr>
                <w:rFonts w:cs="Arial"/>
                <w:b/>
                <w:bCs/>
                <w:sz w:val="18"/>
              </w:rPr>
              <w:t>Gesetz/Verordnung</w:t>
            </w:r>
          </w:p>
        </w:tc>
        <w:tc>
          <w:tcPr>
            <w:tcW w:w="4463" w:type="dxa"/>
          </w:tcPr>
          <w:p>
            <w:pPr>
              <w:pStyle w:val="GesAbsatz"/>
              <w:jc w:val="center"/>
              <w:rPr>
                <w:rFonts w:eastAsia="Arial Unicode MS" w:cs="Arial"/>
                <w:b/>
                <w:bCs/>
                <w:sz w:val="18"/>
                <w:szCs w:val="24"/>
              </w:rPr>
            </w:pPr>
            <w:r>
              <w:rPr>
                <w:rFonts w:cs="Arial"/>
                <w:b/>
                <w:bCs/>
                <w:sz w:val="18"/>
              </w:rPr>
              <w:t>Wichtige Anforderungen</w:t>
            </w:r>
          </w:p>
        </w:tc>
      </w:tr>
      <w:tr>
        <w:tc>
          <w:tcPr>
            <w:tcW w:w="1346" w:type="dxa"/>
          </w:tcPr>
          <w:p>
            <w:pPr>
              <w:pStyle w:val="GesAbsatz"/>
              <w:rPr>
                <w:rFonts w:cs="Arial"/>
                <w:sz w:val="18"/>
              </w:rPr>
            </w:pPr>
            <w:r>
              <w:rPr>
                <w:rFonts w:cs="Arial"/>
                <w:sz w:val="18"/>
              </w:rPr>
              <w:t>Boden</w:t>
            </w:r>
          </w:p>
        </w:tc>
        <w:tc>
          <w:tcPr>
            <w:tcW w:w="3969" w:type="dxa"/>
          </w:tcPr>
          <w:p>
            <w:pPr>
              <w:pStyle w:val="GesAbsatz"/>
              <w:rPr>
                <w:rFonts w:cs="Arial"/>
                <w:sz w:val="18"/>
              </w:rPr>
            </w:pPr>
            <w:r>
              <w:rPr>
                <w:rFonts w:cs="Arial"/>
                <w:sz w:val="18"/>
              </w:rPr>
              <w:t>Bundes-Bodenschutzgesetz</w:t>
            </w:r>
            <w:r>
              <w:rPr>
                <w:rFonts w:cs="Arial"/>
                <w:sz w:val="18"/>
              </w:rPr>
              <w:br/>
              <w:t>(BBodSchG)</w:t>
            </w:r>
            <w:r>
              <w:rPr>
                <w:rFonts w:cs="Arial"/>
                <w:sz w:val="18"/>
              </w:rPr>
              <w:br/>
              <w:t xml:space="preserve">vom </w:t>
            </w:r>
            <w:smartTag w:uri="urn:schemas-microsoft-com:office:smarttags" w:element="date">
              <w:smartTagPr>
                <w:attr w:name="ls" w:val="trans"/>
                <w:attr w:name="Month" w:val="03"/>
                <w:attr w:name="Day" w:val="17"/>
                <w:attr w:name="Year" w:val="1998"/>
              </w:smartTagPr>
              <w:r>
                <w:rPr>
                  <w:rFonts w:cs="Arial"/>
                  <w:sz w:val="18"/>
                </w:rPr>
                <w:t>17.03.1998</w:t>
              </w:r>
            </w:smartTag>
          </w:p>
          <w:p>
            <w:pPr>
              <w:pStyle w:val="GesAbsatz"/>
              <w:rPr>
                <w:rFonts w:cs="Arial"/>
                <w:sz w:val="18"/>
              </w:rPr>
            </w:pPr>
            <w:r>
              <w:rPr>
                <w:rFonts w:cs="Arial"/>
                <w:sz w:val="18"/>
              </w:rPr>
              <w:t>Bundes-Bodenschutz- und Altlastenverordnung</w:t>
            </w:r>
            <w:r>
              <w:rPr>
                <w:rFonts w:cs="Arial"/>
                <w:sz w:val="18"/>
              </w:rPr>
              <w:br/>
              <w:t xml:space="preserve">(BBodSchV) vom </w:t>
            </w:r>
            <w:smartTag w:uri="urn:schemas-microsoft-com:office:smarttags" w:element="date">
              <w:smartTagPr>
                <w:attr w:name="ls" w:val="trans"/>
                <w:attr w:name="Month" w:val="07"/>
                <w:attr w:name="Day" w:val="12"/>
                <w:attr w:name="Year" w:val="1999"/>
              </w:smartTagPr>
              <w:r>
                <w:rPr>
                  <w:rFonts w:cs="Arial"/>
                  <w:sz w:val="18"/>
                </w:rPr>
                <w:t>12.07.1999</w:t>
              </w:r>
            </w:smartTag>
          </w:p>
        </w:tc>
        <w:tc>
          <w:tcPr>
            <w:tcW w:w="4463" w:type="dxa"/>
          </w:tcPr>
          <w:p>
            <w:pPr>
              <w:pStyle w:val="GesAbsatz"/>
              <w:rPr>
                <w:rFonts w:cs="Arial"/>
                <w:sz w:val="18"/>
              </w:rPr>
            </w:pPr>
            <w:r>
              <w:rPr>
                <w:rFonts w:cs="Arial"/>
                <w:sz w:val="18"/>
              </w:rPr>
              <w:t>Unschädliche Verwertung von Abfällen unter Beibehaltung der Leistungsfähigkeit des Bodens und Beachtung des Schutzes der Bodenfunktionen</w:t>
            </w:r>
          </w:p>
          <w:p>
            <w:pPr>
              <w:pStyle w:val="GesAbsatz"/>
              <w:rPr>
                <w:rFonts w:cs="Arial"/>
                <w:sz w:val="18"/>
              </w:rPr>
            </w:pPr>
            <w:r>
              <w:rPr>
                <w:rFonts w:cs="Arial"/>
                <w:sz w:val="18"/>
              </w:rPr>
              <w:t>Maximal zulässige jährliche Schadstofffrachten; Beachtung der Vorsorgewerte für Schwermetalle und organische Stoffe in Böden</w:t>
            </w:r>
          </w:p>
        </w:tc>
      </w:tr>
      <w:tr>
        <w:tc>
          <w:tcPr>
            <w:tcW w:w="1346" w:type="dxa"/>
          </w:tcPr>
          <w:p>
            <w:pPr>
              <w:pStyle w:val="GesAbsatz"/>
              <w:rPr>
                <w:rFonts w:cs="Arial"/>
                <w:sz w:val="18"/>
              </w:rPr>
            </w:pPr>
            <w:r>
              <w:rPr>
                <w:rFonts w:cs="Arial"/>
                <w:sz w:val="18"/>
              </w:rPr>
              <w:t>Abfall</w:t>
            </w:r>
          </w:p>
        </w:tc>
        <w:tc>
          <w:tcPr>
            <w:tcW w:w="3969" w:type="dxa"/>
          </w:tcPr>
          <w:p>
            <w:pPr>
              <w:pStyle w:val="GesAbsatz"/>
              <w:jc w:val="left"/>
              <w:rPr>
                <w:rFonts w:cs="Arial"/>
                <w:sz w:val="18"/>
              </w:rPr>
            </w:pPr>
            <w:r>
              <w:rPr>
                <w:rFonts w:cs="Arial"/>
                <w:sz w:val="18"/>
              </w:rPr>
              <w:t>Kreislaufwirtschafts- und</w:t>
            </w:r>
            <w:r>
              <w:rPr>
                <w:rFonts w:cs="Arial"/>
                <w:sz w:val="18"/>
              </w:rPr>
              <w:br/>
              <w:t>Abfallgesetz (KrW-/AbfG)</w:t>
            </w:r>
            <w:r>
              <w:rPr>
                <w:rFonts w:cs="Arial"/>
                <w:sz w:val="18"/>
              </w:rPr>
              <w:br/>
              <w:t xml:space="preserve">vom </w:t>
            </w:r>
            <w:smartTag w:uri="urn:schemas-microsoft-com:office:smarttags" w:element="date">
              <w:smartTagPr>
                <w:attr w:name="ls" w:val="trans"/>
                <w:attr w:name="Month" w:val="09"/>
                <w:attr w:name="Day" w:val="27"/>
                <w:attr w:name="Year" w:val="1994"/>
              </w:smartTagPr>
              <w:r>
                <w:rPr>
                  <w:rFonts w:cs="Arial"/>
                  <w:sz w:val="18"/>
                </w:rPr>
                <w:t>27.09.1994</w:t>
              </w:r>
            </w:smartTag>
          </w:p>
          <w:p>
            <w:pPr>
              <w:pStyle w:val="GesAbsatz"/>
              <w:rPr>
                <w:rFonts w:cs="Arial"/>
                <w:sz w:val="18"/>
              </w:rPr>
            </w:pPr>
            <w:r>
              <w:rPr>
                <w:rFonts w:cs="Arial"/>
                <w:sz w:val="18"/>
              </w:rPr>
              <w:t>Bioabfallverordnung</w:t>
            </w:r>
            <w:r>
              <w:rPr>
                <w:rFonts w:cs="Arial"/>
                <w:sz w:val="18"/>
              </w:rPr>
              <w:br/>
              <w:t xml:space="preserve">(BioAbfV) vom </w:t>
            </w:r>
            <w:smartTag w:uri="urn:schemas-microsoft-com:office:smarttags" w:element="date">
              <w:smartTagPr>
                <w:attr w:name="ls" w:val="trans"/>
                <w:attr w:name="Month" w:val="09"/>
                <w:attr w:name="Day" w:val="21"/>
                <w:attr w:name="Year" w:val="1998"/>
              </w:smartTagPr>
              <w:r>
                <w:rPr>
                  <w:rFonts w:cs="Arial"/>
                  <w:sz w:val="18"/>
                </w:rPr>
                <w:t>21.09.1998</w:t>
              </w:r>
            </w:smartTag>
          </w:p>
        </w:tc>
        <w:tc>
          <w:tcPr>
            <w:tcW w:w="4463" w:type="dxa"/>
          </w:tcPr>
          <w:p>
            <w:pPr>
              <w:pStyle w:val="GesAbsatz"/>
              <w:rPr>
                <w:rFonts w:cs="Arial"/>
                <w:sz w:val="18"/>
              </w:rPr>
            </w:pPr>
            <w:r>
              <w:rPr>
                <w:rFonts w:cs="Arial"/>
                <w:sz w:val="18"/>
              </w:rPr>
              <w:t>Ermächtigung zum Erlass rechtlicher Vorgaben (Verordnung) für den Einsatz von Kompost auf landwirtschaftlich, forstwirtschaftlich oder gärtnerisch genutzten Flächen</w:t>
            </w:r>
          </w:p>
          <w:p>
            <w:pPr>
              <w:pStyle w:val="GesAbsatz"/>
              <w:rPr>
                <w:rFonts w:cs="Arial"/>
                <w:sz w:val="18"/>
              </w:rPr>
            </w:pPr>
            <w:r>
              <w:rPr>
                <w:rFonts w:cs="Arial"/>
                <w:sz w:val="18"/>
              </w:rPr>
              <w:t>Einhaltung der maximal zulässigen Schwermetallgehalte und –frachten (maximale Kompostmengen pro Hektar)</w:t>
            </w:r>
          </w:p>
        </w:tc>
      </w:tr>
      <w:tr>
        <w:tc>
          <w:tcPr>
            <w:tcW w:w="1346" w:type="dxa"/>
          </w:tcPr>
          <w:p>
            <w:pPr>
              <w:pStyle w:val="GesAbsatz"/>
              <w:rPr>
                <w:rFonts w:cs="Arial"/>
                <w:sz w:val="18"/>
              </w:rPr>
            </w:pPr>
            <w:r>
              <w:rPr>
                <w:rFonts w:cs="Arial"/>
                <w:sz w:val="18"/>
              </w:rPr>
              <w:lastRenderedPageBreak/>
              <w:t>Düngung</w:t>
            </w:r>
          </w:p>
        </w:tc>
        <w:tc>
          <w:tcPr>
            <w:tcW w:w="3969" w:type="dxa"/>
          </w:tcPr>
          <w:p>
            <w:pPr>
              <w:pStyle w:val="GesAbsatz"/>
              <w:jc w:val="left"/>
              <w:rPr>
                <w:rFonts w:cs="Arial"/>
                <w:sz w:val="18"/>
              </w:rPr>
            </w:pPr>
            <w:r>
              <w:rPr>
                <w:rFonts w:cs="Arial"/>
                <w:sz w:val="18"/>
              </w:rPr>
              <w:t>Düngeverordnung (inkl. zuverlässiger Umsetzung der EU-Nitratrichtlinie)</w:t>
            </w:r>
            <w:r>
              <w:rPr>
                <w:rFonts w:cs="Arial"/>
                <w:sz w:val="18"/>
              </w:rPr>
              <w:br/>
              <w:t xml:space="preserve">vom </w:t>
            </w:r>
            <w:smartTag w:uri="urn:schemas-microsoft-com:office:smarttags" w:element="date">
              <w:smartTagPr>
                <w:attr w:name="ls" w:val="trans"/>
                <w:attr w:name="Month" w:val="2"/>
                <w:attr w:name="Day" w:val="06"/>
                <w:attr w:name="Year" w:val="1996"/>
              </w:smartTagPr>
              <w:r>
                <w:rPr>
                  <w:rFonts w:cs="Arial"/>
                  <w:sz w:val="18"/>
                </w:rPr>
                <w:t>06.02.1996</w:t>
              </w:r>
            </w:smartTag>
          </w:p>
          <w:p>
            <w:pPr>
              <w:pStyle w:val="GesAbsatz"/>
              <w:jc w:val="left"/>
              <w:rPr>
                <w:rFonts w:cs="Arial"/>
                <w:sz w:val="18"/>
              </w:rPr>
            </w:pPr>
            <w:r>
              <w:rPr>
                <w:rFonts w:cs="Arial"/>
                <w:sz w:val="18"/>
              </w:rPr>
              <w:t xml:space="preserve">Düngemittelgesetz (DüMG) vom </w:t>
            </w:r>
            <w:smartTag w:uri="urn:schemas-microsoft-com:office:smarttags" w:element="date">
              <w:smartTagPr>
                <w:attr w:name="ls" w:val="trans"/>
                <w:attr w:name="Month" w:val="11"/>
                <w:attr w:name="Day" w:val="15"/>
                <w:attr w:name="Year" w:val="1977"/>
              </w:smartTagPr>
              <w:r>
                <w:rPr>
                  <w:rFonts w:cs="Arial"/>
                  <w:sz w:val="18"/>
                </w:rPr>
                <w:t>15.11.1977</w:t>
              </w:r>
            </w:smartTag>
            <w:r>
              <w:rPr>
                <w:rFonts w:cs="Arial"/>
                <w:sz w:val="18"/>
              </w:rPr>
              <w:t xml:space="preserve"> und Düngemittelverordnung (DüMV) vom </w:t>
            </w:r>
            <w:smartTag w:uri="urn:schemas-microsoft-com:office:smarttags" w:element="date">
              <w:smartTagPr>
                <w:attr w:name="ls" w:val="trans"/>
                <w:attr w:name="Month" w:val="07"/>
                <w:attr w:name="Day" w:val="09"/>
                <w:attr w:name="Year" w:val="1991"/>
              </w:smartTagPr>
              <w:r>
                <w:rPr>
                  <w:rFonts w:cs="Arial"/>
                  <w:sz w:val="18"/>
                </w:rPr>
                <w:t>09.07.1991</w:t>
              </w:r>
            </w:smartTag>
            <w:r>
              <w:rPr>
                <w:rFonts w:cs="Arial"/>
                <w:sz w:val="18"/>
              </w:rPr>
              <w:br/>
              <w:t>mit der 2. Verordnung zur Änderung</w:t>
            </w:r>
            <w:r>
              <w:rPr>
                <w:rFonts w:cs="Arial"/>
                <w:sz w:val="18"/>
              </w:rPr>
              <w:br/>
              <w:t>der düngemittelrechtlichen</w:t>
            </w:r>
            <w:r>
              <w:rPr>
                <w:rFonts w:cs="Arial"/>
                <w:sz w:val="18"/>
              </w:rPr>
              <w:br/>
              <w:t xml:space="preserve">Vorschriften vom </w:t>
            </w:r>
            <w:smartTag w:uri="urn:schemas-microsoft-com:office:smarttags" w:element="date">
              <w:smartTagPr>
                <w:attr w:name="ls" w:val="trans"/>
                <w:attr w:name="Month" w:val="07"/>
                <w:attr w:name="Day" w:val="16"/>
                <w:attr w:name="Year" w:val="1997"/>
              </w:smartTagPr>
              <w:r>
                <w:rPr>
                  <w:rFonts w:cs="Arial"/>
                  <w:sz w:val="18"/>
                </w:rPr>
                <w:t>16.07.1997</w:t>
              </w:r>
            </w:smartTag>
          </w:p>
        </w:tc>
        <w:tc>
          <w:tcPr>
            <w:tcW w:w="4463" w:type="dxa"/>
          </w:tcPr>
          <w:p>
            <w:pPr>
              <w:pStyle w:val="GesAbsatz"/>
              <w:rPr>
                <w:rFonts w:cs="Arial"/>
                <w:sz w:val="18"/>
              </w:rPr>
            </w:pPr>
            <w:r>
              <w:rPr>
                <w:rFonts w:cs="Arial"/>
                <w:sz w:val="18"/>
              </w:rPr>
              <w:t>Anwendung nach guter fachlicher Praxis, d. h. nach Art, Menge; Zeitpunkt ist auf den Bedarf der Pflanzen auszurichten</w:t>
            </w:r>
          </w:p>
          <w:p>
            <w:pPr>
              <w:pStyle w:val="GesAbsatz"/>
              <w:rPr>
                <w:rFonts w:cs="Arial"/>
                <w:sz w:val="18"/>
              </w:rPr>
            </w:pPr>
            <w:r>
              <w:rPr>
                <w:rFonts w:cs="Arial"/>
                <w:sz w:val="18"/>
              </w:rPr>
              <w:t>Anforderungen an Typen; Kennzeichnung und Deklaration bei gewerbsmäßigem Inverkehrbringen</w:t>
            </w:r>
          </w:p>
        </w:tc>
      </w:tr>
    </w:tbl>
    <w:p>
      <w:pPr>
        <w:pStyle w:val="GesAbsatz"/>
        <w:rPr>
          <w:rFonts w:cs="Arial"/>
        </w:rPr>
      </w:pPr>
    </w:p>
    <w:p>
      <w:pPr>
        <w:pStyle w:val="GesAbsatz"/>
        <w:rPr>
          <w:rFonts w:cs="Arial"/>
        </w:rPr>
      </w:pPr>
      <w:r>
        <w:rPr>
          <w:rFonts w:cs="Arial"/>
        </w:rPr>
        <w:t xml:space="preserve">Die wichtigste Vorgabe für den Einsatz von Komposten auf landwirtschaftlich, forstwirtschaftlich und gärtnerisch genutzten Flächen ist die am </w:t>
      </w:r>
      <w:smartTag w:uri="urn:schemas-microsoft-com:office:smarttags" w:element="date">
        <w:smartTagPr>
          <w:attr w:name="ls" w:val="trans"/>
          <w:attr w:name="Month" w:val="10"/>
          <w:attr w:name="Day" w:val="1"/>
          <w:attr w:name="Year" w:val="1998"/>
        </w:smartTagPr>
        <w:r>
          <w:rPr>
            <w:rFonts w:cs="Arial"/>
          </w:rPr>
          <w:t>1.10.1998</w:t>
        </w:r>
      </w:smartTag>
      <w:r>
        <w:rPr>
          <w:rFonts w:cs="Arial"/>
        </w:rPr>
        <w:t xml:space="preserve"> in Kraft getretene Bioabfallverordnung (BioAbfV), die anders als das Merkblatt M10 der Länderarbeitsgemeinschaft Abfall (LAGA M10, 1995) rechtlich verbindlich ist. Die BioAbfV regelt im Wesentlichen Untersuchungs- und Nachweispflichten, Anwendungsmengen, zulässige Schadstoffgehalte, Anforderungen an die Phyto- und Seuchenhygiene sowie Vorgaben zum gleichzeitigen Einsatz von Bioabfallkompost und Klärschlamm. Die Böden, auf denen behandelte Bioabfälle aufgebracht werden, sind auf Schwermetallgehalte sowie pH-Wert zu untersuchen. Die Ausbringung von behandelten Bioabfällen oder Gemischen ist untersagt, wenn die in Tabelle 2 aufgeführten Bodenwerte überschritten werden. Bei der Verwendung von Komposten, die der Gütesicherung der Bundesgütegemeinschaft Kompost e.V. unterliegen und mit dem RAL-Gütezeichen für Kompost ausgezeichnet sind, entfallen die Bodenuntersuchungen.</w:t>
      </w:r>
    </w:p>
    <w:p>
      <w:pPr>
        <w:pStyle w:val="GesAbsatz"/>
        <w:rPr>
          <w:rFonts w:eastAsia="Arial Unicode MS" w:cs="Arial"/>
          <w:szCs w:val="24"/>
        </w:rPr>
      </w:pPr>
      <w:r>
        <w:rPr>
          <w:rFonts w:cs="Arial"/>
        </w:rPr>
        <w:t>Die BioAbfV enthält die in Tabelle 3 angeführten Grenzwerte für zulässige Gehalte an Schwermetallen in der Trockenmasse. Schwermetall-Grenzwerte und maximale Aufwandmengen sind gemäß § 6 Absatz 1 Satz 1 BioAbfV gekoppelt. Die Grenzwerte spiegeln die vorkommenden Gehalte im Wesentlichen wider.</w:t>
      </w:r>
    </w:p>
    <w:p>
      <w:pPr>
        <w:pStyle w:val="GesAbsatz"/>
        <w:rPr>
          <w:rFonts w:eastAsia="Arial Unicode MS" w:cs="Arial"/>
        </w:rPr>
      </w:pPr>
      <w:r>
        <w:rPr>
          <w:rFonts w:cs="Arial"/>
        </w:rPr>
        <w:t>Im Zusammenhang mit dem KrW-/AbfG wurden auch die Vorschriften des Düngemittelrechts geändert. Wird Kompost oder ein Gemisch mit Kompost als Sekundärrohstoffdünger landbaulich verwertet und gewerbsmäßig in Verkehr gebracht, ist er laut Düngemittelgesetz (DüMG) als Düngemittel, Bodenhilfsstoff oder Kultursubstrat zu kennzeichnen. Der Stoff oder das Gemisch müssen einem Düngemitteltyp entsprechen, der wiederum durch Rechtsverordnung zugelassen ist. Düngemitteltypen für Sekundärrohstoffdünger, wie z.B. Kompost, sind in der Düngemittelverordnung (DüMV) festgeschrieben (mindestens 0,5 % N, 0,3 % P</w:t>
      </w:r>
      <w:r>
        <w:rPr>
          <w:rFonts w:cs="Arial"/>
          <w:vertAlign w:val="subscript"/>
        </w:rPr>
        <w:t>2</w:t>
      </w:r>
      <w:r>
        <w:rPr>
          <w:rFonts w:cs="Arial"/>
        </w:rPr>
        <w:t>O</w:t>
      </w:r>
      <w:r>
        <w:rPr>
          <w:rFonts w:cs="Arial"/>
          <w:vertAlign w:val="subscript"/>
        </w:rPr>
        <w:t>5</w:t>
      </w:r>
      <w:r>
        <w:rPr>
          <w:rFonts w:cs="Arial"/>
        </w:rPr>
        <w:t xml:space="preserve"> und 0,5 % K</w:t>
      </w:r>
      <w:r>
        <w:rPr>
          <w:rFonts w:cs="Arial"/>
          <w:vertAlign w:val="subscript"/>
        </w:rPr>
        <w:t>2</w:t>
      </w:r>
      <w:r>
        <w:rPr>
          <w:rFonts w:cs="Arial"/>
        </w:rPr>
        <w:t>O, insgesamt mindestens 2 % in der Trockenmasse; unter diesen Werten als Bodenhilfsstoff).</w:t>
      </w:r>
    </w:p>
    <w:p>
      <w:pPr>
        <w:pStyle w:val="GesAbsatz"/>
        <w:rPr>
          <w:rFonts w:cs="Arial"/>
        </w:rPr>
      </w:pPr>
      <w:r>
        <w:rPr>
          <w:rFonts w:cs="Arial"/>
        </w:rPr>
        <w:t>Wird Kompost oder ein Gemisch daraus auf landwirtschaftlich oder gartenbaulich genutzte Flächen ausgebracht, ist zusätzlich die Düngeverordnung (DüV) zu beachten (Umsetzung der EU-Nitratrichtlinie). Danach sind Düngemittel im Rahmen der guten fachlichen Praxis zeitlich und mengenmäßig so auszubringen, dass</w:t>
      </w:r>
    </w:p>
    <w:p>
      <w:pPr>
        <w:pStyle w:val="GesAbsatz"/>
        <w:rPr>
          <w:rFonts w:cs="Arial"/>
        </w:rPr>
      </w:pPr>
      <w:r>
        <w:rPr>
          <w:rFonts w:cs="Arial"/>
        </w:rPr>
        <w:t>-</w:t>
      </w:r>
      <w:r>
        <w:rPr>
          <w:rFonts w:cs="Arial"/>
        </w:rPr>
        <w:tab/>
        <w:t>Nährstoffe von den Pflanzen weitestgehend ausgenutzt werden können und damit</w:t>
      </w:r>
    </w:p>
    <w:p>
      <w:pPr>
        <w:pStyle w:val="GesAbsatz"/>
        <w:ind w:left="426" w:hanging="426"/>
        <w:rPr>
          <w:rFonts w:cs="Arial"/>
        </w:rPr>
      </w:pPr>
      <w:r>
        <w:rPr>
          <w:rFonts w:cs="Arial"/>
        </w:rPr>
        <w:t>-</w:t>
      </w:r>
      <w:r>
        <w:rPr>
          <w:rFonts w:cs="Arial"/>
        </w:rPr>
        <w:tab/>
        <w:t>Nährstoffverluste bei der Bewirtschaftung sowie damit einhergehende Einträge in Gewässer weitestgehend vermieden werden.</w:t>
      </w:r>
    </w:p>
    <w:p>
      <w:pPr>
        <w:pStyle w:val="GesAbsatz"/>
        <w:rPr>
          <w:rFonts w:eastAsia="Arial Unicode MS" w:cs="Arial"/>
        </w:rPr>
      </w:pPr>
      <w:r>
        <w:rPr>
          <w:rFonts w:cs="Arial"/>
        </w:rPr>
        <w:t>Aus organischen Düngern dürfen nur maximal 170 kg N/ha*a ausgebracht werden. Dies gilt nach DüV eigentlich nur für Wirtschaftsdünger, wird aber auch auf organische Abfallprodukte angewendet. Aufgrund der geringen Verfügbarkeit des Stickstoffs wird dies so gehandhabt, dass eine Akkumulation der Aufbringungsmenge für 3 Jahre akzeptiert wird (510 kg N/ha*3a entspricht z.B. ca. 30 t Kompost/a und 3 Jahre Pause), was auch den Regelungen der BioAbfV entspricht.</w:t>
      </w:r>
    </w:p>
    <w:p>
      <w:pPr>
        <w:pStyle w:val="GesAbsatz"/>
        <w:rPr>
          <w:rFonts w:eastAsia="Arial Unicode MS" w:cs="Arial"/>
        </w:rPr>
      </w:pPr>
      <w:r>
        <w:rPr>
          <w:rFonts w:cs="Arial"/>
        </w:rPr>
        <w:t xml:space="preserve">Das Bundes-Bodenschutzgesetz (BBodSchG) vom </w:t>
      </w:r>
      <w:smartTag w:uri="urn:schemas-microsoft-com:office:smarttags" w:element="date">
        <w:smartTagPr>
          <w:attr w:name="ls" w:val="trans"/>
          <w:attr w:name="Month" w:val="03"/>
          <w:attr w:name="Day" w:val="17"/>
          <w:attr w:name="Year" w:val="1998"/>
        </w:smartTagPr>
        <w:r>
          <w:rPr>
            <w:rFonts w:cs="Arial"/>
          </w:rPr>
          <w:t>17.03.1998</w:t>
        </w:r>
      </w:smartTag>
      <w:r>
        <w:rPr>
          <w:rFonts w:cs="Arial"/>
        </w:rPr>
        <w:t xml:space="preserve"> legt die Grundlage, um "...nachhaltig die Funktionen des Bodens zu sichern oder wiederherzustellen. Hierzu sind schädliche Bodenveränderungen abzuwehren, der Boden und Altlasten sowie hierdurch verursachte Gewässerverunreinigungen zu sanieren und Vorsorge gegen nachteilige Einwirkungen auf den Boden zu treffen. Bei Einwirkungen auf den Boden sollen Beeinträchtigungen seiner natürlichen Funktionen sowie seiner Funktion als Archiv der Natur- und Kulturgeschichte so weit wie möglich vermieden werden." (§ 1). § 6 regelt das Auf- und Einbringen von Materialien auf oder in den Boden.</w:t>
      </w:r>
    </w:p>
    <w:p>
      <w:pPr>
        <w:pStyle w:val="GesAbsatz"/>
        <w:rPr>
          <w:rFonts w:cs="Arial"/>
          <w:b/>
          <w:bCs/>
        </w:rPr>
      </w:pPr>
      <w:r>
        <w:rPr>
          <w:rFonts w:cs="Arial"/>
          <w:b/>
          <w:bCs/>
        </w:rPr>
        <w:br w:type="page"/>
      </w:r>
      <w:r>
        <w:rPr>
          <w:rFonts w:cs="Arial"/>
          <w:b/>
          <w:bCs/>
        </w:rPr>
        <w:lastRenderedPageBreak/>
        <w:t>Tabelle 2: Maximal zulässige Schwermetallkonzentrationen in Böden nach BioAbfV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7"/>
        <w:gridCol w:w="657"/>
        <w:gridCol w:w="3199"/>
        <w:gridCol w:w="1927"/>
        <w:gridCol w:w="1928"/>
      </w:tblGrid>
      <w:tr>
        <w:tc>
          <w:tcPr>
            <w:tcW w:w="1955" w:type="dxa"/>
          </w:tcPr>
          <w:p>
            <w:pPr>
              <w:pStyle w:val="GesAbsatz"/>
              <w:jc w:val="center"/>
              <w:rPr>
                <w:rFonts w:eastAsia="Arial Unicode MS" w:cs="Arial"/>
                <w:sz w:val="18"/>
                <w:szCs w:val="24"/>
              </w:rPr>
            </w:pPr>
            <w:r>
              <w:rPr>
                <w:rFonts w:cs="Arial"/>
                <w:b/>
                <w:bCs/>
                <w:sz w:val="18"/>
              </w:rPr>
              <w:t>Schwermetall</w:t>
            </w:r>
          </w:p>
        </w:tc>
        <w:tc>
          <w:tcPr>
            <w:tcW w:w="667" w:type="dxa"/>
          </w:tcPr>
          <w:p>
            <w:pPr>
              <w:pStyle w:val="GesAbsatz"/>
              <w:jc w:val="center"/>
              <w:rPr>
                <w:rFonts w:eastAsia="Arial Unicode MS" w:cs="Arial"/>
                <w:sz w:val="18"/>
                <w:szCs w:val="24"/>
              </w:rPr>
            </w:pPr>
          </w:p>
        </w:tc>
        <w:tc>
          <w:tcPr>
            <w:tcW w:w="3244" w:type="dxa"/>
          </w:tcPr>
          <w:p>
            <w:pPr>
              <w:pStyle w:val="GesAbsatz"/>
              <w:jc w:val="center"/>
              <w:rPr>
                <w:rFonts w:eastAsia="Arial Unicode MS" w:cs="Arial"/>
                <w:sz w:val="18"/>
                <w:szCs w:val="24"/>
              </w:rPr>
            </w:pPr>
            <w:r>
              <w:rPr>
                <w:rFonts w:cs="Arial"/>
                <w:b/>
                <w:bCs/>
                <w:sz w:val="18"/>
              </w:rPr>
              <w:t>Bodenart Ton1</w:t>
            </w:r>
            <w:r>
              <w:rPr>
                <w:rFonts w:cs="Arial"/>
                <w:b/>
                <w:bCs/>
                <w:sz w:val="18"/>
              </w:rPr>
              <w:br/>
              <w:t>mg/kg TS</w:t>
            </w:r>
          </w:p>
        </w:tc>
        <w:tc>
          <w:tcPr>
            <w:tcW w:w="1956" w:type="dxa"/>
          </w:tcPr>
          <w:p>
            <w:pPr>
              <w:pStyle w:val="GesAbsatz"/>
              <w:jc w:val="center"/>
              <w:rPr>
                <w:rFonts w:eastAsia="Arial Unicode MS" w:cs="Arial"/>
                <w:sz w:val="18"/>
                <w:szCs w:val="24"/>
              </w:rPr>
            </w:pPr>
            <w:r>
              <w:rPr>
                <w:rFonts w:cs="Arial"/>
                <w:b/>
                <w:bCs/>
                <w:sz w:val="18"/>
              </w:rPr>
              <w:t>Bodenart Lehm</w:t>
            </w:r>
            <w:r>
              <w:rPr>
                <w:rFonts w:cs="Arial"/>
                <w:b/>
                <w:bCs/>
                <w:sz w:val="18"/>
              </w:rPr>
              <w:br/>
              <w:t>mg/kg TS2</w:t>
            </w:r>
          </w:p>
        </w:tc>
        <w:tc>
          <w:tcPr>
            <w:tcW w:w="1956" w:type="dxa"/>
          </w:tcPr>
          <w:p>
            <w:pPr>
              <w:pStyle w:val="GesAbsatz"/>
              <w:jc w:val="center"/>
              <w:rPr>
                <w:rFonts w:eastAsia="Arial Unicode MS" w:cs="Arial"/>
                <w:sz w:val="18"/>
                <w:szCs w:val="24"/>
              </w:rPr>
            </w:pPr>
            <w:r>
              <w:rPr>
                <w:rFonts w:cs="Arial"/>
                <w:b/>
                <w:bCs/>
                <w:sz w:val="18"/>
              </w:rPr>
              <w:t>Bodenart Sand</w:t>
            </w:r>
            <w:r>
              <w:rPr>
                <w:rFonts w:cs="Arial"/>
                <w:b/>
                <w:bCs/>
                <w:sz w:val="18"/>
              </w:rPr>
              <w:br/>
              <w:t>mg/kg TS</w:t>
            </w:r>
          </w:p>
        </w:tc>
      </w:tr>
      <w:tr>
        <w:tc>
          <w:tcPr>
            <w:tcW w:w="1955" w:type="dxa"/>
          </w:tcPr>
          <w:p>
            <w:pPr>
              <w:pStyle w:val="GesAbsatz"/>
              <w:rPr>
                <w:rFonts w:cs="Arial"/>
                <w:sz w:val="18"/>
              </w:rPr>
            </w:pPr>
            <w:r>
              <w:rPr>
                <w:rFonts w:cs="Arial"/>
                <w:sz w:val="18"/>
              </w:rPr>
              <w:t>Blei</w:t>
            </w:r>
          </w:p>
        </w:tc>
        <w:tc>
          <w:tcPr>
            <w:tcW w:w="667" w:type="dxa"/>
          </w:tcPr>
          <w:p>
            <w:pPr>
              <w:pStyle w:val="GesAbsatz"/>
              <w:rPr>
                <w:rFonts w:eastAsia="Arial Unicode MS" w:cs="Arial"/>
                <w:sz w:val="18"/>
                <w:szCs w:val="24"/>
              </w:rPr>
            </w:pPr>
            <w:r>
              <w:rPr>
                <w:rFonts w:cs="Arial"/>
                <w:sz w:val="18"/>
              </w:rPr>
              <w:t>Pb</w:t>
            </w:r>
          </w:p>
        </w:tc>
        <w:tc>
          <w:tcPr>
            <w:tcW w:w="3244" w:type="dxa"/>
          </w:tcPr>
          <w:p>
            <w:pPr>
              <w:pStyle w:val="GesAbsatz"/>
              <w:tabs>
                <w:tab w:val="clear" w:pos="425"/>
                <w:tab w:val="decimal" w:pos="1631"/>
              </w:tabs>
              <w:rPr>
                <w:rFonts w:cs="Arial"/>
                <w:sz w:val="18"/>
              </w:rPr>
            </w:pPr>
            <w:r>
              <w:rPr>
                <w:rFonts w:cs="Arial"/>
                <w:sz w:val="18"/>
              </w:rPr>
              <w:t>100</w:t>
            </w:r>
          </w:p>
        </w:tc>
        <w:tc>
          <w:tcPr>
            <w:tcW w:w="1956" w:type="dxa"/>
          </w:tcPr>
          <w:p>
            <w:pPr>
              <w:pStyle w:val="GesAbsatz"/>
              <w:tabs>
                <w:tab w:val="clear" w:pos="425"/>
                <w:tab w:val="decimal" w:pos="797"/>
              </w:tabs>
              <w:rPr>
                <w:rFonts w:cs="Arial"/>
                <w:sz w:val="18"/>
              </w:rPr>
            </w:pPr>
            <w:r>
              <w:rPr>
                <w:rFonts w:cs="Arial"/>
                <w:sz w:val="18"/>
              </w:rPr>
              <w:t>70</w:t>
            </w:r>
          </w:p>
        </w:tc>
        <w:tc>
          <w:tcPr>
            <w:tcW w:w="1956" w:type="dxa"/>
          </w:tcPr>
          <w:p>
            <w:pPr>
              <w:pStyle w:val="GesAbsatz"/>
              <w:tabs>
                <w:tab w:val="clear" w:pos="425"/>
                <w:tab w:val="decimal" w:pos="825"/>
              </w:tabs>
              <w:rPr>
                <w:rFonts w:cs="Arial"/>
                <w:sz w:val="18"/>
              </w:rPr>
            </w:pPr>
            <w:r>
              <w:rPr>
                <w:rFonts w:cs="Arial"/>
                <w:sz w:val="18"/>
              </w:rPr>
              <w:t>40</w:t>
            </w:r>
          </w:p>
        </w:tc>
      </w:tr>
      <w:tr>
        <w:tc>
          <w:tcPr>
            <w:tcW w:w="1955" w:type="dxa"/>
          </w:tcPr>
          <w:p>
            <w:pPr>
              <w:pStyle w:val="GesAbsatz"/>
              <w:rPr>
                <w:rFonts w:cs="Arial"/>
                <w:sz w:val="18"/>
              </w:rPr>
            </w:pPr>
            <w:r>
              <w:rPr>
                <w:rFonts w:cs="Arial"/>
                <w:sz w:val="18"/>
              </w:rPr>
              <w:t>Cadmium</w:t>
            </w:r>
          </w:p>
        </w:tc>
        <w:tc>
          <w:tcPr>
            <w:tcW w:w="667" w:type="dxa"/>
          </w:tcPr>
          <w:p>
            <w:pPr>
              <w:pStyle w:val="GesAbsatz"/>
              <w:rPr>
                <w:rFonts w:cs="Arial"/>
                <w:sz w:val="18"/>
                <w:lang w:val="en-US"/>
              </w:rPr>
            </w:pPr>
            <w:r>
              <w:rPr>
                <w:rFonts w:cs="Arial"/>
                <w:sz w:val="18"/>
                <w:lang w:val="en-US"/>
              </w:rPr>
              <w:t>Cd</w:t>
            </w:r>
          </w:p>
        </w:tc>
        <w:tc>
          <w:tcPr>
            <w:tcW w:w="3244" w:type="dxa"/>
          </w:tcPr>
          <w:p>
            <w:pPr>
              <w:pStyle w:val="GesAbsatz"/>
              <w:tabs>
                <w:tab w:val="clear" w:pos="425"/>
                <w:tab w:val="decimal" w:pos="1631"/>
              </w:tabs>
              <w:rPr>
                <w:rFonts w:cs="Arial"/>
                <w:sz w:val="18"/>
                <w:lang w:val="en-US"/>
              </w:rPr>
            </w:pPr>
            <w:r>
              <w:rPr>
                <w:rFonts w:cs="Arial"/>
                <w:sz w:val="18"/>
                <w:lang w:val="en-US"/>
              </w:rPr>
              <w:t>1,5</w:t>
            </w:r>
          </w:p>
        </w:tc>
        <w:tc>
          <w:tcPr>
            <w:tcW w:w="1956" w:type="dxa"/>
          </w:tcPr>
          <w:p>
            <w:pPr>
              <w:pStyle w:val="GesAbsatz"/>
              <w:tabs>
                <w:tab w:val="clear" w:pos="425"/>
                <w:tab w:val="decimal" w:pos="797"/>
              </w:tabs>
              <w:rPr>
                <w:rFonts w:cs="Arial"/>
                <w:sz w:val="18"/>
                <w:lang w:val="en-US"/>
              </w:rPr>
            </w:pPr>
            <w:r>
              <w:rPr>
                <w:rFonts w:cs="Arial"/>
                <w:sz w:val="18"/>
                <w:lang w:val="en-US"/>
              </w:rPr>
              <w:t>1</w:t>
            </w:r>
          </w:p>
        </w:tc>
        <w:tc>
          <w:tcPr>
            <w:tcW w:w="1956" w:type="dxa"/>
          </w:tcPr>
          <w:p>
            <w:pPr>
              <w:pStyle w:val="GesAbsatz"/>
              <w:tabs>
                <w:tab w:val="clear" w:pos="425"/>
                <w:tab w:val="decimal" w:pos="825"/>
              </w:tabs>
              <w:rPr>
                <w:rFonts w:cs="Arial"/>
                <w:sz w:val="18"/>
                <w:lang w:val="en-US"/>
              </w:rPr>
            </w:pPr>
            <w:r>
              <w:rPr>
                <w:rFonts w:cs="Arial"/>
                <w:sz w:val="18"/>
                <w:lang w:val="en-US"/>
              </w:rPr>
              <w:t>0,4</w:t>
            </w:r>
          </w:p>
        </w:tc>
      </w:tr>
      <w:tr>
        <w:tc>
          <w:tcPr>
            <w:tcW w:w="1955" w:type="dxa"/>
          </w:tcPr>
          <w:p>
            <w:pPr>
              <w:pStyle w:val="GesAbsatz"/>
              <w:rPr>
                <w:rFonts w:cs="Arial"/>
                <w:sz w:val="18"/>
                <w:lang w:val="en-US"/>
              </w:rPr>
            </w:pPr>
            <w:r>
              <w:rPr>
                <w:rFonts w:cs="Arial"/>
                <w:sz w:val="18"/>
                <w:lang w:val="en-US"/>
              </w:rPr>
              <w:t>Chrom</w:t>
            </w:r>
          </w:p>
        </w:tc>
        <w:tc>
          <w:tcPr>
            <w:tcW w:w="667" w:type="dxa"/>
          </w:tcPr>
          <w:p>
            <w:pPr>
              <w:pStyle w:val="GesAbsatz"/>
              <w:rPr>
                <w:rFonts w:cs="Arial"/>
                <w:sz w:val="18"/>
                <w:lang w:val="en-US"/>
              </w:rPr>
            </w:pPr>
            <w:r>
              <w:rPr>
                <w:rFonts w:cs="Arial"/>
                <w:sz w:val="18"/>
                <w:lang w:val="en-US"/>
              </w:rPr>
              <w:t>Cr</w:t>
            </w:r>
          </w:p>
        </w:tc>
        <w:tc>
          <w:tcPr>
            <w:tcW w:w="3244" w:type="dxa"/>
          </w:tcPr>
          <w:p>
            <w:pPr>
              <w:pStyle w:val="GesAbsatz"/>
              <w:tabs>
                <w:tab w:val="clear" w:pos="425"/>
                <w:tab w:val="decimal" w:pos="1631"/>
              </w:tabs>
              <w:rPr>
                <w:rFonts w:cs="Arial"/>
                <w:sz w:val="18"/>
              </w:rPr>
            </w:pPr>
            <w:r>
              <w:rPr>
                <w:rFonts w:cs="Arial"/>
                <w:sz w:val="18"/>
              </w:rPr>
              <w:t>100</w:t>
            </w:r>
          </w:p>
        </w:tc>
        <w:tc>
          <w:tcPr>
            <w:tcW w:w="1956" w:type="dxa"/>
          </w:tcPr>
          <w:p>
            <w:pPr>
              <w:pStyle w:val="GesAbsatz"/>
              <w:tabs>
                <w:tab w:val="clear" w:pos="425"/>
                <w:tab w:val="decimal" w:pos="797"/>
              </w:tabs>
              <w:rPr>
                <w:rFonts w:cs="Arial"/>
                <w:sz w:val="18"/>
              </w:rPr>
            </w:pPr>
            <w:r>
              <w:rPr>
                <w:rFonts w:cs="Arial"/>
                <w:sz w:val="18"/>
              </w:rPr>
              <w:t>60</w:t>
            </w:r>
          </w:p>
        </w:tc>
        <w:tc>
          <w:tcPr>
            <w:tcW w:w="1956" w:type="dxa"/>
          </w:tcPr>
          <w:p>
            <w:pPr>
              <w:pStyle w:val="GesAbsatz"/>
              <w:tabs>
                <w:tab w:val="clear" w:pos="425"/>
                <w:tab w:val="decimal" w:pos="825"/>
              </w:tabs>
              <w:rPr>
                <w:rFonts w:cs="Arial"/>
                <w:sz w:val="18"/>
              </w:rPr>
            </w:pPr>
            <w:r>
              <w:rPr>
                <w:rFonts w:cs="Arial"/>
                <w:sz w:val="18"/>
              </w:rPr>
              <w:t>30</w:t>
            </w:r>
          </w:p>
        </w:tc>
      </w:tr>
      <w:tr>
        <w:tc>
          <w:tcPr>
            <w:tcW w:w="1955" w:type="dxa"/>
          </w:tcPr>
          <w:p>
            <w:pPr>
              <w:pStyle w:val="GesAbsatz"/>
              <w:rPr>
                <w:rFonts w:cs="Arial"/>
                <w:sz w:val="18"/>
              </w:rPr>
            </w:pPr>
            <w:r>
              <w:rPr>
                <w:rFonts w:cs="Arial"/>
                <w:sz w:val="18"/>
              </w:rPr>
              <w:t>Kupfer</w:t>
            </w:r>
          </w:p>
        </w:tc>
        <w:tc>
          <w:tcPr>
            <w:tcW w:w="667" w:type="dxa"/>
          </w:tcPr>
          <w:p>
            <w:pPr>
              <w:pStyle w:val="GesAbsatz"/>
              <w:rPr>
                <w:rFonts w:cs="Arial"/>
                <w:sz w:val="18"/>
              </w:rPr>
            </w:pPr>
            <w:r>
              <w:rPr>
                <w:rFonts w:cs="Arial"/>
                <w:sz w:val="18"/>
              </w:rPr>
              <w:t>Cu</w:t>
            </w:r>
          </w:p>
        </w:tc>
        <w:tc>
          <w:tcPr>
            <w:tcW w:w="3244" w:type="dxa"/>
          </w:tcPr>
          <w:p>
            <w:pPr>
              <w:pStyle w:val="GesAbsatz"/>
              <w:tabs>
                <w:tab w:val="clear" w:pos="425"/>
                <w:tab w:val="decimal" w:pos="1631"/>
              </w:tabs>
              <w:rPr>
                <w:rFonts w:cs="Arial"/>
                <w:sz w:val="18"/>
              </w:rPr>
            </w:pPr>
            <w:r>
              <w:rPr>
                <w:rFonts w:cs="Arial"/>
                <w:sz w:val="18"/>
              </w:rPr>
              <w:t>60</w:t>
            </w:r>
          </w:p>
        </w:tc>
        <w:tc>
          <w:tcPr>
            <w:tcW w:w="1956" w:type="dxa"/>
          </w:tcPr>
          <w:p>
            <w:pPr>
              <w:pStyle w:val="GesAbsatz"/>
              <w:tabs>
                <w:tab w:val="clear" w:pos="425"/>
                <w:tab w:val="decimal" w:pos="797"/>
              </w:tabs>
              <w:rPr>
                <w:rFonts w:cs="Arial"/>
                <w:sz w:val="18"/>
              </w:rPr>
            </w:pPr>
            <w:r>
              <w:rPr>
                <w:rFonts w:cs="Arial"/>
                <w:sz w:val="18"/>
              </w:rPr>
              <w:t>40</w:t>
            </w:r>
          </w:p>
        </w:tc>
        <w:tc>
          <w:tcPr>
            <w:tcW w:w="1956" w:type="dxa"/>
          </w:tcPr>
          <w:p>
            <w:pPr>
              <w:pStyle w:val="GesAbsatz"/>
              <w:tabs>
                <w:tab w:val="clear" w:pos="425"/>
                <w:tab w:val="decimal" w:pos="825"/>
              </w:tabs>
              <w:rPr>
                <w:rFonts w:cs="Arial"/>
                <w:sz w:val="18"/>
              </w:rPr>
            </w:pPr>
            <w:r>
              <w:rPr>
                <w:rFonts w:cs="Arial"/>
                <w:sz w:val="18"/>
              </w:rPr>
              <w:t>20</w:t>
            </w:r>
          </w:p>
        </w:tc>
      </w:tr>
      <w:tr>
        <w:tc>
          <w:tcPr>
            <w:tcW w:w="1955" w:type="dxa"/>
          </w:tcPr>
          <w:p>
            <w:pPr>
              <w:pStyle w:val="GesAbsatz"/>
              <w:rPr>
                <w:rFonts w:cs="Arial"/>
                <w:sz w:val="18"/>
              </w:rPr>
            </w:pPr>
            <w:r>
              <w:rPr>
                <w:rFonts w:cs="Arial"/>
                <w:sz w:val="18"/>
              </w:rPr>
              <w:t>Nickel</w:t>
            </w:r>
          </w:p>
        </w:tc>
        <w:tc>
          <w:tcPr>
            <w:tcW w:w="667" w:type="dxa"/>
          </w:tcPr>
          <w:p>
            <w:pPr>
              <w:pStyle w:val="GesAbsatz"/>
              <w:rPr>
                <w:rFonts w:cs="Arial"/>
                <w:sz w:val="18"/>
              </w:rPr>
            </w:pPr>
            <w:r>
              <w:rPr>
                <w:rFonts w:cs="Arial"/>
                <w:sz w:val="18"/>
              </w:rPr>
              <w:t>Ni</w:t>
            </w:r>
          </w:p>
        </w:tc>
        <w:tc>
          <w:tcPr>
            <w:tcW w:w="3244" w:type="dxa"/>
          </w:tcPr>
          <w:p>
            <w:pPr>
              <w:pStyle w:val="GesAbsatz"/>
              <w:tabs>
                <w:tab w:val="clear" w:pos="425"/>
                <w:tab w:val="decimal" w:pos="1631"/>
              </w:tabs>
              <w:rPr>
                <w:rFonts w:cs="Arial"/>
                <w:sz w:val="18"/>
              </w:rPr>
            </w:pPr>
            <w:r>
              <w:rPr>
                <w:rFonts w:cs="Arial"/>
                <w:sz w:val="18"/>
              </w:rPr>
              <w:t>70</w:t>
            </w:r>
          </w:p>
        </w:tc>
        <w:tc>
          <w:tcPr>
            <w:tcW w:w="1956" w:type="dxa"/>
          </w:tcPr>
          <w:p>
            <w:pPr>
              <w:pStyle w:val="GesAbsatz"/>
              <w:tabs>
                <w:tab w:val="clear" w:pos="425"/>
                <w:tab w:val="decimal" w:pos="797"/>
              </w:tabs>
              <w:rPr>
                <w:rFonts w:cs="Arial"/>
                <w:sz w:val="18"/>
              </w:rPr>
            </w:pPr>
            <w:r>
              <w:rPr>
                <w:rFonts w:cs="Arial"/>
                <w:sz w:val="18"/>
              </w:rPr>
              <w:t>50</w:t>
            </w:r>
          </w:p>
        </w:tc>
        <w:tc>
          <w:tcPr>
            <w:tcW w:w="1956" w:type="dxa"/>
          </w:tcPr>
          <w:p>
            <w:pPr>
              <w:pStyle w:val="GesAbsatz"/>
              <w:tabs>
                <w:tab w:val="clear" w:pos="425"/>
                <w:tab w:val="decimal" w:pos="825"/>
              </w:tabs>
              <w:rPr>
                <w:rFonts w:cs="Arial"/>
                <w:sz w:val="18"/>
              </w:rPr>
            </w:pPr>
            <w:r>
              <w:rPr>
                <w:rFonts w:cs="Arial"/>
                <w:sz w:val="18"/>
              </w:rPr>
              <w:t>15</w:t>
            </w:r>
          </w:p>
        </w:tc>
      </w:tr>
      <w:tr>
        <w:tc>
          <w:tcPr>
            <w:tcW w:w="1955" w:type="dxa"/>
          </w:tcPr>
          <w:p>
            <w:pPr>
              <w:pStyle w:val="GesAbsatz"/>
              <w:rPr>
                <w:rFonts w:cs="Arial"/>
                <w:sz w:val="18"/>
              </w:rPr>
            </w:pPr>
            <w:r>
              <w:rPr>
                <w:rFonts w:cs="Arial"/>
                <w:sz w:val="18"/>
              </w:rPr>
              <w:t>Quecksilber</w:t>
            </w:r>
          </w:p>
        </w:tc>
        <w:tc>
          <w:tcPr>
            <w:tcW w:w="667" w:type="dxa"/>
          </w:tcPr>
          <w:p>
            <w:pPr>
              <w:pStyle w:val="GesAbsatz"/>
              <w:rPr>
                <w:rFonts w:cs="Arial"/>
                <w:sz w:val="18"/>
              </w:rPr>
            </w:pPr>
            <w:r>
              <w:rPr>
                <w:rFonts w:cs="Arial"/>
                <w:sz w:val="18"/>
              </w:rPr>
              <w:t>Hg</w:t>
            </w:r>
          </w:p>
        </w:tc>
        <w:tc>
          <w:tcPr>
            <w:tcW w:w="3244" w:type="dxa"/>
          </w:tcPr>
          <w:p>
            <w:pPr>
              <w:pStyle w:val="GesAbsatz"/>
              <w:tabs>
                <w:tab w:val="clear" w:pos="425"/>
                <w:tab w:val="decimal" w:pos="1631"/>
              </w:tabs>
              <w:rPr>
                <w:rFonts w:cs="Arial"/>
                <w:sz w:val="18"/>
              </w:rPr>
            </w:pPr>
            <w:r>
              <w:rPr>
                <w:rFonts w:cs="Arial"/>
                <w:sz w:val="18"/>
              </w:rPr>
              <w:t>1</w:t>
            </w:r>
          </w:p>
        </w:tc>
        <w:tc>
          <w:tcPr>
            <w:tcW w:w="1956" w:type="dxa"/>
          </w:tcPr>
          <w:p>
            <w:pPr>
              <w:pStyle w:val="GesAbsatz"/>
              <w:tabs>
                <w:tab w:val="clear" w:pos="425"/>
                <w:tab w:val="decimal" w:pos="797"/>
              </w:tabs>
              <w:rPr>
                <w:rFonts w:cs="Arial"/>
                <w:sz w:val="18"/>
              </w:rPr>
            </w:pPr>
            <w:r>
              <w:rPr>
                <w:rFonts w:cs="Arial"/>
                <w:sz w:val="18"/>
              </w:rPr>
              <w:t>0,5</w:t>
            </w:r>
          </w:p>
        </w:tc>
        <w:tc>
          <w:tcPr>
            <w:tcW w:w="1956" w:type="dxa"/>
          </w:tcPr>
          <w:p>
            <w:pPr>
              <w:pStyle w:val="GesAbsatz"/>
              <w:tabs>
                <w:tab w:val="clear" w:pos="425"/>
                <w:tab w:val="decimal" w:pos="825"/>
              </w:tabs>
              <w:rPr>
                <w:rFonts w:cs="Arial"/>
                <w:sz w:val="18"/>
              </w:rPr>
            </w:pPr>
            <w:r>
              <w:rPr>
                <w:rFonts w:cs="Arial"/>
                <w:sz w:val="18"/>
              </w:rPr>
              <w:t>0,1</w:t>
            </w:r>
          </w:p>
        </w:tc>
      </w:tr>
      <w:tr>
        <w:tc>
          <w:tcPr>
            <w:tcW w:w="1955" w:type="dxa"/>
          </w:tcPr>
          <w:p>
            <w:pPr>
              <w:pStyle w:val="GesAbsatz"/>
              <w:rPr>
                <w:rFonts w:cs="Arial"/>
                <w:sz w:val="18"/>
              </w:rPr>
            </w:pPr>
            <w:r>
              <w:rPr>
                <w:rFonts w:cs="Arial"/>
                <w:sz w:val="18"/>
              </w:rPr>
              <w:t>Zink</w:t>
            </w:r>
          </w:p>
        </w:tc>
        <w:tc>
          <w:tcPr>
            <w:tcW w:w="667" w:type="dxa"/>
          </w:tcPr>
          <w:p>
            <w:pPr>
              <w:pStyle w:val="GesAbsatz"/>
              <w:rPr>
                <w:rFonts w:cs="Arial"/>
                <w:sz w:val="18"/>
              </w:rPr>
            </w:pPr>
            <w:r>
              <w:rPr>
                <w:rFonts w:cs="Arial"/>
                <w:sz w:val="18"/>
              </w:rPr>
              <w:t>Zn</w:t>
            </w:r>
          </w:p>
        </w:tc>
        <w:tc>
          <w:tcPr>
            <w:tcW w:w="3244" w:type="dxa"/>
          </w:tcPr>
          <w:p>
            <w:pPr>
              <w:pStyle w:val="GesAbsatz"/>
              <w:tabs>
                <w:tab w:val="clear" w:pos="425"/>
                <w:tab w:val="decimal" w:pos="1631"/>
              </w:tabs>
              <w:rPr>
                <w:rFonts w:cs="Arial"/>
                <w:sz w:val="18"/>
              </w:rPr>
            </w:pPr>
            <w:r>
              <w:rPr>
                <w:rFonts w:cs="Arial"/>
                <w:sz w:val="18"/>
              </w:rPr>
              <w:t>200</w:t>
            </w:r>
          </w:p>
        </w:tc>
        <w:tc>
          <w:tcPr>
            <w:tcW w:w="1956" w:type="dxa"/>
          </w:tcPr>
          <w:p>
            <w:pPr>
              <w:pStyle w:val="GesAbsatz"/>
              <w:tabs>
                <w:tab w:val="clear" w:pos="425"/>
                <w:tab w:val="decimal" w:pos="797"/>
              </w:tabs>
              <w:rPr>
                <w:rFonts w:cs="Arial"/>
                <w:sz w:val="18"/>
              </w:rPr>
            </w:pPr>
            <w:r>
              <w:rPr>
                <w:rFonts w:cs="Arial"/>
                <w:sz w:val="18"/>
              </w:rPr>
              <w:t>150</w:t>
            </w:r>
          </w:p>
        </w:tc>
        <w:tc>
          <w:tcPr>
            <w:tcW w:w="1956" w:type="dxa"/>
          </w:tcPr>
          <w:p>
            <w:pPr>
              <w:pStyle w:val="GesAbsatz"/>
              <w:tabs>
                <w:tab w:val="clear" w:pos="425"/>
                <w:tab w:val="decimal" w:pos="825"/>
              </w:tabs>
              <w:rPr>
                <w:rFonts w:cs="Arial"/>
                <w:sz w:val="18"/>
              </w:rPr>
            </w:pPr>
            <w:r>
              <w:rPr>
                <w:rFonts w:cs="Arial"/>
                <w:sz w:val="18"/>
              </w:rPr>
              <w:t>60</w:t>
            </w:r>
          </w:p>
        </w:tc>
      </w:tr>
      <w:tr>
        <w:trPr>
          <w:cantSplit/>
        </w:trPr>
        <w:tc>
          <w:tcPr>
            <w:tcW w:w="9778" w:type="dxa"/>
            <w:gridSpan w:val="5"/>
          </w:tcPr>
          <w:p>
            <w:pPr>
              <w:pStyle w:val="GesAbsatz"/>
              <w:ind w:left="284" w:hanging="284"/>
              <w:rPr>
                <w:rFonts w:cs="Arial"/>
                <w:sz w:val="18"/>
              </w:rPr>
            </w:pPr>
            <w:r>
              <w:rPr>
                <w:rFonts w:cs="Arial"/>
                <w:sz w:val="18"/>
                <w:vertAlign w:val="superscript"/>
              </w:rPr>
              <w:t>1</w:t>
            </w:r>
            <w:r>
              <w:rPr>
                <w:rFonts w:cs="Arial"/>
                <w:sz w:val="18"/>
                <w:vertAlign w:val="superscript"/>
              </w:rPr>
              <w:tab/>
            </w:r>
            <w:r>
              <w:rPr>
                <w:rFonts w:cs="Arial"/>
                <w:sz w:val="18"/>
              </w:rPr>
              <w:t>Bei Böden der Bodenart Ton mit einem pH-Wert von weniger als 6 gelten für Cadmium und Zink die Werte der Bodenart Lehm. Bei Böden der Bodenart Lehm mit einem pH-Wert von weniger als 6 gelten für Cadmium und Zink die Werte der Bodenart Sand</w:t>
            </w:r>
          </w:p>
          <w:p>
            <w:pPr>
              <w:pStyle w:val="GesAbsatz"/>
              <w:ind w:left="284" w:hanging="284"/>
              <w:rPr>
                <w:rFonts w:cs="Arial"/>
                <w:sz w:val="18"/>
              </w:rPr>
            </w:pPr>
            <w:r>
              <w:rPr>
                <w:rFonts w:cs="Arial"/>
                <w:sz w:val="18"/>
                <w:vertAlign w:val="superscript"/>
              </w:rPr>
              <w:t>2</w:t>
            </w:r>
            <w:r>
              <w:rPr>
                <w:rFonts w:cs="Arial"/>
                <w:sz w:val="18"/>
                <w:vertAlign w:val="superscript"/>
              </w:rPr>
              <w:tab/>
            </w:r>
            <w:r>
              <w:rPr>
                <w:rFonts w:cs="Arial"/>
                <w:sz w:val="18"/>
              </w:rPr>
              <w:t>Trockensubstanz</w:t>
            </w:r>
          </w:p>
        </w:tc>
      </w:tr>
    </w:tbl>
    <w:p>
      <w:pPr>
        <w:pStyle w:val="GesAbsatz"/>
        <w:rPr>
          <w:rFonts w:eastAsia="Arial Unicode MS" w:cs="Arial"/>
          <w:szCs w:val="24"/>
        </w:rPr>
      </w:pPr>
    </w:p>
    <w:p>
      <w:pPr>
        <w:pStyle w:val="GesAbsatz"/>
        <w:rPr>
          <w:rFonts w:cs="Arial"/>
        </w:rPr>
      </w:pPr>
      <w:r>
        <w:rPr>
          <w:rFonts w:cs="Arial"/>
          <w:b/>
          <w:bCs/>
        </w:rPr>
        <w:t>Tabelle 3: Grenzwerte für maximal zulässige Schwermetallgehalte und die zugehörigen Frachten nach BioAbfV und Häufigkeitsschwerpunkt der Schwermetallgehalte in Biokomposten, mg/kg 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6"/>
        <w:gridCol w:w="801"/>
        <w:gridCol w:w="1842"/>
        <w:gridCol w:w="1418"/>
        <w:gridCol w:w="1417"/>
        <w:gridCol w:w="1507"/>
        <w:gridCol w:w="1397"/>
      </w:tblGrid>
      <w:tr>
        <w:trPr>
          <w:cantSplit/>
          <w:tblHeader/>
        </w:trPr>
        <w:tc>
          <w:tcPr>
            <w:tcW w:w="2197" w:type="dxa"/>
            <w:gridSpan w:val="2"/>
          </w:tcPr>
          <w:p>
            <w:pPr>
              <w:pStyle w:val="GesAbsatz"/>
              <w:jc w:val="center"/>
              <w:rPr>
                <w:rFonts w:eastAsia="Arial Unicode MS" w:cs="Arial"/>
                <w:sz w:val="18"/>
              </w:rPr>
            </w:pPr>
          </w:p>
        </w:tc>
        <w:tc>
          <w:tcPr>
            <w:tcW w:w="1842" w:type="dxa"/>
          </w:tcPr>
          <w:p>
            <w:pPr>
              <w:pStyle w:val="GesAbsatz"/>
              <w:jc w:val="center"/>
              <w:rPr>
                <w:rFonts w:eastAsia="Arial Unicode MS" w:cs="Arial"/>
                <w:sz w:val="18"/>
              </w:rPr>
            </w:pPr>
            <w:r>
              <w:rPr>
                <w:rFonts w:cs="Arial"/>
                <w:b/>
                <w:bCs/>
                <w:sz w:val="18"/>
              </w:rPr>
              <w:t>20 Mg TS/ha in 3 Jahren</w:t>
            </w:r>
          </w:p>
        </w:tc>
        <w:tc>
          <w:tcPr>
            <w:tcW w:w="2835" w:type="dxa"/>
            <w:gridSpan w:val="2"/>
          </w:tcPr>
          <w:p>
            <w:pPr>
              <w:pStyle w:val="GesAbsatz"/>
              <w:jc w:val="center"/>
              <w:rPr>
                <w:rFonts w:eastAsia="Arial Unicode MS" w:cs="Arial"/>
                <w:sz w:val="18"/>
              </w:rPr>
            </w:pPr>
          </w:p>
        </w:tc>
        <w:tc>
          <w:tcPr>
            <w:tcW w:w="1507" w:type="dxa"/>
          </w:tcPr>
          <w:p>
            <w:pPr>
              <w:pStyle w:val="GesAbsatz"/>
              <w:jc w:val="center"/>
              <w:rPr>
                <w:rFonts w:eastAsia="Arial Unicode MS" w:cs="Arial"/>
                <w:sz w:val="18"/>
              </w:rPr>
            </w:pPr>
            <w:r>
              <w:rPr>
                <w:rFonts w:cs="Arial"/>
                <w:b/>
                <w:bCs/>
                <w:sz w:val="18"/>
              </w:rPr>
              <w:t>30 Mg TS/ha in 3 Jahren</w:t>
            </w:r>
          </w:p>
        </w:tc>
        <w:tc>
          <w:tcPr>
            <w:tcW w:w="1397" w:type="dxa"/>
          </w:tcPr>
          <w:p>
            <w:pPr>
              <w:pStyle w:val="GesAbsatz"/>
              <w:jc w:val="center"/>
              <w:rPr>
                <w:rFonts w:eastAsia="Arial Unicode MS" w:cs="Arial"/>
                <w:sz w:val="18"/>
              </w:rPr>
            </w:pPr>
          </w:p>
        </w:tc>
      </w:tr>
      <w:tr>
        <w:trPr>
          <w:cantSplit/>
          <w:tblHeader/>
        </w:trPr>
        <w:tc>
          <w:tcPr>
            <w:tcW w:w="2197" w:type="dxa"/>
            <w:gridSpan w:val="2"/>
          </w:tcPr>
          <w:p>
            <w:pPr>
              <w:pStyle w:val="GesAbsatz"/>
              <w:rPr>
                <w:rFonts w:eastAsia="Arial Unicode MS" w:cs="Arial"/>
                <w:sz w:val="18"/>
              </w:rPr>
            </w:pPr>
            <w:r>
              <w:rPr>
                <w:rFonts w:cs="Arial"/>
                <w:sz w:val="18"/>
              </w:rPr>
              <w:t>Aufbringungsmenge</w:t>
            </w:r>
            <w:r>
              <w:rPr>
                <w:rFonts w:cs="Arial"/>
                <w:sz w:val="18"/>
              </w:rPr>
              <w:br/>
              <w:t>Schwermetall</w:t>
            </w:r>
          </w:p>
        </w:tc>
        <w:tc>
          <w:tcPr>
            <w:tcW w:w="1842" w:type="dxa"/>
          </w:tcPr>
          <w:p>
            <w:pPr>
              <w:pStyle w:val="GesAbsatz"/>
              <w:rPr>
                <w:rFonts w:cs="Arial"/>
                <w:sz w:val="18"/>
              </w:rPr>
            </w:pPr>
            <w:r>
              <w:rPr>
                <w:rFonts w:cs="Arial"/>
                <w:sz w:val="18"/>
              </w:rPr>
              <w:t>Gehalt mg/kg TS</w:t>
            </w:r>
          </w:p>
        </w:tc>
        <w:tc>
          <w:tcPr>
            <w:tcW w:w="1418" w:type="dxa"/>
          </w:tcPr>
          <w:p>
            <w:pPr>
              <w:pStyle w:val="GesAbsatz"/>
              <w:rPr>
                <w:rFonts w:eastAsia="Arial Unicode MS" w:cs="Arial"/>
                <w:sz w:val="18"/>
              </w:rPr>
            </w:pPr>
            <w:r>
              <w:rPr>
                <w:rFonts w:cs="Arial"/>
                <w:sz w:val="18"/>
              </w:rPr>
              <w:t>Fracht g/ha</w:t>
            </w:r>
          </w:p>
        </w:tc>
        <w:tc>
          <w:tcPr>
            <w:tcW w:w="1417" w:type="dxa"/>
          </w:tcPr>
          <w:p>
            <w:pPr>
              <w:pStyle w:val="GesAbsatz"/>
              <w:rPr>
                <w:rFonts w:eastAsia="Arial Unicode MS" w:cs="Arial"/>
                <w:sz w:val="18"/>
              </w:rPr>
            </w:pPr>
            <w:r>
              <w:rPr>
                <w:rFonts w:cs="Arial"/>
                <w:sz w:val="18"/>
              </w:rPr>
              <w:t>Gehalt mg/kg TS</w:t>
            </w:r>
          </w:p>
        </w:tc>
        <w:tc>
          <w:tcPr>
            <w:tcW w:w="1507" w:type="dxa"/>
          </w:tcPr>
          <w:p>
            <w:pPr>
              <w:pStyle w:val="GesAbsatz"/>
              <w:rPr>
                <w:rFonts w:cs="Arial"/>
                <w:sz w:val="18"/>
                <w:lang w:val="it-IT"/>
              </w:rPr>
            </w:pPr>
            <w:r>
              <w:rPr>
                <w:rFonts w:cs="Arial"/>
                <w:sz w:val="18"/>
                <w:lang w:val="it-IT"/>
              </w:rPr>
              <w:t>Fracht g/ha*a</w:t>
            </w:r>
          </w:p>
        </w:tc>
        <w:tc>
          <w:tcPr>
            <w:tcW w:w="1397" w:type="dxa"/>
          </w:tcPr>
          <w:p>
            <w:pPr>
              <w:pStyle w:val="GesAbsatz"/>
              <w:rPr>
                <w:rFonts w:eastAsia="Arial Unicode MS" w:cs="Arial"/>
                <w:sz w:val="18"/>
              </w:rPr>
            </w:pPr>
            <w:r>
              <w:rPr>
                <w:rFonts w:cs="Arial"/>
                <w:sz w:val="18"/>
              </w:rPr>
              <w:t>Häufigkeitsschwerpunkt</w:t>
            </w:r>
            <w:r>
              <w:rPr>
                <w:rFonts w:cs="Arial"/>
                <w:sz w:val="18"/>
                <w:vertAlign w:val="superscript"/>
              </w:rPr>
              <w:t>1</w:t>
            </w:r>
            <w:r>
              <w:rPr>
                <w:rFonts w:cs="Arial"/>
                <w:sz w:val="18"/>
              </w:rPr>
              <w:br/>
              <w:t>Gehalte mg/kg TS</w:t>
            </w:r>
          </w:p>
        </w:tc>
      </w:tr>
      <w:tr>
        <w:trPr>
          <w:trHeight w:val="370"/>
        </w:trPr>
        <w:tc>
          <w:tcPr>
            <w:tcW w:w="1396" w:type="dxa"/>
          </w:tcPr>
          <w:p>
            <w:pPr>
              <w:pStyle w:val="GesAbsatz"/>
              <w:rPr>
                <w:rFonts w:eastAsia="Arial Unicode MS" w:cs="Arial"/>
                <w:sz w:val="18"/>
              </w:rPr>
            </w:pPr>
            <w:r>
              <w:rPr>
                <w:rFonts w:cs="Arial"/>
                <w:sz w:val="18"/>
              </w:rPr>
              <w:t>Blei</w:t>
            </w:r>
          </w:p>
        </w:tc>
        <w:tc>
          <w:tcPr>
            <w:tcW w:w="801" w:type="dxa"/>
          </w:tcPr>
          <w:p>
            <w:pPr>
              <w:pStyle w:val="GesAbsatz"/>
              <w:rPr>
                <w:rFonts w:eastAsia="Arial Unicode MS" w:cs="Arial"/>
                <w:sz w:val="18"/>
              </w:rPr>
            </w:pPr>
            <w:r>
              <w:rPr>
                <w:rFonts w:cs="Arial"/>
                <w:sz w:val="18"/>
              </w:rPr>
              <w:t>Pb</w:t>
            </w:r>
          </w:p>
        </w:tc>
        <w:tc>
          <w:tcPr>
            <w:tcW w:w="1842" w:type="dxa"/>
          </w:tcPr>
          <w:p>
            <w:pPr>
              <w:pStyle w:val="GesAbsatz"/>
              <w:tabs>
                <w:tab w:val="clear" w:pos="425"/>
                <w:tab w:val="decimal" w:pos="922"/>
              </w:tabs>
              <w:rPr>
                <w:rFonts w:cs="Arial"/>
                <w:b/>
                <w:bCs/>
                <w:sz w:val="18"/>
              </w:rPr>
            </w:pPr>
            <w:r>
              <w:rPr>
                <w:rFonts w:cs="Arial"/>
                <w:sz w:val="18"/>
              </w:rPr>
              <w:t>150</w:t>
            </w:r>
          </w:p>
        </w:tc>
        <w:tc>
          <w:tcPr>
            <w:tcW w:w="1418" w:type="dxa"/>
          </w:tcPr>
          <w:p>
            <w:pPr>
              <w:pStyle w:val="GesAbsatz"/>
              <w:tabs>
                <w:tab w:val="clear" w:pos="425"/>
                <w:tab w:val="decimal" w:pos="781"/>
              </w:tabs>
              <w:rPr>
                <w:rFonts w:eastAsia="Arial Unicode MS" w:cs="Arial"/>
                <w:sz w:val="18"/>
              </w:rPr>
            </w:pPr>
            <w:r>
              <w:rPr>
                <w:rFonts w:cs="Arial"/>
                <w:sz w:val="18"/>
              </w:rPr>
              <w:t>1.000</w:t>
            </w:r>
          </w:p>
        </w:tc>
        <w:tc>
          <w:tcPr>
            <w:tcW w:w="1417" w:type="dxa"/>
          </w:tcPr>
          <w:p>
            <w:pPr>
              <w:pStyle w:val="GesAbsatz"/>
              <w:tabs>
                <w:tab w:val="clear" w:pos="425"/>
                <w:tab w:val="decimal" w:pos="780"/>
              </w:tabs>
              <w:rPr>
                <w:rFonts w:eastAsia="Arial Unicode MS" w:cs="Arial"/>
                <w:sz w:val="18"/>
              </w:rPr>
            </w:pPr>
            <w:r>
              <w:rPr>
                <w:rFonts w:cs="Arial"/>
                <w:sz w:val="18"/>
              </w:rPr>
              <w:t>100</w:t>
            </w:r>
          </w:p>
        </w:tc>
        <w:tc>
          <w:tcPr>
            <w:tcW w:w="1507" w:type="dxa"/>
          </w:tcPr>
          <w:p>
            <w:pPr>
              <w:pStyle w:val="GesAbsatz"/>
              <w:tabs>
                <w:tab w:val="clear" w:pos="425"/>
                <w:tab w:val="decimal" w:pos="922"/>
              </w:tabs>
              <w:rPr>
                <w:rFonts w:cs="Arial"/>
                <w:b/>
                <w:bCs/>
                <w:sz w:val="18"/>
              </w:rPr>
            </w:pPr>
            <w:r>
              <w:rPr>
                <w:rFonts w:cs="Arial"/>
                <w:sz w:val="18"/>
              </w:rPr>
              <w:t>1.000</w:t>
            </w:r>
          </w:p>
        </w:tc>
        <w:tc>
          <w:tcPr>
            <w:tcW w:w="1397" w:type="dxa"/>
          </w:tcPr>
          <w:p>
            <w:pPr>
              <w:pStyle w:val="GesAbsatz"/>
              <w:tabs>
                <w:tab w:val="clear" w:pos="425"/>
                <w:tab w:val="decimal" w:pos="408"/>
              </w:tabs>
              <w:rPr>
                <w:rFonts w:eastAsia="Arial Unicode MS" w:cs="Arial"/>
                <w:sz w:val="18"/>
              </w:rPr>
            </w:pPr>
            <w:r>
              <w:rPr>
                <w:rFonts w:cs="Arial"/>
                <w:sz w:val="18"/>
              </w:rPr>
              <w:t>28 – 133</w:t>
            </w:r>
          </w:p>
        </w:tc>
      </w:tr>
      <w:tr>
        <w:tc>
          <w:tcPr>
            <w:tcW w:w="1396" w:type="dxa"/>
          </w:tcPr>
          <w:p>
            <w:pPr>
              <w:pStyle w:val="GesAbsatz"/>
              <w:rPr>
                <w:rFonts w:cs="Arial"/>
                <w:sz w:val="18"/>
              </w:rPr>
            </w:pPr>
            <w:r>
              <w:rPr>
                <w:rFonts w:cs="Arial"/>
                <w:sz w:val="18"/>
              </w:rPr>
              <w:t>Cadmium</w:t>
            </w:r>
          </w:p>
        </w:tc>
        <w:tc>
          <w:tcPr>
            <w:tcW w:w="801" w:type="dxa"/>
          </w:tcPr>
          <w:p>
            <w:pPr>
              <w:pStyle w:val="GesAbsatz"/>
              <w:rPr>
                <w:rFonts w:cs="Arial"/>
                <w:sz w:val="18"/>
                <w:lang w:val="en-US"/>
              </w:rPr>
            </w:pPr>
            <w:r>
              <w:rPr>
                <w:rFonts w:cs="Arial"/>
                <w:sz w:val="18"/>
                <w:lang w:val="en-US"/>
              </w:rPr>
              <w:t>Cd</w:t>
            </w:r>
          </w:p>
        </w:tc>
        <w:tc>
          <w:tcPr>
            <w:tcW w:w="1842" w:type="dxa"/>
          </w:tcPr>
          <w:p>
            <w:pPr>
              <w:pStyle w:val="GesAbsatz"/>
              <w:tabs>
                <w:tab w:val="clear" w:pos="425"/>
                <w:tab w:val="decimal" w:pos="922"/>
              </w:tabs>
              <w:rPr>
                <w:rFonts w:cs="Arial"/>
                <w:sz w:val="18"/>
                <w:lang w:val="en-US"/>
              </w:rPr>
            </w:pPr>
            <w:r>
              <w:rPr>
                <w:rFonts w:cs="Arial"/>
                <w:sz w:val="18"/>
                <w:lang w:val="en-US"/>
              </w:rPr>
              <w:t>1,5</w:t>
            </w:r>
          </w:p>
        </w:tc>
        <w:tc>
          <w:tcPr>
            <w:tcW w:w="1418" w:type="dxa"/>
          </w:tcPr>
          <w:p>
            <w:pPr>
              <w:pStyle w:val="GesAbsatz"/>
              <w:tabs>
                <w:tab w:val="clear" w:pos="425"/>
                <w:tab w:val="decimal" w:pos="781"/>
              </w:tabs>
              <w:rPr>
                <w:rFonts w:cs="Arial"/>
                <w:sz w:val="18"/>
                <w:lang w:val="en-US"/>
              </w:rPr>
            </w:pPr>
            <w:r>
              <w:rPr>
                <w:rFonts w:cs="Arial"/>
                <w:sz w:val="18"/>
                <w:lang w:val="en-US"/>
              </w:rPr>
              <w:t>10</w:t>
            </w:r>
          </w:p>
        </w:tc>
        <w:tc>
          <w:tcPr>
            <w:tcW w:w="1417" w:type="dxa"/>
          </w:tcPr>
          <w:p>
            <w:pPr>
              <w:pStyle w:val="GesAbsatz"/>
              <w:tabs>
                <w:tab w:val="clear" w:pos="425"/>
                <w:tab w:val="decimal" w:pos="780"/>
              </w:tabs>
              <w:rPr>
                <w:rFonts w:cs="Arial"/>
                <w:sz w:val="18"/>
                <w:lang w:val="en-US"/>
              </w:rPr>
            </w:pPr>
            <w:r>
              <w:rPr>
                <w:rFonts w:cs="Arial"/>
                <w:sz w:val="18"/>
                <w:lang w:val="en-US"/>
              </w:rPr>
              <w:t>1</w:t>
            </w:r>
          </w:p>
        </w:tc>
        <w:tc>
          <w:tcPr>
            <w:tcW w:w="1507" w:type="dxa"/>
          </w:tcPr>
          <w:p>
            <w:pPr>
              <w:pStyle w:val="GesAbsatz"/>
              <w:tabs>
                <w:tab w:val="clear" w:pos="425"/>
                <w:tab w:val="decimal" w:pos="922"/>
              </w:tabs>
              <w:rPr>
                <w:rFonts w:cs="Arial"/>
                <w:sz w:val="18"/>
                <w:lang w:val="en-US"/>
              </w:rPr>
            </w:pPr>
            <w:r>
              <w:rPr>
                <w:rFonts w:cs="Arial"/>
                <w:sz w:val="18"/>
                <w:lang w:val="en-US"/>
              </w:rPr>
              <w:t>10</w:t>
            </w:r>
          </w:p>
        </w:tc>
        <w:tc>
          <w:tcPr>
            <w:tcW w:w="1397" w:type="dxa"/>
          </w:tcPr>
          <w:p>
            <w:pPr>
              <w:pStyle w:val="GesAbsatz"/>
              <w:tabs>
                <w:tab w:val="clear" w:pos="425"/>
                <w:tab w:val="decimal" w:pos="485"/>
              </w:tabs>
              <w:rPr>
                <w:rFonts w:cs="Arial"/>
                <w:sz w:val="18"/>
                <w:lang w:val="en-US"/>
              </w:rPr>
            </w:pPr>
            <w:r>
              <w:rPr>
                <w:rFonts w:cs="Arial"/>
                <w:sz w:val="18"/>
                <w:lang w:val="en-US"/>
              </w:rPr>
              <w:t>0,24 - 1,30</w:t>
            </w:r>
          </w:p>
        </w:tc>
      </w:tr>
      <w:tr>
        <w:tc>
          <w:tcPr>
            <w:tcW w:w="1396" w:type="dxa"/>
          </w:tcPr>
          <w:p>
            <w:pPr>
              <w:pStyle w:val="GesAbsatz"/>
              <w:rPr>
                <w:rFonts w:cs="Arial"/>
                <w:sz w:val="18"/>
                <w:lang w:val="en-US"/>
              </w:rPr>
            </w:pPr>
            <w:r>
              <w:rPr>
                <w:rFonts w:cs="Arial"/>
                <w:sz w:val="18"/>
                <w:lang w:val="en-US"/>
              </w:rPr>
              <w:t>Chrom</w:t>
            </w:r>
          </w:p>
        </w:tc>
        <w:tc>
          <w:tcPr>
            <w:tcW w:w="801" w:type="dxa"/>
          </w:tcPr>
          <w:p>
            <w:pPr>
              <w:pStyle w:val="GesAbsatz"/>
              <w:rPr>
                <w:rFonts w:cs="Arial"/>
                <w:sz w:val="18"/>
                <w:lang w:val="en-US"/>
              </w:rPr>
            </w:pPr>
            <w:r>
              <w:rPr>
                <w:rFonts w:cs="Arial"/>
                <w:sz w:val="18"/>
                <w:lang w:val="en-US"/>
              </w:rPr>
              <w:t>Cr</w:t>
            </w:r>
          </w:p>
        </w:tc>
        <w:tc>
          <w:tcPr>
            <w:tcW w:w="1842" w:type="dxa"/>
          </w:tcPr>
          <w:p>
            <w:pPr>
              <w:pStyle w:val="GesAbsatz"/>
              <w:tabs>
                <w:tab w:val="clear" w:pos="425"/>
                <w:tab w:val="decimal" w:pos="922"/>
              </w:tabs>
              <w:rPr>
                <w:rFonts w:cs="Arial"/>
                <w:sz w:val="18"/>
              </w:rPr>
            </w:pPr>
            <w:r>
              <w:rPr>
                <w:rFonts w:cs="Arial"/>
                <w:sz w:val="18"/>
              </w:rPr>
              <w:t>100</w:t>
            </w:r>
          </w:p>
        </w:tc>
        <w:tc>
          <w:tcPr>
            <w:tcW w:w="1418" w:type="dxa"/>
          </w:tcPr>
          <w:p>
            <w:pPr>
              <w:pStyle w:val="GesAbsatz"/>
              <w:tabs>
                <w:tab w:val="clear" w:pos="425"/>
                <w:tab w:val="decimal" w:pos="781"/>
              </w:tabs>
              <w:rPr>
                <w:rFonts w:cs="Arial"/>
                <w:sz w:val="18"/>
              </w:rPr>
            </w:pPr>
            <w:r>
              <w:rPr>
                <w:rFonts w:cs="Arial"/>
                <w:sz w:val="18"/>
              </w:rPr>
              <w:t>667</w:t>
            </w:r>
          </w:p>
        </w:tc>
        <w:tc>
          <w:tcPr>
            <w:tcW w:w="1417" w:type="dxa"/>
          </w:tcPr>
          <w:p>
            <w:pPr>
              <w:pStyle w:val="GesAbsatz"/>
              <w:tabs>
                <w:tab w:val="clear" w:pos="425"/>
                <w:tab w:val="decimal" w:pos="780"/>
              </w:tabs>
              <w:rPr>
                <w:rFonts w:cs="Arial"/>
                <w:sz w:val="18"/>
              </w:rPr>
            </w:pPr>
            <w:r>
              <w:rPr>
                <w:rFonts w:cs="Arial"/>
                <w:sz w:val="18"/>
              </w:rPr>
              <w:t>100</w:t>
            </w:r>
          </w:p>
        </w:tc>
        <w:tc>
          <w:tcPr>
            <w:tcW w:w="1507" w:type="dxa"/>
          </w:tcPr>
          <w:p>
            <w:pPr>
              <w:pStyle w:val="GesAbsatz"/>
              <w:tabs>
                <w:tab w:val="clear" w:pos="425"/>
                <w:tab w:val="decimal" w:pos="922"/>
              </w:tabs>
              <w:rPr>
                <w:rFonts w:cs="Arial"/>
                <w:sz w:val="18"/>
              </w:rPr>
            </w:pPr>
            <w:r>
              <w:rPr>
                <w:rFonts w:cs="Arial"/>
                <w:sz w:val="18"/>
              </w:rPr>
              <w:t>1.000</w:t>
            </w:r>
          </w:p>
        </w:tc>
        <w:tc>
          <w:tcPr>
            <w:tcW w:w="1397" w:type="dxa"/>
          </w:tcPr>
          <w:p>
            <w:pPr>
              <w:pStyle w:val="GesAbsatz"/>
              <w:tabs>
                <w:tab w:val="clear" w:pos="425"/>
                <w:tab w:val="decimal" w:pos="485"/>
              </w:tabs>
              <w:rPr>
                <w:rFonts w:cs="Arial"/>
                <w:sz w:val="18"/>
              </w:rPr>
            </w:pPr>
            <w:r>
              <w:rPr>
                <w:rFonts w:cs="Arial"/>
                <w:sz w:val="18"/>
              </w:rPr>
              <w:t>7,1 - 71,5</w:t>
            </w:r>
          </w:p>
        </w:tc>
      </w:tr>
      <w:tr>
        <w:tc>
          <w:tcPr>
            <w:tcW w:w="1396" w:type="dxa"/>
          </w:tcPr>
          <w:p>
            <w:pPr>
              <w:pStyle w:val="GesAbsatz"/>
              <w:rPr>
                <w:rFonts w:cs="Arial"/>
                <w:sz w:val="18"/>
              </w:rPr>
            </w:pPr>
            <w:r>
              <w:rPr>
                <w:rFonts w:cs="Arial"/>
                <w:sz w:val="18"/>
              </w:rPr>
              <w:t>Kupfer</w:t>
            </w:r>
          </w:p>
        </w:tc>
        <w:tc>
          <w:tcPr>
            <w:tcW w:w="801" w:type="dxa"/>
          </w:tcPr>
          <w:p>
            <w:pPr>
              <w:pStyle w:val="GesAbsatz"/>
              <w:rPr>
                <w:rFonts w:cs="Arial"/>
                <w:sz w:val="18"/>
              </w:rPr>
            </w:pPr>
            <w:r>
              <w:rPr>
                <w:rFonts w:cs="Arial"/>
                <w:sz w:val="18"/>
              </w:rPr>
              <w:t>Cu</w:t>
            </w:r>
          </w:p>
        </w:tc>
        <w:tc>
          <w:tcPr>
            <w:tcW w:w="1842" w:type="dxa"/>
          </w:tcPr>
          <w:p>
            <w:pPr>
              <w:pStyle w:val="GesAbsatz"/>
              <w:tabs>
                <w:tab w:val="clear" w:pos="425"/>
                <w:tab w:val="decimal" w:pos="922"/>
              </w:tabs>
              <w:rPr>
                <w:rFonts w:cs="Arial"/>
                <w:sz w:val="18"/>
              </w:rPr>
            </w:pPr>
            <w:r>
              <w:rPr>
                <w:rFonts w:cs="Arial"/>
                <w:sz w:val="18"/>
              </w:rPr>
              <w:t>100</w:t>
            </w:r>
          </w:p>
        </w:tc>
        <w:tc>
          <w:tcPr>
            <w:tcW w:w="1418" w:type="dxa"/>
          </w:tcPr>
          <w:p>
            <w:pPr>
              <w:pStyle w:val="GesAbsatz"/>
              <w:tabs>
                <w:tab w:val="clear" w:pos="425"/>
                <w:tab w:val="decimal" w:pos="781"/>
              </w:tabs>
              <w:rPr>
                <w:rFonts w:cs="Arial"/>
                <w:sz w:val="18"/>
              </w:rPr>
            </w:pPr>
            <w:r>
              <w:rPr>
                <w:rFonts w:cs="Arial"/>
                <w:sz w:val="18"/>
              </w:rPr>
              <w:t>667</w:t>
            </w:r>
          </w:p>
        </w:tc>
        <w:tc>
          <w:tcPr>
            <w:tcW w:w="1417" w:type="dxa"/>
          </w:tcPr>
          <w:p>
            <w:pPr>
              <w:pStyle w:val="GesAbsatz"/>
              <w:tabs>
                <w:tab w:val="clear" w:pos="425"/>
                <w:tab w:val="decimal" w:pos="780"/>
              </w:tabs>
              <w:rPr>
                <w:rFonts w:cs="Arial"/>
                <w:sz w:val="18"/>
              </w:rPr>
            </w:pPr>
            <w:r>
              <w:rPr>
                <w:rFonts w:cs="Arial"/>
                <w:sz w:val="18"/>
              </w:rPr>
              <w:t>75</w:t>
            </w:r>
          </w:p>
        </w:tc>
        <w:tc>
          <w:tcPr>
            <w:tcW w:w="1507" w:type="dxa"/>
          </w:tcPr>
          <w:p>
            <w:pPr>
              <w:pStyle w:val="GesAbsatz"/>
              <w:tabs>
                <w:tab w:val="clear" w:pos="425"/>
                <w:tab w:val="decimal" w:pos="922"/>
              </w:tabs>
              <w:rPr>
                <w:rFonts w:cs="Arial"/>
                <w:sz w:val="18"/>
              </w:rPr>
            </w:pPr>
            <w:r>
              <w:rPr>
                <w:rFonts w:cs="Arial"/>
                <w:sz w:val="18"/>
              </w:rPr>
              <w:t>750</w:t>
            </w:r>
          </w:p>
        </w:tc>
        <w:tc>
          <w:tcPr>
            <w:tcW w:w="1397" w:type="dxa"/>
          </w:tcPr>
          <w:p>
            <w:pPr>
              <w:pStyle w:val="GesAbsatz"/>
              <w:tabs>
                <w:tab w:val="clear" w:pos="425"/>
                <w:tab w:val="decimal" w:pos="485"/>
              </w:tabs>
              <w:rPr>
                <w:rFonts w:cs="Arial"/>
                <w:sz w:val="18"/>
              </w:rPr>
            </w:pPr>
            <w:r>
              <w:rPr>
                <w:rFonts w:cs="Arial"/>
                <w:sz w:val="18"/>
              </w:rPr>
              <w:t>28 – 103</w:t>
            </w:r>
          </w:p>
        </w:tc>
      </w:tr>
      <w:tr>
        <w:tc>
          <w:tcPr>
            <w:tcW w:w="1396" w:type="dxa"/>
          </w:tcPr>
          <w:p>
            <w:pPr>
              <w:pStyle w:val="GesAbsatz"/>
              <w:rPr>
                <w:rFonts w:cs="Arial"/>
                <w:sz w:val="18"/>
              </w:rPr>
            </w:pPr>
            <w:r>
              <w:rPr>
                <w:rFonts w:cs="Arial"/>
                <w:sz w:val="18"/>
              </w:rPr>
              <w:t>Nickel</w:t>
            </w:r>
          </w:p>
        </w:tc>
        <w:tc>
          <w:tcPr>
            <w:tcW w:w="801" w:type="dxa"/>
          </w:tcPr>
          <w:p>
            <w:pPr>
              <w:pStyle w:val="GesAbsatz"/>
              <w:rPr>
                <w:rFonts w:cs="Arial"/>
                <w:sz w:val="18"/>
              </w:rPr>
            </w:pPr>
            <w:r>
              <w:rPr>
                <w:rFonts w:cs="Arial"/>
                <w:sz w:val="18"/>
              </w:rPr>
              <w:t>Ni</w:t>
            </w:r>
          </w:p>
        </w:tc>
        <w:tc>
          <w:tcPr>
            <w:tcW w:w="1842" w:type="dxa"/>
          </w:tcPr>
          <w:p>
            <w:pPr>
              <w:pStyle w:val="GesAbsatz"/>
              <w:tabs>
                <w:tab w:val="clear" w:pos="425"/>
                <w:tab w:val="decimal" w:pos="922"/>
              </w:tabs>
              <w:rPr>
                <w:rFonts w:cs="Arial"/>
                <w:sz w:val="18"/>
              </w:rPr>
            </w:pPr>
            <w:r>
              <w:rPr>
                <w:rFonts w:cs="Arial"/>
                <w:sz w:val="18"/>
              </w:rPr>
              <w:t>50</w:t>
            </w:r>
          </w:p>
        </w:tc>
        <w:tc>
          <w:tcPr>
            <w:tcW w:w="1418" w:type="dxa"/>
          </w:tcPr>
          <w:p>
            <w:pPr>
              <w:pStyle w:val="GesAbsatz"/>
              <w:tabs>
                <w:tab w:val="clear" w:pos="425"/>
                <w:tab w:val="decimal" w:pos="781"/>
              </w:tabs>
              <w:rPr>
                <w:rFonts w:cs="Arial"/>
                <w:sz w:val="18"/>
              </w:rPr>
            </w:pPr>
            <w:r>
              <w:rPr>
                <w:rFonts w:cs="Arial"/>
                <w:sz w:val="18"/>
              </w:rPr>
              <w:t>333</w:t>
            </w:r>
          </w:p>
        </w:tc>
        <w:tc>
          <w:tcPr>
            <w:tcW w:w="1417" w:type="dxa"/>
          </w:tcPr>
          <w:p>
            <w:pPr>
              <w:pStyle w:val="GesAbsatz"/>
              <w:tabs>
                <w:tab w:val="clear" w:pos="425"/>
                <w:tab w:val="decimal" w:pos="780"/>
              </w:tabs>
              <w:rPr>
                <w:rFonts w:cs="Arial"/>
                <w:sz w:val="18"/>
              </w:rPr>
            </w:pPr>
            <w:r>
              <w:rPr>
                <w:rFonts w:cs="Arial"/>
                <w:sz w:val="18"/>
              </w:rPr>
              <w:t>50</w:t>
            </w:r>
          </w:p>
        </w:tc>
        <w:tc>
          <w:tcPr>
            <w:tcW w:w="1507" w:type="dxa"/>
          </w:tcPr>
          <w:p>
            <w:pPr>
              <w:pStyle w:val="GesAbsatz"/>
              <w:tabs>
                <w:tab w:val="clear" w:pos="425"/>
                <w:tab w:val="decimal" w:pos="922"/>
              </w:tabs>
              <w:rPr>
                <w:rFonts w:cs="Arial"/>
                <w:sz w:val="18"/>
              </w:rPr>
            </w:pPr>
            <w:r>
              <w:rPr>
                <w:rFonts w:cs="Arial"/>
                <w:sz w:val="18"/>
              </w:rPr>
              <w:t>500</w:t>
            </w:r>
          </w:p>
        </w:tc>
        <w:tc>
          <w:tcPr>
            <w:tcW w:w="1397" w:type="dxa"/>
          </w:tcPr>
          <w:p>
            <w:pPr>
              <w:pStyle w:val="GesAbsatz"/>
              <w:tabs>
                <w:tab w:val="clear" w:pos="425"/>
                <w:tab w:val="decimal" w:pos="485"/>
              </w:tabs>
              <w:rPr>
                <w:rFonts w:cs="Arial"/>
                <w:sz w:val="18"/>
              </w:rPr>
            </w:pPr>
            <w:r>
              <w:rPr>
                <w:rFonts w:cs="Arial"/>
                <w:sz w:val="18"/>
              </w:rPr>
              <w:t>4,5 - 46,8</w:t>
            </w:r>
          </w:p>
        </w:tc>
      </w:tr>
      <w:tr>
        <w:tc>
          <w:tcPr>
            <w:tcW w:w="1396" w:type="dxa"/>
          </w:tcPr>
          <w:p>
            <w:pPr>
              <w:pStyle w:val="GesAbsatz"/>
              <w:rPr>
                <w:rFonts w:cs="Arial"/>
                <w:sz w:val="18"/>
              </w:rPr>
            </w:pPr>
            <w:r>
              <w:rPr>
                <w:rFonts w:cs="Arial"/>
                <w:sz w:val="18"/>
              </w:rPr>
              <w:t>Quecksilber</w:t>
            </w:r>
          </w:p>
        </w:tc>
        <w:tc>
          <w:tcPr>
            <w:tcW w:w="801" w:type="dxa"/>
          </w:tcPr>
          <w:p>
            <w:pPr>
              <w:pStyle w:val="GesAbsatz"/>
              <w:rPr>
                <w:rFonts w:cs="Arial"/>
                <w:sz w:val="18"/>
              </w:rPr>
            </w:pPr>
            <w:r>
              <w:rPr>
                <w:rFonts w:cs="Arial"/>
                <w:sz w:val="18"/>
              </w:rPr>
              <w:t>Hg</w:t>
            </w:r>
          </w:p>
        </w:tc>
        <w:tc>
          <w:tcPr>
            <w:tcW w:w="1842" w:type="dxa"/>
          </w:tcPr>
          <w:p>
            <w:pPr>
              <w:pStyle w:val="GesAbsatz"/>
              <w:tabs>
                <w:tab w:val="clear" w:pos="425"/>
                <w:tab w:val="decimal" w:pos="922"/>
              </w:tabs>
              <w:rPr>
                <w:rFonts w:cs="Arial"/>
                <w:sz w:val="18"/>
              </w:rPr>
            </w:pPr>
            <w:r>
              <w:rPr>
                <w:rFonts w:cs="Arial"/>
                <w:sz w:val="18"/>
              </w:rPr>
              <w:t>1</w:t>
            </w:r>
          </w:p>
        </w:tc>
        <w:tc>
          <w:tcPr>
            <w:tcW w:w="1418" w:type="dxa"/>
          </w:tcPr>
          <w:p>
            <w:pPr>
              <w:pStyle w:val="GesAbsatz"/>
              <w:tabs>
                <w:tab w:val="clear" w:pos="425"/>
                <w:tab w:val="decimal" w:pos="781"/>
              </w:tabs>
              <w:rPr>
                <w:rFonts w:cs="Arial"/>
                <w:sz w:val="18"/>
              </w:rPr>
            </w:pPr>
            <w:r>
              <w:rPr>
                <w:rFonts w:cs="Arial"/>
                <w:sz w:val="18"/>
              </w:rPr>
              <w:t>7</w:t>
            </w:r>
          </w:p>
        </w:tc>
        <w:tc>
          <w:tcPr>
            <w:tcW w:w="1417" w:type="dxa"/>
          </w:tcPr>
          <w:p>
            <w:pPr>
              <w:pStyle w:val="GesAbsatz"/>
              <w:tabs>
                <w:tab w:val="clear" w:pos="425"/>
                <w:tab w:val="decimal" w:pos="780"/>
              </w:tabs>
              <w:rPr>
                <w:rFonts w:cs="Arial"/>
                <w:sz w:val="18"/>
              </w:rPr>
            </w:pPr>
            <w:r>
              <w:rPr>
                <w:rFonts w:cs="Arial"/>
                <w:sz w:val="18"/>
              </w:rPr>
              <w:t>1</w:t>
            </w:r>
          </w:p>
        </w:tc>
        <w:tc>
          <w:tcPr>
            <w:tcW w:w="1507" w:type="dxa"/>
          </w:tcPr>
          <w:p>
            <w:pPr>
              <w:pStyle w:val="GesAbsatz"/>
              <w:tabs>
                <w:tab w:val="clear" w:pos="425"/>
                <w:tab w:val="decimal" w:pos="922"/>
              </w:tabs>
              <w:rPr>
                <w:rFonts w:cs="Arial"/>
                <w:sz w:val="18"/>
              </w:rPr>
            </w:pPr>
            <w:r>
              <w:rPr>
                <w:rFonts w:cs="Arial"/>
                <w:sz w:val="18"/>
              </w:rPr>
              <w:t>10</w:t>
            </w:r>
          </w:p>
        </w:tc>
        <w:tc>
          <w:tcPr>
            <w:tcW w:w="1397" w:type="dxa"/>
          </w:tcPr>
          <w:p>
            <w:pPr>
              <w:pStyle w:val="GesAbsatz"/>
              <w:tabs>
                <w:tab w:val="clear" w:pos="425"/>
                <w:tab w:val="decimal" w:pos="485"/>
              </w:tabs>
              <w:rPr>
                <w:rFonts w:cs="Arial"/>
                <w:sz w:val="18"/>
              </w:rPr>
            </w:pPr>
            <w:r>
              <w:rPr>
                <w:rFonts w:cs="Arial"/>
                <w:sz w:val="18"/>
              </w:rPr>
              <w:t>0,04 - 0,54</w:t>
            </w:r>
          </w:p>
        </w:tc>
      </w:tr>
      <w:tr>
        <w:tc>
          <w:tcPr>
            <w:tcW w:w="1396" w:type="dxa"/>
          </w:tcPr>
          <w:p>
            <w:pPr>
              <w:pStyle w:val="GesAbsatz"/>
              <w:rPr>
                <w:rFonts w:cs="Arial"/>
                <w:sz w:val="18"/>
              </w:rPr>
            </w:pPr>
            <w:r>
              <w:rPr>
                <w:rFonts w:cs="Arial"/>
                <w:sz w:val="18"/>
              </w:rPr>
              <w:t>Zink</w:t>
            </w:r>
          </w:p>
        </w:tc>
        <w:tc>
          <w:tcPr>
            <w:tcW w:w="801" w:type="dxa"/>
          </w:tcPr>
          <w:p>
            <w:pPr>
              <w:pStyle w:val="GesAbsatz"/>
              <w:rPr>
                <w:rFonts w:cs="Arial"/>
                <w:sz w:val="18"/>
              </w:rPr>
            </w:pPr>
            <w:r>
              <w:rPr>
                <w:rFonts w:cs="Arial"/>
                <w:sz w:val="18"/>
              </w:rPr>
              <w:t>Zn</w:t>
            </w:r>
          </w:p>
        </w:tc>
        <w:tc>
          <w:tcPr>
            <w:tcW w:w="1842" w:type="dxa"/>
          </w:tcPr>
          <w:p>
            <w:pPr>
              <w:pStyle w:val="GesAbsatz"/>
              <w:tabs>
                <w:tab w:val="clear" w:pos="425"/>
                <w:tab w:val="decimal" w:pos="922"/>
              </w:tabs>
              <w:rPr>
                <w:rFonts w:cs="Arial"/>
                <w:sz w:val="18"/>
              </w:rPr>
            </w:pPr>
            <w:r>
              <w:rPr>
                <w:rFonts w:cs="Arial"/>
                <w:sz w:val="18"/>
              </w:rPr>
              <w:t>400</w:t>
            </w:r>
          </w:p>
        </w:tc>
        <w:tc>
          <w:tcPr>
            <w:tcW w:w="1418" w:type="dxa"/>
          </w:tcPr>
          <w:p>
            <w:pPr>
              <w:pStyle w:val="GesAbsatz"/>
              <w:tabs>
                <w:tab w:val="clear" w:pos="425"/>
                <w:tab w:val="decimal" w:pos="781"/>
              </w:tabs>
              <w:rPr>
                <w:rFonts w:cs="Arial"/>
                <w:sz w:val="18"/>
              </w:rPr>
            </w:pPr>
            <w:r>
              <w:rPr>
                <w:rFonts w:cs="Arial"/>
                <w:sz w:val="18"/>
              </w:rPr>
              <w:t>2.667</w:t>
            </w:r>
          </w:p>
        </w:tc>
        <w:tc>
          <w:tcPr>
            <w:tcW w:w="1417" w:type="dxa"/>
          </w:tcPr>
          <w:p>
            <w:pPr>
              <w:pStyle w:val="GesAbsatz"/>
              <w:tabs>
                <w:tab w:val="clear" w:pos="425"/>
                <w:tab w:val="decimal" w:pos="780"/>
              </w:tabs>
              <w:rPr>
                <w:rFonts w:cs="Arial"/>
                <w:sz w:val="18"/>
              </w:rPr>
            </w:pPr>
            <w:r>
              <w:rPr>
                <w:rFonts w:cs="Arial"/>
                <w:sz w:val="18"/>
              </w:rPr>
              <w:t>300</w:t>
            </w:r>
          </w:p>
        </w:tc>
        <w:tc>
          <w:tcPr>
            <w:tcW w:w="1507" w:type="dxa"/>
          </w:tcPr>
          <w:p>
            <w:pPr>
              <w:pStyle w:val="GesAbsatz"/>
              <w:tabs>
                <w:tab w:val="clear" w:pos="425"/>
                <w:tab w:val="decimal" w:pos="922"/>
              </w:tabs>
              <w:rPr>
                <w:rFonts w:cs="Arial"/>
                <w:sz w:val="18"/>
              </w:rPr>
            </w:pPr>
            <w:r>
              <w:rPr>
                <w:rFonts w:cs="Arial"/>
                <w:sz w:val="18"/>
              </w:rPr>
              <w:t>3.000</w:t>
            </w:r>
          </w:p>
        </w:tc>
        <w:tc>
          <w:tcPr>
            <w:tcW w:w="1397" w:type="dxa"/>
          </w:tcPr>
          <w:p>
            <w:pPr>
              <w:pStyle w:val="GesAbsatz"/>
              <w:tabs>
                <w:tab w:val="clear" w:pos="425"/>
                <w:tab w:val="decimal" w:pos="485"/>
              </w:tabs>
              <w:rPr>
                <w:rFonts w:cs="Arial"/>
                <w:sz w:val="18"/>
              </w:rPr>
            </w:pPr>
            <w:r>
              <w:rPr>
                <w:rFonts w:cs="Arial"/>
                <w:sz w:val="18"/>
              </w:rPr>
              <w:t>132 – 373</w:t>
            </w:r>
          </w:p>
        </w:tc>
      </w:tr>
      <w:tr>
        <w:trPr>
          <w:cantSplit/>
        </w:trPr>
        <w:tc>
          <w:tcPr>
            <w:tcW w:w="9778" w:type="dxa"/>
            <w:gridSpan w:val="7"/>
          </w:tcPr>
          <w:p>
            <w:pPr>
              <w:pStyle w:val="GesAbsatz"/>
              <w:rPr>
                <w:rFonts w:cs="Arial"/>
                <w:sz w:val="18"/>
              </w:rPr>
            </w:pPr>
            <w:r>
              <w:rPr>
                <w:rFonts w:cs="Arial"/>
                <w:sz w:val="18"/>
                <w:vertAlign w:val="superscript"/>
              </w:rPr>
              <w:t xml:space="preserve">1 </w:t>
            </w:r>
            <w:r>
              <w:rPr>
                <w:rFonts w:cs="Arial"/>
                <w:sz w:val="18"/>
              </w:rPr>
              <w:t>Quelle: Bundesgütegemeinschaft Kompost e.V., 1998a</w:t>
            </w:r>
          </w:p>
        </w:tc>
      </w:tr>
    </w:tbl>
    <w:p>
      <w:pPr>
        <w:pStyle w:val="GesAbsatz"/>
        <w:rPr>
          <w:rFonts w:eastAsia="Arial Unicode MS" w:cs="Arial"/>
        </w:rPr>
      </w:pPr>
    </w:p>
    <w:p>
      <w:pPr>
        <w:pStyle w:val="GesAbsatz"/>
        <w:rPr>
          <w:rFonts w:eastAsia="Arial Unicode MS" w:cs="Arial"/>
          <w:szCs w:val="24"/>
        </w:rPr>
      </w:pPr>
      <w:r>
        <w:rPr>
          <w:rFonts w:cs="Arial"/>
        </w:rPr>
        <w:t xml:space="preserve">Der Anwendungsbereich des Gesetzes erstreckt sich auf schädliche Bodenveränderungen und Altlasten auch betreffend der Vorschriften des KrW-/AbfG über das Aufbringen von Abfällen zur Verwertung als Sekundärrohstoffdünger oder Wirtschaftsdünger im Sinne des § 1 des Düngemittelgesetzes und der hierzu aufgrund des KrW-/AbfG erlassenen Rechtsverordnungen sowie der Klärschlammverordnung vom </w:t>
      </w:r>
      <w:smartTag w:uri="urn:schemas-microsoft-com:office:smarttags" w:element="date">
        <w:smartTagPr>
          <w:attr w:name="ls" w:val="trans"/>
          <w:attr w:name="Month" w:val="4"/>
          <w:attr w:name="Day" w:val="2"/>
          <w:attr w:name="Year" w:val="15"/>
        </w:smartTagPr>
        <w:smartTag w:uri="urn:schemas-microsoft-com:office:smarttags" w:element="date">
          <w:smartTagPr>
            <w:attr w:name="ls" w:val="trans"/>
            <w:attr w:name="Month" w:val="4"/>
            <w:attr w:name="Day" w:val="15"/>
            <w:attr w:name="Year" w:val="1992"/>
          </w:smartTagPr>
          <w:r>
            <w:rPr>
              <w:rFonts w:cs="Arial"/>
            </w:rPr>
            <w:t>15. April 1992</w:t>
          </w:r>
        </w:smartTag>
        <w:r>
          <w:rPr>
            <w:rFonts w:cs="Arial"/>
          </w:rPr>
          <w:t>.</w:t>
        </w:r>
      </w:smartTag>
      <w:r>
        <w:rPr>
          <w:rFonts w:cs="Arial"/>
        </w:rPr>
        <w:t xml:space="preserve"> Nach § 7 werden Vorsorgepflichten und nach § 8 Werte und Anforderungen formuliert, die durch eine Rechtsverordnung gefüllt werden sollen (s.u.). Für die landwirtschaftlichen Tätigkeiten wird nach § 17 die „Gute fachliche Praxis in der Landwirtschaft“ nach Düngerecht, Pflanzenschutzrecht usw. als ausreichend für die Bodenschutzvorsorge festgelegt.</w:t>
      </w:r>
    </w:p>
    <w:p>
      <w:pPr>
        <w:pStyle w:val="GesAbsatz"/>
        <w:rPr>
          <w:rFonts w:cs="Arial"/>
        </w:rPr>
      </w:pPr>
      <w:r>
        <w:rPr>
          <w:rFonts w:cs="Arial"/>
        </w:rPr>
        <w:t xml:space="preserve">Die Bundes-Bodenschutz- und Altlastenverordnung (BBodSchV) vom </w:t>
      </w:r>
      <w:smartTag w:uri="urn:schemas-microsoft-com:office:smarttags" w:element="date">
        <w:smartTagPr>
          <w:attr w:name="ls" w:val="trans"/>
          <w:attr w:name="Month" w:val="07"/>
          <w:attr w:name="Day" w:val="12"/>
          <w:attr w:name="Year" w:val="1999"/>
        </w:smartTagPr>
        <w:r>
          <w:rPr>
            <w:rFonts w:cs="Arial"/>
          </w:rPr>
          <w:t>12.07.1999</w:t>
        </w:r>
      </w:smartTag>
      <w:r>
        <w:rPr>
          <w:rFonts w:cs="Arial"/>
        </w:rPr>
        <w:t xml:space="preserve"> stellt verschiedene Ausführungsbestimmungen zu den Regelungen des BBodSchG auf. Sie enthält einerseits Vorgaben zur Gefahrenbeurteilung bestehender Bodenverunreinigungen und Altlasten sowie andererseits Anforderungen zur Vorsorge gegen das Entstehen zukünftiger schädlicher Bodenveränderungen.</w:t>
      </w:r>
    </w:p>
    <w:p>
      <w:pPr>
        <w:pStyle w:val="GesAbsatz"/>
        <w:rPr>
          <w:rFonts w:cs="Arial"/>
        </w:rPr>
      </w:pPr>
      <w:r>
        <w:rPr>
          <w:rFonts w:cs="Arial"/>
        </w:rPr>
        <w:t>§ 12 der BBodSchV enthält das "Aufbringen und Einbringen von Materialien auf oder in den Boden" in Verbindung mit § 9 und den Anhängen, Vorgaben bzgl. der zu verwendenden Materialien, der Schadstoffgehalte in der herzustellenden Bodenschicht und der Nährstofffrachten. Aus dieser Vorschrift ergeben sich u. a. folgende Restriktionen für die Kompostverwertung im Bereich Landschaftsbau/Rekultivierung:</w:t>
      </w:r>
    </w:p>
    <w:p>
      <w:pPr>
        <w:pStyle w:val="GesAbsatz"/>
        <w:ind w:left="426" w:hanging="426"/>
        <w:rPr>
          <w:rFonts w:cs="Arial"/>
        </w:rPr>
      </w:pPr>
      <w:r>
        <w:rPr>
          <w:rFonts w:cs="Arial"/>
        </w:rPr>
        <w:lastRenderedPageBreak/>
        <w:t>-</w:t>
      </w:r>
      <w:r>
        <w:rPr>
          <w:rFonts w:cs="Arial"/>
        </w:rPr>
        <w:tab/>
        <w:t>Für die Herstellung durchwurzelbarer Bodenschichten dürfen nur Bioabfälle eingesetzt werden, die die Anforderungen der BioAbfV erfüllen.</w:t>
      </w:r>
    </w:p>
    <w:p>
      <w:pPr>
        <w:pStyle w:val="GesAbsatz"/>
        <w:ind w:left="426" w:hanging="426"/>
        <w:rPr>
          <w:rFonts w:cs="Arial"/>
        </w:rPr>
      </w:pPr>
      <w:r>
        <w:rPr>
          <w:rFonts w:cs="Arial"/>
        </w:rPr>
        <w:t>-</w:t>
      </w:r>
      <w:r>
        <w:rPr>
          <w:rFonts w:cs="Arial"/>
        </w:rPr>
        <w:tab/>
        <w:t>Ein Gemisch aus Bodenmaterial und Kompost muss die Boden-Vorsorgewerte der BBodSchV, die z. T. deutlich unter den Werten der BioAbFV für Bioabfälle liegen, einhalten. Für die landwirtschaftliche Rekultivierung gelten 70 % der Boden-Vorsorgewerte.</w:t>
      </w:r>
    </w:p>
    <w:p>
      <w:pPr>
        <w:pStyle w:val="GesAbsatz"/>
        <w:ind w:left="426" w:hanging="426"/>
        <w:rPr>
          <w:rFonts w:cs="Arial"/>
        </w:rPr>
      </w:pPr>
      <w:r>
        <w:rPr>
          <w:rFonts w:cs="Arial"/>
        </w:rPr>
        <w:t>-</w:t>
      </w:r>
      <w:r>
        <w:rPr>
          <w:rFonts w:cs="Arial"/>
        </w:rPr>
        <w:tab/>
        <w:t>Die zugeführte Nährstofffracht muss auf den Nährstoffbedarf der Folgevegetation ausgerichtet werden, was teilweise zu einer Verringerung der Kompostfrachten in diesem Verwertungsbereich führen kann.</w:t>
      </w:r>
    </w:p>
    <w:p>
      <w:pPr>
        <w:pStyle w:val="GesAbsatz"/>
        <w:rPr>
          <w:rFonts w:cs="Arial"/>
        </w:rPr>
      </w:pPr>
      <w:r>
        <w:rPr>
          <w:rFonts w:cs="Arial"/>
        </w:rPr>
        <w:t>Die Tabelle 4 gibt den Stand der Vorsorgewerte sowie zulässige zusätzliche jährliche Frachten an Schadstoffen wieder. Aufgrund der unterschiedlichen Sorptionseigenschaften der Schwermetalle werden verfügbarkeitsbestimmende Bodeneigenschaften berücksichtigt. Dies sind der Tongehalt (über die Bodenarten) und der pH-Wert.</w:t>
      </w:r>
    </w:p>
    <w:p>
      <w:pPr>
        <w:pStyle w:val="GesAbsatz"/>
        <w:rPr>
          <w:rFonts w:cs="Arial"/>
        </w:rPr>
      </w:pPr>
      <w:r>
        <w:rPr>
          <w:rFonts w:cs="Arial"/>
        </w:rPr>
        <w:t>Bei der Anwendung der Vorsorgewerte der Tabelle 4 ist der Säuregrad der Böden wie folgt zu berücksichtigen:</w:t>
      </w:r>
    </w:p>
    <w:p>
      <w:pPr>
        <w:pStyle w:val="GesAbsatz"/>
        <w:ind w:left="426" w:hanging="426"/>
        <w:rPr>
          <w:rFonts w:cs="Arial"/>
        </w:rPr>
      </w:pPr>
      <w:r>
        <w:rPr>
          <w:rFonts w:cs="Arial"/>
        </w:rPr>
        <w:t>-</w:t>
      </w:r>
      <w:r>
        <w:rPr>
          <w:rFonts w:cs="Arial"/>
        </w:rPr>
        <w:tab/>
        <w:t>Bei Böden der Bodenart Ton mit einem pH-Wert von &lt; 6,0 gelten für Cadmium, Nickel und Zink die Vorsorgewerte der Bodenart Lehm/Schluff.</w:t>
      </w:r>
    </w:p>
    <w:p>
      <w:pPr>
        <w:pStyle w:val="GesAbsatz"/>
        <w:ind w:left="426" w:hanging="426"/>
        <w:rPr>
          <w:rFonts w:cs="Arial"/>
        </w:rPr>
      </w:pPr>
      <w:r>
        <w:rPr>
          <w:rFonts w:cs="Arial"/>
        </w:rPr>
        <w:t>-</w:t>
      </w:r>
      <w:r>
        <w:rPr>
          <w:rFonts w:cs="Arial"/>
        </w:rPr>
        <w:tab/>
        <w:t xml:space="preserve">Bei Böden der Bodenart Lehm/Schluff mit einem pH-Wert von &lt; 6,0 gelten für Cadmium, Nickel und Zink die Vorsorgewerte der Bodenart Sand. § 4 Abs. 8 Satz 2 der Klärschlammverordnung vom </w:t>
      </w:r>
      <w:smartTag w:uri="urn:schemas-microsoft-com:office:smarttags" w:element="date">
        <w:smartTagPr>
          <w:attr w:name="ls" w:val="trans"/>
          <w:attr w:name="Month" w:val="04"/>
          <w:attr w:name="Day" w:val="15"/>
          <w:attr w:name="Year" w:val="1992"/>
        </w:smartTagPr>
        <w:r>
          <w:rPr>
            <w:rFonts w:cs="Arial"/>
          </w:rPr>
          <w:t>15.04.1992</w:t>
        </w:r>
      </w:smartTag>
      <w:r>
        <w:rPr>
          <w:rFonts w:cs="Arial"/>
        </w:rPr>
        <w:t xml:space="preserve"> (BGBl. I S. 912), zuletzt geändert durch Verordnung vom </w:t>
      </w:r>
      <w:smartTag w:uri="urn:schemas-microsoft-com:office:smarttags" w:element="date">
        <w:smartTagPr>
          <w:attr w:name="ls" w:val="trans"/>
          <w:attr w:name="Month" w:val="03"/>
          <w:attr w:name="Day" w:val="06"/>
          <w:attr w:name="Year" w:val="1997"/>
        </w:smartTagPr>
        <w:r>
          <w:rPr>
            <w:rFonts w:cs="Arial"/>
          </w:rPr>
          <w:t>06.03.1997</w:t>
        </w:r>
      </w:smartTag>
      <w:r>
        <w:rPr>
          <w:rFonts w:cs="Arial"/>
        </w:rPr>
        <w:t xml:space="preserve"> (BGBl. I S. 446), bleibt unberührt.</w:t>
      </w:r>
    </w:p>
    <w:p>
      <w:pPr>
        <w:pStyle w:val="GesAbsatz"/>
        <w:ind w:left="426" w:hanging="426"/>
        <w:rPr>
          <w:rFonts w:eastAsia="Arial Unicode MS" w:cs="Arial"/>
        </w:rPr>
      </w:pPr>
      <w:r>
        <w:rPr>
          <w:rFonts w:cs="Arial"/>
        </w:rPr>
        <w:t>-</w:t>
      </w:r>
      <w:r>
        <w:rPr>
          <w:rFonts w:cs="Arial"/>
        </w:rPr>
        <w:tab/>
        <w:t>Bei Böden mit einem pH-Wert &lt; 5,0 sind die Vorsorgewerte für Blei entsprechend den ersten beiden Anstrichen herabzusetzen.</w:t>
      </w:r>
    </w:p>
    <w:p>
      <w:pPr>
        <w:pStyle w:val="GesAbsatz"/>
        <w:rPr>
          <w:rFonts w:cs="Arial"/>
          <w:b/>
          <w:bCs/>
        </w:rPr>
      </w:pPr>
      <w:r>
        <w:rPr>
          <w:rFonts w:cs="Arial"/>
          <w:b/>
          <w:bCs/>
        </w:rPr>
        <w:t>Tabelle 4: Vorsorgewerte für Metalle (in mg/kg TS, Feinboden, Königswasseraufschluss) und zulässige zusätzliche jährliche Frachten an Schadstoffen über alle Wirkungspfade nach § 8 Abs. 2 Nr. 1 und 2 der Bundes-Bodenschutzverordnung (BBodSchV)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3"/>
        <w:gridCol w:w="1128"/>
        <w:gridCol w:w="1108"/>
        <w:gridCol w:w="1121"/>
        <w:gridCol w:w="1121"/>
        <w:gridCol w:w="1129"/>
        <w:gridCol w:w="1109"/>
        <w:gridCol w:w="1109"/>
      </w:tblGrid>
      <w:tr>
        <w:tc>
          <w:tcPr>
            <w:tcW w:w="1953" w:type="dxa"/>
          </w:tcPr>
          <w:p>
            <w:pPr>
              <w:pStyle w:val="GesAbsatz"/>
              <w:jc w:val="center"/>
              <w:rPr>
                <w:rFonts w:eastAsia="Arial Unicode MS" w:cs="Arial"/>
                <w:sz w:val="18"/>
                <w:szCs w:val="24"/>
              </w:rPr>
            </w:pPr>
            <w:r>
              <w:rPr>
                <w:rFonts w:cs="Arial"/>
                <w:b/>
                <w:bCs/>
                <w:sz w:val="18"/>
              </w:rPr>
              <w:t>Böden</w:t>
            </w:r>
          </w:p>
        </w:tc>
        <w:tc>
          <w:tcPr>
            <w:tcW w:w="1128" w:type="dxa"/>
          </w:tcPr>
          <w:p>
            <w:pPr>
              <w:pStyle w:val="GesAbsatz"/>
              <w:jc w:val="center"/>
              <w:rPr>
                <w:rFonts w:eastAsia="Arial Unicode MS" w:cs="Arial"/>
                <w:sz w:val="18"/>
                <w:szCs w:val="24"/>
              </w:rPr>
            </w:pPr>
            <w:r>
              <w:rPr>
                <w:rFonts w:cs="Arial"/>
                <w:b/>
                <w:bCs/>
                <w:sz w:val="18"/>
              </w:rPr>
              <w:t>Cadmium</w:t>
            </w:r>
            <w:r>
              <w:rPr>
                <w:rFonts w:cs="Arial"/>
                <w:b/>
                <w:bCs/>
                <w:sz w:val="18"/>
              </w:rPr>
              <w:br/>
              <w:t>mg/kg TS</w:t>
            </w:r>
          </w:p>
        </w:tc>
        <w:tc>
          <w:tcPr>
            <w:tcW w:w="1108" w:type="dxa"/>
          </w:tcPr>
          <w:p>
            <w:pPr>
              <w:pStyle w:val="GesAbsatz"/>
              <w:jc w:val="center"/>
              <w:rPr>
                <w:rFonts w:eastAsia="Arial Unicode MS" w:cs="Arial"/>
                <w:sz w:val="18"/>
                <w:szCs w:val="24"/>
              </w:rPr>
            </w:pPr>
            <w:r>
              <w:rPr>
                <w:rFonts w:cs="Arial"/>
                <w:b/>
                <w:bCs/>
                <w:sz w:val="18"/>
              </w:rPr>
              <w:t>Blei</w:t>
            </w:r>
            <w:r>
              <w:rPr>
                <w:rFonts w:cs="Arial"/>
                <w:b/>
                <w:bCs/>
                <w:sz w:val="18"/>
              </w:rPr>
              <w:br/>
              <w:t>mg/kg TS</w:t>
            </w:r>
          </w:p>
        </w:tc>
        <w:tc>
          <w:tcPr>
            <w:tcW w:w="1121" w:type="dxa"/>
          </w:tcPr>
          <w:p>
            <w:pPr>
              <w:pStyle w:val="GesAbsatz"/>
              <w:jc w:val="center"/>
              <w:rPr>
                <w:rFonts w:eastAsia="Arial Unicode MS" w:cs="Arial"/>
                <w:sz w:val="18"/>
                <w:szCs w:val="24"/>
                <w:lang w:val="en-US"/>
              </w:rPr>
            </w:pPr>
            <w:r>
              <w:rPr>
                <w:rFonts w:cs="Arial"/>
                <w:b/>
                <w:bCs/>
                <w:sz w:val="18"/>
                <w:lang w:val="en-US"/>
              </w:rPr>
              <w:t>Chrom</w:t>
            </w:r>
            <w:r>
              <w:rPr>
                <w:rFonts w:cs="Arial"/>
                <w:b/>
                <w:bCs/>
                <w:sz w:val="18"/>
                <w:lang w:val="en-US"/>
              </w:rPr>
              <w:br/>
              <w:t>mg/kg TS</w:t>
            </w:r>
          </w:p>
        </w:tc>
        <w:tc>
          <w:tcPr>
            <w:tcW w:w="1121" w:type="dxa"/>
          </w:tcPr>
          <w:p>
            <w:pPr>
              <w:pStyle w:val="GesAbsatz"/>
              <w:jc w:val="center"/>
              <w:rPr>
                <w:rFonts w:eastAsia="Arial Unicode MS" w:cs="Arial"/>
                <w:sz w:val="18"/>
                <w:szCs w:val="24"/>
              </w:rPr>
            </w:pPr>
            <w:r>
              <w:rPr>
                <w:rFonts w:cs="Arial"/>
                <w:b/>
                <w:bCs/>
                <w:sz w:val="18"/>
              </w:rPr>
              <w:t>Kupfer</w:t>
            </w:r>
            <w:r>
              <w:rPr>
                <w:rFonts w:cs="Arial"/>
                <w:b/>
                <w:bCs/>
                <w:sz w:val="18"/>
              </w:rPr>
              <w:br/>
              <w:t>mg/kg TS</w:t>
            </w:r>
          </w:p>
        </w:tc>
        <w:tc>
          <w:tcPr>
            <w:tcW w:w="1129" w:type="dxa"/>
          </w:tcPr>
          <w:p>
            <w:pPr>
              <w:pStyle w:val="GesAbsatz"/>
              <w:jc w:val="center"/>
              <w:rPr>
                <w:rFonts w:eastAsia="Arial Unicode MS" w:cs="Arial"/>
                <w:sz w:val="18"/>
                <w:szCs w:val="24"/>
              </w:rPr>
            </w:pPr>
            <w:r>
              <w:rPr>
                <w:rFonts w:cs="Arial"/>
                <w:b/>
                <w:bCs/>
                <w:sz w:val="18"/>
              </w:rPr>
              <w:t>Queck-</w:t>
            </w:r>
            <w:r>
              <w:rPr>
                <w:rFonts w:cs="Arial"/>
                <w:b/>
                <w:bCs/>
                <w:sz w:val="18"/>
              </w:rPr>
              <w:br/>
              <w:t>silber</w:t>
            </w:r>
            <w:r>
              <w:rPr>
                <w:rFonts w:cs="Arial"/>
                <w:b/>
                <w:bCs/>
                <w:sz w:val="18"/>
              </w:rPr>
              <w:br/>
              <w:t>mg/kg TS</w:t>
            </w:r>
          </w:p>
        </w:tc>
        <w:tc>
          <w:tcPr>
            <w:tcW w:w="1109" w:type="dxa"/>
          </w:tcPr>
          <w:p>
            <w:pPr>
              <w:pStyle w:val="GesAbsatz"/>
              <w:jc w:val="center"/>
              <w:rPr>
                <w:rFonts w:eastAsia="Arial Unicode MS" w:cs="Arial"/>
                <w:sz w:val="18"/>
                <w:szCs w:val="24"/>
              </w:rPr>
            </w:pPr>
            <w:r>
              <w:rPr>
                <w:rFonts w:cs="Arial"/>
                <w:b/>
                <w:bCs/>
                <w:sz w:val="18"/>
              </w:rPr>
              <w:t>Nickel</w:t>
            </w:r>
            <w:r>
              <w:rPr>
                <w:rFonts w:cs="Arial"/>
                <w:b/>
                <w:bCs/>
                <w:sz w:val="18"/>
              </w:rPr>
              <w:br/>
              <w:t>mg/kg TS</w:t>
            </w:r>
          </w:p>
        </w:tc>
        <w:tc>
          <w:tcPr>
            <w:tcW w:w="1109" w:type="dxa"/>
          </w:tcPr>
          <w:p>
            <w:pPr>
              <w:pStyle w:val="GesAbsatz"/>
              <w:jc w:val="center"/>
              <w:rPr>
                <w:rFonts w:eastAsia="Arial Unicode MS" w:cs="Arial"/>
                <w:sz w:val="18"/>
                <w:szCs w:val="24"/>
                <w:lang w:val="en-US"/>
              </w:rPr>
            </w:pPr>
            <w:r>
              <w:rPr>
                <w:rFonts w:cs="Arial"/>
                <w:b/>
                <w:bCs/>
                <w:sz w:val="18"/>
                <w:lang w:val="en-US"/>
              </w:rPr>
              <w:t>Zink</w:t>
            </w:r>
            <w:r>
              <w:rPr>
                <w:rFonts w:cs="Arial"/>
                <w:b/>
                <w:bCs/>
                <w:sz w:val="18"/>
                <w:lang w:val="en-US"/>
              </w:rPr>
              <w:br/>
              <w:t>mg/kg TS</w:t>
            </w:r>
          </w:p>
        </w:tc>
      </w:tr>
      <w:tr>
        <w:tc>
          <w:tcPr>
            <w:tcW w:w="1953" w:type="dxa"/>
          </w:tcPr>
          <w:p>
            <w:pPr>
              <w:pStyle w:val="GesAbsatz"/>
              <w:rPr>
                <w:rFonts w:cs="Arial"/>
                <w:sz w:val="18"/>
              </w:rPr>
            </w:pPr>
            <w:r>
              <w:rPr>
                <w:rFonts w:cs="Arial"/>
                <w:sz w:val="18"/>
              </w:rPr>
              <w:t>Bodenart Ton</w:t>
            </w:r>
          </w:p>
        </w:tc>
        <w:tc>
          <w:tcPr>
            <w:tcW w:w="1128" w:type="dxa"/>
          </w:tcPr>
          <w:p>
            <w:pPr>
              <w:pStyle w:val="GesAbsatz"/>
              <w:tabs>
                <w:tab w:val="clear" w:pos="425"/>
                <w:tab w:val="decimal" w:pos="599"/>
              </w:tabs>
              <w:rPr>
                <w:rFonts w:cs="Arial"/>
                <w:sz w:val="18"/>
              </w:rPr>
            </w:pPr>
            <w:r>
              <w:rPr>
                <w:rFonts w:cs="Arial"/>
                <w:sz w:val="18"/>
              </w:rPr>
              <w:t>1,5</w:t>
            </w:r>
          </w:p>
        </w:tc>
        <w:tc>
          <w:tcPr>
            <w:tcW w:w="1108" w:type="dxa"/>
          </w:tcPr>
          <w:p>
            <w:pPr>
              <w:pStyle w:val="GesAbsatz"/>
              <w:tabs>
                <w:tab w:val="clear" w:pos="425"/>
                <w:tab w:val="decimal" w:pos="599"/>
              </w:tabs>
              <w:rPr>
                <w:rFonts w:cs="Arial"/>
                <w:sz w:val="18"/>
              </w:rPr>
            </w:pPr>
            <w:r>
              <w:rPr>
                <w:rFonts w:cs="Arial"/>
                <w:sz w:val="18"/>
              </w:rPr>
              <w:t>100</w:t>
            </w:r>
          </w:p>
        </w:tc>
        <w:tc>
          <w:tcPr>
            <w:tcW w:w="1121" w:type="dxa"/>
          </w:tcPr>
          <w:p>
            <w:pPr>
              <w:pStyle w:val="GesAbsatz"/>
              <w:tabs>
                <w:tab w:val="clear" w:pos="425"/>
                <w:tab w:val="decimal" w:pos="599"/>
              </w:tabs>
              <w:rPr>
                <w:rFonts w:cs="Arial"/>
                <w:sz w:val="18"/>
              </w:rPr>
            </w:pPr>
            <w:r>
              <w:rPr>
                <w:rFonts w:cs="Arial"/>
                <w:sz w:val="18"/>
              </w:rPr>
              <w:t>100</w:t>
            </w:r>
          </w:p>
        </w:tc>
        <w:tc>
          <w:tcPr>
            <w:tcW w:w="1121" w:type="dxa"/>
          </w:tcPr>
          <w:p>
            <w:pPr>
              <w:pStyle w:val="GesAbsatz"/>
              <w:tabs>
                <w:tab w:val="clear" w:pos="425"/>
                <w:tab w:val="decimal" w:pos="599"/>
              </w:tabs>
              <w:rPr>
                <w:rFonts w:cs="Arial"/>
                <w:sz w:val="18"/>
              </w:rPr>
            </w:pPr>
            <w:r>
              <w:rPr>
                <w:rFonts w:cs="Arial"/>
                <w:sz w:val="18"/>
              </w:rPr>
              <w:t>60</w:t>
            </w:r>
          </w:p>
        </w:tc>
        <w:tc>
          <w:tcPr>
            <w:tcW w:w="1129" w:type="dxa"/>
          </w:tcPr>
          <w:p>
            <w:pPr>
              <w:pStyle w:val="GesAbsatz"/>
              <w:tabs>
                <w:tab w:val="clear" w:pos="425"/>
                <w:tab w:val="decimal" w:pos="599"/>
              </w:tabs>
              <w:rPr>
                <w:rFonts w:cs="Arial"/>
                <w:sz w:val="18"/>
              </w:rPr>
            </w:pPr>
            <w:r>
              <w:rPr>
                <w:rFonts w:cs="Arial"/>
                <w:sz w:val="18"/>
              </w:rPr>
              <w:t>1</w:t>
            </w:r>
          </w:p>
        </w:tc>
        <w:tc>
          <w:tcPr>
            <w:tcW w:w="1109" w:type="dxa"/>
          </w:tcPr>
          <w:p>
            <w:pPr>
              <w:pStyle w:val="GesAbsatz"/>
              <w:tabs>
                <w:tab w:val="clear" w:pos="425"/>
                <w:tab w:val="decimal" w:pos="599"/>
              </w:tabs>
              <w:rPr>
                <w:rFonts w:cs="Arial"/>
                <w:sz w:val="18"/>
              </w:rPr>
            </w:pPr>
            <w:r>
              <w:rPr>
                <w:rFonts w:cs="Arial"/>
                <w:sz w:val="18"/>
              </w:rPr>
              <w:t>70</w:t>
            </w:r>
          </w:p>
        </w:tc>
        <w:tc>
          <w:tcPr>
            <w:tcW w:w="1109" w:type="dxa"/>
          </w:tcPr>
          <w:p>
            <w:pPr>
              <w:pStyle w:val="GesAbsatz"/>
              <w:tabs>
                <w:tab w:val="clear" w:pos="425"/>
                <w:tab w:val="decimal" w:pos="599"/>
              </w:tabs>
              <w:rPr>
                <w:rFonts w:cs="Arial"/>
                <w:sz w:val="18"/>
              </w:rPr>
            </w:pPr>
            <w:r>
              <w:rPr>
                <w:rFonts w:cs="Arial"/>
                <w:sz w:val="18"/>
              </w:rPr>
              <w:t>200</w:t>
            </w:r>
          </w:p>
        </w:tc>
      </w:tr>
      <w:tr>
        <w:tc>
          <w:tcPr>
            <w:tcW w:w="1953" w:type="dxa"/>
          </w:tcPr>
          <w:p>
            <w:pPr>
              <w:pStyle w:val="GesAbsatz"/>
              <w:rPr>
                <w:rFonts w:cs="Arial"/>
                <w:sz w:val="18"/>
              </w:rPr>
            </w:pPr>
            <w:r>
              <w:rPr>
                <w:rFonts w:cs="Arial"/>
                <w:sz w:val="18"/>
              </w:rPr>
              <w:t>Bodenart</w:t>
            </w:r>
            <w:r>
              <w:rPr>
                <w:rFonts w:cs="Arial"/>
                <w:sz w:val="18"/>
              </w:rPr>
              <w:br/>
              <w:t>Lehm/Schluff</w:t>
            </w:r>
          </w:p>
        </w:tc>
        <w:tc>
          <w:tcPr>
            <w:tcW w:w="1128" w:type="dxa"/>
          </w:tcPr>
          <w:p>
            <w:pPr>
              <w:pStyle w:val="GesAbsatz"/>
              <w:tabs>
                <w:tab w:val="clear" w:pos="425"/>
                <w:tab w:val="decimal" w:pos="599"/>
              </w:tabs>
              <w:rPr>
                <w:rFonts w:cs="Arial"/>
                <w:sz w:val="18"/>
              </w:rPr>
            </w:pPr>
            <w:r>
              <w:rPr>
                <w:rFonts w:cs="Arial"/>
                <w:sz w:val="18"/>
              </w:rPr>
              <w:t>1</w:t>
            </w:r>
          </w:p>
        </w:tc>
        <w:tc>
          <w:tcPr>
            <w:tcW w:w="1108" w:type="dxa"/>
          </w:tcPr>
          <w:p>
            <w:pPr>
              <w:pStyle w:val="GesAbsatz"/>
              <w:tabs>
                <w:tab w:val="clear" w:pos="425"/>
                <w:tab w:val="decimal" w:pos="599"/>
              </w:tabs>
              <w:rPr>
                <w:rFonts w:cs="Arial"/>
                <w:sz w:val="18"/>
              </w:rPr>
            </w:pPr>
            <w:r>
              <w:rPr>
                <w:rFonts w:cs="Arial"/>
                <w:sz w:val="18"/>
              </w:rPr>
              <w:t>70</w:t>
            </w:r>
          </w:p>
        </w:tc>
        <w:tc>
          <w:tcPr>
            <w:tcW w:w="1121" w:type="dxa"/>
          </w:tcPr>
          <w:p>
            <w:pPr>
              <w:pStyle w:val="GesAbsatz"/>
              <w:tabs>
                <w:tab w:val="clear" w:pos="425"/>
                <w:tab w:val="decimal" w:pos="599"/>
              </w:tabs>
              <w:rPr>
                <w:rFonts w:cs="Arial"/>
                <w:sz w:val="18"/>
              </w:rPr>
            </w:pPr>
            <w:r>
              <w:rPr>
                <w:rFonts w:cs="Arial"/>
                <w:sz w:val="18"/>
              </w:rPr>
              <w:t>60</w:t>
            </w:r>
          </w:p>
        </w:tc>
        <w:tc>
          <w:tcPr>
            <w:tcW w:w="1121" w:type="dxa"/>
          </w:tcPr>
          <w:p>
            <w:pPr>
              <w:pStyle w:val="GesAbsatz"/>
              <w:tabs>
                <w:tab w:val="clear" w:pos="425"/>
                <w:tab w:val="decimal" w:pos="599"/>
              </w:tabs>
              <w:rPr>
                <w:rFonts w:cs="Arial"/>
                <w:sz w:val="18"/>
              </w:rPr>
            </w:pPr>
            <w:r>
              <w:rPr>
                <w:rFonts w:cs="Arial"/>
                <w:sz w:val="18"/>
              </w:rPr>
              <w:t>40</w:t>
            </w:r>
          </w:p>
        </w:tc>
        <w:tc>
          <w:tcPr>
            <w:tcW w:w="1129" w:type="dxa"/>
          </w:tcPr>
          <w:p>
            <w:pPr>
              <w:pStyle w:val="GesAbsatz"/>
              <w:tabs>
                <w:tab w:val="clear" w:pos="425"/>
                <w:tab w:val="decimal" w:pos="599"/>
              </w:tabs>
              <w:rPr>
                <w:rFonts w:cs="Arial"/>
                <w:sz w:val="18"/>
              </w:rPr>
            </w:pPr>
            <w:r>
              <w:rPr>
                <w:rFonts w:cs="Arial"/>
                <w:sz w:val="18"/>
              </w:rPr>
              <w:t>0,5</w:t>
            </w:r>
          </w:p>
        </w:tc>
        <w:tc>
          <w:tcPr>
            <w:tcW w:w="1109" w:type="dxa"/>
          </w:tcPr>
          <w:p>
            <w:pPr>
              <w:pStyle w:val="GesAbsatz"/>
              <w:tabs>
                <w:tab w:val="clear" w:pos="425"/>
                <w:tab w:val="decimal" w:pos="599"/>
              </w:tabs>
              <w:rPr>
                <w:rFonts w:cs="Arial"/>
                <w:sz w:val="18"/>
              </w:rPr>
            </w:pPr>
            <w:r>
              <w:rPr>
                <w:rFonts w:cs="Arial"/>
                <w:sz w:val="18"/>
              </w:rPr>
              <w:t>50</w:t>
            </w:r>
          </w:p>
        </w:tc>
        <w:tc>
          <w:tcPr>
            <w:tcW w:w="1109" w:type="dxa"/>
          </w:tcPr>
          <w:p>
            <w:pPr>
              <w:pStyle w:val="GesAbsatz"/>
              <w:tabs>
                <w:tab w:val="clear" w:pos="425"/>
                <w:tab w:val="decimal" w:pos="599"/>
              </w:tabs>
              <w:rPr>
                <w:rFonts w:cs="Arial"/>
                <w:sz w:val="18"/>
              </w:rPr>
            </w:pPr>
            <w:r>
              <w:rPr>
                <w:rFonts w:cs="Arial"/>
                <w:sz w:val="18"/>
              </w:rPr>
              <w:t>150</w:t>
            </w:r>
          </w:p>
        </w:tc>
      </w:tr>
      <w:tr>
        <w:tc>
          <w:tcPr>
            <w:tcW w:w="1953" w:type="dxa"/>
          </w:tcPr>
          <w:p>
            <w:pPr>
              <w:pStyle w:val="GesAbsatz"/>
              <w:rPr>
                <w:rFonts w:cs="Arial"/>
                <w:sz w:val="18"/>
              </w:rPr>
            </w:pPr>
            <w:r>
              <w:rPr>
                <w:rFonts w:cs="Arial"/>
                <w:sz w:val="18"/>
              </w:rPr>
              <w:t>Bodenart Sand</w:t>
            </w:r>
          </w:p>
        </w:tc>
        <w:tc>
          <w:tcPr>
            <w:tcW w:w="1128" w:type="dxa"/>
          </w:tcPr>
          <w:p>
            <w:pPr>
              <w:pStyle w:val="GesAbsatz"/>
              <w:tabs>
                <w:tab w:val="clear" w:pos="425"/>
                <w:tab w:val="decimal" w:pos="599"/>
              </w:tabs>
              <w:rPr>
                <w:rFonts w:cs="Arial"/>
                <w:sz w:val="18"/>
              </w:rPr>
            </w:pPr>
            <w:r>
              <w:rPr>
                <w:rFonts w:cs="Arial"/>
                <w:sz w:val="18"/>
              </w:rPr>
              <w:t>0,4</w:t>
            </w:r>
          </w:p>
        </w:tc>
        <w:tc>
          <w:tcPr>
            <w:tcW w:w="1108" w:type="dxa"/>
          </w:tcPr>
          <w:p>
            <w:pPr>
              <w:pStyle w:val="GesAbsatz"/>
              <w:tabs>
                <w:tab w:val="clear" w:pos="425"/>
                <w:tab w:val="decimal" w:pos="599"/>
              </w:tabs>
              <w:rPr>
                <w:rFonts w:cs="Arial"/>
                <w:sz w:val="18"/>
              </w:rPr>
            </w:pPr>
            <w:r>
              <w:rPr>
                <w:rFonts w:cs="Arial"/>
                <w:sz w:val="18"/>
              </w:rPr>
              <w:t>40</w:t>
            </w:r>
          </w:p>
        </w:tc>
        <w:tc>
          <w:tcPr>
            <w:tcW w:w="1121" w:type="dxa"/>
          </w:tcPr>
          <w:p>
            <w:pPr>
              <w:pStyle w:val="GesAbsatz"/>
              <w:tabs>
                <w:tab w:val="clear" w:pos="425"/>
                <w:tab w:val="decimal" w:pos="599"/>
              </w:tabs>
              <w:rPr>
                <w:rFonts w:cs="Arial"/>
                <w:sz w:val="18"/>
              </w:rPr>
            </w:pPr>
            <w:r>
              <w:rPr>
                <w:rFonts w:cs="Arial"/>
                <w:sz w:val="18"/>
              </w:rPr>
              <w:t>30</w:t>
            </w:r>
          </w:p>
        </w:tc>
        <w:tc>
          <w:tcPr>
            <w:tcW w:w="1121" w:type="dxa"/>
          </w:tcPr>
          <w:p>
            <w:pPr>
              <w:pStyle w:val="GesAbsatz"/>
              <w:tabs>
                <w:tab w:val="clear" w:pos="425"/>
                <w:tab w:val="decimal" w:pos="599"/>
              </w:tabs>
              <w:rPr>
                <w:rFonts w:cs="Arial"/>
                <w:sz w:val="18"/>
              </w:rPr>
            </w:pPr>
            <w:r>
              <w:rPr>
                <w:rFonts w:cs="Arial"/>
                <w:sz w:val="18"/>
              </w:rPr>
              <w:t>20</w:t>
            </w:r>
          </w:p>
        </w:tc>
        <w:tc>
          <w:tcPr>
            <w:tcW w:w="1129" w:type="dxa"/>
          </w:tcPr>
          <w:p>
            <w:pPr>
              <w:pStyle w:val="GesAbsatz"/>
              <w:tabs>
                <w:tab w:val="clear" w:pos="425"/>
                <w:tab w:val="decimal" w:pos="599"/>
              </w:tabs>
              <w:rPr>
                <w:rFonts w:cs="Arial"/>
                <w:sz w:val="18"/>
              </w:rPr>
            </w:pPr>
            <w:r>
              <w:rPr>
                <w:rFonts w:cs="Arial"/>
                <w:sz w:val="18"/>
              </w:rPr>
              <w:t>0,1</w:t>
            </w:r>
          </w:p>
        </w:tc>
        <w:tc>
          <w:tcPr>
            <w:tcW w:w="1109" w:type="dxa"/>
          </w:tcPr>
          <w:p>
            <w:pPr>
              <w:pStyle w:val="GesAbsatz"/>
              <w:tabs>
                <w:tab w:val="clear" w:pos="425"/>
                <w:tab w:val="decimal" w:pos="599"/>
              </w:tabs>
              <w:rPr>
                <w:rFonts w:cs="Arial"/>
                <w:sz w:val="18"/>
              </w:rPr>
            </w:pPr>
            <w:r>
              <w:rPr>
                <w:rFonts w:cs="Arial"/>
                <w:sz w:val="18"/>
              </w:rPr>
              <w:t>15</w:t>
            </w:r>
          </w:p>
        </w:tc>
        <w:tc>
          <w:tcPr>
            <w:tcW w:w="1109" w:type="dxa"/>
          </w:tcPr>
          <w:p>
            <w:pPr>
              <w:pStyle w:val="GesAbsatz"/>
              <w:tabs>
                <w:tab w:val="clear" w:pos="425"/>
                <w:tab w:val="decimal" w:pos="599"/>
              </w:tabs>
              <w:rPr>
                <w:rFonts w:cs="Arial"/>
                <w:sz w:val="18"/>
              </w:rPr>
            </w:pPr>
            <w:r>
              <w:rPr>
                <w:rFonts w:cs="Arial"/>
                <w:sz w:val="18"/>
              </w:rPr>
              <w:t>60</w:t>
            </w:r>
          </w:p>
        </w:tc>
      </w:tr>
      <w:tr>
        <w:tc>
          <w:tcPr>
            <w:tcW w:w="1953" w:type="dxa"/>
          </w:tcPr>
          <w:p>
            <w:pPr>
              <w:pStyle w:val="GesAbsatz"/>
              <w:rPr>
                <w:rFonts w:cs="Arial"/>
                <w:sz w:val="18"/>
              </w:rPr>
            </w:pPr>
            <w:r>
              <w:rPr>
                <w:rFonts w:cs="Arial"/>
                <w:sz w:val="18"/>
              </w:rPr>
              <w:t>Böden mit naturbedingt und großflächig siedlungsbedingt erhöhten Hintergrundgehalten</w:t>
            </w:r>
          </w:p>
        </w:tc>
        <w:tc>
          <w:tcPr>
            <w:tcW w:w="7825" w:type="dxa"/>
            <w:gridSpan w:val="7"/>
          </w:tcPr>
          <w:p>
            <w:pPr>
              <w:pStyle w:val="GesAbsatz"/>
              <w:rPr>
                <w:rFonts w:cs="Arial"/>
                <w:sz w:val="18"/>
              </w:rPr>
            </w:pPr>
            <w:r>
              <w:rPr>
                <w:rFonts w:cs="Arial"/>
                <w:sz w:val="18"/>
              </w:rPr>
              <w:t>unbedenklich, soweit eine Freisetzung der Schadstoffe oder zusätzliche Einträge nach § 8 Abs. 2 und 3 dieser Verordnung keine nachteiligen Auswirkungen auf die Bodenfunktionen erwarten lassen</w:t>
            </w:r>
          </w:p>
        </w:tc>
      </w:tr>
      <w:tr>
        <w:tc>
          <w:tcPr>
            <w:tcW w:w="9778" w:type="dxa"/>
            <w:gridSpan w:val="8"/>
          </w:tcPr>
          <w:p>
            <w:pPr>
              <w:pStyle w:val="GesAbsatz"/>
              <w:rPr>
                <w:rFonts w:cs="Arial"/>
                <w:sz w:val="18"/>
              </w:rPr>
            </w:pPr>
            <w:r>
              <w:rPr>
                <w:rFonts w:cs="Arial"/>
                <w:sz w:val="18"/>
              </w:rPr>
              <w:t>Zulässige zusätzliche jährliche Frachten</w:t>
            </w:r>
          </w:p>
        </w:tc>
      </w:tr>
      <w:tr>
        <w:tc>
          <w:tcPr>
            <w:tcW w:w="1953" w:type="dxa"/>
          </w:tcPr>
          <w:p>
            <w:pPr>
              <w:pStyle w:val="GesAbsatz"/>
              <w:rPr>
                <w:rFonts w:cs="Arial"/>
                <w:sz w:val="18"/>
                <w:lang w:val="it-IT"/>
              </w:rPr>
            </w:pPr>
            <w:r>
              <w:rPr>
                <w:rFonts w:cs="Arial"/>
                <w:sz w:val="18"/>
                <w:lang w:val="it-IT"/>
              </w:rPr>
              <w:t>Fracht, g/ha*a</w:t>
            </w:r>
          </w:p>
        </w:tc>
        <w:tc>
          <w:tcPr>
            <w:tcW w:w="1128" w:type="dxa"/>
            <w:vAlign w:val="bottom"/>
          </w:tcPr>
          <w:p>
            <w:pPr>
              <w:pStyle w:val="GesAbsatz"/>
              <w:rPr>
                <w:rFonts w:eastAsia="Arial Unicode MS" w:cs="Arial"/>
                <w:sz w:val="18"/>
                <w:szCs w:val="24"/>
                <w:lang w:val="it-IT"/>
              </w:rPr>
            </w:pPr>
            <w:r>
              <w:rPr>
                <w:rFonts w:cs="Arial"/>
                <w:sz w:val="18"/>
                <w:lang w:val="it-IT"/>
              </w:rPr>
              <w:t>6</w:t>
            </w:r>
          </w:p>
        </w:tc>
        <w:tc>
          <w:tcPr>
            <w:tcW w:w="1108" w:type="dxa"/>
          </w:tcPr>
          <w:p>
            <w:pPr>
              <w:pStyle w:val="GesAbsatz"/>
              <w:rPr>
                <w:rFonts w:cs="Arial"/>
                <w:sz w:val="18"/>
                <w:lang w:val="it-IT"/>
              </w:rPr>
            </w:pPr>
            <w:r>
              <w:rPr>
                <w:rFonts w:cs="Arial"/>
                <w:sz w:val="18"/>
                <w:lang w:val="it-IT"/>
              </w:rPr>
              <w:t>400</w:t>
            </w:r>
          </w:p>
        </w:tc>
        <w:tc>
          <w:tcPr>
            <w:tcW w:w="1121" w:type="dxa"/>
            <w:vAlign w:val="bottom"/>
          </w:tcPr>
          <w:p>
            <w:pPr>
              <w:pStyle w:val="GesAbsatz"/>
              <w:rPr>
                <w:rFonts w:eastAsia="Arial Unicode MS" w:cs="Arial"/>
                <w:sz w:val="18"/>
                <w:szCs w:val="24"/>
              </w:rPr>
            </w:pPr>
            <w:r>
              <w:rPr>
                <w:rFonts w:cs="Arial"/>
                <w:sz w:val="18"/>
              </w:rPr>
              <w:t>300</w:t>
            </w:r>
          </w:p>
        </w:tc>
        <w:tc>
          <w:tcPr>
            <w:tcW w:w="1121" w:type="dxa"/>
          </w:tcPr>
          <w:p>
            <w:pPr>
              <w:pStyle w:val="GesAbsatz"/>
              <w:rPr>
                <w:rFonts w:cs="Arial"/>
                <w:sz w:val="18"/>
              </w:rPr>
            </w:pPr>
            <w:r>
              <w:rPr>
                <w:rFonts w:cs="Arial"/>
                <w:sz w:val="18"/>
              </w:rPr>
              <w:t>360</w:t>
            </w:r>
          </w:p>
        </w:tc>
        <w:tc>
          <w:tcPr>
            <w:tcW w:w="1129" w:type="dxa"/>
          </w:tcPr>
          <w:p>
            <w:pPr>
              <w:pStyle w:val="GesAbsatz"/>
              <w:rPr>
                <w:rFonts w:cs="Arial"/>
                <w:sz w:val="18"/>
              </w:rPr>
            </w:pPr>
            <w:r>
              <w:rPr>
                <w:rFonts w:cs="Arial"/>
                <w:sz w:val="18"/>
              </w:rPr>
              <w:t>1,5</w:t>
            </w:r>
          </w:p>
        </w:tc>
        <w:tc>
          <w:tcPr>
            <w:tcW w:w="1109" w:type="dxa"/>
          </w:tcPr>
          <w:p>
            <w:pPr>
              <w:pStyle w:val="GesAbsatz"/>
              <w:rPr>
                <w:rFonts w:cs="Arial"/>
                <w:sz w:val="18"/>
              </w:rPr>
            </w:pPr>
            <w:r>
              <w:rPr>
                <w:rFonts w:cs="Arial"/>
                <w:sz w:val="18"/>
              </w:rPr>
              <w:t>100</w:t>
            </w:r>
          </w:p>
        </w:tc>
        <w:tc>
          <w:tcPr>
            <w:tcW w:w="1109" w:type="dxa"/>
          </w:tcPr>
          <w:p>
            <w:pPr>
              <w:pStyle w:val="GesAbsatz"/>
              <w:rPr>
                <w:rFonts w:cs="Arial"/>
                <w:sz w:val="18"/>
              </w:rPr>
            </w:pPr>
            <w:r>
              <w:rPr>
                <w:rFonts w:cs="Arial"/>
                <w:sz w:val="18"/>
              </w:rPr>
              <w:t>1.200</w:t>
            </w:r>
          </w:p>
        </w:tc>
      </w:tr>
    </w:tbl>
    <w:p>
      <w:pPr>
        <w:pStyle w:val="GesAbsatz"/>
        <w:rPr>
          <w:rFonts w:eastAsia="Arial Unicode MS" w:cs="Arial"/>
          <w:szCs w:val="24"/>
        </w:rPr>
      </w:pPr>
    </w:p>
    <w:p>
      <w:pPr>
        <w:pStyle w:val="berschrift2"/>
        <w:jc w:val="left"/>
        <w:rPr>
          <w:rFonts w:eastAsia="Arial Unicode MS"/>
        </w:rPr>
      </w:pPr>
      <w:bookmarkStart w:id="3" w:name="_Toc45599491"/>
      <w:r>
        <w:rPr>
          <w:rFonts w:eastAsia="Arial Unicode MS"/>
        </w:rPr>
        <w:t>2 Vorgehensweise bei der Datenerhebung</w:t>
      </w:r>
      <w:bookmarkEnd w:id="3"/>
    </w:p>
    <w:p>
      <w:pPr>
        <w:pStyle w:val="berschrift3"/>
        <w:jc w:val="left"/>
        <w:rPr>
          <w:rFonts w:eastAsia="Arial Unicode MS"/>
        </w:rPr>
      </w:pPr>
      <w:bookmarkStart w:id="4" w:name="_Toc45599492"/>
      <w:r>
        <w:t>2.2 Grün- und Bioabfallkomposte</w:t>
      </w:r>
      <w:bookmarkEnd w:id="4"/>
    </w:p>
    <w:p>
      <w:pPr>
        <w:pStyle w:val="GesAbsatz"/>
        <w:rPr>
          <w:rFonts w:cs="Arial"/>
        </w:rPr>
      </w:pPr>
      <w:r>
        <w:rPr>
          <w:rFonts w:cs="Arial"/>
        </w:rPr>
        <w:t>Die in den Gebietskörperschaften Nordrhein-Westfalens anfallenden Kompostmengen wurden durch die Befragung der Anlagenbetreiber erfasst. Die in der Befragung erfassten Anlagen wurden den Kreisen bzw. kreisfreien Städten zugeordnet und die im Fragebogen gemachten Angaben zur Kompostproduktion im Jahr 1997 als anfallende Menge im jeweiligen Kreis eingesetzt. Befanden sich mehrere Anlagen in einem Kreis, wurden die produzierten Mengen zum Gesamtanfall je Kreis addiert. Es zählte allein die Kompostproduktion am Ort, d.h. hierbei blieb unbeachtet, ob die Inputmengen an Bioabfall aus dem betreffenden Kreis oder benachbarten Gebietskörperschaften stammten. Im Schnitt werden in Nordrhein-Westfalen 44 % der Komposte landwirtschaftlich verwertet; für die Berechnung der anfallenden Frachten wurden nur die diesem Verwertungszweig entsprechenden Kompostmengen berücksichtigt.</w:t>
      </w:r>
    </w:p>
    <w:p>
      <w:pPr>
        <w:pStyle w:val="GesAbsatz"/>
        <w:rPr>
          <w:rFonts w:cs="Arial"/>
        </w:rPr>
      </w:pPr>
      <w:r>
        <w:rPr>
          <w:rFonts w:cs="Arial"/>
        </w:rPr>
        <w:t xml:space="preserve">Insgesamt gibt es 3 Kreise (Kreis Düren, Märkischer Kreis, Kreis Siegen-Wittgenstein) und 9 kreisfreie Städte (Bielefeld, Bochum, Bonn, Gelsenkirchen, Leverkusen, Mönchengladbach, Mülheim, Remscheid, Wuppertal), </w:t>
      </w:r>
      <w:r>
        <w:rPr>
          <w:rFonts w:cs="Arial"/>
        </w:rPr>
        <w:lastRenderedPageBreak/>
        <w:t>in denen keine Kompostierungsanlagen betrieben werden und in denen demzufolge keine Kompostproduktion stattfindet.</w:t>
      </w:r>
    </w:p>
    <w:p>
      <w:pPr>
        <w:pStyle w:val="GesAbsatz"/>
        <w:rPr>
          <w:rFonts w:cs="Arial"/>
        </w:rPr>
      </w:pPr>
      <w:r>
        <w:rPr>
          <w:rFonts w:cs="Arial"/>
          <w:b/>
          <w:bCs/>
        </w:rPr>
        <w:t>Tabelle 6: Durchschnittliche Nährstoff- und Schwermetallgehalte in Komposten in Nordrhein-Westfalen nach Herstellerangaben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1559"/>
        <w:gridCol w:w="2252"/>
        <w:gridCol w:w="583"/>
        <w:gridCol w:w="1701"/>
      </w:tblGrid>
      <w:tr>
        <w:trPr>
          <w:jc w:val="center"/>
        </w:trPr>
        <w:tc>
          <w:tcPr>
            <w:tcW w:w="2055" w:type="dxa"/>
          </w:tcPr>
          <w:p>
            <w:pPr>
              <w:pStyle w:val="GesAbsatz"/>
              <w:jc w:val="center"/>
              <w:rPr>
                <w:rFonts w:eastAsia="Arial Unicode MS" w:cs="Arial"/>
                <w:sz w:val="18"/>
              </w:rPr>
            </w:pPr>
            <w:r>
              <w:rPr>
                <w:rFonts w:cs="Arial"/>
                <w:b/>
                <w:bCs/>
                <w:sz w:val="18"/>
              </w:rPr>
              <w:t>Nährstoff</w:t>
            </w:r>
          </w:p>
        </w:tc>
        <w:tc>
          <w:tcPr>
            <w:tcW w:w="1559" w:type="dxa"/>
          </w:tcPr>
          <w:p>
            <w:pPr>
              <w:pStyle w:val="GesAbsatz"/>
              <w:jc w:val="center"/>
              <w:rPr>
                <w:rFonts w:eastAsia="Arial Unicode MS" w:cs="Arial"/>
                <w:sz w:val="18"/>
              </w:rPr>
            </w:pPr>
            <w:r>
              <w:rPr>
                <w:rFonts w:cs="Arial"/>
                <w:b/>
                <w:bCs/>
                <w:sz w:val="18"/>
              </w:rPr>
              <w:t>Gehalt</w:t>
            </w:r>
            <w:r>
              <w:rPr>
                <w:rFonts w:cs="Arial"/>
                <w:b/>
                <w:bCs/>
                <w:sz w:val="18"/>
              </w:rPr>
              <w:br/>
              <w:t>% in TS</w:t>
            </w:r>
          </w:p>
        </w:tc>
        <w:tc>
          <w:tcPr>
            <w:tcW w:w="2252" w:type="dxa"/>
          </w:tcPr>
          <w:p>
            <w:pPr>
              <w:pStyle w:val="GesAbsatz"/>
              <w:jc w:val="center"/>
              <w:rPr>
                <w:rFonts w:eastAsia="Arial Unicode MS" w:cs="Arial"/>
                <w:sz w:val="18"/>
              </w:rPr>
            </w:pPr>
            <w:r>
              <w:rPr>
                <w:rFonts w:cs="Arial"/>
                <w:b/>
                <w:bCs/>
                <w:sz w:val="18"/>
              </w:rPr>
              <w:t>Schwermetall</w:t>
            </w:r>
          </w:p>
        </w:tc>
        <w:tc>
          <w:tcPr>
            <w:tcW w:w="583" w:type="dxa"/>
          </w:tcPr>
          <w:p>
            <w:pPr>
              <w:pStyle w:val="GesAbsatz"/>
              <w:jc w:val="center"/>
              <w:rPr>
                <w:rFonts w:eastAsia="Arial Unicode MS" w:cs="Arial"/>
                <w:sz w:val="18"/>
              </w:rPr>
            </w:pPr>
          </w:p>
        </w:tc>
        <w:tc>
          <w:tcPr>
            <w:tcW w:w="1701" w:type="dxa"/>
          </w:tcPr>
          <w:p>
            <w:pPr>
              <w:pStyle w:val="GesAbsatz"/>
              <w:jc w:val="center"/>
              <w:rPr>
                <w:rFonts w:eastAsia="Arial Unicode MS" w:cs="Arial"/>
                <w:sz w:val="18"/>
              </w:rPr>
            </w:pPr>
            <w:r>
              <w:rPr>
                <w:rFonts w:cs="Arial"/>
                <w:b/>
                <w:bCs/>
                <w:sz w:val="18"/>
              </w:rPr>
              <w:t>Gehalt</w:t>
            </w:r>
            <w:r>
              <w:rPr>
                <w:rFonts w:cs="Arial"/>
                <w:b/>
                <w:bCs/>
                <w:sz w:val="18"/>
              </w:rPr>
              <w:br/>
              <w:t>mg/kg TS</w:t>
            </w:r>
          </w:p>
        </w:tc>
      </w:tr>
      <w:tr>
        <w:trPr>
          <w:jc w:val="center"/>
        </w:trPr>
        <w:tc>
          <w:tcPr>
            <w:tcW w:w="2055" w:type="dxa"/>
          </w:tcPr>
          <w:p>
            <w:pPr>
              <w:pStyle w:val="GesAbsatz"/>
              <w:rPr>
                <w:rFonts w:cs="Arial"/>
                <w:sz w:val="18"/>
              </w:rPr>
            </w:pPr>
            <w:r>
              <w:rPr>
                <w:rFonts w:cs="Arial"/>
                <w:sz w:val="18"/>
              </w:rPr>
              <w:t>Stickstoff N</w:t>
            </w:r>
          </w:p>
        </w:tc>
        <w:tc>
          <w:tcPr>
            <w:tcW w:w="1559" w:type="dxa"/>
          </w:tcPr>
          <w:p>
            <w:pPr>
              <w:pStyle w:val="GesAbsatz"/>
              <w:tabs>
                <w:tab w:val="clear" w:pos="425"/>
                <w:tab w:val="decimal" w:pos="675"/>
              </w:tabs>
              <w:rPr>
                <w:rFonts w:cs="Arial"/>
                <w:sz w:val="18"/>
              </w:rPr>
            </w:pPr>
            <w:r>
              <w:rPr>
                <w:rFonts w:cs="Arial"/>
                <w:sz w:val="18"/>
              </w:rPr>
              <w:t>1,16</w:t>
            </w:r>
          </w:p>
        </w:tc>
        <w:tc>
          <w:tcPr>
            <w:tcW w:w="2252" w:type="dxa"/>
          </w:tcPr>
          <w:p>
            <w:pPr>
              <w:pStyle w:val="GesAbsatz"/>
              <w:rPr>
                <w:rFonts w:cs="Arial"/>
                <w:sz w:val="18"/>
              </w:rPr>
            </w:pPr>
            <w:r>
              <w:rPr>
                <w:rFonts w:cs="Arial"/>
                <w:sz w:val="18"/>
              </w:rPr>
              <w:t>Blei</w:t>
            </w:r>
          </w:p>
        </w:tc>
        <w:tc>
          <w:tcPr>
            <w:tcW w:w="583" w:type="dxa"/>
          </w:tcPr>
          <w:p>
            <w:pPr>
              <w:pStyle w:val="GesAbsatz"/>
              <w:rPr>
                <w:rFonts w:eastAsia="Arial Unicode MS" w:cs="Arial"/>
                <w:sz w:val="18"/>
                <w:lang w:val="en-US"/>
              </w:rPr>
            </w:pPr>
            <w:r>
              <w:rPr>
                <w:rFonts w:cs="Arial"/>
                <w:sz w:val="18"/>
                <w:lang w:val="en-US"/>
              </w:rPr>
              <w:t>Pb</w:t>
            </w:r>
          </w:p>
        </w:tc>
        <w:tc>
          <w:tcPr>
            <w:tcW w:w="1701" w:type="dxa"/>
          </w:tcPr>
          <w:p>
            <w:pPr>
              <w:pStyle w:val="GesAbsatz"/>
              <w:tabs>
                <w:tab w:val="clear" w:pos="425"/>
                <w:tab w:val="decimal" w:pos="675"/>
              </w:tabs>
              <w:rPr>
                <w:rFonts w:cs="Arial"/>
                <w:sz w:val="18"/>
                <w:lang w:val="en-US"/>
              </w:rPr>
            </w:pPr>
            <w:r>
              <w:rPr>
                <w:rFonts w:cs="Arial"/>
                <w:sz w:val="18"/>
                <w:lang w:val="en-US"/>
              </w:rPr>
              <w:t>59,59</w:t>
            </w:r>
          </w:p>
        </w:tc>
      </w:tr>
      <w:tr>
        <w:trPr>
          <w:jc w:val="center"/>
        </w:trPr>
        <w:tc>
          <w:tcPr>
            <w:tcW w:w="2055" w:type="dxa"/>
          </w:tcPr>
          <w:p>
            <w:pPr>
              <w:pStyle w:val="GesAbsatz"/>
              <w:rPr>
                <w:rFonts w:cs="Arial"/>
                <w:sz w:val="18"/>
                <w:lang w:val="en-US"/>
              </w:rPr>
            </w:pPr>
            <w:r>
              <w:rPr>
                <w:rFonts w:cs="Arial"/>
                <w:sz w:val="18"/>
                <w:lang w:val="en-US"/>
              </w:rPr>
              <w:t>Phosphat P</w:t>
            </w:r>
            <w:r>
              <w:rPr>
                <w:rFonts w:cs="Arial"/>
                <w:sz w:val="18"/>
                <w:vertAlign w:val="subscript"/>
                <w:lang w:val="en-US"/>
              </w:rPr>
              <w:t>2</w:t>
            </w:r>
            <w:r>
              <w:rPr>
                <w:rFonts w:cs="Arial"/>
                <w:sz w:val="18"/>
                <w:lang w:val="en-US"/>
              </w:rPr>
              <w:t>O</w:t>
            </w:r>
            <w:r>
              <w:rPr>
                <w:rFonts w:cs="Arial"/>
                <w:sz w:val="18"/>
                <w:vertAlign w:val="subscript"/>
                <w:lang w:val="en-US"/>
              </w:rPr>
              <w:t>5</w:t>
            </w:r>
          </w:p>
        </w:tc>
        <w:tc>
          <w:tcPr>
            <w:tcW w:w="1559" w:type="dxa"/>
          </w:tcPr>
          <w:p>
            <w:pPr>
              <w:pStyle w:val="GesAbsatz"/>
              <w:tabs>
                <w:tab w:val="clear" w:pos="425"/>
                <w:tab w:val="decimal" w:pos="675"/>
              </w:tabs>
              <w:rPr>
                <w:rFonts w:cs="Arial"/>
                <w:sz w:val="18"/>
                <w:lang w:val="en-US"/>
              </w:rPr>
            </w:pPr>
            <w:r>
              <w:rPr>
                <w:rFonts w:cs="Arial"/>
                <w:sz w:val="18"/>
              </w:rPr>
              <w:t>0,58</w:t>
            </w:r>
          </w:p>
        </w:tc>
        <w:tc>
          <w:tcPr>
            <w:tcW w:w="2252" w:type="dxa"/>
          </w:tcPr>
          <w:p>
            <w:pPr>
              <w:pStyle w:val="GesAbsatz"/>
              <w:rPr>
                <w:rFonts w:cs="Arial"/>
                <w:sz w:val="18"/>
                <w:lang w:val="en-US"/>
              </w:rPr>
            </w:pPr>
            <w:r>
              <w:rPr>
                <w:rFonts w:cs="Arial"/>
                <w:sz w:val="18"/>
              </w:rPr>
              <w:t>Cadmium</w:t>
            </w:r>
          </w:p>
        </w:tc>
        <w:tc>
          <w:tcPr>
            <w:tcW w:w="583" w:type="dxa"/>
          </w:tcPr>
          <w:p>
            <w:pPr>
              <w:pStyle w:val="GesAbsatz"/>
              <w:rPr>
                <w:rFonts w:cs="Arial"/>
                <w:sz w:val="18"/>
                <w:lang w:val="en-US"/>
              </w:rPr>
            </w:pPr>
            <w:r>
              <w:rPr>
                <w:rFonts w:cs="Arial"/>
                <w:sz w:val="18"/>
              </w:rPr>
              <w:t>Cd</w:t>
            </w:r>
          </w:p>
        </w:tc>
        <w:tc>
          <w:tcPr>
            <w:tcW w:w="1701" w:type="dxa"/>
          </w:tcPr>
          <w:p>
            <w:pPr>
              <w:pStyle w:val="GesAbsatz"/>
              <w:tabs>
                <w:tab w:val="clear" w:pos="425"/>
                <w:tab w:val="decimal" w:pos="675"/>
              </w:tabs>
              <w:rPr>
                <w:rFonts w:cs="Arial"/>
                <w:sz w:val="18"/>
                <w:lang w:val="en-US"/>
              </w:rPr>
            </w:pPr>
            <w:r>
              <w:rPr>
                <w:rFonts w:cs="Arial"/>
                <w:sz w:val="18"/>
              </w:rPr>
              <w:t>0,7</w:t>
            </w:r>
          </w:p>
        </w:tc>
      </w:tr>
      <w:tr>
        <w:trPr>
          <w:jc w:val="center"/>
        </w:trPr>
        <w:tc>
          <w:tcPr>
            <w:tcW w:w="2055" w:type="dxa"/>
          </w:tcPr>
          <w:p>
            <w:pPr>
              <w:pStyle w:val="GesAbsatz"/>
              <w:rPr>
                <w:rFonts w:cs="Arial"/>
                <w:sz w:val="18"/>
                <w:lang w:val="en-US"/>
              </w:rPr>
            </w:pPr>
          </w:p>
        </w:tc>
        <w:tc>
          <w:tcPr>
            <w:tcW w:w="1559" w:type="dxa"/>
          </w:tcPr>
          <w:p>
            <w:pPr>
              <w:pStyle w:val="GesAbsatz"/>
              <w:rPr>
                <w:rFonts w:cs="Arial"/>
                <w:sz w:val="18"/>
              </w:rPr>
            </w:pPr>
          </w:p>
        </w:tc>
        <w:tc>
          <w:tcPr>
            <w:tcW w:w="2252" w:type="dxa"/>
          </w:tcPr>
          <w:p>
            <w:pPr>
              <w:pStyle w:val="GesAbsatz"/>
              <w:rPr>
                <w:rFonts w:cs="Arial"/>
                <w:sz w:val="18"/>
              </w:rPr>
            </w:pPr>
            <w:r>
              <w:rPr>
                <w:rFonts w:cs="Arial"/>
                <w:sz w:val="18"/>
              </w:rPr>
              <w:t>Kupfer</w:t>
            </w:r>
          </w:p>
        </w:tc>
        <w:tc>
          <w:tcPr>
            <w:tcW w:w="583" w:type="dxa"/>
          </w:tcPr>
          <w:p>
            <w:pPr>
              <w:pStyle w:val="GesAbsatz"/>
              <w:rPr>
                <w:rFonts w:cs="Arial"/>
                <w:sz w:val="18"/>
              </w:rPr>
            </w:pPr>
            <w:r>
              <w:rPr>
                <w:rFonts w:cs="Arial"/>
                <w:sz w:val="18"/>
              </w:rPr>
              <w:t>Cu</w:t>
            </w:r>
          </w:p>
        </w:tc>
        <w:tc>
          <w:tcPr>
            <w:tcW w:w="1701" w:type="dxa"/>
          </w:tcPr>
          <w:p>
            <w:pPr>
              <w:pStyle w:val="GesAbsatz"/>
              <w:tabs>
                <w:tab w:val="clear" w:pos="425"/>
                <w:tab w:val="decimal" w:pos="675"/>
              </w:tabs>
              <w:rPr>
                <w:rFonts w:cs="Arial"/>
                <w:sz w:val="18"/>
              </w:rPr>
            </w:pPr>
            <w:r>
              <w:rPr>
                <w:rFonts w:cs="Arial"/>
                <w:sz w:val="18"/>
              </w:rPr>
              <w:t>41,93</w:t>
            </w:r>
          </w:p>
        </w:tc>
      </w:tr>
      <w:tr>
        <w:trPr>
          <w:jc w:val="center"/>
        </w:trPr>
        <w:tc>
          <w:tcPr>
            <w:tcW w:w="2055" w:type="dxa"/>
          </w:tcPr>
          <w:p>
            <w:pPr>
              <w:pStyle w:val="GesAbsatz"/>
              <w:rPr>
                <w:rFonts w:cs="Arial"/>
                <w:sz w:val="18"/>
                <w:lang w:val="en-US"/>
              </w:rPr>
            </w:pPr>
          </w:p>
        </w:tc>
        <w:tc>
          <w:tcPr>
            <w:tcW w:w="1559" w:type="dxa"/>
          </w:tcPr>
          <w:p>
            <w:pPr>
              <w:pStyle w:val="GesAbsatz"/>
              <w:rPr>
                <w:rFonts w:cs="Arial"/>
                <w:sz w:val="18"/>
              </w:rPr>
            </w:pPr>
          </w:p>
        </w:tc>
        <w:tc>
          <w:tcPr>
            <w:tcW w:w="2252" w:type="dxa"/>
          </w:tcPr>
          <w:p>
            <w:pPr>
              <w:pStyle w:val="GesAbsatz"/>
              <w:rPr>
                <w:rFonts w:cs="Arial"/>
                <w:sz w:val="18"/>
              </w:rPr>
            </w:pPr>
            <w:r>
              <w:rPr>
                <w:rFonts w:cs="Arial"/>
                <w:sz w:val="18"/>
              </w:rPr>
              <w:t>Zink</w:t>
            </w:r>
          </w:p>
        </w:tc>
        <w:tc>
          <w:tcPr>
            <w:tcW w:w="583" w:type="dxa"/>
          </w:tcPr>
          <w:p>
            <w:pPr>
              <w:pStyle w:val="GesAbsatz"/>
              <w:rPr>
                <w:rFonts w:cs="Arial"/>
                <w:sz w:val="18"/>
              </w:rPr>
            </w:pPr>
            <w:r>
              <w:rPr>
                <w:rFonts w:cs="Arial"/>
                <w:sz w:val="18"/>
              </w:rPr>
              <w:t>Zn</w:t>
            </w:r>
          </w:p>
        </w:tc>
        <w:tc>
          <w:tcPr>
            <w:tcW w:w="1701" w:type="dxa"/>
          </w:tcPr>
          <w:p>
            <w:pPr>
              <w:pStyle w:val="GesAbsatz"/>
              <w:tabs>
                <w:tab w:val="clear" w:pos="425"/>
                <w:tab w:val="decimal" w:pos="675"/>
              </w:tabs>
              <w:rPr>
                <w:rFonts w:cs="Arial"/>
                <w:sz w:val="18"/>
              </w:rPr>
            </w:pPr>
            <w:r>
              <w:rPr>
                <w:rFonts w:cs="Arial"/>
                <w:sz w:val="18"/>
              </w:rPr>
              <w:t>198,71</w:t>
            </w:r>
          </w:p>
        </w:tc>
      </w:tr>
    </w:tbl>
    <w:p>
      <w:pPr>
        <w:pStyle w:val="GesAbsatz"/>
        <w:rPr>
          <w:rFonts w:eastAsia="Arial Unicode MS" w:cs="Arial"/>
          <w:lang w:val="en-US"/>
        </w:rPr>
      </w:pPr>
    </w:p>
    <w:p>
      <w:pPr>
        <w:pStyle w:val="GesAbsatz"/>
        <w:rPr>
          <w:rFonts w:eastAsia="Arial Unicode MS" w:cs="Arial"/>
          <w:lang w:val="en-US"/>
        </w:rPr>
      </w:pPr>
      <w:r>
        <w:rPr>
          <w:rFonts w:cs="Arial"/>
        </w:rPr>
        <w:t>Da im Fragebogen ebenfalls die Nährstoff- und Schwermetallgehalte der produzierten Komposte abgefragt wurden (bei gütegesicherten Komposten das Fremdüberwachungszeugnis der BGK, ansonsten Durchschnittswerte der letzten Analysen), konnten aus den Herstellerangaben landesweite Durchschnittswerte für diese Parameter gebildet werden, mit denen die Nährstoff- und Schwermetallfrachten je Kreis errechnet wurden. Tabelle 6 zeigt die für die Berechnung verwendeten Werte.</w:t>
      </w:r>
    </w:p>
    <w:p>
      <w:pPr>
        <w:pStyle w:val="berschrift3"/>
        <w:jc w:val="left"/>
        <w:rPr>
          <w:rFonts w:eastAsia="Arial Unicode MS"/>
        </w:rPr>
      </w:pPr>
      <w:bookmarkStart w:id="5" w:name="_Toc45599493"/>
      <w:r>
        <w:t>2.3 Wirtschaftsdünger</w:t>
      </w:r>
      <w:bookmarkEnd w:id="5"/>
    </w:p>
    <w:p>
      <w:pPr>
        <w:pStyle w:val="GesAbsatz"/>
        <w:rPr>
          <w:rFonts w:eastAsia="Arial Unicode MS" w:cs="Arial"/>
        </w:rPr>
      </w:pPr>
      <w:r>
        <w:rPr>
          <w:rFonts w:cs="Arial"/>
        </w:rPr>
        <w:t>Die Berechnung des Nährstoff- und Schwermetallanfalls aus Wirtschaftsdüngern wurde auf der Basis der Viehzahlen, Stand Dezember 1996 (LDS, 1997), durchgeführt.</w:t>
      </w:r>
    </w:p>
    <w:p>
      <w:pPr>
        <w:pStyle w:val="GesAbsatz"/>
        <w:rPr>
          <w:rFonts w:cs="Arial"/>
        </w:rPr>
      </w:pPr>
      <w:r>
        <w:rPr>
          <w:rFonts w:cs="Arial"/>
          <w:b/>
          <w:bCs/>
        </w:rPr>
        <w:t>Tabelle 7: Nährstoffausscheidungen landwirtschaftlicher Nutztiere in kg pro mittlerem Jahresbestand (Stallplatz und Jahr)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1"/>
        <w:gridCol w:w="1702"/>
        <w:gridCol w:w="1558"/>
      </w:tblGrid>
      <w:tr>
        <w:trPr>
          <w:jc w:val="center"/>
        </w:trPr>
        <w:tc>
          <w:tcPr>
            <w:tcW w:w="4111" w:type="dxa"/>
          </w:tcPr>
          <w:p>
            <w:pPr>
              <w:pStyle w:val="GesAbsatz"/>
              <w:jc w:val="center"/>
              <w:rPr>
                <w:rFonts w:eastAsia="Arial Unicode MS" w:cs="Arial"/>
                <w:sz w:val="18"/>
                <w:szCs w:val="24"/>
                <w:lang w:val="en-US"/>
              </w:rPr>
            </w:pPr>
            <w:r>
              <w:rPr>
                <w:rFonts w:cs="Arial"/>
                <w:b/>
                <w:bCs/>
                <w:sz w:val="18"/>
                <w:lang w:val="en-US"/>
              </w:rPr>
              <w:t>Tierart</w:t>
            </w:r>
          </w:p>
        </w:tc>
        <w:tc>
          <w:tcPr>
            <w:tcW w:w="1702" w:type="dxa"/>
          </w:tcPr>
          <w:p>
            <w:pPr>
              <w:pStyle w:val="GesAbsatz"/>
              <w:tabs>
                <w:tab w:val="clear" w:pos="425"/>
              </w:tabs>
              <w:jc w:val="center"/>
              <w:rPr>
                <w:rFonts w:eastAsia="Arial Unicode MS" w:cs="Arial"/>
                <w:sz w:val="18"/>
                <w:szCs w:val="24"/>
                <w:lang w:val="en-US"/>
              </w:rPr>
            </w:pPr>
            <w:r>
              <w:rPr>
                <w:rFonts w:cs="Arial"/>
                <w:b/>
                <w:bCs/>
                <w:sz w:val="18"/>
                <w:lang w:val="en-US"/>
              </w:rPr>
              <w:t>N</w:t>
            </w:r>
            <w:r>
              <w:rPr>
                <w:rFonts w:cs="Arial"/>
                <w:b/>
                <w:bCs/>
                <w:sz w:val="18"/>
                <w:lang w:val="en-US"/>
              </w:rPr>
              <w:br/>
              <w:t>kg/a</w:t>
            </w:r>
          </w:p>
        </w:tc>
        <w:tc>
          <w:tcPr>
            <w:tcW w:w="1558" w:type="dxa"/>
          </w:tcPr>
          <w:p>
            <w:pPr>
              <w:pStyle w:val="GesAbsatz"/>
              <w:tabs>
                <w:tab w:val="clear" w:pos="425"/>
              </w:tabs>
              <w:jc w:val="center"/>
              <w:rPr>
                <w:rFonts w:eastAsia="Arial Unicode MS" w:cs="Arial"/>
                <w:sz w:val="18"/>
                <w:szCs w:val="24"/>
                <w:lang w:val="en-US"/>
              </w:rPr>
            </w:pPr>
            <w:r>
              <w:rPr>
                <w:rFonts w:cs="Arial"/>
                <w:b/>
                <w:bCs/>
                <w:sz w:val="18"/>
                <w:lang w:val="en-US"/>
              </w:rPr>
              <w:t>P</w:t>
            </w:r>
            <w:r>
              <w:rPr>
                <w:rFonts w:cs="Arial"/>
                <w:b/>
                <w:bCs/>
                <w:sz w:val="18"/>
                <w:vertAlign w:val="subscript"/>
                <w:lang w:val="en-US"/>
              </w:rPr>
              <w:t>2</w:t>
            </w:r>
            <w:r>
              <w:rPr>
                <w:rFonts w:cs="Arial"/>
                <w:b/>
                <w:bCs/>
                <w:sz w:val="18"/>
                <w:lang w:val="en-US"/>
              </w:rPr>
              <w:t>0</w:t>
            </w:r>
            <w:r>
              <w:rPr>
                <w:rFonts w:cs="Arial"/>
                <w:b/>
                <w:bCs/>
                <w:sz w:val="18"/>
                <w:vertAlign w:val="subscript"/>
                <w:lang w:val="en-US"/>
              </w:rPr>
              <w:t>5</w:t>
            </w:r>
            <w:r>
              <w:rPr>
                <w:rFonts w:cs="Arial"/>
                <w:b/>
                <w:bCs/>
                <w:sz w:val="18"/>
                <w:lang w:val="en-US"/>
              </w:rPr>
              <w:br/>
              <w:t>kg/a</w:t>
            </w:r>
          </w:p>
        </w:tc>
      </w:tr>
      <w:tr>
        <w:trPr>
          <w:jc w:val="center"/>
        </w:trPr>
        <w:tc>
          <w:tcPr>
            <w:tcW w:w="4111" w:type="dxa"/>
          </w:tcPr>
          <w:p>
            <w:pPr>
              <w:pStyle w:val="GesAbsatz"/>
              <w:rPr>
                <w:rFonts w:cs="Arial"/>
                <w:sz w:val="18"/>
              </w:rPr>
            </w:pPr>
            <w:r>
              <w:rPr>
                <w:rFonts w:cs="Arial"/>
                <w:sz w:val="18"/>
              </w:rPr>
              <w:t>Kälber bis 1/2 Jahr</w:t>
            </w:r>
          </w:p>
        </w:tc>
        <w:tc>
          <w:tcPr>
            <w:tcW w:w="1702" w:type="dxa"/>
          </w:tcPr>
          <w:p>
            <w:pPr>
              <w:pStyle w:val="GesAbsatz"/>
              <w:tabs>
                <w:tab w:val="clear" w:pos="425"/>
                <w:tab w:val="decimal" w:pos="922"/>
              </w:tabs>
              <w:rPr>
                <w:rFonts w:cs="Arial"/>
                <w:sz w:val="18"/>
              </w:rPr>
            </w:pPr>
            <w:r>
              <w:rPr>
                <w:rFonts w:cs="Arial"/>
                <w:sz w:val="18"/>
              </w:rPr>
              <w:t>18,5</w:t>
            </w:r>
          </w:p>
        </w:tc>
        <w:tc>
          <w:tcPr>
            <w:tcW w:w="1558" w:type="dxa"/>
          </w:tcPr>
          <w:p>
            <w:pPr>
              <w:pStyle w:val="GesAbsatz"/>
              <w:tabs>
                <w:tab w:val="clear" w:pos="425"/>
                <w:tab w:val="decimal" w:pos="922"/>
              </w:tabs>
              <w:rPr>
                <w:rFonts w:cs="Arial"/>
                <w:sz w:val="18"/>
              </w:rPr>
            </w:pPr>
            <w:r>
              <w:rPr>
                <w:rFonts w:cs="Arial"/>
                <w:sz w:val="18"/>
              </w:rPr>
              <w:t>7</w:t>
            </w:r>
          </w:p>
        </w:tc>
      </w:tr>
      <w:tr>
        <w:trPr>
          <w:jc w:val="center"/>
        </w:trPr>
        <w:tc>
          <w:tcPr>
            <w:tcW w:w="4111" w:type="dxa"/>
          </w:tcPr>
          <w:p>
            <w:pPr>
              <w:pStyle w:val="GesAbsatz"/>
              <w:rPr>
                <w:rFonts w:cs="Arial"/>
                <w:sz w:val="18"/>
              </w:rPr>
            </w:pPr>
            <w:r>
              <w:rPr>
                <w:rFonts w:cs="Arial"/>
                <w:sz w:val="18"/>
              </w:rPr>
              <w:t>Jungvieh unter 1 Jahr</w:t>
            </w:r>
          </w:p>
        </w:tc>
        <w:tc>
          <w:tcPr>
            <w:tcW w:w="1702" w:type="dxa"/>
          </w:tcPr>
          <w:p>
            <w:pPr>
              <w:pStyle w:val="GesAbsatz"/>
              <w:tabs>
                <w:tab w:val="clear" w:pos="425"/>
                <w:tab w:val="decimal" w:pos="922"/>
              </w:tabs>
              <w:rPr>
                <w:rFonts w:cs="Arial"/>
                <w:sz w:val="18"/>
              </w:rPr>
            </w:pPr>
            <w:r>
              <w:rPr>
                <w:rFonts w:cs="Arial"/>
                <w:sz w:val="18"/>
              </w:rPr>
              <w:t>13,5</w:t>
            </w:r>
          </w:p>
        </w:tc>
        <w:tc>
          <w:tcPr>
            <w:tcW w:w="1558" w:type="dxa"/>
          </w:tcPr>
          <w:p>
            <w:pPr>
              <w:pStyle w:val="GesAbsatz"/>
              <w:tabs>
                <w:tab w:val="clear" w:pos="425"/>
                <w:tab w:val="decimal" w:pos="922"/>
              </w:tabs>
              <w:rPr>
                <w:rFonts w:cs="Arial"/>
                <w:sz w:val="18"/>
              </w:rPr>
            </w:pPr>
            <w:r>
              <w:rPr>
                <w:rFonts w:cs="Arial"/>
                <w:sz w:val="18"/>
              </w:rPr>
              <w:t>6</w:t>
            </w:r>
          </w:p>
        </w:tc>
      </w:tr>
      <w:tr>
        <w:trPr>
          <w:jc w:val="center"/>
        </w:trPr>
        <w:tc>
          <w:tcPr>
            <w:tcW w:w="4111" w:type="dxa"/>
          </w:tcPr>
          <w:p>
            <w:pPr>
              <w:pStyle w:val="GesAbsatz"/>
              <w:rPr>
                <w:rFonts w:cs="Arial"/>
                <w:sz w:val="18"/>
              </w:rPr>
            </w:pPr>
            <w:r>
              <w:rPr>
                <w:rFonts w:cs="Arial"/>
                <w:sz w:val="18"/>
              </w:rPr>
              <w:t>Rinder 1-2 Jahre</w:t>
            </w:r>
          </w:p>
        </w:tc>
        <w:tc>
          <w:tcPr>
            <w:tcW w:w="1702" w:type="dxa"/>
          </w:tcPr>
          <w:p>
            <w:pPr>
              <w:pStyle w:val="GesAbsatz"/>
              <w:tabs>
                <w:tab w:val="clear" w:pos="425"/>
                <w:tab w:val="decimal" w:pos="922"/>
              </w:tabs>
              <w:rPr>
                <w:rFonts w:cs="Arial"/>
                <w:sz w:val="18"/>
              </w:rPr>
            </w:pPr>
            <w:r>
              <w:rPr>
                <w:rFonts w:cs="Arial"/>
                <w:sz w:val="18"/>
              </w:rPr>
              <w:t>43,5</w:t>
            </w:r>
          </w:p>
        </w:tc>
        <w:tc>
          <w:tcPr>
            <w:tcW w:w="1558" w:type="dxa"/>
          </w:tcPr>
          <w:p>
            <w:pPr>
              <w:pStyle w:val="GesAbsatz"/>
              <w:tabs>
                <w:tab w:val="clear" w:pos="425"/>
                <w:tab w:val="decimal" w:pos="922"/>
              </w:tabs>
              <w:rPr>
                <w:rFonts w:cs="Arial"/>
                <w:sz w:val="18"/>
              </w:rPr>
            </w:pPr>
            <w:r>
              <w:rPr>
                <w:rFonts w:cs="Arial"/>
                <w:sz w:val="18"/>
              </w:rPr>
              <w:t>16,5</w:t>
            </w:r>
          </w:p>
        </w:tc>
      </w:tr>
      <w:tr>
        <w:trPr>
          <w:jc w:val="center"/>
        </w:trPr>
        <w:tc>
          <w:tcPr>
            <w:tcW w:w="4111" w:type="dxa"/>
          </w:tcPr>
          <w:p>
            <w:pPr>
              <w:pStyle w:val="GesAbsatz"/>
              <w:rPr>
                <w:rFonts w:cs="Arial"/>
                <w:sz w:val="18"/>
              </w:rPr>
            </w:pPr>
            <w:r>
              <w:rPr>
                <w:rFonts w:cs="Arial"/>
                <w:sz w:val="18"/>
              </w:rPr>
              <w:t>Milchkühe</w:t>
            </w:r>
          </w:p>
        </w:tc>
        <w:tc>
          <w:tcPr>
            <w:tcW w:w="1702" w:type="dxa"/>
          </w:tcPr>
          <w:p>
            <w:pPr>
              <w:pStyle w:val="GesAbsatz"/>
              <w:tabs>
                <w:tab w:val="clear" w:pos="425"/>
                <w:tab w:val="decimal" w:pos="922"/>
              </w:tabs>
              <w:rPr>
                <w:rFonts w:cs="Arial"/>
                <w:sz w:val="18"/>
              </w:rPr>
            </w:pPr>
            <w:r>
              <w:rPr>
                <w:rFonts w:cs="Arial"/>
                <w:sz w:val="18"/>
              </w:rPr>
              <w:t>108,5</w:t>
            </w:r>
          </w:p>
        </w:tc>
        <w:tc>
          <w:tcPr>
            <w:tcW w:w="1558" w:type="dxa"/>
          </w:tcPr>
          <w:p>
            <w:pPr>
              <w:pStyle w:val="GesAbsatz"/>
              <w:tabs>
                <w:tab w:val="clear" w:pos="425"/>
                <w:tab w:val="decimal" w:pos="922"/>
              </w:tabs>
              <w:rPr>
                <w:rFonts w:cs="Arial"/>
                <w:sz w:val="18"/>
              </w:rPr>
            </w:pPr>
            <w:r>
              <w:rPr>
                <w:rFonts w:cs="Arial"/>
                <w:sz w:val="18"/>
              </w:rPr>
              <w:t>38</w:t>
            </w:r>
          </w:p>
        </w:tc>
      </w:tr>
      <w:tr>
        <w:trPr>
          <w:jc w:val="center"/>
        </w:trPr>
        <w:tc>
          <w:tcPr>
            <w:tcW w:w="4111" w:type="dxa"/>
          </w:tcPr>
          <w:p>
            <w:pPr>
              <w:pStyle w:val="GesAbsatz"/>
              <w:rPr>
                <w:rFonts w:cs="Arial"/>
                <w:sz w:val="18"/>
              </w:rPr>
            </w:pPr>
            <w:r>
              <w:rPr>
                <w:rFonts w:cs="Arial"/>
                <w:sz w:val="18"/>
              </w:rPr>
              <w:t>Mutterkühe</w:t>
            </w:r>
          </w:p>
        </w:tc>
        <w:tc>
          <w:tcPr>
            <w:tcW w:w="1702" w:type="dxa"/>
          </w:tcPr>
          <w:p>
            <w:pPr>
              <w:pStyle w:val="GesAbsatz"/>
              <w:tabs>
                <w:tab w:val="clear" w:pos="425"/>
                <w:tab w:val="decimal" w:pos="922"/>
              </w:tabs>
              <w:rPr>
                <w:rFonts w:cs="Arial"/>
                <w:sz w:val="18"/>
              </w:rPr>
            </w:pPr>
            <w:r>
              <w:rPr>
                <w:rFonts w:cs="Arial"/>
                <w:sz w:val="18"/>
              </w:rPr>
              <w:t>96</w:t>
            </w:r>
          </w:p>
        </w:tc>
        <w:tc>
          <w:tcPr>
            <w:tcW w:w="1558" w:type="dxa"/>
          </w:tcPr>
          <w:p>
            <w:pPr>
              <w:pStyle w:val="GesAbsatz"/>
              <w:tabs>
                <w:tab w:val="clear" w:pos="425"/>
                <w:tab w:val="decimal" w:pos="922"/>
              </w:tabs>
              <w:rPr>
                <w:rFonts w:cs="Arial"/>
                <w:sz w:val="18"/>
              </w:rPr>
            </w:pPr>
            <w:r>
              <w:rPr>
                <w:rFonts w:cs="Arial"/>
                <w:sz w:val="18"/>
              </w:rPr>
              <w:t>29</w:t>
            </w:r>
          </w:p>
        </w:tc>
      </w:tr>
      <w:tr>
        <w:trPr>
          <w:jc w:val="center"/>
        </w:trPr>
        <w:tc>
          <w:tcPr>
            <w:tcW w:w="4111" w:type="dxa"/>
          </w:tcPr>
          <w:p>
            <w:pPr>
              <w:pStyle w:val="GesAbsatz"/>
              <w:rPr>
                <w:rFonts w:cs="Arial"/>
                <w:sz w:val="18"/>
              </w:rPr>
            </w:pPr>
            <w:r>
              <w:rPr>
                <w:rFonts w:cs="Arial"/>
                <w:sz w:val="18"/>
              </w:rPr>
              <w:t>Andere über 2 Jahre</w:t>
            </w:r>
          </w:p>
        </w:tc>
        <w:tc>
          <w:tcPr>
            <w:tcW w:w="1702" w:type="dxa"/>
          </w:tcPr>
          <w:p>
            <w:pPr>
              <w:pStyle w:val="GesAbsatz"/>
              <w:tabs>
                <w:tab w:val="clear" w:pos="425"/>
                <w:tab w:val="decimal" w:pos="922"/>
              </w:tabs>
              <w:rPr>
                <w:rFonts w:cs="Arial"/>
                <w:sz w:val="18"/>
              </w:rPr>
            </w:pPr>
            <w:r>
              <w:rPr>
                <w:rFonts w:cs="Arial"/>
                <w:sz w:val="18"/>
              </w:rPr>
              <w:t>70</w:t>
            </w:r>
          </w:p>
        </w:tc>
        <w:tc>
          <w:tcPr>
            <w:tcW w:w="1558" w:type="dxa"/>
          </w:tcPr>
          <w:p>
            <w:pPr>
              <w:pStyle w:val="GesAbsatz"/>
              <w:tabs>
                <w:tab w:val="clear" w:pos="425"/>
                <w:tab w:val="decimal" w:pos="922"/>
              </w:tabs>
              <w:rPr>
                <w:rFonts w:cs="Arial"/>
                <w:sz w:val="18"/>
              </w:rPr>
            </w:pPr>
            <w:r>
              <w:rPr>
                <w:rFonts w:cs="Arial"/>
                <w:sz w:val="18"/>
              </w:rPr>
              <w:t>35</w:t>
            </w:r>
          </w:p>
        </w:tc>
      </w:tr>
      <w:tr>
        <w:trPr>
          <w:jc w:val="center"/>
        </w:trPr>
        <w:tc>
          <w:tcPr>
            <w:tcW w:w="4111" w:type="dxa"/>
          </w:tcPr>
          <w:p>
            <w:pPr>
              <w:pStyle w:val="GesAbsatz"/>
              <w:rPr>
                <w:rFonts w:cs="Arial"/>
                <w:sz w:val="18"/>
              </w:rPr>
            </w:pPr>
            <w:r>
              <w:rPr>
                <w:rFonts w:cs="Arial"/>
                <w:sz w:val="18"/>
              </w:rPr>
              <w:t>Jungschweine unter 50 kg</w:t>
            </w:r>
          </w:p>
        </w:tc>
        <w:tc>
          <w:tcPr>
            <w:tcW w:w="1702" w:type="dxa"/>
          </w:tcPr>
          <w:p>
            <w:pPr>
              <w:pStyle w:val="GesAbsatz"/>
              <w:tabs>
                <w:tab w:val="clear" w:pos="425"/>
                <w:tab w:val="decimal" w:pos="922"/>
              </w:tabs>
              <w:rPr>
                <w:rFonts w:cs="Arial"/>
                <w:sz w:val="18"/>
              </w:rPr>
            </w:pPr>
            <w:r>
              <w:rPr>
                <w:rFonts w:cs="Arial"/>
                <w:sz w:val="18"/>
              </w:rPr>
              <w:t>4,3</w:t>
            </w:r>
          </w:p>
        </w:tc>
        <w:tc>
          <w:tcPr>
            <w:tcW w:w="1558" w:type="dxa"/>
          </w:tcPr>
          <w:p>
            <w:pPr>
              <w:pStyle w:val="GesAbsatz"/>
              <w:tabs>
                <w:tab w:val="clear" w:pos="425"/>
                <w:tab w:val="decimal" w:pos="922"/>
              </w:tabs>
              <w:rPr>
                <w:rFonts w:cs="Arial"/>
                <w:sz w:val="18"/>
              </w:rPr>
            </w:pPr>
            <w:r>
              <w:rPr>
                <w:rFonts w:cs="Arial"/>
                <w:sz w:val="18"/>
              </w:rPr>
              <w:t>2,3</w:t>
            </w:r>
          </w:p>
        </w:tc>
      </w:tr>
      <w:tr>
        <w:trPr>
          <w:jc w:val="center"/>
        </w:trPr>
        <w:tc>
          <w:tcPr>
            <w:tcW w:w="4111" w:type="dxa"/>
          </w:tcPr>
          <w:p>
            <w:pPr>
              <w:pStyle w:val="GesAbsatz"/>
              <w:rPr>
                <w:rFonts w:cs="Arial"/>
                <w:sz w:val="18"/>
              </w:rPr>
            </w:pPr>
            <w:r>
              <w:rPr>
                <w:rFonts w:cs="Arial"/>
                <w:sz w:val="18"/>
              </w:rPr>
              <w:t>Mastschweine über 50 kg</w:t>
            </w:r>
          </w:p>
        </w:tc>
        <w:tc>
          <w:tcPr>
            <w:tcW w:w="1702" w:type="dxa"/>
          </w:tcPr>
          <w:p>
            <w:pPr>
              <w:pStyle w:val="GesAbsatz"/>
              <w:tabs>
                <w:tab w:val="clear" w:pos="425"/>
                <w:tab w:val="decimal" w:pos="922"/>
              </w:tabs>
              <w:rPr>
                <w:rFonts w:cs="Arial"/>
                <w:sz w:val="18"/>
              </w:rPr>
            </w:pPr>
            <w:r>
              <w:rPr>
                <w:rFonts w:cs="Arial"/>
                <w:sz w:val="18"/>
              </w:rPr>
              <w:t>13</w:t>
            </w:r>
          </w:p>
        </w:tc>
        <w:tc>
          <w:tcPr>
            <w:tcW w:w="1558" w:type="dxa"/>
          </w:tcPr>
          <w:p>
            <w:pPr>
              <w:pStyle w:val="GesAbsatz"/>
              <w:tabs>
                <w:tab w:val="clear" w:pos="425"/>
                <w:tab w:val="decimal" w:pos="922"/>
              </w:tabs>
              <w:rPr>
                <w:rFonts w:cs="Arial"/>
                <w:sz w:val="18"/>
              </w:rPr>
            </w:pPr>
            <w:r>
              <w:rPr>
                <w:rFonts w:cs="Arial"/>
                <w:sz w:val="18"/>
              </w:rPr>
              <w:t>6</w:t>
            </w:r>
          </w:p>
        </w:tc>
      </w:tr>
      <w:tr>
        <w:trPr>
          <w:jc w:val="center"/>
        </w:trPr>
        <w:tc>
          <w:tcPr>
            <w:tcW w:w="4111" w:type="dxa"/>
          </w:tcPr>
          <w:p>
            <w:pPr>
              <w:pStyle w:val="GesAbsatz"/>
              <w:rPr>
                <w:rFonts w:cs="Arial"/>
                <w:sz w:val="18"/>
              </w:rPr>
            </w:pPr>
            <w:r>
              <w:rPr>
                <w:rFonts w:cs="Arial"/>
                <w:sz w:val="18"/>
              </w:rPr>
              <w:t>Zuchtsauen</w:t>
            </w:r>
          </w:p>
        </w:tc>
        <w:tc>
          <w:tcPr>
            <w:tcW w:w="1702" w:type="dxa"/>
          </w:tcPr>
          <w:p>
            <w:pPr>
              <w:pStyle w:val="GesAbsatz"/>
              <w:tabs>
                <w:tab w:val="clear" w:pos="425"/>
                <w:tab w:val="decimal" w:pos="922"/>
              </w:tabs>
              <w:rPr>
                <w:rFonts w:cs="Arial"/>
                <w:sz w:val="18"/>
              </w:rPr>
            </w:pPr>
            <w:r>
              <w:rPr>
                <w:rFonts w:cs="Arial"/>
                <w:sz w:val="18"/>
              </w:rPr>
              <w:t>36</w:t>
            </w:r>
          </w:p>
        </w:tc>
        <w:tc>
          <w:tcPr>
            <w:tcW w:w="1558" w:type="dxa"/>
          </w:tcPr>
          <w:p>
            <w:pPr>
              <w:pStyle w:val="GesAbsatz"/>
              <w:tabs>
                <w:tab w:val="clear" w:pos="425"/>
                <w:tab w:val="decimal" w:pos="922"/>
              </w:tabs>
              <w:rPr>
                <w:rFonts w:cs="Arial"/>
                <w:sz w:val="18"/>
              </w:rPr>
            </w:pPr>
            <w:r>
              <w:rPr>
                <w:rFonts w:cs="Arial"/>
                <w:sz w:val="18"/>
              </w:rPr>
              <w:t>19</w:t>
            </w:r>
          </w:p>
        </w:tc>
      </w:tr>
      <w:tr>
        <w:trPr>
          <w:jc w:val="center"/>
        </w:trPr>
        <w:tc>
          <w:tcPr>
            <w:tcW w:w="4111" w:type="dxa"/>
          </w:tcPr>
          <w:p>
            <w:pPr>
              <w:pStyle w:val="GesAbsatz"/>
              <w:rPr>
                <w:rFonts w:cs="Arial"/>
                <w:sz w:val="18"/>
              </w:rPr>
            </w:pPr>
            <w:r>
              <w:rPr>
                <w:rFonts w:cs="Arial"/>
                <w:sz w:val="18"/>
              </w:rPr>
              <w:t>Eber</w:t>
            </w:r>
          </w:p>
        </w:tc>
        <w:tc>
          <w:tcPr>
            <w:tcW w:w="1702" w:type="dxa"/>
          </w:tcPr>
          <w:p>
            <w:pPr>
              <w:pStyle w:val="GesAbsatz"/>
              <w:tabs>
                <w:tab w:val="clear" w:pos="425"/>
                <w:tab w:val="decimal" w:pos="922"/>
              </w:tabs>
              <w:rPr>
                <w:rFonts w:cs="Arial"/>
                <w:sz w:val="18"/>
              </w:rPr>
            </w:pPr>
            <w:r>
              <w:rPr>
                <w:rFonts w:cs="Arial"/>
                <w:sz w:val="18"/>
              </w:rPr>
              <w:t>26</w:t>
            </w:r>
          </w:p>
        </w:tc>
        <w:tc>
          <w:tcPr>
            <w:tcW w:w="1558" w:type="dxa"/>
          </w:tcPr>
          <w:p>
            <w:pPr>
              <w:pStyle w:val="GesAbsatz"/>
              <w:tabs>
                <w:tab w:val="clear" w:pos="425"/>
                <w:tab w:val="decimal" w:pos="922"/>
              </w:tabs>
              <w:rPr>
                <w:rFonts w:cs="Arial"/>
                <w:sz w:val="18"/>
              </w:rPr>
            </w:pPr>
            <w:r>
              <w:rPr>
                <w:rFonts w:cs="Arial"/>
                <w:sz w:val="18"/>
              </w:rPr>
              <w:t>15</w:t>
            </w:r>
          </w:p>
        </w:tc>
      </w:tr>
      <w:tr>
        <w:trPr>
          <w:jc w:val="center"/>
        </w:trPr>
        <w:tc>
          <w:tcPr>
            <w:tcW w:w="4111" w:type="dxa"/>
          </w:tcPr>
          <w:p>
            <w:pPr>
              <w:pStyle w:val="GesAbsatz"/>
              <w:rPr>
                <w:rFonts w:cs="Arial"/>
                <w:sz w:val="18"/>
              </w:rPr>
            </w:pPr>
            <w:r>
              <w:rPr>
                <w:rFonts w:cs="Arial"/>
                <w:sz w:val="18"/>
              </w:rPr>
              <w:t>Mutterschafe</w:t>
            </w:r>
          </w:p>
        </w:tc>
        <w:tc>
          <w:tcPr>
            <w:tcW w:w="1702" w:type="dxa"/>
          </w:tcPr>
          <w:p>
            <w:pPr>
              <w:pStyle w:val="GesAbsatz"/>
              <w:tabs>
                <w:tab w:val="clear" w:pos="425"/>
                <w:tab w:val="decimal" w:pos="922"/>
              </w:tabs>
              <w:rPr>
                <w:rFonts w:cs="Arial"/>
                <w:sz w:val="18"/>
              </w:rPr>
            </w:pPr>
            <w:r>
              <w:rPr>
                <w:rFonts w:cs="Arial"/>
                <w:sz w:val="18"/>
              </w:rPr>
              <w:t>19</w:t>
            </w:r>
          </w:p>
        </w:tc>
        <w:tc>
          <w:tcPr>
            <w:tcW w:w="1558" w:type="dxa"/>
          </w:tcPr>
          <w:p>
            <w:pPr>
              <w:pStyle w:val="GesAbsatz"/>
              <w:tabs>
                <w:tab w:val="clear" w:pos="425"/>
                <w:tab w:val="decimal" w:pos="922"/>
              </w:tabs>
              <w:rPr>
                <w:rFonts w:cs="Arial"/>
                <w:sz w:val="18"/>
              </w:rPr>
            </w:pPr>
            <w:r>
              <w:rPr>
                <w:rFonts w:cs="Arial"/>
                <w:sz w:val="18"/>
              </w:rPr>
              <w:t>6</w:t>
            </w:r>
          </w:p>
        </w:tc>
      </w:tr>
      <w:tr>
        <w:trPr>
          <w:jc w:val="center"/>
        </w:trPr>
        <w:tc>
          <w:tcPr>
            <w:tcW w:w="4111" w:type="dxa"/>
          </w:tcPr>
          <w:p>
            <w:pPr>
              <w:pStyle w:val="GesAbsatz"/>
              <w:rPr>
                <w:rFonts w:cs="Arial"/>
                <w:sz w:val="18"/>
              </w:rPr>
            </w:pPr>
            <w:r>
              <w:rPr>
                <w:rFonts w:cs="Arial"/>
                <w:sz w:val="18"/>
              </w:rPr>
              <w:t>andere Schafe</w:t>
            </w:r>
          </w:p>
        </w:tc>
        <w:tc>
          <w:tcPr>
            <w:tcW w:w="1702" w:type="dxa"/>
          </w:tcPr>
          <w:p>
            <w:pPr>
              <w:pStyle w:val="GesAbsatz"/>
              <w:tabs>
                <w:tab w:val="clear" w:pos="425"/>
                <w:tab w:val="decimal" w:pos="922"/>
              </w:tabs>
              <w:rPr>
                <w:rFonts w:cs="Arial"/>
                <w:sz w:val="18"/>
              </w:rPr>
            </w:pPr>
            <w:r>
              <w:rPr>
                <w:rFonts w:cs="Arial"/>
                <w:sz w:val="18"/>
              </w:rPr>
              <w:t>12,7</w:t>
            </w:r>
          </w:p>
        </w:tc>
        <w:tc>
          <w:tcPr>
            <w:tcW w:w="1558" w:type="dxa"/>
          </w:tcPr>
          <w:p>
            <w:pPr>
              <w:pStyle w:val="GesAbsatz"/>
              <w:tabs>
                <w:tab w:val="clear" w:pos="425"/>
                <w:tab w:val="decimal" w:pos="922"/>
              </w:tabs>
              <w:rPr>
                <w:rFonts w:cs="Arial"/>
                <w:sz w:val="18"/>
              </w:rPr>
            </w:pPr>
            <w:r>
              <w:rPr>
                <w:rFonts w:cs="Arial"/>
                <w:sz w:val="18"/>
              </w:rPr>
              <w:t>4</w:t>
            </w:r>
          </w:p>
        </w:tc>
      </w:tr>
      <w:tr>
        <w:trPr>
          <w:jc w:val="center"/>
        </w:trPr>
        <w:tc>
          <w:tcPr>
            <w:tcW w:w="4111" w:type="dxa"/>
          </w:tcPr>
          <w:p>
            <w:pPr>
              <w:pStyle w:val="GesAbsatz"/>
              <w:rPr>
                <w:rFonts w:cs="Arial"/>
                <w:sz w:val="18"/>
              </w:rPr>
            </w:pPr>
            <w:r>
              <w:rPr>
                <w:rFonts w:cs="Arial"/>
                <w:sz w:val="18"/>
              </w:rPr>
              <w:t>Ponys und Pferde unter 1 Jahr</w:t>
            </w:r>
          </w:p>
        </w:tc>
        <w:tc>
          <w:tcPr>
            <w:tcW w:w="1702" w:type="dxa"/>
          </w:tcPr>
          <w:p>
            <w:pPr>
              <w:pStyle w:val="GesAbsatz"/>
              <w:tabs>
                <w:tab w:val="clear" w:pos="425"/>
                <w:tab w:val="decimal" w:pos="922"/>
              </w:tabs>
              <w:rPr>
                <w:rFonts w:cs="Arial"/>
                <w:sz w:val="18"/>
              </w:rPr>
            </w:pPr>
            <w:r>
              <w:rPr>
                <w:rFonts w:cs="Arial"/>
                <w:sz w:val="18"/>
              </w:rPr>
              <w:t>53</w:t>
            </w:r>
          </w:p>
        </w:tc>
        <w:tc>
          <w:tcPr>
            <w:tcW w:w="1558" w:type="dxa"/>
          </w:tcPr>
          <w:p>
            <w:pPr>
              <w:pStyle w:val="GesAbsatz"/>
              <w:tabs>
                <w:tab w:val="clear" w:pos="425"/>
                <w:tab w:val="decimal" w:pos="922"/>
              </w:tabs>
              <w:rPr>
                <w:rFonts w:cs="Arial"/>
                <w:sz w:val="18"/>
              </w:rPr>
            </w:pPr>
            <w:r>
              <w:rPr>
                <w:rFonts w:cs="Arial"/>
                <w:sz w:val="18"/>
              </w:rPr>
              <w:t>20</w:t>
            </w:r>
          </w:p>
        </w:tc>
      </w:tr>
      <w:tr>
        <w:trPr>
          <w:jc w:val="center"/>
        </w:trPr>
        <w:tc>
          <w:tcPr>
            <w:tcW w:w="4111" w:type="dxa"/>
          </w:tcPr>
          <w:p>
            <w:pPr>
              <w:pStyle w:val="GesAbsatz"/>
              <w:rPr>
                <w:rFonts w:cs="Arial"/>
                <w:sz w:val="18"/>
              </w:rPr>
            </w:pPr>
            <w:r>
              <w:rPr>
                <w:rFonts w:cs="Arial"/>
                <w:sz w:val="18"/>
              </w:rPr>
              <w:t>Pferde über 1 Jahr</w:t>
            </w:r>
          </w:p>
        </w:tc>
        <w:tc>
          <w:tcPr>
            <w:tcW w:w="1702" w:type="dxa"/>
          </w:tcPr>
          <w:p>
            <w:pPr>
              <w:pStyle w:val="GesAbsatz"/>
              <w:tabs>
                <w:tab w:val="clear" w:pos="425"/>
                <w:tab w:val="decimal" w:pos="922"/>
              </w:tabs>
              <w:rPr>
                <w:rFonts w:cs="Arial"/>
                <w:sz w:val="18"/>
              </w:rPr>
            </w:pPr>
            <w:r>
              <w:rPr>
                <w:rFonts w:cs="Arial"/>
                <w:sz w:val="18"/>
              </w:rPr>
              <w:t>70</w:t>
            </w:r>
          </w:p>
        </w:tc>
        <w:tc>
          <w:tcPr>
            <w:tcW w:w="1558" w:type="dxa"/>
          </w:tcPr>
          <w:p>
            <w:pPr>
              <w:pStyle w:val="GesAbsatz"/>
              <w:tabs>
                <w:tab w:val="clear" w:pos="425"/>
                <w:tab w:val="decimal" w:pos="922"/>
              </w:tabs>
              <w:rPr>
                <w:rFonts w:cs="Arial"/>
                <w:sz w:val="18"/>
              </w:rPr>
            </w:pPr>
            <w:r>
              <w:rPr>
                <w:rFonts w:cs="Arial"/>
                <w:sz w:val="18"/>
              </w:rPr>
              <w:t>30</w:t>
            </w:r>
          </w:p>
        </w:tc>
      </w:tr>
      <w:tr>
        <w:trPr>
          <w:jc w:val="center"/>
        </w:trPr>
        <w:tc>
          <w:tcPr>
            <w:tcW w:w="4111" w:type="dxa"/>
          </w:tcPr>
          <w:p>
            <w:pPr>
              <w:pStyle w:val="GesAbsatz"/>
              <w:rPr>
                <w:rFonts w:cs="Arial"/>
                <w:sz w:val="18"/>
              </w:rPr>
            </w:pPr>
            <w:r>
              <w:rPr>
                <w:rFonts w:cs="Arial"/>
                <w:sz w:val="18"/>
              </w:rPr>
              <w:t>Junghennen unter 1/2 Jahr</w:t>
            </w:r>
          </w:p>
        </w:tc>
        <w:tc>
          <w:tcPr>
            <w:tcW w:w="1702" w:type="dxa"/>
          </w:tcPr>
          <w:p>
            <w:pPr>
              <w:pStyle w:val="GesAbsatz"/>
              <w:tabs>
                <w:tab w:val="clear" w:pos="425"/>
                <w:tab w:val="decimal" w:pos="922"/>
              </w:tabs>
              <w:rPr>
                <w:rFonts w:cs="Arial"/>
                <w:sz w:val="18"/>
              </w:rPr>
            </w:pPr>
            <w:r>
              <w:rPr>
                <w:rFonts w:cs="Arial"/>
                <w:sz w:val="18"/>
              </w:rPr>
              <w:t>0,28</w:t>
            </w:r>
          </w:p>
        </w:tc>
        <w:tc>
          <w:tcPr>
            <w:tcW w:w="1558" w:type="dxa"/>
          </w:tcPr>
          <w:p>
            <w:pPr>
              <w:pStyle w:val="GesAbsatz"/>
              <w:tabs>
                <w:tab w:val="clear" w:pos="425"/>
                <w:tab w:val="decimal" w:pos="922"/>
              </w:tabs>
              <w:rPr>
                <w:rFonts w:cs="Arial"/>
                <w:sz w:val="18"/>
              </w:rPr>
            </w:pPr>
            <w:r>
              <w:rPr>
                <w:rFonts w:cs="Arial"/>
                <w:sz w:val="18"/>
              </w:rPr>
              <w:t>0,16</w:t>
            </w:r>
          </w:p>
        </w:tc>
      </w:tr>
      <w:tr>
        <w:trPr>
          <w:jc w:val="center"/>
        </w:trPr>
        <w:tc>
          <w:tcPr>
            <w:tcW w:w="4111" w:type="dxa"/>
          </w:tcPr>
          <w:p>
            <w:pPr>
              <w:pStyle w:val="GesAbsatz"/>
              <w:rPr>
                <w:rFonts w:cs="Arial"/>
                <w:sz w:val="18"/>
              </w:rPr>
            </w:pPr>
            <w:r>
              <w:rPr>
                <w:rFonts w:cs="Arial"/>
                <w:sz w:val="18"/>
              </w:rPr>
              <w:t>Legehennen 1/2 Jahr und älter</w:t>
            </w:r>
          </w:p>
        </w:tc>
        <w:tc>
          <w:tcPr>
            <w:tcW w:w="1702" w:type="dxa"/>
          </w:tcPr>
          <w:p>
            <w:pPr>
              <w:pStyle w:val="GesAbsatz"/>
              <w:tabs>
                <w:tab w:val="clear" w:pos="425"/>
                <w:tab w:val="decimal" w:pos="922"/>
              </w:tabs>
              <w:rPr>
                <w:rFonts w:cs="Arial"/>
                <w:sz w:val="18"/>
              </w:rPr>
            </w:pPr>
            <w:r>
              <w:rPr>
                <w:rFonts w:cs="Arial"/>
                <w:sz w:val="18"/>
              </w:rPr>
              <w:t>0,89</w:t>
            </w:r>
          </w:p>
        </w:tc>
        <w:tc>
          <w:tcPr>
            <w:tcW w:w="1558" w:type="dxa"/>
          </w:tcPr>
          <w:p>
            <w:pPr>
              <w:pStyle w:val="GesAbsatz"/>
              <w:tabs>
                <w:tab w:val="clear" w:pos="425"/>
                <w:tab w:val="decimal" w:pos="922"/>
              </w:tabs>
              <w:rPr>
                <w:rFonts w:cs="Arial"/>
                <w:sz w:val="18"/>
              </w:rPr>
            </w:pPr>
            <w:r>
              <w:rPr>
                <w:rFonts w:cs="Arial"/>
                <w:sz w:val="18"/>
              </w:rPr>
              <w:t>0,49</w:t>
            </w:r>
          </w:p>
        </w:tc>
      </w:tr>
      <w:tr>
        <w:trPr>
          <w:jc w:val="center"/>
        </w:trPr>
        <w:tc>
          <w:tcPr>
            <w:tcW w:w="4111" w:type="dxa"/>
          </w:tcPr>
          <w:p>
            <w:pPr>
              <w:pStyle w:val="GesAbsatz"/>
              <w:rPr>
                <w:rFonts w:cs="Arial"/>
                <w:sz w:val="18"/>
              </w:rPr>
            </w:pPr>
            <w:r>
              <w:rPr>
                <w:rFonts w:cs="Arial"/>
                <w:sz w:val="18"/>
              </w:rPr>
              <w:t>Masthühner</w:t>
            </w:r>
          </w:p>
        </w:tc>
        <w:tc>
          <w:tcPr>
            <w:tcW w:w="1702" w:type="dxa"/>
          </w:tcPr>
          <w:p>
            <w:pPr>
              <w:pStyle w:val="GesAbsatz"/>
              <w:tabs>
                <w:tab w:val="clear" w:pos="425"/>
                <w:tab w:val="decimal" w:pos="922"/>
              </w:tabs>
              <w:rPr>
                <w:rFonts w:cs="Arial"/>
                <w:sz w:val="18"/>
              </w:rPr>
            </w:pPr>
            <w:r>
              <w:rPr>
                <w:rFonts w:cs="Arial"/>
                <w:sz w:val="18"/>
              </w:rPr>
              <w:t>0,29</w:t>
            </w:r>
          </w:p>
        </w:tc>
        <w:tc>
          <w:tcPr>
            <w:tcW w:w="1558" w:type="dxa"/>
          </w:tcPr>
          <w:p>
            <w:pPr>
              <w:pStyle w:val="GesAbsatz"/>
              <w:tabs>
                <w:tab w:val="clear" w:pos="425"/>
                <w:tab w:val="decimal" w:pos="922"/>
              </w:tabs>
              <w:rPr>
                <w:rFonts w:cs="Arial"/>
                <w:sz w:val="18"/>
              </w:rPr>
            </w:pPr>
            <w:r>
              <w:rPr>
                <w:rFonts w:cs="Arial"/>
                <w:sz w:val="18"/>
              </w:rPr>
              <w:t>0,16</w:t>
            </w:r>
          </w:p>
        </w:tc>
      </w:tr>
      <w:tr>
        <w:trPr>
          <w:jc w:val="center"/>
        </w:trPr>
        <w:tc>
          <w:tcPr>
            <w:tcW w:w="4111" w:type="dxa"/>
          </w:tcPr>
          <w:p>
            <w:pPr>
              <w:pStyle w:val="GesAbsatz"/>
              <w:rPr>
                <w:rFonts w:cs="Arial"/>
                <w:sz w:val="18"/>
              </w:rPr>
            </w:pPr>
            <w:r>
              <w:rPr>
                <w:rFonts w:cs="Arial"/>
                <w:sz w:val="18"/>
              </w:rPr>
              <w:t>Gänse</w:t>
            </w:r>
          </w:p>
        </w:tc>
        <w:tc>
          <w:tcPr>
            <w:tcW w:w="1702" w:type="dxa"/>
          </w:tcPr>
          <w:p>
            <w:pPr>
              <w:pStyle w:val="GesAbsatz"/>
              <w:tabs>
                <w:tab w:val="clear" w:pos="425"/>
                <w:tab w:val="decimal" w:pos="922"/>
              </w:tabs>
              <w:rPr>
                <w:rFonts w:cs="Arial"/>
                <w:sz w:val="18"/>
              </w:rPr>
            </w:pPr>
            <w:r>
              <w:rPr>
                <w:rFonts w:cs="Arial"/>
                <w:sz w:val="18"/>
              </w:rPr>
              <w:t>1,12</w:t>
            </w:r>
          </w:p>
        </w:tc>
        <w:tc>
          <w:tcPr>
            <w:tcW w:w="1558" w:type="dxa"/>
          </w:tcPr>
          <w:p>
            <w:pPr>
              <w:pStyle w:val="GesAbsatz"/>
              <w:tabs>
                <w:tab w:val="clear" w:pos="425"/>
                <w:tab w:val="decimal" w:pos="922"/>
              </w:tabs>
              <w:rPr>
                <w:rFonts w:cs="Arial"/>
                <w:sz w:val="18"/>
              </w:rPr>
            </w:pPr>
            <w:r>
              <w:rPr>
                <w:rFonts w:cs="Arial"/>
                <w:sz w:val="18"/>
              </w:rPr>
              <w:t>0,44</w:t>
            </w:r>
          </w:p>
        </w:tc>
      </w:tr>
      <w:tr>
        <w:trPr>
          <w:jc w:val="center"/>
        </w:trPr>
        <w:tc>
          <w:tcPr>
            <w:tcW w:w="4111" w:type="dxa"/>
          </w:tcPr>
          <w:p>
            <w:pPr>
              <w:pStyle w:val="GesAbsatz"/>
              <w:rPr>
                <w:rFonts w:cs="Arial"/>
                <w:sz w:val="18"/>
              </w:rPr>
            </w:pPr>
            <w:r>
              <w:rPr>
                <w:rFonts w:cs="Arial"/>
                <w:sz w:val="18"/>
              </w:rPr>
              <w:t>Enten</w:t>
            </w:r>
          </w:p>
        </w:tc>
        <w:tc>
          <w:tcPr>
            <w:tcW w:w="1702" w:type="dxa"/>
          </w:tcPr>
          <w:p>
            <w:pPr>
              <w:pStyle w:val="GesAbsatz"/>
              <w:tabs>
                <w:tab w:val="clear" w:pos="425"/>
                <w:tab w:val="decimal" w:pos="922"/>
              </w:tabs>
              <w:rPr>
                <w:rFonts w:cs="Arial"/>
                <w:sz w:val="18"/>
              </w:rPr>
            </w:pPr>
            <w:r>
              <w:rPr>
                <w:rFonts w:cs="Arial"/>
                <w:sz w:val="18"/>
              </w:rPr>
              <w:t>0,65</w:t>
            </w:r>
          </w:p>
        </w:tc>
        <w:tc>
          <w:tcPr>
            <w:tcW w:w="1558" w:type="dxa"/>
          </w:tcPr>
          <w:p>
            <w:pPr>
              <w:pStyle w:val="GesAbsatz"/>
              <w:tabs>
                <w:tab w:val="clear" w:pos="425"/>
                <w:tab w:val="decimal" w:pos="922"/>
              </w:tabs>
              <w:rPr>
                <w:rFonts w:cs="Arial"/>
                <w:sz w:val="18"/>
              </w:rPr>
            </w:pPr>
            <w:r>
              <w:rPr>
                <w:rFonts w:cs="Arial"/>
                <w:sz w:val="18"/>
              </w:rPr>
              <w:t>0,37</w:t>
            </w:r>
          </w:p>
        </w:tc>
      </w:tr>
      <w:tr>
        <w:trPr>
          <w:jc w:val="center"/>
        </w:trPr>
        <w:tc>
          <w:tcPr>
            <w:tcW w:w="4111" w:type="dxa"/>
          </w:tcPr>
          <w:p>
            <w:pPr>
              <w:pStyle w:val="GesAbsatz"/>
              <w:rPr>
                <w:rFonts w:cs="Arial"/>
                <w:sz w:val="18"/>
              </w:rPr>
            </w:pPr>
            <w:r>
              <w:rPr>
                <w:rFonts w:cs="Arial"/>
                <w:sz w:val="18"/>
              </w:rPr>
              <w:lastRenderedPageBreak/>
              <w:t>Truthühner</w:t>
            </w:r>
          </w:p>
        </w:tc>
        <w:tc>
          <w:tcPr>
            <w:tcW w:w="1702" w:type="dxa"/>
          </w:tcPr>
          <w:p>
            <w:pPr>
              <w:pStyle w:val="GesAbsatz"/>
              <w:tabs>
                <w:tab w:val="clear" w:pos="425"/>
                <w:tab w:val="decimal" w:pos="922"/>
              </w:tabs>
              <w:rPr>
                <w:rFonts w:cs="Arial"/>
                <w:sz w:val="18"/>
              </w:rPr>
            </w:pPr>
            <w:r>
              <w:rPr>
                <w:rFonts w:cs="Arial"/>
                <w:sz w:val="18"/>
              </w:rPr>
              <w:t>1,64</w:t>
            </w:r>
          </w:p>
        </w:tc>
        <w:tc>
          <w:tcPr>
            <w:tcW w:w="1558" w:type="dxa"/>
          </w:tcPr>
          <w:p>
            <w:pPr>
              <w:pStyle w:val="GesAbsatz"/>
              <w:tabs>
                <w:tab w:val="clear" w:pos="425"/>
                <w:tab w:val="decimal" w:pos="922"/>
              </w:tabs>
              <w:rPr>
                <w:rFonts w:cs="Arial"/>
                <w:sz w:val="18"/>
              </w:rPr>
            </w:pPr>
            <w:r>
              <w:rPr>
                <w:rFonts w:cs="Arial"/>
                <w:sz w:val="18"/>
              </w:rPr>
              <w:t>0,81</w:t>
            </w:r>
          </w:p>
        </w:tc>
      </w:tr>
    </w:tbl>
    <w:p>
      <w:pPr>
        <w:pStyle w:val="GesAbsatz"/>
        <w:rPr>
          <w:rFonts w:cs="Arial"/>
        </w:rPr>
      </w:pPr>
    </w:p>
    <w:p>
      <w:pPr>
        <w:pStyle w:val="GesAbsatz"/>
        <w:rPr>
          <w:rFonts w:cs="Arial"/>
          <w:b/>
          <w:bCs/>
        </w:rPr>
      </w:pPr>
      <w:r>
        <w:rPr>
          <w:rFonts w:cs="Arial"/>
          <w:b/>
          <w:bCs/>
        </w:rPr>
        <w:br w:type="page"/>
      </w:r>
      <w:r>
        <w:rPr>
          <w:rFonts w:cs="Arial"/>
          <w:b/>
          <w:bCs/>
        </w:rPr>
        <w:lastRenderedPageBreak/>
        <w:t>Nährstoffe</w:t>
      </w:r>
    </w:p>
    <w:p>
      <w:pPr>
        <w:pStyle w:val="GesAbsatz"/>
        <w:rPr>
          <w:rFonts w:cs="Arial"/>
        </w:rPr>
      </w:pPr>
      <w:r>
        <w:rPr>
          <w:rFonts w:cs="Arial"/>
        </w:rPr>
        <w:t>Die Nährstoffausscheidungen je Tier bzw. Stallplatz und Jahr für N und P</w:t>
      </w:r>
      <w:r>
        <w:rPr>
          <w:rFonts w:cs="Arial"/>
          <w:vertAlign w:val="subscript"/>
        </w:rPr>
        <w:t>2</w:t>
      </w:r>
      <w:r>
        <w:rPr>
          <w:rFonts w:cs="Arial"/>
        </w:rPr>
        <w:t>O</w:t>
      </w:r>
      <w:r>
        <w:rPr>
          <w:rFonts w:cs="Arial"/>
          <w:vertAlign w:val="subscript"/>
        </w:rPr>
        <w:t>5</w:t>
      </w:r>
      <w:r>
        <w:rPr>
          <w:rFonts w:cs="Arial"/>
        </w:rPr>
        <w:t xml:space="preserve"> wurden dem „Leitfaden zur sachgerechten Düngung“ (Landesanstalt für Pflanzenbau und Pflanzenschutz Mainz, 1998) bzw. den Faustzahlen (1993) entnommen. Diese Werte wurden tierartspezifisch mit den Angaben zu den Viehbeständen verrechnet (Tabelle 7).</w:t>
      </w:r>
    </w:p>
    <w:p>
      <w:pPr>
        <w:pStyle w:val="GesAbsatz"/>
        <w:rPr>
          <w:rFonts w:eastAsia="Arial Unicode MS" w:cs="Arial"/>
          <w:szCs w:val="24"/>
        </w:rPr>
      </w:pPr>
      <w:r>
        <w:rPr>
          <w:rFonts w:cs="Arial"/>
        </w:rPr>
        <w:t>Die errechneten N-Ausscheidungen stellen zunächst Bruttoausscheidungen dar, von denen die gasförmigen N-Verluste im Stall und während der Lagerung abzuziehen sind. Diese N-Verluste, die größtenteils in Form von NH</w:t>
      </w:r>
      <w:r>
        <w:rPr>
          <w:rFonts w:cs="Arial"/>
          <w:vertAlign w:val="subscript"/>
        </w:rPr>
        <w:t>3</w:t>
      </w:r>
      <w:r>
        <w:rPr>
          <w:rFonts w:cs="Arial"/>
        </w:rPr>
        <w:t xml:space="preserve"> entweichen, wurden nach Isermann (1990) mit 18 kg NH</w:t>
      </w:r>
      <w:r>
        <w:rPr>
          <w:rFonts w:cs="Arial"/>
          <w:vertAlign w:val="subscript"/>
        </w:rPr>
        <w:t>3</w:t>
      </w:r>
      <w:r>
        <w:rPr>
          <w:rFonts w:cs="Arial"/>
        </w:rPr>
        <w:t>-N/GV*a angesetzt. Dies entspricht etwa 20 % des Gesamt-N.</w:t>
      </w:r>
    </w:p>
    <w:p>
      <w:pPr>
        <w:pStyle w:val="GesAbsatz"/>
        <w:rPr>
          <w:rFonts w:cs="Arial"/>
          <w:b/>
          <w:bCs/>
        </w:rPr>
      </w:pPr>
      <w:r>
        <w:rPr>
          <w:rFonts w:cs="Arial"/>
          <w:b/>
          <w:bCs/>
        </w:rPr>
        <w:t>Tabelle 8: Schwermetallgehalte von Wirtschaftsdüngern, mg/kg 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5"/>
        <w:gridCol w:w="950"/>
        <w:gridCol w:w="993"/>
        <w:gridCol w:w="850"/>
        <w:gridCol w:w="852"/>
      </w:tblGrid>
      <w:tr>
        <w:trPr>
          <w:jc w:val="center"/>
        </w:trPr>
        <w:tc>
          <w:tcPr>
            <w:tcW w:w="1955" w:type="dxa"/>
          </w:tcPr>
          <w:p>
            <w:pPr>
              <w:pStyle w:val="GesAbsatz"/>
              <w:rPr>
                <w:rFonts w:eastAsia="Arial Unicode MS" w:cs="Arial"/>
                <w:sz w:val="18"/>
                <w:szCs w:val="24"/>
              </w:rPr>
            </w:pPr>
          </w:p>
        </w:tc>
        <w:tc>
          <w:tcPr>
            <w:tcW w:w="950" w:type="dxa"/>
          </w:tcPr>
          <w:p>
            <w:pPr>
              <w:pStyle w:val="GesAbsatz"/>
              <w:rPr>
                <w:rFonts w:eastAsia="Arial Unicode MS" w:cs="Arial"/>
                <w:sz w:val="18"/>
                <w:szCs w:val="24"/>
                <w:lang w:val="fr-FR"/>
              </w:rPr>
            </w:pPr>
            <w:r>
              <w:rPr>
                <w:rFonts w:cs="Arial"/>
                <w:b/>
                <w:bCs/>
                <w:sz w:val="18"/>
                <w:lang w:val="fr-FR"/>
              </w:rPr>
              <w:t>Cd</w:t>
            </w:r>
            <w:r>
              <w:rPr>
                <w:rFonts w:cs="Arial"/>
                <w:b/>
                <w:bCs/>
                <w:sz w:val="18"/>
                <w:vertAlign w:val="superscript"/>
                <w:lang w:val="fr-FR"/>
              </w:rPr>
              <w:t>1</w:t>
            </w:r>
          </w:p>
        </w:tc>
        <w:tc>
          <w:tcPr>
            <w:tcW w:w="993" w:type="dxa"/>
          </w:tcPr>
          <w:p>
            <w:pPr>
              <w:pStyle w:val="GesAbsatz"/>
              <w:rPr>
                <w:rFonts w:eastAsia="Arial Unicode MS" w:cs="Arial"/>
                <w:sz w:val="18"/>
                <w:szCs w:val="24"/>
                <w:lang w:val="fr-FR"/>
              </w:rPr>
            </w:pPr>
            <w:r>
              <w:rPr>
                <w:rFonts w:cs="Arial"/>
                <w:b/>
                <w:bCs/>
                <w:sz w:val="18"/>
                <w:lang w:val="fr-FR"/>
              </w:rPr>
              <w:t>Cu</w:t>
            </w:r>
            <w:r>
              <w:rPr>
                <w:rFonts w:cs="Arial"/>
                <w:b/>
                <w:bCs/>
                <w:sz w:val="18"/>
                <w:vertAlign w:val="superscript"/>
                <w:lang w:val="fr-FR"/>
              </w:rPr>
              <w:t>2,3</w:t>
            </w:r>
          </w:p>
        </w:tc>
        <w:tc>
          <w:tcPr>
            <w:tcW w:w="850" w:type="dxa"/>
          </w:tcPr>
          <w:p>
            <w:pPr>
              <w:pStyle w:val="GesAbsatz"/>
              <w:rPr>
                <w:rFonts w:eastAsia="Arial Unicode MS" w:cs="Arial"/>
                <w:sz w:val="18"/>
                <w:szCs w:val="24"/>
                <w:lang w:val="fr-FR"/>
              </w:rPr>
            </w:pPr>
            <w:r>
              <w:rPr>
                <w:rFonts w:cs="Arial"/>
                <w:b/>
                <w:bCs/>
                <w:sz w:val="18"/>
                <w:lang w:val="fr-FR"/>
              </w:rPr>
              <w:t>Pb</w:t>
            </w:r>
            <w:r>
              <w:rPr>
                <w:rFonts w:cs="Arial"/>
                <w:b/>
                <w:bCs/>
                <w:sz w:val="18"/>
                <w:vertAlign w:val="superscript"/>
                <w:lang w:val="fr-FR"/>
              </w:rPr>
              <w:t>1</w:t>
            </w:r>
          </w:p>
        </w:tc>
        <w:tc>
          <w:tcPr>
            <w:tcW w:w="852" w:type="dxa"/>
          </w:tcPr>
          <w:p>
            <w:pPr>
              <w:pStyle w:val="GesAbsatz"/>
              <w:rPr>
                <w:rFonts w:eastAsia="Arial Unicode MS" w:cs="Arial"/>
                <w:sz w:val="18"/>
                <w:szCs w:val="24"/>
              </w:rPr>
            </w:pPr>
            <w:r>
              <w:rPr>
                <w:rFonts w:cs="Arial"/>
                <w:b/>
                <w:bCs/>
                <w:sz w:val="18"/>
              </w:rPr>
              <w:t>Zn</w:t>
            </w:r>
            <w:r>
              <w:rPr>
                <w:rFonts w:cs="Arial"/>
                <w:b/>
                <w:bCs/>
                <w:sz w:val="18"/>
                <w:vertAlign w:val="superscript"/>
              </w:rPr>
              <w:t>1</w:t>
            </w:r>
          </w:p>
        </w:tc>
      </w:tr>
      <w:tr>
        <w:trPr>
          <w:jc w:val="center"/>
        </w:trPr>
        <w:tc>
          <w:tcPr>
            <w:tcW w:w="1955" w:type="dxa"/>
          </w:tcPr>
          <w:p>
            <w:pPr>
              <w:pStyle w:val="GesAbsatz"/>
              <w:rPr>
                <w:rFonts w:eastAsia="Arial Unicode MS" w:cs="Arial"/>
                <w:sz w:val="18"/>
                <w:szCs w:val="24"/>
              </w:rPr>
            </w:pPr>
            <w:r>
              <w:rPr>
                <w:rFonts w:cs="Arial"/>
                <w:sz w:val="18"/>
              </w:rPr>
              <w:t>Rindergülle</w:t>
            </w:r>
          </w:p>
        </w:tc>
        <w:tc>
          <w:tcPr>
            <w:tcW w:w="950" w:type="dxa"/>
          </w:tcPr>
          <w:p>
            <w:pPr>
              <w:pStyle w:val="GesAbsatz"/>
              <w:rPr>
                <w:rFonts w:cs="Arial"/>
                <w:b/>
                <w:bCs/>
                <w:sz w:val="18"/>
              </w:rPr>
            </w:pPr>
            <w:r>
              <w:rPr>
                <w:rFonts w:cs="Arial"/>
                <w:sz w:val="18"/>
              </w:rPr>
              <w:t>0,45</w:t>
            </w:r>
          </w:p>
        </w:tc>
        <w:tc>
          <w:tcPr>
            <w:tcW w:w="993" w:type="dxa"/>
          </w:tcPr>
          <w:p>
            <w:pPr>
              <w:pStyle w:val="GesAbsatz"/>
              <w:rPr>
                <w:rFonts w:cs="Arial"/>
                <w:b/>
                <w:bCs/>
                <w:sz w:val="18"/>
              </w:rPr>
            </w:pPr>
            <w:r>
              <w:rPr>
                <w:rFonts w:cs="Arial"/>
                <w:sz w:val="18"/>
              </w:rPr>
              <w:t>50</w:t>
            </w:r>
          </w:p>
        </w:tc>
        <w:tc>
          <w:tcPr>
            <w:tcW w:w="850" w:type="dxa"/>
          </w:tcPr>
          <w:p>
            <w:pPr>
              <w:pStyle w:val="GesAbsatz"/>
              <w:rPr>
                <w:rFonts w:cs="Arial"/>
                <w:b/>
                <w:bCs/>
                <w:sz w:val="18"/>
              </w:rPr>
            </w:pPr>
            <w:r>
              <w:rPr>
                <w:rFonts w:cs="Arial"/>
                <w:sz w:val="18"/>
              </w:rPr>
              <w:t>9</w:t>
            </w:r>
          </w:p>
        </w:tc>
        <w:tc>
          <w:tcPr>
            <w:tcW w:w="852" w:type="dxa"/>
          </w:tcPr>
          <w:p>
            <w:pPr>
              <w:pStyle w:val="GesAbsatz"/>
              <w:rPr>
                <w:rFonts w:cs="Arial"/>
                <w:b/>
                <w:bCs/>
                <w:sz w:val="18"/>
              </w:rPr>
            </w:pPr>
            <w:r>
              <w:rPr>
                <w:rFonts w:cs="Arial"/>
                <w:sz w:val="18"/>
              </w:rPr>
              <w:t>220</w:t>
            </w:r>
          </w:p>
        </w:tc>
      </w:tr>
      <w:tr>
        <w:trPr>
          <w:jc w:val="center"/>
        </w:trPr>
        <w:tc>
          <w:tcPr>
            <w:tcW w:w="1955" w:type="dxa"/>
          </w:tcPr>
          <w:p>
            <w:pPr>
              <w:pStyle w:val="GesAbsatz"/>
              <w:rPr>
                <w:rFonts w:cs="Arial"/>
                <w:sz w:val="18"/>
              </w:rPr>
            </w:pPr>
            <w:r>
              <w:rPr>
                <w:rFonts w:cs="Arial"/>
                <w:sz w:val="18"/>
              </w:rPr>
              <w:t>Schweinegülle</w:t>
            </w:r>
          </w:p>
        </w:tc>
        <w:tc>
          <w:tcPr>
            <w:tcW w:w="950" w:type="dxa"/>
          </w:tcPr>
          <w:p>
            <w:pPr>
              <w:pStyle w:val="GesAbsatz"/>
              <w:rPr>
                <w:rFonts w:cs="Arial"/>
                <w:sz w:val="18"/>
              </w:rPr>
            </w:pPr>
            <w:r>
              <w:rPr>
                <w:rFonts w:cs="Arial"/>
                <w:sz w:val="18"/>
              </w:rPr>
              <w:t>0,7</w:t>
            </w:r>
          </w:p>
        </w:tc>
        <w:tc>
          <w:tcPr>
            <w:tcW w:w="993" w:type="dxa"/>
          </w:tcPr>
          <w:p>
            <w:pPr>
              <w:pStyle w:val="GesAbsatz"/>
              <w:rPr>
                <w:rFonts w:cs="Arial"/>
                <w:sz w:val="18"/>
              </w:rPr>
            </w:pPr>
            <w:r>
              <w:rPr>
                <w:rFonts w:cs="Arial"/>
                <w:sz w:val="18"/>
              </w:rPr>
              <w:t>506</w:t>
            </w:r>
          </w:p>
        </w:tc>
        <w:tc>
          <w:tcPr>
            <w:tcW w:w="850" w:type="dxa"/>
          </w:tcPr>
          <w:p>
            <w:pPr>
              <w:pStyle w:val="GesAbsatz"/>
              <w:rPr>
                <w:rFonts w:cs="Arial"/>
                <w:sz w:val="18"/>
              </w:rPr>
            </w:pPr>
            <w:r>
              <w:rPr>
                <w:rFonts w:cs="Arial"/>
                <w:sz w:val="18"/>
              </w:rPr>
              <w:t>10</w:t>
            </w:r>
          </w:p>
        </w:tc>
        <w:tc>
          <w:tcPr>
            <w:tcW w:w="852" w:type="dxa"/>
          </w:tcPr>
          <w:p>
            <w:pPr>
              <w:pStyle w:val="GesAbsatz"/>
              <w:rPr>
                <w:rFonts w:cs="Arial"/>
                <w:sz w:val="18"/>
              </w:rPr>
            </w:pPr>
            <w:r>
              <w:rPr>
                <w:rFonts w:cs="Arial"/>
                <w:sz w:val="18"/>
              </w:rPr>
              <w:t>1000</w:t>
            </w:r>
          </w:p>
        </w:tc>
      </w:tr>
      <w:tr>
        <w:trPr>
          <w:jc w:val="center"/>
        </w:trPr>
        <w:tc>
          <w:tcPr>
            <w:tcW w:w="1955" w:type="dxa"/>
          </w:tcPr>
          <w:p>
            <w:pPr>
              <w:pStyle w:val="GesAbsatz"/>
              <w:rPr>
                <w:rFonts w:cs="Arial"/>
                <w:sz w:val="18"/>
              </w:rPr>
            </w:pPr>
            <w:r>
              <w:rPr>
                <w:rFonts w:cs="Arial"/>
                <w:sz w:val="18"/>
              </w:rPr>
              <w:t>Hühnergülle</w:t>
            </w:r>
          </w:p>
        </w:tc>
        <w:tc>
          <w:tcPr>
            <w:tcW w:w="950" w:type="dxa"/>
          </w:tcPr>
          <w:p>
            <w:pPr>
              <w:pStyle w:val="GesAbsatz"/>
              <w:rPr>
                <w:rFonts w:cs="Arial"/>
                <w:sz w:val="18"/>
              </w:rPr>
            </w:pPr>
            <w:r>
              <w:rPr>
                <w:rFonts w:cs="Arial"/>
                <w:sz w:val="18"/>
              </w:rPr>
              <w:t>0,25</w:t>
            </w:r>
          </w:p>
        </w:tc>
        <w:tc>
          <w:tcPr>
            <w:tcW w:w="993" w:type="dxa"/>
          </w:tcPr>
          <w:p>
            <w:pPr>
              <w:pStyle w:val="GesAbsatz"/>
              <w:rPr>
                <w:rFonts w:cs="Arial"/>
                <w:sz w:val="18"/>
              </w:rPr>
            </w:pPr>
            <w:r>
              <w:rPr>
                <w:rFonts w:cs="Arial"/>
                <w:sz w:val="18"/>
              </w:rPr>
              <w:t>55,5</w:t>
            </w:r>
          </w:p>
        </w:tc>
        <w:tc>
          <w:tcPr>
            <w:tcW w:w="850" w:type="dxa"/>
          </w:tcPr>
          <w:p>
            <w:pPr>
              <w:pStyle w:val="GesAbsatz"/>
              <w:rPr>
                <w:rFonts w:cs="Arial"/>
                <w:sz w:val="18"/>
              </w:rPr>
            </w:pPr>
            <w:r>
              <w:rPr>
                <w:rFonts w:cs="Arial"/>
                <w:sz w:val="18"/>
              </w:rPr>
              <w:t>7</w:t>
            </w:r>
          </w:p>
        </w:tc>
        <w:tc>
          <w:tcPr>
            <w:tcW w:w="852" w:type="dxa"/>
          </w:tcPr>
          <w:p>
            <w:pPr>
              <w:pStyle w:val="GesAbsatz"/>
              <w:rPr>
                <w:rFonts w:cs="Arial"/>
                <w:sz w:val="18"/>
              </w:rPr>
            </w:pPr>
            <w:r>
              <w:rPr>
                <w:rFonts w:cs="Arial"/>
                <w:sz w:val="18"/>
              </w:rPr>
              <w:t>430</w:t>
            </w:r>
          </w:p>
        </w:tc>
      </w:tr>
      <w:tr>
        <w:trPr>
          <w:jc w:val="center"/>
        </w:trPr>
        <w:tc>
          <w:tcPr>
            <w:tcW w:w="5600" w:type="dxa"/>
            <w:gridSpan w:val="5"/>
          </w:tcPr>
          <w:p>
            <w:pPr>
              <w:pStyle w:val="GesAbsatz"/>
              <w:rPr>
                <w:rFonts w:cs="Arial"/>
                <w:sz w:val="18"/>
              </w:rPr>
            </w:pPr>
            <w:r>
              <w:rPr>
                <w:rFonts w:cs="Arial"/>
                <w:sz w:val="18"/>
                <w:vertAlign w:val="superscript"/>
              </w:rPr>
              <w:t xml:space="preserve">1 </w:t>
            </w:r>
            <w:r>
              <w:rPr>
                <w:rFonts w:cs="Arial"/>
                <w:sz w:val="18"/>
              </w:rPr>
              <w:t>Brenk und Werner, 1997</w:t>
            </w:r>
            <w:r>
              <w:rPr>
                <w:rFonts w:cs="Arial"/>
                <w:sz w:val="18"/>
              </w:rPr>
              <w:br/>
            </w:r>
            <w:r>
              <w:rPr>
                <w:rFonts w:cs="Arial"/>
                <w:sz w:val="18"/>
                <w:vertAlign w:val="superscript"/>
              </w:rPr>
              <w:t>2</w:t>
            </w:r>
            <w:r>
              <w:rPr>
                <w:rFonts w:cs="Arial"/>
                <w:sz w:val="18"/>
              </w:rPr>
              <w:t xml:space="preserve"> Wilcke und Döhler, 1995</w:t>
            </w:r>
            <w:r>
              <w:rPr>
                <w:rFonts w:cs="Arial"/>
                <w:sz w:val="18"/>
              </w:rPr>
              <w:br/>
            </w:r>
            <w:r>
              <w:rPr>
                <w:rFonts w:cs="Arial"/>
                <w:sz w:val="18"/>
                <w:vertAlign w:val="superscript"/>
              </w:rPr>
              <w:t xml:space="preserve">3 </w:t>
            </w:r>
            <w:r>
              <w:rPr>
                <w:rFonts w:cs="Arial"/>
                <w:sz w:val="18"/>
              </w:rPr>
              <w:t>Rösch, 1996</w:t>
            </w:r>
          </w:p>
        </w:tc>
      </w:tr>
    </w:tbl>
    <w:p>
      <w:pPr>
        <w:pStyle w:val="GesAbsatz"/>
        <w:rPr>
          <w:rFonts w:eastAsia="Arial Unicode MS" w:cs="Arial"/>
        </w:rPr>
      </w:pPr>
    </w:p>
    <w:p>
      <w:pPr>
        <w:pStyle w:val="GesAbsatz"/>
        <w:rPr>
          <w:rFonts w:cs="Arial"/>
          <w:b/>
          <w:bCs/>
        </w:rPr>
      </w:pPr>
      <w:r>
        <w:rPr>
          <w:rFonts w:cs="Arial"/>
          <w:b/>
          <w:bCs/>
        </w:rPr>
        <w:t>Schwermetalle</w:t>
      </w:r>
    </w:p>
    <w:p>
      <w:pPr>
        <w:pStyle w:val="GesAbsatz"/>
        <w:rPr>
          <w:rFonts w:eastAsia="Arial Unicode MS" w:cs="Arial"/>
        </w:rPr>
      </w:pPr>
      <w:r>
        <w:rPr>
          <w:rFonts w:cs="Arial"/>
        </w:rPr>
        <w:t>Für die Berechnung des Schwermetallanfalls in den Exkrementen wurde wie in der Studie von Brenk und Werner (1997) verfahren. Wie bei den Nährstoffen in Wirtschaftsdüngern wird der Anfall „unter dem Schwanz” wiedergegeben und evtl. vorhandene Beimengungen (Stroh, Futterreste) wegen Kreislaufführung nicht berücksichtigt. Aufbauend auf den durchschnittlichen Schwermetallgehalten der verschiedenen Güllen (Tabelle 8) wurde der Schwermetallanfall je Tier bestimmt (Tabelle 9). Die hierfür erforderlichen Daten zu den Ausscheidungsmengen wurden aus der Anzahl der Großvieheinheiten (GV) und dem Exkrementanfall je GV in m</w:t>
      </w:r>
      <w:r>
        <w:rPr>
          <w:rFonts w:cs="Arial"/>
          <w:vertAlign w:val="superscript"/>
        </w:rPr>
        <w:t>3</w:t>
      </w:r>
      <w:r>
        <w:rPr>
          <w:rFonts w:cs="Arial"/>
        </w:rPr>
        <w:t xml:space="preserve"> hergeleitet (Umrechnungsschlüssel Viehzahl in GV aus Statistisches Bundesamt, 1997, Angaben zum Gülleanfall je GV in m</w:t>
      </w:r>
      <w:r>
        <w:rPr>
          <w:rFonts w:cs="Arial"/>
          <w:vertAlign w:val="superscript"/>
        </w:rPr>
        <w:t>3</w:t>
      </w:r>
      <w:r>
        <w:rPr>
          <w:rFonts w:cs="Arial"/>
        </w:rPr>
        <w:t xml:space="preserve"> in Söntgerath et al. (1992), zit. in Brenk und Werner (1997)).</w:t>
      </w:r>
    </w:p>
    <w:p>
      <w:pPr>
        <w:pStyle w:val="GesAbsatz"/>
        <w:rPr>
          <w:rFonts w:cs="Arial"/>
        </w:rPr>
      </w:pPr>
      <w:r>
        <w:rPr>
          <w:rFonts w:cs="Arial"/>
          <w:b/>
          <w:bCs/>
        </w:rPr>
        <w:t>Tabelle 9: Anfall von Schwermetallen in den Exkrementen landwirtschaftlicher Nutztiere, g/Jahr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1177"/>
        <w:gridCol w:w="1164"/>
        <w:gridCol w:w="1168"/>
        <w:gridCol w:w="1192"/>
        <w:gridCol w:w="1183"/>
        <w:gridCol w:w="1184"/>
        <w:gridCol w:w="1164"/>
      </w:tblGrid>
      <w:tr>
        <w:tc>
          <w:tcPr>
            <w:tcW w:w="1408" w:type="dxa"/>
          </w:tcPr>
          <w:p>
            <w:pPr>
              <w:pStyle w:val="GesAbsatz"/>
              <w:jc w:val="center"/>
              <w:rPr>
                <w:rFonts w:eastAsia="Arial Unicode MS" w:cs="Arial"/>
                <w:sz w:val="18"/>
                <w:szCs w:val="24"/>
                <w:lang w:val="fr-FR"/>
              </w:rPr>
            </w:pPr>
            <w:r>
              <w:rPr>
                <w:rFonts w:cs="Arial"/>
                <w:sz w:val="18"/>
                <w:lang w:val="fr-FR"/>
              </w:rPr>
              <w:t>Tierart</w:t>
            </w:r>
          </w:p>
        </w:tc>
        <w:tc>
          <w:tcPr>
            <w:tcW w:w="1197" w:type="dxa"/>
          </w:tcPr>
          <w:p>
            <w:pPr>
              <w:pStyle w:val="GesAbsatz"/>
              <w:jc w:val="center"/>
              <w:rPr>
                <w:rFonts w:eastAsia="Arial Unicode MS" w:cs="Arial"/>
                <w:sz w:val="18"/>
                <w:szCs w:val="24"/>
                <w:lang w:val="fr-FR"/>
              </w:rPr>
            </w:pPr>
            <w:r>
              <w:rPr>
                <w:rFonts w:cs="Arial"/>
                <w:sz w:val="18"/>
                <w:lang w:val="fr-FR"/>
              </w:rPr>
              <w:t>Tiere</w:t>
            </w:r>
            <w:r>
              <w:rPr>
                <w:rFonts w:cs="Arial"/>
                <w:sz w:val="18"/>
                <w:lang w:val="fr-FR"/>
              </w:rPr>
              <w:br/>
              <w:t>je GV</w:t>
            </w:r>
            <w:r>
              <w:rPr>
                <w:rFonts w:cs="Arial"/>
                <w:sz w:val="18"/>
                <w:vertAlign w:val="superscript"/>
                <w:lang w:val="fr-FR"/>
              </w:rPr>
              <w:t>10</w:t>
            </w:r>
          </w:p>
        </w:tc>
        <w:tc>
          <w:tcPr>
            <w:tcW w:w="1192" w:type="dxa"/>
          </w:tcPr>
          <w:p>
            <w:pPr>
              <w:pStyle w:val="GesAbsatz"/>
              <w:jc w:val="center"/>
              <w:rPr>
                <w:rFonts w:eastAsia="Arial Unicode MS" w:cs="Arial"/>
                <w:sz w:val="18"/>
                <w:szCs w:val="24"/>
                <w:lang w:val="fr-FR"/>
              </w:rPr>
            </w:pPr>
            <w:r>
              <w:rPr>
                <w:rFonts w:cs="Arial"/>
                <w:sz w:val="18"/>
                <w:lang w:val="fr-FR"/>
              </w:rPr>
              <w:t>m</w:t>
            </w:r>
            <w:r>
              <w:rPr>
                <w:rFonts w:cs="Arial"/>
                <w:sz w:val="18"/>
                <w:vertAlign w:val="superscript"/>
                <w:lang w:val="fr-FR"/>
              </w:rPr>
              <w:t>3</w:t>
            </w:r>
            <w:r>
              <w:rPr>
                <w:rFonts w:cs="Arial"/>
                <w:sz w:val="18"/>
                <w:vertAlign w:val="superscript"/>
                <w:lang w:val="fr-FR"/>
              </w:rPr>
              <w:br/>
            </w:r>
            <w:r>
              <w:rPr>
                <w:rFonts w:cs="Arial"/>
                <w:sz w:val="18"/>
                <w:lang w:val="fr-FR"/>
              </w:rPr>
              <w:t>je GV</w:t>
            </w:r>
            <w:r>
              <w:rPr>
                <w:rFonts w:cs="Arial"/>
                <w:sz w:val="18"/>
                <w:vertAlign w:val="superscript"/>
                <w:lang w:val="fr-FR"/>
              </w:rPr>
              <w:t>9</w:t>
            </w:r>
          </w:p>
        </w:tc>
        <w:tc>
          <w:tcPr>
            <w:tcW w:w="1197" w:type="dxa"/>
          </w:tcPr>
          <w:p>
            <w:pPr>
              <w:pStyle w:val="GesAbsatz"/>
              <w:jc w:val="center"/>
              <w:rPr>
                <w:rFonts w:eastAsia="Arial Unicode MS" w:cs="Arial"/>
                <w:sz w:val="18"/>
                <w:szCs w:val="24"/>
                <w:lang w:val="fr-FR"/>
              </w:rPr>
            </w:pPr>
            <w:r>
              <w:rPr>
                <w:rFonts w:cs="Arial"/>
                <w:sz w:val="18"/>
                <w:lang w:val="fr-FR"/>
              </w:rPr>
              <w:t>TS</w:t>
            </w:r>
            <w:r>
              <w:rPr>
                <w:rFonts w:cs="Arial"/>
                <w:sz w:val="18"/>
                <w:lang w:val="fr-FR"/>
              </w:rPr>
              <w:br/>
              <w:t>je Tier1</w:t>
            </w:r>
          </w:p>
        </w:tc>
        <w:tc>
          <w:tcPr>
            <w:tcW w:w="1194" w:type="dxa"/>
          </w:tcPr>
          <w:p>
            <w:pPr>
              <w:pStyle w:val="GesAbsatz"/>
              <w:jc w:val="center"/>
              <w:rPr>
                <w:rFonts w:eastAsia="Arial Unicode MS" w:cs="Arial"/>
                <w:sz w:val="18"/>
                <w:szCs w:val="24"/>
                <w:lang w:val="fr-FR"/>
              </w:rPr>
            </w:pPr>
            <w:r>
              <w:rPr>
                <w:rFonts w:cs="Arial"/>
                <w:sz w:val="18"/>
                <w:lang w:val="fr-FR"/>
              </w:rPr>
              <w:t>Cd</w:t>
            </w:r>
            <w:r>
              <w:rPr>
                <w:rFonts w:cs="Arial"/>
                <w:sz w:val="18"/>
                <w:vertAlign w:val="superscript"/>
                <w:lang w:val="fr-FR"/>
              </w:rPr>
              <w:t>2</w:t>
            </w:r>
          </w:p>
        </w:tc>
        <w:tc>
          <w:tcPr>
            <w:tcW w:w="1203" w:type="dxa"/>
          </w:tcPr>
          <w:p>
            <w:pPr>
              <w:pStyle w:val="GesAbsatz"/>
              <w:jc w:val="center"/>
              <w:rPr>
                <w:rFonts w:eastAsia="Arial Unicode MS" w:cs="Arial"/>
                <w:sz w:val="18"/>
                <w:szCs w:val="24"/>
                <w:lang w:val="fr-FR"/>
              </w:rPr>
            </w:pPr>
            <w:r>
              <w:rPr>
                <w:rFonts w:cs="Arial"/>
                <w:sz w:val="18"/>
                <w:lang w:val="fr-FR"/>
              </w:rPr>
              <w:t>Cu</w:t>
            </w:r>
            <w:r>
              <w:rPr>
                <w:rFonts w:cs="Arial"/>
                <w:sz w:val="18"/>
                <w:vertAlign w:val="superscript"/>
                <w:lang w:val="fr-FR"/>
              </w:rPr>
              <w:t>2</w:t>
            </w:r>
          </w:p>
        </w:tc>
        <w:tc>
          <w:tcPr>
            <w:tcW w:w="1195" w:type="dxa"/>
          </w:tcPr>
          <w:p>
            <w:pPr>
              <w:pStyle w:val="GesAbsatz"/>
              <w:jc w:val="center"/>
              <w:rPr>
                <w:rFonts w:eastAsia="Arial Unicode MS" w:cs="Arial"/>
                <w:sz w:val="18"/>
                <w:szCs w:val="24"/>
              </w:rPr>
            </w:pPr>
            <w:r>
              <w:rPr>
                <w:rFonts w:cs="Arial"/>
                <w:sz w:val="18"/>
              </w:rPr>
              <w:t>Pb</w:t>
            </w:r>
            <w:r>
              <w:rPr>
                <w:rFonts w:cs="Arial"/>
                <w:sz w:val="18"/>
                <w:vertAlign w:val="superscript"/>
              </w:rPr>
              <w:t>2</w:t>
            </w:r>
          </w:p>
        </w:tc>
        <w:tc>
          <w:tcPr>
            <w:tcW w:w="1192" w:type="dxa"/>
          </w:tcPr>
          <w:p>
            <w:pPr>
              <w:pStyle w:val="GesAbsatz"/>
              <w:jc w:val="center"/>
              <w:rPr>
                <w:rFonts w:eastAsia="Arial Unicode MS" w:cs="Arial"/>
                <w:sz w:val="18"/>
                <w:szCs w:val="24"/>
              </w:rPr>
            </w:pPr>
            <w:r>
              <w:rPr>
                <w:rFonts w:cs="Arial"/>
                <w:sz w:val="18"/>
              </w:rPr>
              <w:t>Zn</w:t>
            </w:r>
            <w:r>
              <w:rPr>
                <w:rFonts w:cs="Arial"/>
                <w:sz w:val="18"/>
                <w:vertAlign w:val="superscript"/>
              </w:rPr>
              <w:t>2</w:t>
            </w:r>
          </w:p>
        </w:tc>
      </w:tr>
      <w:tr>
        <w:tc>
          <w:tcPr>
            <w:tcW w:w="1408" w:type="dxa"/>
          </w:tcPr>
          <w:p>
            <w:pPr>
              <w:pStyle w:val="GesAbsatz"/>
              <w:rPr>
                <w:rFonts w:cs="Arial"/>
                <w:sz w:val="18"/>
              </w:rPr>
            </w:pPr>
            <w:r>
              <w:rPr>
                <w:rFonts w:cs="Arial"/>
                <w:sz w:val="18"/>
              </w:rPr>
              <w:t>Jungvieh unter 1 Jahr</w:t>
            </w:r>
          </w:p>
        </w:tc>
        <w:tc>
          <w:tcPr>
            <w:tcW w:w="1197" w:type="dxa"/>
          </w:tcPr>
          <w:p>
            <w:pPr>
              <w:pStyle w:val="GesAbsatz"/>
              <w:tabs>
                <w:tab w:val="clear" w:pos="425"/>
                <w:tab w:val="decimal" w:pos="577"/>
              </w:tabs>
              <w:rPr>
                <w:rFonts w:cs="Arial"/>
                <w:sz w:val="18"/>
              </w:rPr>
            </w:pPr>
            <w:r>
              <w:rPr>
                <w:rFonts w:cs="Arial"/>
                <w:sz w:val="18"/>
              </w:rPr>
              <w:t>0,3</w:t>
            </w:r>
          </w:p>
        </w:tc>
        <w:tc>
          <w:tcPr>
            <w:tcW w:w="1192" w:type="dxa"/>
          </w:tcPr>
          <w:p>
            <w:pPr>
              <w:pStyle w:val="GesAbsatz"/>
              <w:tabs>
                <w:tab w:val="clear" w:pos="425"/>
                <w:tab w:val="decimal" w:pos="577"/>
              </w:tabs>
              <w:rPr>
                <w:rFonts w:cs="Arial"/>
                <w:sz w:val="18"/>
              </w:rPr>
            </w:pPr>
            <w:r>
              <w:rPr>
                <w:rFonts w:cs="Arial"/>
                <w:sz w:val="18"/>
              </w:rPr>
              <w:t>20</w:t>
            </w:r>
            <w:r>
              <w:rPr>
                <w:rFonts w:cs="Arial"/>
                <w:sz w:val="18"/>
                <w:vertAlign w:val="superscript"/>
              </w:rPr>
              <w:t xml:space="preserve"> 3</w:t>
            </w:r>
          </w:p>
        </w:tc>
        <w:tc>
          <w:tcPr>
            <w:tcW w:w="1197" w:type="dxa"/>
          </w:tcPr>
          <w:p>
            <w:pPr>
              <w:pStyle w:val="GesAbsatz"/>
              <w:tabs>
                <w:tab w:val="clear" w:pos="425"/>
                <w:tab w:val="decimal" w:pos="577"/>
              </w:tabs>
              <w:rPr>
                <w:rFonts w:cs="Arial"/>
                <w:sz w:val="18"/>
              </w:rPr>
            </w:pPr>
            <w:r>
              <w:rPr>
                <w:rFonts w:cs="Arial"/>
                <w:sz w:val="18"/>
              </w:rPr>
              <w:t>473</w:t>
            </w:r>
          </w:p>
        </w:tc>
        <w:tc>
          <w:tcPr>
            <w:tcW w:w="1194" w:type="dxa"/>
          </w:tcPr>
          <w:p>
            <w:pPr>
              <w:pStyle w:val="GesAbsatz"/>
              <w:tabs>
                <w:tab w:val="clear" w:pos="425"/>
                <w:tab w:val="decimal" w:pos="577"/>
              </w:tabs>
              <w:rPr>
                <w:rFonts w:cs="Arial"/>
                <w:sz w:val="18"/>
              </w:rPr>
            </w:pPr>
            <w:r>
              <w:rPr>
                <w:rFonts w:cs="Arial"/>
                <w:sz w:val="18"/>
              </w:rPr>
              <w:t>0,21</w:t>
            </w:r>
          </w:p>
        </w:tc>
        <w:tc>
          <w:tcPr>
            <w:tcW w:w="1203" w:type="dxa"/>
          </w:tcPr>
          <w:p>
            <w:pPr>
              <w:pStyle w:val="GesAbsatz"/>
              <w:tabs>
                <w:tab w:val="clear" w:pos="425"/>
                <w:tab w:val="decimal" w:pos="577"/>
              </w:tabs>
              <w:rPr>
                <w:rFonts w:cs="Arial"/>
                <w:sz w:val="18"/>
              </w:rPr>
            </w:pPr>
            <w:r>
              <w:rPr>
                <w:rFonts w:cs="Arial"/>
                <w:sz w:val="18"/>
              </w:rPr>
              <w:t>23,65</w:t>
            </w:r>
          </w:p>
        </w:tc>
        <w:tc>
          <w:tcPr>
            <w:tcW w:w="1195" w:type="dxa"/>
          </w:tcPr>
          <w:p>
            <w:pPr>
              <w:pStyle w:val="GesAbsatz"/>
              <w:tabs>
                <w:tab w:val="clear" w:pos="425"/>
                <w:tab w:val="decimal" w:pos="577"/>
              </w:tabs>
              <w:rPr>
                <w:rFonts w:cs="Arial"/>
                <w:sz w:val="18"/>
              </w:rPr>
            </w:pPr>
            <w:r>
              <w:rPr>
                <w:rFonts w:cs="Arial"/>
                <w:sz w:val="18"/>
              </w:rPr>
              <w:t>4,2</w:t>
            </w:r>
          </w:p>
        </w:tc>
        <w:tc>
          <w:tcPr>
            <w:tcW w:w="1192" w:type="dxa"/>
          </w:tcPr>
          <w:p>
            <w:pPr>
              <w:pStyle w:val="GesAbsatz"/>
              <w:tabs>
                <w:tab w:val="clear" w:pos="425"/>
                <w:tab w:val="decimal" w:pos="577"/>
              </w:tabs>
              <w:rPr>
                <w:rFonts w:cs="Arial"/>
                <w:sz w:val="18"/>
              </w:rPr>
            </w:pPr>
            <w:r>
              <w:rPr>
                <w:rFonts w:cs="Arial"/>
                <w:sz w:val="18"/>
              </w:rPr>
              <w:t>104</w:t>
            </w:r>
          </w:p>
        </w:tc>
      </w:tr>
      <w:tr>
        <w:tc>
          <w:tcPr>
            <w:tcW w:w="1408" w:type="dxa"/>
          </w:tcPr>
          <w:p>
            <w:pPr>
              <w:pStyle w:val="GesAbsatz"/>
              <w:rPr>
                <w:rFonts w:cs="Arial"/>
                <w:sz w:val="18"/>
              </w:rPr>
            </w:pPr>
            <w:r>
              <w:rPr>
                <w:rFonts w:cs="Arial"/>
                <w:sz w:val="18"/>
              </w:rPr>
              <w:t>Rinder 1-2 Jahre</w:t>
            </w:r>
          </w:p>
        </w:tc>
        <w:tc>
          <w:tcPr>
            <w:tcW w:w="1197" w:type="dxa"/>
          </w:tcPr>
          <w:p>
            <w:pPr>
              <w:pStyle w:val="GesAbsatz"/>
              <w:tabs>
                <w:tab w:val="clear" w:pos="425"/>
                <w:tab w:val="decimal" w:pos="577"/>
              </w:tabs>
              <w:rPr>
                <w:rFonts w:cs="Arial"/>
                <w:sz w:val="18"/>
              </w:rPr>
            </w:pPr>
            <w:r>
              <w:rPr>
                <w:rFonts w:cs="Arial"/>
                <w:sz w:val="18"/>
              </w:rPr>
              <w:t>0,7</w:t>
            </w:r>
          </w:p>
        </w:tc>
        <w:tc>
          <w:tcPr>
            <w:tcW w:w="1192" w:type="dxa"/>
          </w:tcPr>
          <w:p>
            <w:pPr>
              <w:pStyle w:val="GesAbsatz"/>
              <w:tabs>
                <w:tab w:val="clear" w:pos="425"/>
                <w:tab w:val="decimal" w:pos="577"/>
              </w:tabs>
              <w:rPr>
                <w:rFonts w:cs="Arial"/>
                <w:sz w:val="18"/>
              </w:rPr>
            </w:pPr>
            <w:r>
              <w:rPr>
                <w:rFonts w:cs="Arial"/>
                <w:sz w:val="18"/>
              </w:rPr>
              <w:t>20</w:t>
            </w:r>
          </w:p>
        </w:tc>
        <w:tc>
          <w:tcPr>
            <w:tcW w:w="1197" w:type="dxa"/>
          </w:tcPr>
          <w:p>
            <w:pPr>
              <w:pStyle w:val="GesAbsatz"/>
              <w:tabs>
                <w:tab w:val="clear" w:pos="425"/>
                <w:tab w:val="decimal" w:pos="577"/>
              </w:tabs>
              <w:rPr>
                <w:rFonts w:cs="Arial"/>
                <w:sz w:val="18"/>
              </w:rPr>
            </w:pPr>
            <w:r>
              <w:rPr>
                <w:rFonts w:cs="Arial"/>
                <w:sz w:val="18"/>
              </w:rPr>
              <w:t>1103</w:t>
            </w:r>
          </w:p>
        </w:tc>
        <w:tc>
          <w:tcPr>
            <w:tcW w:w="1194" w:type="dxa"/>
          </w:tcPr>
          <w:p>
            <w:pPr>
              <w:pStyle w:val="GesAbsatz"/>
              <w:tabs>
                <w:tab w:val="clear" w:pos="425"/>
                <w:tab w:val="decimal" w:pos="577"/>
              </w:tabs>
              <w:rPr>
                <w:rFonts w:cs="Arial"/>
                <w:sz w:val="18"/>
              </w:rPr>
            </w:pPr>
            <w:r>
              <w:rPr>
                <w:rFonts w:cs="Arial"/>
                <w:sz w:val="18"/>
              </w:rPr>
              <w:t>0,5</w:t>
            </w:r>
          </w:p>
        </w:tc>
        <w:tc>
          <w:tcPr>
            <w:tcW w:w="1203" w:type="dxa"/>
          </w:tcPr>
          <w:p>
            <w:pPr>
              <w:pStyle w:val="GesAbsatz"/>
              <w:tabs>
                <w:tab w:val="clear" w:pos="425"/>
                <w:tab w:val="decimal" w:pos="577"/>
              </w:tabs>
              <w:rPr>
                <w:rFonts w:cs="Arial"/>
                <w:sz w:val="18"/>
              </w:rPr>
            </w:pPr>
            <w:r>
              <w:rPr>
                <w:rFonts w:cs="Arial"/>
                <w:sz w:val="18"/>
              </w:rPr>
              <w:t>55,15</w:t>
            </w:r>
          </w:p>
        </w:tc>
        <w:tc>
          <w:tcPr>
            <w:tcW w:w="1195" w:type="dxa"/>
          </w:tcPr>
          <w:p>
            <w:pPr>
              <w:pStyle w:val="GesAbsatz"/>
              <w:tabs>
                <w:tab w:val="clear" w:pos="425"/>
                <w:tab w:val="decimal" w:pos="577"/>
              </w:tabs>
              <w:rPr>
                <w:rFonts w:cs="Arial"/>
                <w:sz w:val="18"/>
              </w:rPr>
            </w:pPr>
            <w:r>
              <w:rPr>
                <w:rFonts w:cs="Arial"/>
                <w:sz w:val="18"/>
              </w:rPr>
              <w:t>9,9</w:t>
            </w:r>
          </w:p>
        </w:tc>
        <w:tc>
          <w:tcPr>
            <w:tcW w:w="1192" w:type="dxa"/>
          </w:tcPr>
          <w:p>
            <w:pPr>
              <w:pStyle w:val="GesAbsatz"/>
              <w:tabs>
                <w:tab w:val="clear" w:pos="425"/>
                <w:tab w:val="decimal" w:pos="577"/>
              </w:tabs>
              <w:rPr>
                <w:rFonts w:cs="Arial"/>
                <w:sz w:val="18"/>
              </w:rPr>
            </w:pPr>
            <w:r>
              <w:rPr>
                <w:rFonts w:cs="Arial"/>
                <w:sz w:val="18"/>
              </w:rPr>
              <w:t>243</w:t>
            </w:r>
          </w:p>
        </w:tc>
      </w:tr>
      <w:tr>
        <w:tc>
          <w:tcPr>
            <w:tcW w:w="1408" w:type="dxa"/>
          </w:tcPr>
          <w:p>
            <w:pPr>
              <w:pStyle w:val="GesAbsatz"/>
              <w:rPr>
                <w:rFonts w:cs="Arial"/>
                <w:sz w:val="18"/>
              </w:rPr>
            </w:pPr>
            <w:r>
              <w:rPr>
                <w:rFonts w:cs="Arial"/>
                <w:sz w:val="18"/>
              </w:rPr>
              <w:t>Milchkühe</w:t>
            </w:r>
          </w:p>
        </w:tc>
        <w:tc>
          <w:tcPr>
            <w:tcW w:w="1197" w:type="dxa"/>
          </w:tcPr>
          <w:p>
            <w:pPr>
              <w:pStyle w:val="GesAbsatz"/>
              <w:tabs>
                <w:tab w:val="clear" w:pos="425"/>
                <w:tab w:val="decimal" w:pos="577"/>
              </w:tabs>
              <w:rPr>
                <w:rFonts w:cs="Arial"/>
                <w:sz w:val="18"/>
              </w:rPr>
            </w:pPr>
            <w:r>
              <w:rPr>
                <w:rFonts w:cs="Arial"/>
                <w:sz w:val="18"/>
              </w:rPr>
              <w:t>1</w:t>
            </w:r>
          </w:p>
        </w:tc>
        <w:tc>
          <w:tcPr>
            <w:tcW w:w="1192" w:type="dxa"/>
          </w:tcPr>
          <w:p>
            <w:pPr>
              <w:pStyle w:val="GesAbsatz"/>
              <w:tabs>
                <w:tab w:val="clear" w:pos="425"/>
                <w:tab w:val="decimal" w:pos="577"/>
              </w:tabs>
              <w:rPr>
                <w:rFonts w:cs="Arial"/>
                <w:sz w:val="18"/>
              </w:rPr>
            </w:pPr>
            <w:r>
              <w:rPr>
                <w:rFonts w:cs="Arial"/>
                <w:sz w:val="18"/>
              </w:rPr>
              <w:t>20</w:t>
            </w:r>
          </w:p>
        </w:tc>
        <w:tc>
          <w:tcPr>
            <w:tcW w:w="1197" w:type="dxa"/>
          </w:tcPr>
          <w:p>
            <w:pPr>
              <w:pStyle w:val="GesAbsatz"/>
              <w:tabs>
                <w:tab w:val="clear" w:pos="425"/>
                <w:tab w:val="decimal" w:pos="577"/>
              </w:tabs>
              <w:rPr>
                <w:rFonts w:cs="Arial"/>
                <w:sz w:val="18"/>
              </w:rPr>
            </w:pPr>
            <w:r>
              <w:rPr>
                <w:rFonts w:cs="Arial"/>
                <w:sz w:val="18"/>
              </w:rPr>
              <w:t>1575</w:t>
            </w:r>
          </w:p>
        </w:tc>
        <w:tc>
          <w:tcPr>
            <w:tcW w:w="1194" w:type="dxa"/>
          </w:tcPr>
          <w:p>
            <w:pPr>
              <w:pStyle w:val="GesAbsatz"/>
              <w:tabs>
                <w:tab w:val="clear" w:pos="425"/>
                <w:tab w:val="decimal" w:pos="577"/>
              </w:tabs>
              <w:rPr>
                <w:rFonts w:cs="Arial"/>
                <w:sz w:val="18"/>
              </w:rPr>
            </w:pPr>
            <w:r>
              <w:rPr>
                <w:rFonts w:cs="Arial"/>
                <w:sz w:val="18"/>
              </w:rPr>
              <w:t>0,71</w:t>
            </w:r>
          </w:p>
        </w:tc>
        <w:tc>
          <w:tcPr>
            <w:tcW w:w="1203" w:type="dxa"/>
          </w:tcPr>
          <w:p>
            <w:pPr>
              <w:pStyle w:val="GesAbsatz"/>
              <w:tabs>
                <w:tab w:val="clear" w:pos="425"/>
                <w:tab w:val="decimal" w:pos="577"/>
              </w:tabs>
              <w:rPr>
                <w:rFonts w:cs="Arial"/>
                <w:sz w:val="18"/>
              </w:rPr>
            </w:pPr>
            <w:r>
              <w:rPr>
                <w:rFonts w:cs="Arial"/>
                <w:sz w:val="18"/>
              </w:rPr>
              <w:t>78,75</w:t>
            </w:r>
          </w:p>
        </w:tc>
        <w:tc>
          <w:tcPr>
            <w:tcW w:w="1195" w:type="dxa"/>
          </w:tcPr>
          <w:p>
            <w:pPr>
              <w:pStyle w:val="GesAbsatz"/>
              <w:tabs>
                <w:tab w:val="clear" w:pos="425"/>
                <w:tab w:val="decimal" w:pos="577"/>
              </w:tabs>
              <w:rPr>
                <w:rFonts w:cs="Arial"/>
                <w:sz w:val="18"/>
              </w:rPr>
            </w:pPr>
            <w:r>
              <w:rPr>
                <w:rFonts w:cs="Arial"/>
                <w:sz w:val="18"/>
              </w:rPr>
              <w:t>14,2</w:t>
            </w:r>
          </w:p>
        </w:tc>
        <w:tc>
          <w:tcPr>
            <w:tcW w:w="1192" w:type="dxa"/>
          </w:tcPr>
          <w:p>
            <w:pPr>
              <w:pStyle w:val="GesAbsatz"/>
              <w:tabs>
                <w:tab w:val="clear" w:pos="425"/>
                <w:tab w:val="decimal" w:pos="577"/>
              </w:tabs>
              <w:rPr>
                <w:rFonts w:cs="Arial"/>
                <w:sz w:val="18"/>
              </w:rPr>
            </w:pPr>
            <w:r>
              <w:rPr>
                <w:rFonts w:cs="Arial"/>
                <w:sz w:val="18"/>
              </w:rPr>
              <w:t>347</w:t>
            </w:r>
          </w:p>
        </w:tc>
      </w:tr>
      <w:tr>
        <w:tc>
          <w:tcPr>
            <w:tcW w:w="1408" w:type="dxa"/>
          </w:tcPr>
          <w:p>
            <w:pPr>
              <w:pStyle w:val="GesAbsatz"/>
              <w:rPr>
                <w:rFonts w:cs="Arial"/>
                <w:sz w:val="18"/>
              </w:rPr>
            </w:pPr>
            <w:r>
              <w:rPr>
                <w:rFonts w:cs="Arial"/>
                <w:sz w:val="18"/>
              </w:rPr>
              <w:t>andere über 2 Jahre</w:t>
            </w:r>
          </w:p>
        </w:tc>
        <w:tc>
          <w:tcPr>
            <w:tcW w:w="1197" w:type="dxa"/>
          </w:tcPr>
          <w:p>
            <w:pPr>
              <w:pStyle w:val="GesAbsatz"/>
              <w:tabs>
                <w:tab w:val="clear" w:pos="425"/>
                <w:tab w:val="decimal" w:pos="577"/>
              </w:tabs>
              <w:rPr>
                <w:rFonts w:cs="Arial"/>
                <w:sz w:val="18"/>
              </w:rPr>
            </w:pPr>
            <w:r>
              <w:rPr>
                <w:rFonts w:cs="Arial"/>
                <w:sz w:val="18"/>
              </w:rPr>
              <w:t>1</w:t>
            </w:r>
          </w:p>
        </w:tc>
        <w:tc>
          <w:tcPr>
            <w:tcW w:w="1192" w:type="dxa"/>
          </w:tcPr>
          <w:p>
            <w:pPr>
              <w:pStyle w:val="GesAbsatz"/>
              <w:tabs>
                <w:tab w:val="clear" w:pos="425"/>
                <w:tab w:val="decimal" w:pos="577"/>
              </w:tabs>
              <w:rPr>
                <w:rFonts w:cs="Arial"/>
                <w:sz w:val="18"/>
              </w:rPr>
            </w:pPr>
            <w:r>
              <w:rPr>
                <w:rFonts w:cs="Arial"/>
                <w:sz w:val="18"/>
              </w:rPr>
              <w:t>20</w:t>
            </w:r>
          </w:p>
        </w:tc>
        <w:tc>
          <w:tcPr>
            <w:tcW w:w="1197" w:type="dxa"/>
          </w:tcPr>
          <w:p>
            <w:pPr>
              <w:pStyle w:val="GesAbsatz"/>
              <w:tabs>
                <w:tab w:val="clear" w:pos="425"/>
                <w:tab w:val="decimal" w:pos="577"/>
              </w:tabs>
              <w:rPr>
                <w:rFonts w:cs="Arial"/>
                <w:sz w:val="18"/>
              </w:rPr>
            </w:pPr>
            <w:r>
              <w:rPr>
                <w:rFonts w:cs="Arial"/>
                <w:sz w:val="18"/>
              </w:rPr>
              <w:t>1575</w:t>
            </w:r>
          </w:p>
        </w:tc>
        <w:tc>
          <w:tcPr>
            <w:tcW w:w="1194" w:type="dxa"/>
          </w:tcPr>
          <w:p>
            <w:pPr>
              <w:pStyle w:val="GesAbsatz"/>
              <w:tabs>
                <w:tab w:val="clear" w:pos="425"/>
                <w:tab w:val="decimal" w:pos="577"/>
              </w:tabs>
              <w:rPr>
                <w:rFonts w:cs="Arial"/>
                <w:sz w:val="18"/>
              </w:rPr>
            </w:pPr>
            <w:r>
              <w:rPr>
                <w:rFonts w:cs="Arial"/>
                <w:sz w:val="18"/>
              </w:rPr>
              <w:t>0,71</w:t>
            </w:r>
          </w:p>
        </w:tc>
        <w:tc>
          <w:tcPr>
            <w:tcW w:w="1203" w:type="dxa"/>
          </w:tcPr>
          <w:p>
            <w:pPr>
              <w:pStyle w:val="GesAbsatz"/>
              <w:tabs>
                <w:tab w:val="clear" w:pos="425"/>
                <w:tab w:val="decimal" w:pos="577"/>
              </w:tabs>
              <w:rPr>
                <w:rFonts w:cs="Arial"/>
                <w:sz w:val="18"/>
              </w:rPr>
            </w:pPr>
            <w:r>
              <w:rPr>
                <w:rFonts w:cs="Arial"/>
                <w:sz w:val="18"/>
              </w:rPr>
              <w:t>78,75</w:t>
            </w:r>
          </w:p>
        </w:tc>
        <w:tc>
          <w:tcPr>
            <w:tcW w:w="1195" w:type="dxa"/>
          </w:tcPr>
          <w:p>
            <w:pPr>
              <w:pStyle w:val="GesAbsatz"/>
              <w:tabs>
                <w:tab w:val="clear" w:pos="425"/>
                <w:tab w:val="decimal" w:pos="577"/>
              </w:tabs>
              <w:rPr>
                <w:rFonts w:cs="Arial"/>
                <w:sz w:val="18"/>
              </w:rPr>
            </w:pPr>
            <w:r>
              <w:rPr>
                <w:rFonts w:cs="Arial"/>
                <w:sz w:val="18"/>
              </w:rPr>
              <w:t>14,2</w:t>
            </w:r>
          </w:p>
        </w:tc>
        <w:tc>
          <w:tcPr>
            <w:tcW w:w="1192" w:type="dxa"/>
          </w:tcPr>
          <w:p>
            <w:pPr>
              <w:pStyle w:val="GesAbsatz"/>
              <w:tabs>
                <w:tab w:val="clear" w:pos="425"/>
                <w:tab w:val="decimal" w:pos="577"/>
              </w:tabs>
              <w:rPr>
                <w:rFonts w:cs="Arial"/>
                <w:sz w:val="18"/>
              </w:rPr>
            </w:pPr>
            <w:r>
              <w:rPr>
                <w:rFonts w:cs="Arial"/>
                <w:sz w:val="18"/>
              </w:rPr>
              <w:t>347</w:t>
            </w:r>
          </w:p>
        </w:tc>
      </w:tr>
      <w:tr>
        <w:tc>
          <w:tcPr>
            <w:tcW w:w="1408" w:type="dxa"/>
          </w:tcPr>
          <w:p>
            <w:pPr>
              <w:pStyle w:val="GesAbsatz"/>
              <w:rPr>
                <w:rFonts w:cs="Arial"/>
                <w:sz w:val="18"/>
              </w:rPr>
            </w:pPr>
            <w:r>
              <w:rPr>
                <w:rFonts w:cs="Arial"/>
                <w:sz w:val="18"/>
              </w:rPr>
              <w:t>Jungschweine unter 50 kg</w:t>
            </w:r>
          </w:p>
        </w:tc>
        <w:tc>
          <w:tcPr>
            <w:tcW w:w="1197" w:type="dxa"/>
          </w:tcPr>
          <w:p>
            <w:pPr>
              <w:pStyle w:val="GesAbsatz"/>
              <w:tabs>
                <w:tab w:val="clear" w:pos="425"/>
                <w:tab w:val="decimal" w:pos="577"/>
              </w:tabs>
              <w:rPr>
                <w:rFonts w:cs="Arial"/>
                <w:sz w:val="18"/>
              </w:rPr>
            </w:pPr>
            <w:r>
              <w:rPr>
                <w:rFonts w:cs="Arial"/>
                <w:sz w:val="18"/>
              </w:rPr>
              <w:t>0,05</w:t>
            </w:r>
          </w:p>
        </w:tc>
        <w:tc>
          <w:tcPr>
            <w:tcW w:w="1192" w:type="dxa"/>
          </w:tcPr>
          <w:p>
            <w:pPr>
              <w:pStyle w:val="GesAbsatz"/>
              <w:tabs>
                <w:tab w:val="clear" w:pos="425"/>
                <w:tab w:val="decimal" w:pos="577"/>
              </w:tabs>
              <w:rPr>
                <w:rFonts w:cs="Arial"/>
                <w:sz w:val="18"/>
              </w:rPr>
            </w:pPr>
            <w:r>
              <w:rPr>
                <w:rFonts w:cs="Arial"/>
                <w:sz w:val="18"/>
              </w:rPr>
              <w:t>36</w:t>
            </w:r>
            <w:r>
              <w:rPr>
                <w:rFonts w:cs="Arial"/>
                <w:sz w:val="18"/>
                <w:vertAlign w:val="superscript"/>
              </w:rPr>
              <w:t>4</w:t>
            </w:r>
          </w:p>
        </w:tc>
        <w:tc>
          <w:tcPr>
            <w:tcW w:w="1197" w:type="dxa"/>
          </w:tcPr>
          <w:p>
            <w:pPr>
              <w:pStyle w:val="GesAbsatz"/>
              <w:tabs>
                <w:tab w:val="clear" w:pos="425"/>
                <w:tab w:val="decimal" w:pos="577"/>
              </w:tabs>
              <w:rPr>
                <w:rFonts w:cs="Arial"/>
                <w:sz w:val="18"/>
              </w:rPr>
            </w:pPr>
            <w:r>
              <w:rPr>
                <w:rFonts w:cs="Arial"/>
                <w:sz w:val="18"/>
              </w:rPr>
              <w:t>95</w:t>
            </w:r>
          </w:p>
        </w:tc>
        <w:tc>
          <w:tcPr>
            <w:tcW w:w="1194" w:type="dxa"/>
          </w:tcPr>
          <w:p>
            <w:pPr>
              <w:pStyle w:val="GesAbsatz"/>
              <w:tabs>
                <w:tab w:val="clear" w:pos="425"/>
                <w:tab w:val="decimal" w:pos="577"/>
              </w:tabs>
              <w:rPr>
                <w:rFonts w:cs="Arial"/>
                <w:sz w:val="18"/>
              </w:rPr>
            </w:pPr>
            <w:r>
              <w:rPr>
                <w:rFonts w:cs="Arial"/>
                <w:sz w:val="18"/>
              </w:rPr>
              <w:t>0,07</w:t>
            </w:r>
          </w:p>
        </w:tc>
        <w:tc>
          <w:tcPr>
            <w:tcW w:w="1203" w:type="dxa"/>
          </w:tcPr>
          <w:p>
            <w:pPr>
              <w:pStyle w:val="GesAbsatz"/>
              <w:tabs>
                <w:tab w:val="clear" w:pos="425"/>
                <w:tab w:val="decimal" w:pos="577"/>
              </w:tabs>
              <w:rPr>
                <w:rFonts w:cs="Arial"/>
                <w:sz w:val="18"/>
              </w:rPr>
            </w:pPr>
            <w:r>
              <w:rPr>
                <w:rFonts w:cs="Arial"/>
                <w:sz w:val="18"/>
              </w:rPr>
              <w:t>48,07</w:t>
            </w:r>
          </w:p>
        </w:tc>
        <w:tc>
          <w:tcPr>
            <w:tcW w:w="1195" w:type="dxa"/>
          </w:tcPr>
          <w:p>
            <w:pPr>
              <w:pStyle w:val="GesAbsatz"/>
              <w:tabs>
                <w:tab w:val="clear" w:pos="425"/>
                <w:tab w:val="decimal" w:pos="577"/>
              </w:tabs>
              <w:rPr>
                <w:rFonts w:cs="Arial"/>
                <w:sz w:val="18"/>
              </w:rPr>
            </w:pPr>
            <w:r>
              <w:rPr>
                <w:rFonts w:cs="Arial"/>
                <w:sz w:val="18"/>
              </w:rPr>
              <w:t>0,95</w:t>
            </w:r>
          </w:p>
        </w:tc>
        <w:tc>
          <w:tcPr>
            <w:tcW w:w="1192" w:type="dxa"/>
          </w:tcPr>
          <w:p>
            <w:pPr>
              <w:pStyle w:val="GesAbsatz"/>
              <w:tabs>
                <w:tab w:val="clear" w:pos="425"/>
                <w:tab w:val="decimal" w:pos="577"/>
              </w:tabs>
              <w:rPr>
                <w:rFonts w:cs="Arial"/>
                <w:sz w:val="18"/>
              </w:rPr>
            </w:pPr>
            <w:r>
              <w:rPr>
                <w:rFonts w:cs="Arial"/>
                <w:sz w:val="18"/>
              </w:rPr>
              <w:t>95</w:t>
            </w:r>
          </w:p>
        </w:tc>
      </w:tr>
      <w:tr>
        <w:tc>
          <w:tcPr>
            <w:tcW w:w="1408" w:type="dxa"/>
          </w:tcPr>
          <w:p>
            <w:pPr>
              <w:pStyle w:val="GesAbsatz"/>
              <w:rPr>
                <w:rFonts w:cs="Arial"/>
                <w:sz w:val="18"/>
              </w:rPr>
            </w:pPr>
            <w:r>
              <w:rPr>
                <w:rFonts w:cs="Arial"/>
                <w:sz w:val="18"/>
              </w:rPr>
              <w:t>Mastschweine über 50 kg</w:t>
            </w:r>
          </w:p>
        </w:tc>
        <w:tc>
          <w:tcPr>
            <w:tcW w:w="1197" w:type="dxa"/>
          </w:tcPr>
          <w:p>
            <w:pPr>
              <w:pStyle w:val="GesAbsatz"/>
              <w:tabs>
                <w:tab w:val="clear" w:pos="425"/>
                <w:tab w:val="decimal" w:pos="577"/>
              </w:tabs>
              <w:rPr>
                <w:rFonts w:cs="Arial"/>
                <w:sz w:val="18"/>
              </w:rPr>
            </w:pPr>
            <w:r>
              <w:rPr>
                <w:rFonts w:cs="Arial"/>
                <w:sz w:val="18"/>
              </w:rPr>
              <w:t>0,16</w:t>
            </w:r>
          </w:p>
        </w:tc>
        <w:tc>
          <w:tcPr>
            <w:tcW w:w="1192" w:type="dxa"/>
          </w:tcPr>
          <w:p>
            <w:pPr>
              <w:pStyle w:val="GesAbsatz"/>
              <w:tabs>
                <w:tab w:val="clear" w:pos="425"/>
                <w:tab w:val="decimal" w:pos="577"/>
              </w:tabs>
              <w:rPr>
                <w:rFonts w:cs="Arial"/>
                <w:sz w:val="18"/>
              </w:rPr>
            </w:pPr>
            <w:r>
              <w:rPr>
                <w:rFonts w:cs="Arial"/>
                <w:sz w:val="18"/>
              </w:rPr>
              <w:t>26</w:t>
            </w:r>
          </w:p>
        </w:tc>
        <w:tc>
          <w:tcPr>
            <w:tcW w:w="1197" w:type="dxa"/>
          </w:tcPr>
          <w:p>
            <w:pPr>
              <w:pStyle w:val="GesAbsatz"/>
              <w:tabs>
                <w:tab w:val="clear" w:pos="425"/>
                <w:tab w:val="decimal" w:pos="577"/>
              </w:tabs>
              <w:rPr>
                <w:rFonts w:cs="Arial"/>
                <w:sz w:val="18"/>
              </w:rPr>
            </w:pPr>
            <w:r>
              <w:rPr>
                <w:rFonts w:cs="Arial"/>
                <w:sz w:val="18"/>
              </w:rPr>
              <w:t>218</w:t>
            </w:r>
          </w:p>
        </w:tc>
        <w:tc>
          <w:tcPr>
            <w:tcW w:w="1194" w:type="dxa"/>
          </w:tcPr>
          <w:p>
            <w:pPr>
              <w:pStyle w:val="GesAbsatz"/>
              <w:tabs>
                <w:tab w:val="clear" w:pos="425"/>
                <w:tab w:val="decimal" w:pos="577"/>
              </w:tabs>
              <w:rPr>
                <w:rFonts w:cs="Arial"/>
                <w:sz w:val="18"/>
              </w:rPr>
            </w:pPr>
            <w:r>
              <w:rPr>
                <w:rFonts w:cs="Arial"/>
                <w:sz w:val="18"/>
              </w:rPr>
              <w:t>0,15</w:t>
            </w:r>
          </w:p>
        </w:tc>
        <w:tc>
          <w:tcPr>
            <w:tcW w:w="1203" w:type="dxa"/>
          </w:tcPr>
          <w:p>
            <w:pPr>
              <w:pStyle w:val="GesAbsatz"/>
              <w:tabs>
                <w:tab w:val="clear" w:pos="425"/>
                <w:tab w:val="decimal" w:pos="577"/>
              </w:tabs>
              <w:rPr>
                <w:rFonts w:cs="Arial"/>
                <w:sz w:val="18"/>
              </w:rPr>
            </w:pPr>
            <w:r>
              <w:rPr>
                <w:rFonts w:cs="Arial"/>
                <w:sz w:val="18"/>
              </w:rPr>
              <w:t>110,31</w:t>
            </w:r>
          </w:p>
        </w:tc>
        <w:tc>
          <w:tcPr>
            <w:tcW w:w="1195" w:type="dxa"/>
          </w:tcPr>
          <w:p>
            <w:pPr>
              <w:pStyle w:val="GesAbsatz"/>
              <w:tabs>
                <w:tab w:val="clear" w:pos="425"/>
                <w:tab w:val="decimal" w:pos="577"/>
              </w:tabs>
              <w:rPr>
                <w:rFonts w:cs="Arial"/>
                <w:sz w:val="18"/>
              </w:rPr>
            </w:pPr>
            <w:r>
              <w:rPr>
                <w:rFonts w:cs="Arial"/>
                <w:sz w:val="18"/>
              </w:rPr>
              <w:t>2,2</w:t>
            </w:r>
          </w:p>
        </w:tc>
        <w:tc>
          <w:tcPr>
            <w:tcW w:w="1192" w:type="dxa"/>
          </w:tcPr>
          <w:p>
            <w:pPr>
              <w:pStyle w:val="GesAbsatz"/>
              <w:tabs>
                <w:tab w:val="clear" w:pos="425"/>
                <w:tab w:val="decimal" w:pos="577"/>
              </w:tabs>
              <w:rPr>
                <w:rFonts w:cs="Arial"/>
                <w:sz w:val="18"/>
              </w:rPr>
            </w:pPr>
            <w:r>
              <w:rPr>
                <w:rFonts w:cs="Arial"/>
                <w:sz w:val="18"/>
              </w:rPr>
              <w:t>218</w:t>
            </w:r>
          </w:p>
        </w:tc>
      </w:tr>
      <w:tr>
        <w:tc>
          <w:tcPr>
            <w:tcW w:w="1408" w:type="dxa"/>
          </w:tcPr>
          <w:p>
            <w:pPr>
              <w:pStyle w:val="GesAbsatz"/>
              <w:rPr>
                <w:rFonts w:cs="Arial"/>
                <w:sz w:val="18"/>
              </w:rPr>
            </w:pPr>
            <w:r>
              <w:rPr>
                <w:rFonts w:cs="Arial"/>
                <w:sz w:val="18"/>
              </w:rPr>
              <w:t>Zuchtsauen</w:t>
            </w:r>
          </w:p>
        </w:tc>
        <w:tc>
          <w:tcPr>
            <w:tcW w:w="1197" w:type="dxa"/>
          </w:tcPr>
          <w:p>
            <w:pPr>
              <w:pStyle w:val="GesAbsatz"/>
              <w:tabs>
                <w:tab w:val="clear" w:pos="425"/>
                <w:tab w:val="decimal" w:pos="577"/>
              </w:tabs>
              <w:rPr>
                <w:rFonts w:cs="Arial"/>
                <w:sz w:val="18"/>
              </w:rPr>
            </w:pPr>
            <w:r>
              <w:rPr>
                <w:rFonts w:cs="Arial"/>
                <w:sz w:val="18"/>
              </w:rPr>
              <w:t>0,3</w:t>
            </w:r>
          </w:p>
        </w:tc>
        <w:tc>
          <w:tcPr>
            <w:tcW w:w="1192" w:type="dxa"/>
          </w:tcPr>
          <w:p>
            <w:pPr>
              <w:pStyle w:val="GesAbsatz"/>
              <w:tabs>
                <w:tab w:val="clear" w:pos="425"/>
                <w:tab w:val="decimal" w:pos="577"/>
              </w:tabs>
              <w:rPr>
                <w:rFonts w:cs="Arial"/>
                <w:sz w:val="18"/>
              </w:rPr>
            </w:pPr>
            <w:r>
              <w:rPr>
                <w:rFonts w:cs="Arial"/>
                <w:sz w:val="18"/>
              </w:rPr>
              <w:t>16</w:t>
            </w:r>
          </w:p>
        </w:tc>
        <w:tc>
          <w:tcPr>
            <w:tcW w:w="1197" w:type="dxa"/>
          </w:tcPr>
          <w:p>
            <w:pPr>
              <w:pStyle w:val="GesAbsatz"/>
              <w:tabs>
                <w:tab w:val="clear" w:pos="425"/>
                <w:tab w:val="decimal" w:pos="577"/>
              </w:tabs>
              <w:rPr>
                <w:rFonts w:cs="Arial"/>
                <w:sz w:val="18"/>
              </w:rPr>
            </w:pPr>
            <w:r>
              <w:rPr>
                <w:rFonts w:cs="Arial"/>
                <w:sz w:val="18"/>
              </w:rPr>
              <w:t>252</w:t>
            </w:r>
          </w:p>
        </w:tc>
        <w:tc>
          <w:tcPr>
            <w:tcW w:w="1194" w:type="dxa"/>
          </w:tcPr>
          <w:p>
            <w:pPr>
              <w:pStyle w:val="GesAbsatz"/>
              <w:tabs>
                <w:tab w:val="clear" w:pos="425"/>
                <w:tab w:val="decimal" w:pos="577"/>
              </w:tabs>
              <w:rPr>
                <w:rFonts w:cs="Arial"/>
                <w:sz w:val="18"/>
              </w:rPr>
            </w:pPr>
            <w:r>
              <w:rPr>
                <w:rFonts w:cs="Arial"/>
                <w:sz w:val="18"/>
              </w:rPr>
              <w:t>0,18</w:t>
            </w:r>
          </w:p>
        </w:tc>
        <w:tc>
          <w:tcPr>
            <w:tcW w:w="1203" w:type="dxa"/>
          </w:tcPr>
          <w:p>
            <w:pPr>
              <w:pStyle w:val="GesAbsatz"/>
              <w:tabs>
                <w:tab w:val="clear" w:pos="425"/>
                <w:tab w:val="decimal" w:pos="577"/>
              </w:tabs>
              <w:rPr>
                <w:rFonts w:cs="Arial"/>
                <w:sz w:val="18"/>
              </w:rPr>
            </w:pPr>
            <w:r>
              <w:rPr>
                <w:rFonts w:cs="Arial"/>
                <w:sz w:val="18"/>
              </w:rPr>
              <w:t>127,51</w:t>
            </w:r>
          </w:p>
        </w:tc>
        <w:tc>
          <w:tcPr>
            <w:tcW w:w="1195" w:type="dxa"/>
          </w:tcPr>
          <w:p>
            <w:pPr>
              <w:pStyle w:val="GesAbsatz"/>
              <w:tabs>
                <w:tab w:val="clear" w:pos="425"/>
                <w:tab w:val="decimal" w:pos="577"/>
              </w:tabs>
              <w:rPr>
                <w:rFonts w:cs="Arial"/>
                <w:sz w:val="18"/>
              </w:rPr>
            </w:pPr>
            <w:r>
              <w:rPr>
                <w:rFonts w:cs="Arial"/>
                <w:sz w:val="18"/>
              </w:rPr>
              <w:t>2,5</w:t>
            </w:r>
          </w:p>
        </w:tc>
        <w:tc>
          <w:tcPr>
            <w:tcW w:w="1192" w:type="dxa"/>
          </w:tcPr>
          <w:p>
            <w:pPr>
              <w:pStyle w:val="GesAbsatz"/>
              <w:tabs>
                <w:tab w:val="clear" w:pos="425"/>
                <w:tab w:val="decimal" w:pos="577"/>
              </w:tabs>
              <w:rPr>
                <w:rFonts w:cs="Arial"/>
                <w:sz w:val="18"/>
              </w:rPr>
            </w:pPr>
            <w:r>
              <w:rPr>
                <w:rFonts w:cs="Arial"/>
                <w:sz w:val="18"/>
              </w:rPr>
              <w:t>252</w:t>
            </w:r>
          </w:p>
        </w:tc>
      </w:tr>
      <w:tr>
        <w:tc>
          <w:tcPr>
            <w:tcW w:w="1408" w:type="dxa"/>
          </w:tcPr>
          <w:p>
            <w:pPr>
              <w:pStyle w:val="GesAbsatz"/>
              <w:rPr>
                <w:rFonts w:cs="Arial"/>
                <w:sz w:val="18"/>
              </w:rPr>
            </w:pPr>
            <w:r>
              <w:rPr>
                <w:rFonts w:cs="Arial"/>
                <w:sz w:val="18"/>
              </w:rPr>
              <w:t>Eber</w:t>
            </w:r>
          </w:p>
        </w:tc>
        <w:tc>
          <w:tcPr>
            <w:tcW w:w="1197" w:type="dxa"/>
          </w:tcPr>
          <w:p>
            <w:pPr>
              <w:pStyle w:val="GesAbsatz"/>
              <w:tabs>
                <w:tab w:val="clear" w:pos="425"/>
                <w:tab w:val="decimal" w:pos="577"/>
              </w:tabs>
              <w:rPr>
                <w:rFonts w:cs="Arial"/>
                <w:sz w:val="18"/>
              </w:rPr>
            </w:pPr>
            <w:r>
              <w:rPr>
                <w:rFonts w:cs="Arial"/>
                <w:sz w:val="18"/>
              </w:rPr>
              <w:t>0,3</w:t>
            </w:r>
          </w:p>
        </w:tc>
        <w:tc>
          <w:tcPr>
            <w:tcW w:w="1192" w:type="dxa"/>
          </w:tcPr>
          <w:p>
            <w:pPr>
              <w:pStyle w:val="GesAbsatz"/>
              <w:tabs>
                <w:tab w:val="clear" w:pos="425"/>
                <w:tab w:val="decimal" w:pos="577"/>
              </w:tabs>
              <w:rPr>
                <w:rFonts w:cs="Arial"/>
                <w:sz w:val="18"/>
              </w:rPr>
            </w:pPr>
            <w:r>
              <w:rPr>
                <w:rFonts w:cs="Arial"/>
                <w:sz w:val="18"/>
              </w:rPr>
              <w:t>16</w:t>
            </w:r>
          </w:p>
        </w:tc>
        <w:tc>
          <w:tcPr>
            <w:tcW w:w="1197" w:type="dxa"/>
          </w:tcPr>
          <w:p>
            <w:pPr>
              <w:pStyle w:val="GesAbsatz"/>
              <w:tabs>
                <w:tab w:val="clear" w:pos="425"/>
                <w:tab w:val="decimal" w:pos="577"/>
              </w:tabs>
              <w:rPr>
                <w:rFonts w:cs="Arial"/>
                <w:sz w:val="18"/>
              </w:rPr>
            </w:pPr>
            <w:r>
              <w:rPr>
                <w:rFonts w:cs="Arial"/>
                <w:sz w:val="18"/>
              </w:rPr>
              <w:t>252</w:t>
            </w:r>
          </w:p>
        </w:tc>
        <w:tc>
          <w:tcPr>
            <w:tcW w:w="1194" w:type="dxa"/>
          </w:tcPr>
          <w:p>
            <w:pPr>
              <w:pStyle w:val="GesAbsatz"/>
              <w:tabs>
                <w:tab w:val="clear" w:pos="425"/>
                <w:tab w:val="decimal" w:pos="577"/>
              </w:tabs>
              <w:rPr>
                <w:rFonts w:eastAsia="Arial Unicode MS" w:cs="Arial"/>
                <w:sz w:val="18"/>
                <w:szCs w:val="24"/>
              </w:rPr>
            </w:pPr>
            <w:r>
              <w:rPr>
                <w:rFonts w:cs="Arial"/>
                <w:sz w:val="18"/>
              </w:rPr>
              <w:t xml:space="preserve">0,18 </w:t>
            </w:r>
          </w:p>
        </w:tc>
        <w:tc>
          <w:tcPr>
            <w:tcW w:w="1203" w:type="dxa"/>
          </w:tcPr>
          <w:p>
            <w:pPr>
              <w:pStyle w:val="GesAbsatz"/>
              <w:tabs>
                <w:tab w:val="clear" w:pos="425"/>
                <w:tab w:val="decimal" w:pos="577"/>
              </w:tabs>
              <w:rPr>
                <w:rFonts w:eastAsia="Arial Unicode MS" w:cs="Arial"/>
                <w:sz w:val="18"/>
                <w:szCs w:val="24"/>
              </w:rPr>
            </w:pPr>
            <w:r>
              <w:rPr>
                <w:rFonts w:cs="Arial"/>
                <w:sz w:val="18"/>
              </w:rPr>
              <w:t>127,51</w:t>
            </w:r>
          </w:p>
        </w:tc>
        <w:tc>
          <w:tcPr>
            <w:tcW w:w="1195" w:type="dxa"/>
          </w:tcPr>
          <w:p>
            <w:pPr>
              <w:pStyle w:val="GesAbsatz"/>
              <w:tabs>
                <w:tab w:val="clear" w:pos="425"/>
                <w:tab w:val="decimal" w:pos="577"/>
              </w:tabs>
              <w:rPr>
                <w:rFonts w:eastAsia="Arial Unicode MS" w:cs="Arial"/>
                <w:sz w:val="18"/>
                <w:szCs w:val="24"/>
              </w:rPr>
            </w:pPr>
            <w:r>
              <w:rPr>
                <w:rFonts w:cs="Arial"/>
                <w:sz w:val="18"/>
              </w:rPr>
              <w:t>2,5</w:t>
            </w:r>
          </w:p>
        </w:tc>
        <w:tc>
          <w:tcPr>
            <w:tcW w:w="1192" w:type="dxa"/>
          </w:tcPr>
          <w:p>
            <w:pPr>
              <w:pStyle w:val="GesAbsatz"/>
              <w:tabs>
                <w:tab w:val="clear" w:pos="425"/>
                <w:tab w:val="decimal" w:pos="577"/>
              </w:tabs>
              <w:rPr>
                <w:rFonts w:eastAsia="Arial Unicode MS" w:cs="Arial"/>
                <w:sz w:val="18"/>
                <w:szCs w:val="24"/>
              </w:rPr>
            </w:pPr>
            <w:r>
              <w:rPr>
                <w:rFonts w:cs="Arial"/>
                <w:sz w:val="18"/>
              </w:rPr>
              <w:t>252</w:t>
            </w:r>
          </w:p>
        </w:tc>
      </w:tr>
      <w:tr>
        <w:tc>
          <w:tcPr>
            <w:tcW w:w="1408" w:type="dxa"/>
          </w:tcPr>
          <w:p>
            <w:pPr>
              <w:pStyle w:val="GesAbsatz"/>
              <w:rPr>
                <w:rFonts w:cs="Arial"/>
                <w:sz w:val="18"/>
              </w:rPr>
            </w:pPr>
            <w:r>
              <w:rPr>
                <w:rFonts w:cs="Arial"/>
                <w:sz w:val="18"/>
              </w:rPr>
              <w:t>Junghennen</w:t>
            </w:r>
          </w:p>
        </w:tc>
        <w:tc>
          <w:tcPr>
            <w:tcW w:w="1197" w:type="dxa"/>
          </w:tcPr>
          <w:p>
            <w:pPr>
              <w:pStyle w:val="GesAbsatz"/>
              <w:tabs>
                <w:tab w:val="clear" w:pos="425"/>
                <w:tab w:val="decimal" w:pos="577"/>
              </w:tabs>
              <w:rPr>
                <w:rFonts w:cs="Arial"/>
                <w:sz w:val="18"/>
              </w:rPr>
            </w:pPr>
            <w:r>
              <w:rPr>
                <w:rFonts w:cs="Arial"/>
                <w:sz w:val="18"/>
              </w:rPr>
              <w:t>420</w:t>
            </w:r>
            <w:r>
              <w:rPr>
                <w:rFonts w:cs="Arial"/>
                <w:sz w:val="18"/>
                <w:vertAlign w:val="superscript"/>
              </w:rPr>
              <w:t xml:space="preserve"> 5</w:t>
            </w:r>
          </w:p>
        </w:tc>
        <w:tc>
          <w:tcPr>
            <w:tcW w:w="1192" w:type="dxa"/>
          </w:tcPr>
          <w:p>
            <w:pPr>
              <w:pStyle w:val="GesAbsatz"/>
              <w:tabs>
                <w:tab w:val="clear" w:pos="425"/>
                <w:tab w:val="decimal" w:pos="577"/>
              </w:tabs>
              <w:rPr>
                <w:rFonts w:cs="Arial"/>
                <w:sz w:val="18"/>
              </w:rPr>
            </w:pPr>
            <w:r>
              <w:rPr>
                <w:rFonts w:cs="Arial"/>
                <w:sz w:val="18"/>
              </w:rPr>
              <w:t xml:space="preserve">27,6 </w:t>
            </w:r>
            <w:r>
              <w:rPr>
                <w:rFonts w:cs="Arial"/>
                <w:sz w:val="18"/>
                <w:vertAlign w:val="superscript"/>
              </w:rPr>
              <w:t>6</w:t>
            </w:r>
          </w:p>
        </w:tc>
        <w:tc>
          <w:tcPr>
            <w:tcW w:w="1197" w:type="dxa"/>
          </w:tcPr>
          <w:p>
            <w:pPr>
              <w:pStyle w:val="GesAbsatz"/>
              <w:tabs>
                <w:tab w:val="clear" w:pos="425"/>
                <w:tab w:val="decimal" w:pos="577"/>
              </w:tabs>
              <w:rPr>
                <w:rFonts w:cs="Arial"/>
                <w:sz w:val="18"/>
              </w:rPr>
            </w:pPr>
            <w:r>
              <w:rPr>
                <w:rFonts w:cs="Arial"/>
                <w:sz w:val="18"/>
              </w:rPr>
              <w:t>6,9</w:t>
            </w:r>
          </w:p>
        </w:tc>
        <w:tc>
          <w:tcPr>
            <w:tcW w:w="1194" w:type="dxa"/>
          </w:tcPr>
          <w:p>
            <w:pPr>
              <w:pStyle w:val="GesAbsatz"/>
              <w:tabs>
                <w:tab w:val="clear" w:pos="425"/>
                <w:tab w:val="decimal" w:pos="577"/>
              </w:tabs>
              <w:rPr>
                <w:rFonts w:cs="Arial"/>
                <w:sz w:val="18"/>
              </w:rPr>
            </w:pPr>
            <w:r>
              <w:rPr>
                <w:rFonts w:cs="Arial"/>
                <w:sz w:val="18"/>
              </w:rPr>
              <w:t>0,0017</w:t>
            </w:r>
          </w:p>
        </w:tc>
        <w:tc>
          <w:tcPr>
            <w:tcW w:w="1203" w:type="dxa"/>
          </w:tcPr>
          <w:p>
            <w:pPr>
              <w:pStyle w:val="GesAbsatz"/>
              <w:tabs>
                <w:tab w:val="clear" w:pos="425"/>
                <w:tab w:val="decimal" w:pos="577"/>
              </w:tabs>
              <w:rPr>
                <w:rFonts w:cs="Arial"/>
                <w:sz w:val="18"/>
              </w:rPr>
            </w:pPr>
            <w:r>
              <w:rPr>
                <w:rFonts w:cs="Arial"/>
                <w:sz w:val="18"/>
              </w:rPr>
              <w:t>0,38</w:t>
            </w:r>
          </w:p>
        </w:tc>
        <w:tc>
          <w:tcPr>
            <w:tcW w:w="1195" w:type="dxa"/>
          </w:tcPr>
          <w:p>
            <w:pPr>
              <w:pStyle w:val="GesAbsatz"/>
              <w:tabs>
                <w:tab w:val="clear" w:pos="425"/>
                <w:tab w:val="decimal" w:pos="577"/>
              </w:tabs>
              <w:rPr>
                <w:rFonts w:cs="Arial"/>
                <w:smallCaps/>
                <w:sz w:val="18"/>
              </w:rPr>
            </w:pPr>
            <w:r>
              <w:rPr>
                <w:rFonts w:cs="Arial"/>
                <w:sz w:val="18"/>
              </w:rPr>
              <w:t>0,048</w:t>
            </w:r>
          </w:p>
        </w:tc>
        <w:tc>
          <w:tcPr>
            <w:tcW w:w="1192" w:type="dxa"/>
          </w:tcPr>
          <w:p>
            <w:pPr>
              <w:pStyle w:val="GesAbsatz"/>
              <w:tabs>
                <w:tab w:val="clear" w:pos="425"/>
                <w:tab w:val="decimal" w:pos="577"/>
              </w:tabs>
              <w:rPr>
                <w:rFonts w:cs="Arial"/>
                <w:sz w:val="18"/>
              </w:rPr>
            </w:pPr>
            <w:r>
              <w:rPr>
                <w:rFonts w:cs="Arial"/>
                <w:sz w:val="18"/>
              </w:rPr>
              <w:t>3</w:t>
            </w:r>
          </w:p>
        </w:tc>
      </w:tr>
      <w:tr>
        <w:tc>
          <w:tcPr>
            <w:tcW w:w="1408" w:type="dxa"/>
          </w:tcPr>
          <w:p>
            <w:pPr>
              <w:pStyle w:val="GesAbsatz"/>
              <w:rPr>
                <w:rFonts w:cs="Arial"/>
                <w:sz w:val="18"/>
              </w:rPr>
            </w:pPr>
            <w:r>
              <w:rPr>
                <w:rFonts w:cs="Arial"/>
                <w:sz w:val="18"/>
              </w:rPr>
              <w:t>Legehennen</w:t>
            </w:r>
          </w:p>
        </w:tc>
        <w:tc>
          <w:tcPr>
            <w:tcW w:w="1197" w:type="dxa"/>
          </w:tcPr>
          <w:p>
            <w:pPr>
              <w:pStyle w:val="GesAbsatz"/>
              <w:tabs>
                <w:tab w:val="clear" w:pos="425"/>
                <w:tab w:val="decimal" w:pos="577"/>
              </w:tabs>
              <w:rPr>
                <w:rFonts w:cs="Arial"/>
                <w:sz w:val="18"/>
              </w:rPr>
            </w:pPr>
            <w:r>
              <w:rPr>
                <w:rFonts w:cs="Arial"/>
                <w:sz w:val="18"/>
              </w:rPr>
              <w:t>310</w:t>
            </w:r>
          </w:p>
        </w:tc>
        <w:tc>
          <w:tcPr>
            <w:tcW w:w="1192" w:type="dxa"/>
          </w:tcPr>
          <w:p>
            <w:pPr>
              <w:pStyle w:val="GesAbsatz"/>
              <w:tabs>
                <w:tab w:val="clear" w:pos="425"/>
                <w:tab w:val="decimal" w:pos="577"/>
              </w:tabs>
              <w:rPr>
                <w:rFonts w:cs="Arial"/>
                <w:sz w:val="18"/>
              </w:rPr>
            </w:pPr>
            <w:r>
              <w:rPr>
                <w:rFonts w:cs="Arial"/>
                <w:sz w:val="18"/>
              </w:rPr>
              <w:t>27,6</w:t>
            </w:r>
          </w:p>
        </w:tc>
        <w:tc>
          <w:tcPr>
            <w:tcW w:w="1197" w:type="dxa"/>
          </w:tcPr>
          <w:p>
            <w:pPr>
              <w:pStyle w:val="GesAbsatz"/>
              <w:tabs>
                <w:tab w:val="clear" w:pos="425"/>
                <w:tab w:val="decimal" w:pos="577"/>
              </w:tabs>
              <w:rPr>
                <w:rFonts w:cs="Arial"/>
                <w:sz w:val="18"/>
              </w:rPr>
            </w:pPr>
            <w:r>
              <w:rPr>
                <w:rFonts w:cs="Arial"/>
                <w:sz w:val="18"/>
              </w:rPr>
              <w:t>9,3</w:t>
            </w:r>
          </w:p>
        </w:tc>
        <w:tc>
          <w:tcPr>
            <w:tcW w:w="1194" w:type="dxa"/>
          </w:tcPr>
          <w:p>
            <w:pPr>
              <w:pStyle w:val="GesAbsatz"/>
              <w:tabs>
                <w:tab w:val="clear" w:pos="425"/>
                <w:tab w:val="decimal" w:pos="577"/>
              </w:tabs>
              <w:rPr>
                <w:rFonts w:cs="Arial"/>
                <w:smallCaps/>
                <w:sz w:val="18"/>
              </w:rPr>
            </w:pPr>
            <w:r>
              <w:rPr>
                <w:rFonts w:cs="Arial"/>
                <w:sz w:val="18"/>
              </w:rPr>
              <w:t>0,0023</w:t>
            </w:r>
          </w:p>
        </w:tc>
        <w:tc>
          <w:tcPr>
            <w:tcW w:w="1203" w:type="dxa"/>
          </w:tcPr>
          <w:p>
            <w:pPr>
              <w:pStyle w:val="GesAbsatz"/>
              <w:tabs>
                <w:tab w:val="clear" w:pos="425"/>
                <w:tab w:val="decimal" w:pos="577"/>
              </w:tabs>
              <w:rPr>
                <w:rFonts w:cs="Arial"/>
                <w:sz w:val="18"/>
              </w:rPr>
            </w:pPr>
            <w:r>
              <w:rPr>
                <w:rFonts w:cs="Arial"/>
                <w:sz w:val="18"/>
              </w:rPr>
              <w:t>0,52</w:t>
            </w:r>
          </w:p>
        </w:tc>
        <w:tc>
          <w:tcPr>
            <w:tcW w:w="1195" w:type="dxa"/>
          </w:tcPr>
          <w:p>
            <w:pPr>
              <w:pStyle w:val="GesAbsatz"/>
              <w:tabs>
                <w:tab w:val="clear" w:pos="425"/>
                <w:tab w:val="decimal" w:pos="577"/>
              </w:tabs>
              <w:rPr>
                <w:rFonts w:cs="Arial"/>
                <w:sz w:val="18"/>
              </w:rPr>
            </w:pPr>
            <w:r>
              <w:rPr>
                <w:rFonts w:cs="Arial"/>
                <w:sz w:val="18"/>
              </w:rPr>
              <w:t>0,065</w:t>
            </w:r>
          </w:p>
        </w:tc>
        <w:tc>
          <w:tcPr>
            <w:tcW w:w="1192" w:type="dxa"/>
          </w:tcPr>
          <w:p>
            <w:pPr>
              <w:pStyle w:val="GesAbsatz"/>
              <w:tabs>
                <w:tab w:val="clear" w:pos="425"/>
                <w:tab w:val="decimal" w:pos="577"/>
              </w:tabs>
              <w:rPr>
                <w:rFonts w:cs="Arial"/>
                <w:sz w:val="18"/>
              </w:rPr>
            </w:pPr>
            <w:r>
              <w:rPr>
                <w:rFonts w:cs="Arial"/>
                <w:sz w:val="18"/>
              </w:rPr>
              <w:t>4</w:t>
            </w:r>
          </w:p>
        </w:tc>
      </w:tr>
      <w:tr>
        <w:tc>
          <w:tcPr>
            <w:tcW w:w="1408" w:type="dxa"/>
          </w:tcPr>
          <w:p>
            <w:pPr>
              <w:pStyle w:val="GesAbsatz"/>
              <w:rPr>
                <w:rFonts w:cs="Arial"/>
                <w:sz w:val="18"/>
              </w:rPr>
            </w:pPr>
            <w:r>
              <w:rPr>
                <w:rFonts w:cs="Arial"/>
                <w:sz w:val="18"/>
              </w:rPr>
              <w:t>Masthühner</w:t>
            </w:r>
          </w:p>
        </w:tc>
        <w:tc>
          <w:tcPr>
            <w:tcW w:w="1197" w:type="dxa"/>
          </w:tcPr>
          <w:p>
            <w:pPr>
              <w:pStyle w:val="GesAbsatz"/>
              <w:tabs>
                <w:tab w:val="clear" w:pos="425"/>
                <w:tab w:val="decimal" w:pos="577"/>
              </w:tabs>
              <w:rPr>
                <w:rFonts w:cs="Arial"/>
                <w:sz w:val="18"/>
              </w:rPr>
            </w:pPr>
            <w:r>
              <w:rPr>
                <w:rFonts w:cs="Arial"/>
                <w:sz w:val="18"/>
              </w:rPr>
              <w:t>420</w:t>
            </w:r>
          </w:p>
        </w:tc>
        <w:tc>
          <w:tcPr>
            <w:tcW w:w="1192" w:type="dxa"/>
          </w:tcPr>
          <w:p>
            <w:pPr>
              <w:pStyle w:val="GesAbsatz"/>
              <w:tabs>
                <w:tab w:val="clear" w:pos="425"/>
                <w:tab w:val="decimal" w:pos="577"/>
              </w:tabs>
              <w:rPr>
                <w:rFonts w:cs="Arial"/>
                <w:sz w:val="18"/>
              </w:rPr>
            </w:pPr>
            <w:r>
              <w:rPr>
                <w:rFonts w:cs="Arial"/>
                <w:sz w:val="18"/>
              </w:rPr>
              <w:t>27,6</w:t>
            </w:r>
          </w:p>
        </w:tc>
        <w:tc>
          <w:tcPr>
            <w:tcW w:w="1197" w:type="dxa"/>
          </w:tcPr>
          <w:p>
            <w:pPr>
              <w:pStyle w:val="GesAbsatz"/>
              <w:tabs>
                <w:tab w:val="clear" w:pos="425"/>
                <w:tab w:val="decimal" w:pos="577"/>
              </w:tabs>
              <w:rPr>
                <w:rFonts w:cs="Arial"/>
                <w:sz w:val="18"/>
              </w:rPr>
            </w:pPr>
            <w:r>
              <w:rPr>
                <w:rFonts w:cs="Arial"/>
                <w:sz w:val="18"/>
              </w:rPr>
              <w:t>6,9</w:t>
            </w:r>
          </w:p>
        </w:tc>
        <w:tc>
          <w:tcPr>
            <w:tcW w:w="1194" w:type="dxa"/>
          </w:tcPr>
          <w:p>
            <w:pPr>
              <w:pStyle w:val="GesAbsatz"/>
              <w:tabs>
                <w:tab w:val="clear" w:pos="425"/>
                <w:tab w:val="decimal" w:pos="577"/>
              </w:tabs>
              <w:rPr>
                <w:rFonts w:cs="Arial"/>
                <w:sz w:val="18"/>
              </w:rPr>
            </w:pPr>
            <w:r>
              <w:rPr>
                <w:rFonts w:cs="Arial"/>
                <w:sz w:val="18"/>
              </w:rPr>
              <w:t>0,0017</w:t>
            </w:r>
          </w:p>
        </w:tc>
        <w:tc>
          <w:tcPr>
            <w:tcW w:w="1203" w:type="dxa"/>
          </w:tcPr>
          <w:p>
            <w:pPr>
              <w:pStyle w:val="GesAbsatz"/>
              <w:tabs>
                <w:tab w:val="clear" w:pos="425"/>
                <w:tab w:val="decimal" w:pos="577"/>
              </w:tabs>
              <w:rPr>
                <w:rFonts w:cs="Arial"/>
                <w:sz w:val="18"/>
              </w:rPr>
            </w:pPr>
            <w:r>
              <w:rPr>
                <w:rFonts w:cs="Arial"/>
                <w:sz w:val="18"/>
              </w:rPr>
              <w:t>0,38</w:t>
            </w:r>
          </w:p>
        </w:tc>
        <w:tc>
          <w:tcPr>
            <w:tcW w:w="1195" w:type="dxa"/>
          </w:tcPr>
          <w:p>
            <w:pPr>
              <w:pStyle w:val="GesAbsatz"/>
              <w:tabs>
                <w:tab w:val="clear" w:pos="425"/>
                <w:tab w:val="decimal" w:pos="577"/>
              </w:tabs>
              <w:rPr>
                <w:rFonts w:cs="Arial"/>
                <w:sz w:val="18"/>
              </w:rPr>
            </w:pPr>
            <w:r>
              <w:rPr>
                <w:rFonts w:cs="Arial"/>
                <w:sz w:val="18"/>
              </w:rPr>
              <w:t>0,048</w:t>
            </w:r>
          </w:p>
        </w:tc>
        <w:tc>
          <w:tcPr>
            <w:tcW w:w="1192" w:type="dxa"/>
          </w:tcPr>
          <w:p>
            <w:pPr>
              <w:pStyle w:val="GesAbsatz"/>
              <w:tabs>
                <w:tab w:val="clear" w:pos="425"/>
                <w:tab w:val="decimal" w:pos="577"/>
              </w:tabs>
              <w:rPr>
                <w:rFonts w:cs="Arial"/>
                <w:sz w:val="18"/>
              </w:rPr>
            </w:pPr>
            <w:r>
              <w:rPr>
                <w:rFonts w:cs="Arial"/>
                <w:sz w:val="18"/>
              </w:rPr>
              <w:t>3</w:t>
            </w:r>
          </w:p>
        </w:tc>
      </w:tr>
      <w:tr>
        <w:tc>
          <w:tcPr>
            <w:tcW w:w="1408" w:type="dxa"/>
            <w:vAlign w:val="center"/>
          </w:tcPr>
          <w:p>
            <w:pPr>
              <w:pStyle w:val="GesAbsatz"/>
              <w:rPr>
                <w:rFonts w:eastAsia="Arial Unicode MS" w:cs="Arial"/>
                <w:sz w:val="18"/>
                <w:szCs w:val="24"/>
              </w:rPr>
            </w:pPr>
            <w:r>
              <w:rPr>
                <w:rFonts w:cs="Arial"/>
                <w:sz w:val="18"/>
              </w:rPr>
              <w:t xml:space="preserve">sonstige </w:t>
            </w:r>
          </w:p>
        </w:tc>
        <w:tc>
          <w:tcPr>
            <w:tcW w:w="1197" w:type="dxa"/>
          </w:tcPr>
          <w:p>
            <w:pPr>
              <w:pStyle w:val="GesAbsatz"/>
              <w:tabs>
                <w:tab w:val="clear" w:pos="425"/>
                <w:tab w:val="decimal" w:pos="577"/>
              </w:tabs>
              <w:rPr>
                <w:rFonts w:eastAsia="Arial Unicode MS" w:cs="Arial"/>
                <w:sz w:val="18"/>
                <w:szCs w:val="24"/>
              </w:rPr>
            </w:pPr>
            <w:r>
              <w:rPr>
                <w:rFonts w:cs="Arial"/>
                <w:sz w:val="18"/>
              </w:rPr>
              <w:t>200</w:t>
            </w:r>
          </w:p>
        </w:tc>
        <w:tc>
          <w:tcPr>
            <w:tcW w:w="1192" w:type="dxa"/>
          </w:tcPr>
          <w:p>
            <w:pPr>
              <w:pStyle w:val="GesAbsatz"/>
              <w:tabs>
                <w:tab w:val="clear" w:pos="425"/>
                <w:tab w:val="decimal" w:pos="577"/>
              </w:tabs>
              <w:rPr>
                <w:rFonts w:eastAsia="Arial Unicode MS" w:cs="Arial"/>
                <w:sz w:val="18"/>
                <w:szCs w:val="24"/>
              </w:rPr>
            </w:pPr>
            <w:r>
              <w:rPr>
                <w:rFonts w:cs="Arial"/>
                <w:sz w:val="18"/>
              </w:rPr>
              <w:t>27,6</w:t>
            </w:r>
          </w:p>
        </w:tc>
        <w:tc>
          <w:tcPr>
            <w:tcW w:w="1197" w:type="dxa"/>
          </w:tcPr>
          <w:p>
            <w:pPr>
              <w:pStyle w:val="GesAbsatz"/>
              <w:tabs>
                <w:tab w:val="clear" w:pos="425"/>
                <w:tab w:val="decimal" w:pos="577"/>
              </w:tabs>
              <w:rPr>
                <w:rFonts w:eastAsia="Arial Unicode MS" w:cs="Arial"/>
                <w:sz w:val="18"/>
                <w:szCs w:val="24"/>
              </w:rPr>
            </w:pPr>
            <w:r>
              <w:rPr>
                <w:rFonts w:cs="Arial"/>
                <w:sz w:val="18"/>
              </w:rPr>
              <w:t>17,5</w:t>
            </w:r>
          </w:p>
        </w:tc>
        <w:tc>
          <w:tcPr>
            <w:tcW w:w="1194" w:type="dxa"/>
          </w:tcPr>
          <w:p>
            <w:pPr>
              <w:pStyle w:val="GesAbsatz"/>
              <w:tabs>
                <w:tab w:val="clear" w:pos="425"/>
                <w:tab w:val="decimal" w:pos="577"/>
              </w:tabs>
              <w:rPr>
                <w:rFonts w:eastAsia="Arial Unicode MS" w:cs="Arial"/>
                <w:sz w:val="18"/>
                <w:szCs w:val="24"/>
              </w:rPr>
            </w:pPr>
            <w:r>
              <w:rPr>
                <w:rFonts w:cs="Arial"/>
                <w:sz w:val="18"/>
              </w:rPr>
              <w:t>0,0044</w:t>
            </w:r>
          </w:p>
        </w:tc>
        <w:tc>
          <w:tcPr>
            <w:tcW w:w="1203" w:type="dxa"/>
          </w:tcPr>
          <w:p>
            <w:pPr>
              <w:pStyle w:val="GesAbsatz"/>
              <w:tabs>
                <w:tab w:val="clear" w:pos="425"/>
                <w:tab w:val="decimal" w:pos="577"/>
              </w:tabs>
              <w:rPr>
                <w:rFonts w:eastAsia="Arial Unicode MS" w:cs="Arial"/>
                <w:sz w:val="18"/>
                <w:szCs w:val="24"/>
              </w:rPr>
            </w:pPr>
            <w:r>
              <w:rPr>
                <w:rFonts w:cs="Arial"/>
                <w:sz w:val="18"/>
              </w:rPr>
              <w:t>0,97</w:t>
            </w:r>
          </w:p>
        </w:tc>
        <w:tc>
          <w:tcPr>
            <w:tcW w:w="1195" w:type="dxa"/>
          </w:tcPr>
          <w:p>
            <w:pPr>
              <w:pStyle w:val="GesAbsatz"/>
              <w:tabs>
                <w:tab w:val="clear" w:pos="425"/>
                <w:tab w:val="decimal" w:pos="577"/>
              </w:tabs>
              <w:rPr>
                <w:rFonts w:eastAsia="Arial Unicode MS" w:cs="Arial"/>
                <w:sz w:val="18"/>
                <w:szCs w:val="24"/>
              </w:rPr>
            </w:pPr>
            <w:r>
              <w:rPr>
                <w:rFonts w:cs="Arial"/>
                <w:sz w:val="18"/>
              </w:rPr>
              <w:t>0,123</w:t>
            </w:r>
          </w:p>
        </w:tc>
        <w:tc>
          <w:tcPr>
            <w:tcW w:w="1192" w:type="dxa"/>
          </w:tcPr>
          <w:p>
            <w:pPr>
              <w:pStyle w:val="GesAbsatz"/>
              <w:tabs>
                <w:tab w:val="clear" w:pos="425"/>
                <w:tab w:val="decimal" w:pos="577"/>
              </w:tabs>
              <w:rPr>
                <w:rFonts w:eastAsia="Arial Unicode MS" w:cs="Arial"/>
                <w:sz w:val="18"/>
                <w:szCs w:val="24"/>
              </w:rPr>
            </w:pPr>
            <w:r>
              <w:rPr>
                <w:rFonts w:cs="Arial"/>
                <w:sz w:val="18"/>
              </w:rPr>
              <w:t>7,5</w:t>
            </w:r>
          </w:p>
        </w:tc>
      </w:tr>
      <w:tr>
        <w:tc>
          <w:tcPr>
            <w:tcW w:w="1408" w:type="dxa"/>
            <w:vAlign w:val="center"/>
          </w:tcPr>
          <w:p>
            <w:pPr>
              <w:pStyle w:val="GesAbsatz"/>
              <w:rPr>
                <w:rFonts w:eastAsia="Arial Unicode MS" w:cs="Arial"/>
                <w:sz w:val="18"/>
                <w:szCs w:val="24"/>
              </w:rPr>
            </w:pPr>
            <w:r>
              <w:rPr>
                <w:rFonts w:cs="Arial"/>
                <w:sz w:val="18"/>
              </w:rPr>
              <w:t xml:space="preserve">Schafe </w:t>
            </w:r>
          </w:p>
        </w:tc>
        <w:tc>
          <w:tcPr>
            <w:tcW w:w="1197" w:type="dxa"/>
          </w:tcPr>
          <w:p>
            <w:pPr>
              <w:pStyle w:val="GesAbsatz"/>
              <w:tabs>
                <w:tab w:val="clear" w:pos="425"/>
                <w:tab w:val="decimal" w:pos="577"/>
              </w:tabs>
              <w:rPr>
                <w:rFonts w:eastAsia="Arial Unicode MS" w:cs="Arial"/>
                <w:sz w:val="18"/>
                <w:szCs w:val="24"/>
              </w:rPr>
            </w:pPr>
            <w:r>
              <w:rPr>
                <w:rFonts w:cs="Arial"/>
                <w:sz w:val="18"/>
              </w:rPr>
              <w:t>0,09</w:t>
            </w:r>
          </w:p>
        </w:tc>
        <w:tc>
          <w:tcPr>
            <w:tcW w:w="1192" w:type="dxa"/>
          </w:tcPr>
          <w:p>
            <w:pPr>
              <w:pStyle w:val="GesAbsatz"/>
              <w:tabs>
                <w:tab w:val="clear" w:pos="425"/>
                <w:tab w:val="decimal" w:pos="577"/>
              </w:tabs>
              <w:rPr>
                <w:rFonts w:eastAsia="Arial Unicode MS" w:cs="Arial"/>
                <w:sz w:val="18"/>
                <w:szCs w:val="24"/>
              </w:rPr>
            </w:pPr>
            <w:r>
              <w:rPr>
                <w:rFonts w:cs="Arial"/>
                <w:sz w:val="18"/>
              </w:rPr>
              <w:t>20</w:t>
            </w:r>
            <w:r>
              <w:rPr>
                <w:rFonts w:cs="Arial"/>
                <w:sz w:val="18"/>
                <w:vertAlign w:val="superscript"/>
              </w:rPr>
              <w:t xml:space="preserve"> 7</w:t>
            </w:r>
          </w:p>
        </w:tc>
        <w:tc>
          <w:tcPr>
            <w:tcW w:w="1197" w:type="dxa"/>
          </w:tcPr>
          <w:p>
            <w:pPr>
              <w:pStyle w:val="GesAbsatz"/>
              <w:tabs>
                <w:tab w:val="clear" w:pos="425"/>
                <w:tab w:val="decimal" w:pos="577"/>
              </w:tabs>
              <w:rPr>
                <w:rFonts w:eastAsia="Arial Unicode MS" w:cs="Arial"/>
                <w:sz w:val="18"/>
                <w:szCs w:val="24"/>
              </w:rPr>
            </w:pPr>
            <w:r>
              <w:rPr>
                <w:rFonts w:cs="Arial"/>
                <w:sz w:val="18"/>
              </w:rPr>
              <w:t>142</w:t>
            </w:r>
          </w:p>
        </w:tc>
        <w:tc>
          <w:tcPr>
            <w:tcW w:w="1194" w:type="dxa"/>
          </w:tcPr>
          <w:p>
            <w:pPr>
              <w:pStyle w:val="GesAbsatz"/>
              <w:tabs>
                <w:tab w:val="clear" w:pos="425"/>
                <w:tab w:val="decimal" w:pos="577"/>
              </w:tabs>
              <w:rPr>
                <w:rFonts w:eastAsia="Arial Unicode MS" w:cs="Arial"/>
                <w:sz w:val="18"/>
                <w:szCs w:val="24"/>
              </w:rPr>
            </w:pPr>
            <w:r>
              <w:rPr>
                <w:rFonts w:cs="Arial"/>
                <w:sz w:val="18"/>
              </w:rPr>
              <w:t>0,06</w:t>
            </w:r>
          </w:p>
        </w:tc>
        <w:tc>
          <w:tcPr>
            <w:tcW w:w="1203" w:type="dxa"/>
          </w:tcPr>
          <w:p>
            <w:pPr>
              <w:pStyle w:val="GesAbsatz"/>
              <w:tabs>
                <w:tab w:val="clear" w:pos="425"/>
                <w:tab w:val="decimal" w:pos="577"/>
              </w:tabs>
              <w:rPr>
                <w:rFonts w:eastAsia="Arial Unicode MS" w:cs="Arial"/>
                <w:sz w:val="18"/>
                <w:szCs w:val="24"/>
              </w:rPr>
            </w:pPr>
            <w:r>
              <w:rPr>
                <w:rFonts w:cs="Arial"/>
                <w:sz w:val="18"/>
              </w:rPr>
              <w:t>7,1</w:t>
            </w:r>
          </w:p>
        </w:tc>
        <w:tc>
          <w:tcPr>
            <w:tcW w:w="1195" w:type="dxa"/>
          </w:tcPr>
          <w:p>
            <w:pPr>
              <w:pStyle w:val="GesAbsatz"/>
              <w:tabs>
                <w:tab w:val="clear" w:pos="425"/>
                <w:tab w:val="decimal" w:pos="577"/>
              </w:tabs>
              <w:rPr>
                <w:rFonts w:eastAsia="Arial Unicode MS" w:cs="Arial"/>
                <w:sz w:val="18"/>
                <w:szCs w:val="24"/>
              </w:rPr>
            </w:pPr>
            <w:r>
              <w:rPr>
                <w:rFonts w:cs="Arial"/>
                <w:sz w:val="18"/>
              </w:rPr>
              <w:t>1,3</w:t>
            </w:r>
          </w:p>
        </w:tc>
        <w:tc>
          <w:tcPr>
            <w:tcW w:w="1192" w:type="dxa"/>
          </w:tcPr>
          <w:p>
            <w:pPr>
              <w:pStyle w:val="GesAbsatz"/>
              <w:tabs>
                <w:tab w:val="clear" w:pos="425"/>
                <w:tab w:val="decimal" w:pos="577"/>
              </w:tabs>
              <w:rPr>
                <w:rFonts w:eastAsia="Arial Unicode MS" w:cs="Arial"/>
                <w:sz w:val="18"/>
                <w:szCs w:val="24"/>
              </w:rPr>
            </w:pPr>
            <w:r>
              <w:rPr>
                <w:rFonts w:cs="Arial"/>
                <w:sz w:val="18"/>
              </w:rPr>
              <w:t>31</w:t>
            </w:r>
          </w:p>
        </w:tc>
      </w:tr>
      <w:tr>
        <w:tc>
          <w:tcPr>
            <w:tcW w:w="1408" w:type="dxa"/>
            <w:vAlign w:val="center"/>
          </w:tcPr>
          <w:p>
            <w:pPr>
              <w:pStyle w:val="GesAbsatz"/>
              <w:rPr>
                <w:rFonts w:eastAsia="Arial Unicode MS" w:cs="Arial"/>
                <w:sz w:val="18"/>
                <w:szCs w:val="24"/>
              </w:rPr>
            </w:pPr>
            <w:r>
              <w:rPr>
                <w:rFonts w:cs="Arial"/>
                <w:sz w:val="18"/>
              </w:rPr>
              <w:lastRenderedPageBreak/>
              <w:t xml:space="preserve">Pferde </w:t>
            </w:r>
          </w:p>
        </w:tc>
        <w:tc>
          <w:tcPr>
            <w:tcW w:w="1197" w:type="dxa"/>
          </w:tcPr>
          <w:p>
            <w:pPr>
              <w:pStyle w:val="GesAbsatz"/>
              <w:tabs>
                <w:tab w:val="clear" w:pos="425"/>
                <w:tab w:val="decimal" w:pos="577"/>
              </w:tabs>
              <w:rPr>
                <w:rFonts w:eastAsia="Arial Unicode MS" w:cs="Arial"/>
                <w:sz w:val="18"/>
                <w:szCs w:val="24"/>
              </w:rPr>
            </w:pPr>
            <w:r>
              <w:rPr>
                <w:rFonts w:cs="Arial"/>
                <w:sz w:val="18"/>
              </w:rPr>
              <w:t>0,9</w:t>
            </w:r>
          </w:p>
        </w:tc>
        <w:tc>
          <w:tcPr>
            <w:tcW w:w="1192" w:type="dxa"/>
          </w:tcPr>
          <w:p>
            <w:pPr>
              <w:pStyle w:val="GesAbsatz"/>
              <w:tabs>
                <w:tab w:val="clear" w:pos="425"/>
                <w:tab w:val="decimal" w:pos="577"/>
              </w:tabs>
              <w:rPr>
                <w:rFonts w:eastAsia="Arial Unicode MS" w:cs="Arial"/>
                <w:sz w:val="18"/>
                <w:szCs w:val="24"/>
              </w:rPr>
            </w:pPr>
            <w:r>
              <w:rPr>
                <w:rFonts w:cs="Arial"/>
                <w:sz w:val="18"/>
              </w:rPr>
              <w:t>20</w:t>
            </w:r>
            <w:r>
              <w:rPr>
                <w:rFonts w:cs="Arial"/>
                <w:sz w:val="18"/>
                <w:vertAlign w:val="superscript"/>
              </w:rPr>
              <w:t>8</w:t>
            </w:r>
            <w:r>
              <w:rPr>
                <w:rFonts w:cs="Arial"/>
                <w:sz w:val="18"/>
              </w:rPr>
              <w:t xml:space="preserve"> </w:t>
            </w:r>
          </w:p>
        </w:tc>
        <w:tc>
          <w:tcPr>
            <w:tcW w:w="1197" w:type="dxa"/>
          </w:tcPr>
          <w:p>
            <w:pPr>
              <w:pStyle w:val="GesAbsatz"/>
              <w:tabs>
                <w:tab w:val="clear" w:pos="425"/>
                <w:tab w:val="decimal" w:pos="577"/>
              </w:tabs>
              <w:rPr>
                <w:rFonts w:eastAsia="Arial Unicode MS" w:cs="Arial"/>
                <w:sz w:val="18"/>
                <w:szCs w:val="24"/>
              </w:rPr>
            </w:pPr>
            <w:r>
              <w:rPr>
                <w:rFonts w:cs="Arial"/>
                <w:sz w:val="18"/>
              </w:rPr>
              <w:t>1418</w:t>
            </w:r>
          </w:p>
        </w:tc>
        <w:tc>
          <w:tcPr>
            <w:tcW w:w="1194" w:type="dxa"/>
          </w:tcPr>
          <w:p>
            <w:pPr>
              <w:pStyle w:val="GesAbsatz"/>
              <w:tabs>
                <w:tab w:val="clear" w:pos="425"/>
                <w:tab w:val="decimal" w:pos="577"/>
              </w:tabs>
              <w:rPr>
                <w:rFonts w:eastAsia="Arial Unicode MS" w:cs="Arial"/>
                <w:sz w:val="18"/>
                <w:szCs w:val="24"/>
              </w:rPr>
            </w:pPr>
            <w:r>
              <w:rPr>
                <w:rFonts w:cs="Arial"/>
                <w:sz w:val="18"/>
              </w:rPr>
              <w:t>0,64</w:t>
            </w:r>
          </w:p>
        </w:tc>
        <w:tc>
          <w:tcPr>
            <w:tcW w:w="1203" w:type="dxa"/>
          </w:tcPr>
          <w:p>
            <w:pPr>
              <w:pStyle w:val="GesAbsatz"/>
              <w:tabs>
                <w:tab w:val="clear" w:pos="425"/>
                <w:tab w:val="decimal" w:pos="577"/>
              </w:tabs>
              <w:rPr>
                <w:rFonts w:eastAsia="Arial Unicode MS" w:cs="Arial"/>
                <w:sz w:val="18"/>
                <w:szCs w:val="24"/>
              </w:rPr>
            </w:pPr>
            <w:r>
              <w:rPr>
                <w:rFonts w:cs="Arial"/>
                <w:sz w:val="18"/>
              </w:rPr>
              <w:t>70,9</w:t>
            </w:r>
          </w:p>
        </w:tc>
        <w:tc>
          <w:tcPr>
            <w:tcW w:w="1195" w:type="dxa"/>
          </w:tcPr>
          <w:p>
            <w:pPr>
              <w:pStyle w:val="GesAbsatz"/>
              <w:tabs>
                <w:tab w:val="clear" w:pos="425"/>
                <w:tab w:val="decimal" w:pos="577"/>
              </w:tabs>
              <w:rPr>
                <w:rFonts w:eastAsia="Arial Unicode MS" w:cs="Arial"/>
                <w:sz w:val="18"/>
                <w:szCs w:val="24"/>
              </w:rPr>
            </w:pPr>
            <w:r>
              <w:rPr>
                <w:rFonts w:cs="Arial"/>
                <w:sz w:val="18"/>
              </w:rPr>
              <w:t>12,8</w:t>
            </w:r>
          </w:p>
        </w:tc>
        <w:tc>
          <w:tcPr>
            <w:tcW w:w="1192" w:type="dxa"/>
          </w:tcPr>
          <w:p>
            <w:pPr>
              <w:pStyle w:val="GesAbsatz"/>
              <w:tabs>
                <w:tab w:val="clear" w:pos="425"/>
                <w:tab w:val="decimal" w:pos="577"/>
              </w:tabs>
              <w:rPr>
                <w:rFonts w:eastAsia="Arial Unicode MS" w:cs="Arial"/>
                <w:sz w:val="18"/>
                <w:szCs w:val="24"/>
              </w:rPr>
            </w:pPr>
            <w:r>
              <w:rPr>
                <w:rFonts w:cs="Arial"/>
                <w:sz w:val="18"/>
              </w:rPr>
              <w:t>312</w:t>
            </w:r>
          </w:p>
        </w:tc>
      </w:tr>
      <w:tr>
        <w:trPr>
          <w:cantSplit/>
        </w:trPr>
        <w:tc>
          <w:tcPr>
            <w:tcW w:w="9778" w:type="dxa"/>
            <w:gridSpan w:val="8"/>
            <w:vAlign w:val="center"/>
          </w:tcPr>
          <w:p>
            <w:pPr>
              <w:pStyle w:val="GesAbsatz"/>
              <w:rPr>
                <w:rFonts w:cs="Arial"/>
                <w:sz w:val="18"/>
              </w:rPr>
            </w:pPr>
            <w:r>
              <w:rPr>
                <w:rFonts w:cs="Arial"/>
                <w:sz w:val="18"/>
                <w:vertAlign w:val="superscript"/>
              </w:rPr>
              <w:t>1</w:t>
            </w:r>
            <w:r>
              <w:rPr>
                <w:rFonts w:cs="Arial"/>
                <w:sz w:val="18"/>
              </w:rPr>
              <w:t xml:space="preserve"> kg je Tier und Jahr, unterstellte Dichte: 1,05, TS-Gehalte wie angegeben</w:t>
            </w:r>
            <w:r>
              <w:rPr>
                <w:rFonts w:cs="Arial"/>
                <w:sz w:val="18"/>
              </w:rPr>
              <w:br/>
            </w:r>
            <w:r>
              <w:rPr>
                <w:rFonts w:cs="Arial"/>
                <w:sz w:val="18"/>
                <w:vertAlign w:val="superscript"/>
              </w:rPr>
              <w:t>2</w:t>
            </w:r>
            <w:r>
              <w:rPr>
                <w:rFonts w:cs="Arial"/>
                <w:sz w:val="18"/>
              </w:rPr>
              <w:t xml:space="preserve"> g je Tier bzw. Stallplatz und Jahr</w:t>
            </w:r>
            <w:r>
              <w:rPr>
                <w:rFonts w:cs="Arial"/>
                <w:sz w:val="18"/>
              </w:rPr>
              <w:br/>
            </w:r>
            <w:r>
              <w:rPr>
                <w:rFonts w:cs="Arial"/>
                <w:sz w:val="18"/>
                <w:vertAlign w:val="superscript"/>
              </w:rPr>
              <w:t>3</w:t>
            </w:r>
            <w:r>
              <w:rPr>
                <w:rFonts w:cs="Arial"/>
                <w:sz w:val="18"/>
              </w:rPr>
              <w:t xml:space="preserve"> Rindergülle: 7,5 % TS</w:t>
            </w:r>
            <w:r>
              <w:rPr>
                <w:rFonts w:cs="Arial"/>
                <w:sz w:val="18"/>
              </w:rPr>
              <w:br/>
            </w:r>
            <w:r>
              <w:rPr>
                <w:rFonts w:cs="Arial"/>
                <w:sz w:val="18"/>
                <w:vertAlign w:val="superscript"/>
              </w:rPr>
              <w:t>4</w:t>
            </w:r>
            <w:r>
              <w:rPr>
                <w:rFonts w:cs="Arial"/>
                <w:sz w:val="18"/>
              </w:rPr>
              <w:t xml:space="preserve"> Schweinegülle: 5 % TS</w:t>
            </w:r>
            <w:r>
              <w:rPr>
                <w:rFonts w:cs="Arial"/>
                <w:sz w:val="18"/>
              </w:rPr>
              <w:br/>
            </w:r>
            <w:r>
              <w:rPr>
                <w:rFonts w:cs="Arial"/>
                <w:sz w:val="18"/>
                <w:vertAlign w:val="superscript"/>
              </w:rPr>
              <w:t>5</w:t>
            </w:r>
            <w:r>
              <w:rPr>
                <w:rFonts w:cs="Arial"/>
                <w:sz w:val="18"/>
              </w:rPr>
              <w:t xml:space="preserve"> Geflügel: Tiere je GV</w:t>
            </w:r>
            <w:r>
              <w:rPr>
                <w:rFonts w:cs="Arial"/>
                <w:sz w:val="18"/>
              </w:rPr>
              <w:br/>
            </w:r>
            <w:r>
              <w:rPr>
                <w:rFonts w:cs="Arial"/>
                <w:sz w:val="18"/>
                <w:vertAlign w:val="superscript"/>
              </w:rPr>
              <w:t>6</w:t>
            </w:r>
            <w:r>
              <w:rPr>
                <w:rFonts w:cs="Arial"/>
                <w:sz w:val="18"/>
              </w:rPr>
              <w:t xml:space="preserve"> Geflügelgülle: 10 % TS</w:t>
            </w:r>
            <w:r>
              <w:rPr>
                <w:rFonts w:cs="Arial"/>
                <w:sz w:val="18"/>
              </w:rPr>
              <w:br/>
            </w:r>
            <w:r>
              <w:rPr>
                <w:rFonts w:cs="Arial"/>
                <w:sz w:val="18"/>
                <w:vertAlign w:val="superscript"/>
              </w:rPr>
              <w:t xml:space="preserve">7 </w:t>
            </w:r>
            <w:r>
              <w:rPr>
                <w:rFonts w:cs="Arial"/>
                <w:sz w:val="18"/>
              </w:rPr>
              <w:t>entsprechend Jungrind unter 1 Jahr</w:t>
            </w:r>
            <w:r>
              <w:rPr>
                <w:rFonts w:cs="Arial"/>
                <w:sz w:val="18"/>
              </w:rPr>
              <w:br/>
            </w:r>
            <w:r>
              <w:rPr>
                <w:rFonts w:cs="Arial"/>
                <w:sz w:val="18"/>
                <w:vertAlign w:val="superscript"/>
              </w:rPr>
              <w:t xml:space="preserve">8 </w:t>
            </w:r>
            <w:r>
              <w:rPr>
                <w:rFonts w:cs="Arial"/>
                <w:sz w:val="18"/>
              </w:rPr>
              <w:t>entsprechend Rind 1-2 Jahre</w:t>
            </w:r>
            <w:r>
              <w:rPr>
                <w:rFonts w:cs="Arial"/>
                <w:sz w:val="18"/>
              </w:rPr>
              <w:br/>
            </w:r>
            <w:r>
              <w:rPr>
                <w:rFonts w:cs="Arial"/>
                <w:sz w:val="18"/>
                <w:vertAlign w:val="superscript"/>
              </w:rPr>
              <w:t>9</w:t>
            </w:r>
            <w:r>
              <w:rPr>
                <w:rFonts w:cs="Arial"/>
                <w:sz w:val="18"/>
              </w:rPr>
              <w:t xml:space="preserve"> Söntgerath et al., 1992; zit. in Brenk und Werner, 1997</w:t>
            </w:r>
            <w:r>
              <w:rPr>
                <w:rFonts w:cs="Arial"/>
                <w:sz w:val="18"/>
              </w:rPr>
              <w:br/>
            </w:r>
            <w:r>
              <w:rPr>
                <w:rFonts w:cs="Arial"/>
                <w:sz w:val="18"/>
                <w:vertAlign w:val="subscript"/>
              </w:rPr>
              <w:t>10</w:t>
            </w:r>
            <w:r>
              <w:rPr>
                <w:rFonts w:cs="Arial"/>
                <w:sz w:val="18"/>
              </w:rPr>
              <w:t xml:space="preserve"> nach Umrechnungsschlüssel für GV, aufgestellt vom BMELF, in Statistisches Bundesamt, 1997</w:t>
            </w:r>
          </w:p>
        </w:tc>
      </w:tr>
    </w:tbl>
    <w:p>
      <w:pPr>
        <w:pStyle w:val="GesAbsatz"/>
        <w:rPr>
          <w:rFonts w:eastAsia="Arial Unicode MS" w:cs="Arial"/>
          <w:szCs w:val="24"/>
        </w:rPr>
      </w:pPr>
    </w:p>
    <w:p>
      <w:pPr>
        <w:pStyle w:val="berschrift3"/>
        <w:jc w:val="left"/>
        <w:rPr>
          <w:rFonts w:eastAsia="Arial Unicode MS"/>
        </w:rPr>
      </w:pPr>
      <w:bookmarkStart w:id="6" w:name="_Toc45599494"/>
      <w:r>
        <w:t>2.4 Klärschlamm</w:t>
      </w:r>
      <w:bookmarkEnd w:id="6"/>
    </w:p>
    <w:p>
      <w:pPr>
        <w:pStyle w:val="GesAbsatz"/>
        <w:rPr>
          <w:rFonts w:eastAsia="Arial Unicode MS" w:cs="Arial"/>
        </w:rPr>
      </w:pPr>
      <w:r>
        <w:rPr>
          <w:rFonts w:cs="Arial"/>
        </w:rPr>
        <w:t>Der mögliche Nährstoff- und Schwermetallanfall aus Klärschlämmen richtet sich nach:</w:t>
      </w:r>
    </w:p>
    <w:p>
      <w:pPr>
        <w:pStyle w:val="GesAbsatz"/>
        <w:rPr>
          <w:rFonts w:eastAsia="Arial Unicode MS" w:cs="Arial"/>
        </w:rPr>
      </w:pPr>
      <w:r>
        <w:rPr>
          <w:rFonts w:cs="Arial"/>
        </w:rPr>
        <w:t>-</w:t>
      </w:r>
      <w:r>
        <w:rPr>
          <w:rFonts w:cs="Arial"/>
        </w:rPr>
        <w:tab/>
        <w:t>der insgesamt anfallenden Menge</w:t>
      </w:r>
    </w:p>
    <w:p>
      <w:pPr>
        <w:pStyle w:val="GesAbsatz"/>
        <w:rPr>
          <w:rFonts w:eastAsia="Arial Unicode MS" w:cs="Arial"/>
        </w:rPr>
      </w:pPr>
      <w:r>
        <w:rPr>
          <w:rFonts w:cs="Arial"/>
        </w:rPr>
        <w:t>-</w:t>
      </w:r>
      <w:r>
        <w:rPr>
          <w:rFonts w:cs="Arial"/>
        </w:rPr>
        <w:tab/>
        <w:t>der Höhe des Anteils, der landwirtschaftlich verwertet wird und</w:t>
      </w:r>
    </w:p>
    <w:p>
      <w:pPr>
        <w:pStyle w:val="GesAbsatz"/>
        <w:rPr>
          <w:rFonts w:cs="Arial"/>
        </w:rPr>
      </w:pPr>
      <w:r>
        <w:rPr>
          <w:rFonts w:cs="Arial"/>
        </w:rPr>
        <w:t>-</w:t>
      </w:r>
      <w:r>
        <w:rPr>
          <w:rFonts w:cs="Arial"/>
        </w:rPr>
        <w:tab/>
        <w:t>dem durchschnittlichen Nährstoff- und Schwermetallgehalt der Schlämme.</w:t>
      </w:r>
    </w:p>
    <w:p>
      <w:pPr>
        <w:pStyle w:val="GesAbsatz"/>
        <w:rPr>
          <w:rFonts w:cs="Arial"/>
          <w:b/>
          <w:bCs/>
        </w:rPr>
      </w:pPr>
      <w:r>
        <w:rPr>
          <w:rFonts w:cs="Arial"/>
          <w:b/>
          <w:bCs/>
        </w:rPr>
        <w:t>Mengen und Verbleib</w:t>
      </w:r>
    </w:p>
    <w:p>
      <w:pPr>
        <w:pStyle w:val="GesAbsatz"/>
        <w:rPr>
          <w:rFonts w:cs="Arial"/>
        </w:rPr>
      </w:pPr>
      <w:r>
        <w:rPr>
          <w:rFonts w:cs="Arial"/>
        </w:rPr>
        <w:t>Die aktuell anfallenden Klärschlammmengen in den Kreisen und kreisfreien Städten in Nordrhein-Westfalen wurden aus den Daten des Kläranlagenkatasters des Landesumweltamtes Nordrhein-Westfalen (LUA 1998a) entnommen. Insgesamt fielen im Jahr 1997 in den kommunalen Kläranlagen 523.703 Mg Klärschlammtrockensubstanz an, wovon 76 % (396.709 Mg) innerhalb und 24 % (126.994 Mg) außerhalb Nordrhein-Westfalens verwertet bzw. beseitigt wurden.</w:t>
      </w:r>
    </w:p>
    <w:p>
      <w:pPr>
        <w:pStyle w:val="GesAbsatz"/>
        <w:rPr>
          <w:rFonts w:cs="Arial"/>
        </w:rPr>
      </w:pPr>
      <w:r>
        <w:rPr>
          <w:rFonts w:cs="Arial"/>
        </w:rPr>
        <w:t>Im Kläranlagenkataster ist auch der Verbleib der Klärschlämme auf Kreisebene festgehalten. Von den insgesamt 523.703 Mg Klärschlammtrockensubstanz wurden innerhalb Nordrhein-Westfalens ca. 97.300 Mg und außerhalb Nordrhein-Westfalens weitere 51.100 Mg landwirtschaftlich verwertet, was gut 28 % der Gesamtmenge entspricht. Weiterhin wurden 11 % der anfallenden Klärschlämme landschaftsbaulich verwertet und weitere 11 % einer stofflichen Verwertung durch die Kompostierung zugeführt. Die Anteile der einzelnen Beseitigungs- und Verwertungspfade sind in Abbildung 1 dargestellt.</w:t>
      </w:r>
    </w:p>
    <w:p>
      <w:pPr>
        <w:pStyle w:val="GesAbsatz"/>
        <w:rPr>
          <w:rFonts w:cs="Arial"/>
        </w:rPr>
      </w:pPr>
      <w:r>
        <w:rPr>
          <w:rFonts w:cs="Arial"/>
        </w:rPr>
        <w:t>Nur noch gut 11 % (ca. 58.500 Mg) des Schlamms werden deponiert. Im Vergleich zum Jahre 1993 ist die Deponierung von Klärschlamm stark rückläufig, dagegen hat die landwirtschaftliche Verwertung von Klärschlamm seit 1993 leicht zugenommen. Die Verbrennung stagnierte seit 1993 ebenfalls: 33 % der Schlämme (174.400 Mg) wurden 1997 thermisch entsorgt (vgl. Brenk und Werner, 1997). In dieser Studie werden nur die Klärschlammmengen berücksichtigt, die landwirtschaftlich innerhalb Nordrhein-Westfalens verwertet wurden.</w:t>
      </w:r>
    </w:p>
    <w:p>
      <w:pPr>
        <w:pStyle w:val="GesAbsatz"/>
        <w:rPr>
          <w:rFonts w:cs="Arial"/>
          <w:b/>
          <w:bCs/>
        </w:rPr>
      </w:pPr>
      <w:r>
        <w:rPr>
          <w:rFonts w:cs="Arial"/>
          <w:b/>
          <w:bCs/>
        </w:rPr>
        <w:t>Nährstoffe</w:t>
      </w:r>
    </w:p>
    <w:p>
      <w:pPr>
        <w:pStyle w:val="GesAbsatz"/>
        <w:rPr>
          <w:rFonts w:cs="Arial"/>
        </w:rPr>
      </w:pPr>
      <w:r>
        <w:rPr>
          <w:rFonts w:cs="Arial"/>
        </w:rPr>
        <w:t>Die Nährstoffgehalte von Klärschlämmen variieren in Abhängigkeit vom Charakter der Einzugsgebiete der Anlagen, aber auch von der technischen Ausstattung der Kläranlagen (Entwässerung, P-Elimination). Von 180 Kläranlagen Nordrhein-Westfalens wurden Daten zu mittleren Nährstoffgehalten der dort anfallenden Schlämme ausgewertet und in Abhängigkeit von der Anlagenausstattung und der Schlammbehandlung dargestellt (siehe Tabelle 10, nach Brenk, 1998).</w:t>
      </w:r>
    </w:p>
    <w:p>
      <w:pPr>
        <w:pStyle w:val="GesAbsatz"/>
        <w:rPr>
          <w:rFonts w:eastAsia="Arial Unicode MS" w:cs="Arial"/>
        </w:rPr>
      </w:pPr>
    </w:p>
    <w:p>
      <w:pPr>
        <w:pStyle w:val="GesAbsatz"/>
        <w:rPr>
          <w:rFonts w:eastAsia="Arial Unicode MS" w:cs="Arial"/>
          <w:b/>
          <w:color w:val="auto"/>
        </w:rPr>
      </w:pPr>
      <w:r>
        <w:rPr>
          <w:rFonts w:eastAsia="Arial Unicode MS" w:cs="Arial"/>
          <w:b/>
          <w:color w:val="auto"/>
        </w:rPr>
        <w:br w:type="page"/>
      </w:r>
      <w:r>
        <w:rPr>
          <w:rFonts w:eastAsia="Arial Unicode MS" w:cs="Arial"/>
          <w:b/>
          <w:color w:val="auto"/>
        </w:rPr>
        <w:lastRenderedPageBreak/>
        <w:t>Abbildung 1:</w:t>
      </w:r>
    </w:p>
    <w:p>
      <w:pPr>
        <w:pStyle w:val="GesAbsatz"/>
        <w:jc w:val="center"/>
        <w:rPr>
          <w:rFonts w:eastAsia="Arial Unicode MS" w:cs="Arial"/>
        </w:rPr>
      </w:pPr>
      <w:r>
        <w:object w:dxaOrig="8866" w:dyaOrig="4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5pt;height:254.8pt" o:ole="">
            <v:imagedata r:id="rId6" o:title=""/>
          </v:shape>
          <o:OLEObject Type="Embed" ProgID="PBrush" ShapeID="_x0000_i1025" DrawAspect="Content" ObjectID="_1698664217" r:id="rId7"/>
        </w:object>
      </w:r>
    </w:p>
    <w:p>
      <w:pPr>
        <w:pStyle w:val="GesAbsatz"/>
        <w:rPr>
          <w:rFonts w:eastAsia="Arial Unicode MS" w:cs="Arial"/>
        </w:rPr>
      </w:pPr>
    </w:p>
    <w:p>
      <w:pPr>
        <w:pStyle w:val="GesAbsatz"/>
        <w:rPr>
          <w:rFonts w:eastAsia="Arial Unicode MS" w:cs="Arial"/>
        </w:rPr>
      </w:pPr>
      <w:r>
        <w:rPr>
          <w:rFonts w:cs="Arial"/>
        </w:rPr>
        <w:t>Aus den angegebenen Gehalten wurde – über die Anzahl der Anlagen mit der entsprechenden Ausstattung – ein gewichtetes Mittel für die Nährstoffe Stickstoff und Phosphat gebildet. Folgende mittlere Nährstoffgehalte wurden ermittelt und zur Berechnung des Nährstoffanfalls aus Klärschlämmen in den Kreisen verwendet:</w:t>
      </w:r>
    </w:p>
    <w:p>
      <w:pPr>
        <w:pStyle w:val="GesAbsatz"/>
        <w:rPr>
          <w:rFonts w:cs="Arial"/>
        </w:rPr>
      </w:pPr>
      <w:r>
        <w:rPr>
          <w:rFonts w:cs="Arial"/>
        </w:rPr>
        <w:t>-</w:t>
      </w:r>
      <w:r>
        <w:rPr>
          <w:rFonts w:cs="Arial"/>
        </w:rPr>
        <w:tab/>
        <w:t>N 3,86 % in der TS</w:t>
      </w:r>
    </w:p>
    <w:p>
      <w:pPr>
        <w:pStyle w:val="GesAbsatz"/>
        <w:rPr>
          <w:rFonts w:cs="Arial"/>
        </w:rPr>
      </w:pPr>
      <w:r>
        <w:rPr>
          <w:rFonts w:cs="Arial"/>
        </w:rPr>
        <w:t>-</w:t>
      </w:r>
      <w:r>
        <w:rPr>
          <w:rFonts w:cs="Arial"/>
        </w:rPr>
        <w:tab/>
        <w:t>P</w:t>
      </w:r>
      <w:r>
        <w:rPr>
          <w:rFonts w:cs="Arial"/>
          <w:vertAlign w:val="subscript"/>
        </w:rPr>
        <w:t>2</w:t>
      </w:r>
      <w:r>
        <w:rPr>
          <w:rFonts w:cs="Arial"/>
        </w:rPr>
        <w:t>O</w:t>
      </w:r>
      <w:r>
        <w:rPr>
          <w:rFonts w:cs="Arial"/>
          <w:vertAlign w:val="subscript"/>
        </w:rPr>
        <w:t>5</w:t>
      </w:r>
      <w:r>
        <w:rPr>
          <w:rFonts w:cs="Arial"/>
        </w:rPr>
        <w:t xml:space="preserve"> 4,79 % in der TS</w:t>
      </w:r>
    </w:p>
    <w:p>
      <w:pPr>
        <w:pStyle w:val="GesAbsatz"/>
        <w:rPr>
          <w:rFonts w:cs="Arial"/>
          <w:b/>
          <w:bCs/>
        </w:rPr>
      </w:pPr>
      <w:r>
        <w:rPr>
          <w:rFonts w:cs="Arial"/>
          <w:b/>
          <w:bCs/>
        </w:rPr>
        <w:t>Schwermetalle</w:t>
      </w:r>
    </w:p>
    <w:p>
      <w:pPr>
        <w:pStyle w:val="GesAbsatz"/>
        <w:rPr>
          <w:rFonts w:cs="Arial"/>
        </w:rPr>
      </w:pPr>
      <w:r>
        <w:rPr>
          <w:rFonts w:cs="Arial"/>
        </w:rPr>
        <w:t>Zur Ermittlung des Schwermetallaufkommens aus Klärschlamm wurde auf Daten des Ministeriums für Umwelt, Raumordnung und Landwirtschaft des Landes Nordrhein-Westfalen zurückgegriffen (MURL, 1998). Die Berechnung des Schwermetallanfalls auf Kreisebene wurde mit den unten angegebenen Median-Werten durchgeführt.</w:t>
      </w:r>
    </w:p>
    <w:p>
      <w:pPr>
        <w:pStyle w:val="GesAbsatz"/>
        <w:rPr>
          <w:rFonts w:cs="Arial"/>
        </w:rPr>
      </w:pPr>
      <w:r>
        <w:rPr>
          <w:rFonts w:cs="Arial"/>
          <w:b/>
          <w:bCs/>
        </w:rPr>
        <w:t>Tabelle 10: Mittlere Nährstoffgehalte der Klärschlämme in Abhängigkeit von der Kläranlagenausstattung und der Schlammbehandlung, nach Brenk, 1998</w:t>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1618"/>
        <w:gridCol w:w="1609"/>
        <w:gridCol w:w="1617"/>
        <w:gridCol w:w="1619"/>
        <w:gridCol w:w="1619"/>
      </w:tblGrid>
      <w:tr>
        <w:tc>
          <w:tcPr>
            <w:tcW w:w="1696" w:type="dxa"/>
          </w:tcPr>
          <w:p>
            <w:pPr>
              <w:pStyle w:val="GesAbsatz"/>
              <w:rPr>
                <w:rFonts w:eastAsia="Arial Unicode MS" w:cs="Arial"/>
                <w:sz w:val="18"/>
                <w:szCs w:val="24"/>
              </w:rPr>
            </w:pPr>
            <w:r>
              <w:rPr>
                <w:rFonts w:cs="Arial"/>
                <w:b/>
                <w:bCs/>
                <w:sz w:val="18"/>
              </w:rPr>
              <w:t xml:space="preserve">Anlagenausstattung und Schlammbehandlung </w:t>
            </w:r>
          </w:p>
        </w:tc>
        <w:tc>
          <w:tcPr>
            <w:tcW w:w="1618" w:type="dxa"/>
          </w:tcPr>
          <w:p>
            <w:pPr>
              <w:pStyle w:val="GesAbsatz"/>
              <w:rPr>
                <w:rFonts w:eastAsia="Arial Unicode MS" w:cs="Arial"/>
                <w:sz w:val="18"/>
                <w:szCs w:val="24"/>
              </w:rPr>
            </w:pPr>
            <w:r>
              <w:rPr>
                <w:rFonts w:cs="Arial"/>
                <w:b/>
                <w:bCs/>
                <w:sz w:val="18"/>
              </w:rPr>
              <w:t>Entwässerung</w:t>
            </w:r>
            <w:r>
              <w:rPr>
                <w:rFonts w:cs="Arial"/>
                <w:b/>
                <w:bCs/>
                <w:sz w:val="18"/>
              </w:rPr>
              <w:br/>
            </w:r>
            <w:r>
              <w:rPr>
                <w:rFonts w:cs="Arial"/>
                <w:b/>
                <w:bCs/>
                <w:sz w:val="18"/>
              </w:rPr>
              <w:br/>
              <w:t>P-Elimination</w:t>
            </w:r>
          </w:p>
        </w:tc>
        <w:tc>
          <w:tcPr>
            <w:tcW w:w="1609" w:type="dxa"/>
          </w:tcPr>
          <w:p>
            <w:pPr>
              <w:pStyle w:val="GesAbsatz"/>
              <w:rPr>
                <w:rFonts w:eastAsia="Arial Unicode MS" w:cs="Arial"/>
                <w:sz w:val="18"/>
                <w:szCs w:val="24"/>
              </w:rPr>
            </w:pPr>
            <w:r>
              <w:rPr>
                <w:rFonts w:cs="Arial"/>
                <w:b/>
                <w:bCs/>
                <w:sz w:val="18"/>
              </w:rPr>
              <w:t>keine oder mäßige</w:t>
            </w:r>
            <w:r>
              <w:rPr>
                <w:rFonts w:cs="Arial"/>
                <w:b/>
                <w:bCs/>
                <w:sz w:val="18"/>
              </w:rPr>
              <w:br/>
              <w:t>nicht vorhanden</w:t>
            </w:r>
          </w:p>
        </w:tc>
        <w:tc>
          <w:tcPr>
            <w:tcW w:w="1617" w:type="dxa"/>
          </w:tcPr>
          <w:p>
            <w:pPr>
              <w:pStyle w:val="GesAbsatz"/>
              <w:rPr>
                <w:rFonts w:eastAsia="Arial Unicode MS" w:cs="Arial"/>
                <w:sz w:val="18"/>
                <w:szCs w:val="24"/>
              </w:rPr>
            </w:pPr>
            <w:r>
              <w:rPr>
                <w:rFonts w:cs="Arial"/>
                <w:b/>
                <w:bCs/>
                <w:sz w:val="18"/>
              </w:rPr>
              <w:t>keine oder mäßige</w:t>
            </w:r>
            <w:r>
              <w:rPr>
                <w:rFonts w:cs="Arial"/>
                <w:b/>
                <w:bCs/>
                <w:sz w:val="18"/>
              </w:rPr>
              <w:br/>
              <w:t>vorhanden</w:t>
            </w:r>
          </w:p>
        </w:tc>
        <w:tc>
          <w:tcPr>
            <w:tcW w:w="1619" w:type="dxa"/>
          </w:tcPr>
          <w:p>
            <w:pPr>
              <w:pStyle w:val="GesAbsatz"/>
              <w:rPr>
                <w:rFonts w:eastAsia="Arial Unicode MS" w:cs="Arial"/>
                <w:sz w:val="18"/>
                <w:szCs w:val="24"/>
              </w:rPr>
            </w:pPr>
            <w:r>
              <w:rPr>
                <w:rFonts w:cs="Arial"/>
                <w:b/>
                <w:bCs/>
                <w:sz w:val="18"/>
              </w:rPr>
              <w:t>mit Kammerfilterpresse</w:t>
            </w:r>
            <w:r>
              <w:rPr>
                <w:rFonts w:cs="Arial"/>
                <w:b/>
                <w:bCs/>
                <w:sz w:val="18"/>
              </w:rPr>
              <w:br/>
              <w:t>nicht vorhanden</w:t>
            </w:r>
          </w:p>
        </w:tc>
        <w:tc>
          <w:tcPr>
            <w:tcW w:w="1619" w:type="dxa"/>
          </w:tcPr>
          <w:p>
            <w:pPr>
              <w:pStyle w:val="GesAbsatz"/>
              <w:rPr>
                <w:rFonts w:eastAsia="Arial Unicode MS" w:cs="Arial"/>
                <w:sz w:val="18"/>
                <w:szCs w:val="24"/>
              </w:rPr>
            </w:pPr>
            <w:r>
              <w:rPr>
                <w:rFonts w:cs="Arial"/>
                <w:b/>
                <w:bCs/>
                <w:sz w:val="18"/>
              </w:rPr>
              <w:t>mit Kammerfilterpresse</w:t>
            </w:r>
            <w:r>
              <w:rPr>
                <w:rFonts w:cs="Arial"/>
                <w:b/>
                <w:bCs/>
                <w:sz w:val="18"/>
              </w:rPr>
              <w:br/>
              <w:t>vorhanden</w:t>
            </w:r>
          </w:p>
        </w:tc>
      </w:tr>
      <w:tr>
        <w:tc>
          <w:tcPr>
            <w:tcW w:w="1696" w:type="dxa"/>
            <w:vAlign w:val="center"/>
          </w:tcPr>
          <w:p>
            <w:pPr>
              <w:pStyle w:val="GesAbsatz"/>
              <w:rPr>
                <w:rFonts w:eastAsia="Arial Unicode MS" w:cs="Arial"/>
                <w:sz w:val="18"/>
                <w:szCs w:val="24"/>
              </w:rPr>
            </w:pPr>
            <w:r>
              <w:rPr>
                <w:rFonts w:cs="Arial"/>
                <w:sz w:val="18"/>
              </w:rPr>
              <w:t xml:space="preserve">Nährstoffe </w:t>
            </w:r>
          </w:p>
        </w:tc>
        <w:tc>
          <w:tcPr>
            <w:tcW w:w="1618" w:type="dxa"/>
          </w:tcPr>
          <w:p>
            <w:pPr>
              <w:pStyle w:val="GesAbsatz"/>
              <w:rPr>
                <w:rFonts w:eastAsia="Arial Unicode MS" w:cs="Arial"/>
                <w:sz w:val="18"/>
                <w:szCs w:val="24"/>
              </w:rPr>
            </w:pPr>
            <w:r>
              <w:rPr>
                <w:rFonts w:cs="Arial"/>
                <w:sz w:val="18"/>
              </w:rPr>
              <w:t>N % TS</w:t>
            </w:r>
          </w:p>
        </w:tc>
        <w:tc>
          <w:tcPr>
            <w:tcW w:w="1609" w:type="dxa"/>
          </w:tcPr>
          <w:p>
            <w:pPr>
              <w:pStyle w:val="GesAbsatz"/>
              <w:tabs>
                <w:tab w:val="clear" w:pos="425"/>
                <w:tab w:val="decimal" w:pos="797"/>
              </w:tabs>
              <w:rPr>
                <w:rFonts w:eastAsia="Arial Unicode MS" w:cs="Arial"/>
                <w:sz w:val="18"/>
                <w:szCs w:val="24"/>
              </w:rPr>
            </w:pPr>
            <w:r>
              <w:rPr>
                <w:rFonts w:cs="Arial"/>
                <w:sz w:val="18"/>
              </w:rPr>
              <w:t>3,9</w:t>
            </w:r>
          </w:p>
        </w:tc>
        <w:tc>
          <w:tcPr>
            <w:tcW w:w="1617" w:type="dxa"/>
          </w:tcPr>
          <w:p>
            <w:pPr>
              <w:pStyle w:val="GesAbsatz"/>
              <w:tabs>
                <w:tab w:val="clear" w:pos="425"/>
                <w:tab w:val="decimal" w:pos="797"/>
              </w:tabs>
              <w:rPr>
                <w:rFonts w:eastAsia="Arial Unicode MS" w:cs="Arial"/>
                <w:sz w:val="18"/>
                <w:szCs w:val="24"/>
              </w:rPr>
            </w:pPr>
            <w:r>
              <w:rPr>
                <w:rFonts w:cs="Arial"/>
                <w:sz w:val="18"/>
              </w:rPr>
              <w:t>3,9</w:t>
            </w:r>
          </w:p>
        </w:tc>
        <w:tc>
          <w:tcPr>
            <w:tcW w:w="1619" w:type="dxa"/>
          </w:tcPr>
          <w:p>
            <w:pPr>
              <w:pStyle w:val="GesAbsatz"/>
              <w:tabs>
                <w:tab w:val="clear" w:pos="425"/>
                <w:tab w:val="decimal" w:pos="797"/>
              </w:tabs>
              <w:rPr>
                <w:rFonts w:eastAsia="Arial Unicode MS" w:cs="Arial"/>
                <w:sz w:val="18"/>
                <w:szCs w:val="24"/>
              </w:rPr>
            </w:pPr>
            <w:r>
              <w:rPr>
                <w:rFonts w:cs="Arial"/>
                <w:sz w:val="18"/>
              </w:rPr>
              <w:t>3,3</w:t>
            </w:r>
          </w:p>
        </w:tc>
        <w:tc>
          <w:tcPr>
            <w:tcW w:w="1619" w:type="dxa"/>
          </w:tcPr>
          <w:p>
            <w:pPr>
              <w:pStyle w:val="GesAbsatz"/>
              <w:tabs>
                <w:tab w:val="clear" w:pos="425"/>
                <w:tab w:val="decimal" w:pos="797"/>
              </w:tabs>
              <w:rPr>
                <w:rFonts w:eastAsia="Arial Unicode MS" w:cs="Arial"/>
                <w:sz w:val="18"/>
                <w:szCs w:val="24"/>
              </w:rPr>
            </w:pPr>
            <w:r>
              <w:rPr>
                <w:rFonts w:cs="Arial"/>
                <w:sz w:val="18"/>
              </w:rPr>
              <w:t>3,3</w:t>
            </w:r>
          </w:p>
        </w:tc>
      </w:tr>
      <w:tr>
        <w:tc>
          <w:tcPr>
            <w:tcW w:w="1696" w:type="dxa"/>
            <w:vAlign w:val="center"/>
          </w:tcPr>
          <w:p>
            <w:pPr>
              <w:pStyle w:val="GesAbsatz"/>
              <w:rPr>
                <w:rFonts w:cs="Arial"/>
                <w:sz w:val="18"/>
              </w:rPr>
            </w:pPr>
          </w:p>
        </w:tc>
        <w:tc>
          <w:tcPr>
            <w:tcW w:w="1618" w:type="dxa"/>
          </w:tcPr>
          <w:p>
            <w:pPr>
              <w:pStyle w:val="GesAbsatz"/>
              <w:rPr>
                <w:rFonts w:eastAsia="Arial Unicode MS" w:cs="Arial"/>
                <w:sz w:val="18"/>
                <w:szCs w:val="24"/>
              </w:rPr>
            </w:pPr>
            <w:r>
              <w:rPr>
                <w:rFonts w:cs="Arial"/>
                <w:sz w:val="18"/>
              </w:rPr>
              <w:t>P</w:t>
            </w:r>
            <w:r>
              <w:rPr>
                <w:rFonts w:cs="Arial"/>
                <w:sz w:val="18"/>
                <w:vertAlign w:val="superscript"/>
              </w:rPr>
              <w:t>2</w:t>
            </w:r>
            <w:r>
              <w:rPr>
                <w:rFonts w:cs="Arial"/>
                <w:sz w:val="18"/>
              </w:rPr>
              <w:t>O</w:t>
            </w:r>
            <w:r>
              <w:rPr>
                <w:rFonts w:cs="Arial"/>
                <w:sz w:val="18"/>
                <w:vertAlign w:val="superscript"/>
              </w:rPr>
              <w:t>5</w:t>
            </w:r>
            <w:r>
              <w:rPr>
                <w:rFonts w:cs="Arial"/>
                <w:sz w:val="18"/>
              </w:rPr>
              <w:t xml:space="preserve"> % TS</w:t>
            </w:r>
          </w:p>
        </w:tc>
        <w:tc>
          <w:tcPr>
            <w:tcW w:w="1609" w:type="dxa"/>
          </w:tcPr>
          <w:p>
            <w:pPr>
              <w:pStyle w:val="GesAbsatz"/>
              <w:tabs>
                <w:tab w:val="clear" w:pos="425"/>
                <w:tab w:val="decimal" w:pos="797"/>
              </w:tabs>
              <w:rPr>
                <w:rFonts w:eastAsia="Arial Unicode MS" w:cs="Arial"/>
                <w:sz w:val="18"/>
                <w:szCs w:val="24"/>
              </w:rPr>
            </w:pPr>
            <w:r>
              <w:rPr>
                <w:rFonts w:cs="Arial"/>
                <w:sz w:val="18"/>
              </w:rPr>
              <w:t>4,1</w:t>
            </w:r>
          </w:p>
        </w:tc>
        <w:tc>
          <w:tcPr>
            <w:tcW w:w="1617" w:type="dxa"/>
          </w:tcPr>
          <w:p>
            <w:pPr>
              <w:pStyle w:val="GesAbsatz"/>
              <w:tabs>
                <w:tab w:val="clear" w:pos="425"/>
                <w:tab w:val="decimal" w:pos="797"/>
              </w:tabs>
              <w:rPr>
                <w:rFonts w:eastAsia="Arial Unicode MS" w:cs="Arial"/>
                <w:sz w:val="18"/>
                <w:szCs w:val="24"/>
              </w:rPr>
            </w:pPr>
            <w:r>
              <w:rPr>
                <w:rFonts w:cs="Arial"/>
                <w:sz w:val="18"/>
              </w:rPr>
              <w:t>5,5</w:t>
            </w:r>
          </w:p>
        </w:tc>
        <w:tc>
          <w:tcPr>
            <w:tcW w:w="1619" w:type="dxa"/>
          </w:tcPr>
          <w:p>
            <w:pPr>
              <w:pStyle w:val="GesAbsatz"/>
              <w:tabs>
                <w:tab w:val="clear" w:pos="425"/>
                <w:tab w:val="decimal" w:pos="797"/>
              </w:tabs>
              <w:rPr>
                <w:rFonts w:eastAsia="Arial Unicode MS" w:cs="Arial"/>
                <w:sz w:val="18"/>
                <w:szCs w:val="24"/>
              </w:rPr>
            </w:pPr>
            <w:r>
              <w:rPr>
                <w:rFonts w:cs="Arial"/>
                <w:sz w:val="18"/>
              </w:rPr>
              <w:t>2,3</w:t>
            </w:r>
          </w:p>
        </w:tc>
        <w:tc>
          <w:tcPr>
            <w:tcW w:w="1619" w:type="dxa"/>
          </w:tcPr>
          <w:p>
            <w:pPr>
              <w:pStyle w:val="GesAbsatz"/>
              <w:tabs>
                <w:tab w:val="clear" w:pos="425"/>
                <w:tab w:val="decimal" w:pos="797"/>
              </w:tabs>
              <w:rPr>
                <w:rFonts w:eastAsia="Arial Unicode MS" w:cs="Arial"/>
                <w:sz w:val="18"/>
                <w:szCs w:val="24"/>
              </w:rPr>
            </w:pPr>
            <w:r>
              <w:rPr>
                <w:rFonts w:cs="Arial"/>
                <w:sz w:val="18"/>
              </w:rPr>
              <w:t>3,6</w:t>
            </w:r>
          </w:p>
        </w:tc>
      </w:tr>
      <w:tr>
        <w:tc>
          <w:tcPr>
            <w:tcW w:w="1696" w:type="dxa"/>
            <w:vAlign w:val="center"/>
          </w:tcPr>
          <w:p>
            <w:pPr>
              <w:pStyle w:val="GesAbsatz"/>
              <w:rPr>
                <w:rFonts w:eastAsia="Arial Unicode MS" w:cs="Arial"/>
                <w:sz w:val="18"/>
                <w:szCs w:val="24"/>
              </w:rPr>
            </w:pPr>
            <w:r>
              <w:rPr>
                <w:rFonts w:cs="Arial"/>
                <w:sz w:val="18"/>
              </w:rPr>
              <w:t xml:space="preserve">Anlagenanzahl </w:t>
            </w:r>
          </w:p>
        </w:tc>
        <w:tc>
          <w:tcPr>
            <w:tcW w:w="1618" w:type="dxa"/>
          </w:tcPr>
          <w:p>
            <w:pPr>
              <w:pStyle w:val="GesAbsatz"/>
              <w:rPr>
                <w:rFonts w:eastAsia="Arial Unicode MS" w:cs="Arial"/>
                <w:sz w:val="18"/>
                <w:szCs w:val="24"/>
              </w:rPr>
            </w:pPr>
          </w:p>
        </w:tc>
        <w:tc>
          <w:tcPr>
            <w:tcW w:w="1609" w:type="dxa"/>
          </w:tcPr>
          <w:p>
            <w:pPr>
              <w:pStyle w:val="GesAbsatz"/>
              <w:tabs>
                <w:tab w:val="clear" w:pos="425"/>
                <w:tab w:val="decimal" w:pos="797"/>
              </w:tabs>
              <w:rPr>
                <w:rFonts w:eastAsia="Arial Unicode MS" w:cs="Arial"/>
                <w:sz w:val="18"/>
                <w:szCs w:val="24"/>
              </w:rPr>
            </w:pPr>
            <w:r>
              <w:rPr>
                <w:rFonts w:cs="Arial"/>
                <w:sz w:val="18"/>
              </w:rPr>
              <w:t>75</w:t>
            </w:r>
          </w:p>
        </w:tc>
        <w:tc>
          <w:tcPr>
            <w:tcW w:w="1617" w:type="dxa"/>
          </w:tcPr>
          <w:p>
            <w:pPr>
              <w:pStyle w:val="GesAbsatz"/>
              <w:tabs>
                <w:tab w:val="clear" w:pos="425"/>
                <w:tab w:val="decimal" w:pos="797"/>
              </w:tabs>
              <w:rPr>
                <w:rFonts w:eastAsia="Arial Unicode MS" w:cs="Arial"/>
                <w:sz w:val="18"/>
                <w:szCs w:val="24"/>
              </w:rPr>
            </w:pPr>
            <w:r>
              <w:rPr>
                <w:rFonts w:cs="Arial"/>
                <w:sz w:val="18"/>
              </w:rPr>
              <w:t xml:space="preserve">94 </w:t>
            </w:r>
          </w:p>
        </w:tc>
        <w:tc>
          <w:tcPr>
            <w:tcW w:w="1619" w:type="dxa"/>
          </w:tcPr>
          <w:p>
            <w:pPr>
              <w:pStyle w:val="GesAbsatz"/>
              <w:tabs>
                <w:tab w:val="clear" w:pos="425"/>
                <w:tab w:val="decimal" w:pos="797"/>
              </w:tabs>
              <w:rPr>
                <w:rFonts w:eastAsia="Arial Unicode MS" w:cs="Arial"/>
                <w:sz w:val="18"/>
                <w:szCs w:val="24"/>
              </w:rPr>
            </w:pPr>
            <w:r>
              <w:rPr>
                <w:rFonts w:cs="Arial"/>
                <w:sz w:val="18"/>
              </w:rPr>
              <w:t>1</w:t>
            </w:r>
          </w:p>
        </w:tc>
        <w:tc>
          <w:tcPr>
            <w:tcW w:w="1619" w:type="dxa"/>
          </w:tcPr>
          <w:p>
            <w:pPr>
              <w:pStyle w:val="GesAbsatz"/>
              <w:tabs>
                <w:tab w:val="clear" w:pos="425"/>
                <w:tab w:val="decimal" w:pos="797"/>
              </w:tabs>
              <w:rPr>
                <w:rFonts w:eastAsia="Arial Unicode MS" w:cs="Arial"/>
                <w:sz w:val="18"/>
                <w:szCs w:val="24"/>
              </w:rPr>
            </w:pPr>
            <w:r>
              <w:rPr>
                <w:rFonts w:cs="Arial"/>
                <w:sz w:val="18"/>
              </w:rPr>
              <w:t>10</w:t>
            </w:r>
          </w:p>
        </w:tc>
      </w:tr>
    </w:tbl>
    <w:p>
      <w:pPr>
        <w:pStyle w:val="GesAbsatz"/>
        <w:rPr>
          <w:rFonts w:eastAsia="Arial Unicode MS" w:cs="Arial"/>
          <w:szCs w:val="24"/>
        </w:rPr>
      </w:pPr>
    </w:p>
    <w:p>
      <w:pPr>
        <w:pStyle w:val="GesAbsatz"/>
        <w:rPr>
          <w:rFonts w:cs="Arial"/>
        </w:rPr>
      </w:pPr>
      <w:r>
        <w:rPr>
          <w:rFonts w:cs="Arial"/>
          <w:b/>
          <w:bCs/>
        </w:rPr>
        <w:t>Tabelle 11: Schadstoffgehalte in Klärschlämmen der Wasserverbände 1996 und Grenzwerte der Klärschlammverordnung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4"/>
        <w:gridCol w:w="2444"/>
        <w:gridCol w:w="2445"/>
        <w:gridCol w:w="2445"/>
      </w:tblGrid>
      <w:tr>
        <w:tc>
          <w:tcPr>
            <w:tcW w:w="2444" w:type="dxa"/>
          </w:tcPr>
          <w:p>
            <w:pPr>
              <w:pStyle w:val="GesAbsatz"/>
              <w:jc w:val="center"/>
              <w:rPr>
                <w:rFonts w:eastAsia="Arial Unicode MS" w:cs="Arial"/>
                <w:sz w:val="18"/>
                <w:szCs w:val="24"/>
              </w:rPr>
            </w:pPr>
            <w:r>
              <w:rPr>
                <w:rFonts w:cs="Arial"/>
                <w:b/>
                <w:bCs/>
                <w:sz w:val="18"/>
              </w:rPr>
              <w:t>Schadstoff</w:t>
            </w:r>
          </w:p>
        </w:tc>
        <w:tc>
          <w:tcPr>
            <w:tcW w:w="2444" w:type="dxa"/>
          </w:tcPr>
          <w:p>
            <w:pPr>
              <w:pStyle w:val="GesAbsatz"/>
              <w:jc w:val="center"/>
              <w:rPr>
                <w:rFonts w:eastAsia="Arial Unicode MS" w:cs="Arial"/>
                <w:sz w:val="18"/>
                <w:szCs w:val="24"/>
              </w:rPr>
            </w:pPr>
            <w:r>
              <w:rPr>
                <w:rFonts w:cs="Arial"/>
                <w:b/>
                <w:bCs/>
                <w:sz w:val="18"/>
              </w:rPr>
              <w:t>Median</w:t>
            </w:r>
            <w:r>
              <w:rPr>
                <w:rFonts w:cs="Arial"/>
                <w:b/>
                <w:bCs/>
                <w:sz w:val="18"/>
              </w:rPr>
              <w:br/>
              <w:t>mg/kg</w:t>
            </w:r>
          </w:p>
        </w:tc>
        <w:tc>
          <w:tcPr>
            <w:tcW w:w="2445" w:type="dxa"/>
          </w:tcPr>
          <w:p>
            <w:pPr>
              <w:pStyle w:val="GesAbsatz"/>
              <w:jc w:val="center"/>
              <w:rPr>
                <w:rFonts w:eastAsia="Arial Unicode MS" w:cs="Arial"/>
                <w:sz w:val="18"/>
                <w:szCs w:val="24"/>
              </w:rPr>
            </w:pPr>
            <w:r>
              <w:rPr>
                <w:rFonts w:cs="Arial"/>
                <w:b/>
                <w:bCs/>
                <w:sz w:val="18"/>
              </w:rPr>
              <w:t>Klärschlammverordnung</w:t>
            </w:r>
            <w:r>
              <w:rPr>
                <w:rFonts w:cs="Arial"/>
                <w:b/>
                <w:bCs/>
                <w:sz w:val="18"/>
              </w:rPr>
              <w:br/>
              <w:t>mg/kg</w:t>
            </w:r>
          </w:p>
        </w:tc>
        <w:tc>
          <w:tcPr>
            <w:tcW w:w="2445" w:type="dxa"/>
          </w:tcPr>
          <w:p>
            <w:pPr>
              <w:pStyle w:val="GesAbsatz"/>
              <w:jc w:val="center"/>
              <w:rPr>
                <w:rFonts w:eastAsia="Arial Unicode MS" w:cs="Arial"/>
                <w:sz w:val="18"/>
                <w:szCs w:val="24"/>
              </w:rPr>
            </w:pPr>
            <w:r>
              <w:rPr>
                <w:rFonts w:cs="Arial"/>
                <w:b/>
                <w:bCs/>
                <w:sz w:val="18"/>
              </w:rPr>
              <w:t>Analysen-Anzahl</w:t>
            </w:r>
          </w:p>
        </w:tc>
      </w:tr>
      <w:tr>
        <w:tc>
          <w:tcPr>
            <w:tcW w:w="2444" w:type="dxa"/>
            <w:vAlign w:val="center"/>
          </w:tcPr>
          <w:p>
            <w:pPr>
              <w:pStyle w:val="GesAbsatz"/>
              <w:rPr>
                <w:rFonts w:eastAsia="Arial Unicode MS" w:cs="Arial"/>
                <w:sz w:val="18"/>
                <w:szCs w:val="24"/>
              </w:rPr>
            </w:pPr>
            <w:r>
              <w:rPr>
                <w:rFonts w:cs="Arial"/>
                <w:sz w:val="18"/>
              </w:rPr>
              <w:t xml:space="preserve">Blei </w:t>
            </w:r>
          </w:p>
        </w:tc>
        <w:tc>
          <w:tcPr>
            <w:tcW w:w="2444" w:type="dxa"/>
          </w:tcPr>
          <w:p>
            <w:pPr>
              <w:pStyle w:val="GesAbsatz"/>
              <w:tabs>
                <w:tab w:val="clear" w:pos="425"/>
                <w:tab w:val="decimal" w:pos="1242"/>
              </w:tabs>
              <w:rPr>
                <w:rFonts w:eastAsia="Arial Unicode MS" w:cs="Arial"/>
                <w:sz w:val="18"/>
                <w:szCs w:val="24"/>
              </w:rPr>
            </w:pPr>
            <w:r>
              <w:rPr>
                <w:rFonts w:cs="Arial"/>
                <w:sz w:val="18"/>
              </w:rPr>
              <w:t>110</w:t>
            </w:r>
          </w:p>
        </w:tc>
        <w:tc>
          <w:tcPr>
            <w:tcW w:w="2445" w:type="dxa"/>
          </w:tcPr>
          <w:p>
            <w:pPr>
              <w:pStyle w:val="GesAbsatz"/>
              <w:tabs>
                <w:tab w:val="clear" w:pos="425"/>
                <w:tab w:val="decimal" w:pos="1242"/>
              </w:tabs>
              <w:rPr>
                <w:rFonts w:eastAsia="Arial Unicode MS" w:cs="Arial"/>
                <w:sz w:val="18"/>
                <w:szCs w:val="24"/>
              </w:rPr>
            </w:pPr>
            <w:r>
              <w:rPr>
                <w:rFonts w:cs="Arial"/>
                <w:sz w:val="18"/>
              </w:rPr>
              <w:t>900</w:t>
            </w:r>
          </w:p>
        </w:tc>
        <w:tc>
          <w:tcPr>
            <w:tcW w:w="2445" w:type="dxa"/>
          </w:tcPr>
          <w:p>
            <w:pPr>
              <w:pStyle w:val="GesAbsatz"/>
              <w:tabs>
                <w:tab w:val="clear" w:pos="425"/>
                <w:tab w:val="decimal" w:pos="1242"/>
              </w:tabs>
              <w:rPr>
                <w:rFonts w:eastAsia="Arial Unicode MS" w:cs="Arial"/>
                <w:sz w:val="18"/>
                <w:szCs w:val="24"/>
              </w:rPr>
            </w:pPr>
            <w:r>
              <w:rPr>
                <w:rFonts w:cs="Arial"/>
                <w:sz w:val="18"/>
              </w:rPr>
              <w:t>716</w:t>
            </w:r>
          </w:p>
        </w:tc>
      </w:tr>
      <w:tr>
        <w:tc>
          <w:tcPr>
            <w:tcW w:w="2444" w:type="dxa"/>
            <w:vAlign w:val="center"/>
          </w:tcPr>
          <w:p>
            <w:pPr>
              <w:pStyle w:val="GesAbsatz"/>
              <w:rPr>
                <w:rFonts w:eastAsia="Arial Unicode MS" w:cs="Arial"/>
                <w:sz w:val="18"/>
                <w:szCs w:val="24"/>
              </w:rPr>
            </w:pPr>
            <w:r>
              <w:rPr>
                <w:rFonts w:cs="Arial"/>
                <w:sz w:val="18"/>
              </w:rPr>
              <w:t xml:space="preserve">Cadmium </w:t>
            </w:r>
          </w:p>
        </w:tc>
        <w:tc>
          <w:tcPr>
            <w:tcW w:w="2444" w:type="dxa"/>
          </w:tcPr>
          <w:p>
            <w:pPr>
              <w:pStyle w:val="GesAbsatz"/>
              <w:tabs>
                <w:tab w:val="clear" w:pos="425"/>
                <w:tab w:val="decimal" w:pos="1242"/>
              </w:tabs>
              <w:rPr>
                <w:rFonts w:eastAsia="Arial Unicode MS" w:cs="Arial"/>
                <w:sz w:val="18"/>
                <w:szCs w:val="24"/>
              </w:rPr>
            </w:pPr>
            <w:r>
              <w:rPr>
                <w:rFonts w:cs="Arial"/>
                <w:sz w:val="18"/>
              </w:rPr>
              <w:t>1,9</w:t>
            </w:r>
          </w:p>
        </w:tc>
        <w:tc>
          <w:tcPr>
            <w:tcW w:w="2445" w:type="dxa"/>
          </w:tcPr>
          <w:p>
            <w:pPr>
              <w:pStyle w:val="GesAbsatz"/>
              <w:tabs>
                <w:tab w:val="clear" w:pos="425"/>
                <w:tab w:val="decimal" w:pos="1242"/>
              </w:tabs>
              <w:rPr>
                <w:rFonts w:eastAsia="Arial Unicode MS" w:cs="Arial"/>
                <w:sz w:val="18"/>
                <w:szCs w:val="24"/>
              </w:rPr>
            </w:pPr>
            <w:r>
              <w:rPr>
                <w:rFonts w:cs="Arial"/>
                <w:sz w:val="18"/>
              </w:rPr>
              <w:t>10</w:t>
            </w:r>
          </w:p>
        </w:tc>
        <w:tc>
          <w:tcPr>
            <w:tcW w:w="2445" w:type="dxa"/>
          </w:tcPr>
          <w:p>
            <w:pPr>
              <w:pStyle w:val="GesAbsatz"/>
              <w:tabs>
                <w:tab w:val="clear" w:pos="425"/>
                <w:tab w:val="decimal" w:pos="1242"/>
              </w:tabs>
              <w:rPr>
                <w:rFonts w:eastAsia="Arial Unicode MS" w:cs="Arial"/>
                <w:sz w:val="18"/>
                <w:szCs w:val="24"/>
              </w:rPr>
            </w:pPr>
            <w:r>
              <w:rPr>
                <w:rFonts w:cs="Arial"/>
                <w:sz w:val="18"/>
              </w:rPr>
              <w:t>747</w:t>
            </w:r>
          </w:p>
        </w:tc>
      </w:tr>
      <w:tr>
        <w:tc>
          <w:tcPr>
            <w:tcW w:w="2444" w:type="dxa"/>
            <w:vAlign w:val="center"/>
          </w:tcPr>
          <w:p>
            <w:pPr>
              <w:pStyle w:val="GesAbsatz"/>
              <w:rPr>
                <w:rFonts w:eastAsia="Arial Unicode MS" w:cs="Arial"/>
                <w:sz w:val="18"/>
                <w:szCs w:val="24"/>
              </w:rPr>
            </w:pPr>
            <w:r>
              <w:rPr>
                <w:rFonts w:cs="Arial"/>
                <w:sz w:val="18"/>
              </w:rPr>
              <w:t xml:space="preserve">Kupfer </w:t>
            </w:r>
          </w:p>
        </w:tc>
        <w:tc>
          <w:tcPr>
            <w:tcW w:w="2444" w:type="dxa"/>
          </w:tcPr>
          <w:p>
            <w:pPr>
              <w:pStyle w:val="GesAbsatz"/>
              <w:tabs>
                <w:tab w:val="clear" w:pos="425"/>
                <w:tab w:val="decimal" w:pos="1242"/>
              </w:tabs>
              <w:rPr>
                <w:rFonts w:eastAsia="Arial Unicode MS" w:cs="Arial"/>
                <w:sz w:val="18"/>
                <w:szCs w:val="24"/>
              </w:rPr>
            </w:pPr>
            <w:r>
              <w:rPr>
                <w:rFonts w:cs="Arial"/>
                <w:sz w:val="18"/>
              </w:rPr>
              <w:t>278</w:t>
            </w:r>
          </w:p>
        </w:tc>
        <w:tc>
          <w:tcPr>
            <w:tcW w:w="2445" w:type="dxa"/>
          </w:tcPr>
          <w:p>
            <w:pPr>
              <w:pStyle w:val="GesAbsatz"/>
              <w:tabs>
                <w:tab w:val="clear" w:pos="425"/>
                <w:tab w:val="decimal" w:pos="1242"/>
              </w:tabs>
              <w:rPr>
                <w:rFonts w:eastAsia="Arial Unicode MS" w:cs="Arial"/>
                <w:sz w:val="18"/>
                <w:szCs w:val="24"/>
              </w:rPr>
            </w:pPr>
            <w:r>
              <w:rPr>
                <w:rFonts w:cs="Arial"/>
                <w:sz w:val="18"/>
              </w:rPr>
              <w:t>800</w:t>
            </w:r>
          </w:p>
        </w:tc>
        <w:tc>
          <w:tcPr>
            <w:tcW w:w="2445" w:type="dxa"/>
          </w:tcPr>
          <w:p>
            <w:pPr>
              <w:pStyle w:val="GesAbsatz"/>
              <w:tabs>
                <w:tab w:val="clear" w:pos="425"/>
                <w:tab w:val="decimal" w:pos="1242"/>
              </w:tabs>
              <w:rPr>
                <w:rFonts w:eastAsia="Arial Unicode MS" w:cs="Arial"/>
                <w:sz w:val="18"/>
                <w:szCs w:val="24"/>
              </w:rPr>
            </w:pPr>
            <w:r>
              <w:rPr>
                <w:rFonts w:cs="Arial"/>
                <w:sz w:val="18"/>
              </w:rPr>
              <w:t>745</w:t>
            </w:r>
          </w:p>
        </w:tc>
      </w:tr>
      <w:tr>
        <w:tc>
          <w:tcPr>
            <w:tcW w:w="2444" w:type="dxa"/>
            <w:vAlign w:val="center"/>
          </w:tcPr>
          <w:p>
            <w:pPr>
              <w:pStyle w:val="GesAbsatz"/>
              <w:rPr>
                <w:rFonts w:eastAsia="Arial Unicode MS" w:cs="Arial"/>
                <w:sz w:val="18"/>
                <w:szCs w:val="24"/>
              </w:rPr>
            </w:pPr>
            <w:r>
              <w:rPr>
                <w:rFonts w:cs="Arial"/>
                <w:sz w:val="18"/>
              </w:rPr>
              <w:t xml:space="preserve">Zink </w:t>
            </w:r>
          </w:p>
        </w:tc>
        <w:tc>
          <w:tcPr>
            <w:tcW w:w="2444" w:type="dxa"/>
          </w:tcPr>
          <w:p>
            <w:pPr>
              <w:pStyle w:val="GesAbsatz"/>
              <w:tabs>
                <w:tab w:val="clear" w:pos="425"/>
                <w:tab w:val="decimal" w:pos="1242"/>
              </w:tabs>
              <w:rPr>
                <w:rFonts w:eastAsia="Arial Unicode MS" w:cs="Arial"/>
                <w:sz w:val="18"/>
                <w:szCs w:val="24"/>
              </w:rPr>
            </w:pPr>
            <w:r>
              <w:rPr>
                <w:rFonts w:cs="Arial"/>
                <w:sz w:val="18"/>
              </w:rPr>
              <w:t xml:space="preserve">1059 </w:t>
            </w:r>
          </w:p>
        </w:tc>
        <w:tc>
          <w:tcPr>
            <w:tcW w:w="2445" w:type="dxa"/>
          </w:tcPr>
          <w:p>
            <w:pPr>
              <w:pStyle w:val="GesAbsatz"/>
              <w:tabs>
                <w:tab w:val="clear" w:pos="425"/>
                <w:tab w:val="decimal" w:pos="1242"/>
              </w:tabs>
              <w:rPr>
                <w:rFonts w:eastAsia="Arial Unicode MS" w:cs="Arial"/>
                <w:sz w:val="18"/>
                <w:szCs w:val="24"/>
              </w:rPr>
            </w:pPr>
            <w:r>
              <w:rPr>
                <w:rFonts w:cs="Arial"/>
                <w:sz w:val="18"/>
              </w:rPr>
              <w:t>2500</w:t>
            </w:r>
          </w:p>
        </w:tc>
        <w:tc>
          <w:tcPr>
            <w:tcW w:w="2445" w:type="dxa"/>
          </w:tcPr>
          <w:p>
            <w:pPr>
              <w:pStyle w:val="GesAbsatz"/>
              <w:tabs>
                <w:tab w:val="clear" w:pos="425"/>
                <w:tab w:val="decimal" w:pos="1242"/>
              </w:tabs>
              <w:rPr>
                <w:rFonts w:eastAsia="Arial Unicode MS" w:cs="Arial"/>
                <w:sz w:val="18"/>
                <w:szCs w:val="24"/>
              </w:rPr>
            </w:pPr>
            <w:r>
              <w:rPr>
                <w:rFonts w:cs="Arial"/>
                <w:sz w:val="18"/>
              </w:rPr>
              <w:t>750</w:t>
            </w:r>
          </w:p>
        </w:tc>
      </w:tr>
    </w:tbl>
    <w:p>
      <w:pPr>
        <w:pStyle w:val="berschrift3"/>
        <w:jc w:val="left"/>
      </w:pPr>
      <w:bookmarkStart w:id="7" w:name="_Toc45599495"/>
      <w:r>
        <w:lastRenderedPageBreak/>
        <w:t>2.5 Limitierende Schutzgebiete</w:t>
      </w:r>
      <w:bookmarkEnd w:id="7"/>
    </w:p>
    <w:p>
      <w:pPr>
        <w:pStyle w:val="GesAbsatz"/>
        <w:rPr>
          <w:rFonts w:eastAsia="Arial Unicode MS" w:cs="Arial"/>
        </w:rPr>
      </w:pPr>
      <w:r>
        <w:rPr>
          <w:rFonts w:cs="Arial"/>
        </w:rPr>
        <w:t>Hinsichtlich der Anwendung von Sekundärrohstoff- und Wirtschaftsdüngern bestehen Beschränkungen, die die potenzielle Verwertungsfläche für diese Stoffe eingrenzen. Limitierungen existieren vor allem in Form von Schutzgebieten wie z. B. Natur- und Wasserschutzgebieten, in denen keine Klärschlämme und z. T. auch kein Flüssigmist appliziert werden dürfen. Laut Klärschlammverordnung (AbfKlärV), die in erster Linie dem Schutz der Umwelt und insbesondere landwirtschaftlicher Böden dient, dürfen Klärschlämme nicht in Wasserschutzgebieten der Zonen I und II (AbfKlärV § 4 Abs. 7) sowie in Gebieten, die nach dem Bundesnaturschutzgesetz geschützt sind (AbfKlärV § 4 Abs. 6), ausgebracht werden. Obwohl für andere Stoffe differenzierte Beschränkungen bestehen, werden diese Flächen generell bei organischen Inputstoffen abgezogen.</w:t>
      </w:r>
    </w:p>
    <w:p>
      <w:pPr>
        <w:pStyle w:val="GesAbsatz"/>
        <w:rPr>
          <w:rFonts w:eastAsia="Arial Unicode MS" w:cs="Arial"/>
        </w:rPr>
      </w:pPr>
      <w:r>
        <w:rPr>
          <w:rFonts w:cs="Arial"/>
        </w:rPr>
        <w:t>Im Rahmen eines F&amp;E-Vorhabens des Umweltbundesamtes „Stoffbilanzierung mit dem Ziel einer nachhaltigen Verwertung von Abfällen auf pflanzenbaulich genutzten Flächen“ (Kennziffer 203 10 912, Ifeu/PlanCoTec 1998-1999) wurden die Flächenumfänge dieser Schutzflächen bundesweit auf Ebene der Regierungsbezirke erhoben. Für die Anteile der Wasserschutzgebiete (und deren Zonen), die sich mit der landwirtschaftlichen Nutzfläche (LF) überschneiden, wurde in der bezeichneten Studie ein berechneter Durchschnittswert von 48 % eingesetzt. Weiterhin sind zum Schutz der Oberflächengewässer Einschränkungen für Inputstoffe auf nahen Randflächen vorgesehen. Diese Flächengröße wurde in der UBA-Studie auf der Basis der Fließgewässerlängen ermittelt. Als Faustzahl für die Anteile der landwirtschaftlichen Nutzfläche, die an Fließgewässern liegen (= 10 m Uferrandstreifen), gilt entsprechend der allgemeinen Flächenaufteilung in Deutschland, dass etwa 50 % der Fließgewässer an landwirtschaftlich genutzten Flächen liegen. Für Nordrhein-Westfalen wurden dabei die in Tabelle 12 dargestellten Zahlen ermittelt.</w:t>
      </w:r>
    </w:p>
    <w:p>
      <w:pPr>
        <w:pStyle w:val="GesAbsatz"/>
        <w:rPr>
          <w:rFonts w:cs="Arial"/>
        </w:rPr>
      </w:pPr>
      <w:r>
        <w:rPr>
          <w:rFonts w:cs="Arial"/>
          <w:b/>
          <w:bCs/>
        </w:rPr>
        <w:t>Tabelle 12: Flächen der Schutzgebiete in Nordrhein-Westfalen, ha</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1"/>
        <w:gridCol w:w="1386"/>
        <w:gridCol w:w="1380"/>
        <w:gridCol w:w="1215"/>
        <w:gridCol w:w="1301"/>
        <w:gridCol w:w="1397"/>
        <w:gridCol w:w="1397"/>
      </w:tblGrid>
      <w:tr>
        <w:tc>
          <w:tcPr>
            <w:tcW w:w="1721" w:type="dxa"/>
          </w:tcPr>
          <w:p>
            <w:pPr>
              <w:pStyle w:val="GesAbsatz"/>
              <w:jc w:val="center"/>
              <w:rPr>
                <w:rFonts w:eastAsia="Arial Unicode MS" w:cs="Arial"/>
                <w:sz w:val="18"/>
                <w:szCs w:val="24"/>
              </w:rPr>
            </w:pPr>
            <w:r>
              <w:rPr>
                <w:rFonts w:cs="Arial"/>
                <w:b/>
                <w:bCs/>
                <w:sz w:val="18"/>
              </w:rPr>
              <w:t>Regierungsbezirk</w:t>
            </w:r>
          </w:p>
        </w:tc>
        <w:tc>
          <w:tcPr>
            <w:tcW w:w="1386" w:type="dxa"/>
          </w:tcPr>
          <w:p>
            <w:pPr>
              <w:pStyle w:val="GesAbsatz"/>
              <w:jc w:val="center"/>
              <w:rPr>
                <w:rFonts w:eastAsia="Arial Unicode MS" w:cs="Arial"/>
                <w:sz w:val="18"/>
                <w:szCs w:val="24"/>
              </w:rPr>
            </w:pPr>
            <w:r>
              <w:rPr>
                <w:rFonts w:cs="Arial"/>
                <w:b/>
                <w:bCs/>
                <w:sz w:val="18"/>
              </w:rPr>
              <w:t>Wasserschutzgebiete</w:t>
            </w:r>
            <w:r>
              <w:rPr>
                <w:rFonts w:cs="Arial"/>
                <w:b/>
                <w:bCs/>
                <w:sz w:val="18"/>
              </w:rPr>
              <w:br/>
              <w:t>I + II</w:t>
            </w:r>
          </w:p>
        </w:tc>
        <w:tc>
          <w:tcPr>
            <w:tcW w:w="1380" w:type="dxa"/>
          </w:tcPr>
          <w:p>
            <w:pPr>
              <w:pStyle w:val="GesAbsatz"/>
              <w:jc w:val="center"/>
              <w:rPr>
                <w:rFonts w:eastAsia="Arial Unicode MS" w:cs="Arial"/>
                <w:sz w:val="18"/>
                <w:szCs w:val="24"/>
              </w:rPr>
            </w:pPr>
            <w:r>
              <w:rPr>
                <w:rFonts w:cs="Arial"/>
                <w:b/>
                <w:bCs/>
                <w:sz w:val="18"/>
              </w:rPr>
              <w:t>Naturschutzgebiete</w:t>
            </w:r>
          </w:p>
        </w:tc>
        <w:tc>
          <w:tcPr>
            <w:tcW w:w="1215" w:type="dxa"/>
          </w:tcPr>
          <w:p>
            <w:pPr>
              <w:pStyle w:val="GesAbsatz"/>
              <w:jc w:val="center"/>
              <w:rPr>
                <w:rFonts w:eastAsia="Arial Unicode MS" w:cs="Arial"/>
                <w:sz w:val="18"/>
                <w:szCs w:val="24"/>
              </w:rPr>
            </w:pPr>
            <w:r>
              <w:rPr>
                <w:rFonts w:cs="Arial"/>
                <w:b/>
                <w:bCs/>
                <w:sz w:val="18"/>
              </w:rPr>
              <w:t>Moore</w:t>
            </w:r>
          </w:p>
        </w:tc>
        <w:tc>
          <w:tcPr>
            <w:tcW w:w="1301" w:type="dxa"/>
          </w:tcPr>
          <w:p>
            <w:pPr>
              <w:pStyle w:val="GesAbsatz"/>
              <w:jc w:val="center"/>
              <w:rPr>
                <w:rFonts w:eastAsia="Arial Unicode MS" w:cs="Arial"/>
                <w:sz w:val="18"/>
                <w:szCs w:val="24"/>
              </w:rPr>
            </w:pPr>
            <w:r>
              <w:rPr>
                <w:rFonts w:cs="Arial"/>
                <w:b/>
                <w:bCs/>
                <w:sz w:val="18"/>
              </w:rPr>
              <w:t>Uferrandstreifen</w:t>
            </w:r>
          </w:p>
        </w:tc>
        <w:tc>
          <w:tcPr>
            <w:tcW w:w="1397" w:type="dxa"/>
          </w:tcPr>
          <w:p>
            <w:pPr>
              <w:pStyle w:val="GesAbsatz"/>
              <w:jc w:val="center"/>
              <w:rPr>
                <w:rFonts w:eastAsia="Arial Unicode MS" w:cs="Arial"/>
                <w:sz w:val="18"/>
                <w:szCs w:val="24"/>
              </w:rPr>
            </w:pPr>
            <w:r>
              <w:rPr>
                <w:rFonts w:cs="Arial"/>
                <w:b/>
                <w:bCs/>
                <w:sz w:val="18"/>
              </w:rPr>
              <w:t>Summe</w:t>
            </w:r>
            <w:r>
              <w:rPr>
                <w:rFonts w:cs="Arial"/>
                <w:b/>
                <w:bCs/>
                <w:sz w:val="18"/>
              </w:rPr>
              <w:br/>
              <w:t>Schutzgebiete</w:t>
            </w:r>
          </w:p>
        </w:tc>
        <w:tc>
          <w:tcPr>
            <w:tcW w:w="1397" w:type="dxa"/>
            <w:vAlign w:val="center"/>
          </w:tcPr>
          <w:p>
            <w:pPr>
              <w:pStyle w:val="GesAbsatz"/>
              <w:jc w:val="center"/>
              <w:rPr>
                <w:rFonts w:eastAsia="Arial Unicode MS" w:cs="Arial"/>
                <w:sz w:val="18"/>
                <w:szCs w:val="24"/>
              </w:rPr>
            </w:pPr>
            <w:r>
              <w:rPr>
                <w:rFonts w:cs="Arial"/>
                <w:b/>
                <w:bCs/>
                <w:sz w:val="18"/>
              </w:rPr>
              <w:t>Anteil an der landw. Nutzfläche %</w:t>
            </w:r>
          </w:p>
        </w:tc>
      </w:tr>
      <w:tr>
        <w:tc>
          <w:tcPr>
            <w:tcW w:w="1721" w:type="dxa"/>
            <w:vAlign w:val="center"/>
          </w:tcPr>
          <w:p>
            <w:pPr>
              <w:pStyle w:val="GesAbsatz"/>
              <w:rPr>
                <w:rFonts w:eastAsia="Arial Unicode MS" w:cs="Arial"/>
                <w:sz w:val="18"/>
                <w:szCs w:val="24"/>
              </w:rPr>
            </w:pPr>
            <w:r>
              <w:rPr>
                <w:rFonts w:cs="Arial"/>
                <w:sz w:val="18"/>
              </w:rPr>
              <w:t xml:space="preserve">Arnsberg </w:t>
            </w:r>
          </w:p>
        </w:tc>
        <w:tc>
          <w:tcPr>
            <w:tcW w:w="1386" w:type="dxa"/>
          </w:tcPr>
          <w:p>
            <w:pPr>
              <w:pStyle w:val="GesAbsatz"/>
              <w:tabs>
                <w:tab w:val="clear" w:pos="425"/>
                <w:tab w:val="decimal" w:pos="708"/>
              </w:tabs>
              <w:rPr>
                <w:rFonts w:eastAsia="Arial Unicode MS" w:cs="Arial"/>
                <w:sz w:val="18"/>
                <w:szCs w:val="24"/>
              </w:rPr>
            </w:pPr>
            <w:r>
              <w:rPr>
                <w:rFonts w:cs="Arial"/>
                <w:sz w:val="18"/>
              </w:rPr>
              <w:t>42.107</w:t>
            </w:r>
          </w:p>
        </w:tc>
        <w:tc>
          <w:tcPr>
            <w:tcW w:w="1380" w:type="dxa"/>
          </w:tcPr>
          <w:p>
            <w:pPr>
              <w:pStyle w:val="GesAbsatz"/>
              <w:tabs>
                <w:tab w:val="clear" w:pos="425"/>
                <w:tab w:val="decimal" w:pos="708"/>
              </w:tabs>
              <w:rPr>
                <w:rFonts w:eastAsia="Arial Unicode MS" w:cs="Arial"/>
                <w:sz w:val="18"/>
                <w:szCs w:val="24"/>
              </w:rPr>
            </w:pPr>
            <w:r>
              <w:rPr>
                <w:rFonts w:cs="Arial"/>
                <w:sz w:val="18"/>
              </w:rPr>
              <w:t>20.897</w:t>
            </w:r>
          </w:p>
        </w:tc>
        <w:tc>
          <w:tcPr>
            <w:tcW w:w="1215" w:type="dxa"/>
          </w:tcPr>
          <w:p>
            <w:pPr>
              <w:pStyle w:val="GesAbsatz"/>
              <w:tabs>
                <w:tab w:val="clear" w:pos="425"/>
                <w:tab w:val="decimal" w:pos="708"/>
              </w:tabs>
              <w:rPr>
                <w:rFonts w:eastAsia="Arial Unicode MS" w:cs="Arial"/>
                <w:sz w:val="18"/>
                <w:szCs w:val="24"/>
              </w:rPr>
            </w:pPr>
            <w:r>
              <w:rPr>
                <w:rFonts w:cs="Arial"/>
                <w:sz w:val="18"/>
              </w:rPr>
              <w:t>18</w:t>
            </w:r>
          </w:p>
        </w:tc>
        <w:tc>
          <w:tcPr>
            <w:tcW w:w="1301" w:type="dxa"/>
            <w:vAlign w:val="center"/>
          </w:tcPr>
          <w:p>
            <w:pPr>
              <w:pStyle w:val="GesAbsatz"/>
              <w:tabs>
                <w:tab w:val="clear" w:pos="425"/>
                <w:tab w:val="decimal" w:pos="708"/>
              </w:tabs>
              <w:rPr>
                <w:rFonts w:eastAsia="Arial Unicode MS" w:cs="Arial"/>
                <w:sz w:val="18"/>
                <w:szCs w:val="24"/>
              </w:rPr>
            </w:pPr>
            <w:r>
              <w:rPr>
                <w:rFonts w:cs="Arial"/>
                <w:sz w:val="18"/>
              </w:rPr>
              <w:t>14.086</w:t>
            </w:r>
          </w:p>
        </w:tc>
        <w:tc>
          <w:tcPr>
            <w:tcW w:w="1397" w:type="dxa"/>
            <w:vAlign w:val="center"/>
          </w:tcPr>
          <w:p>
            <w:pPr>
              <w:pStyle w:val="GesAbsatz"/>
              <w:tabs>
                <w:tab w:val="clear" w:pos="425"/>
                <w:tab w:val="decimal" w:pos="708"/>
              </w:tabs>
              <w:rPr>
                <w:rFonts w:eastAsia="Arial Unicode MS" w:cs="Arial"/>
                <w:sz w:val="18"/>
                <w:szCs w:val="24"/>
              </w:rPr>
            </w:pPr>
            <w:r>
              <w:rPr>
                <w:rFonts w:cs="Arial"/>
                <w:sz w:val="18"/>
              </w:rPr>
              <w:t>77.108</w:t>
            </w:r>
          </w:p>
        </w:tc>
        <w:tc>
          <w:tcPr>
            <w:tcW w:w="1397" w:type="dxa"/>
            <w:vAlign w:val="center"/>
          </w:tcPr>
          <w:p>
            <w:pPr>
              <w:pStyle w:val="GesAbsatz"/>
              <w:tabs>
                <w:tab w:val="clear" w:pos="425"/>
                <w:tab w:val="decimal" w:pos="708"/>
              </w:tabs>
              <w:rPr>
                <w:rFonts w:eastAsia="Arial Unicode MS" w:cs="Arial"/>
                <w:sz w:val="18"/>
                <w:szCs w:val="24"/>
              </w:rPr>
            </w:pPr>
            <w:r>
              <w:rPr>
                <w:rFonts w:cs="Arial"/>
                <w:sz w:val="18"/>
              </w:rPr>
              <w:t>30,1</w:t>
            </w:r>
          </w:p>
        </w:tc>
      </w:tr>
      <w:tr>
        <w:tc>
          <w:tcPr>
            <w:tcW w:w="1721" w:type="dxa"/>
            <w:vAlign w:val="center"/>
          </w:tcPr>
          <w:p>
            <w:pPr>
              <w:pStyle w:val="GesAbsatz"/>
              <w:rPr>
                <w:rFonts w:eastAsia="Arial Unicode MS" w:cs="Arial"/>
                <w:sz w:val="18"/>
                <w:szCs w:val="24"/>
              </w:rPr>
            </w:pPr>
            <w:r>
              <w:rPr>
                <w:rFonts w:cs="Arial"/>
                <w:sz w:val="18"/>
              </w:rPr>
              <w:t xml:space="preserve">Detmold </w:t>
            </w:r>
          </w:p>
        </w:tc>
        <w:tc>
          <w:tcPr>
            <w:tcW w:w="1386" w:type="dxa"/>
          </w:tcPr>
          <w:p>
            <w:pPr>
              <w:pStyle w:val="GesAbsatz"/>
              <w:tabs>
                <w:tab w:val="clear" w:pos="425"/>
                <w:tab w:val="decimal" w:pos="708"/>
              </w:tabs>
              <w:rPr>
                <w:rFonts w:eastAsia="Arial Unicode MS" w:cs="Arial"/>
                <w:sz w:val="18"/>
                <w:szCs w:val="24"/>
              </w:rPr>
            </w:pPr>
            <w:r>
              <w:rPr>
                <w:rFonts w:cs="Arial"/>
                <w:sz w:val="18"/>
              </w:rPr>
              <w:t>10.835</w:t>
            </w:r>
          </w:p>
        </w:tc>
        <w:tc>
          <w:tcPr>
            <w:tcW w:w="1380" w:type="dxa"/>
          </w:tcPr>
          <w:p>
            <w:pPr>
              <w:pStyle w:val="GesAbsatz"/>
              <w:tabs>
                <w:tab w:val="clear" w:pos="425"/>
                <w:tab w:val="decimal" w:pos="708"/>
              </w:tabs>
              <w:rPr>
                <w:rFonts w:eastAsia="Arial Unicode MS" w:cs="Arial"/>
                <w:sz w:val="18"/>
                <w:szCs w:val="24"/>
              </w:rPr>
            </w:pPr>
            <w:r>
              <w:rPr>
                <w:rFonts w:cs="Arial"/>
                <w:sz w:val="18"/>
              </w:rPr>
              <w:t>20.294</w:t>
            </w:r>
          </w:p>
        </w:tc>
        <w:tc>
          <w:tcPr>
            <w:tcW w:w="1215" w:type="dxa"/>
          </w:tcPr>
          <w:p>
            <w:pPr>
              <w:pStyle w:val="GesAbsatz"/>
              <w:tabs>
                <w:tab w:val="clear" w:pos="425"/>
                <w:tab w:val="decimal" w:pos="708"/>
              </w:tabs>
              <w:rPr>
                <w:rFonts w:eastAsia="Arial Unicode MS" w:cs="Arial"/>
                <w:sz w:val="18"/>
                <w:szCs w:val="24"/>
              </w:rPr>
            </w:pPr>
            <w:r>
              <w:rPr>
                <w:rFonts w:cs="Arial"/>
                <w:sz w:val="18"/>
              </w:rPr>
              <w:t>526</w:t>
            </w:r>
          </w:p>
        </w:tc>
        <w:tc>
          <w:tcPr>
            <w:tcW w:w="1301" w:type="dxa"/>
            <w:vAlign w:val="center"/>
          </w:tcPr>
          <w:p>
            <w:pPr>
              <w:pStyle w:val="GesAbsatz"/>
              <w:tabs>
                <w:tab w:val="clear" w:pos="425"/>
                <w:tab w:val="decimal" w:pos="708"/>
              </w:tabs>
              <w:rPr>
                <w:rFonts w:eastAsia="Arial Unicode MS" w:cs="Arial"/>
                <w:sz w:val="18"/>
                <w:szCs w:val="24"/>
              </w:rPr>
            </w:pPr>
            <w:r>
              <w:rPr>
                <w:rFonts w:cs="Arial"/>
                <w:sz w:val="18"/>
              </w:rPr>
              <w:t>11.477</w:t>
            </w:r>
          </w:p>
        </w:tc>
        <w:tc>
          <w:tcPr>
            <w:tcW w:w="1397" w:type="dxa"/>
            <w:vAlign w:val="center"/>
          </w:tcPr>
          <w:p>
            <w:pPr>
              <w:pStyle w:val="GesAbsatz"/>
              <w:tabs>
                <w:tab w:val="clear" w:pos="425"/>
                <w:tab w:val="decimal" w:pos="708"/>
              </w:tabs>
              <w:rPr>
                <w:rFonts w:eastAsia="Arial Unicode MS" w:cs="Arial"/>
                <w:sz w:val="18"/>
                <w:szCs w:val="24"/>
              </w:rPr>
            </w:pPr>
            <w:r>
              <w:rPr>
                <w:rFonts w:cs="Arial"/>
                <w:sz w:val="18"/>
              </w:rPr>
              <w:t>43.132</w:t>
            </w:r>
          </w:p>
        </w:tc>
        <w:tc>
          <w:tcPr>
            <w:tcW w:w="1397" w:type="dxa"/>
            <w:vAlign w:val="center"/>
          </w:tcPr>
          <w:p>
            <w:pPr>
              <w:pStyle w:val="GesAbsatz"/>
              <w:tabs>
                <w:tab w:val="clear" w:pos="425"/>
                <w:tab w:val="decimal" w:pos="708"/>
              </w:tabs>
              <w:rPr>
                <w:rFonts w:eastAsia="Arial Unicode MS" w:cs="Arial"/>
                <w:sz w:val="18"/>
                <w:szCs w:val="24"/>
              </w:rPr>
            </w:pPr>
            <w:r>
              <w:rPr>
                <w:rFonts w:cs="Arial"/>
                <w:sz w:val="18"/>
              </w:rPr>
              <w:t>12,3</w:t>
            </w:r>
          </w:p>
        </w:tc>
      </w:tr>
      <w:tr>
        <w:tc>
          <w:tcPr>
            <w:tcW w:w="1721" w:type="dxa"/>
            <w:vAlign w:val="center"/>
          </w:tcPr>
          <w:p>
            <w:pPr>
              <w:pStyle w:val="GesAbsatz"/>
              <w:rPr>
                <w:rFonts w:eastAsia="Arial Unicode MS" w:cs="Arial"/>
                <w:sz w:val="18"/>
                <w:szCs w:val="24"/>
              </w:rPr>
            </w:pPr>
            <w:r>
              <w:rPr>
                <w:rFonts w:cs="Arial"/>
                <w:sz w:val="18"/>
              </w:rPr>
              <w:t xml:space="preserve">Düsseldorf </w:t>
            </w:r>
          </w:p>
        </w:tc>
        <w:tc>
          <w:tcPr>
            <w:tcW w:w="1386" w:type="dxa"/>
          </w:tcPr>
          <w:p>
            <w:pPr>
              <w:pStyle w:val="GesAbsatz"/>
              <w:tabs>
                <w:tab w:val="clear" w:pos="425"/>
                <w:tab w:val="decimal" w:pos="708"/>
              </w:tabs>
              <w:rPr>
                <w:rFonts w:eastAsia="Arial Unicode MS" w:cs="Arial"/>
                <w:sz w:val="18"/>
                <w:szCs w:val="24"/>
              </w:rPr>
            </w:pPr>
            <w:r>
              <w:rPr>
                <w:rFonts w:cs="Arial"/>
                <w:sz w:val="18"/>
              </w:rPr>
              <w:t>6.599</w:t>
            </w:r>
          </w:p>
        </w:tc>
        <w:tc>
          <w:tcPr>
            <w:tcW w:w="1380" w:type="dxa"/>
          </w:tcPr>
          <w:p>
            <w:pPr>
              <w:pStyle w:val="GesAbsatz"/>
              <w:tabs>
                <w:tab w:val="clear" w:pos="425"/>
                <w:tab w:val="decimal" w:pos="708"/>
              </w:tabs>
              <w:rPr>
                <w:rFonts w:eastAsia="Arial Unicode MS" w:cs="Arial"/>
                <w:sz w:val="18"/>
                <w:szCs w:val="24"/>
              </w:rPr>
            </w:pPr>
            <w:r>
              <w:rPr>
                <w:rFonts w:cs="Arial"/>
                <w:sz w:val="18"/>
              </w:rPr>
              <w:t>30.748</w:t>
            </w:r>
          </w:p>
        </w:tc>
        <w:tc>
          <w:tcPr>
            <w:tcW w:w="1215" w:type="dxa"/>
          </w:tcPr>
          <w:p>
            <w:pPr>
              <w:pStyle w:val="GesAbsatz"/>
              <w:tabs>
                <w:tab w:val="clear" w:pos="425"/>
                <w:tab w:val="decimal" w:pos="708"/>
              </w:tabs>
              <w:rPr>
                <w:rFonts w:eastAsia="Arial Unicode MS" w:cs="Arial"/>
                <w:sz w:val="18"/>
                <w:szCs w:val="24"/>
              </w:rPr>
            </w:pPr>
            <w:r>
              <w:rPr>
                <w:rFonts w:cs="Arial"/>
                <w:sz w:val="18"/>
              </w:rPr>
              <w:t>12</w:t>
            </w:r>
          </w:p>
        </w:tc>
        <w:tc>
          <w:tcPr>
            <w:tcW w:w="1301" w:type="dxa"/>
            <w:vAlign w:val="center"/>
          </w:tcPr>
          <w:p>
            <w:pPr>
              <w:pStyle w:val="GesAbsatz"/>
              <w:tabs>
                <w:tab w:val="clear" w:pos="425"/>
                <w:tab w:val="decimal" w:pos="708"/>
              </w:tabs>
              <w:rPr>
                <w:rFonts w:eastAsia="Arial Unicode MS" w:cs="Arial"/>
                <w:sz w:val="18"/>
                <w:szCs w:val="24"/>
              </w:rPr>
            </w:pPr>
            <w:r>
              <w:rPr>
                <w:rFonts w:cs="Arial"/>
                <w:sz w:val="18"/>
              </w:rPr>
              <w:t>9.313</w:t>
            </w:r>
          </w:p>
        </w:tc>
        <w:tc>
          <w:tcPr>
            <w:tcW w:w="1397" w:type="dxa"/>
            <w:vAlign w:val="center"/>
          </w:tcPr>
          <w:p>
            <w:pPr>
              <w:pStyle w:val="GesAbsatz"/>
              <w:tabs>
                <w:tab w:val="clear" w:pos="425"/>
                <w:tab w:val="decimal" w:pos="708"/>
              </w:tabs>
              <w:rPr>
                <w:rFonts w:eastAsia="Arial Unicode MS" w:cs="Arial"/>
                <w:sz w:val="18"/>
                <w:szCs w:val="24"/>
              </w:rPr>
            </w:pPr>
            <w:r>
              <w:rPr>
                <w:rFonts w:cs="Arial"/>
                <w:sz w:val="18"/>
              </w:rPr>
              <w:t>46.672</w:t>
            </w:r>
          </w:p>
        </w:tc>
        <w:tc>
          <w:tcPr>
            <w:tcW w:w="1397" w:type="dxa"/>
            <w:vAlign w:val="center"/>
          </w:tcPr>
          <w:p>
            <w:pPr>
              <w:pStyle w:val="GesAbsatz"/>
              <w:tabs>
                <w:tab w:val="clear" w:pos="425"/>
                <w:tab w:val="decimal" w:pos="708"/>
              </w:tabs>
              <w:rPr>
                <w:rFonts w:eastAsia="Arial Unicode MS" w:cs="Arial"/>
                <w:sz w:val="18"/>
                <w:szCs w:val="24"/>
              </w:rPr>
            </w:pPr>
            <w:r>
              <w:rPr>
                <w:rFonts w:cs="Arial"/>
                <w:sz w:val="18"/>
              </w:rPr>
              <w:t>20,0</w:t>
            </w:r>
          </w:p>
        </w:tc>
      </w:tr>
      <w:tr>
        <w:tc>
          <w:tcPr>
            <w:tcW w:w="1721" w:type="dxa"/>
            <w:vAlign w:val="center"/>
          </w:tcPr>
          <w:p>
            <w:pPr>
              <w:pStyle w:val="GesAbsatz"/>
              <w:rPr>
                <w:rFonts w:eastAsia="Arial Unicode MS" w:cs="Arial"/>
                <w:sz w:val="18"/>
                <w:szCs w:val="24"/>
              </w:rPr>
            </w:pPr>
            <w:r>
              <w:rPr>
                <w:rFonts w:cs="Arial"/>
                <w:sz w:val="18"/>
              </w:rPr>
              <w:t xml:space="preserve">Köln </w:t>
            </w:r>
          </w:p>
        </w:tc>
        <w:tc>
          <w:tcPr>
            <w:tcW w:w="1386" w:type="dxa"/>
          </w:tcPr>
          <w:p>
            <w:pPr>
              <w:pStyle w:val="GesAbsatz"/>
              <w:tabs>
                <w:tab w:val="clear" w:pos="425"/>
                <w:tab w:val="decimal" w:pos="708"/>
              </w:tabs>
              <w:rPr>
                <w:rFonts w:eastAsia="Arial Unicode MS" w:cs="Arial"/>
                <w:sz w:val="18"/>
                <w:szCs w:val="24"/>
              </w:rPr>
            </w:pPr>
            <w:r>
              <w:rPr>
                <w:rFonts w:cs="Arial"/>
                <w:sz w:val="18"/>
              </w:rPr>
              <w:t>33.436</w:t>
            </w:r>
          </w:p>
        </w:tc>
        <w:tc>
          <w:tcPr>
            <w:tcW w:w="1380" w:type="dxa"/>
          </w:tcPr>
          <w:p>
            <w:pPr>
              <w:pStyle w:val="GesAbsatz"/>
              <w:tabs>
                <w:tab w:val="clear" w:pos="425"/>
                <w:tab w:val="decimal" w:pos="708"/>
              </w:tabs>
              <w:rPr>
                <w:rFonts w:eastAsia="Arial Unicode MS" w:cs="Arial"/>
                <w:sz w:val="18"/>
                <w:szCs w:val="24"/>
              </w:rPr>
            </w:pPr>
            <w:r>
              <w:rPr>
                <w:rFonts w:cs="Arial"/>
                <w:sz w:val="18"/>
              </w:rPr>
              <w:t>26.017</w:t>
            </w:r>
          </w:p>
        </w:tc>
        <w:tc>
          <w:tcPr>
            <w:tcW w:w="1215" w:type="dxa"/>
          </w:tcPr>
          <w:p>
            <w:pPr>
              <w:pStyle w:val="GesAbsatz"/>
              <w:tabs>
                <w:tab w:val="clear" w:pos="425"/>
                <w:tab w:val="decimal" w:pos="708"/>
              </w:tabs>
              <w:rPr>
                <w:rFonts w:eastAsia="Arial Unicode MS" w:cs="Arial"/>
                <w:sz w:val="18"/>
                <w:szCs w:val="24"/>
              </w:rPr>
            </w:pPr>
            <w:r>
              <w:rPr>
                <w:rFonts w:cs="Arial"/>
                <w:sz w:val="18"/>
              </w:rPr>
              <w:t>18</w:t>
            </w:r>
          </w:p>
        </w:tc>
        <w:tc>
          <w:tcPr>
            <w:tcW w:w="1301" w:type="dxa"/>
            <w:vAlign w:val="center"/>
          </w:tcPr>
          <w:p>
            <w:pPr>
              <w:pStyle w:val="GesAbsatz"/>
              <w:tabs>
                <w:tab w:val="clear" w:pos="425"/>
                <w:tab w:val="decimal" w:pos="708"/>
              </w:tabs>
              <w:rPr>
                <w:rFonts w:eastAsia="Arial Unicode MS" w:cs="Arial"/>
                <w:sz w:val="18"/>
                <w:szCs w:val="24"/>
              </w:rPr>
            </w:pPr>
            <w:r>
              <w:rPr>
                <w:rFonts w:cs="Arial"/>
                <w:sz w:val="18"/>
              </w:rPr>
              <w:t>12.969</w:t>
            </w:r>
          </w:p>
        </w:tc>
        <w:tc>
          <w:tcPr>
            <w:tcW w:w="1397" w:type="dxa"/>
            <w:vAlign w:val="center"/>
          </w:tcPr>
          <w:p>
            <w:pPr>
              <w:pStyle w:val="GesAbsatz"/>
              <w:tabs>
                <w:tab w:val="clear" w:pos="425"/>
                <w:tab w:val="decimal" w:pos="708"/>
              </w:tabs>
              <w:rPr>
                <w:rFonts w:eastAsia="Arial Unicode MS" w:cs="Arial"/>
                <w:sz w:val="18"/>
                <w:szCs w:val="24"/>
              </w:rPr>
            </w:pPr>
            <w:r>
              <w:rPr>
                <w:rFonts w:cs="Arial"/>
                <w:sz w:val="18"/>
              </w:rPr>
              <w:t>72.440</w:t>
            </w:r>
          </w:p>
        </w:tc>
        <w:tc>
          <w:tcPr>
            <w:tcW w:w="1397" w:type="dxa"/>
            <w:vAlign w:val="center"/>
          </w:tcPr>
          <w:p>
            <w:pPr>
              <w:pStyle w:val="GesAbsatz"/>
              <w:tabs>
                <w:tab w:val="clear" w:pos="425"/>
                <w:tab w:val="decimal" w:pos="708"/>
              </w:tabs>
              <w:rPr>
                <w:rFonts w:eastAsia="Arial Unicode MS" w:cs="Arial"/>
                <w:sz w:val="18"/>
                <w:szCs w:val="24"/>
              </w:rPr>
            </w:pPr>
            <w:r>
              <w:rPr>
                <w:rFonts w:cs="Arial"/>
                <w:sz w:val="18"/>
              </w:rPr>
              <w:t>24,1</w:t>
            </w:r>
          </w:p>
        </w:tc>
      </w:tr>
      <w:tr>
        <w:tc>
          <w:tcPr>
            <w:tcW w:w="1721" w:type="dxa"/>
            <w:vAlign w:val="center"/>
          </w:tcPr>
          <w:p>
            <w:pPr>
              <w:pStyle w:val="GesAbsatz"/>
              <w:rPr>
                <w:rFonts w:eastAsia="Arial Unicode MS" w:cs="Arial"/>
                <w:sz w:val="18"/>
                <w:szCs w:val="24"/>
              </w:rPr>
            </w:pPr>
            <w:r>
              <w:rPr>
                <w:rFonts w:cs="Arial"/>
                <w:sz w:val="18"/>
              </w:rPr>
              <w:t xml:space="preserve">Münster </w:t>
            </w:r>
          </w:p>
        </w:tc>
        <w:tc>
          <w:tcPr>
            <w:tcW w:w="1386" w:type="dxa"/>
          </w:tcPr>
          <w:p>
            <w:pPr>
              <w:pStyle w:val="GesAbsatz"/>
              <w:tabs>
                <w:tab w:val="clear" w:pos="425"/>
                <w:tab w:val="decimal" w:pos="708"/>
              </w:tabs>
              <w:rPr>
                <w:rFonts w:eastAsia="Arial Unicode MS" w:cs="Arial"/>
                <w:sz w:val="18"/>
                <w:szCs w:val="24"/>
              </w:rPr>
            </w:pPr>
            <w:r>
              <w:rPr>
                <w:rFonts w:cs="Arial"/>
                <w:sz w:val="18"/>
              </w:rPr>
              <w:t>3.343</w:t>
            </w:r>
          </w:p>
        </w:tc>
        <w:tc>
          <w:tcPr>
            <w:tcW w:w="1380" w:type="dxa"/>
          </w:tcPr>
          <w:p>
            <w:pPr>
              <w:pStyle w:val="GesAbsatz"/>
              <w:tabs>
                <w:tab w:val="clear" w:pos="425"/>
                <w:tab w:val="decimal" w:pos="708"/>
              </w:tabs>
              <w:rPr>
                <w:rFonts w:eastAsia="Arial Unicode MS" w:cs="Arial"/>
                <w:sz w:val="18"/>
                <w:szCs w:val="24"/>
              </w:rPr>
            </w:pPr>
            <w:r>
              <w:rPr>
                <w:rFonts w:cs="Arial"/>
                <w:sz w:val="18"/>
              </w:rPr>
              <w:t>23.328</w:t>
            </w:r>
          </w:p>
        </w:tc>
        <w:tc>
          <w:tcPr>
            <w:tcW w:w="1215" w:type="dxa"/>
          </w:tcPr>
          <w:p>
            <w:pPr>
              <w:pStyle w:val="GesAbsatz"/>
              <w:tabs>
                <w:tab w:val="clear" w:pos="425"/>
                <w:tab w:val="decimal" w:pos="708"/>
              </w:tabs>
              <w:rPr>
                <w:rFonts w:eastAsia="Arial Unicode MS" w:cs="Arial"/>
                <w:sz w:val="18"/>
                <w:szCs w:val="24"/>
              </w:rPr>
            </w:pPr>
            <w:r>
              <w:rPr>
                <w:rFonts w:cs="Arial"/>
                <w:sz w:val="18"/>
              </w:rPr>
              <w:t>665</w:t>
            </w:r>
          </w:p>
        </w:tc>
        <w:tc>
          <w:tcPr>
            <w:tcW w:w="1301" w:type="dxa"/>
            <w:vAlign w:val="center"/>
          </w:tcPr>
          <w:p>
            <w:pPr>
              <w:pStyle w:val="GesAbsatz"/>
              <w:tabs>
                <w:tab w:val="clear" w:pos="425"/>
                <w:tab w:val="decimal" w:pos="708"/>
              </w:tabs>
              <w:rPr>
                <w:rFonts w:eastAsia="Arial Unicode MS" w:cs="Arial"/>
                <w:sz w:val="18"/>
                <w:szCs w:val="24"/>
              </w:rPr>
            </w:pPr>
            <w:r>
              <w:rPr>
                <w:rFonts w:cs="Arial"/>
                <w:sz w:val="18"/>
              </w:rPr>
              <w:t>12.155</w:t>
            </w:r>
          </w:p>
        </w:tc>
        <w:tc>
          <w:tcPr>
            <w:tcW w:w="1397" w:type="dxa"/>
            <w:vAlign w:val="center"/>
          </w:tcPr>
          <w:p>
            <w:pPr>
              <w:pStyle w:val="GesAbsatz"/>
              <w:tabs>
                <w:tab w:val="clear" w:pos="425"/>
                <w:tab w:val="decimal" w:pos="708"/>
              </w:tabs>
              <w:rPr>
                <w:rFonts w:eastAsia="Arial Unicode MS" w:cs="Arial"/>
                <w:sz w:val="18"/>
                <w:szCs w:val="24"/>
              </w:rPr>
            </w:pPr>
            <w:r>
              <w:rPr>
                <w:rFonts w:cs="Arial"/>
                <w:sz w:val="18"/>
              </w:rPr>
              <w:t>39.491</w:t>
            </w:r>
          </w:p>
        </w:tc>
        <w:tc>
          <w:tcPr>
            <w:tcW w:w="1397" w:type="dxa"/>
            <w:vAlign w:val="center"/>
          </w:tcPr>
          <w:p>
            <w:pPr>
              <w:pStyle w:val="GesAbsatz"/>
              <w:tabs>
                <w:tab w:val="clear" w:pos="425"/>
                <w:tab w:val="decimal" w:pos="708"/>
              </w:tabs>
              <w:rPr>
                <w:rFonts w:eastAsia="Arial Unicode MS" w:cs="Arial"/>
                <w:sz w:val="18"/>
                <w:szCs w:val="24"/>
              </w:rPr>
            </w:pPr>
            <w:r>
              <w:rPr>
                <w:rFonts w:cs="Arial"/>
                <w:sz w:val="18"/>
              </w:rPr>
              <w:t>9,6</w:t>
            </w:r>
          </w:p>
        </w:tc>
      </w:tr>
      <w:tr>
        <w:tc>
          <w:tcPr>
            <w:tcW w:w="1721" w:type="dxa"/>
            <w:vAlign w:val="center"/>
          </w:tcPr>
          <w:p>
            <w:pPr>
              <w:pStyle w:val="GesAbsatz"/>
              <w:rPr>
                <w:rFonts w:eastAsia="Arial Unicode MS" w:cs="Arial"/>
                <w:sz w:val="18"/>
                <w:szCs w:val="24"/>
              </w:rPr>
            </w:pPr>
            <w:r>
              <w:rPr>
                <w:rFonts w:cs="Arial"/>
                <w:sz w:val="18"/>
              </w:rPr>
              <w:t xml:space="preserve">NRW </w:t>
            </w:r>
          </w:p>
        </w:tc>
        <w:tc>
          <w:tcPr>
            <w:tcW w:w="1386" w:type="dxa"/>
            <w:vAlign w:val="bottom"/>
          </w:tcPr>
          <w:p>
            <w:pPr>
              <w:pStyle w:val="GesAbsatz"/>
              <w:tabs>
                <w:tab w:val="clear" w:pos="425"/>
                <w:tab w:val="decimal" w:pos="708"/>
              </w:tabs>
              <w:rPr>
                <w:rFonts w:eastAsia="Arial Unicode MS" w:cs="Arial"/>
                <w:sz w:val="18"/>
                <w:szCs w:val="24"/>
              </w:rPr>
            </w:pPr>
            <w:r>
              <w:rPr>
                <w:rFonts w:cs="Arial"/>
                <w:sz w:val="18"/>
              </w:rPr>
              <w:t>96.319</w:t>
            </w:r>
          </w:p>
        </w:tc>
        <w:tc>
          <w:tcPr>
            <w:tcW w:w="1380" w:type="dxa"/>
            <w:vAlign w:val="bottom"/>
          </w:tcPr>
          <w:p>
            <w:pPr>
              <w:pStyle w:val="GesAbsatz"/>
              <w:tabs>
                <w:tab w:val="clear" w:pos="425"/>
                <w:tab w:val="decimal" w:pos="708"/>
              </w:tabs>
              <w:rPr>
                <w:rFonts w:eastAsia="Arial Unicode MS" w:cs="Arial"/>
                <w:sz w:val="18"/>
                <w:szCs w:val="24"/>
              </w:rPr>
            </w:pPr>
            <w:r>
              <w:rPr>
                <w:rFonts w:cs="Arial"/>
                <w:sz w:val="18"/>
              </w:rPr>
              <w:t>121.285</w:t>
            </w:r>
          </w:p>
        </w:tc>
        <w:tc>
          <w:tcPr>
            <w:tcW w:w="1215" w:type="dxa"/>
            <w:vAlign w:val="bottom"/>
          </w:tcPr>
          <w:p>
            <w:pPr>
              <w:pStyle w:val="GesAbsatz"/>
              <w:tabs>
                <w:tab w:val="clear" w:pos="425"/>
                <w:tab w:val="decimal" w:pos="708"/>
              </w:tabs>
              <w:rPr>
                <w:rFonts w:eastAsia="Arial Unicode MS" w:cs="Arial"/>
                <w:sz w:val="18"/>
                <w:szCs w:val="24"/>
              </w:rPr>
            </w:pPr>
            <w:r>
              <w:rPr>
                <w:rFonts w:cs="Arial"/>
                <w:sz w:val="18"/>
              </w:rPr>
              <w:t>1.239</w:t>
            </w:r>
          </w:p>
        </w:tc>
        <w:tc>
          <w:tcPr>
            <w:tcW w:w="1301" w:type="dxa"/>
            <w:vAlign w:val="bottom"/>
          </w:tcPr>
          <w:p>
            <w:pPr>
              <w:pStyle w:val="GesAbsatz"/>
              <w:tabs>
                <w:tab w:val="clear" w:pos="425"/>
                <w:tab w:val="decimal" w:pos="708"/>
              </w:tabs>
              <w:rPr>
                <w:rFonts w:eastAsia="Arial Unicode MS" w:cs="Arial"/>
                <w:sz w:val="18"/>
                <w:szCs w:val="24"/>
              </w:rPr>
            </w:pPr>
            <w:r>
              <w:rPr>
                <w:rFonts w:cs="Arial"/>
                <w:sz w:val="18"/>
              </w:rPr>
              <w:t>60.000</w:t>
            </w:r>
          </w:p>
        </w:tc>
        <w:tc>
          <w:tcPr>
            <w:tcW w:w="1397" w:type="dxa"/>
            <w:vAlign w:val="bottom"/>
          </w:tcPr>
          <w:p>
            <w:pPr>
              <w:pStyle w:val="GesAbsatz"/>
              <w:tabs>
                <w:tab w:val="clear" w:pos="425"/>
                <w:tab w:val="decimal" w:pos="708"/>
              </w:tabs>
              <w:rPr>
                <w:rFonts w:eastAsia="Arial Unicode MS" w:cs="Arial"/>
                <w:sz w:val="18"/>
                <w:szCs w:val="24"/>
              </w:rPr>
            </w:pPr>
            <w:r>
              <w:rPr>
                <w:rFonts w:cs="Arial"/>
                <w:sz w:val="18"/>
              </w:rPr>
              <w:t>278.843</w:t>
            </w:r>
          </w:p>
        </w:tc>
        <w:tc>
          <w:tcPr>
            <w:tcW w:w="1397" w:type="dxa"/>
            <w:vAlign w:val="bottom"/>
          </w:tcPr>
          <w:p>
            <w:pPr>
              <w:pStyle w:val="GesAbsatz"/>
              <w:tabs>
                <w:tab w:val="clear" w:pos="425"/>
                <w:tab w:val="decimal" w:pos="708"/>
              </w:tabs>
              <w:rPr>
                <w:rFonts w:eastAsia="Arial Unicode MS" w:cs="Arial"/>
                <w:sz w:val="18"/>
                <w:szCs w:val="24"/>
              </w:rPr>
            </w:pPr>
            <w:r>
              <w:rPr>
                <w:rFonts w:cs="Arial"/>
                <w:sz w:val="18"/>
              </w:rPr>
              <w:t>17,9</w:t>
            </w:r>
          </w:p>
        </w:tc>
      </w:tr>
    </w:tbl>
    <w:p>
      <w:pPr>
        <w:pStyle w:val="GesAbsatz"/>
        <w:rPr>
          <w:rFonts w:eastAsia="Arial Unicode MS" w:cs="Arial"/>
          <w:szCs w:val="24"/>
        </w:rPr>
      </w:pPr>
    </w:p>
    <w:p>
      <w:pPr>
        <w:pStyle w:val="GesAbsatz"/>
        <w:rPr>
          <w:rFonts w:eastAsia="Arial Unicode MS" w:cs="Arial"/>
        </w:rPr>
      </w:pPr>
      <w:r>
        <w:rPr>
          <w:rFonts w:cs="Arial"/>
        </w:rPr>
        <w:t>Da nicht bekannt ist, welche Flächenanteile der Schutzgebiete sich auf Acker- oder Grünland befinden, wurde in dieser Studie von der Acker- und Grünlandfläche je Kreis/Aggregat (vgl. Kap. 4.2.2, Karte 6) gleichermaßen eine dem prozentualen Anteil im jeweiligen Regierungsbezirk entsprechende Fläche abgezogen.</w:t>
      </w:r>
    </w:p>
    <w:p>
      <w:pPr>
        <w:pStyle w:val="berschrift3"/>
        <w:jc w:val="left"/>
        <w:rPr>
          <w:rFonts w:eastAsia="Arial Unicode MS"/>
        </w:rPr>
      </w:pPr>
      <w:bookmarkStart w:id="8" w:name="_Toc45599496"/>
      <w:r>
        <w:t>2.6 Rindenaufkommen</w:t>
      </w:r>
      <w:bookmarkEnd w:id="8"/>
    </w:p>
    <w:p>
      <w:pPr>
        <w:pStyle w:val="GesAbsatz"/>
        <w:rPr>
          <w:rFonts w:eastAsia="Arial Unicode MS" w:cs="Arial"/>
        </w:rPr>
      </w:pPr>
      <w:r>
        <w:rPr>
          <w:rFonts w:cs="Arial"/>
        </w:rPr>
        <w:t>Das Rindenaufkommen in Deutschland (ohne Importe) wird pro Jahr auf rund 3 Mio. m</w:t>
      </w:r>
      <w:r>
        <w:rPr>
          <w:rFonts w:cs="Arial"/>
          <w:vertAlign w:val="superscript"/>
        </w:rPr>
        <w:t>3</w:t>
      </w:r>
      <w:r>
        <w:rPr>
          <w:rFonts w:cs="Arial"/>
        </w:rPr>
        <w:t xml:space="preserve"> geschätzt (Gütegemeinschaft Substrate für Pflanzenbau e.V., 1998). Belastbare Zahlen zum Rindenaufkommen in Deutschland sind nach Angaben der Gütegemeinschaft Substrate zur Zeit nicht verfügbar. Bei Mitgliederbefragungen stellte sich heraus, dass Mengen häufig doppelt erfasst wurden (einer vermarktet als Rohrinde, der nächste als verarbeitetes Produkt etc.), während Betriebe, die nicht in Gütegemeinschaften und Verbänden organisiert sind, überhaupt nicht erfasst werden. Große Unsicherheit in Bezug auf die Mengen an marktfähiger Ware besteht auch deshalb, weil in den letzten Jahren Einfuhren aus Osteuropa stark zugenommen haben, jedoch keine Statistiken darüber geführt werden. Nach Einschätzung eines Rindenkompostierers in Nordrhein-Westfalen beläuft sich die am Markt verfügbare Menge allein aus dem regionalen Aufkommen auf mindestens 300.000 m</w:t>
      </w:r>
      <w:r>
        <w:rPr>
          <w:rFonts w:cs="Arial"/>
          <w:vertAlign w:val="superscript"/>
        </w:rPr>
        <w:t>3</w:t>
      </w:r>
      <w:r>
        <w:rPr>
          <w:rFonts w:cs="Arial"/>
        </w:rPr>
        <w:t xml:space="preserve"> pro Jahr in Nordrhein-Westfalen. Hinzu kommen die „Rindenimporte“ aus südlichen Bundesländern (Lippross, 1998).</w:t>
      </w:r>
    </w:p>
    <w:p>
      <w:pPr>
        <w:pStyle w:val="GesAbsatz"/>
        <w:rPr>
          <w:rFonts w:eastAsia="Arial Unicode MS" w:cs="Arial"/>
        </w:rPr>
      </w:pPr>
      <w:r>
        <w:rPr>
          <w:rFonts w:cs="Arial"/>
        </w:rPr>
        <w:t>Da landesspezifische Daten zum Rindenaufkommen nicht existieren, kann nur eine grobe Einschätzung anhand der Bevölkerungszahlen vorgenommen werden. Auf die Bevölkerung der Bundesrepublik bezogen (ca. 81,8 Mio. Einwohner, Statistisches Bundesamt, 1998) ergibt sich ein pro-Kopf-Verbrauch von 0,037 m</w:t>
      </w:r>
      <w:r>
        <w:rPr>
          <w:rFonts w:cs="Arial"/>
          <w:vertAlign w:val="superscript"/>
        </w:rPr>
        <w:t>3</w:t>
      </w:r>
      <w:r>
        <w:rPr>
          <w:rFonts w:cs="Arial"/>
        </w:rPr>
        <w:t xml:space="preserve"> Rinde im Jahr. Auf die Einwohnerzahl Nordrhein-Westfalens umgerechnet (ca. 17,9 Mio., LDS 1998) ergibt sich landesweit ein Verbrauch von rund 665.000 m</w:t>
      </w:r>
      <w:r>
        <w:rPr>
          <w:rFonts w:cs="Arial"/>
          <w:vertAlign w:val="superscript"/>
        </w:rPr>
        <w:t>3</w:t>
      </w:r>
      <w:r>
        <w:rPr>
          <w:rFonts w:cs="Arial"/>
        </w:rPr>
        <w:t xml:space="preserve"> Rinde pro Jahr.</w:t>
      </w:r>
    </w:p>
    <w:p>
      <w:pPr>
        <w:pStyle w:val="berschrift3"/>
        <w:jc w:val="left"/>
      </w:pPr>
      <w:bookmarkStart w:id="9" w:name="_Toc45599497"/>
      <w:r>
        <w:lastRenderedPageBreak/>
        <w:t>2.8 Organische Gewerbeabfälle</w:t>
      </w:r>
      <w:bookmarkEnd w:id="9"/>
    </w:p>
    <w:p>
      <w:pPr>
        <w:pStyle w:val="GesAbsatz"/>
        <w:rPr>
          <w:rFonts w:eastAsia="Arial Unicode MS" w:cs="Arial"/>
        </w:rPr>
      </w:pPr>
      <w:r>
        <w:rPr>
          <w:rFonts w:cs="Arial"/>
        </w:rPr>
        <w:t>Nach der Studie „Ermittlung von Kooperationsmöglichkeiten im Rahmen der Restriktiven Bedarfsprüfung des Landes Nordrhein-Westfalen“ (Ifeu, 1997, im Auftrag des MURL) betrug im Jahr 1995 der Organikanteil der Gewerbeabfälle in Nordrhein-Westfalen 315.740 Mg (Zahlen z. T. geschätzt), wovon aber nur 2.790 Mg verwertet wurden.</w:t>
      </w:r>
    </w:p>
    <w:p>
      <w:pPr>
        <w:pStyle w:val="GesAbsatz"/>
        <w:rPr>
          <w:rFonts w:cs="Arial"/>
        </w:rPr>
      </w:pPr>
      <w:r>
        <w:rPr>
          <w:rFonts w:cs="Arial"/>
        </w:rPr>
        <w:t>Dies zeigt, dass der Organikanteil des Gewerbeabfalls nur selten getrennt erfasst wird. Wenn eine getrennte Sammlung stattfindet, wird der Abfall kompostiert (Ifeu, 1998) und gelangt somit als Kompost und nicht unbehandelt z. B. auf die Landwirtschaftsfläche. Insgesamt stellt der organische Anteil im Gewerbeabfall keine Konkurrenz zum Kompost dar.</w:t>
      </w:r>
    </w:p>
    <w:p>
      <w:pPr>
        <w:pStyle w:val="GesAbsatz"/>
        <w:rPr>
          <w:rFonts w:eastAsia="Arial Unicode MS" w:cs="Arial"/>
        </w:rPr>
      </w:pPr>
      <w:r>
        <w:rPr>
          <w:rFonts w:cs="Arial"/>
        </w:rPr>
        <w:t>Abfälle aus dem Bereich der Nahrungs- und Genussmittelindustrie werden ebenfalls kaum direkt auf landwirtschaftliche Flächen aufgebracht. Laut Koll (1998) stellen Nahrungsmittelabfälle – darunter fallen sowohl Speiseabfälle, Abfälle und Nebenprodukte der Nahrungs- und Genussmittelindustrie sowie nicht absetzbare Nahrungsmittel – einen wichtigen Bestandteil der Futtermittel für Nutztiere dar.</w:t>
      </w:r>
    </w:p>
    <w:p>
      <w:pPr>
        <w:pStyle w:val="GesAbsatz"/>
        <w:rPr>
          <w:rFonts w:eastAsia="Arial Unicode MS" w:cs="Arial"/>
        </w:rPr>
      </w:pPr>
      <w:r>
        <w:rPr>
          <w:rFonts w:cs="Arial"/>
        </w:rPr>
        <w:t>Der überwiegende Teil der Nahrungsmittelabfälle wird als Futtermittel verarbeitet. Nur ein geringer Anteil wird der Kompostierung und der Vergärung zugeführt (Koll, 1998; Biocycling, 1998) oder in die unterschiedlichen Entsorgungsanlagen (Deponie, Verbrennungsanlagen, Kläranlagen etc.) verbracht. Laut o. g. Studie fielen im Jahr 1995 in NRW 6.668 Mg Nahrungsmittelabfälle an, wovon jedoch nur 67 Mg auf der Fläche verwertet wurden (Ifeu, 1997, im Auftrag des MURL).</w:t>
      </w:r>
    </w:p>
    <w:p>
      <w:pPr>
        <w:pStyle w:val="berschrift3"/>
        <w:jc w:val="left"/>
        <w:rPr>
          <w:rFonts w:eastAsia="Arial Unicode MS"/>
        </w:rPr>
      </w:pPr>
      <w:bookmarkStart w:id="10" w:name="_Toc45599498"/>
      <w:r>
        <w:t>2.9 Fachgespräche</w:t>
      </w:r>
      <w:bookmarkEnd w:id="10"/>
    </w:p>
    <w:p>
      <w:pPr>
        <w:pStyle w:val="GesAbsatz"/>
        <w:rPr>
          <w:rFonts w:eastAsia="Arial Unicode MS" w:cs="Arial"/>
        </w:rPr>
      </w:pPr>
      <w:r>
        <w:rPr>
          <w:rFonts w:cs="Arial"/>
        </w:rPr>
        <w:t>Fachgespräche mit Verbänden, Institutionen und Einzelpersonen sollten der Aufnahme der Einschätzung der Kompostverwertung durch maßgebliche Fachkreise dienen. Die Bereiche Landwirtschaft, Erwerbsgartenbau, Garten- und Landschaftsbau, Hobbygartenbau, Rekultivierung und Forstwirtschaft wurden berücksichtigt. Es wurden insgesamt 14 Gespräche geführt.</w:t>
      </w:r>
    </w:p>
    <w:p>
      <w:pPr>
        <w:pStyle w:val="berschrift2"/>
        <w:jc w:val="left"/>
        <w:rPr>
          <w:rFonts w:eastAsia="Arial Unicode MS"/>
        </w:rPr>
      </w:pPr>
      <w:bookmarkStart w:id="11" w:name="_Toc45599499"/>
      <w:r>
        <w:t>3. Strukturanalyse zur Kompostverwertung in Nordrhein-Westfalen</w:t>
      </w:r>
      <w:bookmarkEnd w:id="11"/>
    </w:p>
    <w:p>
      <w:pPr>
        <w:pStyle w:val="GesAbsatz"/>
        <w:rPr>
          <w:rFonts w:eastAsia="Arial Unicode MS" w:cs="Arial"/>
        </w:rPr>
      </w:pPr>
      <w:r>
        <w:rPr>
          <w:rFonts w:cs="Arial"/>
        </w:rPr>
        <w:t>Für die Kompostverwertung sind regionale Strukturdaten wie zum Beispiel die Art und der Umfang wesentlicher Verwertungsbereiche für Komposte, die Bevölkerungsdichte und Besiedlungsstruktur, landwirtschaftliche Nutzfläche und Viehbesatz sowie die daraus folgenden Konsequenzen von großer Bedeutung. Im Folgenden werden hauptsächlich zusammengefasste Daten betrachtet, ausführliche Tabellen befinden sich im Anhang (Tabellen V und VI). Genutzt wurden dazu verschiedene Statistiken, v.a. des Landesamtes für Datenverarbeitung und Statistik (LDS) Nordrhein-Westfalen.</w:t>
      </w:r>
    </w:p>
    <w:p>
      <w:pPr>
        <w:pStyle w:val="GesAbsatz"/>
        <w:rPr>
          <w:rFonts w:eastAsia="Arial Unicode MS" w:cs="Arial"/>
        </w:rPr>
      </w:pPr>
      <w:r>
        <w:rPr>
          <w:rFonts w:cs="Arial"/>
        </w:rPr>
        <w:t>Aufgrund der hohen Besiedlungsdichte weist der Regierungsbezirk Düsseldorf im Vergleich zum Regierungsbezirk Detmold rund doppelt so hohe und im Vergleich zu den anderen Regierungsbezirken immer noch ca. 1/3 höhere Anteile von Gebäude- und Freiflächen an der Gesamtfläche auf (s. Tabelle 13). Auch die Erholungsflächen haben im Regierungsbezirk Düsseldorf einen doppelt so hohen Anteil wie in den Regierungsbezirken Köln und Arnsberg und einen gut dreimal so hohen wie in den Regierungsbezirken Münster und Detmold. Überdurchschnittlich viele Gebäude-, Frei- und Erholungsflächen weisen zunächst auf eine größere Bedeutung von z.B. Garten- und Landschaftsbau, öffentlichem Grün und Hobbygartenbau für die Kompostvermarktung hin.</w:t>
      </w:r>
    </w:p>
    <w:p>
      <w:pPr>
        <w:pStyle w:val="GesAbsatz"/>
        <w:rPr>
          <w:rFonts w:eastAsia="Arial Unicode MS" w:cs="Arial"/>
        </w:rPr>
      </w:pPr>
      <w:r>
        <w:rPr>
          <w:rFonts w:cs="Arial"/>
        </w:rPr>
        <w:t>Unter der Betriebsfläche befinden sich u.a. die Flächen des Abbaulandes/Bergbaus, die teils als potenzielle Rekultivierungsflächen für den zukünftigen Kompostabsatz einen hohen Stellenwert besitzen. Vor allem im Regierungsbezirk Köln befinden sich größere Flächen Abbaulandes unter der Betriebsfläche, nämlich 10.413 ha (67 % der Betriebsfläche und 1,4 % der Gesamtfläche). In den anderen Regierungsbezirken sind diese Anteile mit 29 - 59 % der Betriebsfläche und 0,2 - 0,6 % der Gesamtfläche deutlich weniger ausgeprägt (Statistisches Bundesamt, 1996).</w:t>
      </w:r>
    </w:p>
    <w:p>
      <w:pPr>
        <w:pStyle w:val="GesAbsatz"/>
        <w:rPr>
          <w:rFonts w:cs="Arial"/>
        </w:rPr>
      </w:pPr>
      <w:r>
        <w:rPr>
          <w:rFonts w:cs="Arial"/>
        </w:rPr>
        <w:t>Die Hauptabbaugebiete des Braunkohletagebaus im Regierungsbezirk Köln befinden sich im Erftkreis und im Kreis Düren. Derzeit wird von der Rheinbraun AG eine Fläche von ca. 2.500 ha bewirtschaftet, auf der, wenn sie in Zukunft sukzessive rekultiviert wird und eine Befahrbarkeit der Böden gegeben ist, eine Ausbringung des 7 bis 10-fachen der jetzigen Jahresmenge vorstellbar ist (d.h. max. 21.000 Mg Kompost).</w:t>
      </w:r>
    </w:p>
    <w:p>
      <w:pPr>
        <w:pStyle w:val="GesAbsatz"/>
        <w:rPr>
          <w:rFonts w:eastAsia="Arial Unicode MS" w:cs="Arial"/>
        </w:rPr>
      </w:pPr>
      <w:r>
        <w:rPr>
          <w:rFonts w:cs="Arial"/>
        </w:rPr>
        <w:t>Aktuell werden auf ca. 200 ha Rekultivierungsfläche organische Dünger ausgebracht, davon auf ca. 70 ha Kompost, und zwar die max. erlaubte Menge von 30 Mg/ha (entspricht 2.100 Mg Kompost).</w:t>
      </w:r>
    </w:p>
    <w:p>
      <w:pPr>
        <w:pStyle w:val="GesAbsatz"/>
        <w:rPr>
          <w:rFonts w:cs="Arial"/>
        </w:rPr>
      </w:pPr>
      <w:r>
        <w:rPr>
          <w:rFonts w:cs="Arial"/>
        </w:rPr>
        <w:t>Von weiteren 7.500 ha ehemaliger Rekultivierungsflächen, die wieder an die Landwirtschaft abgegeben wurden, wird ein Potenzial für den Komposteinsatz von ca. 6.000 ha gesehen (Daten von Rheinbraun AG, 1998). Eine entsprechende Qualität vorausgesetzt, wäre auch hier ein Einsatz von 120.000 Mg bis 180.000 Mg Kompost denkbar. Darüber hinaus wird Kompost in den Tagebauen zu Zwecken des Immissionsschutzes eingesetzt, da freigelegte, windexponierte Flächen zwischenzeitlich abgedeckt und eingegrünt werden müssen.</w:t>
      </w:r>
    </w:p>
    <w:p>
      <w:pPr>
        <w:pStyle w:val="GesAbsatz"/>
        <w:rPr>
          <w:rFonts w:cs="Arial"/>
        </w:rPr>
      </w:pPr>
      <w:r>
        <w:rPr>
          <w:rFonts w:cs="Arial"/>
        </w:rPr>
        <w:lastRenderedPageBreak/>
        <w:t>Nach Auskunft des Landesoberbergamts (1998) besteht auf den Halden des Steinkohlebergbaus ebenfalls die Möglichkeit des Komposteinsatzes im Rahmen von Rekultivierungsmaßnahmen. In welchem Umfang diese Bodenverbesserer auf den z. Z. von der Ruhrkohle Bergbau AG (RAG) betriebenen rd. 20 Bergehalden, die Flächen zwischen 20 und 165 ha einnehmen, angewandt werden, ist nicht bekannt. In den Kreisen Recklinghausen und Wesel wurden im Rahmen von Forschungsvorhaben der RAG Versuchsflächen zur Haldenbegrünung unter Verwendung von Kompost, vor allem aber von Klärschlamm angelegt. Da Freiflächen im Ballungsraum Ruhrgebiet nur begrenzt zur Verfügung stehen, hat bei der Folgenutzung der Haldenfläche die forstliche Nutzung verbunden mit Anlagen für die Naherholung absoluten Vorrang (Schulz, 1993).</w:t>
      </w:r>
    </w:p>
    <w:p>
      <w:pPr>
        <w:pStyle w:val="GesAbsatz"/>
        <w:rPr>
          <w:rFonts w:cs="Arial"/>
        </w:rPr>
      </w:pPr>
      <w:r>
        <w:rPr>
          <w:rFonts w:cs="Arial"/>
        </w:rPr>
        <w:t>Die ehemaligen Betriebsflächen der Steinkohlebergwerke werden in der Regel einer neuen städtebaulichen Nutzung zugeführt (Industrie- und Gewerbeflächen, Wohnbebauung), so dass hier normalerweise keine Rekultivierung notwendig wird. In manchen Fällen werden durch forstwirtschaftliche Rekultivierungsmaßnahmen neue regionale Grünzüge geschaffen.</w:t>
      </w:r>
    </w:p>
    <w:p>
      <w:pPr>
        <w:pStyle w:val="GesAbsatz"/>
        <w:rPr>
          <w:rFonts w:cs="Arial"/>
        </w:rPr>
      </w:pPr>
      <w:r>
        <w:rPr>
          <w:rFonts w:cs="Arial"/>
        </w:rPr>
        <w:t>Die Landwirtschaft ist im Allgemeinen wesentlich bedeutender als die Forstwirtschaft. Die Landwirtschaftsfläche hat in den beiden Regierungsbezirken Düsseldorf und Köln einen Anteil an der Gesamtfläche von ca. 50 %. Deutlich dominierend ist sie in den Regierungsbezirken Detmold und vor allem Münster, während sie im Regierungsbezirk Arnsberg unterdurchschnittlich ist und sogar von der Waldfläche übertroffen wird. Hier befinden sich die extrem waldreichen Kreise Olpe, Siegen-Wittgenstein und der Hochsauerlandkreis, deren Waldfläche 55 - 65 % der Gesamtfläche einnimmt und die somit für den Kompostabsatz sehr ungünstig sind. In den anderen Regierungsbezirken fällt die Waldfläche mit 14 - 26 % der gesamten Fläche niedrig aus.</w:t>
      </w:r>
    </w:p>
    <w:p>
      <w:pPr>
        <w:pStyle w:val="GesAbsatz"/>
        <w:rPr>
          <w:rFonts w:cs="Arial"/>
        </w:rPr>
      </w:pPr>
      <w:r>
        <w:rPr>
          <w:rFonts w:cs="Arial"/>
        </w:rPr>
        <w:t>Bei der Betrachtung der Landwirtschaftsstruktur selbst wird deutlich, dass der Regierungsbezirk Köln und hier vor allem der Rhein-Sieg-Kreis hinsichtlich des Kompostverwertungspotenzials leicht begünstigt ist. Die einzigen Weinbauflächen Nordrhein-Westfalens befinden sich in diesem Kreis. Obstbau und Baumschulen haben hier im Vergleich zu den anderen Kreisen die größten Flächen. Der Viehbesatz im Regierungsbezirk Köln ist deutlich der geringste von allen Regierungsbezirken und liegt noch unterhalb des Bundesdurchschnitts von 0,88 Großvieheinheiten (GV)/ha landwirtschaftlicher Nutzfläche (LF) (s. Tabelle 14).</w:t>
      </w:r>
    </w:p>
    <w:p>
      <w:pPr>
        <w:pStyle w:val="GesAbsatz"/>
        <w:rPr>
          <w:rFonts w:cs="Arial"/>
        </w:rPr>
      </w:pPr>
      <w:r>
        <w:rPr>
          <w:rFonts w:cs="Arial"/>
        </w:rPr>
        <w:t>Im Gegensatz dazu sind im Regierungsbezirk Münster mit Abstand die höchsten Viehdichten zu verzeichnen, die mehr als doppelt so hoch wie der Bundesdurchschnitt liegen. Von den zehn Kreisen mit den landesweit meisten GV/ha landwirtschaftliche Nutzfläche liegen allein sechs in diesem Regierungsbezirk. Dies dürfte sich nachteilig auf den Kompostabsatz auswirken, obwohl das Verhältnis von Ackerland zu Dauergrünland als sehr günstig zu beurteilen ist.</w:t>
      </w:r>
    </w:p>
    <w:p>
      <w:pPr>
        <w:pStyle w:val="GesAbsatz"/>
        <w:rPr>
          <w:rFonts w:eastAsia="Arial Unicode MS" w:cs="Arial"/>
        </w:rPr>
      </w:pPr>
      <w:r>
        <w:rPr>
          <w:rFonts w:cs="Arial"/>
        </w:rPr>
        <w:t>Auch in den Regierungsbezirken Düsseldorf, Detmold und Arnsberg ist der Viehbesatz überdurchschnittlich hoch. Im Regierungsbezirk Arnsberg kommt ein hoher Grünlandanteil erschwerend hinzu, während die Regierungsbezirke Düsseldorf und Detmold diesbezüglich eine bessere Struktur aufweisen. Der Regierungsbezirk Düsseldorf steht landesweit mit den Obstbauflächen an zweiter Stelle und nimmt bei den Baumschulflächen die Spitzenstellung ein.</w:t>
      </w:r>
    </w:p>
    <w:p>
      <w:pPr>
        <w:pStyle w:val="GesAbsatz"/>
        <w:rPr>
          <w:rFonts w:cs="Arial"/>
        </w:rPr>
      </w:pPr>
      <w:r>
        <w:rPr>
          <w:rFonts w:cs="Arial"/>
        </w:rPr>
        <w:t>Auf den Erwerbsgartenbau (nur Erzeugung) soll an dieser Stelle noch etwas detaillierter eingegangen werden. Der Anbau von Gartenbauerzeugnissen zum Verkauf erfolgte auf 28.960 ha gärtnerischer Nutzfläche (GN):</w:t>
      </w:r>
    </w:p>
    <w:p>
      <w:pPr>
        <w:pStyle w:val="GesAbsatz"/>
        <w:rPr>
          <w:rFonts w:cs="Arial"/>
        </w:rPr>
      </w:pPr>
      <w:r>
        <w:rPr>
          <w:rFonts w:cs="Arial"/>
        </w:rPr>
        <w:t>-</w:t>
      </w:r>
      <w:r>
        <w:rPr>
          <w:rFonts w:cs="Arial"/>
        </w:rPr>
        <w:tab/>
        <w:t>Im Regierungsbezirk Arnsberg in 617 Betrieben auf 1.727 ha (6 % der Fläche).</w:t>
      </w:r>
    </w:p>
    <w:p>
      <w:pPr>
        <w:pStyle w:val="GesAbsatz"/>
        <w:rPr>
          <w:rFonts w:cs="Arial"/>
        </w:rPr>
      </w:pPr>
      <w:r>
        <w:rPr>
          <w:rFonts w:cs="Arial"/>
        </w:rPr>
        <w:t>-</w:t>
      </w:r>
      <w:r>
        <w:rPr>
          <w:rFonts w:cs="Arial"/>
        </w:rPr>
        <w:tab/>
        <w:t>Im Regierungsbezirk Detmold in 695 Betrieben auf 2.378 ha (8 % der Fläche).</w:t>
      </w:r>
    </w:p>
    <w:p>
      <w:pPr>
        <w:pStyle w:val="GesAbsatz"/>
        <w:rPr>
          <w:rFonts w:cs="Arial"/>
        </w:rPr>
      </w:pPr>
      <w:r>
        <w:rPr>
          <w:rFonts w:cs="Arial"/>
        </w:rPr>
        <w:t>-</w:t>
      </w:r>
      <w:r>
        <w:rPr>
          <w:rFonts w:cs="Arial"/>
        </w:rPr>
        <w:tab/>
        <w:t>Im Regierungsbezirk Düsseldorf in 2.832 Betrieben auf ca. 44 % der Fläche.</w:t>
      </w:r>
    </w:p>
    <w:p>
      <w:pPr>
        <w:pStyle w:val="GesAbsatz"/>
        <w:rPr>
          <w:rFonts w:eastAsia="Arial Unicode MS" w:cs="Arial"/>
        </w:rPr>
      </w:pPr>
      <w:r>
        <w:rPr>
          <w:rFonts w:cs="Arial"/>
        </w:rPr>
        <w:t>-</w:t>
      </w:r>
      <w:r>
        <w:rPr>
          <w:rFonts w:cs="Arial"/>
        </w:rPr>
        <w:tab/>
        <w:t>Im Regierungsbezirk Köln in 1.869 Betrieben auf ca. 29 % der Fläche.</w:t>
      </w:r>
    </w:p>
    <w:p>
      <w:pPr>
        <w:pStyle w:val="GesAbsatz"/>
        <w:rPr>
          <w:rFonts w:eastAsia="Arial Unicode MS" w:cs="Arial"/>
        </w:rPr>
      </w:pPr>
      <w:r>
        <w:rPr>
          <w:rFonts w:cs="Arial"/>
        </w:rPr>
        <w:t>-</w:t>
      </w:r>
      <w:r>
        <w:rPr>
          <w:rFonts w:cs="Arial"/>
        </w:rPr>
        <w:tab/>
        <w:t>Im Regierungsbezirk Münster in 841 Betrieben auf 3.785 ha (13 % der Fläche).</w:t>
      </w:r>
    </w:p>
    <w:p>
      <w:pPr>
        <w:pStyle w:val="GesAbsatz"/>
        <w:rPr>
          <w:rFonts w:cs="Arial"/>
          <w:b/>
          <w:bCs/>
        </w:rPr>
      </w:pPr>
    </w:p>
    <w:p>
      <w:pPr>
        <w:pStyle w:val="GesAbsatz"/>
        <w:rPr>
          <w:rFonts w:cs="Arial"/>
          <w:b/>
          <w:bCs/>
        </w:rPr>
        <w:sectPr>
          <w:headerReference w:type="default" r:id="rId8"/>
          <w:footerReference w:type="even" r:id="rId9"/>
          <w:footerReference w:type="default" r:id="rId10"/>
          <w:type w:val="oddPage"/>
          <w:pgSz w:w="11907" w:h="16840" w:code="9"/>
          <w:pgMar w:top="1134" w:right="851" w:bottom="1134" w:left="1418" w:header="567" w:footer="851" w:gutter="0"/>
          <w:cols w:space="720"/>
        </w:sectPr>
      </w:pPr>
    </w:p>
    <w:p>
      <w:pPr>
        <w:pStyle w:val="GesAbsatz"/>
        <w:rPr>
          <w:rFonts w:cs="Arial"/>
        </w:rPr>
      </w:pPr>
      <w:r>
        <w:rPr>
          <w:rFonts w:cs="Arial"/>
          <w:b/>
          <w:bCs/>
        </w:rPr>
        <w:lastRenderedPageBreak/>
        <w:t>Tabelle 13: Flächennutzung nach dem Belegenheitsprinzip, LDS NRW 1997 a</w:t>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4"/>
        <w:gridCol w:w="958"/>
        <w:gridCol w:w="916"/>
        <w:gridCol w:w="752"/>
        <w:gridCol w:w="693"/>
        <w:gridCol w:w="752"/>
        <w:gridCol w:w="669"/>
        <w:gridCol w:w="752"/>
        <w:gridCol w:w="675"/>
        <w:gridCol w:w="752"/>
        <w:gridCol w:w="670"/>
        <w:gridCol w:w="863"/>
        <w:gridCol w:w="689"/>
        <w:gridCol w:w="863"/>
        <w:gridCol w:w="680"/>
        <w:gridCol w:w="752"/>
        <w:gridCol w:w="667"/>
        <w:gridCol w:w="752"/>
        <w:gridCol w:w="663"/>
      </w:tblGrid>
      <w:tr>
        <w:tc>
          <w:tcPr>
            <w:tcW w:w="1194" w:type="dxa"/>
          </w:tcPr>
          <w:p>
            <w:pPr>
              <w:pStyle w:val="GesAbsatz"/>
              <w:jc w:val="center"/>
              <w:rPr>
                <w:rFonts w:eastAsia="Arial Unicode MS" w:cs="Arial"/>
                <w:sz w:val="18"/>
                <w:szCs w:val="24"/>
              </w:rPr>
            </w:pPr>
            <w:r>
              <w:rPr>
                <w:rFonts w:cs="Arial"/>
                <w:b/>
                <w:bCs/>
                <w:sz w:val="18"/>
                <w:szCs w:val="15"/>
              </w:rPr>
              <w:t>Regierungsbezirk</w:t>
            </w:r>
          </w:p>
        </w:tc>
        <w:tc>
          <w:tcPr>
            <w:tcW w:w="958" w:type="dxa"/>
          </w:tcPr>
          <w:p>
            <w:pPr>
              <w:pStyle w:val="GesAbsatz"/>
              <w:jc w:val="center"/>
              <w:rPr>
                <w:rFonts w:eastAsia="Arial Unicode MS" w:cs="Arial"/>
                <w:sz w:val="18"/>
                <w:szCs w:val="24"/>
              </w:rPr>
            </w:pPr>
            <w:r>
              <w:rPr>
                <w:rFonts w:cs="Arial"/>
                <w:b/>
                <w:bCs/>
                <w:sz w:val="18"/>
                <w:szCs w:val="15"/>
              </w:rPr>
              <w:t>Einwohnerzahl je km</w:t>
            </w:r>
            <w:r>
              <w:rPr>
                <w:rFonts w:cs="Arial"/>
                <w:b/>
                <w:bCs/>
                <w:sz w:val="18"/>
                <w:szCs w:val="15"/>
                <w:vertAlign w:val="superscript"/>
              </w:rPr>
              <w:t>2</w:t>
            </w:r>
          </w:p>
        </w:tc>
        <w:tc>
          <w:tcPr>
            <w:tcW w:w="916" w:type="dxa"/>
          </w:tcPr>
          <w:p>
            <w:pPr>
              <w:pStyle w:val="GesAbsatz"/>
              <w:jc w:val="center"/>
              <w:rPr>
                <w:rFonts w:eastAsia="Arial Unicode MS" w:cs="Arial"/>
                <w:sz w:val="18"/>
                <w:szCs w:val="24"/>
              </w:rPr>
            </w:pPr>
            <w:r>
              <w:rPr>
                <w:rFonts w:cs="Arial"/>
                <w:b/>
                <w:bCs/>
                <w:sz w:val="18"/>
                <w:szCs w:val="15"/>
              </w:rPr>
              <w:t>Gesamtfläche in ha</w:t>
            </w:r>
          </w:p>
        </w:tc>
        <w:tc>
          <w:tcPr>
            <w:tcW w:w="1445" w:type="dxa"/>
            <w:gridSpan w:val="2"/>
          </w:tcPr>
          <w:p>
            <w:pPr>
              <w:pStyle w:val="GesAbsatz"/>
              <w:jc w:val="center"/>
              <w:rPr>
                <w:rFonts w:eastAsia="Arial Unicode MS" w:cs="Arial"/>
                <w:sz w:val="18"/>
                <w:szCs w:val="24"/>
              </w:rPr>
            </w:pPr>
            <w:r>
              <w:rPr>
                <w:rFonts w:cs="Arial"/>
                <w:b/>
                <w:bCs/>
                <w:sz w:val="18"/>
                <w:szCs w:val="15"/>
              </w:rPr>
              <w:t>Gebäude-/Freifläche</w:t>
            </w:r>
          </w:p>
        </w:tc>
        <w:tc>
          <w:tcPr>
            <w:tcW w:w="1421" w:type="dxa"/>
            <w:gridSpan w:val="2"/>
          </w:tcPr>
          <w:p>
            <w:pPr>
              <w:pStyle w:val="GesAbsatz"/>
              <w:jc w:val="center"/>
              <w:rPr>
                <w:rFonts w:eastAsia="Arial Unicode MS" w:cs="Arial"/>
                <w:sz w:val="18"/>
                <w:szCs w:val="24"/>
              </w:rPr>
            </w:pPr>
            <w:r>
              <w:rPr>
                <w:rFonts w:cs="Arial"/>
                <w:b/>
                <w:bCs/>
                <w:sz w:val="18"/>
                <w:szCs w:val="15"/>
              </w:rPr>
              <w:t>Betriebs-fläche</w:t>
            </w:r>
          </w:p>
        </w:tc>
        <w:tc>
          <w:tcPr>
            <w:tcW w:w="1427" w:type="dxa"/>
            <w:gridSpan w:val="2"/>
          </w:tcPr>
          <w:p>
            <w:pPr>
              <w:pStyle w:val="GesAbsatz"/>
              <w:jc w:val="center"/>
              <w:rPr>
                <w:rFonts w:eastAsia="Arial Unicode MS" w:cs="Arial"/>
                <w:sz w:val="18"/>
                <w:szCs w:val="24"/>
              </w:rPr>
            </w:pPr>
            <w:r>
              <w:rPr>
                <w:rFonts w:cs="Arial"/>
                <w:b/>
                <w:bCs/>
                <w:sz w:val="18"/>
                <w:szCs w:val="15"/>
              </w:rPr>
              <w:t>Erholungs-fläche</w:t>
            </w:r>
          </w:p>
        </w:tc>
        <w:tc>
          <w:tcPr>
            <w:tcW w:w="1422" w:type="dxa"/>
            <w:gridSpan w:val="2"/>
          </w:tcPr>
          <w:p>
            <w:pPr>
              <w:pStyle w:val="GesAbsatz"/>
              <w:jc w:val="center"/>
              <w:rPr>
                <w:rFonts w:eastAsia="Arial Unicode MS" w:cs="Arial"/>
                <w:sz w:val="18"/>
                <w:szCs w:val="24"/>
              </w:rPr>
            </w:pPr>
            <w:r>
              <w:rPr>
                <w:rFonts w:cs="Arial"/>
                <w:b/>
                <w:bCs/>
                <w:sz w:val="18"/>
                <w:szCs w:val="15"/>
              </w:rPr>
              <w:t>Verkehrs-</w:t>
            </w:r>
            <w:r>
              <w:rPr>
                <w:rFonts w:cs="Arial"/>
                <w:b/>
                <w:bCs/>
                <w:sz w:val="18"/>
                <w:szCs w:val="15"/>
              </w:rPr>
              <w:br/>
              <w:t>fläche</w:t>
            </w:r>
          </w:p>
        </w:tc>
        <w:tc>
          <w:tcPr>
            <w:tcW w:w="1552" w:type="dxa"/>
            <w:gridSpan w:val="2"/>
          </w:tcPr>
          <w:p>
            <w:pPr>
              <w:pStyle w:val="GesAbsatz"/>
              <w:jc w:val="center"/>
              <w:rPr>
                <w:rFonts w:eastAsia="Arial Unicode MS" w:cs="Arial"/>
                <w:sz w:val="18"/>
                <w:szCs w:val="24"/>
              </w:rPr>
            </w:pPr>
            <w:r>
              <w:rPr>
                <w:rFonts w:cs="Arial"/>
                <w:b/>
                <w:bCs/>
                <w:sz w:val="18"/>
                <w:szCs w:val="15"/>
              </w:rPr>
              <w:t>Landwirt-</w:t>
            </w:r>
            <w:r>
              <w:rPr>
                <w:rFonts w:cs="Arial"/>
                <w:b/>
                <w:bCs/>
                <w:sz w:val="18"/>
                <w:szCs w:val="15"/>
              </w:rPr>
              <w:br/>
              <w:t>schafts-</w:t>
            </w:r>
            <w:r>
              <w:rPr>
                <w:rFonts w:cs="Arial"/>
                <w:b/>
                <w:bCs/>
                <w:sz w:val="18"/>
                <w:szCs w:val="15"/>
              </w:rPr>
              <w:br/>
              <w:t>fläche</w:t>
            </w:r>
          </w:p>
        </w:tc>
        <w:tc>
          <w:tcPr>
            <w:tcW w:w="1543" w:type="dxa"/>
            <w:gridSpan w:val="2"/>
          </w:tcPr>
          <w:p>
            <w:pPr>
              <w:pStyle w:val="GesAbsatz"/>
              <w:jc w:val="center"/>
              <w:rPr>
                <w:rFonts w:eastAsia="Arial Unicode MS" w:cs="Arial"/>
                <w:sz w:val="18"/>
                <w:szCs w:val="24"/>
              </w:rPr>
            </w:pPr>
            <w:r>
              <w:rPr>
                <w:rFonts w:cs="Arial"/>
                <w:b/>
                <w:bCs/>
                <w:sz w:val="18"/>
                <w:szCs w:val="15"/>
              </w:rPr>
              <w:t>Wald-</w:t>
            </w:r>
            <w:r>
              <w:rPr>
                <w:rFonts w:cs="Arial"/>
                <w:b/>
                <w:bCs/>
                <w:sz w:val="18"/>
                <w:szCs w:val="15"/>
              </w:rPr>
              <w:br/>
              <w:t>fläche</w:t>
            </w:r>
          </w:p>
        </w:tc>
        <w:tc>
          <w:tcPr>
            <w:tcW w:w="1419" w:type="dxa"/>
            <w:gridSpan w:val="2"/>
          </w:tcPr>
          <w:p>
            <w:pPr>
              <w:pStyle w:val="GesAbsatz"/>
              <w:jc w:val="center"/>
              <w:rPr>
                <w:rFonts w:eastAsia="Arial Unicode MS" w:cs="Arial"/>
                <w:sz w:val="18"/>
                <w:szCs w:val="24"/>
              </w:rPr>
            </w:pPr>
            <w:r>
              <w:rPr>
                <w:rFonts w:cs="Arial"/>
                <w:b/>
                <w:bCs/>
                <w:sz w:val="18"/>
                <w:szCs w:val="15"/>
              </w:rPr>
              <w:t>Wasser--</w:t>
            </w:r>
            <w:r>
              <w:rPr>
                <w:rFonts w:cs="Arial"/>
                <w:b/>
                <w:bCs/>
                <w:sz w:val="18"/>
                <w:szCs w:val="15"/>
              </w:rPr>
              <w:br/>
              <w:t>fläche</w:t>
            </w:r>
          </w:p>
        </w:tc>
        <w:tc>
          <w:tcPr>
            <w:tcW w:w="1415" w:type="dxa"/>
            <w:gridSpan w:val="2"/>
          </w:tcPr>
          <w:p>
            <w:pPr>
              <w:pStyle w:val="GesAbsatz"/>
              <w:jc w:val="center"/>
              <w:rPr>
                <w:rFonts w:eastAsia="Arial Unicode MS" w:cs="Arial"/>
                <w:szCs w:val="24"/>
              </w:rPr>
            </w:pPr>
            <w:r>
              <w:rPr>
                <w:rFonts w:cs="Arial"/>
                <w:b/>
                <w:bCs/>
                <w:szCs w:val="15"/>
              </w:rPr>
              <w:t>Andere Flächen</w:t>
            </w:r>
          </w:p>
        </w:tc>
      </w:tr>
      <w:tr>
        <w:tc>
          <w:tcPr>
            <w:tcW w:w="1194" w:type="dxa"/>
            <w:vAlign w:val="center"/>
          </w:tcPr>
          <w:p>
            <w:pPr>
              <w:pStyle w:val="GesAbsatz"/>
              <w:rPr>
                <w:rFonts w:eastAsia="Arial Unicode MS" w:cs="Arial"/>
                <w:sz w:val="18"/>
                <w:szCs w:val="24"/>
              </w:rPr>
            </w:pPr>
          </w:p>
        </w:tc>
        <w:tc>
          <w:tcPr>
            <w:tcW w:w="958" w:type="dxa"/>
          </w:tcPr>
          <w:p>
            <w:pPr>
              <w:pStyle w:val="GesAbsatz"/>
              <w:rPr>
                <w:rFonts w:eastAsia="Arial Unicode MS" w:cs="Arial"/>
                <w:sz w:val="18"/>
                <w:szCs w:val="24"/>
              </w:rPr>
            </w:pPr>
          </w:p>
        </w:tc>
        <w:tc>
          <w:tcPr>
            <w:tcW w:w="916" w:type="dxa"/>
          </w:tcPr>
          <w:p>
            <w:pPr>
              <w:pStyle w:val="GesAbsatz"/>
              <w:rPr>
                <w:rFonts w:eastAsia="Arial Unicode MS" w:cs="Arial"/>
                <w:sz w:val="18"/>
                <w:szCs w:val="24"/>
              </w:rPr>
            </w:pPr>
          </w:p>
        </w:tc>
        <w:tc>
          <w:tcPr>
            <w:tcW w:w="752" w:type="dxa"/>
          </w:tcPr>
          <w:p>
            <w:pPr>
              <w:pStyle w:val="GesAbsatz"/>
              <w:rPr>
                <w:rFonts w:eastAsia="Arial Unicode MS" w:cs="Arial"/>
                <w:sz w:val="18"/>
                <w:szCs w:val="24"/>
              </w:rPr>
            </w:pPr>
            <w:r>
              <w:rPr>
                <w:rFonts w:cs="Arial"/>
                <w:sz w:val="18"/>
                <w:szCs w:val="15"/>
              </w:rPr>
              <w:t>ha</w:t>
            </w:r>
          </w:p>
        </w:tc>
        <w:tc>
          <w:tcPr>
            <w:tcW w:w="693" w:type="dxa"/>
          </w:tcPr>
          <w:p>
            <w:pPr>
              <w:pStyle w:val="GesAbsatz"/>
              <w:rPr>
                <w:rFonts w:eastAsia="Arial Unicode MS" w:cs="Arial"/>
                <w:sz w:val="18"/>
                <w:szCs w:val="24"/>
              </w:rPr>
            </w:pPr>
            <w:r>
              <w:rPr>
                <w:rFonts w:cs="Arial"/>
                <w:sz w:val="18"/>
                <w:szCs w:val="15"/>
              </w:rPr>
              <w:t>%</w:t>
            </w:r>
          </w:p>
        </w:tc>
        <w:tc>
          <w:tcPr>
            <w:tcW w:w="752" w:type="dxa"/>
            <w:vAlign w:val="center"/>
          </w:tcPr>
          <w:p>
            <w:pPr>
              <w:pStyle w:val="GesAbsatz"/>
              <w:rPr>
                <w:rFonts w:eastAsia="Arial Unicode MS" w:cs="Arial"/>
                <w:sz w:val="18"/>
                <w:szCs w:val="24"/>
              </w:rPr>
            </w:pPr>
            <w:r>
              <w:rPr>
                <w:rFonts w:cs="Arial"/>
                <w:sz w:val="18"/>
                <w:szCs w:val="15"/>
              </w:rPr>
              <w:t>ha</w:t>
            </w:r>
          </w:p>
        </w:tc>
        <w:tc>
          <w:tcPr>
            <w:tcW w:w="669" w:type="dxa"/>
            <w:vAlign w:val="center"/>
          </w:tcPr>
          <w:p>
            <w:pPr>
              <w:pStyle w:val="GesAbsatz"/>
              <w:rPr>
                <w:rFonts w:eastAsia="Arial Unicode MS" w:cs="Arial"/>
                <w:sz w:val="18"/>
                <w:szCs w:val="24"/>
              </w:rPr>
            </w:pPr>
            <w:r>
              <w:rPr>
                <w:rFonts w:cs="Arial"/>
                <w:sz w:val="18"/>
                <w:szCs w:val="15"/>
              </w:rPr>
              <w:t>%</w:t>
            </w:r>
          </w:p>
        </w:tc>
        <w:tc>
          <w:tcPr>
            <w:tcW w:w="752" w:type="dxa"/>
            <w:vAlign w:val="center"/>
          </w:tcPr>
          <w:p>
            <w:pPr>
              <w:pStyle w:val="GesAbsatz"/>
              <w:rPr>
                <w:rFonts w:eastAsia="Arial Unicode MS" w:cs="Arial"/>
                <w:sz w:val="18"/>
                <w:szCs w:val="24"/>
              </w:rPr>
            </w:pPr>
            <w:r>
              <w:rPr>
                <w:rFonts w:cs="Arial"/>
                <w:sz w:val="18"/>
                <w:szCs w:val="15"/>
              </w:rPr>
              <w:t>ha</w:t>
            </w:r>
          </w:p>
        </w:tc>
        <w:tc>
          <w:tcPr>
            <w:tcW w:w="675" w:type="dxa"/>
            <w:vAlign w:val="center"/>
          </w:tcPr>
          <w:p>
            <w:pPr>
              <w:pStyle w:val="GesAbsatz"/>
              <w:rPr>
                <w:rFonts w:eastAsia="Arial Unicode MS" w:cs="Arial"/>
                <w:sz w:val="18"/>
                <w:szCs w:val="24"/>
              </w:rPr>
            </w:pPr>
            <w:r>
              <w:rPr>
                <w:rFonts w:cs="Arial"/>
                <w:sz w:val="18"/>
                <w:szCs w:val="15"/>
              </w:rPr>
              <w:t>%</w:t>
            </w:r>
          </w:p>
        </w:tc>
        <w:tc>
          <w:tcPr>
            <w:tcW w:w="752" w:type="dxa"/>
            <w:vAlign w:val="center"/>
          </w:tcPr>
          <w:p>
            <w:pPr>
              <w:pStyle w:val="GesAbsatz"/>
              <w:rPr>
                <w:rFonts w:eastAsia="Arial Unicode MS" w:cs="Arial"/>
                <w:sz w:val="18"/>
                <w:szCs w:val="24"/>
              </w:rPr>
            </w:pPr>
            <w:r>
              <w:rPr>
                <w:rFonts w:cs="Arial"/>
                <w:sz w:val="18"/>
                <w:szCs w:val="15"/>
              </w:rPr>
              <w:t>ha</w:t>
            </w:r>
          </w:p>
        </w:tc>
        <w:tc>
          <w:tcPr>
            <w:tcW w:w="670" w:type="dxa"/>
            <w:vAlign w:val="center"/>
          </w:tcPr>
          <w:p>
            <w:pPr>
              <w:pStyle w:val="GesAbsatz"/>
              <w:rPr>
                <w:rFonts w:eastAsia="Arial Unicode MS" w:cs="Arial"/>
                <w:sz w:val="18"/>
                <w:szCs w:val="24"/>
              </w:rPr>
            </w:pPr>
            <w:r>
              <w:rPr>
                <w:rFonts w:cs="Arial"/>
                <w:sz w:val="18"/>
                <w:szCs w:val="15"/>
              </w:rPr>
              <w:t>%</w:t>
            </w:r>
          </w:p>
        </w:tc>
        <w:tc>
          <w:tcPr>
            <w:tcW w:w="863" w:type="dxa"/>
            <w:vAlign w:val="center"/>
          </w:tcPr>
          <w:p>
            <w:pPr>
              <w:pStyle w:val="GesAbsatz"/>
              <w:rPr>
                <w:rFonts w:eastAsia="Arial Unicode MS" w:cs="Arial"/>
                <w:sz w:val="18"/>
                <w:szCs w:val="24"/>
              </w:rPr>
            </w:pPr>
            <w:r>
              <w:rPr>
                <w:rFonts w:cs="Arial"/>
                <w:sz w:val="18"/>
                <w:szCs w:val="15"/>
              </w:rPr>
              <w:t>ha</w:t>
            </w:r>
          </w:p>
        </w:tc>
        <w:tc>
          <w:tcPr>
            <w:tcW w:w="689" w:type="dxa"/>
            <w:vAlign w:val="center"/>
          </w:tcPr>
          <w:p>
            <w:pPr>
              <w:pStyle w:val="GesAbsatz"/>
              <w:rPr>
                <w:rFonts w:eastAsia="Arial Unicode MS" w:cs="Arial"/>
                <w:sz w:val="18"/>
                <w:szCs w:val="24"/>
              </w:rPr>
            </w:pPr>
            <w:r>
              <w:rPr>
                <w:rFonts w:cs="Arial"/>
                <w:sz w:val="18"/>
                <w:szCs w:val="15"/>
              </w:rPr>
              <w:t>%</w:t>
            </w:r>
          </w:p>
        </w:tc>
        <w:tc>
          <w:tcPr>
            <w:tcW w:w="863" w:type="dxa"/>
            <w:vAlign w:val="center"/>
          </w:tcPr>
          <w:p>
            <w:pPr>
              <w:pStyle w:val="GesAbsatz"/>
              <w:rPr>
                <w:rFonts w:eastAsia="Arial Unicode MS" w:cs="Arial"/>
                <w:sz w:val="18"/>
                <w:szCs w:val="24"/>
              </w:rPr>
            </w:pPr>
            <w:r>
              <w:rPr>
                <w:rFonts w:cs="Arial"/>
                <w:sz w:val="18"/>
                <w:szCs w:val="15"/>
              </w:rPr>
              <w:t>ha</w:t>
            </w:r>
          </w:p>
        </w:tc>
        <w:tc>
          <w:tcPr>
            <w:tcW w:w="680" w:type="dxa"/>
            <w:vAlign w:val="center"/>
          </w:tcPr>
          <w:p>
            <w:pPr>
              <w:pStyle w:val="GesAbsatz"/>
              <w:rPr>
                <w:rFonts w:eastAsia="Arial Unicode MS" w:cs="Arial"/>
                <w:sz w:val="18"/>
                <w:szCs w:val="24"/>
              </w:rPr>
            </w:pPr>
            <w:r>
              <w:rPr>
                <w:rFonts w:cs="Arial"/>
                <w:sz w:val="18"/>
                <w:szCs w:val="15"/>
              </w:rPr>
              <w:t>%</w:t>
            </w:r>
          </w:p>
        </w:tc>
        <w:tc>
          <w:tcPr>
            <w:tcW w:w="752" w:type="dxa"/>
            <w:vAlign w:val="center"/>
          </w:tcPr>
          <w:p>
            <w:pPr>
              <w:pStyle w:val="GesAbsatz"/>
              <w:rPr>
                <w:rFonts w:eastAsia="Arial Unicode MS" w:cs="Arial"/>
                <w:sz w:val="18"/>
                <w:szCs w:val="24"/>
              </w:rPr>
            </w:pPr>
            <w:r>
              <w:rPr>
                <w:rFonts w:cs="Arial"/>
                <w:sz w:val="18"/>
                <w:szCs w:val="15"/>
              </w:rPr>
              <w:t>ha</w:t>
            </w:r>
          </w:p>
        </w:tc>
        <w:tc>
          <w:tcPr>
            <w:tcW w:w="667" w:type="dxa"/>
            <w:vAlign w:val="center"/>
          </w:tcPr>
          <w:p>
            <w:pPr>
              <w:pStyle w:val="GesAbsatz"/>
              <w:rPr>
                <w:rFonts w:eastAsia="Arial Unicode MS" w:cs="Arial"/>
                <w:sz w:val="18"/>
                <w:szCs w:val="24"/>
              </w:rPr>
            </w:pPr>
            <w:r>
              <w:rPr>
                <w:rFonts w:cs="Arial"/>
                <w:sz w:val="18"/>
                <w:szCs w:val="15"/>
              </w:rPr>
              <w:t>%</w:t>
            </w:r>
          </w:p>
        </w:tc>
        <w:tc>
          <w:tcPr>
            <w:tcW w:w="752" w:type="dxa"/>
            <w:vAlign w:val="center"/>
          </w:tcPr>
          <w:p>
            <w:pPr>
              <w:pStyle w:val="GesAbsatz"/>
              <w:rPr>
                <w:rFonts w:eastAsia="Arial Unicode MS" w:cs="Arial"/>
                <w:szCs w:val="24"/>
                <w:lang w:val="it-IT"/>
              </w:rPr>
            </w:pPr>
            <w:r>
              <w:rPr>
                <w:rFonts w:cs="Arial"/>
                <w:szCs w:val="15"/>
                <w:lang w:val="it-IT"/>
              </w:rPr>
              <w:t>ha</w:t>
            </w:r>
          </w:p>
        </w:tc>
        <w:tc>
          <w:tcPr>
            <w:tcW w:w="663" w:type="dxa"/>
            <w:vAlign w:val="center"/>
          </w:tcPr>
          <w:p>
            <w:pPr>
              <w:pStyle w:val="GesAbsatz"/>
              <w:rPr>
                <w:rFonts w:eastAsia="Arial Unicode MS" w:cs="Arial"/>
                <w:szCs w:val="24"/>
                <w:lang w:val="it-IT"/>
              </w:rPr>
            </w:pPr>
            <w:r>
              <w:rPr>
                <w:rFonts w:cs="Arial"/>
                <w:szCs w:val="15"/>
                <w:lang w:val="it-IT"/>
              </w:rPr>
              <w:t>%</w:t>
            </w:r>
          </w:p>
        </w:tc>
      </w:tr>
      <w:tr>
        <w:tc>
          <w:tcPr>
            <w:tcW w:w="1194" w:type="dxa"/>
          </w:tcPr>
          <w:p>
            <w:pPr>
              <w:pStyle w:val="GesAbsatz"/>
              <w:rPr>
                <w:rFonts w:eastAsia="Arial Unicode MS" w:cs="Arial"/>
                <w:sz w:val="18"/>
                <w:szCs w:val="24"/>
                <w:lang w:val="it-IT"/>
              </w:rPr>
            </w:pPr>
            <w:r>
              <w:rPr>
                <w:rFonts w:cs="Arial"/>
                <w:b/>
                <w:bCs/>
                <w:sz w:val="18"/>
                <w:lang w:val="it-IT"/>
              </w:rPr>
              <w:t>Arnsberg</w:t>
            </w:r>
          </w:p>
        </w:tc>
        <w:tc>
          <w:tcPr>
            <w:tcW w:w="958" w:type="dxa"/>
          </w:tcPr>
          <w:p>
            <w:pPr>
              <w:pStyle w:val="GesAbsatz"/>
              <w:rPr>
                <w:rFonts w:eastAsia="Arial Unicode MS" w:cs="Arial"/>
                <w:sz w:val="18"/>
                <w:szCs w:val="24"/>
                <w:lang w:val="it-IT"/>
              </w:rPr>
            </w:pPr>
            <w:r>
              <w:rPr>
                <w:rFonts w:cs="Arial"/>
                <w:sz w:val="18"/>
                <w:lang w:val="it-IT"/>
              </w:rPr>
              <w:t>478</w:t>
            </w:r>
          </w:p>
        </w:tc>
        <w:tc>
          <w:tcPr>
            <w:tcW w:w="916" w:type="dxa"/>
          </w:tcPr>
          <w:p>
            <w:pPr>
              <w:pStyle w:val="GesAbsatz"/>
              <w:rPr>
                <w:rFonts w:eastAsia="Arial Unicode MS" w:cs="Arial"/>
                <w:sz w:val="18"/>
                <w:szCs w:val="24"/>
                <w:lang w:val="it-IT"/>
              </w:rPr>
            </w:pPr>
            <w:r>
              <w:rPr>
                <w:rFonts w:cs="Arial"/>
                <w:sz w:val="18"/>
                <w:lang w:val="it-IT"/>
              </w:rPr>
              <w:t>800.225</w:t>
            </w:r>
          </w:p>
        </w:tc>
        <w:tc>
          <w:tcPr>
            <w:tcW w:w="752" w:type="dxa"/>
          </w:tcPr>
          <w:p>
            <w:pPr>
              <w:pStyle w:val="GesAbsatz"/>
              <w:rPr>
                <w:rFonts w:eastAsia="Arial Unicode MS" w:cs="Arial"/>
                <w:sz w:val="18"/>
                <w:szCs w:val="24"/>
                <w:lang w:val="it-IT"/>
              </w:rPr>
            </w:pPr>
            <w:r>
              <w:rPr>
                <w:rFonts w:cs="Arial"/>
                <w:sz w:val="18"/>
                <w:lang w:val="it-IT"/>
              </w:rPr>
              <w:t>84.574</w:t>
            </w:r>
          </w:p>
        </w:tc>
        <w:tc>
          <w:tcPr>
            <w:tcW w:w="693" w:type="dxa"/>
          </w:tcPr>
          <w:p>
            <w:pPr>
              <w:pStyle w:val="GesAbsatz"/>
              <w:rPr>
                <w:rFonts w:eastAsia="Arial Unicode MS" w:cs="Arial"/>
                <w:sz w:val="18"/>
                <w:szCs w:val="24"/>
                <w:lang w:val="it-IT"/>
              </w:rPr>
            </w:pPr>
            <w:r>
              <w:rPr>
                <w:rFonts w:cs="Arial"/>
                <w:sz w:val="18"/>
                <w:lang w:val="it-IT"/>
              </w:rPr>
              <w:t xml:space="preserve">10,6 </w:t>
            </w:r>
          </w:p>
        </w:tc>
        <w:tc>
          <w:tcPr>
            <w:tcW w:w="752" w:type="dxa"/>
          </w:tcPr>
          <w:p>
            <w:pPr>
              <w:pStyle w:val="GesAbsatz"/>
              <w:rPr>
                <w:rFonts w:eastAsia="Arial Unicode MS" w:cs="Arial"/>
                <w:sz w:val="18"/>
                <w:szCs w:val="24"/>
                <w:lang w:val="it-IT"/>
              </w:rPr>
            </w:pPr>
            <w:r>
              <w:rPr>
                <w:rFonts w:cs="Arial"/>
                <w:sz w:val="18"/>
                <w:lang w:val="it-IT"/>
              </w:rPr>
              <w:t>5.247</w:t>
            </w:r>
          </w:p>
        </w:tc>
        <w:tc>
          <w:tcPr>
            <w:tcW w:w="669" w:type="dxa"/>
          </w:tcPr>
          <w:p>
            <w:pPr>
              <w:pStyle w:val="GesAbsatz"/>
              <w:rPr>
                <w:rFonts w:eastAsia="Arial Unicode MS" w:cs="Arial"/>
                <w:sz w:val="18"/>
                <w:szCs w:val="24"/>
                <w:lang w:val="it-IT"/>
              </w:rPr>
            </w:pPr>
            <w:r>
              <w:rPr>
                <w:rFonts w:cs="Arial"/>
                <w:sz w:val="18"/>
                <w:lang w:val="it-IT"/>
              </w:rPr>
              <w:t xml:space="preserve">0,7 </w:t>
            </w:r>
          </w:p>
        </w:tc>
        <w:tc>
          <w:tcPr>
            <w:tcW w:w="752" w:type="dxa"/>
          </w:tcPr>
          <w:p>
            <w:pPr>
              <w:pStyle w:val="GesAbsatz"/>
              <w:rPr>
                <w:rFonts w:eastAsia="Arial Unicode MS" w:cs="Arial"/>
                <w:sz w:val="18"/>
                <w:szCs w:val="24"/>
                <w:lang w:val="it-IT"/>
              </w:rPr>
            </w:pPr>
            <w:r>
              <w:rPr>
                <w:rFonts w:cs="Arial"/>
                <w:sz w:val="18"/>
                <w:lang w:val="it-IT"/>
              </w:rPr>
              <w:t>7.433</w:t>
            </w:r>
          </w:p>
        </w:tc>
        <w:tc>
          <w:tcPr>
            <w:tcW w:w="675" w:type="dxa"/>
          </w:tcPr>
          <w:p>
            <w:pPr>
              <w:pStyle w:val="GesAbsatz"/>
              <w:rPr>
                <w:rFonts w:eastAsia="Arial Unicode MS" w:cs="Arial"/>
                <w:sz w:val="18"/>
                <w:szCs w:val="24"/>
                <w:lang w:val="it-IT"/>
              </w:rPr>
            </w:pPr>
            <w:r>
              <w:rPr>
                <w:rFonts w:cs="Arial"/>
                <w:sz w:val="18"/>
                <w:lang w:val="it-IT"/>
              </w:rPr>
              <w:t>0,9</w:t>
            </w:r>
          </w:p>
        </w:tc>
        <w:tc>
          <w:tcPr>
            <w:tcW w:w="752" w:type="dxa"/>
          </w:tcPr>
          <w:p>
            <w:pPr>
              <w:pStyle w:val="GesAbsatz"/>
              <w:rPr>
                <w:rFonts w:eastAsia="Arial Unicode MS" w:cs="Arial"/>
                <w:sz w:val="18"/>
                <w:szCs w:val="24"/>
                <w:lang w:val="it-IT"/>
              </w:rPr>
            </w:pPr>
            <w:r>
              <w:rPr>
                <w:rFonts w:cs="Arial"/>
                <w:sz w:val="18"/>
                <w:lang w:val="it-IT"/>
              </w:rPr>
              <w:t>51.304</w:t>
            </w:r>
          </w:p>
        </w:tc>
        <w:tc>
          <w:tcPr>
            <w:tcW w:w="670" w:type="dxa"/>
          </w:tcPr>
          <w:p>
            <w:pPr>
              <w:pStyle w:val="GesAbsatz"/>
              <w:rPr>
                <w:rFonts w:eastAsia="Arial Unicode MS" w:cs="Arial"/>
                <w:sz w:val="18"/>
                <w:szCs w:val="24"/>
                <w:lang w:val="it-IT"/>
              </w:rPr>
            </w:pPr>
            <w:r>
              <w:rPr>
                <w:rFonts w:cs="Arial"/>
                <w:sz w:val="18"/>
                <w:lang w:val="it-IT"/>
              </w:rPr>
              <w:t>6,4</w:t>
            </w:r>
          </w:p>
        </w:tc>
        <w:tc>
          <w:tcPr>
            <w:tcW w:w="863" w:type="dxa"/>
          </w:tcPr>
          <w:p>
            <w:pPr>
              <w:pStyle w:val="GesAbsatz"/>
              <w:rPr>
                <w:rFonts w:eastAsia="Arial Unicode MS" w:cs="Arial"/>
                <w:sz w:val="18"/>
                <w:szCs w:val="24"/>
                <w:lang w:val="it-IT"/>
              </w:rPr>
            </w:pPr>
            <w:r>
              <w:rPr>
                <w:rFonts w:cs="Arial"/>
                <w:sz w:val="18"/>
                <w:lang w:val="it-IT"/>
              </w:rPr>
              <w:t>301.693</w:t>
            </w:r>
          </w:p>
        </w:tc>
        <w:tc>
          <w:tcPr>
            <w:tcW w:w="689" w:type="dxa"/>
          </w:tcPr>
          <w:p>
            <w:pPr>
              <w:pStyle w:val="GesAbsatz"/>
              <w:rPr>
                <w:rFonts w:eastAsia="Arial Unicode MS" w:cs="Arial"/>
                <w:sz w:val="18"/>
                <w:szCs w:val="24"/>
                <w:lang w:val="it-IT"/>
              </w:rPr>
            </w:pPr>
            <w:r>
              <w:rPr>
                <w:rFonts w:cs="Arial"/>
                <w:sz w:val="18"/>
                <w:lang w:val="it-IT"/>
              </w:rPr>
              <w:t>37,7</w:t>
            </w:r>
          </w:p>
        </w:tc>
        <w:tc>
          <w:tcPr>
            <w:tcW w:w="863" w:type="dxa"/>
          </w:tcPr>
          <w:p>
            <w:pPr>
              <w:pStyle w:val="GesAbsatz"/>
              <w:rPr>
                <w:rFonts w:eastAsia="Arial Unicode MS" w:cs="Arial"/>
                <w:sz w:val="18"/>
                <w:szCs w:val="24"/>
                <w:lang w:val="it-IT"/>
              </w:rPr>
            </w:pPr>
            <w:r>
              <w:rPr>
                <w:rFonts w:cs="Arial"/>
                <w:sz w:val="18"/>
                <w:lang w:val="it-IT"/>
              </w:rPr>
              <w:t xml:space="preserve">333.382 </w:t>
            </w:r>
          </w:p>
        </w:tc>
        <w:tc>
          <w:tcPr>
            <w:tcW w:w="680" w:type="dxa"/>
          </w:tcPr>
          <w:p>
            <w:pPr>
              <w:pStyle w:val="GesAbsatz"/>
              <w:rPr>
                <w:rFonts w:eastAsia="Arial Unicode MS" w:cs="Arial"/>
                <w:sz w:val="18"/>
                <w:szCs w:val="24"/>
                <w:lang w:val="it-IT"/>
              </w:rPr>
            </w:pPr>
            <w:r>
              <w:rPr>
                <w:rFonts w:cs="Arial"/>
                <w:sz w:val="18"/>
                <w:lang w:val="it-IT"/>
              </w:rPr>
              <w:t>41,7</w:t>
            </w:r>
          </w:p>
        </w:tc>
        <w:tc>
          <w:tcPr>
            <w:tcW w:w="752" w:type="dxa"/>
          </w:tcPr>
          <w:p>
            <w:pPr>
              <w:pStyle w:val="GesAbsatz"/>
              <w:rPr>
                <w:rFonts w:eastAsia="Arial Unicode MS" w:cs="Arial"/>
                <w:sz w:val="18"/>
                <w:szCs w:val="24"/>
                <w:lang w:val="it-IT"/>
              </w:rPr>
            </w:pPr>
            <w:r>
              <w:rPr>
                <w:rFonts w:cs="Arial"/>
                <w:sz w:val="18"/>
                <w:lang w:val="it-IT"/>
              </w:rPr>
              <w:t>11.121</w:t>
            </w:r>
          </w:p>
        </w:tc>
        <w:tc>
          <w:tcPr>
            <w:tcW w:w="667" w:type="dxa"/>
          </w:tcPr>
          <w:p>
            <w:pPr>
              <w:pStyle w:val="GesAbsatz"/>
              <w:rPr>
                <w:rFonts w:eastAsia="Arial Unicode MS" w:cs="Arial"/>
                <w:sz w:val="18"/>
                <w:szCs w:val="24"/>
                <w:lang w:val="it-IT"/>
              </w:rPr>
            </w:pPr>
            <w:r>
              <w:rPr>
                <w:rFonts w:cs="Arial"/>
                <w:sz w:val="18"/>
                <w:lang w:val="it-IT"/>
              </w:rPr>
              <w:t>1,4</w:t>
            </w:r>
          </w:p>
        </w:tc>
        <w:tc>
          <w:tcPr>
            <w:tcW w:w="752" w:type="dxa"/>
          </w:tcPr>
          <w:p>
            <w:pPr>
              <w:pStyle w:val="GesAbsatz"/>
              <w:rPr>
                <w:rFonts w:eastAsia="Arial Unicode MS" w:cs="Arial"/>
                <w:szCs w:val="24"/>
                <w:lang w:val="it-IT"/>
              </w:rPr>
            </w:pPr>
            <w:r>
              <w:rPr>
                <w:rFonts w:cs="Arial"/>
                <w:lang w:val="it-IT"/>
              </w:rPr>
              <w:t>5.472</w:t>
            </w:r>
          </w:p>
        </w:tc>
        <w:tc>
          <w:tcPr>
            <w:tcW w:w="663" w:type="dxa"/>
          </w:tcPr>
          <w:p>
            <w:pPr>
              <w:pStyle w:val="GesAbsatz"/>
              <w:rPr>
                <w:rFonts w:eastAsia="Arial Unicode MS" w:cs="Arial"/>
                <w:szCs w:val="24"/>
                <w:lang w:val="it-IT"/>
              </w:rPr>
            </w:pPr>
            <w:r>
              <w:rPr>
                <w:rFonts w:cs="Arial"/>
                <w:lang w:val="it-IT"/>
              </w:rPr>
              <w:t>0,7</w:t>
            </w:r>
          </w:p>
        </w:tc>
      </w:tr>
      <w:tr>
        <w:tc>
          <w:tcPr>
            <w:tcW w:w="1194" w:type="dxa"/>
          </w:tcPr>
          <w:p>
            <w:pPr>
              <w:pStyle w:val="GesAbsatz"/>
              <w:rPr>
                <w:rFonts w:eastAsia="Arial Unicode MS" w:cs="Arial"/>
                <w:sz w:val="18"/>
                <w:szCs w:val="24"/>
                <w:lang w:val="it-IT"/>
              </w:rPr>
            </w:pPr>
            <w:r>
              <w:rPr>
                <w:rFonts w:cs="Arial"/>
                <w:b/>
                <w:bCs/>
                <w:sz w:val="18"/>
                <w:lang w:val="it-IT"/>
              </w:rPr>
              <w:t>Detmold</w:t>
            </w:r>
          </w:p>
        </w:tc>
        <w:tc>
          <w:tcPr>
            <w:tcW w:w="958" w:type="dxa"/>
          </w:tcPr>
          <w:p>
            <w:pPr>
              <w:pStyle w:val="GesAbsatz"/>
              <w:rPr>
                <w:rFonts w:eastAsia="Arial Unicode MS" w:cs="Arial"/>
                <w:sz w:val="18"/>
                <w:szCs w:val="24"/>
              </w:rPr>
            </w:pPr>
            <w:r>
              <w:rPr>
                <w:rFonts w:cs="Arial"/>
                <w:sz w:val="18"/>
              </w:rPr>
              <w:t>312</w:t>
            </w:r>
          </w:p>
        </w:tc>
        <w:tc>
          <w:tcPr>
            <w:tcW w:w="916" w:type="dxa"/>
          </w:tcPr>
          <w:p>
            <w:pPr>
              <w:pStyle w:val="GesAbsatz"/>
              <w:rPr>
                <w:rFonts w:eastAsia="Arial Unicode MS" w:cs="Arial"/>
                <w:sz w:val="18"/>
                <w:szCs w:val="24"/>
              </w:rPr>
            </w:pPr>
            <w:r>
              <w:rPr>
                <w:rFonts w:cs="Arial"/>
                <w:sz w:val="18"/>
              </w:rPr>
              <w:t>651.807</w:t>
            </w:r>
          </w:p>
        </w:tc>
        <w:tc>
          <w:tcPr>
            <w:tcW w:w="752" w:type="dxa"/>
          </w:tcPr>
          <w:p>
            <w:pPr>
              <w:pStyle w:val="GesAbsatz"/>
              <w:rPr>
                <w:rFonts w:eastAsia="Arial Unicode MS" w:cs="Arial"/>
                <w:sz w:val="18"/>
                <w:szCs w:val="24"/>
              </w:rPr>
            </w:pPr>
            <w:r>
              <w:rPr>
                <w:rFonts w:cs="Arial"/>
                <w:sz w:val="18"/>
              </w:rPr>
              <w:t>63.150</w:t>
            </w:r>
          </w:p>
        </w:tc>
        <w:tc>
          <w:tcPr>
            <w:tcW w:w="693" w:type="dxa"/>
          </w:tcPr>
          <w:p>
            <w:pPr>
              <w:pStyle w:val="GesAbsatz"/>
              <w:rPr>
                <w:rFonts w:eastAsia="Arial Unicode MS" w:cs="Arial"/>
                <w:sz w:val="18"/>
                <w:szCs w:val="24"/>
              </w:rPr>
            </w:pPr>
            <w:r>
              <w:rPr>
                <w:rFonts w:cs="Arial"/>
                <w:sz w:val="18"/>
              </w:rPr>
              <w:t>9,7</w:t>
            </w:r>
          </w:p>
        </w:tc>
        <w:tc>
          <w:tcPr>
            <w:tcW w:w="752" w:type="dxa"/>
          </w:tcPr>
          <w:p>
            <w:pPr>
              <w:pStyle w:val="GesAbsatz"/>
              <w:rPr>
                <w:rFonts w:eastAsia="Arial Unicode MS" w:cs="Arial"/>
                <w:sz w:val="18"/>
                <w:szCs w:val="24"/>
              </w:rPr>
            </w:pPr>
            <w:r>
              <w:rPr>
                <w:rFonts w:cs="Arial"/>
                <w:sz w:val="18"/>
              </w:rPr>
              <w:t>2.528</w:t>
            </w:r>
          </w:p>
        </w:tc>
        <w:tc>
          <w:tcPr>
            <w:tcW w:w="669" w:type="dxa"/>
          </w:tcPr>
          <w:p>
            <w:pPr>
              <w:pStyle w:val="GesAbsatz"/>
              <w:rPr>
                <w:rFonts w:eastAsia="Arial Unicode MS" w:cs="Arial"/>
                <w:sz w:val="18"/>
                <w:szCs w:val="24"/>
              </w:rPr>
            </w:pPr>
            <w:r>
              <w:rPr>
                <w:rFonts w:cs="Arial"/>
                <w:sz w:val="18"/>
              </w:rPr>
              <w:t xml:space="preserve">0,4 </w:t>
            </w:r>
          </w:p>
        </w:tc>
        <w:tc>
          <w:tcPr>
            <w:tcW w:w="752" w:type="dxa"/>
          </w:tcPr>
          <w:p>
            <w:pPr>
              <w:pStyle w:val="GesAbsatz"/>
              <w:rPr>
                <w:rFonts w:eastAsia="Arial Unicode MS" w:cs="Arial"/>
                <w:sz w:val="18"/>
                <w:szCs w:val="24"/>
              </w:rPr>
            </w:pPr>
            <w:r>
              <w:rPr>
                <w:rFonts w:cs="Arial"/>
                <w:sz w:val="18"/>
              </w:rPr>
              <w:t>4.682</w:t>
            </w:r>
          </w:p>
        </w:tc>
        <w:tc>
          <w:tcPr>
            <w:tcW w:w="675" w:type="dxa"/>
          </w:tcPr>
          <w:p>
            <w:pPr>
              <w:pStyle w:val="GesAbsatz"/>
              <w:rPr>
                <w:rFonts w:eastAsia="Arial Unicode MS" w:cs="Arial"/>
                <w:sz w:val="18"/>
                <w:szCs w:val="24"/>
              </w:rPr>
            </w:pPr>
            <w:r>
              <w:rPr>
                <w:rFonts w:cs="Arial"/>
                <w:sz w:val="18"/>
              </w:rPr>
              <w:t xml:space="preserve">0,7 </w:t>
            </w:r>
          </w:p>
        </w:tc>
        <w:tc>
          <w:tcPr>
            <w:tcW w:w="752" w:type="dxa"/>
          </w:tcPr>
          <w:p>
            <w:pPr>
              <w:pStyle w:val="GesAbsatz"/>
              <w:rPr>
                <w:rFonts w:eastAsia="Arial Unicode MS" w:cs="Arial"/>
                <w:sz w:val="18"/>
                <w:szCs w:val="24"/>
              </w:rPr>
            </w:pPr>
            <w:r>
              <w:rPr>
                <w:rFonts w:cs="Arial"/>
                <w:sz w:val="18"/>
              </w:rPr>
              <w:t>35.966</w:t>
            </w:r>
          </w:p>
        </w:tc>
        <w:tc>
          <w:tcPr>
            <w:tcW w:w="670" w:type="dxa"/>
          </w:tcPr>
          <w:p>
            <w:pPr>
              <w:pStyle w:val="GesAbsatz"/>
              <w:rPr>
                <w:rFonts w:eastAsia="Arial Unicode MS" w:cs="Arial"/>
                <w:sz w:val="18"/>
                <w:szCs w:val="24"/>
              </w:rPr>
            </w:pPr>
            <w:r>
              <w:rPr>
                <w:rFonts w:cs="Arial"/>
                <w:sz w:val="18"/>
              </w:rPr>
              <w:t xml:space="preserve">5,5 </w:t>
            </w:r>
          </w:p>
        </w:tc>
        <w:tc>
          <w:tcPr>
            <w:tcW w:w="863" w:type="dxa"/>
          </w:tcPr>
          <w:p>
            <w:pPr>
              <w:pStyle w:val="GesAbsatz"/>
              <w:rPr>
                <w:rFonts w:eastAsia="Arial Unicode MS" w:cs="Arial"/>
                <w:sz w:val="18"/>
                <w:szCs w:val="24"/>
              </w:rPr>
            </w:pPr>
            <w:r>
              <w:rPr>
                <w:rFonts w:cs="Arial"/>
                <w:sz w:val="18"/>
              </w:rPr>
              <w:t>386.952</w:t>
            </w:r>
          </w:p>
        </w:tc>
        <w:tc>
          <w:tcPr>
            <w:tcW w:w="689" w:type="dxa"/>
          </w:tcPr>
          <w:p>
            <w:pPr>
              <w:pStyle w:val="GesAbsatz"/>
              <w:rPr>
                <w:rFonts w:eastAsia="Arial Unicode MS" w:cs="Arial"/>
                <w:sz w:val="18"/>
                <w:szCs w:val="24"/>
              </w:rPr>
            </w:pPr>
            <w:r>
              <w:rPr>
                <w:rFonts w:cs="Arial"/>
                <w:sz w:val="18"/>
              </w:rPr>
              <w:t xml:space="preserve">59,4 </w:t>
            </w:r>
          </w:p>
        </w:tc>
        <w:tc>
          <w:tcPr>
            <w:tcW w:w="863" w:type="dxa"/>
          </w:tcPr>
          <w:p>
            <w:pPr>
              <w:pStyle w:val="GesAbsatz"/>
              <w:rPr>
                <w:rFonts w:eastAsia="Arial Unicode MS" w:cs="Arial"/>
                <w:sz w:val="18"/>
                <w:szCs w:val="24"/>
              </w:rPr>
            </w:pPr>
            <w:r>
              <w:rPr>
                <w:rFonts w:cs="Arial"/>
                <w:sz w:val="18"/>
              </w:rPr>
              <w:t xml:space="preserve">137.293 </w:t>
            </w:r>
          </w:p>
        </w:tc>
        <w:tc>
          <w:tcPr>
            <w:tcW w:w="680" w:type="dxa"/>
          </w:tcPr>
          <w:p>
            <w:pPr>
              <w:pStyle w:val="GesAbsatz"/>
              <w:rPr>
                <w:rFonts w:eastAsia="Arial Unicode MS" w:cs="Arial"/>
                <w:sz w:val="18"/>
                <w:szCs w:val="24"/>
              </w:rPr>
            </w:pPr>
            <w:r>
              <w:rPr>
                <w:rFonts w:cs="Arial"/>
                <w:sz w:val="18"/>
              </w:rPr>
              <w:t xml:space="preserve">21,1 </w:t>
            </w:r>
          </w:p>
        </w:tc>
        <w:tc>
          <w:tcPr>
            <w:tcW w:w="752" w:type="dxa"/>
          </w:tcPr>
          <w:p>
            <w:pPr>
              <w:pStyle w:val="GesAbsatz"/>
              <w:rPr>
                <w:rFonts w:eastAsia="Arial Unicode MS" w:cs="Arial"/>
                <w:sz w:val="18"/>
                <w:szCs w:val="24"/>
              </w:rPr>
            </w:pPr>
            <w:r>
              <w:rPr>
                <w:rFonts w:cs="Arial"/>
                <w:sz w:val="18"/>
              </w:rPr>
              <w:t xml:space="preserve">8.013 </w:t>
            </w:r>
          </w:p>
        </w:tc>
        <w:tc>
          <w:tcPr>
            <w:tcW w:w="667" w:type="dxa"/>
          </w:tcPr>
          <w:p>
            <w:pPr>
              <w:pStyle w:val="GesAbsatz"/>
              <w:rPr>
                <w:rFonts w:eastAsia="Arial Unicode MS" w:cs="Arial"/>
                <w:sz w:val="18"/>
                <w:szCs w:val="24"/>
              </w:rPr>
            </w:pPr>
            <w:r>
              <w:rPr>
                <w:rFonts w:cs="Arial"/>
                <w:sz w:val="18"/>
              </w:rPr>
              <w:t xml:space="preserve">1,2 </w:t>
            </w:r>
          </w:p>
        </w:tc>
        <w:tc>
          <w:tcPr>
            <w:tcW w:w="752" w:type="dxa"/>
          </w:tcPr>
          <w:p>
            <w:pPr>
              <w:pStyle w:val="GesAbsatz"/>
              <w:rPr>
                <w:rFonts w:eastAsia="Arial Unicode MS" w:cs="Arial"/>
                <w:szCs w:val="24"/>
              </w:rPr>
            </w:pPr>
            <w:r>
              <w:rPr>
                <w:rFonts w:cs="Arial"/>
              </w:rPr>
              <w:t xml:space="preserve">13.223 </w:t>
            </w:r>
          </w:p>
        </w:tc>
        <w:tc>
          <w:tcPr>
            <w:tcW w:w="663" w:type="dxa"/>
          </w:tcPr>
          <w:p>
            <w:pPr>
              <w:pStyle w:val="GesAbsatz"/>
              <w:rPr>
                <w:rFonts w:eastAsia="Arial Unicode MS" w:cs="Arial"/>
                <w:szCs w:val="24"/>
              </w:rPr>
            </w:pPr>
            <w:r>
              <w:rPr>
                <w:rFonts w:cs="Arial"/>
              </w:rPr>
              <w:t>2,0</w:t>
            </w:r>
          </w:p>
        </w:tc>
      </w:tr>
      <w:tr>
        <w:tc>
          <w:tcPr>
            <w:tcW w:w="1194" w:type="dxa"/>
          </w:tcPr>
          <w:p>
            <w:pPr>
              <w:pStyle w:val="GesAbsatz"/>
              <w:rPr>
                <w:rFonts w:eastAsia="Arial Unicode MS" w:cs="Arial"/>
                <w:sz w:val="18"/>
                <w:szCs w:val="24"/>
              </w:rPr>
            </w:pPr>
            <w:r>
              <w:rPr>
                <w:rFonts w:cs="Arial"/>
                <w:b/>
                <w:bCs/>
                <w:sz w:val="18"/>
              </w:rPr>
              <w:t xml:space="preserve">Düsseldorf </w:t>
            </w:r>
          </w:p>
        </w:tc>
        <w:tc>
          <w:tcPr>
            <w:tcW w:w="958" w:type="dxa"/>
          </w:tcPr>
          <w:p>
            <w:pPr>
              <w:pStyle w:val="GesAbsatz"/>
              <w:rPr>
                <w:rFonts w:eastAsia="Arial Unicode MS" w:cs="Arial"/>
                <w:sz w:val="18"/>
                <w:szCs w:val="24"/>
              </w:rPr>
            </w:pPr>
            <w:r>
              <w:rPr>
                <w:rFonts w:cs="Arial"/>
                <w:sz w:val="18"/>
              </w:rPr>
              <w:t>1.000</w:t>
            </w:r>
          </w:p>
        </w:tc>
        <w:tc>
          <w:tcPr>
            <w:tcW w:w="916" w:type="dxa"/>
          </w:tcPr>
          <w:p>
            <w:pPr>
              <w:pStyle w:val="GesAbsatz"/>
              <w:rPr>
                <w:rFonts w:eastAsia="Arial Unicode MS" w:cs="Arial"/>
                <w:sz w:val="18"/>
                <w:szCs w:val="24"/>
              </w:rPr>
            </w:pPr>
            <w:r>
              <w:rPr>
                <w:rFonts w:cs="Arial"/>
                <w:sz w:val="18"/>
              </w:rPr>
              <w:t>528.931</w:t>
            </w:r>
          </w:p>
        </w:tc>
        <w:tc>
          <w:tcPr>
            <w:tcW w:w="752" w:type="dxa"/>
          </w:tcPr>
          <w:p>
            <w:pPr>
              <w:pStyle w:val="GesAbsatz"/>
              <w:rPr>
                <w:rFonts w:eastAsia="Arial Unicode MS" w:cs="Arial"/>
                <w:sz w:val="18"/>
                <w:szCs w:val="24"/>
              </w:rPr>
            </w:pPr>
            <w:r>
              <w:rPr>
                <w:rFonts w:cs="Arial"/>
                <w:sz w:val="18"/>
              </w:rPr>
              <w:t>94.700</w:t>
            </w:r>
          </w:p>
        </w:tc>
        <w:tc>
          <w:tcPr>
            <w:tcW w:w="693" w:type="dxa"/>
          </w:tcPr>
          <w:p>
            <w:pPr>
              <w:pStyle w:val="GesAbsatz"/>
              <w:rPr>
                <w:rFonts w:eastAsia="Arial Unicode MS" w:cs="Arial"/>
                <w:sz w:val="18"/>
                <w:szCs w:val="24"/>
              </w:rPr>
            </w:pPr>
            <w:r>
              <w:rPr>
                <w:rFonts w:cs="Arial"/>
                <w:sz w:val="18"/>
              </w:rPr>
              <w:t xml:space="preserve">17,9 </w:t>
            </w:r>
          </w:p>
        </w:tc>
        <w:tc>
          <w:tcPr>
            <w:tcW w:w="752" w:type="dxa"/>
          </w:tcPr>
          <w:p>
            <w:pPr>
              <w:pStyle w:val="GesAbsatz"/>
              <w:rPr>
                <w:rFonts w:eastAsia="Arial Unicode MS" w:cs="Arial"/>
                <w:sz w:val="18"/>
                <w:szCs w:val="24"/>
              </w:rPr>
            </w:pPr>
            <w:r>
              <w:rPr>
                <w:rFonts w:cs="Arial"/>
                <w:sz w:val="18"/>
              </w:rPr>
              <w:t>8.001</w:t>
            </w:r>
          </w:p>
        </w:tc>
        <w:tc>
          <w:tcPr>
            <w:tcW w:w="669" w:type="dxa"/>
          </w:tcPr>
          <w:p>
            <w:pPr>
              <w:pStyle w:val="GesAbsatz"/>
              <w:rPr>
                <w:rFonts w:eastAsia="Arial Unicode MS" w:cs="Arial"/>
                <w:sz w:val="18"/>
                <w:szCs w:val="24"/>
              </w:rPr>
            </w:pPr>
            <w:r>
              <w:rPr>
                <w:rFonts w:cs="Arial"/>
                <w:sz w:val="18"/>
              </w:rPr>
              <w:t xml:space="preserve">1,5 </w:t>
            </w:r>
          </w:p>
        </w:tc>
        <w:tc>
          <w:tcPr>
            <w:tcW w:w="752" w:type="dxa"/>
          </w:tcPr>
          <w:p>
            <w:pPr>
              <w:pStyle w:val="GesAbsatz"/>
              <w:rPr>
                <w:rFonts w:eastAsia="Arial Unicode MS" w:cs="Arial"/>
                <w:sz w:val="18"/>
                <w:szCs w:val="24"/>
              </w:rPr>
            </w:pPr>
            <w:r>
              <w:rPr>
                <w:rFonts w:cs="Arial"/>
                <w:sz w:val="18"/>
              </w:rPr>
              <w:t xml:space="preserve">13.074 </w:t>
            </w:r>
          </w:p>
        </w:tc>
        <w:tc>
          <w:tcPr>
            <w:tcW w:w="675" w:type="dxa"/>
          </w:tcPr>
          <w:p>
            <w:pPr>
              <w:pStyle w:val="GesAbsatz"/>
              <w:rPr>
                <w:rFonts w:eastAsia="Arial Unicode MS" w:cs="Arial"/>
                <w:sz w:val="18"/>
                <w:szCs w:val="24"/>
              </w:rPr>
            </w:pPr>
            <w:r>
              <w:rPr>
                <w:rFonts w:cs="Arial"/>
                <w:sz w:val="18"/>
              </w:rPr>
              <w:t xml:space="preserve">2,5 </w:t>
            </w:r>
          </w:p>
        </w:tc>
        <w:tc>
          <w:tcPr>
            <w:tcW w:w="752" w:type="dxa"/>
          </w:tcPr>
          <w:p>
            <w:pPr>
              <w:pStyle w:val="GesAbsatz"/>
              <w:rPr>
                <w:rFonts w:eastAsia="Arial Unicode MS" w:cs="Arial"/>
                <w:sz w:val="18"/>
                <w:szCs w:val="24"/>
              </w:rPr>
            </w:pPr>
            <w:r>
              <w:rPr>
                <w:rFonts w:cs="Arial"/>
                <w:sz w:val="18"/>
              </w:rPr>
              <w:t>43.165</w:t>
            </w:r>
          </w:p>
        </w:tc>
        <w:tc>
          <w:tcPr>
            <w:tcW w:w="670" w:type="dxa"/>
          </w:tcPr>
          <w:p>
            <w:pPr>
              <w:pStyle w:val="GesAbsatz"/>
              <w:rPr>
                <w:rFonts w:eastAsia="Arial Unicode MS" w:cs="Arial"/>
                <w:sz w:val="18"/>
                <w:szCs w:val="24"/>
              </w:rPr>
            </w:pPr>
            <w:r>
              <w:rPr>
                <w:rFonts w:cs="Arial"/>
                <w:sz w:val="18"/>
              </w:rPr>
              <w:t xml:space="preserve">8,2 </w:t>
            </w:r>
          </w:p>
        </w:tc>
        <w:tc>
          <w:tcPr>
            <w:tcW w:w="863" w:type="dxa"/>
          </w:tcPr>
          <w:p>
            <w:pPr>
              <w:pStyle w:val="GesAbsatz"/>
              <w:rPr>
                <w:rFonts w:eastAsia="Arial Unicode MS" w:cs="Arial"/>
                <w:sz w:val="18"/>
                <w:szCs w:val="24"/>
              </w:rPr>
            </w:pPr>
            <w:r>
              <w:rPr>
                <w:rFonts w:cs="Arial"/>
                <w:sz w:val="18"/>
              </w:rPr>
              <w:t>272.484</w:t>
            </w:r>
          </w:p>
        </w:tc>
        <w:tc>
          <w:tcPr>
            <w:tcW w:w="689" w:type="dxa"/>
          </w:tcPr>
          <w:p>
            <w:pPr>
              <w:pStyle w:val="GesAbsatz"/>
              <w:rPr>
                <w:rFonts w:eastAsia="Arial Unicode MS" w:cs="Arial"/>
                <w:sz w:val="18"/>
                <w:szCs w:val="24"/>
              </w:rPr>
            </w:pPr>
            <w:r>
              <w:rPr>
                <w:rFonts w:cs="Arial"/>
                <w:sz w:val="18"/>
              </w:rPr>
              <w:t xml:space="preserve">51,5 </w:t>
            </w:r>
          </w:p>
        </w:tc>
        <w:tc>
          <w:tcPr>
            <w:tcW w:w="863" w:type="dxa"/>
          </w:tcPr>
          <w:p>
            <w:pPr>
              <w:pStyle w:val="GesAbsatz"/>
              <w:rPr>
                <w:rFonts w:eastAsia="Arial Unicode MS" w:cs="Arial"/>
                <w:sz w:val="18"/>
                <w:szCs w:val="24"/>
              </w:rPr>
            </w:pPr>
            <w:r>
              <w:rPr>
                <w:rFonts w:cs="Arial"/>
                <w:sz w:val="18"/>
              </w:rPr>
              <w:t>75.350</w:t>
            </w:r>
          </w:p>
        </w:tc>
        <w:tc>
          <w:tcPr>
            <w:tcW w:w="680" w:type="dxa"/>
          </w:tcPr>
          <w:p>
            <w:pPr>
              <w:pStyle w:val="GesAbsatz"/>
              <w:rPr>
                <w:rFonts w:eastAsia="Arial Unicode MS" w:cs="Arial"/>
                <w:sz w:val="18"/>
                <w:szCs w:val="24"/>
              </w:rPr>
            </w:pPr>
            <w:r>
              <w:rPr>
                <w:rFonts w:cs="Arial"/>
                <w:sz w:val="18"/>
              </w:rPr>
              <w:t xml:space="preserve">14,2 </w:t>
            </w:r>
          </w:p>
        </w:tc>
        <w:tc>
          <w:tcPr>
            <w:tcW w:w="752" w:type="dxa"/>
          </w:tcPr>
          <w:p>
            <w:pPr>
              <w:pStyle w:val="GesAbsatz"/>
              <w:rPr>
                <w:rFonts w:eastAsia="Arial Unicode MS" w:cs="Arial"/>
                <w:sz w:val="18"/>
                <w:szCs w:val="24"/>
              </w:rPr>
            </w:pPr>
            <w:r>
              <w:rPr>
                <w:rFonts w:cs="Arial"/>
                <w:sz w:val="18"/>
              </w:rPr>
              <w:t xml:space="preserve">16.729 </w:t>
            </w:r>
          </w:p>
        </w:tc>
        <w:tc>
          <w:tcPr>
            <w:tcW w:w="667" w:type="dxa"/>
          </w:tcPr>
          <w:p>
            <w:pPr>
              <w:pStyle w:val="GesAbsatz"/>
              <w:rPr>
                <w:rFonts w:eastAsia="Arial Unicode MS" w:cs="Arial"/>
                <w:sz w:val="18"/>
                <w:szCs w:val="24"/>
              </w:rPr>
            </w:pPr>
            <w:r>
              <w:rPr>
                <w:rFonts w:cs="Arial"/>
                <w:sz w:val="18"/>
              </w:rPr>
              <w:t xml:space="preserve">3,2 </w:t>
            </w:r>
          </w:p>
        </w:tc>
        <w:tc>
          <w:tcPr>
            <w:tcW w:w="752" w:type="dxa"/>
          </w:tcPr>
          <w:p>
            <w:pPr>
              <w:pStyle w:val="GesAbsatz"/>
              <w:rPr>
                <w:rFonts w:eastAsia="Arial Unicode MS" w:cs="Arial"/>
                <w:szCs w:val="24"/>
              </w:rPr>
            </w:pPr>
            <w:r>
              <w:rPr>
                <w:rFonts w:cs="Arial"/>
              </w:rPr>
              <w:t>5.427</w:t>
            </w:r>
          </w:p>
        </w:tc>
        <w:tc>
          <w:tcPr>
            <w:tcW w:w="663" w:type="dxa"/>
          </w:tcPr>
          <w:p>
            <w:pPr>
              <w:pStyle w:val="GesAbsatz"/>
              <w:rPr>
                <w:rFonts w:eastAsia="Arial Unicode MS" w:cs="Arial"/>
                <w:szCs w:val="24"/>
              </w:rPr>
            </w:pPr>
            <w:r>
              <w:rPr>
                <w:rFonts w:cs="Arial"/>
              </w:rPr>
              <w:t>1,0</w:t>
            </w:r>
          </w:p>
        </w:tc>
      </w:tr>
      <w:tr>
        <w:tc>
          <w:tcPr>
            <w:tcW w:w="1194" w:type="dxa"/>
          </w:tcPr>
          <w:p>
            <w:pPr>
              <w:pStyle w:val="GesAbsatz"/>
              <w:rPr>
                <w:rFonts w:eastAsia="Arial Unicode MS" w:cs="Arial"/>
                <w:sz w:val="18"/>
                <w:szCs w:val="24"/>
              </w:rPr>
            </w:pPr>
            <w:r>
              <w:rPr>
                <w:rFonts w:cs="Arial"/>
                <w:b/>
                <w:bCs/>
                <w:sz w:val="18"/>
              </w:rPr>
              <w:t>Köln</w:t>
            </w:r>
          </w:p>
        </w:tc>
        <w:tc>
          <w:tcPr>
            <w:tcW w:w="958" w:type="dxa"/>
          </w:tcPr>
          <w:p>
            <w:pPr>
              <w:pStyle w:val="GesAbsatz"/>
              <w:rPr>
                <w:rFonts w:eastAsia="Arial Unicode MS" w:cs="Arial"/>
                <w:sz w:val="18"/>
                <w:szCs w:val="24"/>
              </w:rPr>
            </w:pPr>
            <w:r>
              <w:rPr>
                <w:rFonts w:cs="Arial"/>
                <w:sz w:val="18"/>
              </w:rPr>
              <w:t>575</w:t>
            </w:r>
          </w:p>
        </w:tc>
        <w:tc>
          <w:tcPr>
            <w:tcW w:w="916" w:type="dxa"/>
          </w:tcPr>
          <w:p>
            <w:pPr>
              <w:pStyle w:val="GesAbsatz"/>
              <w:rPr>
                <w:rFonts w:eastAsia="Arial Unicode MS" w:cs="Arial"/>
                <w:sz w:val="18"/>
                <w:szCs w:val="24"/>
              </w:rPr>
            </w:pPr>
            <w:r>
              <w:rPr>
                <w:rFonts w:cs="Arial"/>
                <w:sz w:val="18"/>
              </w:rPr>
              <w:t>736.479</w:t>
            </w:r>
          </w:p>
        </w:tc>
        <w:tc>
          <w:tcPr>
            <w:tcW w:w="752" w:type="dxa"/>
          </w:tcPr>
          <w:p>
            <w:pPr>
              <w:pStyle w:val="GesAbsatz"/>
              <w:rPr>
                <w:rFonts w:eastAsia="Arial Unicode MS" w:cs="Arial"/>
                <w:sz w:val="18"/>
                <w:szCs w:val="24"/>
              </w:rPr>
            </w:pPr>
            <w:r>
              <w:rPr>
                <w:rFonts w:cs="Arial"/>
                <w:sz w:val="18"/>
              </w:rPr>
              <w:t>91.429</w:t>
            </w:r>
          </w:p>
        </w:tc>
        <w:tc>
          <w:tcPr>
            <w:tcW w:w="693" w:type="dxa"/>
          </w:tcPr>
          <w:p>
            <w:pPr>
              <w:pStyle w:val="GesAbsatz"/>
              <w:rPr>
                <w:rFonts w:eastAsia="Arial Unicode MS" w:cs="Arial"/>
                <w:sz w:val="18"/>
                <w:szCs w:val="24"/>
              </w:rPr>
            </w:pPr>
            <w:r>
              <w:rPr>
                <w:rFonts w:cs="Arial"/>
                <w:sz w:val="18"/>
              </w:rPr>
              <w:t xml:space="preserve">12,4 </w:t>
            </w:r>
          </w:p>
        </w:tc>
        <w:tc>
          <w:tcPr>
            <w:tcW w:w="752" w:type="dxa"/>
          </w:tcPr>
          <w:p>
            <w:pPr>
              <w:pStyle w:val="GesAbsatz"/>
              <w:rPr>
                <w:rFonts w:eastAsia="Arial Unicode MS" w:cs="Arial"/>
                <w:sz w:val="18"/>
                <w:szCs w:val="24"/>
              </w:rPr>
            </w:pPr>
            <w:r>
              <w:rPr>
                <w:rFonts w:cs="Arial"/>
                <w:sz w:val="18"/>
              </w:rPr>
              <w:t xml:space="preserve">15.420 </w:t>
            </w:r>
          </w:p>
        </w:tc>
        <w:tc>
          <w:tcPr>
            <w:tcW w:w="669" w:type="dxa"/>
          </w:tcPr>
          <w:p>
            <w:pPr>
              <w:pStyle w:val="GesAbsatz"/>
              <w:rPr>
                <w:rFonts w:eastAsia="Arial Unicode MS" w:cs="Arial"/>
                <w:sz w:val="18"/>
                <w:szCs w:val="24"/>
              </w:rPr>
            </w:pPr>
            <w:r>
              <w:rPr>
                <w:rFonts w:cs="Arial"/>
                <w:sz w:val="18"/>
              </w:rPr>
              <w:t xml:space="preserve">2,1 </w:t>
            </w:r>
          </w:p>
        </w:tc>
        <w:tc>
          <w:tcPr>
            <w:tcW w:w="752" w:type="dxa"/>
          </w:tcPr>
          <w:p>
            <w:pPr>
              <w:pStyle w:val="GesAbsatz"/>
              <w:rPr>
                <w:rFonts w:eastAsia="Arial Unicode MS" w:cs="Arial"/>
                <w:sz w:val="18"/>
                <w:szCs w:val="24"/>
              </w:rPr>
            </w:pPr>
            <w:r>
              <w:rPr>
                <w:rFonts w:cs="Arial"/>
                <w:sz w:val="18"/>
              </w:rPr>
              <w:t xml:space="preserve">9.715 </w:t>
            </w:r>
          </w:p>
        </w:tc>
        <w:tc>
          <w:tcPr>
            <w:tcW w:w="675" w:type="dxa"/>
          </w:tcPr>
          <w:p>
            <w:pPr>
              <w:pStyle w:val="GesAbsatz"/>
              <w:rPr>
                <w:rFonts w:eastAsia="Arial Unicode MS" w:cs="Arial"/>
                <w:sz w:val="18"/>
                <w:szCs w:val="24"/>
              </w:rPr>
            </w:pPr>
            <w:r>
              <w:rPr>
                <w:rFonts w:cs="Arial"/>
                <w:sz w:val="18"/>
              </w:rPr>
              <w:t xml:space="preserve">1,3 </w:t>
            </w:r>
          </w:p>
        </w:tc>
        <w:tc>
          <w:tcPr>
            <w:tcW w:w="752" w:type="dxa"/>
          </w:tcPr>
          <w:p>
            <w:pPr>
              <w:pStyle w:val="GesAbsatz"/>
              <w:rPr>
                <w:rFonts w:eastAsia="Arial Unicode MS" w:cs="Arial"/>
                <w:sz w:val="18"/>
                <w:szCs w:val="24"/>
              </w:rPr>
            </w:pPr>
            <w:r>
              <w:rPr>
                <w:rFonts w:cs="Arial"/>
                <w:sz w:val="18"/>
              </w:rPr>
              <w:t>52.359</w:t>
            </w:r>
          </w:p>
        </w:tc>
        <w:tc>
          <w:tcPr>
            <w:tcW w:w="670" w:type="dxa"/>
          </w:tcPr>
          <w:p>
            <w:pPr>
              <w:pStyle w:val="GesAbsatz"/>
              <w:rPr>
                <w:rFonts w:eastAsia="Arial Unicode MS" w:cs="Arial"/>
                <w:sz w:val="18"/>
                <w:szCs w:val="24"/>
              </w:rPr>
            </w:pPr>
            <w:r>
              <w:rPr>
                <w:rFonts w:cs="Arial"/>
                <w:sz w:val="18"/>
              </w:rPr>
              <w:t xml:space="preserve">7,1 </w:t>
            </w:r>
          </w:p>
        </w:tc>
        <w:tc>
          <w:tcPr>
            <w:tcW w:w="863" w:type="dxa"/>
          </w:tcPr>
          <w:p>
            <w:pPr>
              <w:pStyle w:val="GesAbsatz"/>
              <w:rPr>
                <w:rFonts w:eastAsia="Arial Unicode MS" w:cs="Arial"/>
                <w:sz w:val="18"/>
                <w:szCs w:val="24"/>
              </w:rPr>
            </w:pPr>
            <w:r>
              <w:rPr>
                <w:rFonts w:cs="Arial"/>
                <w:sz w:val="18"/>
              </w:rPr>
              <w:t>351.644</w:t>
            </w:r>
          </w:p>
        </w:tc>
        <w:tc>
          <w:tcPr>
            <w:tcW w:w="689" w:type="dxa"/>
          </w:tcPr>
          <w:p>
            <w:pPr>
              <w:pStyle w:val="GesAbsatz"/>
              <w:rPr>
                <w:rFonts w:eastAsia="Arial Unicode MS" w:cs="Arial"/>
                <w:sz w:val="18"/>
                <w:szCs w:val="24"/>
              </w:rPr>
            </w:pPr>
            <w:r>
              <w:rPr>
                <w:rFonts w:cs="Arial"/>
                <w:sz w:val="18"/>
              </w:rPr>
              <w:t xml:space="preserve">47,7 </w:t>
            </w:r>
          </w:p>
        </w:tc>
        <w:tc>
          <w:tcPr>
            <w:tcW w:w="863" w:type="dxa"/>
          </w:tcPr>
          <w:p>
            <w:pPr>
              <w:pStyle w:val="GesAbsatz"/>
              <w:rPr>
                <w:rFonts w:eastAsia="Arial Unicode MS" w:cs="Arial"/>
                <w:sz w:val="18"/>
                <w:szCs w:val="24"/>
              </w:rPr>
            </w:pPr>
            <w:r>
              <w:rPr>
                <w:rFonts w:cs="Arial"/>
                <w:sz w:val="18"/>
              </w:rPr>
              <w:t xml:space="preserve">193.242 </w:t>
            </w:r>
          </w:p>
        </w:tc>
        <w:tc>
          <w:tcPr>
            <w:tcW w:w="680" w:type="dxa"/>
          </w:tcPr>
          <w:p>
            <w:pPr>
              <w:pStyle w:val="GesAbsatz"/>
              <w:rPr>
                <w:rFonts w:eastAsia="Arial Unicode MS" w:cs="Arial"/>
                <w:sz w:val="18"/>
                <w:szCs w:val="24"/>
              </w:rPr>
            </w:pPr>
            <w:r>
              <w:rPr>
                <w:rFonts w:cs="Arial"/>
                <w:sz w:val="18"/>
              </w:rPr>
              <w:t xml:space="preserve">26,2 </w:t>
            </w:r>
          </w:p>
        </w:tc>
        <w:tc>
          <w:tcPr>
            <w:tcW w:w="752" w:type="dxa"/>
          </w:tcPr>
          <w:p>
            <w:pPr>
              <w:pStyle w:val="GesAbsatz"/>
              <w:rPr>
                <w:rFonts w:eastAsia="Arial Unicode MS" w:cs="Arial"/>
                <w:sz w:val="18"/>
                <w:szCs w:val="24"/>
              </w:rPr>
            </w:pPr>
            <w:r>
              <w:rPr>
                <w:rFonts w:cs="Arial"/>
                <w:sz w:val="18"/>
              </w:rPr>
              <w:t xml:space="preserve">12.942 </w:t>
            </w:r>
          </w:p>
        </w:tc>
        <w:tc>
          <w:tcPr>
            <w:tcW w:w="667" w:type="dxa"/>
          </w:tcPr>
          <w:p>
            <w:pPr>
              <w:pStyle w:val="GesAbsatz"/>
              <w:rPr>
                <w:rFonts w:eastAsia="Arial Unicode MS" w:cs="Arial"/>
                <w:sz w:val="18"/>
                <w:szCs w:val="24"/>
              </w:rPr>
            </w:pPr>
            <w:r>
              <w:rPr>
                <w:rFonts w:cs="Arial"/>
                <w:sz w:val="18"/>
              </w:rPr>
              <w:t xml:space="preserve">1,8 </w:t>
            </w:r>
          </w:p>
        </w:tc>
        <w:tc>
          <w:tcPr>
            <w:tcW w:w="752" w:type="dxa"/>
          </w:tcPr>
          <w:p>
            <w:pPr>
              <w:pStyle w:val="GesAbsatz"/>
              <w:rPr>
                <w:rFonts w:eastAsia="Arial Unicode MS" w:cs="Arial"/>
                <w:szCs w:val="24"/>
              </w:rPr>
            </w:pPr>
            <w:r>
              <w:rPr>
                <w:rFonts w:cs="Arial"/>
              </w:rPr>
              <w:t>9.728</w:t>
            </w:r>
          </w:p>
        </w:tc>
        <w:tc>
          <w:tcPr>
            <w:tcW w:w="663" w:type="dxa"/>
          </w:tcPr>
          <w:p>
            <w:pPr>
              <w:pStyle w:val="GesAbsatz"/>
              <w:rPr>
                <w:rFonts w:eastAsia="Arial Unicode MS" w:cs="Arial"/>
                <w:szCs w:val="24"/>
              </w:rPr>
            </w:pPr>
            <w:r>
              <w:rPr>
                <w:rFonts w:cs="Arial"/>
              </w:rPr>
              <w:t>1,3</w:t>
            </w:r>
          </w:p>
        </w:tc>
      </w:tr>
      <w:tr>
        <w:tc>
          <w:tcPr>
            <w:tcW w:w="1194" w:type="dxa"/>
          </w:tcPr>
          <w:p>
            <w:pPr>
              <w:pStyle w:val="GesAbsatz"/>
              <w:rPr>
                <w:rFonts w:eastAsia="Arial Unicode MS" w:cs="Arial"/>
                <w:sz w:val="18"/>
                <w:szCs w:val="24"/>
              </w:rPr>
            </w:pPr>
            <w:r>
              <w:rPr>
                <w:rFonts w:cs="Arial"/>
                <w:b/>
                <w:bCs/>
                <w:sz w:val="18"/>
              </w:rPr>
              <w:t>Münster</w:t>
            </w:r>
          </w:p>
        </w:tc>
        <w:tc>
          <w:tcPr>
            <w:tcW w:w="958" w:type="dxa"/>
          </w:tcPr>
          <w:p>
            <w:pPr>
              <w:pStyle w:val="GesAbsatz"/>
              <w:rPr>
                <w:rFonts w:eastAsia="Arial Unicode MS" w:cs="Arial"/>
                <w:sz w:val="18"/>
                <w:szCs w:val="24"/>
              </w:rPr>
            </w:pPr>
            <w:r>
              <w:rPr>
                <w:rFonts w:cs="Arial"/>
                <w:sz w:val="18"/>
              </w:rPr>
              <w:t>376</w:t>
            </w:r>
          </w:p>
        </w:tc>
        <w:tc>
          <w:tcPr>
            <w:tcW w:w="916" w:type="dxa"/>
          </w:tcPr>
          <w:p>
            <w:pPr>
              <w:pStyle w:val="GesAbsatz"/>
              <w:rPr>
                <w:rFonts w:eastAsia="Arial Unicode MS" w:cs="Arial"/>
                <w:sz w:val="18"/>
                <w:szCs w:val="24"/>
              </w:rPr>
            </w:pPr>
            <w:r>
              <w:rPr>
                <w:rFonts w:cs="Arial"/>
                <w:sz w:val="18"/>
              </w:rPr>
              <w:t>690.430</w:t>
            </w:r>
          </w:p>
        </w:tc>
        <w:tc>
          <w:tcPr>
            <w:tcW w:w="752" w:type="dxa"/>
          </w:tcPr>
          <w:p>
            <w:pPr>
              <w:pStyle w:val="GesAbsatz"/>
              <w:rPr>
                <w:rFonts w:eastAsia="Arial Unicode MS" w:cs="Arial"/>
                <w:sz w:val="18"/>
                <w:szCs w:val="24"/>
              </w:rPr>
            </w:pPr>
            <w:r>
              <w:rPr>
                <w:rFonts w:cs="Arial"/>
                <w:sz w:val="18"/>
              </w:rPr>
              <w:t>69.460</w:t>
            </w:r>
          </w:p>
        </w:tc>
        <w:tc>
          <w:tcPr>
            <w:tcW w:w="693" w:type="dxa"/>
          </w:tcPr>
          <w:p>
            <w:pPr>
              <w:pStyle w:val="GesAbsatz"/>
              <w:rPr>
                <w:rFonts w:eastAsia="Arial Unicode MS" w:cs="Arial"/>
                <w:sz w:val="18"/>
                <w:szCs w:val="24"/>
              </w:rPr>
            </w:pPr>
            <w:r>
              <w:rPr>
                <w:rFonts w:cs="Arial"/>
                <w:sz w:val="18"/>
              </w:rPr>
              <w:t xml:space="preserve">10,1 </w:t>
            </w:r>
          </w:p>
        </w:tc>
        <w:tc>
          <w:tcPr>
            <w:tcW w:w="752" w:type="dxa"/>
          </w:tcPr>
          <w:p>
            <w:pPr>
              <w:pStyle w:val="GesAbsatz"/>
              <w:rPr>
                <w:rFonts w:eastAsia="Arial Unicode MS" w:cs="Arial"/>
                <w:sz w:val="18"/>
                <w:szCs w:val="24"/>
              </w:rPr>
            </w:pPr>
            <w:r>
              <w:rPr>
                <w:rFonts w:cs="Arial"/>
                <w:sz w:val="18"/>
              </w:rPr>
              <w:t>4.579</w:t>
            </w:r>
          </w:p>
        </w:tc>
        <w:tc>
          <w:tcPr>
            <w:tcW w:w="669" w:type="dxa"/>
          </w:tcPr>
          <w:p>
            <w:pPr>
              <w:pStyle w:val="GesAbsatz"/>
              <w:rPr>
                <w:rFonts w:eastAsia="Arial Unicode MS" w:cs="Arial"/>
                <w:sz w:val="18"/>
                <w:szCs w:val="24"/>
              </w:rPr>
            </w:pPr>
            <w:r>
              <w:rPr>
                <w:rFonts w:cs="Arial"/>
                <w:sz w:val="18"/>
              </w:rPr>
              <w:t xml:space="preserve">0,7 </w:t>
            </w:r>
          </w:p>
        </w:tc>
        <w:tc>
          <w:tcPr>
            <w:tcW w:w="752" w:type="dxa"/>
          </w:tcPr>
          <w:p>
            <w:pPr>
              <w:pStyle w:val="GesAbsatz"/>
              <w:rPr>
                <w:rFonts w:eastAsia="Arial Unicode MS" w:cs="Arial"/>
                <w:sz w:val="18"/>
                <w:szCs w:val="24"/>
              </w:rPr>
            </w:pPr>
            <w:r>
              <w:rPr>
                <w:rFonts w:cs="Arial"/>
                <w:sz w:val="18"/>
              </w:rPr>
              <w:t>6.189</w:t>
            </w:r>
          </w:p>
        </w:tc>
        <w:tc>
          <w:tcPr>
            <w:tcW w:w="675" w:type="dxa"/>
          </w:tcPr>
          <w:p>
            <w:pPr>
              <w:pStyle w:val="GesAbsatz"/>
              <w:rPr>
                <w:rFonts w:eastAsia="Arial Unicode MS" w:cs="Arial"/>
                <w:sz w:val="18"/>
                <w:szCs w:val="24"/>
              </w:rPr>
            </w:pPr>
            <w:r>
              <w:rPr>
                <w:rFonts w:cs="Arial"/>
                <w:sz w:val="18"/>
              </w:rPr>
              <w:t xml:space="preserve">0,9 </w:t>
            </w:r>
          </w:p>
        </w:tc>
        <w:tc>
          <w:tcPr>
            <w:tcW w:w="752" w:type="dxa"/>
          </w:tcPr>
          <w:p>
            <w:pPr>
              <w:pStyle w:val="GesAbsatz"/>
              <w:rPr>
                <w:rFonts w:eastAsia="Arial Unicode MS" w:cs="Arial"/>
                <w:sz w:val="18"/>
                <w:szCs w:val="24"/>
              </w:rPr>
            </w:pPr>
            <w:r>
              <w:rPr>
                <w:rFonts w:cs="Arial"/>
                <w:sz w:val="18"/>
              </w:rPr>
              <w:t>39.936</w:t>
            </w:r>
          </w:p>
        </w:tc>
        <w:tc>
          <w:tcPr>
            <w:tcW w:w="670" w:type="dxa"/>
          </w:tcPr>
          <w:p>
            <w:pPr>
              <w:pStyle w:val="GesAbsatz"/>
              <w:rPr>
                <w:rFonts w:eastAsia="Arial Unicode MS" w:cs="Arial"/>
                <w:sz w:val="18"/>
                <w:szCs w:val="24"/>
              </w:rPr>
            </w:pPr>
            <w:r>
              <w:rPr>
                <w:rFonts w:cs="Arial"/>
                <w:sz w:val="18"/>
              </w:rPr>
              <w:t xml:space="preserve">5,8 </w:t>
            </w:r>
          </w:p>
        </w:tc>
        <w:tc>
          <w:tcPr>
            <w:tcW w:w="863" w:type="dxa"/>
          </w:tcPr>
          <w:p>
            <w:pPr>
              <w:pStyle w:val="GesAbsatz"/>
              <w:rPr>
                <w:rFonts w:eastAsia="Arial Unicode MS" w:cs="Arial"/>
                <w:sz w:val="18"/>
                <w:szCs w:val="24"/>
              </w:rPr>
            </w:pPr>
            <w:r>
              <w:rPr>
                <w:rFonts w:cs="Arial"/>
                <w:sz w:val="18"/>
              </w:rPr>
              <w:t>452.334</w:t>
            </w:r>
          </w:p>
        </w:tc>
        <w:tc>
          <w:tcPr>
            <w:tcW w:w="689" w:type="dxa"/>
          </w:tcPr>
          <w:p>
            <w:pPr>
              <w:pStyle w:val="GesAbsatz"/>
              <w:rPr>
                <w:rFonts w:eastAsia="Arial Unicode MS" w:cs="Arial"/>
                <w:sz w:val="18"/>
                <w:szCs w:val="24"/>
              </w:rPr>
            </w:pPr>
            <w:r>
              <w:rPr>
                <w:rFonts w:cs="Arial"/>
                <w:sz w:val="18"/>
              </w:rPr>
              <w:t xml:space="preserve">65,5 </w:t>
            </w:r>
          </w:p>
        </w:tc>
        <w:tc>
          <w:tcPr>
            <w:tcW w:w="863" w:type="dxa"/>
          </w:tcPr>
          <w:p>
            <w:pPr>
              <w:pStyle w:val="GesAbsatz"/>
              <w:rPr>
                <w:rFonts w:eastAsia="Arial Unicode MS" w:cs="Arial"/>
                <w:sz w:val="18"/>
                <w:szCs w:val="24"/>
              </w:rPr>
            </w:pPr>
            <w:r>
              <w:rPr>
                <w:rFonts w:cs="Arial"/>
                <w:sz w:val="18"/>
              </w:rPr>
              <w:t xml:space="preserve">103.215 </w:t>
            </w:r>
          </w:p>
        </w:tc>
        <w:tc>
          <w:tcPr>
            <w:tcW w:w="680" w:type="dxa"/>
          </w:tcPr>
          <w:p>
            <w:pPr>
              <w:pStyle w:val="GesAbsatz"/>
              <w:rPr>
                <w:rFonts w:eastAsia="Arial Unicode MS" w:cs="Arial"/>
                <w:sz w:val="18"/>
                <w:szCs w:val="24"/>
              </w:rPr>
            </w:pPr>
            <w:r>
              <w:rPr>
                <w:rFonts w:cs="Arial"/>
                <w:sz w:val="18"/>
              </w:rPr>
              <w:t xml:space="preserve">14,9 </w:t>
            </w:r>
          </w:p>
        </w:tc>
        <w:tc>
          <w:tcPr>
            <w:tcW w:w="752" w:type="dxa"/>
          </w:tcPr>
          <w:p>
            <w:pPr>
              <w:pStyle w:val="GesAbsatz"/>
              <w:rPr>
                <w:rFonts w:eastAsia="Arial Unicode MS" w:cs="Arial"/>
                <w:sz w:val="18"/>
                <w:szCs w:val="24"/>
              </w:rPr>
            </w:pPr>
            <w:r>
              <w:rPr>
                <w:rFonts w:cs="Arial"/>
                <w:sz w:val="18"/>
              </w:rPr>
              <w:t xml:space="preserve">11.903 </w:t>
            </w:r>
          </w:p>
        </w:tc>
        <w:tc>
          <w:tcPr>
            <w:tcW w:w="667" w:type="dxa"/>
          </w:tcPr>
          <w:p>
            <w:pPr>
              <w:pStyle w:val="GesAbsatz"/>
              <w:rPr>
                <w:rFonts w:eastAsia="Arial Unicode MS" w:cs="Arial"/>
                <w:sz w:val="18"/>
                <w:szCs w:val="24"/>
              </w:rPr>
            </w:pPr>
            <w:r>
              <w:rPr>
                <w:rFonts w:cs="Arial"/>
                <w:sz w:val="18"/>
              </w:rPr>
              <w:t xml:space="preserve">1,7 </w:t>
            </w:r>
          </w:p>
        </w:tc>
        <w:tc>
          <w:tcPr>
            <w:tcW w:w="752" w:type="dxa"/>
          </w:tcPr>
          <w:p>
            <w:pPr>
              <w:pStyle w:val="GesAbsatz"/>
              <w:rPr>
                <w:rFonts w:eastAsia="Arial Unicode MS" w:cs="Arial"/>
                <w:szCs w:val="24"/>
              </w:rPr>
            </w:pPr>
            <w:r>
              <w:rPr>
                <w:rFonts w:cs="Arial"/>
              </w:rPr>
              <w:t>2.814</w:t>
            </w:r>
          </w:p>
        </w:tc>
        <w:tc>
          <w:tcPr>
            <w:tcW w:w="663" w:type="dxa"/>
          </w:tcPr>
          <w:p>
            <w:pPr>
              <w:pStyle w:val="GesAbsatz"/>
              <w:rPr>
                <w:rFonts w:eastAsia="Arial Unicode MS" w:cs="Arial"/>
                <w:szCs w:val="24"/>
              </w:rPr>
            </w:pPr>
            <w:r>
              <w:rPr>
                <w:rFonts w:cs="Arial"/>
              </w:rPr>
              <w:t>0,4</w:t>
            </w:r>
          </w:p>
        </w:tc>
      </w:tr>
      <w:tr>
        <w:tc>
          <w:tcPr>
            <w:tcW w:w="1194" w:type="dxa"/>
          </w:tcPr>
          <w:p>
            <w:pPr>
              <w:pStyle w:val="GesAbsatz"/>
              <w:rPr>
                <w:rFonts w:eastAsia="Arial Unicode MS" w:cs="Arial"/>
                <w:sz w:val="18"/>
                <w:szCs w:val="24"/>
              </w:rPr>
            </w:pPr>
            <w:r>
              <w:rPr>
                <w:rFonts w:cs="Arial"/>
                <w:b/>
                <w:bCs/>
                <w:sz w:val="18"/>
              </w:rPr>
              <w:t xml:space="preserve">NRW </w:t>
            </w:r>
          </w:p>
        </w:tc>
        <w:tc>
          <w:tcPr>
            <w:tcW w:w="958" w:type="dxa"/>
            <w:vAlign w:val="bottom"/>
          </w:tcPr>
          <w:p>
            <w:pPr>
              <w:pStyle w:val="GesAbsatz"/>
              <w:rPr>
                <w:rFonts w:eastAsia="Arial Unicode MS" w:cs="Arial"/>
                <w:sz w:val="18"/>
                <w:szCs w:val="24"/>
              </w:rPr>
            </w:pPr>
            <w:r>
              <w:rPr>
                <w:rFonts w:cs="Arial"/>
                <w:sz w:val="18"/>
              </w:rPr>
              <w:t>527</w:t>
            </w:r>
          </w:p>
        </w:tc>
        <w:tc>
          <w:tcPr>
            <w:tcW w:w="916" w:type="dxa"/>
            <w:vAlign w:val="bottom"/>
          </w:tcPr>
          <w:p>
            <w:pPr>
              <w:pStyle w:val="GesAbsatz"/>
              <w:rPr>
                <w:rFonts w:eastAsia="Arial Unicode MS" w:cs="Arial"/>
                <w:sz w:val="18"/>
                <w:szCs w:val="24"/>
              </w:rPr>
            </w:pPr>
            <w:r>
              <w:rPr>
                <w:rFonts w:cs="Arial"/>
                <w:sz w:val="18"/>
              </w:rPr>
              <w:t>3.407.872</w:t>
            </w:r>
          </w:p>
        </w:tc>
        <w:tc>
          <w:tcPr>
            <w:tcW w:w="752" w:type="dxa"/>
            <w:vAlign w:val="bottom"/>
          </w:tcPr>
          <w:p>
            <w:pPr>
              <w:pStyle w:val="GesAbsatz"/>
              <w:rPr>
                <w:rFonts w:eastAsia="Arial Unicode MS" w:cs="Arial"/>
                <w:sz w:val="18"/>
                <w:szCs w:val="24"/>
              </w:rPr>
            </w:pPr>
            <w:r>
              <w:rPr>
                <w:rFonts w:cs="Arial"/>
                <w:sz w:val="18"/>
              </w:rPr>
              <w:t xml:space="preserve">403.313 </w:t>
            </w:r>
          </w:p>
        </w:tc>
        <w:tc>
          <w:tcPr>
            <w:tcW w:w="693" w:type="dxa"/>
            <w:vAlign w:val="bottom"/>
          </w:tcPr>
          <w:p>
            <w:pPr>
              <w:pStyle w:val="GesAbsatz"/>
              <w:rPr>
                <w:rFonts w:eastAsia="Arial Unicode MS" w:cs="Arial"/>
                <w:sz w:val="18"/>
                <w:szCs w:val="24"/>
              </w:rPr>
            </w:pPr>
            <w:r>
              <w:rPr>
                <w:rFonts w:cs="Arial"/>
                <w:sz w:val="18"/>
              </w:rPr>
              <w:t xml:space="preserve">11,8 </w:t>
            </w:r>
          </w:p>
        </w:tc>
        <w:tc>
          <w:tcPr>
            <w:tcW w:w="752" w:type="dxa"/>
            <w:vAlign w:val="bottom"/>
          </w:tcPr>
          <w:p>
            <w:pPr>
              <w:pStyle w:val="GesAbsatz"/>
              <w:rPr>
                <w:rFonts w:eastAsia="Arial Unicode MS" w:cs="Arial"/>
                <w:sz w:val="18"/>
                <w:szCs w:val="24"/>
              </w:rPr>
            </w:pPr>
            <w:r>
              <w:rPr>
                <w:rFonts w:cs="Arial"/>
                <w:sz w:val="18"/>
              </w:rPr>
              <w:t xml:space="preserve">35.776 </w:t>
            </w:r>
          </w:p>
        </w:tc>
        <w:tc>
          <w:tcPr>
            <w:tcW w:w="669" w:type="dxa"/>
            <w:vAlign w:val="bottom"/>
          </w:tcPr>
          <w:p>
            <w:pPr>
              <w:pStyle w:val="GesAbsatz"/>
              <w:rPr>
                <w:rFonts w:eastAsia="Arial Unicode MS" w:cs="Arial"/>
                <w:sz w:val="18"/>
                <w:szCs w:val="24"/>
              </w:rPr>
            </w:pPr>
            <w:r>
              <w:rPr>
                <w:rFonts w:cs="Arial"/>
                <w:sz w:val="18"/>
              </w:rPr>
              <w:t xml:space="preserve">1,0 </w:t>
            </w:r>
          </w:p>
        </w:tc>
        <w:tc>
          <w:tcPr>
            <w:tcW w:w="752" w:type="dxa"/>
            <w:vAlign w:val="bottom"/>
          </w:tcPr>
          <w:p>
            <w:pPr>
              <w:pStyle w:val="GesAbsatz"/>
              <w:rPr>
                <w:rFonts w:eastAsia="Arial Unicode MS" w:cs="Arial"/>
                <w:sz w:val="18"/>
                <w:szCs w:val="24"/>
              </w:rPr>
            </w:pPr>
            <w:r>
              <w:rPr>
                <w:rFonts w:cs="Arial"/>
                <w:sz w:val="18"/>
              </w:rPr>
              <w:t xml:space="preserve">41.094 </w:t>
            </w:r>
          </w:p>
        </w:tc>
        <w:tc>
          <w:tcPr>
            <w:tcW w:w="675" w:type="dxa"/>
            <w:vAlign w:val="bottom"/>
          </w:tcPr>
          <w:p>
            <w:pPr>
              <w:pStyle w:val="GesAbsatz"/>
              <w:rPr>
                <w:rFonts w:eastAsia="Arial Unicode MS" w:cs="Arial"/>
                <w:sz w:val="18"/>
                <w:szCs w:val="24"/>
              </w:rPr>
            </w:pPr>
            <w:r>
              <w:rPr>
                <w:rFonts w:cs="Arial"/>
                <w:sz w:val="18"/>
              </w:rPr>
              <w:t xml:space="preserve">1,2 </w:t>
            </w:r>
          </w:p>
        </w:tc>
        <w:tc>
          <w:tcPr>
            <w:tcW w:w="752" w:type="dxa"/>
            <w:vAlign w:val="bottom"/>
          </w:tcPr>
          <w:p>
            <w:pPr>
              <w:pStyle w:val="GesAbsatz"/>
              <w:rPr>
                <w:rFonts w:eastAsia="Arial Unicode MS" w:cs="Arial"/>
                <w:sz w:val="18"/>
                <w:szCs w:val="24"/>
              </w:rPr>
            </w:pPr>
            <w:r>
              <w:rPr>
                <w:rFonts w:cs="Arial"/>
                <w:sz w:val="18"/>
              </w:rPr>
              <w:t xml:space="preserve">222.730 </w:t>
            </w:r>
          </w:p>
        </w:tc>
        <w:tc>
          <w:tcPr>
            <w:tcW w:w="670" w:type="dxa"/>
          </w:tcPr>
          <w:p>
            <w:pPr>
              <w:pStyle w:val="GesAbsatz"/>
              <w:rPr>
                <w:rFonts w:eastAsia="Arial Unicode MS" w:cs="Arial"/>
                <w:sz w:val="18"/>
                <w:szCs w:val="24"/>
              </w:rPr>
            </w:pPr>
            <w:r>
              <w:rPr>
                <w:rFonts w:cs="Arial"/>
                <w:sz w:val="18"/>
              </w:rPr>
              <w:t xml:space="preserve">6,5 </w:t>
            </w:r>
          </w:p>
        </w:tc>
        <w:tc>
          <w:tcPr>
            <w:tcW w:w="863" w:type="dxa"/>
          </w:tcPr>
          <w:p>
            <w:pPr>
              <w:pStyle w:val="GesAbsatz"/>
              <w:rPr>
                <w:rFonts w:eastAsia="Arial Unicode MS" w:cs="Arial"/>
                <w:sz w:val="18"/>
                <w:szCs w:val="24"/>
              </w:rPr>
            </w:pPr>
            <w:r>
              <w:rPr>
                <w:rFonts w:cs="Arial"/>
                <w:sz w:val="18"/>
              </w:rPr>
              <w:t xml:space="preserve">1.765.106 </w:t>
            </w:r>
          </w:p>
        </w:tc>
        <w:tc>
          <w:tcPr>
            <w:tcW w:w="689" w:type="dxa"/>
          </w:tcPr>
          <w:p>
            <w:pPr>
              <w:pStyle w:val="GesAbsatz"/>
              <w:rPr>
                <w:rFonts w:eastAsia="Arial Unicode MS" w:cs="Arial"/>
                <w:sz w:val="18"/>
                <w:szCs w:val="24"/>
              </w:rPr>
            </w:pPr>
            <w:r>
              <w:rPr>
                <w:rFonts w:cs="Arial"/>
                <w:sz w:val="18"/>
              </w:rPr>
              <w:t xml:space="preserve">51,8 </w:t>
            </w:r>
          </w:p>
        </w:tc>
        <w:tc>
          <w:tcPr>
            <w:tcW w:w="863" w:type="dxa"/>
          </w:tcPr>
          <w:p>
            <w:pPr>
              <w:pStyle w:val="GesAbsatz"/>
              <w:rPr>
                <w:rFonts w:eastAsia="Arial Unicode MS" w:cs="Arial"/>
                <w:sz w:val="18"/>
                <w:szCs w:val="24"/>
              </w:rPr>
            </w:pPr>
            <w:r>
              <w:rPr>
                <w:rFonts w:cs="Arial"/>
                <w:sz w:val="18"/>
              </w:rPr>
              <w:t xml:space="preserve">842.482 </w:t>
            </w:r>
          </w:p>
        </w:tc>
        <w:tc>
          <w:tcPr>
            <w:tcW w:w="680" w:type="dxa"/>
          </w:tcPr>
          <w:p>
            <w:pPr>
              <w:pStyle w:val="GesAbsatz"/>
              <w:rPr>
                <w:rFonts w:eastAsia="Arial Unicode MS" w:cs="Arial"/>
                <w:sz w:val="18"/>
                <w:szCs w:val="24"/>
              </w:rPr>
            </w:pPr>
            <w:r>
              <w:rPr>
                <w:rFonts w:cs="Arial"/>
                <w:sz w:val="18"/>
              </w:rPr>
              <w:t xml:space="preserve">24,7 </w:t>
            </w:r>
          </w:p>
        </w:tc>
        <w:tc>
          <w:tcPr>
            <w:tcW w:w="752" w:type="dxa"/>
          </w:tcPr>
          <w:p>
            <w:pPr>
              <w:pStyle w:val="GesAbsatz"/>
              <w:rPr>
                <w:rFonts w:eastAsia="Arial Unicode MS" w:cs="Arial"/>
                <w:sz w:val="18"/>
                <w:szCs w:val="24"/>
              </w:rPr>
            </w:pPr>
            <w:r>
              <w:rPr>
                <w:rFonts w:cs="Arial"/>
                <w:sz w:val="18"/>
              </w:rPr>
              <w:t xml:space="preserve">60.707 </w:t>
            </w:r>
          </w:p>
        </w:tc>
        <w:tc>
          <w:tcPr>
            <w:tcW w:w="667" w:type="dxa"/>
          </w:tcPr>
          <w:p>
            <w:pPr>
              <w:pStyle w:val="GesAbsatz"/>
              <w:rPr>
                <w:rFonts w:eastAsia="Arial Unicode MS" w:cs="Arial"/>
                <w:sz w:val="18"/>
                <w:szCs w:val="24"/>
              </w:rPr>
            </w:pPr>
            <w:r>
              <w:rPr>
                <w:rFonts w:cs="Arial"/>
                <w:sz w:val="18"/>
              </w:rPr>
              <w:t xml:space="preserve">1,8 </w:t>
            </w:r>
          </w:p>
        </w:tc>
        <w:tc>
          <w:tcPr>
            <w:tcW w:w="752" w:type="dxa"/>
          </w:tcPr>
          <w:p>
            <w:pPr>
              <w:pStyle w:val="GesAbsatz"/>
              <w:rPr>
                <w:rFonts w:eastAsia="Arial Unicode MS" w:cs="Arial"/>
                <w:szCs w:val="24"/>
              </w:rPr>
            </w:pPr>
            <w:r>
              <w:rPr>
                <w:rFonts w:cs="Arial"/>
              </w:rPr>
              <w:t xml:space="preserve">36.664 </w:t>
            </w:r>
          </w:p>
        </w:tc>
        <w:tc>
          <w:tcPr>
            <w:tcW w:w="663" w:type="dxa"/>
          </w:tcPr>
          <w:p>
            <w:pPr>
              <w:pStyle w:val="GesAbsatz"/>
              <w:rPr>
                <w:rFonts w:eastAsia="Arial Unicode MS" w:cs="Arial"/>
                <w:szCs w:val="24"/>
              </w:rPr>
            </w:pPr>
            <w:r>
              <w:rPr>
                <w:rFonts w:cs="Arial"/>
              </w:rPr>
              <w:t>1,1</w:t>
            </w:r>
          </w:p>
        </w:tc>
      </w:tr>
    </w:tbl>
    <w:p>
      <w:pPr>
        <w:pStyle w:val="GesAbsatz"/>
        <w:rPr>
          <w:rFonts w:eastAsia="Arial Unicode MS" w:cs="Arial"/>
          <w:szCs w:val="24"/>
        </w:rPr>
      </w:pPr>
    </w:p>
    <w:p>
      <w:pPr>
        <w:pStyle w:val="GesAbsatz"/>
        <w:rPr>
          <w:rFonts w:cs="Arial"/>
        </w:rPr>
      </w:pPr>
      <w:r>
        <w:rPr>
          <w:rFonts w:cs="Arial"/>
          <w:b/>
          <w:bCs/>
        </w:rPr>
        <w:t>Tabelle 14: Flächennutzung in landwirtschaftlichen Bereichen in ha, LDS NRW 1998 a</w:t>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0"/>
        <w:gridCol w:w="1147"/>
        <w:gridCol w:w="1134"/>
        <w:gridCol w:w="1134"/>
        <w:gridCol w:w="992"/>
        <w:gridCol w:w="847"/>
        <w:gridCol w:w="1051"/>
        <w:gridCol w:w="1051"/>
        <w:gridCol w:w="1051"/>
        <w:gridCol w:w="1051"/>
        <w:gridCol w:w="1051"/>
        <w:gridCol w:w="1051"/>
        <w:gridCol w:w="1051"/>
      </w:tblGrid>
      <w:tr>
        <w:tc>
          <w:tcPr>
            <w:tcW w:w="1050" w:type="dxa"/>
          </w:tcPr>
          <w:p>
            <w:pPr>
              <w:pStyle w:val="GesAbsatz"/>
              <w:rPr>
                <w:rFonts w:eastAsia="Arial Unicode MS" w:cs="Arial"/>
                <w:sz w:val="18"/>
                <w:szCs w:val="24"/>
              </w:rPr>
            </w:pPr>
            <w:r>
              <w:rPr>
                <w:rFonts w:cs="Arial"/>
                <w:b/>
                <w:bCs/>
                <w:sz w:val="18"/>
                <w:szCs w:val="15"/>
              </w:rPr>
              <w:t>Regierungsbezirk</w:t>
            </w:r>
          </w:p>
        </w:tc>
        <w:tc>
          <w:tcPr>
            <w:tcW w:w="1147" w:type="dxa"/>
          </w:tcPr>
          <w:p>
            <w:pPr>
              <w:pStyle w:val="GesAbsatz"/>
              <w:rPr>
                <w:rFonts w:eastAsia="Arial Unicode MS" w:cs="Arial"/>
                <w:sz w:val="18"/>
                <w:szCs w:val="24"/>
              </w:rPr>
            </w:pPr>
            <w:r>
              <w:rPr>
                <w:rFonts w:cs="Arial"/>
                <w:b/>
                <w:bCs/>
                <w:sz w:val="18"/>
                <w:szCs w:val="15"/>
              </w:rPr>
              <w:t>Betriebs-</w:t>
            </w:r>
            <w:r>
              <w:rPr>
                <w:rFonts w:cs="Arial"/>
                <w:b/>
                <w:bCs/>
                <w:sz w:val="18"/>
                <w:szCs w:val="15"/>
              </w:rPr>
              <w:br/>
              <w:t>fläche insges.</w:t>
            </w:r>
          </w:p>
        </w:tc>
        <w:tc>
          <w:tcPr>
            <w:tcW w:w="1134" w:type="dxa"/>
          </w:tcPr>
          <w:p>
            <w:pPr>
              <w:pStyle w:val="GesAbsatz"/>
              <w:rPr>
                <w:rFonts w:eastAsia="Arial Unicode MS" w:cs="Arial"/>
                <w:sz w:val="18"/>
                <w:szCs w:val="24"/>
              </w:rPr>
            </w:pPr>
            <w:r>
              <w:rPr>
                <w:rFonts w:cs="Arial"/>
                <w:b/>
                <w:bCs/>
                <w:sz w:val="18"/>
                <w:szCs w:val="15"/>
              </w:rPr>
              <w:t>Landw. genutzte Fläche insges.</w:t>
            </w:r>
          </w:p>
        </w:tc>
        <w:tc>
          <w:tcPr>
            <w:tcW w:w="1134" w:type="dxa"/>
          </w:tcPr>
          <w:p>
            <w:pPr>
              <w:pStyle w:val="GesAbsatz"/>
              <w:rPr>
                <w:rFonts w:eastAsia="Arial Unicode MS" w:cs="Arial"/>
                <w:sz w:val="18"/>
                <w:szCs w:val="24"/>
              </w:rPr>
            </w:pPr>
            <w:r>
              <w:rPr>
                <w:rFonts w:cs="Arial"/>
                <w:b/>
                <w:bCs/>
                <w:sz w:val="18"/>
                <w:szCs w:val="15"/>
              </w:rPr>
              <w:t>Ackerland</w:t>
            </w:r>
          </w:p>
        </w:tc>
        <w:tc>
          <w:tcPr>
            <w:tcW w:w="992" w:type="dxa"/>
          </w:tcPr>
          <w:p>
            <w:pPr>
              <w:pStyle w:val="GesAbsatz"/>
              <w:rPr>
                <w:rFonts w:eastAsia="Arial Unicode MS" w:cs="Arial"/>
                <w:sz w:val="18"/>
                <w:szCs w:val="24"/>
              </w:rPr>
            </w:pPr>
            <w:r>
              <w:rPr>
                <w:rFonts w:cs="Arial"/>
                <w:b/>
                <w:bCs/>
                <w:sz w:val="18"/>
                <w:szCs w:val="15"/>
              </w:rPr>
              <w:t>Obst-anlage</w:t>
            </w:r>
          </w:p>
        </w:tc>
        <w:tc>
          <w:tcPr>
            <w:tcW w:w="847" w:type="dxa"/>
          </w:tcPr>
          <w:p>
            <w:pPr>
              <w:pStyle w:val="GesAbsatz"/>
              <w:rPr>
                <w:rFonts w:eastAsia="Arial Unicode MS" w:cs="Arial"/>
                <w:sz w:val="18"/>
                <w:szCs w:val="24"/>
              </w:rPr>
            </w:pPr>
            <w:r>
              <w:rPr>
                <w:rFonts w:cs="Arial"/>
                <w:b/>
                <w:bCs/>
                <w:sz w:val="18"/>
                <w:szCs w:val="15"/>
              </w:rPr>
              <w:t>Reb-</w:t>
            </w:r>
            <w:r>
              <w:rPr>
                <w:rFonts w:cs="Arial"/>
                <w:b/>
                <w:bCs/>
                <w:sz w:val="18"/>
                <w:szCs w:val="15"/>
              </w:rPr>
              <w:br/>
              <w:t>fläche</w:t>
            </w:r>
          </w:p>
        </w:tc>
        <w:tc>
          <w:tcPr>
            <w:tcW w:w="1051" w:type="dxa"/>
          </w:tcPr>
          <w:p>
            <w:pPr>
              <w:pStyle w:val="GesAbsatz"/>
              <w:rPr>
                <w:rFonts w:eastAsia="Arial Unicode MS" w:cs="Arial"/>
                <w:sz w:val="18"/>
                <w:szCs w:val="24"/>
              </w:rPr>
            </w:pPr>
            <w:r>
              <w:rPr>
                <w:rFonts w:cs="Arial"/>
                <w:b/>
                <w:bCs/>
                <w:sz w:val="18"/>
                <w:szCs w:val="15"/>
              </w:rPr>
              <w:t>Baum-</w:t>
            </w:r>
            <w:r>
              <w:rPr>
                <w:rFonts w:cs="Arial"/>
                <w:b/>
                <w:bCs/>
                <w:sz w:val="18"/>
                <w:szCs w:val="15"/>
              </w:rPr>
              <w:br/>
              <w:t>schul-</w:t>
            </w:r>
            <w:r>
              <w:rPr>
                <w:rFonts w:cs="Arial"/>
                <w:b/>
                <w:bCs/>
                <w:sz w:val="18"/>
                <w:szCs w:val="15"/>
              </w:rPr>
              <w:br/>
              <w:t>fläche</w:t>
            </w:r>
          </w:p>
        </w:tc>
        <w:tc>
          <w:tcPr>
            <w:tcW w:w="1051" w:type="dxa"/>
          </w:tcPr>
          <w:p>
            <w:pPr>
              <w:pStyle w:val="GesAbsatz"/>
              <w:rPr>
                <w:rFonts w:eastAsia="Arial Unicode MS" w:cs="Arial"/>
                <w:sz w:val="18"/>
                <w:szCs w:val="24"/>
              </w:rPr>
            </w:pPr>
            <w:r>
              <w:rPr>
                <w:rFonts w:cs="Arial"/>
                <w:b/>
                <w:bCs/>
                <w:sz w:val="18"/>
                <w:szCs w:val="15"/>
              </w:rPr>
              <w:t>Dauer-</w:t>
            </w:r>
            <w:r>
              <w:rPr>
                <w:rFonts w:cs="Arial"/>
                <w:b/>
                <w:bCs/>
                <w:sz w:val="18"/>
                <w:szCs w:val="15"/>
              </w:rPr>
              <w:br/>
              <w:t>grünland</w:t>
            </w:r>
          </w:p>
        </w:tc>
        <w:tc>
          <w:tcPr>
            <w:tcW w:w="1051" w:type="dxa"/>
          </w:tcPr>
          <w:p>
            <w:pPr>
              <w:pStyle w:val="GesAbsatz"/>
              <w:rPr>
                <w:rFonts w:eastAsia="Arial Unicode MS" w:cs="Arial"/>
                <w:sz w:val="18"/>
                <w:szCs w:val="24"/>
              </w:rPr>
            </w:pPr>
            <w:r>
              <w:rPr>
                <w:rFonts w:cs="Arial"/>
                <w:b/>
                <w:bCs/>
                <w:sz w:val="18"/>
                <w:szCs w:val="15"/>
              </w:rPr>
              <w:t>Übrige Landwirt-</w:t>
            </w:r>
            <w:r>
              <w:rPr>
                <w:rFonts w:cs="Arial"/>
                <w:b/>
                <w:bCs/>
                <w:sz w:val="18"/>
                <w:szCs w:val="15"/>
              </w:rPr>
              <w:br/>
              <w:t>schafts-</w:t>
            </w:r>
            <w:r>
              <w:rPr>
                <w:rFonts w:cs="Arial"/>
                <w:b/>
                <w:bCs/>
                <w:sz w:val="18"/>
                <w:szCs w:val="15"/>
              </w:rPr>
              <w:br/>
              <w:t>fläche</w:t>
            </w:r>
          </w:p>
        </w:tc>
        <w:tc>
          <w:tcPr>
            <w:tcW w:w="1051" w:type="dxa"/>
          </w:tcPr>
          <w:p>
            <w:pPr>
              <w:pStyle w:val="GesAbsatz"/>
              <w:rPr>
                <w:rFonts w:eastAsia="Arial Unicode MS" w:cs="Arial"/>
                <w:sz w:val="18"/>
                <w:szCs w:val="24"/>
              </w:rPr>
            </w:pPr>
            <w:r>
              <w:rPr>
                <w:rFonts w:cs="Arial"/>
                <w:b/>
                <w:bCs/>
                <w:sz w:val="18"/>
                <w:szCs w:val="15"/>
              </w:rPr>
              <w:t>Wald</w:t>
            </w:r>
          </w:p>
        </w:tc>
        <w:tc>
          <w:tcPr>
            <w:tcW w:w="1051" w:type="dxa"/>
          </w:tcPr>
          <w:p>
            <w:pPr>
              <w:pStyle w:val="GesAbsatz"/>
              <w:rPr>
                <w:rFonts w:eastAsia="Arial Unicode MS" w:cs="Arial"/>
                <w:sz w:val="18"/>
                <w:szCs w:val="24"/>
              </w:rPr>
            </w:pPr>
            <w:r>
              <w:rPr>
                <w:rFonts w:cs="Arial"/>
                <w:b/>
                <w:bCs/>
                <w:sz w:val="18"/>
                <w:szCs w:val="15"/>
              </w:rPr>
              <w:t>Nicht mehr genutzte Landwirt-</w:t>
            </w:r>
            <w:r>
              <w:rPr>
                <w:rFonts w:cs="Arial"/>
                <w:b/>
                <w:bCs/>
                <w:sz w:val="18"/>
                <w:szCs w:val="15"/>
              </w:rPr>
              <w:br/>
              <w:t>schafts-</w:t>
            </w:r>
            <w:r>
              <w:rPr>
                <w:rFonts w:cs="Arial"/>
                <w:b/>
                <w:bCs/>
                <w:sz w:val="18"/>
                <w:szCs w:val="15"/>
              </w:rPr>
              <w:br/>
              <w:t>fläche</w:t>
            </w:r>
          </w:p>
        </w:tc>
        <w:tc>
          <w:tcPr>
            <w:tcW w:w="1051" w:type="dxa"/>
          </w:tcPr>
          <w:p>
            <w:pPr>
              <w:pStyle w:val="GesAbsatz"/>
              <w:rPr>
                <w:rFonts w:eastAsia="Arial Unicode MS" w:cs="Arial"/>
                <w:sz w:val="18"/>
                <w:szCs w:val="24"/>
              </w:rPr>
            </w:pPr>
            <w:r>
              <w:rPr>
                <w:rFonts w:cs="Arial"/>
                <w:b/>
                <w:bCs/>
                <w:sz w:val="18"/>
                <w:szCs w:val="15"/>
              </w:rPr>
              <w:t>Andere Betriebs-</w:t>
            </w:r>
            <w:r>
              <w:rPr>
                <w:rFonts w:cs="Arial"/>
                <w:b/>
                <w:bCs/>
                <w:sz w:val="18"/>
                <w:szCs w:val="15"/>
              </w:rPr>
              <w:br/>
              <w:t>flächen</w:t>
            </w:r>
          </w:p>
        </w:tc>
        <w:tc>
          <w:tcPr>
            <w:tcW w:w="1051" w:type="dxa"/>
          </w:tcPr>
          <w:p>
            <w:pPr>
              <w:pStyle w:val="GesAbsatz"/>
              <w:rPr>
                <w:rFonts w:eastAsia="Arial Unicode MS" w:cs="Arial"/>
                <w:sz w:val="18"/>
                <w:szCs w:val="24"/>
              </w:rPr>
            </w:pPr>
            <w:r>
              <w:rPr>
                <w:rFonts w:cs="Arial"/>
                <w:b/>
                <w:bCs/>
                <w:sz w:val="18"/>
                <w:szCs w:val="15"/>
              </w:rPr>
              <w:t>Großvieh-</w:t>
            </w:r>
            <w:r>
              <w:rPr>
                <w:rFonts w:cs="Arial"/>
                <w:b/>
                <w:bCs/>
                <w:sz w:val="18"/>
                <w:szCs w:val="15"/>
              </w:rPr>
              <w:br/>
              <w:t>einheiten je ha</w:t>
            </w:r>
            <w:r>
              <w:rPr>
                <w:rFonts w:cs="Arial"/>
                <w:b/>
                <w:bCs/>
                <w:sz w:val="18"/>
                <w:szCs w:val="15"/>
                <w:vertAlign w:val="superscript"/>
              </w:rPr>
              <w:t>1</w:t>
            </w:r>
          </w:p>
        </w:tc>
      </w:tr>
      <w:tr>
        <w:tc>
          <w:tcPr>
            <w:tcW w:w="1050" w:type="dxa"/>
          </w:tcPr>
          <w:p>
            <w:pPr>
              <w:pStyle w:val="GesAbsatz"/>
              <w:rPr>
                <w:rFonts w:eastAsia="Arial Unicode MS" w:cs="Arial"/>
                <w:sz w:val="18"/>
                <w:szCs w:val="24"/>
              </w:rPr>
            </w:pPr>
            <w:r>
              <w:rPr>
                <w:rFonts w:cs="Arial"/>
                <w:b/>
                <w:bCs/>
                <w:sz w:val="18"/>
              </w:rPr>
              <w:t>Arnsberg</w:t>
            </w:r>
          </w:p>
        </w:tc>
        <w:tc>
          <w:tcPr>
            <w:tcW w:w="1147" w:type="dxa"/>
          </w:tcPr>
          <w:p>
            <w:pPr>
              <w:pStyle w:val="GesAbsatz"/>
              <w:tabs>
                <w:tab w:val="clear" w:pos="425"/>
                <w:tab w:val="decimal" w:pos="935"/>
              </w:tabs>
              <w:rPr>
                <w:rFonts w:eastAsia="Arial Unicode MS" w:cs="Arial"/>
                <w:sz w:val="18"/>
                <w:szCs w:val="24"/>
              </w:rPr>
            </w:pPr>
            <w:r>
              <w:rPr>
                <w:rFonts w:cs="Arial"/>
                <w:sz w:val="18"/>
              </w:rPr>
              <w:t>554.430</w:t>
            </w:r>
          </w:p>
        </w:tc>
        <w:tc>
          <w:tcPr>
            <w:tcW w:w="1134" w:type="dxa"/>
          </w:tcPr>
          <w:p>
            <w:pPr>
              <w:pStyle w:val="GesAbsatz"/>
              <w:tabs>
                <w:tab w:val="clear" w:pos="425"/>
                <w:tab w:val="decimal" w:pos="935"/>
              </w:tabs>
              <w:rPr>
                <w:rFonts w:eastAsia="Arial Unicode MS" w:cs="Arial"/>
                <w:sz w:val="18"/>
                <w:szCs w:val="24"/>
              </w:rPr>
            </w:pPr>
            <w:r>
              <w:rPr>
                <w:rFonts w:cs="Arial"/>
                <w:sz w:val="18"/>
              </w:rPr>
              <w:t>255.874</w:t>
            </w:r>
          </w:p>
        </w:tc>
        <w:tc>
          <w:tcPr>
            <w:tcW w:w="1134" w:type="dxa"/>
          </w:tcPr>
          <w:p>
            <w:pPr>
              <w:pStyle w:val="GesAbsatz"/>
              <w:tabs>
                <w:tab w:val="clear" w:pos="425"/>
                <w:tab w:val="decimal" w:pos="935"/>
              </w:tabs>
              <w:rPr>
                <w:rFonts w:eastAsia="Arial Unicode MS" w:cs="Arial"/>
                <w:sz w:val="18"/>
                <w:szCs w:val="24"/>
              </w:rPr>
            </w:pPr>
            <w:r>
              <w:rPr>
                <w:rFonts w:cs="Arial"/>
                <w:sz w:val="18"/>
              </w:rPr>
              <w:t>139.328</w:t>
            </w:r>
          </w:p>
        </w:tc>
        <w:tc>
          <w:tcPr>
            <w:tcW w:w="992" w:type="dxa"/>
          </w:tcPr>
          <w:p>
            <w:pPr>
              <w:pStyle w:val="GesAbsatz"/>
              <w:tabs>
                <w:tab w:val="clear" w:pos="425"/>
                <w:tab w:val="decimal" w:pos="935"/>
              </w:tabs>
              <w:rPr>
                <w:rFonts w:eastAsia="Arial Unicode MS" w:cs="Arial"/>
                <w:sz w:val="18"/>
                <w:szCs w:val="24"/>
              </w:rPr>
            </w:pPr>
            <w:r>
              <w:rPr>
                <w:rFonts w:cs="Arial"/>
                <w:sz w:val="18"/>
              </w:rPr>
              <w:t>110</w:t>
            </w:r>
          </w:p>
        </w:tc>
        <w:tc>
          <w:tcPr>
            <w:tcW w:w="847" w:type="dxa"/>
          </w:tcPr>
          <w:p>
            <w:pPr>
              <w:pStyle w:val="GesAbsatz"/>
              <w:tabs>
                <w:tab w:val="clear" w:pos="425"/>
                <w:tab w:val="decimal" w:pos="935"/>
              </w:tabs>
              <w:rPr>
                <w:rFonts w:eastAsia="Arial Unicode MS" w:cs="Arial"/>
                <w:sz w:val="18"/>
                <w:szCs w:val="24"/>
              </w:rPr>
            </w:pPr>
            <w:r>
              <w:rPr>
                <w:rFonts w:cs="Arial"/>
                <w:sz w:val="18"/>
              </w:rPr>
              <w:t>0</w:t>
            </w:r>
          </w:p>
        </w:tc>
        <w:tc>
          <w:tcPr>
            <w:tcW w:w="1051" w:type="dxa"/>
          </w:tcPr>
          <w:p>
            <w:pPr>
              <w:pStyle w:val="GesAbsatz"/>
              <w:tabs>
                <w:tab w:val="clear" w:pos="425"/>
                <w:tab w:val="decimal" w:pos="935"/>
              </w:tabs>
              <w:rPr>
                <w:rFonts w:eastAsia="Arial Unicode MS" w:cs="Arial"/>
                <w:sz w:val="18"/>
                <w:szCs w:val="24"/>
              </w:rPr>
            </w:pPr>
            <w:r>
              <w:rPr>
                <w:rFonts w:cs="Arial"/>
                <w:sz w:val="18"/>
              </w:rPr>
              <w:t>797</w:t>
            </w:r>
          </w:p>
        </w:tc>
        <w:tc>
          <w:tcPr>
            <w:tcW w:w="1051" w:type="dxa"/>
          </w:tcPr>
          <w:p>
            <w:pPr>
              <w:pStyle w:val="GesAbsatz"/>
              <w:tabs>
                <w:tab w:val="clear" w:pos="425"/>
                <w:tab w:val="decimal" w:pos="935"/>
              </w:tabs>
              <w:rPr>
                <w:rFonts w:eastAsia="Arial Unicode MS" w:cs="Arial"/>
                <w:sz w:val="18"/>
                <w:szCs w:val="24"/>
              </w:rPr>
            </w:pPr>
            <w:r>
              <w:rPr>
                <w:rFonts w:cs="Arial"/>
                <w:sz w:val="18"/>
              </w:rPr>
              <w:t>112.740</w:t>
            </w:r>
          </w:p>
        </w:tc>
        <w:tc>
          <w:tcPr>
            <w:tcW w:w="1051" w:type="dxa"/>
          </w:tcPr>
          <w:p>
            <w:pPr>
              <w:pStyle w:val="GesAbsatz"/>
              <w:tabs>
                <w:tab w:val="clear" w:pos="425"/>
                <w:tab w:val="decimal" w:pos="935"/>
              </w:tabs>
              <w:rPr>
                <w:rFonts w:eastAsia="Arial Unicode MS" w:cs="Arial"/>
                <w:sz w:val="18"/>
                <w:szCs w:val="24"/>
              </w:rPr>
            </w:pPr>
            <w:r>
              <w:rPr>
                <w:rFonts w:cs="Arial"/>
                <w:sz w:val="18"/>
              </w:rPr>
              <w:t>2.887</w:t>
            </w:r>
          </w:p>
        </w:tc>
        <w:tc>
          <w:tcPr>
            <w:tcW w:w="1051" w:type="dxa"/>
          </w:tcPr>
          <w:p>
            <w:pPr>
              <w:pStyle w:val="GesAbsatz"/>
              <w:tabs>
                <w:tab w:val="clear" w:pos="425"/>
                <w:tab w:val="decimal" w:pos="935"/>
              </w:tabs>
              <w:rPr>
                <w:rFonts w:eastAsia="Arial Unicode MS" w:cs="Arial"/>
                <w:sz w:val="18"/>
                <w:szCs w:val="24"/>
              </w:rPr>
            </w:pPr>
            <w:r>
              <w:rPr>
                <w:rFonts w:cs="Arial"/>
                <w:sz w:val="18"/>
              </w:rPr>
              <w:t>285.432</w:t>
            </w:r>
          </w:p>
        </w:tc>
        <w:tc>
          <w:tcPr>
            <w:tcW w:w="1051" w:type="dxa"/>
          </w:tcPr>
          <w:p>
            <w:pPr>
              <w:pStyle w:val="GesAbsatz"/>
              <w:tabs>
                <w:tab w:val="clear" w:pos="425"/>
                <w:tab w:val="decimal" w:pos="935"/>
              </w:tabs>
              <w:rPr>
                <w:rFonts w:eastAsia="Arial Unicode MS" w:cs="Arial"/>
                <w:sz w:val="18"/>
                <w:szCs w:val="24"/>
              </w:rPr>
            </w:pPr>
            <w:r>
              <w:rPr>
                <w:rFonts w:cs="Arial"/>
                <w:sz w:val="18"/>
              </w:rPr>
              <w:t>2.320</w:t>
            </w:r>
          </w:p>
        </w:tc>
        <w:tc>
          <w:tcPr>
            <w:tcW w:w="1051" w:type="dxa"/>
          </w:tcPr>
          <w:p>
            <w:pPr>
              <w:pStyle w:val="GesAbsatz"/>
              <w:tabs>
                <w:tab w:val="clear" w:pos="425"/>
                <w:tab w:val="decimal" w:pos="935"/>
              </w:tabs>
              <w:rPr>
                <w:rFonts w:eastAsia="Arial Unicode MS" w:cs="Arial"/>
                <w:sz w:val="18"/>
                <w:szCs w:val="24"/>
              </w:rPr>
            </w:pPr>
            <w:r>
              <w:rPr>
                <w:rFonts w:cs="Arial"/>
                <w:sz w:val="18"/>
              </w:rPr>
              <w:t>10.806</w:t>
            </w:r>
          </w:p>
        </w:tc>
        <w:tc>
          <w:tcPr>
            <w:tcW w:w="1051" w:type="dxa"/>
          </w:tcPr>
          <w:p>
            <w:pPr>
              <w:pStyle w:val="GesAbsatz"/>
              <w:tabs>
                <w:tab w:val="clear" w:pos="425"/>
                <w:tab w:val="decimal" w:pos="935"/>
              </w:tabs>
              <w:rPr>
                <w:rFonts w:eastAsia="Arial Unicode MS" w:cs="Arial"/>
                <w:sz w:val="18"/>
                <w:szCs w:val="24"/>
              </w:rPr>
            </w:pPr>
            <w:r>
              <w:rPr>
                <w:rFonts w:cs="Arial"/>
                <w:sz w:val="18"/>
              </w:rPr>
              <w:t>1,10</w:t>
            </w:r>
          </w:p>
        </w:tc>
      </w:tr>
      <w:tr>
        <w:tc>
          <w:tcPr>
            <w:tcW w:w="1050" w:type="dxa"/>
          </w:tcPr>
          <w:p>
            <w:pPr>
              <w:pStyle w:val="GesAbsatz"/>
              <w:rPr>
                <w:rFonts w:eastAsia="Arial Unicode MS" w:cs="Arial"/>
                <w:sz w:val="18"/>
                <w:szCs w:val="24"/>
              </w:rPr>
            </w:pPr>
            <w:r>
              <w:rPr>
                <w:rFonts w:cs="Arial"/>
                <w:b/>
                <w:bCs/>
                <w:sz w:val="18"/>
              </w:rPr>
              <w:t>Detmold</w:t>
            </w:r>
          </w:p>
        </w:tc>
        <w:tc>
          <w:tcPr>
            <w:tcW w:w="1147" w:type="dxa"/>
          </w:tcPr>
          <w:p>
            <w:pPr>
              <w:pStyle w:val="GesAbsatz"/>
              <w:tabs>
                <w:tab w:val="clear" w:pos="425"/>
                <w:tab w:val="decimal" w:pos="935"/>
              </w:tabs>
              <w:rPr>
                <w:rFonts w:eastAsia="Arial Unicode MS" w:cs="Arial"/>
                <w:sz w:val="18"/>
                <w:szCs w:val="24"/>
              </w:rPr>
            </w:pPr>
            <w:r>
              <w:rPr>
                <w:rFonts w:cs="Arial"/>
                <w:sz w:val="18"/>
              </w:rPr>
              <w:t>497.495</w:t>
            </w:r>
          </w:p>
        </w:tc>
        <w:tc>
          <w:tcPr>
            <w:tcW w:w="1134" w:type="dxa"/>
          </w:tcPr>
          <w:p>
            <w:pPr>
              <w:pStyle w:val="GesAbsatz"/>
              <w:tabs>
                <w:tab w:val="clear" w:pos="425"/>
                <w:tab w:val="decimal" w:pos="935"/>
              </w:tabs>
              <w:rPr>
                <w:rFonts w:eastAsia="Arial Unicode MS" w:cs="Arial"/>
                <w:sz w:val="18"/>
                <w:szCs w:val="24"/>
              </w:rPr>
            </w:pPr>
            <w:r>
              <w:rPr>
                <w:rFonts w:cs="Arial"/>
                <w:sz w:val="18"/>
              </w:rPr>
              <w:t>351.198</w:t>
            </w:r>
          </w:p>
        </w:tc>
        <w:tc>
          <w:tcPr>
            <w:tcW w:w="1134" w:type="dxa"/>
          </w:tcPr>
          <w:p>
            <w:pPr>
              <w:pStyle w:val="GesAbsatz"/>
              <w:tabs>
                <w:tab w:val="clear" w:pos="425"/>
                <w:tab w:val="decimal" w:pos="935"/>
              </w:tabs>
              <w:rPr>
                <w:rFonts w:eastAsia="Arial Unicode MS" w:cs="Arial"/>
                <w:sz w:val="18"/>
                <w:szCs w:val="24"/>
              </w:rPr>
            </w:pPr>
            <w:r>
              <w:rPr>
                <w:rFonts w:cs="Arial"/>
                <w:sz w:val="18"/>
              </w:rPr>
              <w:t>273.393</w:t>
            </w:r>
          </w:p>
        </w:tc>
        <w:tc>
          <w:tcPr>
            <w:tcW w:w="992" w:type="dxa"/>
          </w:tcPr>
          <w:p>
            <w:pPr>
              <w:pStyle w:val="GesAbsatz"/>
              <w:tabs>
                <w:tab w:val="clear" w:pos="425"/>
                <w:tab w:val="decimal" w:pos="935"/>
              </w:tabs>
              <w:rPr>
                <w:rFonts w:eastAsia="Arial Unicode MS" w:cs="Arial"/>
                <w:sz w:val="18"/>
                <w:szCs w:val="24"/>
              </w:rPr>
            </w:pPr>
            <w:r>
              <w:rPr>
                <w:rFonts w:cs="Arial"/>
                <w:sz w:val="18"/>
              </w:rPr>
              <w:t>399</w:t>
            </w:r>
          </w:p>
        </w:tc>
        <w:tc>
          <w:tcPr>
            <w:tcW w:w="847" w:type="dxa"/>
          </w:tcPr>
          <w:p>
            <w:pPr>
              <w:pStyle w:val="GesAbsatz"/>
              <w:tabs>
                <w:tab w:val="clear" w:pos="425"/>
                <w:tab w:val="decimal" w:pos="935"/>
              </w:tabs>
              <w:rPr>
                <w:rFonts w:eastAsia="Arial Unicode MS" w:cs="Arial"/>
                <w:sz w:val="18"/>
                <w:szCs w:val="24"/>
              </w:rPr>
            </w:pPr>
            <w:r>
              <w:rPr>
                <w:rFonts w:cs="Arial"/>
                <w:sz w:val="18"/>
              </w:rPr>
              <w:t>0</w:t>
            </w:r>
          </w:p>
        </w:tc>
        <w:tc>
          <w:tcPr>
            <w:tcW w:w="1051" w:type="dxa"/>
          </w:tcPr>
          <w:p>
            <w:pPr>
              <w:pStyle w:val="GesAbsatz"/>
              <w:tabs>
                <w:tab w:val="clear" w:pos="425"/>
                <w:tab w:val="decimal" w:pos="935"/>
              </w:tabs>
              <w:rPr>
                <w:rFonts w:eastAsia="Arial Unicode MS" w:cs="Arial"/>
                <w:sz w:val="18"/>
                <w:szCs w:val="24"/>
              </w:rPr>
            </w:pPr>
            <w:r>
              <w:rPr>
                <w:rFonts w:cs="Arial"/>
                <w:sz w:val="18"/>
              </w:rPr>
              <w:t>508</w:t>
            </w:r>
          </w:p>
        </w:tc>
        <w:tc>
          <w:tcPr>
            <w:tcW w:w="1051" w:type="dxa"/>
          </w:tcPr>
          <w:p>
            <w:pPr>
              <w:pStyle w:val="GesAbsatz"/>
              <w:tabs>
                <w:tab w:val="clear" w:pos="425"/>
                <w:tab w:val="decimal" w:pos="935"/>
              </w:tabs>
              <w:rPr>
                <w:rFonts w:eastAsia="Arial Unicode MS" w:cs="Arial"/>
                <w:sz w:val="18"/>
                <w:szCs w:val="24"/>
              </w:rPr>
            </w:pPr>
            <w:r>
              <w:rPr>
                <w:rFonts w:cs="Arial"/>
                <w:sz w:val="18"/>
              </w:rPr>
              <w:t>76.126</w:t>
            </w:r>
          </w:p>
        </w:tc>
        <w:tc>
          <w:tcPr>
            <w:tcW w:w="1051" w:type="dxa"/>
          </w:tcPr>
          <w:p>
            <w:pPr>
              <w:pStyle w:val="GesAbsatz"/>
              <w:tabs>
                <w:tab w:val="clear" w:pos="425"/>
                <w:tab w:val="decimal" w:pos="935"/>
              </w:tabs>
              <w:rPr>
                <w:rFonts w:eastAsia="Arial Unicode MS" w:cs="Arial"/>
                <w:sz w:val="18"/>
                <w:szCs w:val="24"/>
              </w:rPr>
            </w:pPr>
            <w:r>
              <w:rPr>
                <w:rFonts w:cs="Arial"/>
                <w:sz w:val="18"/>
              </w:rPr>
              <w:t>771</w:t>
            </w:r>
          </w:p>
        </w:tc>
        <w:tc>
          <w:tcPr>
            <w:tcW w:w="1051" w:type="dxa"/>
          </w:tcPr>
          <w:p>
            <w:pPr>
              <w:pStyle w:val="GesAbsatz"/>
              <w:tabs>
                <w:tab w:val="clear" w:pos="425"/>
                <w:tab w:val="decimal" w:pos="935"/>
              </w:tabs>
              <w:rPr>
                <w:rFonts w:eastAsia="Arial Unicode MS" w:cs="Arial"/>
                <w:sz w:val="18"/>
                <w:szCs w:val="24"/>
              </w:rPr>
            </w:pPr>
            <w:r>
              <w:rPr>
                <w:rFonts w:cs="Arial"/>
                <w:sz w:val="18"/>
              </w:rPr>
              <w:t>133.141</w:t>
            </w:r>
          </w:p>
        </w:tc>
        <w:tc>
          <w:tcPr>
            <w:tcW w:w="1051" w:type="dxa"/>
          </w:tcPr>
          <w:p>
            <w:pPr>
              <w:pStyle w:val="GesAbsatz"/>
              <w:tabs>
                <w:tab w:val="clear" w:pos="425"/>
                <w:tab w:val="decimal" w:pos="935"/>
              </w:tabs>
              <w:rPr>
                <w:rFonts w:eastAsia="Arial Unicode MS" w:cs="Arial"/>
                <w:sz w:val="18"/>
                <w:szCs w:val="24"/>
              </w:rPr>
            </w:pPr>
            <w:r>
              <w:rPr>
                <w:rFonts w:cs="Arial"/>
                <w:sz w:val="18"/>
              </w:rPr>
              <w:t>1.294</w:t>
            </w:r>
          </w:p>
        </w:tc>
        <w:tc>
          <w:tcPr>
            <w:tcW w:w="1051" w:type="dxa"/>
          </w:tcPr>
          <w:p>
            <w:pPr>
              <w:pStyle w:val="GesAbsatz"/>
              <w:tabs>
                <w:tab w:val="clear" w:pos="425"/>
                <w:tab w:val="decimal" w:pos="935"/>
              </w:tabs>
              <w:rPr>
                <w:rFonts w:eastAsia="Arial Unicode MS" w:cs="Arial"/>
                <w:sz w:val="18"/>
                <w:szCs w:val="24"/>
              </w:rPr>
            </w:pPr>
            <w:r>
              <w:rPr>
                <w:rFonts w:cs="Arial"/>
                <w:sz w:val="18"/>
              </w:rPr>
              <w:t>11.859</w:t>
            </w:r>
          </w:p>
        </w:tc>
        <w:tc>
          <w:tcPr>
            <w:tcW w:w="1051" w:type="dxa"/>
          </w:tcPr>
          <w:p>
            <w:pPr>
              <w:pStyle w:val="GesAbsatz"/>
              <w:tabs>
                <w:tab w:val="clear" w:pos="425"/>
                <w:tab w:val="decimal" w:pos="935"/>
              </w:tabs>
              <w:rPr>
                <w:rFonts w:eastAsia="Arial Unicode MS" w:cs="Arial"/>
                <w:sz w:val="18"/>
                <w:szCs w:val="24"/>
              </w:rPr>
            </w:pPr>
            <w:r>
              <w:rPr>
                <w:rFonts w:cs="Arial"/>
                <w:sz w:val="18"/>
              </w:rPr>
              <w:t>1,11</w:t>
            </w:r>
          </w:p>
        </w:tc>
      </w:tr>
      <w:tr>
        <w:tc>
          <w:tcPr>
            <w:tcW w:w="1050" w:type="dxa"/>
          </w:tcPr>
          <w:p>
            <w:pPr>
              <w:pStyle w:val="GesAbsatz"/>
              <w:rPr>
                <w:rFonts w:eastAsia="Arial Unicode MS" w:cs="Arial"/>
                <w:sz w:val="18"/>
                <w:szCs w:val="24"/>
              </w:rPr>
            </w:pPr>
            <w:r>
              <w:rPr>
                <w:rFonts w:cs="Arial"/>
                <w:b/>
                <w:bCs/>
                <w:sz w:val="18"/>
              </w:rPr>
              <w:t>Düsseldorf</w:t>
            </w:r>
          </w:p>
        </w:tc>
        <w:tc>
          <w:tcPr>
            <w:tcW w:w="1147" w:type="dxa"/>
          </w:tcPr>
          <w:p>
            <w:pPr>
              <w:pStyle w:val="GesAbsatz"/>
              <w:tabs>
                <w:tab w:val="clear" w:pos="425"/>
                <w:tab w:val="decimal" w:pos="935"/>
              </w:tabs>
              <w:rPr>
                <w:rFonts w:eastAsia="Arial Unicode MS" w:cs="Arial"/>
                <w:sz w:val="18"/>
                <w:szCs w:val="24"/>
              </w:rPr>
            </w:pPr>
            <w:r>
              <w:rPr>
                <w:rFonts w:cs="Arial"/>
                <w:sz w:val="18"/>
              </w:rPr>
              <w:t>312.190</w:t>
            </w:r>
          </w:p>
        </w:tc>
        <w:tc>
          <w:tcPr>
            <w:tcW w:w="1134" w:type="dxa"/>
          </w:tcPr>
          <w:p>
            <w:pPr>
              <w:pStyle w:val="GesAbsatz"/>
              <w:tabs>
                <w:tab w:val="clear" w:pos="425"/>
                <w:tab w:val="decimal" w:pos="935"/>
              </w:tabs>
              <w:rPr>
                <w:rFonts w:eastAsia="Arial Unicode MS" w:cs="Arial"/>
                <w:sz w:val="18"/>
                <w:szCs w:val="24"/>
              </w:rPr>
            </w:pPr>
            <w:r>
              <w:rPr>
                <w:rFonts w:cs="Arial"/>
                <w:sz w:val="18"/>
              </w:rPr>
              <w:t>232.842</w:t>
            </w:r>
          </w:p>
        </w:tc>
        <w:tc>
          <w:tcPr>
            <w:tcW w:w="1134" w:type="dxa"/>
          </w:tcPr>
          <w:p>
            <w:pPr>
              <w:pStyle w:val="GesAbsatz"/>
              <w:tabs>
                <w:tab w:val="clear" w:pos="425"/>
                <w:tab w:val="decimal" w:pos="935"/>
              </w:tabs>
              <w:rPr>
                <w:rFonts w:eastAsia="Arial Unicode MS" w:cs="Arial"/>
                <w:sz w:val="18"/>
                <w:szCs w:val="24"/>
              </w:rPr>
            </w:pPr>
            <w:r>
              <w:rPr>
                <w:rFonts w:cs="Arial"/>
                <w:sz w:val="18"/>
              </w:rPr>
              <w:t>167.056</w:t>
            </w:r>
          </w:p>
        </w:tc>
        <w:tc>
          <w:tcPr>
            <w:tcW w:w="992" w:type="dxa"/>
          </w:tcPr>
          <w:p>
            <w:pPr>
              <w:pStyle w:val="GesAbsatz"/>
              <w:tabs>
                <w:tab w:val="clear" w:pos="425"/>
                <w:tab w:val="decimal" w:pos="935"/>
              </w:tabs>
              <w:rPr>
                <w:rFonts w:eastAsia="Arial Unicode MS" w:cs="Arial"/>
                <w:sz w:val="18"/>
                <w:szCs w:val="24"/>
              </w:rPr>
            </w:pPr>
            <w:r>
              <w:rPr>
                <w:rFonts w:cs="Arial"/>
                <w:sz w:val="18"/>
              </w:rPr>
              <w:t>627</w:t>
            </w:r>
          </w:p>
        </w:tc>
        <w:tc>
          <w:tcPr>
            <w:tcW w:w="847" w:type="dxa"/>
          </w:tcPr>
          <w:p>
            <w:pPr>
              <w:pStyle w:val="GesAbsatz"/>
              <w:tabs>
                <w:tab w:val="clear" w:pos="425"/>
                <w:tab w:val="decimal" w:pos="935"/>
              </w:tabs>
              <w:rPr>
                <w:rFonts w:eastAsia="Arial Unicode MS" w:cs="Arial"/>
                <w:sz w:val="18"/>
                <w:szCs w:val="24"/>
              </w:rPr>
            </w:pPr>
            <w:r>
              <w:rPr>
                <w:rFonts w:cs="Arial"/>
                <w:sz w:val="18"/>
              </w:rPr>
              <w:t>0</w:t>
            </w:r>
          </w:p>
        </w:tc>
        <w:tc>
          <w:tcPr>
            <w:tcW w:w="1051" w:type="dxa"/>
          </w:tcPr>
          <w:p>
            <w:pPr>
              <w:pStyle w:val="GesAbsatz"/>
              <w:tabs>
                <w:tab w:val="clear" w:pos="425"/>
                <w:tab w:val="decimal" w:pos="935"/>
              </w:tabs>
              <w:rPr>
                <w:rFonts w:eastAsia="Arial Unicode MS" w:cs="Arial"/>
                <w:sz w:val="18"/>
                <w:szCs w:val="24"/>
              </w:rPr>
            </w:pPr>
            <w:r>
              <w:rPr>
                <w:rFonts w:cs="Arial"/>
                <w:sz w:val="18"/>
              </w:rPr>
              <w:t>1.269</w:t>
            </w:r>
          </w:p>
        </w:tc>
        <w:tc>
          <w:tcPr>
            <w:tcW w:w="1051" w:type="dxa"/>
          </w:tcPr>
          <w:p>
            <w:pPr>
              <w:pStyle w:val="GesAbsatz"/>
              <w:tabs>
                <w:tab w:val="clear" w:pos="425"/>
                <w:tab w:val="decimal" w:pos="935"/>
              </w:tabs>
              <w:rPr>
                <w:rFonts w:eastAsia="Arial Unicode MS" w:cs="Arial"/>
                <w:sz w:val="18"/>
                <w:szCs w:val="24"/>
              </w:rPr>
            </w:pPr>
            <w:r>
              <w:rPr>
                <w:rFonts w:cs="Arial"/>
                <w:sz w:val="18"/>
              </w:rPr>
              <w:t>63.525</w:t>
            </w:r>
          </w:p>
        </w:tc>
        <w:tc>
          <w:tcPr>
            <w:tcW w:w="1051" w:type="dxa"/>
          </w:tcPr>
          <w:p>
            <w:pPr>
              <w:pStyle w:val="GesAbsatz"/>
              <w:tabs>
                <w:tab w:val="clear" w:pos="425"/>
                <w:tab w:val="decimal" w:pos="935"/>
              </w:tabs>
              <w:rPr>
                <w:rFonts w:eastAsia="Arial Unicode MS" w:cs="Arial"/>
                <w:sz w:val="18"/>
                <w:szCs w:val="24"/>
              </w:rPr>
            </w:pPr>
            <w:r>
              <w:rPr>
                <w:rFonts w:cs="Arial"/>
                <w:sz w:val="18"/>
              </w:rPr>
              <w:t>384</w:t>
            </w:r>
          </w:p>
        </w:tc>
        <w:tc>
          <w:tcPr>
            <w:tcW w:w="1051" w:type="dxa"/>
          </w:tcPr>
          <w:p>
            <w:pPr>
              <w:pStyle w:val="GesAbsatz"/>
              <w:tabs>
                <w:tab w:val="clear" w:pos="425"/>
                <w:tab w:val="decimal" w:pos="935"/>
              </w:tabs>
              <w:rPr>
                <w:rFonts w:eastAsia="Arial Unicode MS" w:cs="Arial"/>
                <w:sz w:val="18"/>
                <w:szCs w:val="24"/>
              </w:rPr>
            </w:pPr>
            <w:r>
              <w:rPr>
                <w:rFonts w:cs="Arial"/>
                <w:sz w:val="18"/>
              </w:rPr>
              <w:t>69.602</w:t>
            </w:r>
          </w:p>
        </w:tc>
        <w:tc>
          <w:tcPr>
            <w:tcW w:w="1051" w:type="dxa"/>
          </w:tcPr>
          <w:p>
            <w:pPr>
              <w:pStyle w:val="GesAbsatz"/>
              <w:tabs>
                <w:tab w:val="clear" w:pos="425"/>
                <w:tab w:val="decimal" w:pos="935"/>
              </w:tabs>
              <w:rPr>
                <w:rFonts w:eastAsia="Arial Unicode MS" w:cs="Arial"/>
                <w:sz w:val="18"/>
                <w:szCs w:val="24"/>
              </w:rPr>
            </w:pPr>
            <w:r>
              <w:rPr>
                <w:rFonts w:cs="Arial"/>
                <w:sz w:val="18"/>
              </w:rPr>
              <w:t>1.100</w:t>
            </w:r>
          </w:p>
        </w:tc>
        <w:tc>
          <w:tcPr>
            <w:tcW w:w="1051" w:type="dxa"/>
          </w:tcPr>
          <w:p>
            <w:pPr>
              <w:pStyle w:val="GesAbsatz"/>
              <w:tabs>
                <w:tab w:val="clear" w:pos="425"/>
                <w:tab w:val="decimal" w:pos="935"/>
              </w:tabs>
              <w:rPr>
                <w:rFonts w:eastAsia="Arial Unicode MS" w:cs="Arial"/>
                <w:sz w:val="18"/>
                <w:szCs w:val="24"/>
              </w:rPr>
            </w:pPr>
            <w:r>
              <w:rPr>
                <w:rFonts w:cs="Arial"/>
                <w:sz w:val="18"/>
              </w:rPr>
              <w:t>8.650</w:t>
            </w:r>
          </w:p>
        </w:tc>
        <w:tc>
          <w:tcPr>
            <w:tcW w:w="1051" w:type="dxa"/>
          </w:tcPr>
          <w:p>
            <w:pPr>
              <w:pStyle w:val="GesAbsatz"/>
              <w:tabs>
                <w:tab w:val="clear" w:pos="425"/>
                <w:tab w:val="decimal" w:pos="935"/>
              </w:tabs>
              <w:rPr>
                <w:rFonts w:eastAsia="Arial Unicode MS" w:cs="Arial"/>
                <w:sz w:val="18"/>
                <w:szCs w:val="24"/>
              </w:rPr>
            </w:pPr>
            <w:r>
              <w:rPr>
                <w:rFonts w:cs="Arial"/>
                <w:sz w:val="18"/>
              </w:rPr>
              <w:t>1,32</w:t>
            </w:r>
          </w:p>
        </w:tc>
      </w:tr>
      <w:tr>
        <w:tc>
          <w:tcPr>
            <w:tcW w:w="1050" w:type="dxa"/>
          </w:tcPr>
          <w:p>
            <w:pPr>
              <w:pStyle w:val="GesAbsatz"/>
              <w:rPr>
                <w:rFonts w:eastAsia="Arial Unicode MS" w:cs="Arial"/>
                <w:sz w:val="18"/>
                <w:szCs w:val="24"/>
              </w:rPr>
            </w:pPr>
            <w:r>
              <w:rPr>
                <w:rFonts w:cs="Arial"/>
                <w:b/>
                <w:bCs/>
                <w:sz w:val="18"/>
              </w:rPr>
              <w:t>Köln</w:t>
            </w:r>
          </w:p>
        </w:tc>
        <w:tc>
          <w:tcPr>
            <w:tcW w:w="1147" w:type="dxa"/>
          </w:tcPr>
          <w:p>
            <w:pPr>
              <w:pStyle w:val="GesAbsatz"/>
              <w:tabs>
                <w:tab w:val="clear" w:pos="425"/>
                <w:tab w:val="decimal" w:pos="935"/>
              </w:tabs>
              <w:rPr>
                <w:rFonts w:eastAsia="Arial Unicode MS" w:cs="Arial"/>
                <w:sz w:val="18"/>
                <w:szCs w:val="24"/>
              </w:rPr>
            </w:pPr>
            <w:r>
              <w:rPr>
                <w:rFonts w:cs="Arial"/>
                <w:sz w:val="18"/>
              </w:rPr>
              <w:t>473.988</w:t>
            </w:r>
          </w:p>
        </w:tc>
        <w:tc>
          <w:tcPr>
            <w:tcW w:w="1134" w:type="dxa"/>
          </w:tcPr>
          <w:p>
            <w:pPr>
              <w:pStyle w:val="GesAbsatz"/>
              <w:tabs>
                <w:tab w:val="clear" w:pos="425"/>
                <w:tab w:val="decimal" w:pos="935"/>
              </w:tabs>
              <w:rPr>
                <w:rFonts w:eastAsia="Arial Unicode MS" w:cs="Arial"/>
                <w:sz w:val="18"/>
                <w:szCs w:val="24"/>
              </w:rPr>
            </w:pPr>
            <w:r>
              <w:rPr>
                <w:rFonts w:cs="Arial"/>
                <w:sz w:val="18"/>
              </w:rPr>
              <w:t>301.139</w:t>
            </w:r>
          </w:p>
        </w:tc>
        <w:tc>
          <w:tcPr>
            <w:tcW w:w="1134" w:type="dxa"/>
          </w:tcPr>
          <w:p>
            <w:pPr>
              <w:pStyle w:val="GesAbsatz"/>
              <w:tabs>
                <w:tab w:val="clear" w:pos="425"/>
                <w:tab w:val="decimal" w:pos="935"/>
              </w:tabs>
              <w:rPr>
                <w:rFonts w:eastAsia="Arial Unicode MS" w:cs="Arial"/>
                <w:sz w:val="18"/>
                <w:szCs w:val="24"/>
              </w:rPr>
            </w:pPr>
            <w:r>
              <w:rPr>
                <w:rFonts w:cs="Arial"/>
                <w:sz w:val="18"/>
              </w:rPr>
              <w:t>184.960</w:t>
            </w:r>
          </w:p>
        </w:tc>
        <w:tc>
          <w:tcPr>
            <w:tcW w:w="992" w:type="dxa"/>
          </w:tcPr>
          <w:p>
            <w:pPr>
              <w:pStyle w:val="GesAbsatz"/>
              <w:tabs>
                <w:tab w:val="clear" w:pos="425"/>
                <w:tab w:val="decimal" w:pos="935"/>
              </w:tabs>
              <w:rPr>
                <w:rFonts w:eastAsia="Arial Unicode MS" w:cs="Arial"/>
                <w:sz w:val="18"/>
                <w:szCs w:val="24"/>
              </w:rPr>
            </w:pPr>
            <w:r>
              <w:rPr>
                <w:rFonts w:cs="Arial"/>
                <w:sz w:val="18"/>
              </w:rPr>
              <w:t>2.252</w:t>
            </w:r>
          </w:p>
        </w:tc>
        <w:tc>
          <w:tcPr>
            <w:tcW w:w="847" w:type="dxa"/>
          </w:tcPr>
          <w:p>
            <w:pPr>
              <w:pStyle w:val="GesAbsatz"/>
              <w:tabs>
                <w:tab w:val="clear" w:pos="425"/>
                <w:tab w:val="decimal" w:pos="935"/>
              </w:tabs>
              <w:rPr>
                <w:rFonts w:eastAsia="Arial Unicode MS" w:cs="Arial"/>
                <w:sz w:val="18"/>
                <w:szCs w:val="24"/>
              </w:rPr>
            </w:pPr>
            <w:r>
              <w:rPr>
                <w:rFonts w:cs="Arial"/>
                <w:sz w:val="18"/>
              </w:rPr>
              <w:t>18</w:t>
            </w:r>
          </w:p>
        </w:tc>
        <w:tc>
          <w:tcPr>
            <w:tcW w:w="1051" w:type="dxa"/>
          </w:tcPr>
          <w:p>
            <w:pPr>
              <w:pStyle w:val="GesAbsatz"/>
              <w:tabs>
                <w:tab w:val="clear" w:pos="425"/>
                <w:tab w:val="decimal" w:pos="935"/>
              </w:tabs>
              <w:rPr>
                <w:rFonts w:eastAsia="Arial Unicode MS" w:cs="Arial"/>
                <w:sz w:val="18"/>
                <w:szCs w:val="24"/>
              </w:rPr>
            </w:pPr>
            <w:r>
              <w:rPr>
                <w:rFonts w:cs="Arial"/>
                <w:sz w:val="18"/>
              </w:rPr>
              <w:t>1.037</w:t>
            </w:r>
          </w:p>
        </w:tc>
        <w:tc>
          <w:tcPr>
            <w:tcW w:w="1051" w:type="dxa"/>
          </w:tcPr>
          <w:p>
            <w:pPr>
              <w:pStyle w:val="GesAbsatz"/>
              <w:tabs>
                <w:tab w:val="clear" w:pos="425"/>
                <w:tab w:val="decimal" w:pos="935"/>
              </w:tabs>
              <w:rPr>
                <w:rFonts w:eastAsia="Arial Unicode MS" w:cs="Arial"/>
                <w:sz w:val="18"/>
                <w:szCs w:val="24"/>
              </w:rPr>
            </w:pPr>
            <w:r>
              <w:rPr>
                <w:rFonts w:cs="Arial"/>
                <w:sz w:val="18"/>
              </w:rPr>
              <w:t>112.241</w:t>
            </w:r>
          </w:p>
        </w:tc>
        <w:tc>
          <w:tcPr>
            <w:tcW w:w="1051" w:type="dxa"/>
          </w:tcPr>
          <w:p>
            <w:pPr>
              <w:pStyle w:val="GesAbsatz"/>
              <w:tabs>
                <w:tab w:val="clear" w:pos="425"/>
                <w:tab w:val="decimal" w:pos="935"/>
              </w:tabs>
              <w:rPr>
                <w:rFonts w:eastAsia="Arial Unicode MS" w:cs="Arial"/>
                <w:sz w:val="18"/>
                <w:szCs w:val="24"/>
              </w:rPr>
            </w:pPr>
            <w:r>
              <w:rPr>
                <w:rFonts w:cs="Arial"/>
                <w:sz w:val="18"/>
              </w:rPr>
              <w:t>634</w:t>
            </w:r>
          </w:p>
        </w:tc>
        <w:tc>
          <w:tcPr>
            <w:tcW w:w="1051" w:type="dxa"/>
          </w:tcPr>
          <w:p>
            <w:pPr>
              <w:pStyle w:val="GesAbsatz"/>
              <w:tabs>
                <w:tab w:val="clear" w:pos="425"/>
                <w:tab w:val="decimal" w:pos="935"/>
              </w:tabs>
              <w:rPr>
                <w:rFonts w:eastAsia="Arial Unicode MS" w:cs="Arial"/>
                <w:sz w:val="18"/>
                <w:szCs w:val="24"/>
              </w:rPr>
            </w:pPr>
            <w:r>
              <w:rPr>
                <w:rFonts w:cs="Arial"/>
                <w:sz w:val="18"/>
              </w:rPr>
              <w:t>159.766</w:t>
            </w:r>
          </w:p>
        </w:tc>
        <w:tc>
          <w:tcPr>
            <w:tcW w:w="1051" w:type="dxa"/>
          </w:tcPr>
          <w:p>
            <w:pPr>
              <w:pStyle w:val="GesAbsatz"/>
              <w:tabs>
                <w:tab w:val="clear" w:pos="425"/>
                <w:tab w:val="decimal" w:pos="935"/>
              </w:tabs>
              <w:rPr>
                <w:rFonts w:eastAsia="Arial Unicode MS" w:cs="Arial"/>
                <w:sz w:val="18"/>
                <w:szCs w:val="24"/>
              </w:rPr>
            </w:pPr>
            <w:r>
              <w:rPr>
                <w:rFonts w:cs="Arial"/>
                <w:sz w:val="18"/>
              </w:rPr>
              <w:t>1.466</w:t>
            </w:r>
          </w:p>
        </w:tc>
        <w:tc>
          <w:tcPr>
            <w:tcW w:w="1051" w:type="dxa"/>
          </w:tcPr>
          <w:p>
            <w:pPr>
              <w:pStyle w:val="GesAbsatz"/>
              <w:tabs>
                <w:tab w:val="clear" w:pos="425"/>
                <w:tab w:val="decimal" w:pos="935"/>
              </w:tabs>
              <w:rPr>
                <w:rFonts w:eastAsia="Arial Unicode MS" w:cs="Arial"/>
                <w:sz w:val="18"/>
                <w:szCs w:val="24"/>
              </w:rPr>
            </w:pPr>
            <w:r>
              <w:rPr>
                <w:rFonts w:cs="Arial"/>
                <w:sz w:val="18"/>
              </w:rPr>
              <w:t>11.617</w:t>
            </w:r>
          </w:p>
        </w:tc>
        <w:tc>
          <w:tcPr>
            <w:tcW w:w="1051" w:type="dxa"/>
          </w:tcPr>
          <w:p>
            <w:pPr>
              <w:pStyle w:val="GesAbsatz"/>
              <w:tabs>
                <w:tab w:val="clear" w:pos="425"/>
                <w:tab w:val="decimal" w:pos="935"/>
              </w:tabs>
              <w:rPr>
                <w:rFonts w:eastAsia="Arial Unicode MS" w:cs="Arial"/>
                <w:sz w:val="18"/>
                <w:szCs w:val="24"/>
              </w:rPr>
            </w:pPr>
            <w:r>
              <w:rPr>
                <w:rFonts w:cs="Arial"/>
                <w:sz w:val="18"/>
              </w:rPr>
              <w:t>0,82</w:t>
            </w:r>
          </w:p>
        </w:tc>
      </w:tr>
      <w:tr>
        <w:tc>
          <w:tcPr>
            <w:tcW w:w="1050" w:type="dxa"/>
          </w:tcPr>
          <w:p>
            <w:pPr>
              <w:pStyle w:val="GesAbsatz"/>
              <w:rPr>
                <w:rFonts w:eastAsia="Arial Unicode MS" w:cs="Arial"/>
                <w:sz w:val="18"/>
                <w:szCs w:val="24"/>
              </w:rPr>
            </w:pPr>
            <w:r>
              <w:rPr>
                <w:rFonts w:cs="Arial"/>
                <w:b/>
                <w:bCs/>
                <w:sz w:val="18"/>
              </w:rPr>
              <w:t xml:space="preserve">Münster </w:t>
            </w:r>
          </w:p>
        </w:tc>
        <w:tc>
          <w:tcPr>
            <w:tcW w:w="1147" w:type="dxa"/>
          </w:tcPr>
          <w:p>
            <w:pPr>
              <w:pStyle w:val="GesAbsatz"/>
              <w:tabs>
                <w:tab w:val="clear" w:pos="425"/>
                <w:tab w:val="decimal" w:pos="935"/>
              </w:tabs>
              <w:rPr>
                <w:rFonts w:eastAsia="Arial Unicode MS" w:cs="Arial"/>
                <w:sz w:val="18"/>
                <w:szCs w:val="24"/>
              </w:rPr>
            </w:pPr>
            <w:r>
              <w:rPr>
                <w:rFonts w:cs="Arial"/>
                <w:sz w:val="18"/>
              </w:rPr>
              <w:t>514.320</w:t>
            </w:r>
          </w:p>
        </w:tc>
        <w:tc>
          <w:tcPr>
            <w:tcW w:w="1134" w:type="dxa"/>
          </w:tcPr>
          <w:p>
            <w:pPr>
              <w:pStyle w:val="GesAbsatz"/>
              <w:tabs>
                <w:tab w:val="clear" w:pos="425"/>
                <w:tab w:val="decimal" w:pos="935"/>
              </w:tabs>
              <w:rPr>
                <w:rFonts w:eastAsia="Arial Unicode MS" w:cs="Arial"/>
                <w:sz w:val="18"/>
                <w:szCs w:val="24"/>
              </w:rPr>
            </w:pPr>
            <w:r>
              <w:rPr>
                <w:rFonts w:cs="Arial"/>
                <w:sz w:val="18"/>
              </w:rPr>
              <w:t>413.046</w:t>
            </w:r>
          </w:p>
        </w:tc>
        <w:tc>
          <w:tcPr>
            <w:tcW w:w="1134" w:type="dxa"/>
          </w:tcPr>
          <w:p>
            <w:pPr>
              <w:pStyle w:val="GesAbsatz"/>
              <w:tabs>
                <w:tab w:val="clear" w:pos="425"/>
                <w:tab w:val="decimal" w:pos="935"/>
              </w:tabs>
              <w:rPr>
                <w:rFonts w:eastAsia="Arial Unicode MS" w:cs="Arial"/>
                <w:sz w:val="18"/>
                <w:szCs w:val="24"/>
              </w:rPr>
            </w:pPr>
            <w:r>
              <w:rPr>
                <w:rFonts w:cs="Arial"/>
                <w:sz w:val="18"/>
              </w:rPr>
              <w:t>327.142</w:t>
            </w:r>
          </w:p>
        </w:tc>
        <w:tc>
          <w:tcPr>
            <w:tcW w:w="992" w:type="dxa"/>
          </w:tcPr>
          <w:p>
            <w:pPr>
              <w:pStyle w:val="GesAbsatz"/>
              <w:tabs>
                <w:tab w:val="clear" w:pos="425"/>
                <w:tab w:val="decimal" w:pos="935"/>
              </w:tabs>
              <w:rPr>
                <w:rFonts w:eastAsia="Arial Unicode MS" w:cs="Arial"/>
                <w:sz w:val="18"/>
                <w:szCs w:val="24"/>
              </w:rPr>
            </w:pPr>
            <w:r>
              <w:rPr>
                <w:rFonts w:cs="Arial"/>
                <w:sz w:val="18"/>
              </w:rPr>
              <w:t>158</w:t>
            </w:r>
          </w:p>
        </w:tc>
        <w:tc>
          <w:tcPr>
            <w:tcW w:w="847" w:type="dxa"/>
          </w:tcPr>
          <w:p>
            <w:pPr>
              <w:pStyle w:val="GesAbsatz"/>
              <w:tabs>
                <w:tab w:val="clear" w:pos="425"/>
                <w:tab w:val="decimal" w:pos="935"/>
              </w:tabs>
              <w:rPr>
                <w:rFonts w:eastAsia="Arial Unicode MS" w:cs="Arial"/>
                <w:sz w:val="18"/>
                <w:szCs w:val="24"/>
              </w:rPr>
            </w:pPr>
            <w:r>
              <w:rPr>
                <w:rFonts w:cs="Arial"/>
                <w:sz w:val="18"/>
              </w:rPr>
              <w:t>0</w:t>
            </w:r>
          </w:p>
        </w:tc>
        <w:tc>
          <w:tcPr>
            <w:tcW w:w="1051" w:type="dxa"/>
          </w:tcPr>
          <w:p>
            <w:pPr>
              <w:pStyle w:val="GesAbsatz"/>
              <w:tabs>
                <w:tab w:val="clear" w:pos="425"/>
                <w:tab w:val="decimal" w:pos="935"/>
              </w:tabs>
              <w:rPr>
                <w:rFonts w:eastAsia="Arial Unicode MS" w:cs="Arial"/>
                <w:sz w:val="18"/>
                <w:szCs w:val="24"/>
              </w:rPr>
            </w:pPr>
            <w:r>
              <w:rPr>
                <w:rFonts w:cs="Arial"/>
                <w:sz w:val="18"/>
              </w:rPr>
              <w:t>973</w:t>
            </w:r>
          </w:p>
        </w:tc>
        <w:tc>
          <w:tcPr>
            <w:tcW w:w="1051" w:type="dxa"/>
          </w:tcPr>
          <w:p>
            <w:pPr>
              <w:pStyle w:val="GesAbsatz"/>
              <w:tabs>
                <w:tab w:val="clear" w:pos="425"/>
                <w:tab w:val="decimal" w:pos="935"/>
              </w:tabs>
              <w:rPr>
                <w:rFonts w:eastAsia="Arial Unicode MS" w:cs="Arial"/>
                <w:sz w:val="18"/>
                <w:szCs w:val="24"/>
              </w:rPr>
            </w:pPr>
            <w:r>
              <w:rPr>
                <w:rFonts w:cs="Arial"/>
                <w:sz w:val="18"/>
              </w:rPr>
              <w:t>84.103</w:t>
            </w:r>
          </w:p>
        </w:tc>
        <w:tc>
          <w:tcPr>
            <w:tcW w:w="1051" w:type="dxa"/>
          </w:tcPr>
          <w:p>
            <w:pPr>
              <w:pStyle w:val="GesAbsatz"/>
              <w:tabs>
                <w:tab w:val="clear" w:pos="425"/>
                <w:tab w:val="decimal" w:pos="935"/>
              </w:tabs>
              <w:rPr>
                <w:rFonts w:eastAsia="Arial Unicode MS" w:cs="Arial"/>
                <w:sz w:val="18"/>
                <w:szCs w:val="24"/>
              </w:rPr>
            </w:pPr>
            <w:r>
              <w:rPr>
                <w:rFonts w:cs="Arial"/>
                <w:sz w:val="18"/>
              </w:rPr>
              <w:t>668</w:t>
            </w:r>
          </w:p>
        </w:tc>
        <w:tc>
          <w:tcPr>
            <w:tcW w:w="1051" w:type="dxa"/>
          </w:tcPr>
          <w:p>
            <w:pPr>
              <w:pStyle w:val="GesAbsatz"/>
              <w:tabs>
                <w:tab w:val="clear" w:pos="425"/>
                <w:tab w:val="decimal" w:pos="935"/>
              </w:tabs>
              <w:rPr>
                <w:rFonts w:eastAsia="Arial Unicode MS" w:cs="Arial"/>
                <w:sz w:val="18"/>
                <w:szCs w:val="24"/>
              </w:rPr>
            </w:pPr>
            <w:r>
              <w:rPr>
                <w:rFonts w:cs="Arial"/>
                <w:sz w:val="18"/>
              </w:rPr>
              <w:t>82.938</w:t>
            </w:r>
          </w:p>
        </w:tc>
        <w:tc>
          <w:tcPr>
            <w:tcW w:w="1051" w:type="dxa"/>
          </w:tcPr>
          <w:p>
            <w:pPr>
              <w:pStyle w:val="GesAbsatz"/>
              <w:tabs>
                <w:tab w:val="clear" w:pos="425"/>
                <w:tab w:val="decimal" w:pos="935"/>
              </w:tabs>
              <w:rPr>
                <w:rFonts w:eastAsia="Arial Unicode MS" w:cs="Arial"/>
                <w:sz w:val="18"/>
                <w:szCs w:val="24"/>
              </w:rPr>
            </w:pPr>
            <w:r>
              <w:rPr>
                <w:rFonts w:cs="Arial"/>
                <w:sz w:val="18"/>
              </w:rPr>
              <w:t>1.348</w:t>
            </w:r>
          </w:p>
        </w:tc>
        <w:tc>
          <w:tcPr>
            <w:tcW w:w="1051" w:type="dxa"/>
          </w:tcPr>
          <w:p>
            <w:pPr>
              <w:pStyle w:val="GesAbsatz"/>
              <w:tabs>
                <w:tab w:val="clear" w:pos="425"/>
                <w:tab w:val="decimal" w:pos="935"/>
              </w:tabs>
              <w:rPr>
                <w:rFonts w:eastAsia="Arial Unicode MS" w:cs="Arial"/>
                <w:sz w:val="18"/>
                <w:szCs w:val="24"/>
              </w:rPr>
            </w:pPr>
            <w:r>
              <w:rPr>
                <w:rFonts w:cs="Arial"/>
                <w:sz w:val="18"/>
              </w:rPr>
              <w:t>17.094</w:t>
            </w:r>
          </w:p>
        </w:tc>
        <w:tc>
          <w:tcPr>
            <w:tcW w:w="1051" w:type="dxa"/>
          </w:tcPr>
          <w:p>
            <w:pPr>
              <w:pStyle w:val="GesAbsatz"/>
              <w:tabs>
                <w:tab w:val="clear" w:pos="425"/>
                <w:tab w:val="decimal" w:pos="935"/>
              </w:tabs>
              <w:rPr>
                <w:rFonts w:eastAsia="Arial Unicode MS" w:cs="Arial"/>
                <w:sz w:val="18"/>
                <w:szCs w:val="24"/>
              </w:rPr>
            </w:pPr>
            <w:r>
              <w:rPr>
                <w:rFonts w:cs="Arial"/>
                <w:sz w:val="18"/>
              </w:rPr>
              <w:t>1,87</w:t>
            </w:r>
          </w:p>
        </w:tc>
      </w:tr>
      <w:tr>
        <w:tc>
          <w:tcPr>
            <w:tcW w:w="1050" w:type="dxa"/>
          </w:tcPr>
          <w:p>
            <w:pPr>
              <w:pStyle w:val="GesAbsatz"/>
              <w:rPr>
                <w:rFonts w:eastAsia="Arial Unicode MS" w:cs="Arial"/>
                <w:sz w:val="18"/>
                <w:szCs w:val="24"/>
              </w:rPr>
            </w:pPr>
            <w:r>
              <w:rPr>
                <w:rFonts w:cs="Arial"/>
                <w:b/>
                <w:bCs/>
                <w:sz w:val="18"/>
              </w:rPr>
              <w:t>NRW</w:t>
            </w:r>
          </w:p>
        </w:tc>
        <w:tc>
          <w:tcPr>
            <w:tcW w:w="1147" w:type="dxa"/>
          </w:tcPr>
          <w:p>
            <w:pPr>
              <w:pStyle w:val="GesAbsatz"/>
              <w:tabs>
                <w:tab w:val="clear" w:pos="425"/>
                <w:tab w:val="decimal" w:pos="935"/>
              </w:tabs>
              <w:rPr>
                <w:rFonts w:eastAsia="Arial Unicode MS" w:cs="Arial"/>
                <w:sz w:val="18"/>
                <w:szCs w:val="24"/>
              </w:rPr>
            </w:pPr>
            <w:r>
              <w:rPr>
                <w:rFonts w:cs="Arial"/>
                <w:sz w:val="18"/>
              </w:rPr>
              <w:t>2.352.423</w:t>
            </w:r>
          </w:p>
        </w:tc>
        <w:tc>
          <w:tcPr>
            <w:tcW w:w="1134" w:type="dxa"/>
          </w:tcPr>
          <w:p>
            <w:pPr>
              <w:pStyle w:val="GesAbsatz"/>
              <w:tabs>
                <w:tab w:val="clear" w:pos="425"/>
                <w:tab w:val="decimal" w:pos="935"/>
              </w:tabs>
              <w:rPr>
                <w:rFonts w:eastAsia="Arial Unicode MS" w:cs="Arial"/>
                <w:sz w:val="18"/>
                <w:szCs w:val="24"/>
              </w:rPr>
            </w:pPr>
            <w:r>
              <w:rPr>
                <w:rFonts w:cs="Arial"/>
                <w:sz w:val="18"/>
              </w:rPr>
              <w:t>1.554.099</w:t>
            </w:r>
          </w:p>
        </w:tc>
        <w:tc>
          <w:tcPr>
            <w:tcW w:w="1134" w:type="dxa"/>
          </w:tcPr>
          <w:p>
            <w:pPr>
              <w:pStyle w:val="GesAbsatz"/>
              <w:tabs>
                <w:tab w:val="clear" w:pos="425"/>
                <w:tab w:val="decimal" w:pos="935"/>
              </w:tabs>
              <w:rPr>
                <w:rFonts w:eastAsia="Arial Unicode MS" w:cs="Arial"/>
                <w:sz w:val="18"/>
                <w:szCs w:val="24"/>
              </w:rPr>
            </w:pPr>
            <w:r>
              <w:rPr>
                <w:rFonts w:cs="Arial"/>
                <w:sz w:val="18"/>
              </w:rPr>
              <w:t>1.091.879</w:t>
            </w:r>
          </w:p>
        </w:tc>
        <w:tc>
          <w:tcPr>
            <w:tcW w:w="992" w:type="dxa"/>
          </w:tcPr>
          <w:p>
            <w:pPr>
              <w:pStyle w:val="GesAbsatz"/>
              <w:tabs>
                <w:tab w:val="clear" w:pos="425"/>
                <w:tab w:val="decimal" w:pos="935"/>
              </w:tabs>
              <w:rPr>
                <w:rFonts w:eastAsia="Arial Unicode MS" w:cs="Arial"/>
                <w:sz w:val="18"/>
                <w:szCs w:val="24"/>
              </w:rPr>
            </w:pPr>
            <w:r>
              <w:rPr>
                <w:rFonts w:cs="Arial"/>
                <w:sz w:val="18"/>
              </w:rPr>
              <w:t>3.546</w:t>
            </w:r>
          </w:p>
        </w:tc>
        <w:tc>
          <w:tcPr>
            <w:tcW w:w="847" w:type="dxa"/>
          </w:tcPr>
          <w:p>
            <w:pPr>
              <w:pStyle w:val="GesAbsatz"/>
              <w:tabs>
                <w:tab w:val="clear" w:pos="425"/>
                <w:tab w:val="decimal" w:pos="935"/>
              </w:tabs>
              <w:rPr>
                <w:rFonts w:eastAsia="Arial Unicode MS" w:cs="Arial"/>
                <w:sz w:val="18"/>
                <w:szCs w:val="24"/>
              </w:rPr>
            </w:pPr>
            <w:r>
              <w:rPr>
                <w:rFonts w:cs="Arial"/>
                <w:sz w:val="18"/>
              </w:rPr>
              <w:t>18</w:t>
            </w:r>
          </w:p>
        </w:tc>
        <w:tc>
          <w:tcPr>
            <w:tcW w:w="1051" w:type="dxa"/>
          </w:tcPr>
          <w:p>
            <w:pPr>
              <w:pStyle w:val="GesAbsatz"/>
              <w:tabs>
                <w:tab w:val="clear" w:pos="425"/>
                <w:tab w:val="decimal" w:pos="935"/>
              </w:tabs>
              <w:rPr>
                <w:rFonts w:eastAsia="Arial Unicode MS" w:cs="Arial"/>
                <w:sz w:val="18"/>
                <w:szCs w:val="24"/>
              </w:rPr>
            </w:pPr>
            <w:r>
              <w:rPr>
                <w:rFonts w:cs="Arial"/>
                <w:sz w:val="18"/>
              </w:rPr>
              <w:t>4.584</w:t>
            </w:r>
          </w:p>
        </w:tc>
        <w:tc>
          <w:tcPr>
            <w:tcW w:w="1051" w:type="dxa"/>
          </w:tcPr>
          <w:p>
            <w:pPr>
              <w:pStyle w:val="GesAbsatz"/>
              <w:tabs>
                <w:tab w:val="clear" w:pos="425"/>
                <w:tab w:val="decimal" w:pos="935"/>
              </w:tabs>
              <w:rPr>
                <w:rFonts w:eastAsia="Arial Unicode MS" w:cs="Arial"/>
                <w:sz w:val="18"/>
                <w:szCs w:val="24"/>
              </w:rPr>
            </w:pPr>
            <w:r>
              <w:rPr>
                <w:rFonts w:cs="Arial"/>
                <w:sz w:val="18"/>
              </w:rPr>
              <w:t>448.735</w:t>
            </w:r>
          </w:p>
        </w:tc>
        <w:tc>
          <w:tcPr>
            <w:tcW w:w="1051" w:type="dxa"/>
          </w:tcPr>
          <w:p>
            <w:pPr>
              <w:pStyle w:val="GesAbsatz"/>
              <w:tabs>
                <w:tab w:val="clear" w:pos="425"/>
                <w:tab w:val="decimal" w:pos="935"/>
              </w:tabs>
              <w:rPr>
                <w:rFonts w:eastAsia="Arial Unicode MS" w:cs="Arial"/>
                <w:sz w:val="18"/>
                <w:szCs w:val="24"/>
              </w:rPr>
            </w:pPr>
            <w:r>
              <w:rPr>
                <w:rFonts w:cs="Arial"/>
                <w:sz w:val="18"/>
              </w:rPr>
              <w:t>5.344</w:t>
            </w:r>
          </w:p>
        </w:tc>
        <w:tc>
          <w:tcPr>
            <w:tcW w:w="1051" w:type="dxa"/>
          </w:tcPr>
          <w:p>
            <w:pPr>
              <w:pStyle w:val="GesAbsatz"/>
              <w:tabs>
                <w:tab w:val="clear" w:pos="425"/>
                <w:tab w:val="decimal" w:pos="935"/>
              </w:tabs>
              <w:rPr>
                <w:rFonts w:eastAsia="Arial Unicode MS" w:cs="Arial"/>
                <w:sz w:val="18"/>
                <w:szCs w:val="24"/>
              </w:rPr>
            </w:pPr>
            <w:r>
              <w:rPr>
                <w:rFonts w:cs="Arial"/>
                <w:sz w:val="18"/>
              </w:rPr>
              <w:t>730.879</w:t>
            </w:r>
          </w:p>
        </w:tc>
        <w:tc>
          <w:tcPr>
            <w:tcW w:w="1051" w:type="dxa"/>
          </w:tcPr>
          <w:p>
            <w:pPr>
              <w:pStyle w:val="GesAbsatz"/>
              <w:tabs>
                <w:tab w:val="clear" w:pos="425"/>
                <w:tab w:val="decimal" w:pos="935"/>
              </w:tabs>
              <w:rPr>
                <w:rFonts w:eastAsia="Arial Unicode MS" w:cs="Arial"/>
                <w:sz w:val="18"/>
                <w:szCs w:val="24"/>
              </w:rPr>
            </w:pPr>
            <w:r>
              <w:rPr>
                <w:rFonts w:cs="Arial"/>
                <w:sz w:val="18"/>
              </w:rPr>
              <w:t>7.528</w:t>
            </w:r>
          </w:p>
        </w:tc>
        <w:tc>
          <w:tcPr>
            <w:tcW w:w="1051" w:type="dxa"/>
          </w:tcPr>
          <w:p>
            <w:pPr>
              <w:pStyle w:val="GesAbsatz"/>
              <w:tabs>
                <w:tab w:val="clear" w:pos="425"/>
                <w:tab w:val="decimal" w:pos="935"/>
              </w:tabs>
              <w:rPr>
                <w:rFonts w:eastAsia="Arial Unicode MS" w:cs="Arial"/>
                <w:sz w:val="18"/>
                <w:szCs w:val="24"/>
              </w:rPr>
            </w:pPr>
            <w:r>
              <w:rPr>
                <w:rFonts w:cs="Arial"/>
                <w:sz w:val="18"/>
              </w:rPr>
              <w:t>60.026</w:t>
            </w:r>
          </w:p>
        </w:tc>
        <w:tc>
          <w:tcPr>
            <w:tcW w:w="1051" w:type="dxa"/>
          </w:tcPr>
          <w:p>
            <w:pPr>
              <w:pStyle w:val="GesAbsatz"/>
              <w:tabs>
                <w:tab w:val="clear" w:pos="425"/>
                <w:tab w:val="decimal" w:pos="935"/>
              </w:tabs>
              <w:rPr>
                <w:rFonts w:eastAsia="Arial Unicode MS" w:cs="Arial"/>
                <w:sz w:val="18"/>
                <w:szCs w:val="24"/>
              </w:rPr>
            </w:pPr>
            <w:r>
              <w:rPr>
                <w:rFonts w:cs="Arial"/>
                <w:sz w:val="18"/>
              </w:rPr>
              <w:t>1,29</w:t>
            </w:r>
          </w:p>
        </w:tc>
      </w:tr>
      <w:tr>
        <w:tc>
          <w:tcPr>
            <w:tcW w:w="13661" w:type="dxa"/>
            <w:gridSpan w:val="13"/>
          </w:tcPr>
          <w:p>
            <w:pPr>
              <w:pStyle w:val="GesAbsatz"/>
              <w:rPr>
                <w:rFonts w:cs="Arial"/>
                <w:sz w:val="18"/>
              </w:rPr>
            </w:pPr>
            <w:r>
              <w:rPr>
                <w:rFonts w:cs="Arial"/>
                <w:sz w:val="18"/>
                <w:szCs w:val="15"/>
                <w:vertAlign w:val="superscript"/>
              </w:rPr>
              <w:t>1</w:t>
            </w:r>
            <w:r>
              <w:rPr>
                <w:rFonts w:cs="Arial"/>
                <w:sz w:val="18"/>
                <w:szCs w:val="15"/>
              </w:rPr>
              <w:t xml:space="preserve"> Aus statistischen Angaben errechnet</w:t>
            </w:r>
          </w:p>
        </w:tc>
      </w:tr>
    </w:tbl>
    <w:p>
      <w:pPr>
        <w:pStyle w:val="GesAbsatz"/>
        <w:rPr>
          <w:rFonts w:eastAsia="Arial Unicode MS" w:cs="Arial"/>
          <w:szCs w:val="24"/>
        </w:rPr>
      </w:pPr>
    </w:p>
    <w:p>
      <w:pPr>
        <w:pStyle w:val="GesAbsatz"/>
        <w:rPr>
          <w:rFonts w:cs="Arial"/>
          <w:b/>
          <w:bCs/>
        </w:rPr>
        <w:sectPr>
          <w:type w:val="oddPage"/>
          <w:pgSz w:w="16840" w:h="11907" w:orient="landscape" w:code="9"/>
          <w:pgMar w:top="851" w:right="1134" w:bottom="1418" w:left="1134" w:header="567" w:footer="851" w:gutter="0"/>
          <w:cols w:space="720"/>
        </w:sectPr>
      </w:pPr>
    </w:p>
    <w:p>
      <w:pPr>
        <w:pStyle w:val="GesAbsatz"/>
        <w:rPr>
          <w:rFonts w:eastAsia="Arial Unicode MS" w:cs="Arial"/>
          <w:szCs w:val="24"/>
        </w:rPr>
      </w:pPr>
      <w:r>
        <w:rPr>
          <w:rFonts w:cs="Arial"/>
          <w:b/>
          <w:bCs/>
        </w:rPr>
        <w:lastRenderedPageBreak/>
        <w:t>Tabelle 15: Regionale Anbauschwerpunkte nach Sparten in den fünf Regierungsbezirken von Nordrhein-Westfalen, flächenbezogen</w:t>
      </w:r>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8"/>
        <w:gridCol w:w="1809"/>
        <w:gridCol w:w="1527"/>
        <w:gridCol w:w="2268"/>
        <w:gridCol w:w="1985"/>
      </w:tblGrid>
      <w:tr>
        <w:trPr>
          <w:jc w:val="center"/>
        </w:trPr>
        <w:tc>
          <w:tcPr>
            <w:tcW w:w="1238" w:type="dxa"/>
          </w:tcPr>
          <w:p>
            <w:pPr>
              <w:pStyle w:val="GesAbsatz"/>
              <w:jc w:val="center"/>
              <w:rPr>
                <w:rFonts w:eastAsia="Arial Unicode MS" w:cs="Arial"/>
                <w:sz w:val="18"/>
                <w:szCs w:val="24"/>
              </w:rPr>
            </w:pPr>
            <w:r>
              <w:rPr>
                <w:rFonts w:cs="Arial"/>
                <w:b/>
                <w:bCs/>
                <w:sz w:val="18"/>
              </w:rPr>
              <w:t>RB</w:t>
            </w:r>
          </w:p>
        </w:tc>
        <w:tc>
          <w:tcPr>
            <w:tcW w:w="1809" w:type="dxa"/>
          </w:tcPr>
          <w:p>
            <w:pPr>
              <w:pStyle w:val="GesAbsatz"/>
              <w:jc w:val="center"/>
              <w:rPr>
                <w:rFonts w:eastAsia="Arial Unicode MS" w:cs="Arial"/>
                <w:sz w:val="18"/>
                <w:szCs w:val="24"/>
              </w:rPr>
            </w:pPr>
            <w:r>
              <w:rPr>
                <w:rFonts w:cs="Arial"/>
                <w:b/>
                <w:bCs/>
                <w:sz w:val="18"/>
              </w:rPr>
              <w:t>Zierpflanzenbau</w:t>
            </w:r>
          </w:p>
        </w:tc>
        <w:tc>
          <w:tcPr>
            <w:tcW w:w="1527" w:type="dxa"/>
          </w:tcPr>
          <w:p>
            <w:pPr>
              <w:pStyle w:val="GesAbsatz"/>
              <w:jc w:val="center"/>
              <w:rPr>
                <w:rFonts w:eastAsia="Arial Unicode MS" w:cs="Arial"/>
                <w:sz w:val="18"/>
                <w:szCs w:val="24"/>
              </w:rPr>
            </w:pPr>
            <w:r>
              <w:rPr>
                <w:rFonts w:cs="Arial"/>
                <w:b/>
                <w:bCs/>
                <w:sz w:val="18"/>
              </w:rPr>
              <w:t>Gemüseanbau</w:t>
            </w:r>
          </w:p>
        </w:tc>
        <w:tc>
          <w:tcPr>
            <w:tcW w:w="2268" w:type="dxa"/>
          </w:tcPr>
          <w:p>
            <w:pPr>
              <w:pStyle w:val="GesAbsatz"/>
              <w:jc w:val="center"/>
              <w:rPr>
                <w:rFonts w:eastAsia="Arial Unicode MS" w:cs="Arial"/>
                <w:sz w:val="18"/>
                <w:szCs w:val="24"/>
              </w:rPr>
            </w:pPr>
            <w:r>
              <w:rPr>
                <w:rFonts w:cs="Arial"/>
                <w:b/>
                <w:bCs/>
                <w:sz w:val="18"/>
              </w:rPr>
              <w:t>Baumschulen</w:t>
            </w:r>
          </w:p>
        </w:tc>
        <w:tc>
          <w:tcPr>
            <w:tcW w:w="1985" w:type="dxa"/>
          </w:tcPr>
          <w:p>
            <w:pPr>
              <w:pStyle w:val="GesAbsatz"/>
              <w:jc w:val="center"/>
              <w:rPr>
                <w:rFonts w:eastAsia="Arial Unicode MS" w:cs="Arial"/>
                <w:sz w:val="18"/>
                <w:szCs w:val="24"/>
              </w:rPr>
            </w:pPr>
            <w:r>
              <w:rPr>
                <w:rFonts w:cs="Arial"/>
                <w:b/>
                <w:bCs/>
                <w:sz w:val="18"/>
              </w:rPr>
              <w:t>Obstbau</w:t>
            </w:r>
          </w:p>
        </w:tc>
      </w:tr>
      <w:tr>
        <w:trPr>
          <w:jc w:val="center"/>
        </w:trPr>
        <w:tc>
          <w:tcPr>
            <w:tcW w:w="1238" w:type="dxa"/>
          </w:tcPr>
          <w:p>
            <w:pPr>
              <w:pStyle w:val="GesAbsatz"/>
              <w:rPr>
                <w:rFonts w:eastAsia="Arial Unicode MS" w:cs="Arial"/>
                <w:sz w:val="18"/>
                <w:szCs w:val="24"/>
              </w:rPr>
            </w:pPr>
            <w:r>
              <w:rPr>
                <w:rFonts w:cs="Arial"/>
                <w:b/>
                <w:bCs/>
                <w:sz w:val="18"/>
              </w:rPr>
              <w:t>Arnsberg</w:t>
            </w:r>
          </w:p>
        </w:tc>
        <w:tc>
          <w:tcPr>
            <w:tcW w:w="1809" w:type="dxa"/>
          </w:tcPr>
          <w:p>
            <w:pPr>
              <w:pStyle w:val="GesAbsatz"/>
              <w:rPr>
                <w:rFonts w:eastAsia="Arial Unicode MS" w:cs="Arial"/>
                <w:sz w:val="18"/>
                <w:szCs w:val="24"/>
              </w:rPr>
            </w:pPr>
            <w:r>
              <w:rPr>
                <w:rFonts w:cs="Arial"/>
                <w:sz w:val="18"/>
              </w:rPr>
              <w:t>Kreisstelle</w:t>
            </w:r>
            <w:r>
              <w:rPr>
                <w:rFonts w:cs="Arial"/>
                <w:sz w:val="18"/>
              </w:rPr>
              <w:br/>
              <w:t>Ruhr-Lippe</w:t>
            </w:r>
          </w:p>
        </w:tc>
        <w:tc>
          <w:tcPr>
            <w:tcW w:w="1527" w:type="dxa"/>
          </w:tcPr>
          <w:p>
            <w:pPr>
              <w:pStyle w:val="GesAbsatz"/>
              <w:rPr>
                <w:rFonts w:eastAsia="Arial Unicode MS" w:cs="Arial"/>
                <w:sz w:val="18"/>
                <w:szCs w:val="24"/>
              </w:rPr>
            </w:pPr>
            <w:r>
              <w:rPr>
                <w:rFonts w:cs="Arial"/>
                <w:sz w:val="18"/>
              </w:rPr>
              <w:t>Kreis Soest</w:t>
            </w:r>
          </w:p>
        </w:tc>
        <w:tc>
          <w:tcPr>
            <w:tcW w:w="2268" w:type="dxa"/>
          </w:tcPr>
          <w:p>
            <w:pPr>
              <w:pStyle w:val="GesAbsatz"/>
              <w:rPr>
                <w:rFonts w:eastAsia="Arial Unicode MS" w:cs="Arial"/>
                <w:sz w:val="18"/>
                <w:szCs w:val="24"/>
              </w:rPr>
            </w:pPr>
            <w:r>
              <w:rPr>
                <w:rFonts w:cs="Arial"/>
                <w:sz w:val="18"/>
              </w:rPr>
              <w:t>Kreis Olpe</w:t>
            </w:r>
          </w:p>
        </w:tc>
        <w:tc>
          <w:tcPr>
            <w:tcW w:w="1985" w:type="dxa"/>
          </w:tcPr>
          <w:p>
            <w:pPr>
              <w:pStyle w:val="GesAbsatz"/>
              <w:rPr>
                <w:rFonts w:eastAsia="Arial Unicode MS" w:cs="Arial"/>
                <w:sz w:val="18"/>
                <w:szCs w:val="24"/>
              </w:rPr>
            </w:pPr>
          </w:p>
        </w:tc>
      </w:tr>
      <w:tr>
        <w:trPr>
          <w:trHeight w:val="781"/>
          <w:jc w:val="center"/>
        </w:trPr>
        <w:tc>
          <w:tcPr>
            <w:tcW w:w="1238" w:type="dxa"/>
          </w:tcPr>
          <w:p>
            <w:pPr>
              <w:pStyle w:val="GesAbsatz"/>
              <w:rPr>
                <w:rFonts w:eastAsia="Arial Unicode MS" w:cs="Arial"/>
                <w:sz w:val="18"/>
                <w:szCs w:val="24"/>
              </w:rPr>
            </w:pPr>
            <w:r>
              <w:rPr>
                <w:rFonts w:cs="Arial"/>
                <w:b/>
                <w:bCs/>
                <w:sz w:val="18"/>
              </w:rPr>
              <w:t>Detmold</w:t>
            </w:r>
          </w:p>
        </w:tc>
        <w:tc>
          <w:tcPr>
            <w:tcW w:w="1809" w:type="dxa"/>
          </w:tcPr>
          <w:p>
            <w:pPr>
              <w:pStyle w:val="GesAbsatz"/>
              <w:rPr>
                <w:rFonts w:eastAsia="Arial Unicode MS" w:cs="Arial"/>
                <w:sz w:val="18"/>
                <w:szCs w:val="24"/>
              </w:rPr>
            </w:pPr>
          </w:p>
        </w:tc>
        <w:tc>
          <w:tcPr>
            <w:tcW w:w="1527" w:type="dxa"/>
          </w:tcPr>
          <w:p>
            <w:pPr>
              <w:pStyle w:val="GesAbsatz"/>
              <w:rPr>
                <w:rFonts w:eastAsia="Arial Unicode MS" w:cs="Arial"/>
                <w:sz w:val="18"/>
                <w:szCs w:val="24"/>
              </w:rPr>
            </w:pPr>
            <w:r>
              <w:rPr>
                <w:rFonts w:cs="Arial"/>
                <w:sz w:val="18"/>
              </w:rPr>
              <w:t>Kreisstelle</w:t>
            </w:r>
            <w:r>
              <w:rPr>
                <w:rFonts w:cs="Arial"/>
                <w:sz w:val="18"/>
              </w:rPr>
              <w:br/>
              <w:t>Herford-Bielefeld</w:t>
            </w:r>
          </w:p>
        </w:tc>
        <w:tc>
          <w:tcPr>
            <w:tcW w:w="2268" w:type="dxa"/>
          </w:tcPr>
          <w:p>
            <w:pPr>
              <w:pStyle w:val="GesAbsatz"/>
              <w:rPr>
                <w:rFonts w:eastAsia="Arial Unicode MS" w:cs="Arial"/>
                <w:sz w:val="18"/>
                <w:szCs w:val="24"/>
              </w:rPr>
            </w:pPr>
            <w:r>
              <w:rPr>
                <w:rFonts w:cs="Arial"/>
                <w:sz w:val="18"/>
              </w:rPr>
              <w:t>Kreis Gütersloh</w:t>
            </w:r>
          </w:p>
        </w:tc>
        <w:tc>
          <w:tcPr>
            <w:tcW w:w="1985" w:type="dxa"/>
          </w:tcPr>
          <w:p>
            <w:pPr>
              <w:pStyle w:val="GesAbsatz"/>
              <w:rPr>
                <w:rFonts w:eastAsia="Arial Unicode MS" w:cs="Arial"/>
                <w:sz w:val="18"/>
                <w:szCs w:val="24"/>
              </w:rPr>
            </w:pPr>
            <w:r>
              <w:rPr>
                <w:rFonts w:cs="Arial"/>
                <w:sz w:val="18"/>
              </w:rPr>
              <w:t>Kreisstelle</w:t>
            </w:r>
            <w:r>
              <w:rPr>
                <w:rFonts w:cs="Arial"/>
                <w:sz w:val="18"/>
              </w:rPr>
              <w:br/>
              <w:t>Herford-Bielefeld</w:t>
            </w:r>
            <w:r>
              <w:rPr>
                <w:rFonts w:cs="Arial"/>
                <w:sz w:val="18"/>
              </w:rPr>
              <w:br/>
              <w:t>Kreis Lippe</w:t>
            </w:r>
          </w:p>
        </w:tc>
      </w:tr>
      <w:tr>
        <w:trPr>
          <w:jc w:val="center"/>
        </w:trPr>
        <w:tc>
          <w:tcPr>
            <w:tcW w:w="1238" w:type="dxa"/>
          </w:tcPr>
          <w:p>
            <w:pPr>
              <w:pStyle w:val="GesAbsatz"/>
              <w:rPr>
                <w:rFonts w:eastAsia="Arial Unicode MS" w:cs="Arial"/>
                <w:sz w:val="18"/>
                <w:szCs w:val="24"/>
              </w:rPr>
            </w:pPr>
            <w:r>
              <w:rPr>
                <w:rFonts w:cs="Arial"/>
                <w:b/>
                <w:bCs/>
                <w:sz w:val="18"/>
              </w:rPr>
              <w:t>Düsseldorf</w:t>
            </w:r>
          </w:p>
        </w:tc>
        <w:tc>
          <w:tcPr>
            <w:tcW w:w="1809" w:type="dxa"/>
          </w:tcPr>
          <w:p>
            <w:pPr>
              <w:pStyle w:val="GesAbsatz"/>
              <w:rPr>
                <w:rFonts w:eastAsia="Arial Unicode MS" w:cs="Arial"/>
                <w:sz w:val="18"/>
                <w:szCs w:val="24"/>
              </w:rPr>
            </w:pPr>
            <w:r>
              <w:rPr>
                <w:rFonts w:cs="Arial"/>
                <w:sz w:val="18"/>
              </w:rPr>
              <w:t>Kreis Neuss</w:t>
            </w:r>
            <w:r>
              <w:rPr>
                <w:rFonts w:cs="Arial"/>
                <w:sz w:val="18"/>
              </w:rPr>
              <w:br/>
              <w:t>Kreis Kleve</w:t>
            </w:r>
            <w:r>
              <w:rPr>
                <w:rFonts w:cs="Arial"/>
                <w:sz w:val="18"/>
                <w:vertAlign w:val="superscript"/>
              </w:rPr>
              <w:t>1</w:t>
            </w:r>
          </w:p>
        </w:tc>
        <w:tc>
          <w:tcPr>
            <w:tcW w:w="1527" w:type="dxa"/>
          </w:tcPr>
          <w:p>
            <w:pPr>
              <w:pStyle w:val="GesAbsatz"/>
              <w:rPr>
                <w:rFonts w:eastAsia="Arial Unicode MS" w:cs="Arial"/>
                <w:sz w:val="18"/>
                <w:szCs w:val="24"/>
              </w:rPr>
            </w:pPr>
            <w:r>
              <w:rPr>
                <w:rFonts w:cs="Arial"/>
                <w:sz w:val="18"/>
              </w:rPr>
              <w:t>Kreis Viersen</w:t>
            </w:r>
            <w:r>
              <w:rPr>
                <w:rFonts w:cs="Arial"/>
                <w:sz w:val="18"/>
              </w:rPr>
              <w:br/>
              <w:t>Kreis Kleve</w:t>
            </w:r>
            <w:r>
              <w:rPr>
                <w:rFonts w:cs="Arial"/>
                <w:sz w:val="18"/>
                <w:vertAlign w:val="superscript"/>
              </w:rPr>
              <w:t>1</w:t>
            </w:r>
          </w:p>
        </w:tc>
        <w:tc>
          <w:tcPr>
            <w:tcW w:w="2268" w:type="dxa"/>
          </w:tcPr>
          <w:p>
            <w:pPr>
              <w:pStyle w:val="GesAbsatz"/>
              <w:rPr>
                <w:rFonts w:eastAsia="Arial Unicode MS" w:cs="Arial"/>
                <w:sz w:val="18"/>
                <w:szCs w:val="24"/>
              </w:rPr>
            </w:pPr>
            <w:r>
              <w:rPr>
                <w:rFonts w:cs="Arial"/>
                <w:sz w:val="18"/>
              </w:rPr>
              <w:t>Kreis Viersen</w:t>
            </w:r>
            <w:r>
              <w:rPr>
                <w:rFonts w:cs="Arial"/>
                <w:sz w:val="18"/>
              </w:rPr>
              <w:br/>
              <w:t>Kreis Kleve</w:t>
            </w:r>
          </w:p>
        </w:tc>
        <w:tc>
          <w:tcPr>
            <w:tcW w:w="1985" w:type="dxa"/>
          </w:tcPr>
          <w:p>
            <w:pPr>
              <w:pStyle w:val="GesAbsatz"/>
              <w:rPr>
                <w:rFonts w:eastAsia="Arial Unicode MS" w:cs="Arial"/>
                <w:sz w:val="18"/>
                <w:szCs w:val="24"/>
              </w:rPr>
            </w:pPr>
            <w:r>
              <w:rPr>
                <w:rFonts w:cs="Arial"/>
                <w:sz w:val="18"/>
              </w:rPr>
              <w:t>Kreis Viersen</w:t>
            </w:r>
          </w:p>
        </w:tc>
      </w:tr>
      <w:tr>
        <w:trPr>
          <w:jc w:val="center"/>
        </w:trPr>
        <w:tc>
          <w:tcPr>
            <w:tcW w:w="1238" w:type="dxa"/>
          </w:tcPr>
          <w:p>
            <w:pPr>
              <w:pStyle w:val="GesAbsatz"/>
              <w:rPr>
                <w:rFonts w:eastAsia="Arial Unicode MS" w:cs="Arial"/>
                <w:sz w:val="18"/>
                <w:szCs w:val="24"/>
              </w:rPr>
            </w:pPr>
            <w:r>
              <w:rPr>
                <w:rFonts w:cs="Arial"/>
                <w:b/>
                <w:bCs/>
                <w:sz w:val="18"/>
              </w:rPr>
              <w:t>Köln</w:t>
            </w:r>
          </w:p>
        </w:tc>
        <w:tc>
          <w:tcPr>
            <w:tcW w:w="1809" w:type="dxa"/>
          </w:tcPr>
          <w:p>
            <w:pPr>
              <w:pStyle w:val="GesAbsatz"/>
              <w:rPr>
                <w:rFonts w:eastAsia="Arial Unicode MS" w:cs="Arial"/>
                <w:sz w:val="18"/>
                <w:szCs w:val="24"/>
              </w:rPr>
            </w:pPr>
            <w:r>
              <w:rPr>
                <w:rFonts w:cs="Arial"/>
                <w:sz w:val="18"/>
              </w:rPr>
              <w:t>Rhein-Sieg-Kreis</w:t>
            </w:r>
          </w:p>
        </w:tc>
        <w:tc>
          <w:tcPr>
            <w:tcW w:w="1527" w:type="dxa"/>
          </w:tcPr>
          <w:p>
            <w:pPr>
              <w:pStyle w:val="GesAbsatz"/>
              <w:rPr>
                <w:rFonts w:eastAsia="Arial Unicode MS" w:cs="Arial"/>
                <w:sz w:val="18"/>
                <w:szCs w:val="24"/>
              </w:rPr>
            </w:pPr>
            <w:r>
              <w:rPr>
                <w:rFonts w:cs="Arial"/>
                <w:sz w:val="18"/>
              </w:rPr>
              <w:t>Rhein-Sieg-Kreis</w:t>
            </w:r>
            <w:r>
              <w:rPr>
                <w:rFonts w:cs="Arial"/>
                <w:sz w:val="18"/>
              </w:rPr>
              <w:br/>
              <w:t>Erftkreis</w:t>
            </w:r>
          </w:p>
        </w:tc>
        <w:tc>
          <w:tcPr>
            <w:tcW w:w="2268" w:type="dxa"/>
          </w:tcPr>
          <w:p>
            <w:pPr>
              <w:pStyle w:val="GesAbsatz"/>
              <w:rPr>
                <w:rFonts w:eastAsia="Arial Unicode MS" w:cs="Arial"/>
                <w:sz w:val="18"/>
                <w:szCs w:val="24"/>
              </w:rPr>
            </w:pPr>
            <w:r>
              <w:rPr>
                <w:rFonts w:cs="Arial"/>
                <w:sz w:val="18"/>
              </w:rPr>
              <w:t>Rhein-Sieg-Kreis</w:t>
            </w:r>
            <w:r>
              <w:rPr>
                <w:rFonts w:cs="Arial"/>
                <w:sz w:val="18"/>
                <w:vertAlign w:val="superscript"/>
              </w:rPr>
              <w:t>1</w:t>
            </w:r>
            <w:r>
              <w:rPr>
                <w:rFonts w:cs="Arial"/>
                <w:sz w:val="18"/>
              </w:rPr>
              <w:br/>
              <w:t>Kreis Heinsberg</w:t>
            </w:r>
          </w:p>
        </w:tc>
        <w:tc>
          <w:tcPr>
            <w:tcW w:w="1985" w:type="dxa"/>
          </w:tcPr>
          <w:p>
            <w:pPr>
              <w:pStyle w:val="GesAbsatz"/>
              <w:rPr>
                <w:rFonts w:eastAsia="Arial Unicode MS" w:cs="Arial"/>
                <w:sz w:val="18"/>
                <w:szCs w:val="24"/>
              </w:rPr>
            </w:pPr>
            <w:r>
              <w:rPr>
                <w:rFonts w:cs="Arial"/>
                <w:sz w:val="18"/>
              </w:rPr>
              <w:t>Rhein-Sieg-Kreis</w:t>
            </w:r>
            <w:r>
              <w:rPr>
                <w:rFonts w:cs="Arial"/>
                <w:sz w:val="18"/>
                <w:vertAlign w:val="superscript"/>
              </w:rPr>
              <w:t>1</w:t>
            </w:r>
          </w:p>
        </w:tc>
      </w:tr>
      <w:tr>
        <w:trPr>
          <w:jc w:val="center"/>
        </w:trPr>
        <w:tc>
          <w:tcPr>
            <w:tcW w:w="1238" w:type="dxa"/>
          </w:tcPr>
          <w:p>
            <w:pPr>
              <w:pStyle w:val="GesAbsatz"/>
              <w:rPr>
                <w:rFonts w:eastAsia="Arial Unicode MS" w:cs="Arial"/>
                <w:sz w:val="18"/>
                <w:szCs w:val="24"/>
              </w:rPr>
            </w:pPr>
            <w:r>
              <w:rPr>
                <w:rFonts w:cs="Arial"/>
                <w:b/>
                <w:bCs/>
                <w:sz w:val="18"/>
              </w:rPr>
              <w:t>Münster</w:t>
            </w:r>
          </w:p>
        </w:tc>
        <w:tc>
          <w:tcPr>
            <w:tcW w:w="1809" w:type="dxa"/>
          </w:tcPr>
          <w:p>
            <w:pPr>
              <w:pStyle w:val="GesAbsatz"/>
              <w:rPr>
                <w:rFonts w:eastAsia="Arial Unicode MS" w:cs="Arial"/>
                <w:sz w:val="18"/>
                <w:szCs w:val="24"/>
              </w:rPr>
            </w:pPr>
            <w:r>
              <w:rPr>
                <w:rFonts w:cs="Arial"/>
                <w:sz w:val="18"/>
              </w:rPr>
              <w:t xml:space="preserve">Kreis Borken </w:t>
            </w:r>
            <w:r>
              <w:rPr>
                <w:rFonts w:cs="Arial"/>
                <w:sz w:val="18"/>
              </w:rPr>
              <w:br/>
              <w:t>Kreis Recklinghausen</w:t>
            </w:r>
          </w:p>
        </w:tc>
        <w:tc>
          <w:tcPr>
            <w:tcW w:w="1527" w:type="dxa"/>
          </w:tcPr>
          <w:p>
            <w:pPr>
              <w:pStyle w:val="GesAbsatz"/>
              <w:rPr>
                <w:rFonts w:eastAsia="Arial Unicode MS" w:cs="Arial"/>
                <w:sz w:val="18"/>
                <w:szCs w:val="24"/>
              </w:rPr>
            </w:pPr>
            <w:r>
              <w:rPr>
                <w:rFonts w:cs="Arial"/>
                <w:sz w:val="18"/>
              </w:rPr>
              <w:t>Kreis Borken</w:t>
            </w:r>
          </w:p>
        </w:tc>
        <w:tc>
          <w:tcPr>
            <w:tcW w:w="2268" w:type="dxa"/>
          </w:tcPr>
          <w:p>
            <w:pPr>
              <w:pStyle w:val="GesAbsatz"/>
              <w:rPr>
                <w:rFonts w:eastAsia="Arial Unicode MS" w:cs="Arial"/>
                <w:sz w:val="18"/>
                <w:szCs w:val="24"/>
              </w:rPr>
            </w:pPr>
            <w:r>
              <w:rPr>
                <w:rFonts w:cs="Arial"/>
                <w:sz w:val="18"/>
              </w:rPr>
              <w:t xml:space="preserve">Kreis Borken </w:t>
            </w:r>
            <w:r>
              <w:rPr>
                <w:rFonts w:cs="Arial"/>
                <w:sz w:val="18"/>
              </w:rPr>
              <w:br/>
              <w:t>Kreis Recklinghausen</w:t>
            </w:r>
            <w:r>
              <w:rPr>
                <w:rFonts w:cs="Arial"/>
                <w:sz w:val="18"/>
              </w:rPr>
              <w:br/>
              <w:t>Stadt Münster</w:t>
            </w:r>
          </w:p>
        </w:tc>
        <w:tc>
          <w:tcPr>
            <w:tcW w:w="1985" w:type="dxa"/>
          </w:tcPr>
          <w:p>
            <w:pPr>
              <w:pStyle w:val="GesAbsatz"/>
              <w:rPr>
                <w:rFonts w:eastAsia="Arial Unicode MS" w:cs="Arial"/>
                <w:sz w:val="18"/>
                <w:szCs w:val="24"/>
              </w:rPr>
            </w:pPr>
          </w:p>
        </w:tc>
      </w:tr>
      <w:tr>
        <w:trPr>
          <w:jc w:val="center"/>
        </w:trPr>
        <w:tc>
          <w:tcPr>
            <w:tcW w:w="8827" w:type="dxa"/>
            <w:gridSpan w:val="5"/>
            <w:vAlign w:val="center"/>
          </w:tcPr>
          <w:p>
            <w:pPr>
              <w:pStyle w:val="GesAbsatz"/>
              <w:rPr>
                <w:rFonts w:eastAsia="Arial Unicode MS" w:cs="Arial"/>
                <w:sz w:val="18"/>
                <w:szCs w:val="24"/>
              </w:rPr>
            </w:pPr>
            <w:r>
              <w:rPr>
                <w:rFonts w:cs="Arial"/>
                <w:sz w:val="18"/>
                <w:szCs w:val="15"/>
                <w:vertAlign w:val="superscript"/>
              </w:rPr>
              <w:t>1</w:t>
            </w:r>
            <w:r>
              <w:rPr>
                <w:rFonts w:cs="Arial"/>
                <w:sz w:val="18"/>
                <w:szCs w:val="15"/>
              </w:rPr>
              <w:t xml:space="preserve"> In diesem Kreis befindet sich die größten Anbauflächen in der jeweiligen Sparte.</w:t>
            </w:r>
          </w:p>
        </w:tc>
      </w:tr>
    </w:tbl>
    <w:p>
      <w:pPr>
        <w:pStyle w:val="GesAbsatz"/>
        <w:rPr>
          <w:rFonts w:eastAsia="Arial Unicode MS" w:cs="Arial"/>
          <w:szCs w:val="24"/>
        </w:rPr>
      </w:pPr>
    </w:p>
    <w:p>
      <w:pPr>
        <w:pStyle w:val="GesAbsatz"/>
        <w:rPr>
          <w:rFonts w:cs="Arial"/>
        </w:rPr>
      </w:pPr>
      <w:r>
        <w:rPr>
          <w:rFonts w:cs="Arial"/>
        </w:rPr>
        <w:t>Die Regierungsbezirke Düsseldorf und Köln haben zusammen 21.070 ha gärtnerische Nutzfläche</w:t>
      </w:r>
      <w:r>
        <w:rPr>
          <w:rStyle w:val="Funotenzeichen"/>
          <w:rFonts w:cs="Arial"/>
        </w:rPr>
        <w:footnoteReference w:id="1"/>
      </w:r>
      <w:r>
        <w:rPr>
          <w:rFonts w:cs="Arial"/>
        </w:rPr>
        <w:t>.</w:t>
      </w:r>
    </w:p>
    <w:p>
      <w:pPr>
        <w:pStyle w:val="GesAbsatz"/>
        <w:rPr>
          <w:rFonts w:cs="Arial"/>
        </w:rPr>
      </w:pPr>
      <w:r>
        <w:rPr>
          <w:rFonts w:cs="Arial"/>
        </w:rPr>
        <w:t>Die Anbauschwerpunkte nach Sparten zeigt Tabelle 15.</w:t>
      </w:r>
    </w:p>
    <w:p>
      <w:pPr>
        <w:pStyle w:val="GesAbsatz"/>
        <w:rPr>
          <w:rFonts w:cs="Arial"/>
        </w:rPr>
      </w:pPr>
      <w:r>
        <w:rPr>
          <w:rFonts w:cs="Arial"/>
        </w:rPr>
        <w:t>Landesweit betrachtet dominiert die Zahl der Zierpflanzen- (41 %) und Gemüsebaubetriebe (35 %) vor den Baumschulen und den Obstbaubetrieben (je 12 %). Flächenmäßig liegen die Gemüseanbauflächen (56 %) vor dem Obstbau (18 %), es folgen Baumschulen (16 %) und Zierpflanzen (10 %). Beim Zierpflanzen- und Gemüseanbau weist Nordrhein-Westfalen im Bundesvergleich die größten Flächen auf und liegt bei den Baumschulflächen an dritter Stelle (nach Zahlen der Gartenbauerhebung 1994 in: Statistisches Bundesamt, 1997a).</w:t>
      </w:r>
    </w:p>
    <w:p>
      <w:pPr>
        <w:pStyle w:val="GesAbsatz"/>
        <w:rPr>
          <w:rFonts w:cs="Arial"/>
        </w:rPr>
      </w:pPr>
      <w:r>
        <w:rPr>
          <w:rFonts w:cs="Arial"/>
        </w:rPr>
        <w:t>Für die Kompostvermarktung wertvolle Kulturen wie Spargel werden in Nordrhein-Westfalen nur in verhältnismäßig geringem Umfang angebaut. Im Jahr 1997 war landesweit eine Fläche von 2.049 ha mit Spargel bestellt (davon 1.651 ha im Ertrag stehend), die größte Fläche – ca. 45 % der Gesamtfläche – befand sich im Regierungsbezirk Münster (LDS, 1998b).</w:t>
      </w:r>
    </w:p>
    <w:p>
      <w:pPr>
        <w:pStyle w:val="GesAbsatz"/>
        <w:rPr>
          <w:rFonts w:cs="Arial"/>
        </w:rPr>
      </w:pPr>
      <w:r>
        <w:rPr>
          <w:rFonts w:cs="Arial"/>
        </w:rPr>
        <w:t>Für die Beschreibung der für die Kompostverwertung relevanten Strukturen können weiterhin folgende Bereiche herangezogen werden.</w:t>
      </w:r>
    </w:p>
    <w:p>
      <w:pPr>
        <w:pStyle w:val="GesAbsatz"/>
        <w:rPr>
          <w:rFonts w:cs="Arial"/>
        </w:rPr>
      </w:pPr>
      <w:r>
        <w:rPr>
          <w:rFonts w:cs="Arial"/>
          <w:b/>
          <w:bCs/>
        </w:rPr>
        <w:t>Hobbygartenbau:</w:t>
      </w:r>
    </w:p>
    <w:p>
      <w:pPr>
        <w:pStyle w:val="GesAbsatz"/>
        <w:rPr>
          <w:rFonts w:eastAsia="Arial Unicode MS" w:cs="Arial"/>
        </w:rPr>
      </w:pPr>
      <w:r>
        <w:rPr>
          <w:rFonts w:cs="Arial"/>
        </w:rPr>
        <w:t>Es gibt 4.863 ha Kleingartenfläche in NRW (aus Verbandsstatistiken der Landesverbände der Kleingärtner Westfalen und Lippe sowie Rheinland, 1998), davon:</w:t>
      </w:r>
    </w:p>
    <w:p>
      <w:pPr>
        <w:pStyle w:val="GesAbsatz"/>
        <w:ind w:left="426" w:hanging="426"/>
        <w:rPr>
          <w:rFonts w:eastAsia="Arial Unicode MS" w:cs="Arial"/>
        </w:rPr>
      </w:pPr>
      <w:r>
        <w:rPr>
          <w:rFonts w:cs="Arial"/>
        </w:rPr>
        <w:t>-</w:t>
      </w:r>
      <w:r>
        <w:rPr>
          <w:rFonts w:cs="Arial"/>
        </w:rPr>
        <w:tab/>
        <w:t>2.323 ha im Landesverband Rheinland (Regierungsbezirke Düsseldorf und Köln) mit 59.740 Kleingärten und Schwerpunkten in den kreisfreien Städten Köln, Wuppertal, Düsseldorf, Duisburg und Mönchengladbach sowie im Kreis Neuss. Im Regierungsbezirk Düsseldorf befindet sich doppelt so viel Kleingartenfläche wie im Regierungsbezirk Köln.</w:t>
      </w:r>
    </w:p>
    <w:p>
      <w:pPr>
        <w:pStyle w:val="GesAbsatz"/>
        <w:ind w:left="426" w:hanging="426"/>
        <w:rPr>
          <w:rFonts w:eastAsia="Arial Unicode MS" w:cs="Arial"/>
        </w:rPr>
      </w:pPr>
      <w:r>
        <w:rPr>
          <w:rFonts w:cs="Arial"/>
        </w:rPr>
        <w:t>-</w:t>
      </w:r>
      <w:r>
        <w:rPr>
          <w:rFonts w:cs="Arial"/>
        </w:rPr>
        <w:tab/>
        <w:t>2.200 ha im Landesverband Westfalen-Lippe (Regierungsbezirke Arnsberg, Detmold und Münster) mit etwa 69.000 Kleingärten und einer Konzentration zwischen den Städten Bottrop und Hamm in West-Ost-Richtung und dem Kreis Recklinghausen und der Stadt Bochum in Nord-Süd Ausdehnung. Der Schwerpunkt befindet sich hier natürlicherweise im bevölkerungsreichen nordwestlichen Teil des Regierungsbezirks Arnsberg.</w:t>
      </w:r>
    </w:p>
    <w:p>
      <w:pPr>
        <w:pStyle w:val="GesAbsatz"/>
        <w:rPr>
          <w:rFonts w:cs="Arial"/>
        </w:rPr>
      </w:pPr>
      <w:r>
        <w:rPr>
          <w:rFonts w:cs="Arial"/>
        </w:rPr>
        <w:t>-</w:t>
      </w:r>
      <w:r>
        <w:rPr>
          <w:rFonts w:cs="Arial"/>
        </w:rPr>
        <w:tab/>
        <w:t>Außerdem gibt es 340 ha im Verband Essen mit 8.500 Kleingärten.</w:t>
      </w:r>
    </w:p>
    <w:p>
      <w:pPr>
        <w:pStyle w:val="GesAbsatz"/>
        <w:rPr>
          <w:rFonts w:eastAsia="Arial Unicode MS" w:cs="Arial"/>
        </w:rPr>
      </w:pPr>
      <w:r>
        <w:rPr>
          <w:rFonts w:cs="Arial"/>
        </w:rPr>
        <w:t>Im Durchschnitt produziert jeder Kleingärtner 2 - 3 m</w:t>
      </w:r>
      <w:r>
        <w:rPr>
          <w:rFonts w:cs="Arial"/>
          <w:vertAlign w:val="superscript"/>
        </w:rPr>
        <w:t>3</w:t>
      </w:r>
      <w:r>
        <w:rPr>
          <w:rFonts w:cs="Arial"/>
        </w:rPr>
        <w:t xml:space="preserve"> Kompost pro Jahr in seinem eigenen Garten. Auf alle Kleingärtner hochgerechnet fallen im Jahr also rund 600 Mg Eigenkompost in den in Vereinen organisierten Gärten an.</w:t>
      </w:r>
    </w:p>
    <w:p>
      <w:pPr>
        <w:pStyle w:val="GesAbsatz"/>
        <w:rPr>
          <w:rFonts w:cs="Arial"/>
        </w:rPr>
      </w:pPr>
      <w:r>
        <w:rPr>
          <w:rFonts w:cs="Arial"/>
          <w:b/>
          <w:bCs/>
        </w:rPr>
        <w:lastRenderedPageBreak/>
        <w:t>Garten- und Landschaftsbau</w:t>
      </w:r>
      <w:r>
        <w:rPr>
          <w:rFonts w:cs="Arial"/>
        </w:rPr>
        <w:t xml:space="preserve"> (nach Verbandsstatistik: Zahl der Betriebe im Verband Garten-, Landschafts- und Sportplatzbau 1998):</w:t>
      </w:r>
    </w:p>
    <w:p>
      <w:pPr>
        <w:pStyle w:val="GesAbsatz"/>
        <w:ind w:left="426" w:hanging="426"/>
        <w:rPr>
          <w:rFonts w:cs="Arial"/>
        </w:rPr>
      </w:pPr>
      <w:r>
        <w:rPr>
          <w:rFonts w:cs="Arial"/>
        </w:rPr>
        <w:t>-</w:t>
      </w:r>
      <w:r>
        <w:rPr>
          <w:rFonts w:cs="Arial"/>
        </w:rPr>
        <w:tab/>
        <w:t>Im Regierungsbezirk Arnsberg: 143 Betriebe mit Schwerpunkten in der Stadt Dortmund und dem Kreis Unna.</w:t>
      </w:r>
    </w:p>
    <w:p>
      <w:pPr>
        <w:pStyle w:val="GesAbsatz"/>
        <w:ind w:left="426" w:hanging="426"/>
        <w:rPr>
          <w:rFonts w:cs="Arial"/>
        </w:rPr>
      </w:pPr>
      <w:r>
        <w:rPr>
          <w:rFonts w:cs="Arial"/>
        </w:rPr>
        <w:t>-</w:t>
      </w:r>
      <w:r>
        <w:rPr>
          <w:rFonts w:cs="Arial"/>
        </w:rPr>
        <w:tab/>
        <w:t>Im Regierungsbezirk Detmold: 91 Betriebe mit Schwerpunkten im Kreis Gütersloh und der Stadt Bielefeld.</w:t>
      </w:r>
    </w:p>
    <w:p>
      <w:pPr>
        <w:pStyle w:val="GesAbsatz"/>
        <w:ind w:left="426" w:hanging="426"/>
        <w:rPr>
          <w:rFonts w:cs="Arial"/>
        </w:rPr>
      </w:pPr>
      <w:r>
        <w:rPr>
          <w:rFonts w:cs="Arial"/>
        </w:rPr>
        <w:t>-</w:t>
      </w:r>
      <w:r>
        <w:rPr>
          <w:rFonts w:cs="Arial"/>
        </w:rPr>
        <w:tab/>
        <w:t>Im Regierungsbezirk Düsseldorf: 223 Betriebe mit Schwerpunkten in der Stadt Essen, dem Kreis Mettmann und dem Kreis Neuss.</w:t>
      </w:r>
    </w:p>
    <w:p>
      <w:pPr>
        <w:pStyle w:val="GesAbsatz"/>
        <w:ind w:left="426" w:hanging="426"/>
        <w:rPr>
          <w:rFonts w:cs="Arial"/>
        </w:rPr>
      </w:pPr>
      <w:r>
        <w:rPr>
          <w:rFonts w:cs="Arial"/>
        </w:rPr>
        <w:t>-</w:t>
      </w:r>
      <w:r>
        <w:rPr>
          <w:rFonts w:cs="Arial"/>
        </w:rPr>
        <w:tab/>
        <w:t>Im Regierungsbezirk Köln: 169 Betriebe mit Schwerpunkten in der Stadt Köln, dem Erftkreis und dem Rheinisch-Bergischen Kreis.</w:t>
      </w:r>
    </w:p>
    <w:p>
      <w:pPr>
        <w:pStyle w:val="GesAbsatz"/>
        <w:ind w:left="426" w:hanging="426"/>
        <w:rPr>
          <w:rFonts w:cs="Arial"/>
        </w:rPr>
      </w:pPr>
      <w:r>
        <w:rPr>
          <w:rFonts w:cs="Arial"/>
        </w:rPr>
        <w:t>-</w:t>
      </w:r>
      <w:r>
        <w:rPr>
          <w:rFonts w:cs="Arial"/>
        </w:rPr>
        <w:tab/>
        <w:t>Im Regierungsbezirk Münster: 96 Betriebe mit Schwerpunkten in den Kreisen Recklinghausen und Warendorf.</w:t>
      </w:r>
    </w:p>
    <w:p>
      <w:pPr>
        <w:pStyle w:val="GesAbsatz"/>
        <w:rPr>
          <w:rFonts w:cs="Arial"/>
        </w:rPr>
      </w:pPr>
      <w:r>
        <w:rPr>
          <w:rFonts w:cs="Arial"/>
        </w:rPr>
        <w:t>Insgesamt gibt es landesweit ca. 1.200 Landschaftsbaufirmen, wovon 722 Firmen im Verband organisiert sind. Diese erzielen aber ca. 86 % des Umsatzes und sind somit ausschlaggebend (Herbers, 1998).</w:t>
      </w:r>
    </w:p>
    <w:p>
      <w:pPr>
        <w:pStyle w:val="GesAbsatz"/>
        <w:rPr>
          <w:rFonts w:eastAsia="Arial Unicode MS" w:cs="Arial"/>
        </w:rPr>
      </w:pPr>
      <w:r>
        <w:rPr>
          <w:rFonts w:cs="Arial"/>
          <w:b/>
          <w:bCs/>
        </w:rPr>
        <w:t>Fazit</w:t>
      </w:r>
    </w:p>
    <w:p>
      <w:pPr>
        <w:pStyle w:val="GesAbsatz"/>
        <w:rPr>
          <w:rFonts w:cs="Arial"/>
        </w:rPr>
      </w:pPr>
      <w:r>
        <w:rPr>
          <w:rFonts w:cs="Arial"/>
        </w:rPr>
        <w:t>Insgesamt sind die Verhältnisse in weiten Gebieten Nordrhein-Westfalens zum Teil als eher problematisch für den Kompostabsatz einzuschätzen. Hierzu zählen:</w:t>
      </w:r>
    </w:p>
    <w:p>
      <w:pPr>
        <w:pStyle w:val="GesAbsatz"/>
        <w:ind w:left="426" w:hanging="426"/>
        <w:rPr>
          <w:rFonts w:cs="Arial"/>
        </w:rPr>
      </w:pPr>
      <w:r>
        <w:rPr>
          <w:rFonts w:cs="Arial"/>
        </w:rPr>
        <w:t>-</w:t>
      </w:r>
      <w:r>
        <w:rPr>
          <w:rFonts w:cs="Arial"/>
        </w:rPr>
        <w:tab/>
        <w:t>die hohe Viehdichte in vielen Kreisen, darunter auch in solchen, die eine vergleichsweise hohe Kompostproduktion aufweisen (z.B. die Kreise Coesfeld und Kleve),</w:t>
      </w:r>
    </w:p>
    <w:p>
      <w:pPr>
        <w:pStyle w:val="GesAbsatz"/>
        <w:ind w:left="426" w:hanging="426"/>
        <w:rPr>
          <w:rFonts w:cs="Arial"/>
        </w:rPr>
      </w:pPr>
      <w:r>
        <w:rPr>
          <w:rFonts w:cs="Arial"/>
        </w:rPr>
        <w:t>-</w:t>
      </w:r>
      <w:r>
        <w:rPr>
          <w:rFonts w:cs="Arial"/>
        </w:rPr>
        <w:tab/>
        <w:t>das in den großräumigen Ballungsgebieten ungünstige Verhältnis von Einwohnerzahl (Kompostanfall) zu potenzieller Ausbringfläche,</w:t>
      </w:r>
    </w:p>
    <w:p>
      <w:pPr>
        <w:pStyle w:val="GesAbsatz"/>
        <w:ind w:left="426" w:hanging="426"/>
        <w:rPr>
          <w:rFonts w:cs="Arial"/>
        </w:rPr>
      </w:pPr>
      <w:r>
        <w:rPr>
          <w:rFonts w:cs="Arial"/>
        </w:rPr>
        <w:t>-</w:t>
      </w:r>
      <w:r>
        <w:rPr>
          <w:rFonts w:cs="Arial"/>
        </w:rPr>
        <w:tab/>
        <w:t>der hohe Waldanteil in einigen Regionen, verbunden mit einem ungünstigen Verhältnis von Acker- zu Grünlandfläche und</w:t>
      </w:r>
    </w:p>
    <w:p>
      <w:pPr>
        <w:pStyle w:val="GesAbsatz"/>
        <w:ind w:left="426" w:hanging="426"/>
        <w:rPr>
          <w:rFonts w:cs="Arial"/>
        </w:rPr>
      </w:pPr>
      <w:r>
        <w:rPr>
          <w:rFonts w:cs="Arial"/>
        </w:rPr>
        <w:t>-</w:t>
      </w:r>
      <w:r>
        <w:rPr>
          <w:rFonts w:cs="Arial"/>
        </w:rPr>
        <w:tab/>
        <w:t>die mit nur wenigen Ausnahmen geringen Flächen, die mit landwirtschaftlichen Spezialkulturen (Spargel, Reben) bestellt werden.</w:t>
      </w:r>
    </w:p>
    <w:p>
      <w:pPr>
        <w:pStyle w:val="GesAbsatz"/>
        <w:rPr>
          <w:rFonts w:cs="Arial"/>
        </w:rPr>
      </w:pPr>
      <w:r>
        <w:rPr>
          <w:rFonts w:cs="Arial"/>
        </w:rPr>
        <w:t>Für den Kompostabsatz positive Aspekte sind vor allem:</w:t>
      </w:r>
    </w:p>
    <w:p>
      <w:pPr>
        <w:pStyle w:val="GesAbsatz"/>
        <w:rPr>
          <w:rFonts w:cs="Arial"/>
        </w:rPr>
      </w:pPr>
      <w:r>
        <w:rPr>
          <w:rFonts w:cs="Arial"/>
        </w:rPr>
        <w:t>-</w:t>
      </w:r>
      <w:r>
        <w:rPr>
          <w:rFonts w:cs="Arial"/>
        </w:rPr>
        <w:tab/>
        <w:t>die Erwerbsgartenbauflächen, vor allem in den Regierungsbezirken Köln und Düsseldorf,</w:t>
      </w:r>
    </w:p>
    <w:p>
      <w:pPr>
        <w:pStyle w:val="GesAbsatz"/>
        <w:rPr>
          <w:rFonts w:cs="Arial"/>
        </w:rPr>
      </w:pPr>
      <w:r>
        <w:rPr>
          <w:rFonts w:cs="Arial"/>
        </w:rPr>
        <w:t>-</w:t>
      </w:r>
      <w:r>
        <w:rPr>
          <w:rFonts w:cs="Arial"/>
        </w:rPr>
        <w:tab/>
        <w:t>das Potenzial an Rekultivierungsflächen,</w:t>
      </w:r>
    </w:p>
    <w:p>
      <w:pPr>
        <w:pStyle w:val="GesAbsatz"/>
        <w:rPr>
          <w:rFonts w:cs="Arial"/>
        </w:rPr>
      </w:pPr>
      <w:r>
        <w:rPr>
          <w:rFonts w:cs="Arial"/>
        </w:rPr>
        <w:t>-</w:t>
      </w:r>
      <w:r>
        <w:rPr>
          <w:rFonts w:cs="Arial"/>
        </w:rPr>
        <w:tab/>
        <w:t>die Landschaftsbauaktivitäten und</w:t>
      </w:r>
    </w:p>
    <w:p>
      <w:pPr>
        <w:pStyle w:val="GesAbsatz"/>
        <w:rPr>
          <w:rFonts w:cs="Arial"/>
        </w:rPr>
      </w:pPr>
      <w:r>
        <w:rPr>
          <w:rFonts w:cs="Arial"/>
        </w:rPr>
        <w:t>-</w:t>
      </w:r>
      <w:r>
        <w:rPr>
          <w:rFonts w:cs="Arial"/>
        </w:rPr>
        <w:tab/>
        <w:t>der hohe Anteil an Ackerfläche und sein absoluter Umfang (Ausnahme: Regierungsbezirk Arnsberg).</w:t>
      </w:r>
    </w:p>
    <w:p>
      <w:pPr>
        <w:pStyle w:val="berschrift2"/>
        <w:jc w:val="left"/>
      </w:pPr>
      <w:bookmarkStart w:id="12" w:name="_Toc45599500"/>
      <w:r>
        <w:t>4 Ist-Situation der Kompostverwertung</w:t>
      </w:r>
      <w:bookmarkEnd w:id="12"/>
    </w:p>
    <w:p>
      <w:pPr>
        <w:pStyle w:val="berschrift3"/>
        <w:jc w:val="left"/>
        <w:rPr>
          <w:rFonts w:eastAsia="Arial Unicode MS"/>
        </w:rPr>
      </w:pPr>
      <w:bookmarkStart w:id="13" w:name="_Toc45599501"/>
      <w:r>
        <w:t>4.1 Ergebnisse der Befragung der Anlagenbetreiber</w:t>
      </w:r>
      <w:bookmarkEnd w:id="13"/>
    </w:p>
    <w:p>
      <w:pPr>
        <w:pStyle w:val="GesAbsatz"/>
        <w:rPr>
          <w:rFonts w:eastAsia="Arial Unicode MS" w:cs="Arial"/>
        </w:rPr>
      </w:pPr>
      <w:r>
        <w:rPr>
          <w:rFonts w:cs="Arial"/>
          <w:b/>
          <w:bCs/>
        </w:rPr>
        <w:t>4.1.1 Kompostmengen</w:t>
      </w:r>
    </w:p>
    <w:p>
      <w:pPr>
        <w:pStyle w:val="GesAbsatz"/>
        <w:rPr>
          <w:rFonts w:cs="Arial"/>
        </w:rPr>
      </w:pPr>
      <w:r>
        <w:rPr>
          <w:rFonts w:cs="Arial"/>
        </w:rPr>
        <w:t>In Nordrhein-Westfalen wird aufgrund der hohen Bevölkerung ein der Fläche nach überproportional hoher Anteil der bundesdeutschen Kompostmenge produziert. Innerhalb des Landes lassen sich jedoch keine besonderen Schwerpunkte der Kompostproduktion feststellen. Kreise mit einer hohen Produktion (30.000 bis 70.000 Mg/a) liegen in allen Regierungsbezirken, sowohl in unmittelbarer Nähe zu Ballungsgebieten (z.B. Kreis Unna, Erftkreis) als auch in abgelegeneren ländlichen Regionen (z.B. Kreis Coesfeld, Kreis Kleve). Im Regierungsbezirk Detmold fallen deutlich die geringsten Mengen an.</w:t>
      </w:r>
    </w:p>
    <w:p>
      <w:pPr>
        <w:pStyle w:val="GesAbsatz"/>
        <w:rPr>
          <w:rFonts w:cs="Arial"/>
        </w:rPr>
      </w:pPr>
      <w:r>
        <w:rPr>
          <w:rFonts w:cs="Arial"/>
        </w:rPr>
        <w:t>Bei den Anlagen, deren Betreiber nicht antworteten, wurden die fehlenden Daten zu anfallenden Kompostmengen soweit wie möglich aus anderen Quellen ergänzt. Hierzu zählen das Kompostkataster des LUA, der Kompost-Atlas 1998/99 von Wiemer und Kern (1998) sowie teilweise die Angaben, die im Rahmen dieser Untersuchung „Getrennte Sammlung und Behandlung von Bioabfällen“ ermittelt wurden.</w:t>
      </w:r>
    </w:p>
    <w:p>
      <w:pPr>
        <w:pStyle w:val="GesAbsatz"/>
        <w:rPr>
          <w:rFonts w:cs="Arial"/>
        </w:rPr>
      </w:pPr>
      <w:r>
        <w:rPr>
          <w:rFonts w:cs="Arial"/>
        </w:rPr>
        <w:t>Derzeit ist eine Verarbeitungskapazität von über 1,2 Mio. Mg/a nach Angaben des Kompost-Atlas und des LUA zu verzeichnen. Die mit der Befragung erfassten Anlagen repräsentieren rund 80 % dieser Verarbeitungskapazität in Nordrhein-Westfalen (Tabelle 16). Hierbei nicht erfasst wurden jedoch v.a. kleine Grüngutkompostierungsanlagen (Gartenbauämter, Firmen im Garten- und Landschaftsbau), deren Kompostproduktion zur aktuell anfallenden Menge in Nordrhein-Westfalen hinzuzurechnen wäre.</w:t>
      </w:r>
    </w:p>
    <w:p>
      <w:pPr>
        <w:pStyle w:val="GesAbsatz"/>
        <w:rPr>
          <w:rFonts w:cs="Arial"/>
        </w:rPr>
      </w:pPr>
      <w:r>
        <w:rPr>
          <w:rFonts w:cs="Arial"/>
        </w:rPr>
        <w:t>Nimmt man die zusätzlich mit Hilfe der oben genannten aktuellen Quellen ermittelten, 1997 produzierten Kompostmengen als eine gute Abbildung der tatsächlich erzeugten Mengen an, so wurden durch die Befragung der Anlagen 83,1 % der Gesamtmenge erfasst. Die Ergebnisse der Befragung haben somit ein hohes Gewicht.</w:t>
      </w:r>
    </w:p>
    <w:p>
      <w:pPr>
        <w:pStyle w:val="GesAbsatz"/>
        <w:rPr>
          <w:rFonts w:cs="Arial"/>
        </w:rPr>
      </w:pPr>
      <w:r>
        <w:rPr>
          <w:rFonts w:cs="Arial"/>
        </w:rPr>
        <w:lastRenderedPageBreak/>
        <w:t>Auf drei der angeschriebenen Anlagen fand 1997 keine Kompostproduktion mehr statt, da sie jetzt als Umschlag- oder Lagerplatz bzw. als Absackanlage dienen.</w:t>
      </w:r>
    </w:p>
    <w:p>
      <w:pPr>
        <w:pStyle w:val="GesAbsatz"/>
        <w:rPr>
          <w:rFonts w:cs="Arial"/>
        </w:rPr>
      </w:pPr>
      <w:r>
        <w:rPr>
          <w:rFonts w:cs="Arial"/>
        </w:rPr>
        <w:t>Die 58 mit der Befragung erfassten Anlagen nach BGK-Liste ‘97 hatten eine Kapazität von 988.505 Mg pro Jahr. Hiervon antworteten Betreiber von 43 Anlagen, die über eine Kapazität von 85,3 % dieser Gesamtkapazität verfügten, nämlich 842.835 Mg. Auch hier wurden demnach die Anlagen mit dem weitaus größten Potenzial durch die Befragung erfasst.</w:t>
      </w:r>
    </w:p>
    <w:p>
      <w:pPr>
        <w:pStyle w:val="GesAbsatz"/>
        <w:rPr>
          <w:rFonts w:cs="Arial"/>
        </w:rPr>
      </w:pPr>
      <w:r>
        <w:rPr>
          <w:rFonts w:cs="Arial"/>
          <w:b/>
          <w:bCs/>
        </w:rPr>
        <w:t>Tabelle 16: Derzeitige und voraussichtliche Kompostproduktion in den fünf Regierungsbezirken von Nordrhein-Westfalen</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268"/>
        <w:gridCol w:w="1275"/>
        <w:gridCol w:w="1134"/>
        <w:gridCol w:w="1276"/>
        <w:gridCol w:w="992"/>
        <w:gridCol w:w="1134"/>
        <w:gridCol w:w="1560"/>
      </w:tblGrid>
      <w:tr>
        <w:tc>
          <w:tcPr>
            <w:tcW w:w="496" w:type="dxa"/>
          </w:tcPr>
          <w:p>
            <w:pPr>
              <w:pStyle w:val="GesAbsatz"/>
              <w:rPr>
                <w:rFonts w:eastAsia="Arial Unicode MS" w:cs="Arial"/>
                <w:sz w:val="18"/>
                <w:szCs w:val="24"/>
              </w:rPr>
            </w:pPr>
          </w:p>
        </w:tc>
        <w:tc>
          <w:tcPr>
            <w:tcW w:w="2268" w:type="dxa"/>
          </w:tcPr>
          <w:p>
            <w:pPr>
              <w:pStyle w:val="GesAbsatz"/>
              <w:rPr>
                <w:rFonts w:eastAsia="Arial Unicode MS" w:cs="Arial"/>
                <w:sz w:val="18"/>
                <w:szCs w:val="24"/>
              </w:rPr>
            </w:pPr>
          </w:p>
        </w:tc>
        <w:tc>
          <w:tcPr>
            <w:tcW w:w="1275" w:type="dxa"/>
          </w:tcPr>
          <w:p>
            <w:pPr>
              <w:pStyle w:val="GesAbsatz"/>
              <w:rPr>
                <w:rFonts w:eastAsia="Arial Unicode MS" w:cs="Arial"/>
                <w:sz w:val="18"/>
                <w:szCs w:val="24"/>
              </w:rPr>
            </w:pPr>
            <w:r>
              <w:rPr>
                <w:rFonts w:cs="Arial"/>
                <w:b/>
                <w:bCs/>
                <w:sz w:val="18"/>
              </w:rPr>
              <w:t>Arnsberg</w:t>
            </w:r>
          </w:p>
        </w:tc>
        <w:tc>
          <w:tcPr>
            <w:tcW w:w="1134" w:type="dxa"/>
          </w:tcPr>
          <w:p>
            <w:pPr>
              <w:pStyle w:val="GesAbsatz"/>
              <w:rPr>
                <w:rFonts w:eastAsia="Arial Unicode MS" w:cs="Arial"/>
                <w:sz w:val="18"/>
                <w:szCs w:val="24"/>
              </w:rPr>
            </w:pPr>
            <w:r>
              <w:rPr>
                <w:rFonts w:cs="Arial"/>
                <w:b/>
                <w:bCs/>
                <w:sz w:val="18"/>
              </w:rPr>
              <w:t>Detmold</w:t>
            </w:r>
          </w:p>
        </w:tc>
        <w:tc>
          <w:tcPr>
            <w:tcW w:w="1276" w:type="dxa"/>
          </w:tcPr>
          <w:p>
            <w:pPr>
              <w:pStyle w:val="GesAbsatz"/>
              <w:rPr>
                <w:rFonts w:eastAsia="Arial Unicode MS" w:cs="Arial"/>
                <w:sz w:val="18"/>
                <w:szCs w:val="24"/>
              </w:rPr>
            </w:pPr>
            <w:r>
              <w:rPr>
                <w:rFonts w:cs="Arial"/>
                <w:b/>
                <w:bCs/>
                <w:sz w:val="18"/>
              </w:rPr>
              <w:t>Düsseldorf</w:t>
            </w:r>
          </w:p>
        </w:tc>
        <w:tc>
          <w:tcPr>
            <w:tcW w:w="992" w:type="dxa"/>
          </w:tcPr>
          <w:p>
            <w:pPr>
              <w:pStyle w:val="GesAbsatz"/>
              <w:rPr>
                <w:rFonts w:eastAsia="Arial Unicode MS" w:cs="Arial"/>
                <w:sz w:val="18"/>
                <w:szCs w:val="24"/>
              </w:rPr>
            </w:pPr>
            <w:r>
              <w:rPr>
                <w:rFonts w:cs="Arial"/>
                <w:b/>
                <w:bCs/>
                <w:sz w:val="18"/>
              </w:rPr>
              <w:t>Köln</w:t>
            </w:r>
          </w:p>
        </w:tc>
        <w:tc>
          <w:tcPr>
            <w:tcW w:w="1134" w:type="dxa"/>
          </w:tcPr>
          <w:p>
            <w:pPr>
              <w:pStyle w:val="GesAbsatz"/>
              <w:rPr>
                <w:rFonts w:eastAsia="Arial Unicode MS" w:cs="Arial"/>
                <w:sz w:val="18"/>
                <w:szCs w:val="24"/>
              </w:rPr>
            </w:pPr>
            <w:r>
              <w:rPr>
                <w:rFonts w:cs="Arial"/>
                <w:b/>
                <w:bCs/>
                <w:sz w:val="18"/>
              </w:rPr>
              <w:t>Münster</w:t>
            </w:r>
          </w:p>
        </w:tc>
        <w:tc>
          <w:tcPr>
            <w:tcW w:w="1560" w:type="dxa"/>
          </w:tcPr>
          <w:p>
            <w:pPr>
              <w:pStyle w:val="GesAbsatz"/>
              <w:rPr>
                <w:rFonts w:eastAsia="Arial Unicode MS" w:cs="Arial"/>
                <w:sz w:val="18"/>
                <w:szCs w:val="24"/>
              </w:rPr>
            </w:pPr>
            <w:r>
              <w:rPr>
                <w:rFonts w:cs="Arial"/>
                <w:b/>
                <w:bCs/>
                <w:sz w:val="18"/>
              </w:rPr>
              <w:t xml:space="preserve">NRW </w:t>
            </w:r>
          </w:p>
        </w:tc>
      </w:tr>
      <w:tr>
        <w:tc>
          <w:tcPr>
            <w:tcW w:w="496" w:type="dxa"/>
          </w:tcPr>
          <w:p>
            <w:pPr>
              <w:pStyle w:val="GesAbsatz"/>
              <w:rPr>
                <w:rFonts w:eastAsia="Arial Unicode MS" w:cs="Arial"/>
                <w:sz w:val="18"/>
                <w:szCs w:val="24"/>
              </w:rPr>
            </w:pPr>
            <w:r>
              <w:rPr>
                <w:rFonts w:cs="Arial"/>
                <w:sz w:val="18"/>
              </w:rPr>
              <w:t xml:space="preserve">1 </w:t>
            </w:r>
          </w:p>
        </w:tc>
        <w:tc>
          <w:tcPr>
            <w:tcW w:w="2268" w:type="dxa"/>
          </w:tcPr>
          <w:p>
            <w:pPr>
              <w:pStyle w:val="GesAbsatz"/>
              <w:rPr>
                <w:rFonts w:eastAsia="Arial Unicode MS" w:cs="Arial"/>
                <w:sz w:val="18"/>
                <w:szCs w:val="24"/>
              </w:rPr>
            </w:pPr>
            <w:r>
              <w:rPr>
                <w:rFonts w:cs="Arial"/>
                <w:sz w:val="18"/>
              </w:rPr>
              <w:t>Kapazität nach Kompost-</w:t>
            </w:r>
            <w:r>
              <w:rPr>
                <w:rFonts w:cs="Arial"/>
                <w:sz w:val="18"/>
              </w:rPr>
              <w:br/>
              <w:t>Atlas und LUA</w:t>
            </w:r>
            <w:r>
              <w:rPr>
                <w:rFonts w:cs="Arial"/>
                <w:sz w:val="18"/>
              </w:rPr>
              <w:br/>
              <w:t>insgesamt in Mg/a</w:t>
            </w:r>
          </w:p>
        </w:tc>
        <w:tc>
          <w:tcPr>
            <w:tcW w:w="1275" w:type="dxa"/>
          </w:tcPr>
          <w:p>
            <w:pPr>
              <w:pStyle w:val="GesAbsatz"/>
              <w:rPr>
                <w:rFonts w:eastAsia="Arial Unicode MS" w:cs="Arial"/>
                <w:sz w:val="18"/>
                <w:szCs w:val="24"/>
              </w:rPr>
            </w:pPr>
            <w:r>
              <w:rPr>
                <w:rFonts w:cs="Arial"/>
                <w:sz w:val="18"/>
              </w:rPr>
              <w:t>306.525</w:t>
            </w:r>
          </w:p>
        </w:tc>
        <w:tc>
          <w:tcPr>
            <w:tcW w:w="1134" w:type="dxa"/>
          </w:tcPr>
          <w:p>
            <w:pPr>
              <w:pStyle w:val="GesAbsatz"/>
              <w:rPr>
                <w:rFonts w:eastAsia="Arial Unicode MS" w:cs="Arial"/>
                <w:sz w:val="18"/>
                <w:szCs w:val="24"/>
              </w:rPr>
            </w:pPr>
            <w:r>
              <w:rPr>
                <w:rFonts w:cs="Arial"/>
                <w:sz w:val="18"/>
              </w:rPr>
              <w:t>203.200</w:t>
            </w:r>
          </w:p>
        </w:tc>
        <w:tc>
          <w:tcPr>
            <w:tcW w:w="1276" w:type="dxa"/>
          </w:tcPr>
          <w:p>
            <w:pPr>
              <w:pStyle w:val="GesAbsatz"/>
              <w:rPr>
                <w:rFonts w:eastAsia="Arial Unicode MS" w:cs="Arial"/>
                <w:sz w:val="18"/>
                <w:szCs w:val="24"/>
              </w:rPr>
            </w:pPr>
            <w:r>
              <w:rPr>
                <w:rFonts w:cs="Arial"/>
                <w:sz w:val="18"/>
              </w:rPr>
              <w:t>279.135</w:t>
            </w:r>
            <w:r>
              <w:rPr>
                <w:rFonts w:cs="Arial"/>
                <w:sz w:val="18"/>
                <w:vertAlign w:val="superscript"/>
              </w:rPr>
              <w:t>2</w:t>
            </w:r>
          </w:p>
        </w:tc>
        <w:tc>
          <w:tcPr>
            <w:tcW w:w="992" w:type="dxa"/>
          </w:tcPr>
          <w:p>
            <w:pPr>
              <w:pStyle w:val="GesAbsatz"/>
              <w:rPr>
                <w:rFonts w:eastAsia="Arial Unicode MS" w:cs="Arial"/>
                <w:sz w:val="18"/>
                <w:szCs w:val="24"/>
              </w:rPr>
            </w:pPr>
            <w:r>
              <w:rPr>
                <w:rFonts w:cs="Arial"/>
                <w:sz w:val="18"/>
              </w:rPr>
              <w:t>265.550</w:t>
            </w:r>
          </w:p>
        </w:tc>
        <w:tc>
          <w:tcPr>
            <w:tcW w:w="1134" w:type="dxa"/>
          </w:tcPr>
          <w:p>
            <w:pPr>
              <w:pStyle w:val="GesAbsatz"/>
              <w:rPr>
                <w:rFonts w:eastAsia="Arial Unicode MS" w:cs="Arial"/>
                <w:sz w:val="18"/>
                <w:szCs w:val="24"/>
              </w:rPr>
            </w:pPr>
            <w:r>
              <w:rPr>
                <w:rFonts w:cs="Arial"/>
                <w:sz w:val="18"/>
              </w:rPr>
              <w:t>234.900</w:t>
            </w:r>
          </w:p>
        </w:tc>
        <w:tc>
          <w:tcPr>
            <w:tcW w:w="1560" w:type="dxa"/>
          </w:tcPr>
          <w:p>
            <w:pPr>
              <w:pStyle w:val="GesAbsatz"/>
              <w:rPr>
                <w:rFonts w:eastAsia="Arial Unicode MS" w:cs="Arial"/>
                <w:sz w:val="18"/>
                <w:szCs w:val="24"/>
              </w:rPr>
            </w:pPr>
            <w:r>
              <w:rPr>
                <w:rFonts w:cs="Arial"/>
                <w:sz w:val="18"/>
                <w:u w:val="single"/>
              </w:rPr>
              <w:t>1.289.310</w:t>
            </w:r>
          </w:p>
        </w:tc>
      </w:tr>
      <w:tr>
        <w:tc>
          <w:tcPr>
            <w:tcW w:w="496" w:type="dxa"/>
          </w:tcPr>
          <w:p>
            <w:pPr>
              <w:pStyle w:val="GesAbsatz"/>
              <w:rPr>
                <w:rFonts w:eastAsia="Arial Unicode MS" w:cs="Arial"/>
                <w:sz w:val="18"/>
                <w:szCs w:val="24"/>
              </w:rPr>
            </w:pPr>
            <w:r>
              <w:rPr>
                <w:rFonts w:cs="Arial"/>
                <w:sz w:val="18"/>
              </w:rPr>
              <w:t xml:space="preserve">2 </w:t>
            </w:r>
          </w:p>
        </w:tc>
        <w:tc>
          <w:tcPr>
            <w:tcW w:w="2268" w:type="dxa"/>
          </w:tcPr>
          <w:p>
            <w:pPr>
              <w:pStyle w:val="GesAbsatz"/>
              <w:rPr>
                <w:rFonts w:eastAsia="Arial Unicode MS" w:cs="Arial"/>
                <w:sz w:val="18"/>
                <w:szCs w:val="24"/>
              </w:rPr>
            </w:pPr>
            <w:r>
              <w:rPr>
                <w:rFonts w:cs="Arial"/>
                <w:sz w:val="18"/>
              </w:rPr>
              <w:t xml:space="preserve">Kapazität der Fragebogenteilnehmer nach Kompost-Atlas und LUA in Mg/a </w:t>
            </w:r>
          </w:p>
        </w:tc>
        <w:tc>
          <w:tcPr>
            <w:tcW w:w="1275" w:type="dxa"/>
          </w:tcPr>
          <w:p>
            <w:pPr>
              <w:pStyle w:val="GesAbsatz"/>
              <w:rPr>
                <w:rFonts w:eastAsia="Arial Unicode MS" w:cs="Arial"/>
                <w:sz w:val="18"/>
                <w:szCs w:val="24"/>
              </w:rPr>
            </w:pPr>
            <w:r>
              <w:rPr>
                <w:rFonts w:cs="Arial"/>
                <w:sz w:val="18"/>
              </w:rPr>
              <w:t>265.500</w:t>
            </w:r>
          </w:p>
        </w:tc>
        <w:tc>
          <w:tcPr>
            <w:tcW w:w="1134" w:type="dxa"/>
          </w:tcPr>
          <w:p>
            <w:pPr>
              <w:pStyle w:val="GesAbsatz"/>
              <w:rPr>
                <w:rFonts w:eastAsia="Arial Unicode MS" w:cs="Arial"/>
                <w:sz w:val="18"/>
                <w:szCs w:val="24"/>
              </w:rPr>
            </w:pPr>
            <w:r>
              <w:rPr>
                <w:rFonts w:cs="Arial"/>
                <w:sz w:val="18"/>
              </w:rPr>
              <w:t>190.000</w:t>
            </w:r>
          </w:p>
        </w:tc>
        <w:tc>
          <w:tcPr>
            <w:tcW w:w="1276" w:type="dxa"/>
          </w:tcPr>
          <w:p>
            <w:pPr>
              <w:pStyle w:val="GesAbsatz"/>
              <w:rPr>
                <w:rFonts w:eastAsia="Arial Unicode MS" w:cs="Arial"/>
                <w:sz w:val="18"/>
                <w:szCs w:val="24"/>
              </w:rPr>
            </w:pPr>
            <w:r>
              <w:rPr>
                <w:rFonts w:cs="Arial"/>
                <w:sz w:val="18"/>
              </w:rPr>
              <w:t>178.450</w:t>
            </w:r>
          </w:p>
        </w:tc>
        <w:tc>
          <w:tcPr>
            <w:tcW w:w="992" w:type="dxa"/>
          </w:tcPr>
          <w:p>
            <w:pPr>
              <w:pStyle w:val="GesAbsatz"/>
              <w:rPr>
                <w:rFonts w:eastAsia="Arial Unicode MS" w:cs="Arial"/>
                <w:sz w:val="18"/>
                <w:szCs w:val="24"/>
              </w:rPr>
            </w:pPr>
            <w:r>
              <w:rPr>
                <w:rFonts w:cs="Arial"/>
                <w:sz w:val="18"/>
              </w:rPr>
              <w:t xml:space="preserve">192.650 </w:t>
            </w:r>
          </w:p>
        </w:tc>
        <w:tc>
          <w:tcPr>
            <w:tcW w:w="1134" w:type="dxa"/>
          </w:tcPr>
          <w:p>
            <w:pPr>
              <w:pStyle w:val="GesAbsatz"/>
              <w:rPr>
                <w:rFonts w:eastAsia="Arial Unicode MS" w:cs="Arial"/>
                <w:sz w:val="18"/>
                <w:szCs w:val="24"/>
              </w:rPr>
            </w:pPr>
            <w:r>
              <w:rPr>
                <w:rFonts w:cs="Arial"/>
                <w:sz w:val="18"/>
              </w:rPr>
              <w:t xml:space="preserve">210.500 </w:t>
            </w:r>
          </w:p>
        </w:tc>
        <w:tc>
          <w:tcPr>
            <w:tcW w:w="1560" w:type="dxa"/>
          </w:tcPr>
          <w:p>
            <w:pPr>
              <w:pStyle w:val="GesAbsatz"/>
              <w:rPr>
                <w:rFonts w:eastAsia="Arial Unicode MS" w:cs="Arial"/>
                <w:sz w:val="18"/>
                <w:szCs w:val="24"/>
              </w:rPr>
            </w:pPr>
            <w:r>
              <w:rPr>
                <w:rFonts w:cs="Arial"/>
                <w:sz w:val="18"/>
                <w:u w:val="single"/>
              </w:rPr>
              <w:t>1.037.100</w:t>
            </w:r>
            <w:r>
              <w:rPr>
                <w:rFonts w:cs="Arial"/>
                <w:sz w:val="18"/>
                <w:u w:val="single"/>
              </w:rPr>
              <w:br/>
            </w:r>
            <w:r>
              <w:rPr>
                <w:rFonts w:cs="Arial"/>
                <w:sz w:val="18"/>
                <w:u w:val="single"/>
              </w:rPr>
              <w:br/>
            </w:r>
            <w:r>
              <w:rPr>
                <w:rFonts w:cs="Arial"/>
                <w:sz w:val="18"/>
                <w:szCs w:val="15"/>
              </w:rPr>
              <w:t>80,4 % von Zeile 1</w:t>
            </w:r>
          </w:p>
        </w:tc>
      </w:tr>
      <w:tr>
        <w:tc>
          <w:tcPr>
            <w:tcW w:w="496" w:type="dxa"/>
          </w:tcPr>
          <w:p>
            <w:pPr>
              <w:pStyle w:val="GesAbsatz"/>
              <w:rPr>
                <w:rFonts w:eastAsia="Arial Unicode MS" w:cs="Arial"/>
                <w:sz w:val="18"/>
                <w:szCs w:val="24"/>
              </w:rPr>
            </w:pPr>
            <w:r>
              <w:rPr>
                <w:rFonts w:cs="Arial"/>
                <w:sz w:val="18"/>
              </w:rPr>
              <w:t>3</w:t>
            </w:r>
          </w:p>
        </w:tc>
        <w:tc>
          <w:tcPr>
            <w:tcW w:w="2268" w:type="dxa"/>
          </w:tcPr>
          <w:p>
            <w:pPr>
              <w:pStyle w:val="GesAbsatz"/>
              <w:rPr>
                <w:rFonts w:eastAsia="Arial Unicode MS" w:cs="Arial"/>
                <w:sz w:val="18"/>
                <w:szCs w:val="24"/>
              </w:rPr>
            </w:pPr>
            <w:r>
              <w:rPr>
                <w:rFonts w:cs="Arial"/>
                <w:sz w:val="18"/>
              </w:rPr>
              <w:t>Kompostproduktion 1997 in Mg nach Fragebögen und Angaben aus anderen Quellen</w:t>
            </w:r>
            <w:r>
              <w:rPr>
                <w:rFonts w:cs="Arial"/>
                <w:sz w:val="18"/>
                <w:vertAlign w:val="superscript"/>
              </w:rPr>
              <w:t>1</w:t>
            </w:r>
          </w:p>
        </w:tc>
        <w:tc>
          <w:tcPr>
            <w:tcW w:w="1275" w:type="dxa"/>
          </w:tcPr>
          <w:p>
            <w:pPr>
              <w:pStyle w:val="GesAbsatz"/>
              <w:rPr>
                <w:rFonts w:eastAsia="Arial Unicode MS" w:cs="Arial"/>
                <w:sz w:val="18"/>
                <w:szCs w:val="24"/>
              </w:rPr>
            </w:pPr>
            <w:r>
              <w:rPr>
                <w:rFonts w:cs="Arial"/>
                <w:sz w:val="18"/>
              </w:rPr>
              <w:t>127.592</w:t>
            </w:r>
          </w:p>
        </w:tc>
        <w:tc>
          <w:tcPr>
            <w:tcW w:w="1134" w:type="dxa"/>
          </w:tcPr>
          <w:p>
            <w:pPr>
              <w:pStyle w:val="GesAbsatz"/>
              <w:rPr>
                <w:rFonts w:eastAsia="Arial Unicode MS" w:cs="Arial"/>
                <w:sz w:val="18"/>
                <w:szCs w:val="24"/>
              </w:rPr>
            </w:pPr>
            <w:r>
              <w:rPr>
                <w:rFonts w:cs="Arial"/>
                <w:sz w:val="18"/>
              </w:rPr>
              <w:t>70.365</w:t>
            </w:r>
          </w:p>
        </w:tc>
        <w:tc>
          <w:tcPr>
            <w:tcW w:w="1276" w:type="dxa"/>
          </w:tcPr>
          <w:p>
            <w:pPr>
              <w:pStyle w:val="GesAbsatz"/>
              <w:rPr>
                <w:rFonts w:eastAsia="Arial Unicode MS" w:cs="Arial"/>
                <w:sz w:val="18"/>
                <w:szCs w:val="24"/>
              </w:rPr>
            </w:pPr>
            <w:r>
              <w:rPr>
                <w:rFonts w:cs="Arial"/>
                <w:sz w:val="18"/>
              </w:rPr>
              <w:t>139.617</w:t>
            </w:r>
          </w:p>
        </w:tc>
        <w:tc>
          <w:tcPr>
            <w:tcW w:w="992" w:type="dxa"/>
          </w:tcPr>
          <w:p>
            <w:pPr>
              <w:pStyle w:val="GesAbsatz"/>
              <w:rPr>
                <w:rFonts w:eastAsia="Arial Unicode MS" w:cs="Arial"/>
                <w:sz w:val="18"/>
                <w:szCs w:val="24"/>
              </w:rPr>
            </w:pPr>
            <w:r>
              <w:rPr>
                <w:rFonts w:cs="Arial"/>
                <w:sz w:val="18"/>
              </w:rPr>
              <w:t>136.210</w:t>
            </w:r>
          </w:p>
        </w:tc>
        <w:tc>
          <w:tcPr>
            <w:tcW w:w="1134" w:type="dxa"/>
          </w:tcPr>
          <w:p>
            <w:pPr>
              <w:pStyle w:val="GesAbsatz"/>
              <w:rPr>
                <w:rFonts w:eastAsia="Arial Unicode MS" w:cs="Arial"/>
                <w:sz w:val="18"/>
                <w:szCs w:val="24"/>
              </w:rPr>
            </w:pPr>
            <w:r>
              <w:rPr>
                <w:rFonts w:cs="Arial"/>
                <w:sz w:val="18"/>
              </w:rPr>
              <w:t>125.405</w:t>
            </w:r>
          </w:p>
        </w:tc>
        <w:tc>
          <w:tcPr>
            <w:tcW w:w="1560" w:type="dxa"/>
          </w:tcPr>
          <w:p>
            <w:pPr>
              <w:pStyle w:val="GesAbsatz"/>
              <w:rPr>
                <w:rFonts w:eastAsia="Arial Unicode MS" w:cs="Arial"/>
                <w:sz w:val="18"/>
                <w:szCs w:val="24"/>
              </w:rPr>
            </w:pPr>
            <w:r>
              <w:rPr>
                <w:rFonts w:cs="Arial"/>
                <w:sz w:val="18"/>
                <w:u w:val="single"/>
              </w:rPr>
              <w:t xml:space="preserve">599.189 </w:t>
            </w:r>
          </w:p>
        </w:tc>
      </w:tr>
      <w:tr>
        <w:tc>
          <w:tcPr>
            <w:tcW w:w="496" w:type="dxa"/>
          </w:tcPr>
          <w:p>
            <w:pPr>
              <w:pStyle w:val="GesAbsatz"/>
              <w:rPr>
                <w:rFonts w:eastAsia="Arial Unicode MS" w:cs="Arial"/>
                <w:sz w:val="18"/>
                <w:szCs w:val="24"/>
              </w:rPr>
            </w:pPr>
            <w:r>
              <w:rPr>
                <w:rFonts w:cs="Arial"/>
                <w:sz w:val="18"/>
              </w:rPr>
              <w:t xml:space="preserve">4 </w:t>
            </w:r>
          </w:p>
        </w:tc>
        <w:tc>
          <w:tcPr>
            <w:tcW w:w="2268" w:type="dxa"/>
          </w:tcPr>
          <w:p>
            <w:pPr>
              <w:pStyle w:val="GesAbsatz"/>
              <w:rPr>
                <w:rFonts w:eastAsia="Arial Unicode MS" w:cs="Arial"/>
                <w:sz w:val="18"/>
                <w:szCs w:val="24"/>
              </w:rPr>
            </w:pPr>
            <w:r>
              <w:rPr>
                <w:rFonts w:cs="Arial"/>
                <w:sz w:val="18"/>
              </w:rPr>
              <w:t>Kompostproduktion 1997 in Mg nach Fragebögen allein, n = 54</w:t>
            </w:r>
          </w:p>
        </w:tc>
        <w:tc>
          <w:tcPr>
            <w:tcW w:w="1275" w:type="dxa"/>
          </w:tcPr>
          <w:p>
            <w:pPr>
              <w:pStyle w:val="GesAbsatz"/>
              <w:rPr>
                <w:rFonts w:eastAsia="Arial Unicode MS" w:cs="Arial"/>
                <w:sz w:val="18"/>
                <w:szCs w:val="24"/>
              </w:rPr>
            </w:pPr>
            <w:r>
              <w:rPr>
                <w:rFonts w:cs="Arial"/>
                <w:sz w:val="18"/>
              </w:rPr>
              <w:t>109.822</w:t>
            </w:r>
          </w:p>
        </w:tc>
        <w:tc>
          <w:tcPr>
            <w:tcW w:w="1134" w:type="dxa"/>
          </w:tcPr>
          <w:p>
            <w:pPr>
              <w:pStyle w:val="GesAbsatz"/>
              <w:rPr>
                <w:rFonts w:eastAsia="Arial Unicode MS" w:cs="Arial"/>
                <w:sz w:val="18"/>
                <w:szCs w:val="24"/>
              </w:rPr>
            </w:pPr>
            <w:r>
              <w:rPr>
                <w:rFonts w:cs="Arial"/>
                <w:sz w:val="18"/>
              </w:rPr>
              <w:t>65.465</w:t>
            </w:r>
          </w:p>
        </w:tc>
        <w:tc>
          <w:tcPr>
            <w:tcW w:w="1276" w:type="dxa"/>
          </w:tcPr>
          <w:p>
            <w:pPr>
              <w:pStyle w:val="GesAbsatz"/>
              <w:rPr>
                <w:rFonts w:eastAsia="Arial Unicode MS" w:cs="Arial"/>
                <w:sz w:val="18"/>
                <w:szCs w:val="24"/>
              </w:rPr>
            </w:pPr>
            <w:r>
              <w:rPr>
                <w:rFonts w:cs="Arial"/>
                <w:sz w:val="18"/>
              </w:rPr>
              <w:t>101.877</w:t>
            </w:r>
          </w:p>
        </w:tc>
        <w:tc>
          <w:tcPr>
            <w:tcW w:w="992" w:type="dxa"/>
          </w:tcPr>
          <w:p>
            <w:pPr>
              <w:pStyle w:val="GesAbsatz"/>
              <w:rPr>
                <w:rFonts w:eastAsia="Arial Unicode MS" w:cs="Arial"/>
                <w:sz w:val="18"/>
                <w:szCs w:val="24"/>
              </w:rPr>
            </w:pPr>
            <w:r>
              <w:rPr>
                <w:rFonts w:cs="Arial"/>
                <w:sz w:val="18"/>
              </w:rPr>
              <w:t xml:space="preserve">101.950 </w:t>
            </w:r>
          </w:p>
        </w:tc>
        <w:tc>
          <w:tcPr>
            <w:tcW w:w="1134" w:type="dxa"/>
          </w:tcPr>
          <w:p>
            <w:pPr>
              <w:pStyle w:val="GesAbsatz"/>
              <w:rPr>
                <w:rFonts w:eastAsia="Arial Unicode MS" w:cs="Arial"/>
                <w:sz w:val="18"/>
                <w:szCs w:val="24"/>
              </w:rPr>
            </w:pPr>
            <w:r>
              <w:rPr>
                <w:rFonts w:cs="Arial"/>
                <w:sz w:val="18"/>
              </w:rPr>
              <w:t xml:space="preserve">119.025 </w:t>
            </w:r>
          </w:p>
        </w:tc>
        <w:tc>
          <w:tcPr>
            <w:tcW w:w="1560" w:type="dxa"/>
          </w:tcPr>
          <w:p>
            <w:pPr>
              <w:pStyle w:val="GesAbsatz"/>
              <w:rPr>
                <w:rFonts w:eastAsia="Arial Unicode MS" w:cs="Arial"/>
                <w:sz w:val="18"/>
                <w:szCs w:val="24"/>
              </w:rPr>
            </w:pPr>
            <w:r>
              <w:rPr>
                <w:rFonts w:cs="Arial"/>
                <w:sz w:val="18"/>
                <w:u w:val="single"/>
              </w:rPr>
              <w:t>498.139</w:t>
            </w:r>
            <w:r>
              <w:rPr>
                <w:rFonts w:cs="Arial"/>
                <w:sz w:val="18"/>
                <w:u w:val="single"/>
              </w:rPr>
              <w:br/>
            </w:r>
            <w:r>
              <w:rPr>
                <w:rFonts w:cs="Arial"/>
                <w:sz w:val="18"/>
                <w:u w:val="single"/>
              </w:rPr>
              <w:br/>
            </w:r>
            <w:r>
              <w:rPr>
                <w:rFonts w:cs="Arial"/>
                <w:sz w:val="18"/>
                <w:szCs w:val="15"/>
              </w:rPr>
              <w:t>83,1 % von</w:t>
            </w:r>
            <w:r>
              <w:rPr>
                <w:rFonts w:cs="Arial"/>
                <w:sz w:val="18"/>
                <w:szCs w:val="15"/>
              </w:rPr>
              <w:br/>
              <w:t>Zeile 3</w:t>
            </w:r>
          </w:p>
        </w:tc>
      </w:tr>
      <w:tr>
        <w:tc>
          <w:tcPr>
            <w:tcW w:w="496" w:type="dxa"/>
          </w:tcPr>
          <w:p>
            <w:pPr>
              <w:pStyle w:val="GesAbsatz"/>
              <w:rPr>
                <w:rFonts w:eastAsia="Arial Unicode MS" w:cs="Arial"/>
                <w:sz w:val="18"/>
                <w:szCs w:val="24"/>
              </w:rPr>
            </w:pPr>
            <w:r>
              <w:rPr>
                <w:rFonts w:cs="Arial"/>
                <w:sz w:val="18"/>
              </w:rPr>
              <w:t xml:space="preserve">5 </w:t>
            </w:r>
          </w:p>
        </w:tc>
        <w:tc>
          <w:tcPr>
            <w:tcW w:w="2268" w:type="dxa"/>
          </w:tcPr>
          <w:p>
            <w:pPr>
              <w:pStyle w:val="GesAbsatz"/>
              <w:rPr>
                <w:rFonts w:eastAsia="Arial Unicode MS" w:cs="Arial"/>
                <w:sz w:val="18"/>
                <w:szCs w:val="24"/>
              </w:rPr>
            </w:pPr>
            <w:r>
              <w:rPr>
                <w:rFonts w:cs="Arial"/>
                <w:sz w:val="18"/>
              </w:rPr>
              <w:t>Differenz zwischen Zeile 3 und 4</w:t>
            </w:r>
          </w:p>
        </w:tc>
        <w:tc>
          <w:tcPr>
            <w:tcW w:w="1275" w:type="dxa"/>
          </w:tcPr>
          <w:p>
            <w:pPr>
              <w:pStyle w:val="GesAbsatz"/>
              <w:rPr>
                <w:rFonts w:eastAsia="Arial Unicode MS" w:cs="Arial"/>
                <w:sz w:val="18"/>
                <w:szCs w:val="24"/>
              </w:rPr>
            </w:pPr>
            <w:r>
              <w:rPr>
                <w:rFonts w:cs="Arial"/>
                <w:sz w:val="18"/>
              </w:rPr>
              <w:t>17.770</w:t>
            </w:r>
          </w:p>
        </w:tc>
        <w:tc>
          <w:tcPr>
            <w:tcW w:w="1134" w:type="dxa"/>
          </w:tcPr>
          <w:p>
            <w:pPr>
              <w:pStyle w:val="GesAbsatz"/>
              <w:rPr>
                <w:rFonts w:eastAsia="Arial Unicode MS" w:cs="Arial"/>
                <w:sz w:val="18"/>
                <w:szCs w:val="24"/>
              </w:rPr>
            </w:pPr>
            <w:r>
              <w:rPr>
                <w:rFonts w:cs="Arial"/>
                <w:sz w:val="18"/>
              </w:rPr>
              <w:t>4.900</w:t>
            </w:r>
          </w:p>
        </w:tc>
        <w:tc>
          <w:tcPr>
            <w:tcW w:w="1276" w:type="dxa"/>
          </w:tcPr>
          <w:p>
            <w:pPr>
              <w:pStyle w:val="GesAbsatz"/>
              <w:rPr>
                <w:rFonts w:eastAsia="Arial Unicode MS" w:cs="Arial"/>
                <w:sz w:val="18"/>
                <w:szCs w:val="24"/>
              </w:rPr>
            </w:pPr>
            <w:r>
              <w:rPr>
                <w:rFonts w:cs="Arial"/>
                <w:sz w:val="18"/>
              </w:rPr>
              <w:t xml:space="preserve">37.740 </w:t>
            </w:r>
          </w:p>
        </w:tc>
        <w:tc>
          <w:tcPr>
            <w:tcW w:w="992" w:type="dxa"/>
          </w:tcPr>
          <w:p>
            <w:pPr>
              <w:pStyle w:val="GesAbsatz"/>
              <w:rPr>
                <w:rFonts w:eastAsia="Arial Unicode MS" w:cs="Arial"/>
                <w:sz w:val="18"/>
                <w:szCs w:val="24"/>
              </w:rPr>
            </w:pPr>
            <w:r>
              <w:rPr>
                <w:rFonts w:cs="Arial"/>
                <w:sz w:val="18"/>
              </w:rPr>
              <w:t>34.260</w:t>
            </w:r>
          </w:p>
        </w:tc>
        <w:tc>
          <w:tcPr>
            <w:tcW w:w="1134" w:type="dxa"/>
          </w:tcPr>
          <w:p>
            <w:pPr>
              <w:pStyle w:val="GesAbsatz"/>
              <w:rPr>
                <w:rFonts w:eastAsia="Arial Unicode MS" w:cs="Arial"/>
                <w:sz w:val="18"/>
                <w:szCs w:val="24"/>
              </w:rPr>
            </w:pPr>
            <w:r>
              <w:rPr>
                <w:rFonts w:cs="Arial"/>
                <w:sz w:val="18"/>
              </w:rPr>
              <w:t xml:space="preserve">6.380 </w:t>
            </w:r>
          </w:p>
        </w:tc>
        <w:tc>
          <w:tcPr>
            <w:tcW w:w="1560" w:type="dxa"/>
          </w:tcPr>
          <w:p>
            <w:pPr>
              <w:pStyle w:val="GesAbsatz"/>
              <w:rPr>
                <w:rFonts w:eastAsia="Arial Unicode MS" w:cs="Arial"/>
                <w:sz w:val="18"/>
                <w:szCs w:val="24"/>
              </w:rPr>
            </w:pPr>
            <w:r>
              <w:rPr>
                <w:rFonts w:cs="Arial"/>
                <w:sz w:val="18"/>
                <w:u w:val="single"/>
              </w:rPr>
              <w:t>101.050</w:t>
            </w:r>
          </w:p>
        </w:tc>
      </w:tr>
      <w:tr>
        <w:tc>
          <w:tcPr>
            <w:tcW w:w="496" w:type="dxa"/>
          </w:tcPr>
          <w:p>
            <w:pPr>
              <w:pStyle w:val="GesAbsatz"/>
              <w:rPr>
                <w:rFonts w:eastAsia="Arial Unicode MS" w:cs="Arial"/>
                <w:sz w:val="18"/>
                <w:szCs w:val="24"/>
              </w:rPr>
            </w:pPr>
            <w:r>
              <w:rPr>
                <w:rFonts w:cs="Arial"/>
                <w:sz w:val="18"/>
              </w:rPr>
              <w:t xml:space="preserve">6 </w:t>
            </w:r>
          </w:p>
        </w:tc>
        <w:tc>
          <w:tcPr>
            <w:tcW w:w="2268" w:type="dxa"/>
          </w:tcPr>
          <w:p>
            <w:pPr>
              <w:pStyle w:val="GesAbsatz"/>
              <w:rPr>
                <w:rFonts w:eastAsia="Arial Unicode MS" w:cs="Arial"/>
                <w:sz w:val="18"/>
                <w:szCs w:val="24"/>
              </w:rPr>
            </w:pPr>
            <w:r>
              <w:rPr>
                <w:rFonts w:cs="Arial"/>
                <w:sz w:val="18"/>
              </w:rPr>
              <w:t>Voraussichtliche Mehrproduktion</w:t>
            </w:r>
            <w:r>
              <w:rPr>
                <w:rFonts w:cs="Arial"/>
                <w:sz w:val="18"/>
                <w:vertAlign w:val="superscript"/>
              </w:rPr>
              <w:t xml:space="preserve">3 </w:t>
            </w:r>
            <w:r>
              <w:rPr>
                <w:rFonts w:cs="Arial"/>
                <w:sz w:val="18"/>
              </w:rPr>
              <w:t>an Kompost in Mg</w:t>
            </w:r>
            <w:r>
              <w:rPr>
                <w:rFonts w:cs="Arial"/>
                <w:sz w:val="18"/>
              </w:rPr>
              <w:br/>
              <w:t>n Zukunft, n=21</w:t>
            </w:r>
          </w:p>
        </w:tc>
        <w:tc>
          <w:tcPr>
            <w:tcW w:w="1275" w:type="dxa"/>
          </w:tcPr>
          <w:p>
            <w:pPr>
              <w:pStyle w:val="GesAbsatz"/>
              <w:rPr>
                <w:rFonts w:eastAsia="Arial Unicode MS" w:cs="Arial"/>
                <w:sz w:val="18"/>
                <w:szCs w:val="24"/>
              </w:rPr>
            </w:pPr>
            <w:r>
              <w:rPr>
                <w:rFonts w:cs="Arial"/>
                <w:sz w:val="18"/>
              </w:rPr>
              <w:t>35.920</w:t>
            </w:r>
          </w:p>
        </w:tc>
        <w:tc>
          <w:tcPr>
            <w:tcW w:w="1134" w:type="dxa"/>
          </w:tcPr>
          <w:p>
            <w:pPr>
              <w:pStyle w:val="GesAbsatz"/>
              <w:rPr>
                <w:rFonts w:eastAsia="Arial Unicode MS" w:cs="Arial"/>
                <w:sz w:val="18"/>
                <w:szCs w:val="24"/>
              </w:rPr>
            </w:pPr>
            <w:r>
              <w:rPr>
                <w:rFonts w:cs="Arial"/>
                <w:sz w:val="18"/>
              </w:rPr>
              <w:t>5.200</w:t>
            </w:r>
          </w:p>
        </w:tc>
        <w:tc>
          <w:tcPr>
            <w:tcW w:w="1276" w:type="dxa"/>
          </w:tcPr>
          <w:p>
            <w:pPr>
              <w:pStyle w:val="GesAbsatz"/>
              <w:rPr>
                <w:rFonts w:eastAsia="Arial Unicode MS" w:cs="Arial"/>
                <w:sz w:val="18"/>
                <w:szCs w:val="24"/>
              </w:rPr>
            </w:pPr>
            <w:r>
              <w:rPr>
                <w:rFonts w:cs="Arial"/>
                <w:sz w:val="18"/>
              </w:rPr>
              <w:t>9.500</w:t>
            </w:r>
          </w:p>
        </w:tc>
        <w:tc>
          <w:tcPr>
            <w:tcW w:w="992" w:type="dxa"/>
          </w:tcPr>
          <w:p>
            <w:pPr>
              <w:pStyle w:val="GesAbsatz"/>
              <w:rPr>
                <w:rFonts w:eastAsia="Arial Unicode MS" w:cs="Arial"/>
                <w:sz w:val="18"/>
                <w:szCs w:val="24"/>
              </w:rPr>
            </w:pPr>
            <w:r>
              <w:rPr>
                <w:rFonts w:cs="Arial"/>
                <w:sz w:val="18"/>
              </w:rPr>
              <w:t>37.550</w:t>
            </w:r>
          </w:p>
        </w:tc>
        <w:tc>
          <w:tcPr>
            <w:tcW w:w="1134" w:type="dxa"/>
          </w:tcPr>
          <w:p>
            <w:pPr>
              <w:pStyle w:val="GesAbsatz"/>
              <w:rPr>
                <w:rFonts w:eastAsia="Arial Unicode MS" w:cs="Arial"/>
                <w:sz w:val="18"/>
                <w:szCs w:val="24"/>
              </w:rPr>
            </w:pPr>
            <w:r>
              <w:rPr>
                <w:rFonts w:cs="Arial"/>
                <w:sz w:val="18"/>
              </w:rPr>
              <w:t>21.300</w:t>
            </w:r>
          </w:p>
        </w:tc>
        <w:tc>
          <w:tcPr>
            <w:tcW w:w="1560" w:type="dxa"/>
          </w:tcPr>
          <w:p>
            <w:pPr>
              <w:pStyle w:val="GesAbsatz"/>
              <w:rPr>
                <w:rFonts w:eastAsia="Arial Unicode MS" w:cs="Arial"/>
                <w:sz w:val="18"/>
                <w:szCs w:val="24"/>
              </w:rPr>
            </w:pPr>
            <w:r>
              <w:rPr>
                <w:rFonts w:cs="Arial"/>
                <w:sz w:val="18"/>
                <w:u w:val="single"/>
              </w:rPr>
              <w:t>109.470</w:t>
            </w:r>
          </w:p>
        </w:tc>
      </w:tr>
      <w:tr>
        <w:trPr>
          <w:cantSplit/>
        </w:trPr>
        <w:tc>
          <w:tcPr>
            <w:tcW w:w="10135" w:type="dxa"/>
            <w:gridSpan w:val="8"/>
          </w:tcPr>
          <w:p>
            <w:pPr>
              <w:pStyle w:val="GesAbsatz"/>
              <w:rPr>
                <w:rFonts w:cs="Arial"/>
                <w:sz w:val="18"/>
              </w:rPr>
            </w:pPr>
            <w:r>
              <w:rPr>
                <w:rFonts w:cs="Arial"/>
                <w:sz w:val="18"/>
                <w:szCs w:val="15"/>
                <w:vertAlign w:val="superscript"/>
              </w:rPr>
              <w:t xml:space="preserve">1 </w:t>
            </w:r>
            <w:r>
              <w:rPr>
                <w:rFonts w:cs="Arial"/>
                <w:sz w:val="18"/>
                <w:szCs w:val="15"/>
              </w:rPr>
              <w:t>Kompostkataster des LUA, Kompost-Atlas 1998/99 von Wiemer und Kern, 1998, Fragebögen des INFA</w:t>
            </w:r>
            <w:r>
              <w:rPr>
                <w:rFonts w:cs="Arial"/>
                <w:sz w:val="18"/>
                <w:szCs w:val="15"/>
              </w:rPr>
              <w:br/>
            </w:r>
            <w:r>
              <w:rPr>
                <w:rFonts w:cs="Arial"/>
                <w:sz w:val="18"/>
                <w:szCs w:val="15"/>
                <w:vertAlign w:val="superscript"/>
              </w:rPr>
              <w:t xml:space="preserve">2 </w:t>
            </w:r>
            <w:r>
              <w:rPr>
                <w:rFonts w:cs="Arial"/>
                <w:sz w:val="18"/>
                <w:szCs w:val="15"/>
              </w:rPr>
              <w:t>Für 3 Anlagen wurde statt der Kapazität der Durchsatz für die Berechnung herangezogen.</w:t>
            </w:r>
            <w:r>
              <w:rPr>
                <w:rFonts w:cs="Arial"/>
                <w:sz w:val="18"/>
                <w:szCs w:val="15"/>
              </w:rPr>
              <w:br/>
            </w:r>
            <w:r>
              <w:rPr>
                <w:rFonts w:cs="Arial"/>
                <w:sz w:val="18"/>
                <w:szCs w:val="15"/>
                <w:vertAlign w:val="superscript"/>
              </w:rPr>
              <w:t xml:space="preserve">3 </w:t>
            </w:r>
            <w:r>
              <w:rPr>
                <w:rFonts w:cs="Arial"/>
                <w:sz w:val="18"/>
                <w:szCs w:val="15"/>
              </w:rPr>
              <w:t>nach Angaben der Anlagenbetreiber</w:t>
            </w:r>
          </w:p>
        </w:tc>
      </w:tr>
    </w:tbl>
    <w:p>
      <w:pPr>
        <w:pStyle w:val="GesAbsatz"/>
        <w:rPr>
          <w:rFonts w:cs="Arial"/>
        </w:rPr>
      </w:pPr>
    </w:p>
    <w:p>
      <w:pPr>
        <w:pStyle w:val="GesAbsatz"/>
        <w:rPr>
          <w:rFonts w:cs="Arial"/>
        </w:rPr>
      </w:pPr>
      <w:r>
        <w:rPr>
          <w:rFonts w:cs="Arial"/>
          <w:b/>
          <w:bCs/>
        </w:rPr>
        <w:t>4.1.2 Vermarktungsstrukturen der Anlagen</w:t>
      </w:r>
    </w:p>
    <w:p>
      <w:pPr>
        <w:pStyle w:val="GesAbsatz"/>
        <w:rPr>
          <w:rFonts w:cs="Arial"/>
          <w:b/>
          <w:bCs/>
        </w:rPr>
      </w:pPr>
      <w:r>
        <w:rPr>
          <w:rFonts w:cs="Arial"/>
          <w:b/>
          <w:bCs/>
        </w:rPr>
        <w:t>Inputmaterialien</w:t>
      </w:r>
    </w:p>
    <w:p>
      <w:pPr>
        <w:pStyle w:val="GesAbsatz"/>
        <w:rPr>
          <w:rFonts w:cs="Arial"/>
        </w:rPr>
      </w:pPr>
      <w:r>
        <w:rPr>
          <w:rFonts w:cs="Arial"/>
        </w:rPr>
        <w:t>Die derzeit verarbeiteten Inputmaterialien bestehen in erster Linie aus Grün- und Bioabfällen. Der größte Teil der Nennungen entfällt eindeutig auf die Grünabfälle, die aber einen geringeren Mengenanteil im Vergleich zu den Bioabfällen aufweisen (s. Tabelle 17).</w:t>
      </w:r>
    </w:p>
    <w:p>
      <w:pPr>
        <w:pStyle w:val="GesAbsatz"/>
        <w:rPr>
          <w:rFonts w:cs="Arial"/>
        </w:rPr>
      </w:pPr>
      <w:r>
        <w:rPr>
          <w:rFonts w:cs="Arial"/>
        </w:rPr>
        <w:t>Nach der Befragung gaben 23 Betreiber an (bzw. 37 Betreiber nach Daten, die mit Hilfe anderer Quellen erhoben wurden), dass zu 100 % Grünabfälle verarbeitet werden. 19 (25) gaben an, bis zu 25 % Grünabfälle zu verwerten. Bei den Bioabfällen war die stärkste Häufung an Nennungen (17 bzw. 21) bei einem Anteil von 75 - 100 % zu verzeichnen. Nur 5 (9) kompostieren Gewerbeabfälle bis zu einem Anteil von 25 % am Gesamtinput, und 1 (2) Anlagen verarbeiten andere Inputmaterialien (Papier, Marktabfälle) in einer Größenordnung zwischen 3 und 14 %.</w:t>
      </w:r>
    </w:p>
    <w:p>
      <w:pPr>
        <w:pStyle w:val="GesAbsatz"/>
        <w:rPr>
          <w:rFonts w:cs="Arial"/>
        </w:rPr>
      </w:pPr>
      <w:r>
        <w:rPr>
          <w:rFonts w:cs="Arial"/>
          <w:b/>
          <w:bCs/>
        </w:rPr>
        <w:br w:type="page"/>
      </w:r>
      <w:r>
        <w:rPr>
          <w:rFonts w:cs="Arial"/>
          <w:b/>
          <w:bCs/>
        </w:rPr>
        <w:lastRenderedPageBreak/>
        <w:t>Tabelle 17: Mengen und Verarbeitung der Inputmaterialien, Mehrfachnennungen möglich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92"/>
        <w:gridCol w:w="851"/>
        <w:gridCol w:w="992"/>
        <w:gridCol w:w="992"/>
        <w:gridCol w:w="873"/>
        <w:gridCol w:w="1134"/>
        <w:gridCol w:w="921"/>
        <w:gridCol w:w="1087"/>
      </w:tblGrid>
      <w:tr>
        <w:trPr>
          <w:jc w:val="center"/>
        </w:trPr>
        <w:tc>
          <w:tcPr>
            <w:tcW w:w="1346" w:type="dxa"/>
          </w:tcPr>
          <w:p>
            <w:pPr>
              <w:pStyle w:val="GesAbsatz"/>
              <w:jc w:val="center"/>
              <w:rPr>
                <w:rFonts w:eastAsia="Arial Unicode MS" w:cs="Arial"/>
                <w:b/>
                <w:bCs/>
                <w:sz w:val="18"/>
                <w:szCs w:val="24"/>
              </w:rPr>
            </w:pPr>
            <w:r>
              <w:rPr>
                <w:rFonts w:cs="Arial"/>
                <w:b/>
                <w:bCs/>
                <w:sz w:val="18"/>
              </w:rPr>
              <w:t>Anteil</w:t>
            </w:r>
            <w:r>
              <w:rPr>
                <w:rFonts w:cs="Arial"/>
                <w:b/>
                <w:bCs/>
                <w:sz w:val="18"/>
              </w:rPr>
              <w:br/>
              <w:t>am Input</w:t>
            </w:r>
            <w:r>
              <w:rPr>
                <w:rFonts w:cs="Arial"/>
                <w:b/>
                <w:bCs/>
                <w:sz w:val="18"/>
              </w:rPr>
              <w:br/>
              <w:t>je Anlage</w:t>
            </w:r>
          </w:p>
        </w:tc>
        <w:tc>
          <w:tcPr>
            <w:tcW w:w="1843" w:type="dxa"/>
            <w:gridSpan w:val="2"/>
          </w:tcPr>
          <w:p>
            <w:pPr>
              <w:pStyle w:val="GesAbsatz"/>
              <w:jc w:val="center"/>
              <w:rPr>
                <w:rFonts w:eastAsia="Arial Unicode MS" w:cs="Arial"/>
                <w:b/>
                <w:bCs/>
                <w:sz w:val="18"/>
                <w:szCs w:val="24"/>
              </w:rPr>
            </w:pPr>
            <w:r>
              <w:rPr>
                <w:rFonts w:cs="Arial"/>
                <w:b/>
                <w:bCs/>
                <w:sz w:val="18"/>
              </w:rPr>
              <w:t>Grünabfälle</w:t>
            </w:r>
            <w:r>
              <w:rPr>
                <w:rFonts w:cs="Arial"/>
                <w:b/>
                <w:bCs/>
                <w:sz w:val="18"/>
              </w:rPr>
              <w:br/>
            </w:r>
            <w:r>
              <w:rPr>
                <w:rFonts w:cs="Arial"/>
                <w:b/>
                <w:bCs/>
                <w:sz w:val="18"/>
                <w:szCs w:val="15"/>
              </w:rPr>
              <w:t>Anzahl d. Nennungen</w:t>
            </w:r>
          </w:p>
        </w:tc>
        <w:tc>
          <w:tcPr>
            <w:tcW w:w="1984" w:type="dxa"/>
            <w:gridSpan w:val="2"/>
          </w:tcPr>
          <w:p>
            <w:pPr>
              <w:pStyle w:val="GesAbsatz"/>
              <w:jc w:val="center"/>
              <w:rPr>
                <w:rFonts w:eastAsia="Arial Unicode MS" w:cs="Arial"/>
                <w:b/>
                <w:bCs/>
                <w:sz w:val="18"/>
                <w:szCs w:val="24"/>
              </w:rPr>
            </w:pPr>
            <w:r>
              <w:rPr>
                <w:rFonts w:cs="Arial"/>
                <w:b/>
                <w:bCs/>
                <w:sz w:val="18"/>
              </w:rPr>
              <w:t>Bioabfälle</w:t>
            </w:r>
            <w:r>
              <w:rPr>
                <w:rFonts w:cs="Arial"/>
                <w:b/>
                <w:bCs/>
                <w:sz w:val="18"/>
              </w:rPr>
              <w:br/>
            </w:r>
            <w:r>
              <w:rPr>
                <w:rFonts w:cs="Arial"/>
                <w:b/>
                <w:bCs/>
                <w:sz w:val="18"/>
                <w:szCs w:val="15"/>
              </w:rPr>
              <w:t>Anzahl d. Nennungen</w:t>
            </w:r>
          </w:p>
        </w:tc>
        <w:tc>
          <w:tcPr>
            <w:tcW w:w="2007" w:type="dxa"/>
            <w:gridSpan w:val="2"/>
          </w:tcPr>
          <w:p>
            <w:pPr>
              <w:pStyle w:val="GesAbsatz"/>
              <w:jc w:val="center"/>
              <w:rPr>
                <w:rFonts w:eastAsia="Arial Unicode MS" w:cs="Arial"/>
                <w:b/>
                <w:bCs/>
                <w:sz w:val="18"/>
                <w:szCs w:val="24"/>
              </w:rPr>
            </w:pPr>
            <w:r>
              <w:rPr>
                <w:rFonts w:cs="Arial"/>
                <w:b/>
                <w:bCs/>
                <w:sz w:val="18"/>
              </w:rPr>
              <w:t>Gewerbeabfälle</w:t>
            </w:r>
            <w:r>
              <w:rPr>
                <w:rFonts w:cs="Arial"/>
                <w:b/>
                <w:bCs/>
                <w:sz w:val="18"/>
              </w:rPr>
              <w:br/>
            </w:r>
            <w:r>
              <w:rPr>
                <w:rFonts w:cs="Arial"/>
                <w:b/>
                <w:bCs/>
                <w:sz w:val="18"/>
                <w:szCs w:val="15"/>
              </w:rPr>
              <w:t>Anzahl d. Nennungen</w:t>
            </w:r>
          </w:p>
        </w:tc>
        <w:tc>
          <w:tcPr>
            <w:tcW w:w="2008" w:type="dxa"/>
            <w:gridSpan w:val="2"/>
          </w:tcPr>
          <w:p>
            <w:pPr>
              <w:pStyle w:val="GesAbsatz"/>
              <w:jc w:val="center"/>
              <w:rPr>
                <w:rFonts w:eastAsia="Arial Unicode MS" w:cs="Arial"/>
                <w:b/>
                <w:bCs/>
                <w:sz w:val="18"/>
                <w:szCs w:val="24"/>
              </w:rPr>
            </w:pPr>
            <w:r>
              <w:rPr>
                <w:rFonts w:cs="Arial"/>
                <w:b/>
                <w:bCs/>
                <w:sz w:val="18"/>
              </w:rPr>
              <w:t>andere Abfälle</w:t>
            </w:r>
            <w:r>
              <w:rPr>
                <w:rFonts w:cs="Arial"/>
                <w:b/>
                <w:bCs/>
                <w:sz w:val="18"/>
              </w:rPr>
              <w:br/>
            </w:r>
            <w:r>
              <w:rPr>
                <w:rFonts w:cs="Arial"/>
                <w:b/>
                <w:bCs/>
                <w:sz w:val="18"/>
                <w:szCs w:val="15"/>
              </w:rPr>
              <w:t>Anzahl d. Nennungen</w:t>
            </w:r>
          </w:p>
        </w:tc>
      </w:tr>
      <w:tr>
        <w:trPr>
          <w:jc w:val="center"/>
        </w:trPr>
        <w:tc>
          <w:tcPr>
            <w:tcW w:w="1346" w:type="dxa"/>
          </w:tcPr>
          <w:p>
            <w:pPr>
              <w:pStyle w:val="GesAbsatz"/>
              <w:jc w:val="center"/>
              <w:rPr>
                <w:rFonts w:eastAsia="Arial Unicode MS" w:cs="Arial"/>
                <w:sz w:val="18"/>
                <w:szCs w:val="24"/>
              </w:rPr>
            </w:pPr>
          </w:p>
        </w:tc>
        <w:tc>
          <w:tcPr>
            <w:tcW w:w="992" w:type="dxa"/>
          </w:tcPr>
          <w:p>
            <w:pPr>
              <w:pStyle w:val="GesAbsatz"/>
              <w:jc w:val="center"/>
              <w:rPr>
                <w:rFonts w:eastAsia="Arial Unicode MS" w:cs="Arial"/>
                <w:sz w:val="18"/>
                <w:szCs w:val="24"/>
              </w:rPr>
            </w:pPr>
            <w:r>
              <w:rPr>
                <w:rFonts w:cs="Arial"/>
                <w:sz w:val="18"/>
              </w:rPr>
              <w:t>1</w:t>
            </w:r>
          </w:p>
        </w:tc>
        <w:tc>
          <w:tcPr>
            <w:tcW w:w="851" w:type="dxa"/>
          </w:tcPr>
          <w:p>
            <w:pPr>
              <w:pStyle w:val="GesAbsatz"/>
              <w:jc w:val="center"/>
              <w:rPr>
                <w:rFonts w:eastAsia="Arial Unicode MS" w:cs="Arial"/>
                <w:sz w:val="18"/>
                <w:szCs w:val="24"/>
              </w:rPr>
            </w:pPr>
            <w:r>
              <w:rPr>
                <w:rFonts w:cs="Arial"/>
                <w:sz w:val="18"/>
              </w:rPr>
              <w:t>2</w:t>
            </w:r>
            <w:r>
              <w:rPr>
                <w:rFonts w:cs="Arial"/>
                <w:sz w:val="18"/>
                <w:vertAlign w:val="superscript"/>
              </w:rPr>
              <w:t>3</w:t>
            </w:r>
          </w:p>
        </w:tc>
        <w:tc>
          <w:tcPr>
            <w:tcW w:w="992" w:type="dxa"/>
          </w:tcPr>
          <w:p>
            <w:pPr>
              <w:pStyle w:val="GesAbsatz"/>
              <w:jc w:val="center"/>
              <w:rPr>
                <w:rFonts w:eastAsia="Arial Unicode MS" w:cs="Arial"/>
                <w:sz w:val="18"/>
                <w:szCs w:val="24"/>
              </w:rPr>
            </w:pPr>
            <w:r>
              <w:rPr>
                <w:rFonts w:cs="Arial"/>
                <w:sz w:val="18"/>
              </w:rPr>
              <w:t>1</w:t>
            </w:r>
          </w:p>
        </w:tc>
        <w:tc>
          <w:tcPr>
            <w:tcW w:w="992" w:type="dxa"/>
          </w:tcPr>
          <w:p>
            <w:pPr>
              <w:pStyle w:val="GesAbsatz"/>
              <w:jc w:val="center"/>
              <w:rPr>
                <w:rFonts w:eastAsia="Arial Unicode MS" w:cs="Arial"/>
                <w:sz w:val="18"/>
                <w:szCs w:val="24"/>
              </w:rPr>
            </w:pPr>
            <w:r>
              <w:rPr>
                <w:rFonts w:cs="Arial"/>
                <w:sz w:val="18"/>
              </w:rPr>
              <w:t>2</w:t>
            </w:r>
          </w:p>
        </w:tc>
        <w:tc>
          <w:tcPr>
            <w:tcW w:w="873" w:type="dxa"/>
          </w:tcPr>
          <w:p>
            <w:pPr>
              <w:pStyle w:val="GesAbsatz"/>
              <w:jc w:val="center"/>
              <w:rPr>
                <w:rFonts w:eastAsia="Arial Unicode MS" w:cs="Arial"/>
                <w:sz w:val="18"/>
                <w:szCs w:val="24"/>
              </w:rPr>
            </w:pPr>
            <w:r>
              <w:rPr>
                <w:rFonts w:cs="Arial"/>
                <w:sz w:val="18"/>
              </w:rPr>
              <w:t>1</w:t>
            </w:r>
          </w:p>
        </w:tc>
        <w:tc>
          <w:tcPr>
            <w:tcW w:w="1134" w:type="dxa"/>
          </w:tcPr>
          <w:p>
            <w:pPr>
              <w:pStyle w:val="GesAbsatz"/>
              <w:jc w:val="center"/>
              <w:rPr>
                <w:rFonts w:eastAsia="Arial Unicode MS" w:cs="Arial"/>
                <w:sz w:val="18"/>
                <w:szCs w:val="24"/>
              </w:rPr>
            </w:pPr>
            <w:r>
              <w:rPr>
                <w:rFonts w:cs="Arial"/>
                <w:sz w:val="18"/>
              </w:rPr>
              <w:t>2</w:t>
            </w:r>
          </w:p>
        </w:tc>
        <w:tc>
          <w:tcPr>
            <w:tcW w:w="921" w:type="dxa"/>
          </w:tcPr>
          <w:p>
            <w:pPr>
              <w:pStyle w:val="GesAbsatz"/>
              <w:jc w:val="center"/>
              <w:rPr>
                <w:rFonts w:eastAsia="Arial Unicode MS" w:cs="Arial"/>
                <w:sz w:val="18"/>
                <w:szCs w:val="24"/>
              </w:rPr>
            </w:pPr>
            <w:r>
              <w:rPr>
                <w:rFonts w:cs="Arial"/>
                <w:sz w:val="18"/>
              </w:rPr>
              <w:t>1</w:t>
            </w:r>
          </w:p>
        </w:tc>
        <w:tc>
          <w:tcPr>
            <w:tcW w:w="1087" w:type="dxa"/>
          </w:tcPr>
          <w:p>
            <w:pPr>
              <w:pStyle w:val="GesAbsatz"/>
              <w:jc w:val="center"/>
              <w:rPr>
                <w:rFonts w:eastAsia="Arial Unicode MS" w:cs="Arial"/>
                <w:sz w:val="18"/>
                <w:szCs w:val="24"/>
              </w:rPr>
            </w:pPr>
            <w:r>
              <w:rPr>
                <w:rFonts w:cs="Arial"/>
                <w:sz w:val="18"/>
              </w:rPr>
              <w:t>2</w:t>
            </w:r>
          </w:p>
        </w:tc>
      </w:tr>
      <w:tr>
        <w:trPr>
          <w:jc w:val="center"/>
        </w:trPr>
        <w:tc>
          <w:tcPr>
            <w:tcW w:w="1346" w:type="dxa"/>
          </w:tcPr>
          <w:p>
            <w:pPr>
              <w:pStyle w:val="GesAbsatz"/>
              <w:rPr>
                <w:rFonts w:eastAsia="Arial Unicode MS" w:cs="Arial"/>
                <w:sz w:val="18"/>
                <w:szCs w:val="24"/>
              </w:rPr>
            </w:pPr>
            <w:r>
              <w:rPr>
                <w:rFonts w:cs="Arial"/>
                <w:sz w:val="18"/>
              </w:rPr>
              <w:t xml:space="preserve">0 - </w:t>
            </w:r>
            <w:r>
              <w:rPr>
                <w:rFonts w:cs="Arial"/>
                <w:sz w:val="18"/>
                <w:u w:val="single"/>
              </w:rPr>
              <w:t>&lt;</w:t>
            </w:r>
            <w:r>
              <w:rPr>
                <w:rFonts w:cs="Arial"/>
                <w:sz w:val="18"/>
              </w:rPr>
              <w:t xml:space="preserve"> 25 % </w:t>
            </w:r>
          </w:p>
        </w:tc>
        <w:tc>
          <w:tcPr>
            <w:tcW w:w="992" w:type="dxa"/>
          </w:tcPr>
          <w:p>
            <w:pPr>
              <w:pStyle w:val="GesAbsatz"/>
              <w:tabs>
                <w:tab w:val="clear" w:pos="425"/>
                <w:tab w:val="decimal" w:pos="497"/>
              </w:tabs>
              <w:rPr>
                <w:rFonts w:eastAsia="Arial Unicode MS" w:cs="Arial"/>
                <w:sz w:val="18"/>
                <w:szCs w:val="24"/>
              </w:rPr>
            </w:pPr>
            <w:r>
              <w:rPr>
                <w:rFonts w:cs="Arial"/>
                <w:sz w:val="18"/>
              </w:rPr>
              <w:t>19</w:t>
            </w:r>
          </w:p>
        </w:tc>
        <w:tc>
          <w:tcPr>
            <w:tcW w:w="851" w:type="dxa"/>
          </w:tcPr>
          <w:p>
            <w:pPr>
              <w:pStyle w:val="GesAbsatz"/>
              <w:tabs>
                <w:tab w:val="clear" w:pos="425"/>
                <w:tab w:val="decimal" w:pos="497"/>
              </w:tabs>
              <w:rPr>
                <w:rFonts w:eastAsia="Arial Unicode MS" w:cs="Arial"/>
                <w:sz w:val="18"/>
                <w:szCs w:val="24"/>
              </w:rPr>
            </w:pPr>
            <w:r>
              <w:rPr>
                <w:rFonts w:cs="Arial"/>
                <w:sz w:val="18"/>
              </w:rPr>
              <w:t>25</w:t>
            </w:r>
          </w:p>
        </w:tc>
        <w:tc>
          <w:tcPr>
            <w:tcW w:w="992" w:type="dxa"/>
          </w:tcPr>
          <w:p>
            <w:pPr>
              <w:pStyle w:val="GesAbsatz"/>
              <w:tabs>
                <w:tab w:val="clear" w:pos="425"/>
                <w:tab w:val="decimal" w:pos="497"/>
              </w:tabs>
              <w:rPr>
                <w:rFonts w:eastAsia="Arial Unicode MS" w:cs="Arial"/>
                <w:sz w:val="18"/>
                <w:szCs w:val="24"/>
              </w:rPr>
            </w:pPr>
            <w:r>
              <w:rPr>
                <w:rFonts w:cs="Arial"/>
                <w:sz w:val="18"/>
              </w:rPr>
              <w:t>4</w:t>
            </w:r>
          </w:p>
        </w:tc>
        <w:tc>
          <w:tcPr>
            <w:tcW w:w="992" w:type="dxa"/>
          </w:tcPr>
          <w:p>
            <w:pPr>
              <w:pStyle w:val="GesAbsatz"/>
              <w:tabs>
                <w:tab w:val="clear" w:pos="425"/>
                <w:tab w:val="decimal" w:pos="497"/>
              </w:tabs>
              <w:rPr>
                <w:rFonts w:eastAsia="Arial Unicode MS" w:cs="Arial"/>
                <w:sz w:val="18"/>
                <w:szCs w:val="24"/>
              </w:rPr>
            </w:pPr>
            <w:r>
              <w:rPr>
                <w:rFonts w:cs="Arial"/>
                <w:sz w:val="18"/>
              </w:rPr>
              <w:t>5</w:t>
            </w:r>
          </w:p>
        </w:tc>
        <w:tc>
          <w:tcPr>
            <w:tcW w:w="873" w:type="dxa"/>
          </w:tcPr>
          <w:p>
            <w:pPr>
              <w:pStyle w:val="GesAbsatz"/>
              <w:tabs>
                <w:tab w:val="clear" w:pos="425"/>
                <w:tab w:val="decimal" w:pos="497"/>
              </w:tabs>
              <w:rPr>
                <w:rFonts w:eastAsia="Arial Unicode MS" w:cs="Arial"/>
                <w:sz w:val="18"/>
                <w:szCs w:val="24"/>
              </w:rPr>
            </w:pPr>
            <w:r>
              <w:rPr>
                <w:rFonts w:cs="Arial"/>
                <w:sz w:val="18"/>
              </w:rPr>
              <w:t>5</w:t>
            </w:r>
          </w:p>
        </w:tc>
        <w:tc>
          <w:tcPr>
            <w:tcW w:w="1134" w:type="dxa"/>
          </w:tcPr>
          <w:p>
            <w:pPr>
              <w:pStyle w:val="GesAbsatz"/>
              <w:tabs>
                <w:tab w:val="clear" w:pos="425"/>
                <w:tab w:val="decimal" w:pos="497"/>
              </w:tabs>
              <w:rPr>
                <w:rFonts w:eastAsia="Arial Unicode MS" w:cs="Arial"/>
                <w:sz w:val="18"/>
                <w:szCs w:val="24"/>
              </w:rPr>
            </w:pPr>
            <w:r>
              <w:rPr>
                <w:rFonts w:cs="Arial"/>
                <w:sz w:val="18"/>
              </w:rPr>
              <w:t>9</w:t>
            </w:r>
          </w:p>
        </w:tc>
        <w:tc>
          <w:tcPr>
            <w:tcW w:w="921" w:type="dxa"/>
          </w:tcPr>
          <w:p>
            <w:pPr>
              <w:pStyle w:val="GesAbsatz"/>
              <w:tabs>
                <w:tab w:val="clear" w:pos="425"/>
                <w:tab w:val="decimal" w:pos="497"/>
              </w:tabs>
              <w:rPr>
                <w:rFonts w:eastAsia="Arial Unicode MS" w:cs="Arial"/>
                <w:sz w:val="18"/>
                <w:szCs w:val="24"/>
              </w:rPr>
            </w:pPr>
            <w:r>
              <w:rPr>
                <w:rFonts w:cs="Arial"/>
                <w:sz w:val="18"/>
              </w:rPr>
              <w:t>1</w:t>
            </w:r>
          </w:p>
        </w:tc>
        <w:tc>
          <w:tcPr>
            <w:tcW w:w="1087" w:type="dxa"/>
          </w:tcPr>
          <w:p>
            <w:pPr>
              <w:pStyle w:val="GesAbsatz"/>
              <w:tabs>
                <w:tab w:val="clear" w:pos="425"/>
                <w:tab w:val="decimal" w:pos="497"/>
              </w:tabs>
              <w:rPr>
                <w:rFonts w:eastAsia="Arial Unicode MS" w:cs="Arial"/>
                <w:sz w:val="18"/>
                <w:szCs w:val="24"/>
              </w:rPr>
            </w:pPr>
            <w:r>
              <w:rPr>
                <w:rFonts w:cs="Arial"/>
                <w:sz w:val="18"/>
              </w:rPr>
              <w:t>2</w:t>
            </w:r>
          </w:p>
        </w:tc>
      </w:tr>
      <w:tr>
        <w:trPr>
          <w:jc w:val="center"/>
        </w:trPr>
        <w:tc>
          <w:tcPr>
            <w:tcW w:w="1346" w:type="dxa"/>
          </w:tcPr>
          <w:p>
            <w:pPr>
              <w:pStyle w:val="GesAbsatz"/>
              <w:rPr>
                <w:rFonts w:eastAsia="Arial Unicode MS" w:cs="Arial"/>
                <w:sz w:val="18"/>
                <w:szCs w:val="24"/>
              </w:rPr>
            </w:pPr>
            <w:r>
              <w:rPr>
                <w:rFonts w:cs="Arial"/>
                <w:sz w:val="18"/>
              </w:rPr>
              <w:t xml:space="preserve">25 - </w:t>
            </w:r>
            <w:r>
              <w:rPr>
                <w:rFonts w:cs="Arial"/>
                <w:sz w:val="18"/>
                <w:u w:val="single"/>
              </w:rPr>
              <w:t>&lt;</w:t>
            </w:r>
            <w:r>
              <w:rPr>
                <w:rFonts w:cs="Arial"/>
                <w:sz w:val="18"/>
              </w:rPr>
              <w:t xml:space="preserve"> 50 % </w:t>
            </w:r>
          </w:p>
        </w:tc>
        <w:tc>
          <w:tcPr>
            <w:tcW w:w="992" w:type="dxa"/>
          </w:tcPr>
          <w:p>
            <w:pPr>
              <w:pStyle w:val="GesAbsatz"/>
              <w:tabs>
                <w:tab w:val="clear" w:pos="425"/>
                <w:tab w:val="decimal" w:pos="497"/>
              </w:tabs>
              <w:rPr>
                <w:rFonts w:eastAsia="Arial Unicode MS" w:cs="Arial"/>
                <w:sz w:val="18"/>
                <w:szCs w:val="24"/>
              </w:rPr>
            </w:pPr>
            <w:r>
              <w:rPr>
                <w:rFonts w:cs="Arial"/>
                <w:sz w:val="18"/>
              </w:rPr>
              <w:t>5</w:t>
            </w:r>
          </w:p>
        </w:tc>
        <w:tc>
          <w:tcPr>
            <w:tcW w:w="851" w:type="dxa"/>
          </w:tcPr>
          <w:p>
            <w:pPr>
              <w:pStyle w:val="GesAbsatz"/>
              <w:tabs>
                <w:tab w:val="clear" w:pos="425"/>
                <w:tab w:val="decimal" w:pos="497"/>
              </w:tabs>
              <w:rPr>
                <w:rFonts w:eastAsia="Arial Unicode MS" w:cs="Arial"/>
                <w:sz w:val="18"/>
                <w:szCs w:val="24"/>
              </w:rPr>
            </w:pPr>
            <w:r>
              <w:rPr>
                <w:rFonts w:cs="Arial"/>
                <w:sz w:val="18"/>
              </w:rPr>
              <w:t>6</w:t>
            </w:r>
          </w:p>
        </w:tc>
        <w:tc>
          <w:tcPr>
            <w:tcW w:w="992" w:type="dxa"/>
          </w:tcPr>
          <w:p>
            <w:pPr>
              <w:pStyle w:val="GesAbsatz"/>
              <w:tabs>
                <w:tab w:val="clear" w:pos="425"/>
                <w:tab w:val="decimal" w:pos="497"/>
              </w:tabs>
              <w:rPr>
                <w:rFonts w:eastAsia="Arial Unicode MS" w:cs="Arial"/>
                <w:sz w:val="18"/>
                <w:szCs w:val="24"/>
              </w:rPr>
            </w:pPr>
            <w:r>
              <w:rPr>
                <w:rFonts w:cs="Arial"/>
                <w:sz w:val="18"/>
              </w:rPr>
              <w:t>2</w:t>
            </w:r>
          </w:p>
        </w:tc>
        <w:tc>
          <w:tcPr>
            <w:tcW w:w="992" w:type="dxa"/>
          </w:tcPr>
          <w:p>
            <w:pPr>
              <w:pStyle w:val="GesAbsatz"/>
              <w:tabs>
                <w:tab w:val="clear" w:pos="425"/>
                <w:tab w:val="decimal" w:pos="497"/>
              </w:tabs>
              <w:rPr>
                <w:rFonts w:eastAsia="Arial Unicode MS" w:cs="Arial"/>
                <w:sz w:val="18"/>
                <w:szCs w:val="24"/>
              </w:rPr>
            </w:pPr>
            <w:r>
              <w:rPr>
                <w:rFonts w:cs="Arial"/>
                <w:sz w:val="18"/>
              </w:rPr>
              <w:t>3</w:t>
            </w:r>
          </w:p>
        </w:tc>
        <w:tc>
          <w:tcPr>
            <w:tcW w:w="873" w:type="dxa"/>
          </w:tcPr>
          <w:p>
            <w:pPr>
              <w:pStyle w:val="GesAbsatz"/>
              <w:tabs>
                <w:tab w:val="clear" w:pos="425"/>
                <w:tab w:val="decimal" w:pos="497"/>
              </w:tabs>
              <w:rPr>
                <w:rFonts w:eastAsia="Arial Unicode MS" w:cs="Arial"/>
                <w:sz w:val="18"/>
                <w:szCs w:val="24"/>
              </w:rPr>
            </w:pPr>
            <w:r>
              <w:rPr>
                <w:rFonts w:cs="Arial"/>
                <w:sz w:val="18"/>
              </w:rPr>
              <w:t>—</w:t>
            </w:r>
          </w:p>
        </w:tc>
        <w:tc>
          <w:tcPr>
            <w:tcW w:w="1134" w:type="dxa"/>
          </w:tcPr>
          <w:p>
            <w:pPr>
              <w:pStyle w:val="GesAbsatz"/>
              <w:tabs>
                <w:tab w:val="clear" w:pos="425"/>
                <w:tab w:val="decimal" w:pos="497"/>
              </w:tabs>
              <w:rPr>
                <w:rFonts w:eastAsia="Arial Unicode MS" w:cs="Arial"/>
                <w:sz w:val="18"/>
                <w:szCs w:val="24"/>
              </w:rPr>
            </w:pPr>
            <w:r>
              <w:rPr>
                <w:rFonts w:cs="Arial"/>
                <w:sz w:val="18"/>
              </w:rPr>
              <w:t>—</w:t>
            </w:r>
          </w:p>
        </w:tc>
        <w:tc>
          <w:tcPr>
            <w:tcW w:w="921" w:type="dxa"/>
          </w:tcPr>
          <w:p>
            <w:pPr>
              <w:pStyle w:val="GesAbsatz"/>
              <w:tabs>
                <w:tab w:val="clear" w:pos="425"/>
                <w:tab w:val="decimal" w:pos="497"/>
              </w:tabs>
              <w:rPr>
                <w:rFonts w:eastAsia="Arial Unicode MS" w:cs="Arial"/>
                <w:sz w:val="18"/>
                <w:szCs w:val="24"/>
              </w:rPr>
            </w:pPr>
            <w:r>
              <w:rPr>
                <w:rFonts w:cs="Arial"/>
                <w:sz w:val="18"/>
              </w:rPr>
              <w:t>—</w:t>
            </w:r>
          </w:p>
        </w:tc>
        <w:tc>
          <w:tcPr>
            <w:tcW w:w="1087" w:type="dxa"/>
          </w:tcPr>
          <w:p>
            <w:pPr>
              <w:pStyle w:val="GesAbsatz"/>
              <w:tabs>
                <w:tab w:val="clear" w:pos="425"/>
                <w:tab w:val="decimal" w:pos="497"/>
              </w:tabs>
              <w:rPr>
                <w:rFonts w:eastAsia="Arial Unicode MS" w:cs="Arial"/>
                <w:sz w:val="18"/>
                <w:szCs w:val="24"/>
              </w:rPr>
            </w:pPr>
            <w:r>
              <w:rPr>
                <w:rFonts w:cs="Arial"/>
                <w:sz w:val="18"/>
              </w:rPr>
              <w:t>—</w:t>
            </w:r>
          </w:p>
        </w:tc>
      </w:tr>
      <w:tr>
        <w:trPr>
          <w:jc w:val="center"/>
        </w:trPr>
        <w:tc>
          <w:tcPr>
            <w:tcW w:w="1346" w:type="dxa"/>
          </w:tcPr>
          <w:p>
            <w:pPr>
              <w:pStyle w:val="GesAbsatz"/>
              <w:rPr>
                <w:rFonts w:eastAsia="Arial Unicode MS" w:cs="Arial"/>
                <w:sz w:val="18"/>
                <w:szCs w:val="24"/>
              </w:rPr>
            </w:pPr>
            <w:r>
              <w:rPr>
                <w:rFonts w:cs="Arial"/>
                <w:sz w:val="18"/>
              </w:rPr>
              <w:t xml:space="preserve">50 - </w:t>
            </w:r>
            <w:r>
              <w:rPr>
                <w:rFonts w:cs="Arial"/>
                <w:sz w:val="18"/>
                <w:u w:val="single"/>
              </w:rPr>
              <w:t>&lt;</w:t>
            </w:r>
            <w:r>
              <w:rPr>
                <w:rFonts w:cs="Arial"/>
                <w:sz w:val="18"/>
              </w:rPr>
              <w:t xml:space="preserve"> 75 %</w:t>
            </w:r>
          </w:p>
        </w:tc>
        <w:tc>
          <w:tcPr>
            <w:tcW w:w="992" w:type="dxa"/>
          </w:tcPr>
          <w:p>
            <w:pPr>
              <w:pStyle w:val="GesAbsatz"/>
              <w:tabs>
                <w:tab w:val="clear" w:pos="425"/>
                <w:tab w:val="decimal" w:pos="497"/>
              </w:tabs>
              <w:rPr>
                <w:rFonts w:eastAsia="Arial Unicode MS" w:cs="Arial"/>
                <w:sz w:val="18"/>
                <w:szCs w:val="24"/>
              </w:rPr>
            </w:pPr>
            <w:r>
              <w:rPr>
                <w:rFonts w:cs="Arial"/>
                <w:sz w:val="18"/>
              </w:rPr>
              <w:t>2</w:t>
            </w:r>
          </w:p>
        </w:tc>
        <w:tc>
          <w:tcPr>
            <w:tcW w:w="851" w:type="dxa"/>
          </w:tcPr>
          <w:p>
            <w:pPr>
              <w:pStyle w:val="GesAbsatz"/>
              <w:tabs>
                <w:tab w:val="clear" w:pos="425"/>
                <w:tab w:val="decimal" w:pos="497"/>
              </w:tabs>
              <w:rPr>
                <w:rFonts w:eastAsia="Arial Unicode MS" w:cs="Arial"/>
                <w:sz w:val="18"/>
                <w:szCs w:val="24"/>
              </w:rPr>
            </w:pPr>
            <w:r>
              <w:rPr>
                <w:rFonts w:cs="Arial"/>
                <w:sz w:val="18"/>
              </w:rPr>
              <w:t>3</w:t>
            </w:r>
          </w:p>
        </w:tc>
        <w:tc>
          <w:tcPr>
            <w:tcW w:w="992" w:type="dxa"/>
          </w:tcPr>
          <w:p>
            <w:pPr>
              <w:pStyle w:val="GesAbsatz"/>
              <w:tabs>
                <w:tab w:val="clear" w:pos="425"/>
                <w:tab w:val="decimal" w:pos="497"/>
              </w:tabs>
              <w:rPr>
                <w:rFonts w:eastAsia="Arial Unicode MS" w:cs="Arial"/>
                <w:sz w:val="18"/>
                <w:szCs w:val="24"/>
              </w:rPr>
            </w:pPr>
            <w:r>
              <w:rPr>
                <w:rFonts w:cs="Arial"/>
                <w:sz w:val="18"/>
              </w:rPr>
              <w:t>9</w:t>
            </w:r>
          </w:p>
        </w:tc>
        <w:tc>
          <w:tcPr>
            <w:tcW w:w="992" w:type="dxa"/>
          </w:tcPr>
          <w:p>
            <w:pPr>
              <w:pStyle w:val="GesAbsatz"/>
              <w:tabs>
                <w:tab w:val="clear" w:pos="425"/>
                <w:tab w:val="decimal" w:pos="497"/>
              </w:tabs>
              <w:rPr>
                <w:rFonts w:eastAsia="Arial Unicode MS" w:cs="Arial"/>
                <w:sz w:val="18"/>
                <w:szCs w:val="24"/>
              </w:rPr>
            </w:pPr>
            <w:r>
              <w:rPr>
                <w:rFonts w:cs="Arial"/>
                <w:sz w:val="18"/>
              </w:rPr>
              <w:t>12</w:t>
            </w:r>
          </w:p>
        </w:tc>
        <w:tc>
          <w:tcPr>
            <w:tcW w:w="873" w:type="dxa"/>
          </w:tcPr>
          <w:p>
            <w:pPr>
              <w:pStyle w:val="GesAbsatz"/>
              <w:tabs>
                <w:tab w:val="clear" w:pos="425"/>
                <w:tab w:val="decimal" w:pos="497"/>
              </w:tabs>
              <w:rPr>
                <w:rFonts w:eastAsia="Arial Unicode MS" w:cs="Arial"/>
                <w:sz w:val="18"/>
                <w:szCs w:val="24"/>
              </w:rPr>
            </w:pPr>
            <w:r>
              <w:rPr>
                <w:rFonts w:cs="Arial"/>
                <w:sz w:val="18"/>
              </w:rPr>
              <w:t>—</w:t>
            </w:r>
          </w:p>
        </w:tc>
        <w:tc>
          <w:tcPr>
            <w:tcW w:w="1134" w:type="dxa"/>
          </w:tcPr>
          <w:p>
            <w:pPr>
              <w:pStyle w:val="GesAbsatz"/>
              <w:tabs>
                <w:tab w:val="clear" w:pos="425"/>
                <w:tab w:val="decimal" w:pos="497"/>
              </w:tabs>
              <w:rPr>
                <w:rFonts w:eastAsia="Arial Unicode MS" w:cs="Arial"/>
                <w:sz w:val="18"/>
                <w:szCs w:val="24"/>
              </w:rPr>
            </w:pPr>
            <w:r>
              <w:rPr>
                <w:rFonts w:cs="Arial"/>
                <w:sz w:val="18"/>
              </w:rPr>
              <w:t>—</w:t>
            </w:r>
          </w:p>
        </w:tc>
        <w:tc>
          <w:tcPr>
            <w:tcW w:w="921" w:type="dxa"/>
          </w:tcPr>
          <w:p>
            <w:pPr>
              <w:pStyle w:val="GesAbsatz"/>
              <w:tabs>
                <w:tab w:val="clear" w:pos="425"/>
                <w:tab w:val="decimal" w:pos="497"/>
              </w:tabs>
              <w:rPr>
                <w:rFonts w:eastAsia="Arial Unicode MS" w:cs="Arial"/>
                <w:sz w:val="18"/>
                <w:szCs w:val="24"/>
              </w:rPr>
            </w:pPr>
            <w:r>
              <w:rPr>
                <w:rFonts w:cs="Arial"/>
                <w:sz w:val="18"/>
              </w:rPr>
              <w:t>—</w:t>
            </w:r>
          </w:p>
        </w:tc>
        <w:tc>
          <w:tcPr>
            <w:tcW w:w="1087" w:type="dxa"/>
          </w:tcPr>
          <w:p>
            <w:pPr>
              <w:pStyle w:val="GesAbsatz"/>
              <w:tabs>
                <w:tab w:val="clear" w:pos="425"/>
                <w:tab w:val="decimal" w:pos="497"/>
              </w:tabs>
              <w:rPr>
                <w:rFonts w:eastAsia="Arial Unicode MS" w:cs="Arial"/>
                <w:sz w:val="18"/>
                <w:szCs w:val="24"/>
              </w:rPr>
            </w:pPr>
            <w:r>
              <w:rPr>
                <w:rFonts w:cs="Arial"/>
                <w:sz w:val="18"/>
              </w:rPr>
              <w:t>—</w:t>
            </w:r>
          </w:p>
        </w:tc>
      </w:tr>
      <w:tr>
        <w:trPr>
          <w:jc w:val="center"/>
        </w:trPr>
        <w:tc>
          <w:tcPr>
            <w:tcW w:w="1346" w:type="dxa"/>
          </w:tcPr>
          <w:p>
            <w:pPr>
              <w:pStyle w:val="GesAbsatz"/>
              <w:rPr>
                <w:rFonts w:eastAsia="Arial Unicode MS" w:cs="Arial"/>
                <w:sz w:val="18"/>
                <w:szCs w:val="24"/>
              </w:rPr>
            </w:pPr>
            <w:r>
              <w:rPr>
                <w:rFonts w:cs="Arial"/>
                <w:sz w:val="18"/>
              </w:rPr>
              <w:t xml:space="preserve">75 - </w:t>
            </w:r>
            <w:r>
              <w:rPr>
                <w:rFonts w:cs="Arial"/>
                <w:sz w:val="18"/>
                <w:u w:val="single"/>
              </w:rPr>
              <w:t>&lt;</w:t>
            </w:r>
            <w:r>
              <w:rPr>
                <w:rFonts w:cs="Arial"/>
                <w:sz w:val="18"/>
              </w:rPr>
              <w:t>100 %</w:t>
            </w:r>
          </w:p>
        </w:tc>
        <w:tc>
          <w:tcPr>
            <w:tcW w:w="992" w:type="dxa"/>
          </w:tcPr>
          <w:p>
            <w:pPr>
              <w:pStyle w:val="GesAbsatz"/>
              <w:tabs>
                <w:tab w:val="clear" w:pos="425"/>
                <w:tab w:val="decimal" w:pos="497"/>
              </w:tabs>
              <w:rPr>
                <w:rFonts w:eastAsia="Arial Unicode MS" w:cs="Arial"/>
                <w:sz w:val="18"/>
                <w:szCs w:val="24"/>
              </w:rPr>
            </w:pPr>
            <w:r>
              <w:rPr>
                <w:rFonts w:cs="Arial"/>
                <w:sz w:val="18"/>
              </w:rPr>
              <w:t>26</w:t>
            </w:r>
          </w:p>
        </w:tc>
        <w:tc>
          <w:tcPr>
            <w:tcW w:w="851" w:type="dxa"/>
          </w:tcPr>
          <w:p>
            <w:pPr>
              <w:pStyle w:val="GesAbsatz"/>
              <w:tabs>
                <w:tab w:val="clear" w:pos="425"/>
                <w:tab w:val="decimal" w:pos="497"/>
              </w:tabs>
              <w:rPr>
                <w:rFonts w:eastAsia="Arial Unicode MS" w:cs="Arial"/>
                <w:sz w:val="18"/>
                <w:szCs w:val="24"/>
              </w:rPr>
            </w:pPr>
            <w:r>
              <w:rPr>
                <w:rFonts w:cs="Arial"/>
                <w:sz w:val="18"/>
              </w:rPr>
              <w:t>38</w:t>
            </w:r>
          </w:p>
        </w:tc>
        <w:tc>
          <w:tcPr>
            <w:tcW w:w="992" w:type="dxa"/>
          </w:tcPr>
          <w:p>
            <w:pPr>
              <w:pStyle w:val="GesAbsatz"/>
              <w:tabs>
                <w:tab w:val="clear" w:pos="425"/>
                <w:tab w:val="decimal" w:pos="497"/>
              </w:tabs>
              <w:rPr>
                <w:rFonts w:eastAsia="Arial Unicode MS" w:cs="Arial"/>
                <w:sz w:val="18"/>
                <w:szCs w:val="24"/>
              </w:rPr>
            </w:pPr>
            <w:r>
              <w:rPr>
                <w:rFonts w:cs="Arial"/>
                <w:sz w:val="18"/>
              </w:rPr>
              <w:t>17</w:t>
            </w:r>
          </w:p>
        </w:tc>
        <w:tc>
          <w:tcPr>
            <w:tcW w:w="992" w:type="dxa"/>
          </w:tcPr>
          <w:p>
            <w:pPr>
              <w:pStyle w:val="GesAbsatz"/>
              <w:tabs>
                <w:tab w:val="clear" w:pos="425"/>
                <w:tab w:val="decimal" w:pos="497"/>
              </w:tabs>
              <w:rPr>
                <w:rFonts w:eastAsia="Arial Unicode MS" w:cs="Arial"/>
                <w:sz w:val="18"/>
                <w:szCs w:val="24"/>
              </w:rPr>
            </w:pPr>
            <w:r>
              <w:rPr>
                <w:rFonts w:cs="Arial"/>
                <w:sz w:val="18"/>
              </w:rPr>
              <w:t>21</w:t>
            </w:r>
          </w:p>
        </w:tc>
        <w:tc>
          <w:tcPr>
            <w:tcW w:w="873" w:type="dxa"/>
          </w:tcPr>
          <w:p>
            <w:pPr>
              <w:pStyle w:val="GesAbsatz"/>
              <w:tabs>
                <w:tab w:val="clear" w:pos="425"/>
                <w:tab w:val="decimal" w:pos="497"/>
              </w:tabs>
              <w:rPr>
                <w:rFonts w:eastAsia="Arial Unicode MS" w:cs="Arial"/>
                <w:sz w:val="18"/>
                <w:szCs w:val="24"/>
              </w:rPr>
            </w:pPr>
            <w:r>
              <w:rPr>
                <w:rFonts w:cs="Arial"/>
                <w:sz w:val="18"/>
              </w:rPr>
              <w:t>—</w:t>
            </w:r>
          </w:p>
        </w:tc>
        <w:tc>
          <w:tcPr>
            <w:tcW w:w="1134" w:type="dxa"/>
          </w:tcPr>
          <w:p>
            <w:pPr>
              <w:pStyle w:val="GesAbsatz"/>
              <w:tabs>
                <w:tab w:val="clear" w:pos="425"/>
                <w:tab w:val="decimal" w:pos="497"/>
              </w:tabs>
              <w:rPr>
                <w:rFonts w:eastAsia="Arial Unicode MS" w:cs="Arial"/>
                <w:sz w:val="18"/>
                <w:szCs w:val="24"/>
              </w:rPr>
            </w:pPr>
            <w:r>
              <w:rPr>
                <w:rFonts w:cs="Arial"/>
                <w:sz w:val="18"/>
              </w:rPr>
              <w:t>—</w:t>
            </w:r>
          </w:p>
        </w:tc>
        <w:tc>
          <w:tcPr>
            <w:tcW w:w="921" w:type="dxa"/>
          </w:tcPr>
          <w:p>
            <w:pPr>
              <w:pStyle w:val="GesAbsatz"/>
              <w:tabs>
                <w:tab w:val="clear" w:pos="425"/>
                <w:tab w:val="decimal" w:pos="497"/>
              </w:tabs>
              <w:rPr>
                <w:rFonts w:eastAsia="Arial Unicode MS" w:cs="Arial"/>
                <w:sz w:val="18"/>
                <w:szCs w:val="24"/>
              </w:rPr>
            </w:pPr>
            <w:r>
              <w:rPr>
                <w:rFonts w:cs="Arial"/>
                <w:sz w:val="18"/>
              </w:rPr>
              <w:t>—</w:t>
            </w:r>
          </w:p>
        </w:tc>
        <w:tc>
          <w:tcPr>
            <w:tcW w:w="1087" w:type="dxa"/>
          </w:tcPr>
          <w:p>
            <w:pPr>
              <w:pStyle w:val="GesAbsatz"/>
              <w:tabs>
                <w:tab w:val="clear" w:pos="425"/>
                <w:tab w:val="decimal" w:pos="497"/>
              </w:tabs>
              <w:rPr>
                <w:rFonts w:eastAsia="Arial Unicode MS" w:cs="Arial"/>
                <w:sz w:val="18"/>
                <w:szCs w:val="24"/>
              </w:rPr>
            </w:pPr>
            <w:r>
              <w:rPr>
                <w:rFonts w:cs="Arial"/>
                <w:sz w:val="18"/>
              </w:rPr>
              <w:t>—</w:t>
            </w:r>
          </w:p>
        </w:tc>
      </w:tr>
      <w:tr>
        <w:trPr>
          <w:jc w:val="center"/>
        </w:trPr>
        <w:tc>
          <w:tcPr>
            <w:tcW w:w="1346" w:type="dxa"/>
          </w:tcPr>
          <w:p>
            <w:pPr>
              <w:pStyle w:val="GesAbsatz"/>
              <w:rPr>
                <w:rFonts w:eastAsia="Arial Unicode MS" w:cs="Arial"/>
                <w:sz w:val="18"/>
                <w:szCs w:val="24"/>
              </w:rPr>
            </w:pPr>
            <w:r>
              <w:rPr>
                <w:rFonts w:cs="Arial"/>
                <w:sz w:val="18"/>
              </w:rPr>
              <w:t>davon 100 %</w:t>
            </w:r>
          </w:p>
        </w:tc>
        <w:tc>
          <w:tcPr>
            <w:tcW w:w="992" w:type="dxa"/>
          </w:tcPr>
          <w:p>
            <w:pPr>
              <w:pStyle w:val="GesAbsatz"/>
              <w:tabs>
                <w:tab w:val="clear" w:pos="425"/>
                <w:tab w:val="decimal" w:pos="497"/>
              </w:tabs>
              <w:rPr>
                <w:rFonts w:eastAsia="Arial Unicode MS" w:cs="Arial"/>
                <w:sz w:val="18"/>
                <w:szCs w:val="24"/>
              </w:rPr>
            </w:pPr>
            <w:r>
              <w:rPr>
                <w:rFonts w:cs="Arial"/>
                <w:sz w:val="18"/>
              </w:rPr>
              <w:t>23</w:t>
            </w:r>
          </w:p>
        </w:tc>
        <w:tc>
          <w:tcPr>
            <w:tcW w:w="851" w:type="dxa"/>
          </w:tcPr>
          <w:p>
            <w:pPr>
              <w:pStyle w:val="GesAbsatz"/>
              <w:tabs>
                <w:tab w:val="clear" w:pos="425"/>
                <w:tab w:val="decimal" w:pos="497"/>
              </w:tabs>
              <w:rPr>
                <w:rFonts w:eastAsia="Arial Unicode MS" w:cs="Arial"/>
                <w:sz w:val="18"/>
                <w:szCs w:val="24"/>
              </w:rPr>
            </w:pPr>
            <w:r>
              <w:rPr>
                <w:rFonts w:cs="Arial"/>
                <w:sz w:val="18"/>
              </w:rPr>
              <w:t>37</w:t>
            </w:r>
          </w:p>
        </w:tc>
        <w:tc>
          <w:tcPr>
            <w:tcW w:w="992" w:type="dxa"/>
          </w:tcPr>
          <w:p>
            <w:pPr>
              <w:pStyle w:val="GesAbsatz"/>
              <w:tabs>
                <w:tab w:val="clear" w:pos="425"/>
                <w:tab w:val="decimal" w:pos="497"/>
              </w:tabs>
              <w:rPr>
                <w:rFonts w:eastAsia="Arial Unicode MS" w:cs="Arial"/>
                <w:sz w:val="18"/>
                <w:szCs w:val="24"/>
              </w:rPr>
            </w:pPr>
            <w:r>
              <w:rPr>
                <w:rFonts w:cs="Arial"/>
                <w:sz w:val="18"/>
              </w:rPr>
              <w:t>3</w:t>
            </w:r>
          </w:p>
        </w:tc>
        <w:tc>
          <w:tcPr>
            <w:tcW w:w="992" w:type="dxa"/>
          </w:tcPr>
          <w:p>
            <w:pPr>
              <w:pStyle w:val="GesAbsatz"/>
              <w:tabs>
                <w:tab w:val="clear" w:pos="425"/>
                <w:tab w:val="decimal" w:pos="497"/>
              </w:tabs>
              <w:rPr>
                <w:rFonts w:eastAsia="Arial Unicode MS" w:cs="Arial"/>
                <w:sz w:val="18"/>
                <w:szCs w:val="24"/>
              </w:rPr>
            </w:pPr>
            <w:r>
              <w:rPr>
                <w:rFonts w:cs="Arial"/>
                <w:sz w:val="18"/>
              </w:rPr>
              <w:t>6</w:t>
            </w:r>
          </w:p>
        </w:tc>
        <w:tc>
          <w:tcPr>
            <w:tcW w:w="873" w:type="dxa"/>
          </w:tcPr>
          <w:p>
            <w:pPr>
              <w:pStyle w:val="GesAbsatz"/>
              <w:tabs>
                <w:tab w:val="clear" w:pos="425"/>
                <w:tab w:val="decimal" w:pos="497"/>
              </w:tabs>
              <w:rPr>
                <w:rFonts w:eastAsia="Arial Unicode MS" w:cs="Arial"/>
                <w:sz w:val="18"/>
                <w:szCs w:val="24"/>
              </w:rPr>
            </w:pPr>
            <w:r>
              <w:rPr>
                <w:rFonts w:cs="Arial"/>
                <w:sz w:val="18"/>
              </w:rPr>
              <w:t xml:space="preserve">— </w:t>
            </w:r>
          </w:p>
        </w:tc>
        <w:tc>
          <w:tcPr>
            <w:tcW w:w="1134" w:type="dxa"/>
          </w:tcPr>
          <w:p>
            <w:pPr>
              <w:pStyle w:val="GesAbsatz"/>
              <w:tabs>
                <w:tab w:val="clear" w:pos="425"/>
                <w:tab w:val="decimal" w:pos="497"/>
              </w:tabs>
              <w:rPr>
                <w:rFonts w:eastAsia="Arial Unicode MS" w:cs="Arial"/>
                <w:sz w:val="18"/>
                <w:szCs w:val="24"/>
              </w:rPr>
            </w:pPr>
            <w:r>
              <w:rPr>
                <w:rFonts w:cs="Arial"/>
                <w:sz w:val="18"/>
              </w:rPr>
              <w:t>—</w:t>
            </w:r>
          </w:p>
        </w:tc>
        <w:tc>
          <w:tcPr>
            <w:tcW w:w="921" w:type="dxa"/>
          </w:tcPr>
          <w:p>
            <w:pPr>
              <w:pStyle w:val="GesAbsatz"/>
              <w:tabs>
                <w:tab w:val="clear" w:pos="425"/>
                <w:tab w:val="decimal" w:pos="497"/>
              </w:tabs>
              <w:rPr>
                <w:rFonts w:eastAsia="Arial Unicode MS" w:cs="Arial"/>
                <w:sz w:val="18"/>
                <w:szCs w:val="24"/>
              </w:rPr>
            </w:pPr>
            <w:r>
              <w:rPr>
                <w:rFonts w:cs="Arial"/>
                <w:sz w:val="18"/>
              </w:rPr>
              <w:t xml:space="preserve">— </w:t>
            </w:r>
          </w:p>
        </w:tc>
        <w:tc>
          <w:tcPr>
            <w:tcW w:w="1087" w:type="dxa"/>
          </w:tcPr>
          <w:p>
            <w:pPr>
              <w:pStyle w:val="GesAbsatz"/>
              <w:tabs>
                <w:tab w:val="clear" w:pos="425"/>
                <w:tab w:val="decimal" w:pos="497"/>
              </w:tabs>
              <w:rPr>
                <w:rFonts w:eastAsia="Arial Unicode MS" w:cs="Arial"/>
                <w:sz w:val="18"/>
                <w:szCs w:val="24"/>
              </w:rPr>
            </w:pPr>
            <w:r>
              <w:rPr>
                <w:rFonts w:cs="Arial"/>
                <w:sz w:val="18"/>
              </w:rPr>
              <w:t>—</w:t>
            </w:r>
          </w:p>
        </w:tc>
      </w:tr>
      <w:tr>
        <w:trPr>
          <w:jc w:val="center"/>
        </w:trPr>
        <w:tc>
          <w:tcPr>
            <w:tcW w:w="1346" w:type="dxa"/>
          </w:tcPr>
          <w:p>
            <w:pPr>
              <w:pStyle w:val="GesAbsatz"/>
              <w:rPr>
                <w:rFonts w:eastAsia="Arial Unicode MS" w:cs="Arial"/>
                <w:sz w:val="18"/>
                <w:szCs w:val="24"/>
              </w:rPr>
            </w:pPr>
            <w:r>
              <w:rPr>
                <w:rFonts w:cs="Arial"/>
                <w:sz w:val="18"/>
              </w:rPr>
              <w:t>gesamt</w:t>
            </w:r>
          </w:p>
        </w:tc>
        <w:tc>
          <w:tcPr>
            <w:tcW w:w="992" w:type="dxa"/>
          </w:tcPr>
          <w:p>
            <w:pPr>
              <w:pStyle w:val="GesAbsatz"/>
              <w:tabs>
                <w:tab w:val="clear" w:pos="425"/>
                <w:tab w:val="decimal" w:pos="497"/>
              </w:tabs>
              <w:rPr>
                <w:rFonts w:eastAsia="Arial Unicode MS" w:cs="Arial"/>
                <w:sz w:val="18"/>
                <w:szCs w:val="24"/>
              </w:rPr>
            </w:pPr>
            <w:r>
              <w:rPr>
                <w:rFonts w:cs="Arial"/>
                <w:sz w:val="18"/>
              </w:rPr>
              <w:t>52</w:t>
            </w:r>
          </w:p>
        </w:tc>
        <w:tc>
          <w:tcPr>
            <w:tcW w:w="851" w:type="dxa"/>
          </w:tcPr>
          <w:p>
            <w:pPr>
              <w:pStyle w:val="GesAbsatz"/>
              <w:tabs>
                <w:tab w:val="clear" w:pos="425"/>
                <w:tab w:val="decimal" w:pos="497"/>
              </w:tabs>
              <w:rPr>
                <w:rFonts w:eastAsia="Arial Unicode MS" w:cs="Arial"/>
                <w:sz w:val="18"/>
                <w:szCs w:val="24"/>
              </w:rPr>
            </w:pPr>
            <w:r>
              <w:rPr>
                <w:rFonts w:cs="Arial"/>
                <w:sz w:val="18"/>
              </w:rPr>
              <w:t>72</w:t>
            </w:r>
          </w:p>
        </w:tc>
        <w:tc>
          <w:tcPr>
            <w:tcW w:w="992" w:type="dxa"/>
          </w:tcPr>
          <w:p>
            <w:pPr>
              <w:pStyle w:val="GesAbsatz"/>
              <w:tabs>
                <w:tab w:val="clear" w:pos="425"/>
                <w:tab w:val="decimal" w:pos="497"/>
              </w:tabs>
              <w:rPr>
                <w:rFonts w:eastAsia="Arial Unicode MS" w:cs="Arial"/>
                <w:sz w:val="18"/>
                <w:szCs w:val="24"/>
              </w:rPr>
            </w:pPr>
            <w:r>
              <w:rPr>
                <w:rFonts w:cs="Arial"/>
                <w:sz w:val="18"/>
              </w:rPr>
              <w:t>32</w:t>
            </w:r>
          </w:p>
        </w:tc>
        <w:tc>
          <w:tcPr>
            <w:tcW w:w="992" w:type="dxa"/>
          </w:tcPr>
          <w:p>
            <w:pPr>
              <w:pStyle w:val="GesAbsatz"/>
              <w:tabs>
                <w:tab w:val="clear" w:pos="425"/>
                <w:tab w:val="decimal" w:pos="497"/>
              </w:tabs>
              <w:rPr>
                <w:rFonts w:eastAsia="Arial Unicode MS" w:cs="Arial"/>
                <w:sz w:val="18"/>
                <w:szCs w:val="24"/>
              </w:rPr>
            </w:pPr>
            <w:r>
              <w:rPr>
                <w:rFonts w:cs="Arial"/>
                <w:sz w:val="18"/>
              </w:rPr>
              <w:t>41</w:t>
            </w:r>
          </w:p>
        </w:tc>
        <w:tc>
          <w:tcPr>
            <w:tcW w:w="873" w:type="dxa"/>
          </w:tcPr>
          <w:p>
            <w:pPr>
              <w:pStyle w:val="GesAbsatz"/>
              <w:tabs>
                <w:tab w:val="clear" w:pos="425"/>
                <w:tab w:val="decimal" w:pos="497"/>
              </w:tabs>
              <w:rPr>
                <w:rFonts w:eastAsia="Arial Unicode MS" w:cs="Arial"/>
                <w:sz w:val="18"/>
                <w:szCs w:val="24"/>
              </w:rPr>
            </w:pPr>
            <w:r>
              <w:rPr>
                <w:rFonts w:cs="Arial"/>
                <w:sz w:val="18"/>
              </w:rPr>
              <w:t>5</w:t>
            </w:r>
          </w:p>
        </w:tc>
        <w:tc>
          <w:tcPr>
            <w:tcW w:w="1134" w:type="dxa"/>
          </w:tcPr>
          <w:p>
            <w:pPr>
              <w:pStyle w:val="GesAbsatz"/>
              <w:tabs>
                <w:tab w:val="clear" w:pos="425"/>
                <w:tab w:val="decimal" w:pos="497"/>
              </w:tabs>
              <w:rPr>
                <w:rFonts w:eastAsia="Arial Unicode MS" w:cs="Arial"/>
                <w:sz w:val="18"/>
                <w:szCs w:val="24"/>
              </w:rPr>
            </w:pPr>
            <w:r>
              <w:rPr>
                <w:rFonts w:cs="Arial"/>
                <w:sz w:val="18"/>
              </w:rPr>
              <w:t>9</w:t>
            </w:r>
          </w:p>
        </w:tc>
        <w:tc>
          <w:tcPr>
            <w:tcW w:w="921" w:type="dxa"/>
          </w:tcPr>
          <w:p>
            <w:pPr>
              <w:pStyle w:val="GesAbsatz"/>
              <w:tabs>
                <w:tab w:val="clear" w:pos="425"/>
                <w:tab w:val="decimal" w:pos="497"/>
              </w:tabs>
              <w:rPr>
                <w:rFonts w:eastAsia="Arial Unicode MS" w:cs="Arial"/>
                <w:sz w:val="18"/>
                <w:szCs w:val="24"/>
              </w:rPr>
            </w:pPr>
            <w:r>
              <w:rPr>
                <w:rFonts w:cs="Arial"/>
                <w:sz w:val="18"/>
              </w:rPr>
              <w:t>1</w:t>
            </w:r>
          </w:p>
        </w:tc>
        <w:tc>
          <w:tcPr>
            <w:tcW w:w="1087" w:type="dxa"/>
          </w:tcPr>
          <w:p>
            <w:pPr>
              <w:pStyle w:val="GesAbsatz"/>
              <w:tabs>
                <w:tab w:val="clear" w:pos="425"/>
                <w:tab w:val="decimal" w:pos="497"/>
              </w:tabs>
              <w:rPr>
                <w:rFonts w:eastAsia="Arial Unicode MS" w:cs="Arial"/>
                <w:sz w:val="18"/>
                <w:szCs w:val="24"/>
              </w:rPr>
            </w:pPr>
            <w:r>
              <w:rPr>
                <w:rFonts w:cs="Arial"/>
                <w:sz w:val="18"/>
              </w:rPr>
              <w:t>2</w:t>
            </w:r>
          </w:p>
        </w:tc>
      </w:tr>
    </w:tbl>
    <w:p>
      <w:pPr>
        <w:pStyle w:val="GesAbsatz"/>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92"/>
        <w:gridCol w:w="993"/>
        <w:gridCol w:w="1275"/>
        <w:gridCol w:w="1134"/>
        <w:gridCol w:w="993"/>
        <w:gridCol w:w="992"/>
        <w:gridCol w:w="850"/>
        <w:gridCol w:w="967"/>
      </w:tblGrid>
      <w:tr>
        <w:trPr>
          <w:jc w:val="center"/>
        </w:trPr>
        <w:tc>
          <w:tcPr>
            <w:tcW w:w="1346" w:type="dxa"/>
          </w:tcPr>
          <w:p>
            <w:pPr>
              <w:pStyle w:val="GesAbsatz"/>
              <w:rPr>
                <w:rFonts w:eastAsia="Arial Unicode MS" w:cs="Arial"/>
                <w:b/>
                <w:bCs/>
                <w:sz w:val="18"/>
                <w:szCs w:val="24"/>
              </w:rPr>
            </w:pPr>
            <w:r>
              <w:rPr>
                <w:rFonts w:cs="Arial"/>
                <w:b/>
                <w:bCs/>
                <w:sz w:val="18"/>
              </w:rPr>
              <w:t>Anteil</w:t>
            </w:r>
            <w:r>
              <w:rPr>
                <w:rFonts w:cs="Arial"/>
                <w:b/>
                <w:bCs/>
                <w:sz w:val="18"/>
              </w:rPr>
              <w:br/>
              <w:t>am Input</w:t>
            </w:r>
            <w:r>
              <w:rPr>
                <w:rFonts w:cs="Arial"/>
                <w:b/>
                <w:bCs/>
                <w:sz w:val="18"/>
              </w:rPr>
              <w:br/>
              <w:t xml:space="preserve">je Anlage </w:t>
            </w:r>
          </w:p>
        </w:tc>
        <w:tc>
          <w:tcPr>
            <w:tcW w:w="1985" w:type="dxa"/>
            <w:gridSpan w:val="2"/>
          </w:tcPr>
          <w:p>
            <w:pPr>
              <w:pStyle w:val="GesAbsatz"/>
              <w:rPr>
                <w:rFonts w:eastAsia="Arial Unicode MS" w:cs="Arial"/>
                <w:b/>
                <w:bCs/>
                <w:sz w:val="18"/>
                <w:szCs w:val="24"/>
              </w:rPr>
            </w:pPr>
            <w:r>
              <w:rPr>
                <w:rFonts w:cs="Arial"/>
                <w:b/>
                <w:bCs/>
                <w:sz w:val="18"/>
              </w:rPr>
              <w:t>Grünabfälle</w:t>
            </w:r>
            <w:r>
              <w:rPr>
                <w:rFonts w:cs="Arial"/>
                <w:b/>
                <w:bCs/>
                <w:sz w:val="18"/>
              </w:rPr>
              <w:br/>
            </w:r>
            <w:r>
              <w:rPr>
                <w:rFonts w:cs="Arial"/>
                <w:b/>
                <w:bCs/>
                <w:sz w:val="18"/>
                <w:szCs w:val="15"/>
              </w:rPr>
              <w:t>Mengen in Mg/a</w:t>
            </w:r>
          </w:p>
        </w:tc>
        <w:tc>
          <w:tcPr>
            <w:tcW w:w="2409" w:type="dxa"/>
            <w:gridSpan w:val="2"/>
          </w:tcPr>
          <w:p>
            <w:pPr>
              <w:pStyle w:val="GesAbsatz"/>
              <w:rPr>
                <w:rFonts w:eastAsia="Arial Unicode MS" w:cs="Arial"/>
                <w:b/>
                <w:bCs/>
                <w:sz w:val="18"/>
                <w:szCs w:val="24"/>
              </w:rPr>
            </w:pPr>
            <w:r>
              <w:rPr>
                <w:rFonts w:cs="Arial"/>
                <w:b/>
                <w:bCs/>
                <w:sz w:val="18"/>
              </w:rPr>
              <w:t>Bioabfälle</w:t>
            </w:r>
            <w:r>
              <w:rPr>
                <w:rFonts w:cs="Arial"/>
                <w:b/>
                <w:bCs/>
                <w:sz w:val="18"/>
              </w:rPr>
              <w:br/>
            </w:r>
            <w:r>
              <w:rPr>
                <w:rFonts w:cs="Arial"/>
                <w:b/>
                <w:bCs/>
                <w:sz w:val="18"/>
                <w:szCs w:val="15"/>
              </w:rPr>
              <w:t>Mengen in Mg/a</w:t>
            </w:r>
          </w:p>
        </w:tc>
        <w:tc>
          <w:tcPr>
            <w:tcW w:w="1985" w:type="dxa"/>
            <w:gridSpan w:val="2"/>
          </w:tcPr>
          <w:p>
            <w:pPr>
              <w:pStyle w:val="GesAbsatz"/>
              <w:rPr>
                <w:rFonts w:eastAsia="Arial Unicode MS" w:cs="Arial"/>
                <w:b/>
                <w:bCs/>
                <w:sz w:val="18"/>
                <w:szCs w:val="24"/>
              </w:rPr>
            </w:pPr>
            <w:r>
              <w:rPr>
                <w:rFonts w:cs="Arial"/>
                <w:b/>
                <w:bCs/>
                <w:sz w:val="18"/>
              </w:rPr>
              <w:t>Gewerbeabfälle</w:t>
            </w:r>
            <w:r>
              <w:rPr>
                <w:rFonts w:cs="Arial"/>
                <w:b/>
                <w:bCs/>
                <w:sz w:val="18"/>
              </w:rPr>
              <w:br/>
            </w:r>
            <w:r>
              <w:rPr>
                <w:rFonts w:cs="Arial"/>
                <w:b/>
                <w:bCs/>
                <w:sz w:val="18"/>
                <w:szCs w:val="15"/>
              </w:rPr>
              <w:t>Mengen in Mg/a</w:t>
            </w:r>
          </w:p>
        </w:tc>
        <w:tc>
          <w:tcPr>
            <w:tcW w:w="1817" w:type="dxa"/>
            <w:gridSpan w:val="2"/>
          </w:tcPr>
          <w:p>
            <w:pPr>
              <w:pStyle w:val="GesAbsatz"/>
              <w:rPr>
                <w:rFonts w:eastAsia="Arial Unicode MS" w:cs="Arial"/>
                <w:b/>
                <w:bCs/>
                <w:sz w:val="18"/>
                <w:szCs w:val="24"/>
              </w:rPr>
            </w:pPr>
            <w:r>
              <w:rPr>
                <w:rFonts w:cs="Arial"/>
                <w:b/>
                <w:bCs/>
                <w:sz w:val="18"/>
              </w:rPr>
              <w:t>andere Abfälle</w:t>
            </w:r>
            <w:r>
              <w:rPr>
                <w:rFonts w:cs="Arial"/>
                <w:b/>
                <w:bCs/>
                <w:sz w:val="18"/>
              </w:rPr>
              <w:br/>
            </w:r>
            <w:r>
              <w:rPr>
                <w:rFonts w:cs="Arial"/>
                <w:b/>
                <w:bCs/>
                <w:sz w:val="18"/>
                <w:szCs w:val="15"/>
              </w:rPr>
              <w:t>Mengen in Mg/a</w:t>
            </w:r>
          </w:p>
        </w:tc>
      </w:tr>
      <w:tr>
        <w:trPr>
          <w:jc w:val="center"/>
        </w:trPr>
        <w:tc>
          <w:tcPr>
            <w:tcW w:w="1346" w:type="dxa"/>
          </w:tcPr>
          <w:p>
            <w:pPr>
              <w:pStyle w:val="GesAbsatz"/>
              <w:jc w:val="center"/>
              <w:rPr>
                <w:rFonts w:eastAsia="Arial Unicode MS" w:cs="Arial"/>
                <w:sz w:val="18"/>
                <w:szCs w:val="24"/>
              </w:rPr>
            </w:pPr>
          </w:p>
        </w:tc>
        <w:tc>
          <w:tcPr>
            <w:tcW w:w="992" w:type="dxa"/>
          </w:tcPr>
          <w:p>
            <w:pPr>
              <w:pStyle w:val="GesAbsatz"/>
              <w:jc w:val="center"/>
              <w:rPr>
                <w:rFonts w:eastAsia="Arial Unicode MS" w:cs="Arial"/>
                <w:sz w:val="18"/>
                <w:szCs w:val="24"/>
              </w:rPr>
            </w:pPr>
            <w:r>
              <w:rPr>
                <w:rFonts w:cs="Arial"/>
                <w:sz w:val="18"/>
              </w:rPr>
              <w:t>1</w:t>
            </w:r>
          </w:p>
        </w:tc>
        <w:tc>
          <w:tcPr>
            <w:tcW w:w="993" w:type="dxa"/>
          </w:tcPr>
          <w:p>
            <w:pPr>
              <w:pStyle w:val="GesAbsatz"/>
              <w:jc w:val="center"/>
              <w:rPr>
                <w:rFonts w:eastAsia="Arial Unicode MS" w:cs="Arial"/>
                <w:sz w:val="18"/>
                <w:szCs w:val="24"/>
              </w:rPr>
            </w:pPr>
            <w:r>
              <w:rPr>
                <w:rFonts w:cs="Arial"/>
                <w:sz w:val="18"/>
              </w:rPr>
              <w:t>2</w:t>
            </w:r>
            <w:r>
              <w:rPr>
                <w:rFonts w:cs="Arial"/>
                <w:sz w:val="18"/>
                <w:vertAlign w:val="superscript"/>
              </w:rPr>
              <w:t>3</w:t>
            </w:r>
          </w:p>
        </w:tc>
        <w:tc>
          <w:tcPr>
            <w:tcW w:w="1275" w:type="dxa"/>
          </w:tcPr>
          <w:p>
            <w:pPr>
              <w:pStyle w:val="GesAbsatz"/>
              <w:jc w:val="center"/>
              <w:rPr>
                <w:rFonts w:eastAsia="Arial Unicode MS" w:cs="Arial"/>
                <w:sz w:val="18"/>
                <w:szCs w:val="24"/>
              </w:rPr>
            </w:pPr>
            <w:r>
              <w:rPr>
                <w:rFonts w:cs="Arial"/>
                <w:sz w:val="18"/>
              </w:rPr>
              <w:t>1</w:t>
            </w:r>
          </w:p>
        </w:tc>
        <w:tc>
          <w:tcPr>
            <w:tcW w:w="1134" w:type="dxa"/>
          </w:tcPr>
          <w:p>
            <w:pPr>
              <w:pStyle w:val="GesAbsatz"/>
              <w:jc w:val="center"/>
              <w:rPr>
                <w:rFonts w:eastAsia="Arial Unicode MS" w:cs="Arial"/>
                <w:sz w:val="18"/>
                <w:szCs w:val="24"/>
              </w:rPr>
            </w:pPr>
            <w:r>
              <w:rPr>
                <w:rFonts w:cs="Arial"/>
                <w:sz w:val="18"/>
              </w:rPr>
              <w:t>2</w:t>
            </w:r>
          </w:p>
        </w:tc>
        <w:tc>
          <w:tcPr>
            <w:tcW w:w="993" w:type="dxa"/>
          </w:tcPr>
          <w:p>
            <w:pPr>
              <w:pStyle w:val="GesAbsatz"/>
              <w:jc w:val="center"/>
              <w:rPr>
                <w:rFonts w:eastAsia="Arial Unicode MS" w:cs="Arial"/>
                <w:sz w:val="18"/>
                <w:szCs w:val="24"/>
              </w:rPr>
            </w:pPr>
            <w:r>
              <w:rPr>
                <w:rFonts w:cs="Arial"/>
                <w:sz w:val="18"/>
              </w:rPr>
              <w:t>1</w:t>
            </w:r>
          </w:p>
        </w:tc>
        <w:tc>
          <w:tcPr>
            <w:tcW w:w="992" w:type="dxa"/>
          </w:tcPr>
          <w:p>
            <w:pPr>
              <w:pStyle w:val="GesAbsatz"/>
              <w:jc w:val="center"/>
              <w:rPr>
                <w:rFonts w:eastAsia="Arial Unicode MS" w:cs="Arial"/>
                <w:sz w:val="18"/>
                <w:szCs w:val="24"/>
              </w:rPr>
            </w:pPr>
            <w:r>
              <w:rPr>
                <w:rFonts w:cs="Arial"/>
                <w:sz w:val="18"/>
              </w:rPr>
              <w:t>2</w:t>
            </w:r>
          </w:p>
        </w:tc>
        <w:tc>
          <w:tcPr>
            <w:tcW w:w="850" w:type="dxa"/>
          </w:tcPr>
          <w:p>
            <w:pPr>
              <w:pStyle w:val="GesAbsatz"/>
              <w:jc w:val="center"/>
              <w:rPr>
                <w:rFonts w:eastAsia="Arial Unicode MS" w:cs="Arial"/>
                <w:sz w:val="18"/>
                <w:szCs w:val="24"/>
              </w:rPr>
            </w:pPr>
            <w:r>
              <w:rPr>
                <w:rFonts w:cs="Arial"/>
                <w:sz w:val="18"/>
              </w:rPr>
              <w:t>1</w:t>
            </w:r>
          </w:p>
        </w:tc>
        <w:tc>
          <w:tcPr>
            <w:tcW w:w="967" w:type="dxa"/>
          </w:tcPr>
          <w:p>
            <w:pPr>
              <w:pStyle w:val="GesAbsatz"/>
              <w:jc w:val="center"/>
              <w:rPr>
                <w:rFonts w:eastAsia="Arial Unicode MS" w:cs="Arial"/>
                <w:sz w:val="18"/>
                <w:szCs w:val="24"/>
              </w:rPr>
            </w:pPr>
            <w:r>
              <w:rPr>
                <w:rFonts w:cs="Arial"/>
                <w:sz w:val="18"/>
              </w:rPr>
              <w:t>2</w:t>
            </w:r>
          </w:p>
        </w:tc>
      </w:tr>
      <w:tr>
        <w:trPr>
          <w:jc w:val="center"/>
        </w:trPr>
        <w:tc>
          <w:tcPr>
            <w:tcW w:w="1346" w:type="dxa"/>
          </w:tcPr>
          <w:p>
            <w:pPr>
              <w:pStyle w:val="GesAbsatz"/>
              <w:rPr>
                <w:rFonts w:eastAsia="Arial Unicode MS" w:cs="Arial"/>
                <w:sz w:val="18"/>
                <w:szCs w:val="24"/>
              </w:rPr>
            </w:pPr>
            <w:r>
              <w:rPr>
                <w:rFonts w:cs="Arial"/>
                <w:sz w:val="18"/>
              </w:rPr>
              <w:t xml:space="preserve">0 - </w:t>
            </w:r>
            <w:r>
              <w:rPr>
                <w:rFonts w:cs="Arial"/>
                <w:sz w:val="18"/>
                <w:u w:val="single"/>
              </w:rPr>
              <w:t>&lt;</w:t>
            </w:r>
            <w:r>
              <w:rPr>
                <w:rFonts w:cs="Arial"/>
                <w:sz w:val="18"/>
              </w:rPr>
              <w:t xml:space="preserve"> 25 % </w:t>
            </w:r>
          </w:p>
        </w:tc>
        <w:tc>
          <w:tcPr>
            <w:tcW w:w="992" w:type="dxa"/>
          </w:tcPr>
          <w:p>
            <w:pPr>
              <w:pStyle w:val="GesAbsatz"/>
              <w:tabs>
                <w:tab w:val="clear" w:pos="425"/>
                <w:tab w:val="decimal" w:pos="639"/>
              </w:tabs>
              <w:rPr>
                <w:rFonts w:eastAsia="Arial Unicode MS" w:cs="Arial"/>
                <w:sz w:val="18"/>
                <w:szCs w:val="24"/>
              </w:rPr>
            </w:pPr>
            <w:r>
              <w:rPr>
                <w:rFonts w:cs="Arial"/>
                <w:sz w:val="18"/>
              </w:rPr>
              <w:t>105.393</w:t>
            </w:r>
          </w:p>
        </w:tc>
        <w:tc>
          <w:tcPr>
            <w:tcW w:w="993" w:type="dxa"/>
          </w:tcPr>
          <w:p>
            <w:pPr>
              <w:pStyle w:val="GesAbsatz"/>
              <w:tabs>
                <w:tab w:val="clear" w:pos="425"/>
                <w:tab w:val="decimal" w:pos="639"/>
              </w:tabs>
              <w:rPr>
                <w:rFonts w:eastAsia="Arial Unicode MS" w:cs="Arial"/>
                <w:sz w:val="18"/>
                <w:szCs w:val="24"/>
              </w:rPr>
            </w:pPr>
            <w:r>
              <w:rPr>
                <w:rFonts w:cs="Arial"/>
                <w:sz w:val="18"/>
              </w:rPr>
              <w:t>132.513</w:t>
            </w:r>
          </w:p>
        </w:tc>
        <w:tc>
          <w:tcPr>
            <w:tcW w:w="1275" w:type="dxa"/>
          </w:tcPr>
          <w:p>
            <w:pPr>
              <w:pStyle w:val="GesAbsatz"/>
              <w:tabs>
                <w:tab w:val="clear" w:pos="425"/>
                <w:tab w:val="decimal" w:pos="639"/>
              </w:tabs>
              <w:rPr>
                <w:rFonts w:eastAsia="Arial Unicode MS" w:cs="Arial"/>
                <w:sz w:val="18"/>
                <w:szCs w:val="24"/>
              </w:rPr>
            </w:pPr>
            <w:r>
              <w:rPr>
                <w:rFonts w:cs="Arial"/>
                <w:sz w:val="18"/>
              </w:rPr>
              <w:t>4.813</w:t>
            </w:r>
          </w:p>
        </w:tc>
        <w:tc>
          <w:tcPr>
            <w:tcW w:w="1134" w:type="dxa"/>
          </w:tcPr>
          <w:p>
            <w:pPr>
              <w:pStyle w:val="GesAbsatz"/>
              <w:tabs>
                <w:tab w:val="clear" w:pos="425"/>
                <w:tab w:val="decimal" w:pos="639"/>
              </w:tabs>
              <w:rPr>
                <w:rFonts w:eastAsia="Arial Unicode MS" w:cs="Arial"/>
                <w:sz w:val="18"/>
                <w:szCs w:val="24"/>
              </w:rPr>
            </w:pPr>
            <w:r>
              <w:rPr>
                <w:rFonts w:cs="Arial"/>
                <w:sz w:val="18"/>
              </w:rPr>
              <w:t>5.563</w:t>
            </w:r>
          </w:p>
        </w:tc>
        <w:tc>
          <w:tcPr>
            <w:tcW w:w="993" w:type="dxa"/>
          </w:tcPr>
          <w:p>
            <w:pPr>
              <w:pStyle w:val="GesAbsatz"/>
              <w:tabs>
                <w:tab w:val="clear" w:pos="425"/>
                <w:tab w:val="decimal" w:pos="639"/>
              </w:tabs>
              <w:rPr>
                <w:rFonts w:eastAsia="Arial Unicode MS" w:cs="Arial"/>
                <w:sz w:val="18"/>
                <w:szCs w:val="24"/>
              </w:rPr>
            </w:pPr>
            <w:r>
              <w:rPr>
                <w:rFonts w:cs="Arial"/>
                <w:sz w:val="18"/>
              </w:rPr>
              <w:t>7.192</w:t>
            </w:r>
          </w:p>
        </w:tc>
        <w:tc>
          <w:tcPr>
            <w:tcW w:w="992" w:type="dxa"/>
          </w:tcPr>
          <w:p>
            <w:pPr>
              <w:pStyle w:val="GesAbsatz"/>
              <w:tabs>
                <w:tab w:val="clear" w:pos="425"/>
                <w:tab w:val="decimal" w:pos="639"/>
              </w:tabs>
              <w:rPr>
                <w:rFonts w:eastAsia="Arial Unicode MS" w:cs="Arial"/>
                <w:sz w:val="18"/>
                <w:szCs w:val="24"/>
              </w:rPr>
            </w:pPr>
            <w:r>
              <w:rPr>
                <w:rFonts w:cs="Arial"/>
                <w:sz w:val="18"/>
              </w:rPr>
              <w:t>19.882</w:t>
            </w:r>
          </w:p>
        </w:tc>
        <w:tc>
          <w:tcPr>
            <w:tcW w:w="850" w:type="dxa"/>
          </w:tcPr>
          <w:p>
            <w:pPr>
              <w:pStyle w:val="GesAbsatz"/>
              <w:tabs>
                <w:tab w:val="clear" w:pos="425"/>
                <w:tab w:val="decimal" w:pos="639"/>
              </w:tabs>
              <w:rPr>
                <w:rFonts w:eastAsia="Arial Unicode MS" w:cs="Arial"/>
                <w:sz w:val="18"/>
                <w:szCs w:val="24"/>
              </w:rPr>
            </w:pPr>
            <w:r>
              <w:rPr>
                <w:rFonts w:cs="Arial"/>
                <w:sz w:val="18"/>
              </w:rPr>
              <w:t>446</w:t>
            </w:r>
          </w:p>
        </w:tc>
        <w:tc>
          <w:tcPr>
            <w:tcW w:w="967" w:type="dxa"/>
          </w:tcPr>
          <w:p>
            <w:pPr>
              <w:pStyle w:val="GesAbsatz"/>
              <w:tabs>
                <w:tab w:val="clear" w:pos="425"/>
                <w:tab w:val="decimal" w:pos="639"/>
              </w:tabs>
              <w:rPr>
                <w:rFonts w:eastAsia="Arial Unicode MS" w:cs="Arial"/>
                <w:sz w:val="18"/>
                <w:szCs w:val="24"/>
              </w:rPr>
            </w:pPr>
            <w:r>
              <w:rPr>
                <w:rFonts w:cs="Arial"/>
                <w:sz w:val="18"/>
              </w:rPr>
              <w:t>6326</w:t>
            </w:r>
          </w:p>
        </w:tc>
      </w:tr>
      <w:tr>
        <w:trPr>
          <w:jc w:val="center"/>
        </w:trPr>
        <w:tc>
          <w:tcPr>
            <w:tcW w:w="1346" w:type="dxa"/>
          </w:tcPr>
          <w:p>
            <w:pPr>
              <w:pStyle w:val="GesAbsatz"/>
              <w:rPr>
                <w:rFonts w:eastAsia="Arial Unicode MS" w:cs="Arial"/>
                <w:sz w:val="18"/>
                <w:szCs w:val="24"/>
              </w:rPr>
            </w:pPr>
            <w:r>
              <w:rPr>
                <w:rFonts w:cs="Arial"/>
                <w:sz w:val="18"/>
              </w:rPr>
              <w:t xml:space="preserve">25 - </w:t>
            </w:r>
            <w:r>
              <w:rPr>
                <w:rFonts w:cs="Arial"/>
                <w:sz w:val="18"/>
                <w:u w:val="single"/>
              </w:rPr>
              <w:t>&lt;</w:t>
            </w:r>
            <w:r>
              <w:rPr>
                <w:rFonts w:cs="Arial"/>
                <w:sz w:val="18"/>
              </w:rPr>
              <w:t xml:space="preserve"> 50 % </w:t>
            </w:r>
          </w:p>
        </w:tc>
        <w:tc>
          <w:tcPr>
            <w:tcW w:w="992" w:type="dxa"/>
          </w:tcPr>
          <w:p>
            <w:pPr>
              <w:pStyle w:val="GesAbsatz"/>
              <w:tabs>
                <w:tab w:val="clear" w:pos="425"/>
                <w:tab w:val="decimal" w:pos="639"/>
              </w:tabs>
              <w:rPr>
                <w:rFonts w:eastAsia="Arial Unicode MS" w:cs="Arial"/>
                <w:sz w:val="18"/>
                <w:szCs w:val="24"/>
              </w:rPr>
            </w:pPr>
            <w:r>
              <w:rPr>
                <w:rFonts w:cs="Arial"/>
                <w:sz w:val="18"/>
              </w:rPr>
              <w:t>34.170</w:t>
            </w:r>
          </w:p>
        </w:tc>
        <w:tc>
          <w:tcPr>
            <w:tcW w:w="993" w:type="dxa"/>
          </w:tcPr>
          <w:p>
            <w:pPr>
              <w:pStyle w:val="GesAbsatz"/>
              <w:tabs>
                <w:tab w:val="clear" w:pos="425"/>
                <w:tab w:val="decimal" w:pos="639"/>
              </w:tabs>
              <w:rPr>
                <w:rFonts w:eastAsia="Arial Unicode MS" w:cs="Arial"/>
                <w:sz w:val="18"/>
                <w:szCs w:val="24"/>
              </w:rPr>
            </w:pPr>
            <w:r>
              <w:rPr>
                <w:rFonts w:cs="Arial"/>
                <w:sz w:val="18"/>
              </w:rPr>
              <w:t>39.115</w:t>
            </w:r>
          </w:p>
        </w:tc>
        <w:tc>
          <w:tcPr>
            <w:tcW w:w="1275" w:type="dxa"/>
          </w:tcPr>
          <w:p>
            <w:pPr>
              <w:pStyle w:val="GesAbsatz"/>
              <w:tabs>
                <w:tab w:val="clear" w:pos="425"/>
                <w:tab w:val="decimal" w:pos="639"/>
              </w:tabs>
              <w:rPr>
                <w:rFonts w:eastAsia="Arial Unicode MS" w:cs="Arial"/>
                <w:sz w:val="18"/>
                <w:szCs w:val="24"/>
              </w:rPr>
            </w:pPr>
            <w:r>
              <w:rPr>
                <w:rFonts w:cs="Arial"/>
                <w:sz w:val="18"/>
              </w:rPr>
              <w:t>20.326</w:t>
            </w:r>
          </w:p>
        </w:tc>
        <w:tc>
          <w:tcPr>
            <w:tcW w:w="1134" w:type="dxa"/>
          </w:tcPr>
          <w:p>
            <w:pPr>
              <w:pStyle w:val="GesAbsatz"/>
              <w:tabs>
                <w:tab w:val="clear" w:pos="425"/>
                <w:tab w:val="decimal" w:pos="639"/>
              </w:tabs>
              <w:rPr>
                <w:rFonts w:eastAsia="Arial Unicode MS" w:cs="Arial"/>
                <w:sz w:val="18"/>
                <w:szCs w:val="24"/>
              </w:rPr>
            </w:pPr>
            <w:r>
              <w:rPr>
                <w:rFonts w:cs="Arial"/>
                <w:sz w:val="18"/>
              </w:rPr>
              <w:t>32.326</w:t>
            </w:r>
          </w:p>
        </w:tc>
        <w:tc>
          <w:tcPr>
            <w:tcW w:w="993" w:type="dxa"/>
          </w:tcPr>
          <w:p>
            <w:pPr>
              <w:pStyle w:val="GesAbsatz"/>
              <w:tabs>
                <w:tab w:val="clear" w:pos="425"/>
                <w:tab w:val="decimal" w:pos="639"/>
              </w:tabs>
              <w:rPr>
                <w:rFonts w:eastAsia="Arial Unicode MS" w:cs="Arial"/>
                <w:sz w:val="18"/>
                <w:szCs w:val="24"/>
              </w:rPr>
            </w:pPr>
            <w:r>
              <w:rPr>
                <w:rFonts w:cs="Arial"/>
                <w:sz w:val="18"/>
              </w:rPr>
              <w:t>—</w:t>
            </w:r>
          </w:p>
        </w:tc>
        <w:tc>
          <w:tcPr>
            <w:tcW w:w="992" w:type="dxa"/>
          </w:tcPr>
          <w:p>
            <w:pPr>
              <w:pStyle w:val="GesAbsatz"/>
              <w:tabs>
                <w:tab w:val="clear" w:pos="425"/>
                <w:tab w:val="decimal" w:pos="639"/>
              </w:tabs>
              <w:rPr>
                <w:rFonts w:eastAsia="Arial Unicode MS" w:cs="Arial"/>
                <w:sz w:val="18"/>
                <w:szCs w:val="24"/>
              </w:rPr>
            </w:pPr>
            <w:r>
              <w:rPr>
                <w:rFonts w:cs="Arial"/>
                <w:sz w:val="18"/>
              </w:rPr>
              <w:t xml:space="preserve">— </w:t>
            </w:r>
          </w:p>
        </w:tc>
        <w:tc>
          <w:tcPr>
            <w:tcW w:w="850" w:type="dxa"/>
          </w:tcPr>
          <w:p>
            <w:pPr>
              <w:pStyle w:val="GesAbsatz"/>
              <w:tabs>
                <w:tab w:val="clear" w:pos="425"/>
                <w:tab w:val="decimal" w:pos="639"/>
              </w:tabs>
              <w:rPr>
                <w:rFonts w:eastAsia="Arial Unicode MS" w:cs="Arial"/>
                <w:sz w:val="18"/>
                <w:szCs w:val="24"/>
              </w:rPr>
            </w:pPr>
            <w:r>
              <w:rPr>
                <w:rFonts w:cs="Arial"/>
                <w:sz w:val="18"/>
              </w:rPr>
              <w:t>—</w:t>
            </w:r>
          </w:p>
        </w:tc>
        <w:tc>
          <w:tcPr>
            <w:tcW w:w="967" w:type="dxa"/>
          </w:tcPr>
          <w:p>
            <w:pPr>
              <w:pStyle w:val="GesAbsatz"/>
              <w:tabs>
                <w:tab w:val="clear" w:pos="425"/>
                <w:tab w:val="decimal" w:pos="639"/>
              </w:tabs>
              <w:rPr>
                <w:rFonts w:eastAsia="Arial Unicode MS" w:cs="Arial"/>
                <w:sz w:val="18"/>
                <w:szCs w:val="24"/>
              </w:rPr>
            </w:pPr>
            <w:r>
              <w:rPr>
                <w:rFonts w:cs="Arial"/>
                <w:sz w:val="18"/>
              </w:rPr>
              <w:t>—</w:t>
            </w:r>
          </w:p>
        </w:tc>
      </w:tr>
      <w:tr>
        <w:trPr>
          <w:jc w:val="center"/>
        </w:trPr>
        <w:tc>
          <w:tcPr>
            <w:tcW w:w="1346" w:type="dxa"/>
          </w:tcPr>
          <w:p>
            <w:pPr>
              <w:pStyle w:val="GesAbsatz"/>
              <w:rPr>
                <w:rFonts w:eastAsia="Arial Unicode MS" w:cs="Arial"/>
                <w:sz w:val="18"/>
                <w:szCs w:val="24"/>
              </w:rPr>
            </w:pPr>
            <w:r>
              <w:rPr>
                <w:rFonts w:cs="Arial"/>
                <w:sz w:val="18"/>
              </w:rPr>
              <w:t xml:space="preserve">50 - </w:t>
            </w:r>
            <w:r>
              <w:rPr>
                <w:rFonts w:cs="Arial"/>
                <w:sz w:val="18"/>
                <w:u w:val="single"/>
              </w:rPr>
              <w:t>&lt;</w:t>
            </w:r>
            <w:r>
              <w:rPr>
                <w:rFonts w:cs="Arial"/>
                <w:sz w:val="18"/>
              </w:rPr>
              <w:t xml:space="preserve"> 75 %</w:t>
            </w:r>
          </w:p>
        </w:tc>
        <w:tc>
          <w:tcPr>
            <w:tcW w:w="992" w:type="dxa"/>
          </w:tcPr>
          <w:p>
            <w:pPr>
              <w:pStyle w:val="GesAbsatz"/>
              <w:tabs>
                <w:tab w:val="clear" w:pos="425"/>
                <w:tab w:val="decimal" w:pos="639"/>
              </w:tabs>
              <w:rPr>
                <w:rFonts w:eastAsia="Arial Unicode MS" w:cs="Arial"/>
                <w:sz w:val="18"/>
                <w:szCs w:val="24"/>
              </w:rPr>
            </w:pPr>
            <w:r>
              <w:rPr>
                <w:rFonts w:cs="Arial"/>
                <w:sz w:val="18"/>
              </w:rPr>
              <w:t>23.960</w:t>
            </w:r>
          </w:p>
        </w:tc>
        <w:tc>
          <w:tcPr>
            <w:tcW w:w="993" w:type="dxa"/>
          </w:tcPr>
          <w:p>
            <w:pPr>
              <w:pStyle w:val="GesAbsatz"/>
              <w:tabs>
                <w:tab w:val="clear" w:pos="425"/>
                <w:tab w:val="decimal" w:pos="639"/>
              </w:tabs>
              <w:rPr>
                <w:rFonts w:eastAsia="Arial Unicode MS" w:cs="Arial"/>
                <w:sz w:val="18"/>
                <w:szCs w:val="24"/>
              </w:rPr>
            </w:pPr>
            <w:r>
              <w:rPr>
                <w:rFonts w:cs="Arial"/>
                <w:sz w:val="18"/>
              </w:rPr>
              <w:t>25.010</w:t>
            </w:r>
          </w:p>
        </w:tc>
        <w:tc>
          <w:tcPr>
            <w:tcW w:w="1275" w:type="dxa"/>
          </w:tcPr>
          <w:p>
            <w:pPr>
              <w:pStyle w:val="GesAbsatz"/>
              <w:tabs>
                <w:tab w:val="clear" w:pos="425"/>
                <w:tab w:val="decimal" w:pos="639"/>
              </w:tabs>
              <w:rPr>
                <w:rFonts w:eastAsia="Arial Unicode MS" w:cs="Arial"/>
                <w:sz w:val="18"/>
                <w:szCs w:val="24"/>
              </w:rPr>
            </w:pPr>
            <w:r>
              <w:rPr>
                <w:rFonts w:cs="Arial"/>
                <w:sz w:val="18"/>
              </w:rPr>
              <w:t>169.913</w:t>
            </w:r>
          </w:p>
        </w:tc>
        <w:tc>
          <w:tcPr>
            <w:tcW w:w="1134" w:type="dxa"/>
          </w:tcPr>
          <w:p>
            <w:pPr>
              <w:pStyle w:val="GesAbsatz"/>
              <w:tabs>
                <w:tab w:val="clear" w:pos="425"/>
                <w:tab w:val="decimal" w:pos="639"/>
              </w:tabs>
              <w:rPr>
                <w:rFonts w:eastAsia="Arial Unicode MS" w:cs="Arial"/>
                <w:sz w:val="18"/>
                <w:szCs w:val="24"/>
              </w:rPr>
            </w:pPr>
            <w:r>
              <w:rPr>
                <w:rFonts w:cs="Arial"/>
                <w:sz w:val="18"/>
              </w:rPr>
              <w:t>199.568</w:t>
            </w:r>
          </w:p>
        </w:tc>
        <w:tc>
          <w:tcPr>
            <w:tcW w:w="993" w:type="dxa"/>
          </w:tcPr>
          <w:p>
            <w:pPr>
              <w:pStyle w:val="GesAbsatz"/>
              <w:tabs>
                <w:tab w:val="clear" w:pos="425"/>
                <w:tab w:val="decimal" w:pos="639"/>
              </w:tabs>
              <w:rPr>
                <w:rFonts w:eastAsia="Arial Unicode MS" w:cs="Arial"/>
                <w:sz w:val="18"/>
                <w:szCs w:val="24"/>
              </w:rPr>
            </w:pPr>
            <w:r>
              <w:rPr>
                <w:rFonts w:cs="Arial"/>
                <w:sz w:val="18"/>
              </w:rPr>
              <w:t>—</w:t>
            </w:r>
          </w:p>
        </w:tc>
        <w:tc>
          <w:tcPr>
            <w:tcW w:w="992" w:type="dxa"/>
          </w:tcPr>
          <w:p>
            <w:pPr>
              <w:pStyle w:val="GesAbsatz"/>
              <w:tabs>
                <w:tab w:val="clear" w:pos="425"/>
                <w:tab w:val="decimal" w:pos="639"/>
              </w:tabs>
              <w:rPr>
                <w:rFonts w:eastAsia="Arial Unicode MS" w:cs="Arial"/>
                <w:sz w:val="18"/>
                <w:szCs w:val="24"/>
              </w:rPr>
            </w:pPr>
            <w:r>
              <w:rPr>
                <w:rFonts w:cs="Arial"/>
                <w:sz w:val="18"/>
              </w:rPr>
              <w:t>—</w:t>
            </w:r>
          </w:p>
        </w:tc>
        <w:tc>
          <w:tcPr>
            <w:tcW w:w="850" w:type="dxa"/>
          </w:tcPr>
          <w:p>
            <w:pPr>
              <w:pStyle w:val="GesAbsatz"/>
              <w:tabs>
                <w:tab w:val="clear" w:pos="425"/>
                <w:tab w:val="decimal" w:pos="639"/>
              </w:tabs>
              <w:rPr>
                <w:rFonts w:eastAsia="Arial Unicode MS" w:cs="Arial"/>
                <w:sz w:val="18"/>
                <w:szCs w:val="24"/>
              </w:rPr>
            </w:pPr>
            <w:r>
              <w:rPr>
                <w:rFonts w:cs="Arial"/>
                <w:sz w:val="18"/>
              </w:rPr>
              <w:t>—</w:t>
            </w:r>
          </w:p>
        </w:tc>
        <w:tc>
          <w:tcPr>
            <w:tcW w:w="967" w:type="dxa"/>
          </w:tcPr>
          <w:p>
            <w:pPr>
              <w:pStyle w:val="GesAbsatz"/>
              <w:tabs>
                <w:tab w:val="clear" w:pos="425"/>
                <w:tab w:val="decimal" w:pos="639"/>
              </w:tabs>
              <w:rPr>
                <w:rFonts w:eastAsia="Arial Unicode MS" w:cs="Arial"/>
                <w:sz w:val="18"/>
                <w:szCs w:val="24"/>
              </w:rPr>
            </w:pPr>
            <w:r>
              <w:rPr>
                <w:rFonts w:cs="Arial"/>
                <w:sz w:val="18"/>
              </w:rPr>
              <w:t>—</w:t>
            </w:r>
          </w:p>
        </w:tc>
      </w:tr>
      <w:tr>
        <w:trPr>
          <w:jc w:val="center"/>
        </w:trPr>
        <w:tc>
          <w:tcPr>
            <w:tcW w:w="1346" w:type="dxa"/>
          </w:tcPr>
          <w:p>
            <w:pPr>
              <w:pStyle w:val="GesAbsatz"/>
              <w:rPr>
                <w:rFonts w:eastAsia="Arial Unicode MS" w:cs="Arial"/>
                <w:sz w:val="18"/>
                <w:szCs w:val="24"/>
              </w:rPr>
            </w:pPr>
            <w:r>
              <w:rPr>
                <w:rFonts w:cs="Arial"/>
                <w:sz w:val="18"/>
              </w:rPr>
              <w:t xml:space="preserve">75 - </w:t>
            </w:r>
            <w:r>
              <w:rPr>
                <w:rFonts w:cs="Arial"/>
                <w:sz w:val="18"/>
                <w:u w:val="single"/>
              </w:rPr>
              <w:t>&lt;</w:t>
            </w:r>
            <w:r>
              <w:rPr>
                <w:rFonts w:cs="Arial"/>
                <w:sz w:val="18"/>
              </w:rPr>
              <w:t>100 %</w:t>
            </w:r>
          </w:p>
        </w:tc>
        <w:tc>
          <w:tcPr>
            <w:tcW w:w="992" w:type="dxa"/>
          </w:tcPr>
          <w:p>
            <w:pPr>
              <w:pStyle w:val="GesAbsatz"/>
              <w:tabs>
                <w:tab w:val="clear" w:pos="425"/>
                <w:tab w:val="decimal" w:pos="639"/>
              </w:tabs>
              <w:rPr>
                <w:rFonts w:eastAsia="Arial Unicode MS" w:cs="Arial"/>
                <w:sz w:val="18"/>
                <w:szCs w:val="24"/>
              </w:rPr>
            </w:pPr>
            <w:r>
              <w:rPr>
                <w:rFonts w:cs="Arial"/>
                <w:sz w:val="18"/>
              </w:rPr>
              <w:t>18.079</w:t>
            </w:r>
          </w:p>
        </w:tc>
        <w:tc>
          <w:tcPr>
            <w:tcW w:w="993" w:type="dxa"/>
          </w:tcPr>
          <w:p>
            <w:pPr>
              <w:pStyle w:val="GesAbsatz"/>
              <w:tabs>
                <w:tab w:val="clear" w:pos="425"/>
                <w:tab w:val="decimal" w:pos="639"/>
              </w:tabs>
              <w:rPr>
                <w:rFonts w:eastAsia="Arial Unicode MS" w:cs="Arial"/>
                <w:sz w:val="18"/>
                <w:szCs w:val="24"/>
              </w:rPr>
            </w:pPr>
            <w:r>
              <w:rPr>
                <w:rFonts w:cs="Arial"/>
                <w:sz w:val="18"/>
              </w:rPr>
              <w:t>18.079</w:t>
            </w:r>
          </w:p>
        </w:tc>
        <w:tc>
          <w:tcPr>
            <w:tcW w:w="1275" w:type="dxa"/>
          </w:tcPr>
          <w:p>
            <w:pPr>
              <w:pStyle w:val="GesAbsatz"/>
              <w:tabs>
                <w:tab w:val="clear" w:pos="425"/>
                <w:tab w:val="decimal" w:pos="639"/>
              </w:tabs>
              <w:rPr>
                <w:rFonts w:eastAsia="Arial Unicode MS" w:cs="Arial"/>
                <w:sz w:val="18"/>
                <w:szCs w:val="24"/>
              </w:rPr>
            </w:pPr>
            <w:r>
              <w:rPr>
                <w:rFonts w:cs="Arial"/>
                <w:sz w:val="18"/>
              </w:rPr>
              <w:t>331.739</w:t>
            </w:r>
          </w:p>
        </w:tc>
        <w:tc>
          <w:tcPr>
            <w:tcW w:w="1134" w:type="dxa"/>
          </w:tcPr>
          <w:p>
            <w:pPr>
              <w:pStyle w:val="GesAbsatz"/>
              <w:tabs>
                <w:tab w:val="clear" w:pos="425"/>
                <w:tab w:val="decimal" w:pos="639"/>
              </w:tabs>
              <w:rPr>
                <w:rFonts w:eastAsia="Arial Unicode MS" w:cs="Arial"/>
                <w:sz w:val="18"/>
                <w:szCs w:val="24"/>
              </w:rPr>
            </w:pPr>
            <w:r>
              <w:rPr>
                <w:rFonts w:cs="Arial"/>
                <w:sz w:val="18"/>
              </w:rPr>
              <w:t>378.015</w:t>
            </w:r>
          </w:p>
        </w:tc>
        <w:tc>
          <w:tcPr>
            <w:tcW w:w="993" w:type="dxa"/>
          </w:tcPr>
          <w:p>
            <w:pPr>
              <w:pStyle w:val="GesAbsatz"/>
              <w:tabs>
                <w:tab w:val="clear" w:pos="425"/>
                <w:tab w:val="decimal" w:pos="639"/>
              </w:tabs>
              <w:rPr>
                <w:rFonts w:eastAsia="Arial Unicode MS" w:cs="Arial"/>
                <w:sz w:val="18"/>
                <w:szCs w:val="24"/>
              </w:rPr>
            </w:pPr>
            <w:r>
              <w:rPr>
                <w:rFonts w:cs="Arial"/>
                <w:sz w:val="18"/>
              </w:rPr>
              <w:t>—</w:t>
            </w:r>
          </w:p>
        </w:tc>
        <w:tc>
          <w:tcPr>
            <w:tcW w:w="992" w:type="dxa"/>
          </w:tcPr>
          <w:p>
            <w:pPr>
              <w:pStyle w:val="GesAbsatz"/>
              <w:tabs>
                <w:tab w:val="clear" w:pos="425"/>
                <w:tab w:val="decimal" w:pos="639"/>
              </w:tabs>
              <w:rPr>
                <w:rFonts w:eastAsia="Arial Unicode MS" w:cs="Arial"/>
                <w:sz w:val="18"/>
                <w:szCs w:val="24"/>
              </w:rPr>
            </w:pPr>
            <w:r>
              <w:rPr>
                <w:rFonts w:cs="Arial"/>
                <w:sz w:val="18"/>
              </w:rPr>
              <w:t>—</w:t>
            </w:r>
          </w:p>
        </w:tc>
        <w:tc>
          <w:tcPr>
            <w:tcW w:w="850" w:type="dxa"/>
          </w:tcPr>
          <w:p>
            <w:pPr>
              <w:pStyle w:val="GesAbsatz"/>
              <w:tabs>
                <w:tab w:val="clear" w:pos="425"/>
                <w:tab w:val="decimal" w:pos="639"/>
              </w:tabs>
              <w:rPr>
                <w:rFonts w:eastAsia="Arial Unicode MS" w:cs="Arial"/>
                <w:sz w:val="18"/>
                <w:szCs w:val="24"/>
              </w:rPr>
            </w:pPr>
            <w:r>
              <w:rPr>
                <w:rFonts w:cs="Arial"/>
                <w:sz w:val="18"/>
              </w:rPr>
              <w:t xml:space="preserve">— </w:t>
            </w:r>
          </w:p>
        </w:tc>
        <w:tc>
          <w:tcPr>
            <w:tcW w:w="967" w:type="dxa"/>
          </w:tcPr>
          <w:p>
            <w:pPr>
              <w:pStyle w:val="GesAbsatz"/>
              <w:tabs>
                <w:tab w:val="clear" w:pos="425"/>
                <w:tab w:val="decimal" w:pos="639"/>
              </w:tabs>
              <w:rPr>
                <w:rFonts w:eastAsia="Arial Unicode MS" w:cs="Arial"/>
                <w:sz w:val="18"/>
                <w:szCs w:val="24"/>
              </w:rPr>
            </w:pPr>
            <w:r>
              <w:rPr>
                <w:rFonts w:cs="Arial"/>
                <w:sz w:val="18"/>
              </w:rPr>
              <w:t>—</w:t>
            </w:r>
          </w:p>
        </w:tc>
      </w:tr>
      <w:tr>
        <w:trPr>
          <w:jc w:val="center"/>
        </w:trPr>
        <w:tc>
          <w:tcPr>
            <w:tcW w:w="1346" w:type="dxa"/>
          </w:tcPr>
          <w:p>
            <w:pPr>
              <w:pStyle w:val="GesAbsatz"/>
              <w:rPr>
                <w:rFonts w:eastAsia="Arial Unicode MS" w:cs="Arial"/>
                <w:sz w:val="18"/>
                <w:szCs w:val="24"/>
              </w:rPr>
            </w:pPr>
            <w:r>
              <w:rPr>
                <w:rFonts w:cs="Arial"/>
                <w:sz w:val="18"/>
              </w:rPr>
              <w:t>100 %</w:t>
            </w:r>
          </w:p>
        </w:tc>
        <w:tc>
          <w:tcPr>
            <w:tcW w:w="992" w:type="dxa"/>
          </w:tcPr>
          <w:p>
            <w:pPr>
              <w:pStyle w:val="GesAbsatz"/>
              <w:tabs>
                <w:tab w:val="clear" w:pos="425"/>
                <w:tab w:val="decimal" w:pos="639"/>
              </w:tabs>
              <w:rPr>
                <w:rFonts w:eastAsia="Arial Unicode MS" w:cs="Arial"/>
                <w:sz w:val="18"/>
                <w:szCs w:val="24"/>
              </w:rPr>
            </w:pPr>
            <w:r>
              <w:rPr>
                <w:rFonts w:cs="Arial"/>
                <w:sz w:val="18"/>
              </w:rPr>
              <w:t>172.374</w:t>
            </w:r>
          </w:p>
        </w:tc>
        <w:tc>
          <w:tcPr>
            <w:tcW w:w="993" w:type="dxa"/>
          </w:tcPr>
          <w:p>
            <w:pPr>
              <w:pStyle w:val="GesAbsatz"/>
              <w:tabs>
                <w:tab w:val="clear" w:pos="425"/>
                <w:tab w:val="decimal" w:pos="639"/>
              </w:tabs>
              <w:rPr>
                <w:rFonts w:eastAsia="Arial Unicode MS" w:cs="Arial"/>
                <w:sz w:val="18"/>
                <w:szCs w:val="24"/>
              </w:rPr>
            </w:pPr>
            <w:r>
              <w:rPr>
                <w:rFonts w:cs="Arial"/>
                <w:sz w:val="18"/>
              </w:rPr>
              <w:t>251.792</w:t>
            </w:r>
          </w:p>
        </w:tc>
        <w:tc>
          <w:tcPr>
            <w:tcW w:w="1275" w:type="dxa"/>
          </w:tcPr>
          <w:p>
            <w:pPr>
              <w:pStyle w:val="GesAbsatz"/>
              <w:tabs>
                <w:tab w:val="clear" w:pos="425"/>
                <w:tab w:val="decimal" w:pos="639"/>
              </w:tabs>
              <w:rPr>
                <w:rFonts w:eastAsia="Arial Unicode MS" w:cs="Arial"/>
                <w:sz w:val="18"/>
                <w:szCs w:val="24"/>
              </w:rPr>
            </w:pPr>
            <w:r>
              <w:rPr>
                <w:rFonts w:cs="Arial"/>
                <w:sz w:val="18"/>
              </w:rPr>
              <w:t>287</w:t>
            </w:r>
          </w:p>
        </w:tc>
        <w:tc>
          <w:tcPr>
            <w:tcW w:w="1134" w:type="dxa"/>
          </w:tcPr>
          <w:p>
            <w:pPr>
              <w:pStyle w:val="GesAbsatz"/>
              <w:tabs>
                <w:tab w:val="clear" w:pos="425"/>
                <w:tab w:val="decimal" w:pos="639"/>
              </w:tabs>
              <w:rPr>
                <w:rFonts w:eastAsia="Arial Unicode MS" w:cs="Arial"/>
                <w:sz w:val="18"/>
                <w:szCs w:val="24"/>
              </w:rPr>
            </w:pPr>
            <w:r>
              <w:rPr>
                <w:rFonts w:cs="Arial"/>
                <w:sz w:val="18"/>
              </w:rPr>
              <w:t>23.759</w:t>
            </w:r>
          </w:p>
        </w:tc>
        <w:tc>
          <w:tcPr>
            <w:tcW w:w="993" w:type="dxa"/>
          </w:tcPr>
          <w:p>
            <w:pPr>
              <w:pStyle w:val="GesAbsatz"/>
              <w:tabs>
                <w:tab w:val="clear" w:pos="425"/>
                <w:tab w:val="decimal" w:pos="639"/>
              </w:tabs>
              <w:rPr>
                <w:rFonts w:eastAsia="Arial Unicode MS" w:cs="Arial"/>
                <w:sz w:val="18"/>
                <w:szCs w:val="24"/>
              </w:rPr>
            </w:pPr>
            <w:r>
              <w:rPr>
                <w:rFonts w:cs="Arial"/>
                <w:sz w:val="18"/>
              </w:rPr>
              <w:t>—</w:t>
            </w:r>
          </w:p>
        </w:tc>
        <w:tc>
          <w:tcPr>
            <w:tcW w:w="992" w:type="dxa"/>
          </w:tcPr>
          <w:p>
            <w:pPr>
              <w:pStyle w:val="GesAbsatz"/>
              <w:tabs>
                <w:tab w:val="clear" w:pos="425"/>
                <w:tab w:val="decimal" w:pos="639"/>
              </w:tabs>
              <w:rPr>
                <w:rFonts w:eastAsia="Arial Unicode MS" w:cs="Arial"/>
                <w:sz w:val="18"/>
                <w:szCs w:val="24"/>
              </w:rPr>
            </w:pPr>
            <w:r>
              <w:rPr>
                <w:rFonts w:cs="Arial"/>
                <w:sz w:val="18"/>
              </w:rPr>
              <w:t>—</w:t>
            </w:r>
          </w:p>
        </w:tc>
        <w:tc>
          <w:tcPr>
            <w:tcW w:w="850" w:type="dxa"/>
          </w:tcPr>
          <w:p>
            <w:pPr>
              <w:pStyle w:val="GesAbsatz"/>
              <w:tabs>
                <w:tab w:val="clear" w:pos="425"/>
                <w:tab w:val="decimal" w:pos="639"/>
              </w:tabs>
              <w:rPr>
                <w:rFonts w:eastAsia="Arial Unicode MS" w:cs="Arial"/>
                <w:sz w:val="18"/>
                <w:szCs w:val="24"/>
              </w:rPr>
            </w:pPr>
            <w:r>
              <w:rPr>
                <w:rFonts w:cs="Arial"/>
                <w:sz w:val="18"/>
              </w:rPr>
              <w:t>—</w:t>
            </w:r>
          </w:p>
        </w:tc>
        <w:tc>
          <w:tcPr>
            <w:tcW w:w="967" w:type="dxa"/>
          </w:tcPr>
          <w:p>
            <w:pPr>
              <w:pStyle w:val="GesAbsatz"/>
              <w:tabs>
                <w:tab w:val="clear" w:pos="425"/>
                <w:tab w:val="decimal" w:pos="639"/>
              </w:tabs>
              <w:rPr>
                <w:rFonts w:eastAsia="Arial Unicode MS" w:cs="Arial"/>
                <w:sz w:val="18"/>
                <w:szCs w:val="24"/>
              </w:rPr>
            </w:pPr>
            <w:r>
              <w:rPr>
                <w:rFonts w:cs="Arial"/>
                <w:sz w:val="18"/>
              </w:rPr>
              <w:t>—</w:t>
            </w:r>
          </w:p>
        </w:tc>
      </w:tr>
      <w:tr>
        <w:trPr>
          <w:jc w:val="center"/>
        </w:trPr>
        <w:tc>
          <w:tcPr>
            <w:tcW w:w="1346" w:type="dxa"/>
          </w:tcPr>
          <w:p>
            <w:pPr>
              <w:pStyle w:val="GesAbsatz"/>
              <w:rPr>
                <w:rFonts w:eastAsia="Arial Unicode MS" w:cs="Arial"/>
                <w:sz w:val="18"/>
                <w:szCs w:val="24"/>
              </w:rPr>
            </w:pPr>
            <w:r>
              <w:rPr>
                <w:rFonts w:cs="Arial"/>
                <w:sz w:val="18"/>
              </w:rPr>
              <w:t>gesamt</w:t>
            </w:r>
          </w:p>
        </w:tc>
        <w:tc>
          <w:tcPr>
            <w:tcW w:w="992" w:type="dxa"/>
          </w:tcPr>
          <w:p>
            <w:pPr>
              <w:pStyle w:val="GesAbsatz"/>
              <w:tabs>
                <w:tab w:val="clear" w:pos="425"/>
                <w:tab w:val="decimal" w:pos="639"/>
              </w:tabs>
              <w:rPr>
                <w:rFonts w:eastAsia="Arial Unicode MS" w:cs="Arial"/>
                <w:sz w:val="18"/>
                <w:szCs w:val="24"/>
              </w:rPr>
            </w:pPr>
            <w:r>
              <w:rPr>
                <w:rFonts w:cs="Arial"/>
                <w:sz w:val="18"/>
              </w:rPr>
              <w:t>353.976</w:t>
            </w:r>
          </w:p>
        </w:tc>
        <w:tc>
          <w:tcPr>
            <w:tcW w:w="993" w:type="dxa"/>
          </w:tcPr>
          <w:p>
            <w:pPr>
              <w:pStyle w:val="GesAbsatz"/>
              <w:tabs>
                <w:tab w:val="clear" w:pos="425"/>
                <w:tab w:val="decimal" w:pos="639"/>
              </w:tabs>
              <w:rPr>
                <w:rFonts w:eastAsia="Arial Unicode MS" w:cs="Arial"/>
                <w:sz w:val="18"/>
                <w:szCs w:val="24"/>
              </w:rPr>
            </w:pPr>
            <w:r>
              <w:rPr>
                <w:rFonts w:cs="Arial"/>
                <w:sz w:val="18"/>
              </w:rPr>
              <w:t>466.509</w:t>
            </w:r>
          </w:p>
        </w:tc>
        <w:tc>
          <w:tcPr>
            <w:tcW w:w="1275" w:type="dxa"/>
          </w:tcPr>
          <w:p>
            <w:pPr>
              <w:pStyle w:val="GesAbsatz"/>
              <w:tabs>
                <w:tab w:val="clear" w:pos="425"/>
                <w:tab w:val="decimal" w:pos="639"/>
              </w:tabs>
              <w:rPr>
                <w:rFonts w:eastAsia="Arial Unicode MS" w:cs="Arial"/>
                <w:sz w:val="18"/>
                <w:szCs w:val="24"/>
              </w:rPr>
            </w:pPr>
            <w:r>
              <w:rPr>
                <w:rFonts w:cs="Arial"/>
                <w:sz w:val="18"/>
              </w:rPr>
              <w:t>527.078</w:t>
            </w:r>
          </w:p>
        </w:tc>
        <w:tc>
          <w:tcPr>
            <w:tcW w:w="1134" w:type="dxa"/>
          </w:tcPr>
          <w:p>
            <w:pPr>
              <w:pStyle w:val="GesAbsatz"/>
              <w:tabs>
                <w:tab w:val="clear" w:pos="425"/>
                <w:tab w:val="decimal" w:pos="639"/>
              </w:tabs>
              <w:rPr>
                <w:rFonts w:eastAsia="Arial Unicode MS" w:cs="Arial"/>
                <w:sz w:val="18"/>
                <w:szCs w:val="24"/>
              </w:rPr>
            </w:pPr>
            <w:r>
              <w:rPr>
                <w:rFonts w:cs="Arial"/>
                <w:sz w:val="18"/>
              </w:rPr>
              <w:t>639.231</w:t>
            </w:r>
          </w:p>
        </w:tc>
        <w:tc>
          <w:tcPr>
            <w:tcW w:w="993" w:type="dxa"/>
          </w:tcPr>
          <w:p>
            <w:pPr>
              <w:pStyle w:val="GesAbsatz"/>
              <w:tabs>
                <w:tab w:val="clear" w:pos="425"/>
                <w:tab w:val="decimal" w:pos="639"/>
              </w:tabs>
              <w:rPr>
                <w:rFonts w:eastAsia="Arial Unicode MS" w:cs="Arial"/>
                <w:sz w:val="18"/>
                <w:szCs w:val="24"/>
              </w:rPr>
            </w:pPr>
            <w:r>
              <w:rPr>
                <w:rFonts w:cs="Arial"/>
                <w:sz w:val="18"/>
              </w:rPr>
              <w:t>7.192</w:t>
            </w:r>
          </w:p>
        </w:tc>
        <w:tc>
          <w:tcPr>
            <w:tcW w:w="992" w:type="dxa"/>
          </w:tcPr>
          <w:p>
            <w:pPr>
              <w:pStyle w:val="GesAbsatz"/>
              <w:tabs>
                <w:tab w:val="clear" w:pos="425"/>
                <w:tab w:val="decimal" w:pos="639"/>
              </w:tabs>
              <w:rPr>
                <w:rFonts w:eastAsia="Arial Unicode MS" w:cs="Arial"/>
                <w:sz w:val="18"/>
                <w:szCs w:val="24"/>
              </w:rPr>
            </w:pPr>
            <w:r>
              <w:rPr>
                <w:rFonts w:cs="Arial"/>
                <w:sz w:val="18"/>
              </w:rPr>
              <w:t>19.882</w:t>
            </w:r>
          </w:p>
        </w:tc>
        <w:tc>
          <w:tcPr>
            <w:tcW w:w="850" w:type="dxa"/>
          </w:tcPr>
          <w:p>
            <w:pPr>
              <w:pStyle w:val="GesAbsatz"/>
              <w:tabs>
                <w:tab w:val="clear" w:pos="425"/>
                <w:tab w:val="decimal" w:pos="639"/>
              </w:tabs>
              <w:rPr>
                <w:rFonts w:eastAsia="Arial Unicode MS" w:cs="Arial"/>
                <w:sz w:val="18"/>
                <w:szCs w:val="24"/>
              </w:rPr>
            </w:pPr>
            <w:r>
              <w:rPr>
                <w:rFonts w:cs="Arial"/>
                <w:sz w:val="18"/>
              </w:rPr>
              <w:t>446</w:t>
            </w:r>
          </w:p>
        </w:tc>
        <w:tc>
          <w:tcPr>
            <w:tcW w:w="967" w:type="dxa"/>
          </w:tcPr>
          <w:p>
            <w:pPr>
              <w:pStyle w:val="GesAbsatz"/>
              <w:tabs>
                <w:tab w:val="clear" w:pos="425"/>
                <w:tab w:val="decimal" w:pos="639"/>
              </w:tabs>
              <w:rPr>
                <w:rFonts w:eastAsia="Arial Unicode MS" w:cs="Arial"/>
                <w:sz w:val="18"/>
                <w:szCs w:val="24"/>
              </w:rPr>
            </w:pPr>
            <w:r>
              <w:rPr>
                <w:rFonts w:cs="Arial"/>
                <w:sz w:val="18"/>
              </w:rPr>
              <w:t>6.326</w:t>
            </w:r>
          </w:p>
        </w:tc>
      </w:tr>
      <w:tr>
        <w:trPr>
          <w:jc w:val="center"/>
        </w:trPr>
        <w:tc>
          <w:tcPr>
            <w:tcW w:w="9542" w:type="dxa"/>
            <w:gridSpan w:val="9"/>
            <w:vAlign w:val="center"/>
          </w:tcPr>
          <w:p>
            <w:pPr>
              <w:pStyle w:val="GesAbsatz"/>
              <w:rPr>
                <w:rFonts w:eastAsia="Arial Unicode MS" w:cs="Arial"/>
                <w:sz w:val="18"/>
                <w:szCs w:val="24"/>
              </w:rPr>
            </w:pPr>
            <w:r>
              <w:rPr>
                <w:rFonts w:cs="Arial"/>
                <w:sz w:val="18"/>
                <w:szCs w:val="15"/>
                <w:vertAlign w:val="superscript"/>
              </w:rPr>
              <w:t>1</w:t>
            </w:r>
            <w:r>
              <w:rPr>
                <w:rFonts w:cs="Arial"/>
                <w:sz w:val="18"/>
                <w:szCs w:val="15"/>
              </w:rPr>
              <w:t xml:space="preserve"> laut Fragebögen</w:t>
            </w:r>
            <w:r>
              <w:rPr>
                <w:rFonts w:cs="Arial"/>
                <w:sz w:val="18"/>
                <w:szCs w:val="15"/>
              </w:rPr>
              <w:br/>
            </w:r>
            <w:r>
              <w:rPr>
                <w:rFonts w:cs="Arial"/>
                <w:sz w:val="18"/>
                <w:szCs w:val="15"/>
                <w:vertAlign w:val="superscript"/>
              </w:rPr>
              <w:t>2</w:t>
            </w:r>
            <w:r>
              <w:rPr>
                <w:rFonts w:cs="Arial"/>
                <w:sz w:val="18"/>
                <w:szCs w:val="15"/>
              </w:rPr>
              <w:t xml:space="preserve"> inkl. weiterer Quellen</w:t>
            </w:r>
            <w:r>
              <w:rPr>
                <w:rFonts w:cs="Arial"/>
                <w:sz w:val="18"/>
                <w:szCs w:val="15"/>
              </w:rPr>
              <w:br/>
            </w:r>
            <w:r>
              <w:rPr>
                <w:rFonts w:cs="Arial"/>
                <w:sz w:val="18"/>
                <w:szCs w:val="15"/>
                <w:vertAlign w:val="superscript"/>
              </w:rPr>
              <w:t>3</w:t>
            </w:r>
            <w:r>
              <w:rPr>
                <w:rFonts w:cs="Arial"/>
                <w:sz w:val="18"/>
                <w:szCs w:val="15"/>
              </w:rPr>
              <w:t xml:space="preserve"> Kompostkataster des LUA, Kompost-Atlas 1998/99 von Wiemer und Kern, 1998</w:t>
            </w:r>
          </w:p>
        </w:tc>
      </w:tr>
    </w:tbl>
    <w:p>
      <w:pPr>
        <w:pStyle w:val="GesAbsatz"/>
        <w:rPr>
          <w:rFonts w:eastAsia="Arial Unicode MS" w:cs="Arial"/>
        </w:rPr>
      </w:pPr>
    </w:p>
    <w:p>
      <w:pPr>
        <w:pStyle w:val="GesAbsatz"/>
        <w:rPr>
          <w:rFonts w:cs="Arial"/>
        </w:rPr>
      </w:pPr>
      <w:r>
        <w:rPr>
          <w:rFonts w:cs="Arial"/>
          <w:b/>
          <w:bCs/>
        </w:rPr>
        <w:t>Tabelle 18: Einteilung der Komposte nach Schwermetallkategorie</w:t>
      </w:r>
      <w:r>
        <w:rPr>
          <w:rFonts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5"/>
        <w:gridCol w:w="2377"/>
        <w:gridCol w:w="2413"/>
        <w:gridCol w:w="2413"/>
      </w:tblGrid>
      <w:tr>
        <w:trPr>
          <w:cantSplit/>
          <w:jc w:val="center"/>
        </w:trPr>
        <w:tc>
          <w:tcPr>
            <w:tcW w:w="2480" w:type="dxa"/>
          </w:tcPr>
          <w:p>
            <w:pPr>
              <w:pStyle w:val="GesAbsatz"/>
              <w:jc w:val="center"/>
              <w:rPr>
                <w:rFonts w:eastAsia="Arial Unicode MS" w:cs="Arial"/>
                <w:b/>
                <w:bCs/>
                <w:sz w:val="18"/>
                <w:szCs w:val="24"/>
              </w:rPr>
            </w:pPr>
            <w:r>
              <w:rPr>
                <w:rFonts w:cs="Arial"/>
                <w:b/>
                <w:bCs/>
                <w:sz w:val="18"/>
              </w:rPr>
              <w:t>Anteil an der Produktion</w:t>
            </w:r>
          </w:p>
        </w:tc>
        <w:tc>
          <w:tcPr>
            <w:tcW w:w="7298" w:type="dxa"/>
            <w:gridSpan w:val="3"/>
          </w:tcPr>
          <w:p>
            <w:pPr>
              <w:pStyle w:val="GesAbsatz"/>
              <w:jc w:val="center"/>
              <w:rPr>
                <w:rFonts w:eastAsia="Arial Unicode MS" w:cs="Arial"/>
                <w:b/>
                <w:bCs/>
                <w:sz w:val="18"/>
                <w:szCs w:val="24"/>
              </w:rPr>
            </w:pPr>
            <w:r>
              <w:rPr>
                <w:rFonts w:cs="Arial"/>
                <w:b/>
                <w:bCs/>
                <w:sz w:val="18"/>
              </w:rPr>
              <w:t>Anzahl der Nennungen</w:t>
            </w:r>
          </w:p>
        </w:tc>
      </w:tr>
      <w:tr>
        <w:trPr>
          <w:jc w:val="center"/>
        </w:trPr>
        <w:tc>
          <w:tcPr>
            <w:tcW w:w="2480" w:type="dxa"/>
          </w:tcPr>
          <w:p>
            <w:pPr>
              <w:pStyle w:val="GesAbsatz"/>
              <w:rPr>
                <w:rFonts w:eastAsia="Arial Unicode MS" w:cs="Arial"/>
                <w:sz w:val="18"/>
                <w:szCs w:val="24"/>
              </w:rPr>
            </w:pPr>
          </w:p>
        </w:tc>
        <w:tc>
          <w:tcPr>
            <w:tcW w:w="2408" w:type="dxa"/>
          </w:tcPr>
          <w:p>
            <w:pPr>
              <w:pStyle w:val="GesAbsatz"/>
              <w:jc w:val="center"/>
              <w:rPr>
                <w:rFonts w:eastAsia="Arial Unicode MS" w:cs="Arial"/>
                <w:sz w:val="18"/>
                <w:szCs w:val="24"/>
              </w:rPr>
            </w:pPr>
            <w:r>
              <w:rPr>
                <w:rFonts w:cs="Arial"/>
                <w:b/>
                <w:bCs/>
                <w:sz w:val="18"/>
              </w:rPr>
              <w:t xml:space="preserve">Kategorie II </w:t>
            </w:r>
            <w:r>
              <w:rPr>
                <w:rFonts w:cs="Arial"/>
                <w:b/>
                <w:bCs/>
                <w:sz w:val="18"/>
              </w:rPr>
              <w:br/>
              <w:t>des LAGA M 10</w:t>
            </w:r>
          </w:p>
        </w:tc>
        <w:tc>
          <w:tcPr>
            <w:tcW w:w="2445" w:type="dxa"/>
          </w:tcPr>
          <w:p>
            <w:pPr>
              <w:pStyle w:val="GesAbsatz"/>
              <w:jc w:val="center"/>
              <w:rPr>
                <w:rFonts w:eastAsia="Arial Unicode MS" w:cs="Arial"/>
                <w:sz w:val="18"/>
                <w:szCs w:val="24"/>
              </w:rPr>
            </w:pPr>
            <w:r>
              <w:rPr>
                <w:rFonts w:cs="Arial"/>
                <w:b/>
                <w:bCs/>
                <w:sz w:val="18"/>
              </w:rPr>
              <w:t>BioAbfV §4 Abs. 3</w:t>
            </w:r>
            <w:r>
              <w:rPr>
                <w:rFonts w:cs="Arial"/>
                <w:b/>
                <w:bCs/>
                <w:sz w:val="18"/>
                <w:vertAlign w:val="superscript"/>
              </w:rPr>
              <w:t>1</w:t>
            </w:r>
          </w:p>
        </w:tc>
        <w:tc>
          <w:tcPr>
            <w:tcW w:w="2445" w:type="dxa"/>
          </w:tcPr>
          <w:p>
            <w:pPr>
              <w:pStyle w:val="GesAbsatz"/>
              <w:jc w:val="center"/>
              <w:rPr>
                <w:rFonts w:eastAsia="Arial Unicode MS" w:cs="Arial"/>
                <w:sz w:val="18"/>
                <w:szCs w:val="24"/>
              </w:rPr>
            </w:pPr>
            <w:r>
              <w:rPr>
                <w:rFonts w:cs="Arial"/>
                <w:b/>
                <w:bCs/>
                <w:sz w:val="18"/>
              </w:rPr>
              <w:t>BioAbfV §4 Abs. 3</w:t>
            </w:r>
            <w:r>
              <w:rPr>
                <w:rFonts w:cs="Arial"/>
                <w:b/>
                <w:bCs/>
                <w:sz w:val="18"/>
                <w:vertAlign w:val="superscript"/>
              </w:rPr>
              <w:t>2</w:t>
            </w:r>
          </w:p>
        </w:tc>
      </w:tr>
      <w:tr>
        <w:trPr>
          <w:jc w:val="center"/>
        </w:trPr>
        <w:tc>
          <w:tcPr>
            <w:tcW w:w="2480" w:type="dxa"/>
          </w:tcPr>
          <w:p>
            <w:pPr>
              <w:pStyle w:val="GesAbsatz"/>
              <w:rPr>
                <w:rFonts w:eastAsia="Arial Unicode MS" w:cs="Arial"/>
                <w:sz w:val="18"/>
                <w:szCs w:val="24"/>
              </w:rPr>
            </w:pPr>
            <w:r>
              <w:rPr>
                <w:rFonts w:cs="Arial"/>
                <w:sz w:val="18"/>
              </w:rPr>
              <w:t xml:space="preserve">0 - 50 % </w:t>
            </w:r>
          </w:p>
        </w:tc>
        <w:tc>
          <w:tcPr>
            <w:tcW w:w="2408" w:type="dxa"/>
          </w:tcPr>
          <w:p>
            <w:pPr>
              <w:pStyle w:val="GesAbsatz"/>
              <w:tabs>
                <w:tab w:val="clear" w:pos="425"/>
                <w:tab w:val="decimal" w:pos="1348"/>
              </w:tabs>
              <w:rPr>
                <w:rFonts w:eastAsia="Arial Unicode MS" w:cs="Arial"/>
                <w:sz w:val="18"/>
                <w:szCs w:val="24"/>
              </w:rPr>
            </w:pPr>
            <w:r>
              <w:rPr>
                <w:rFonts w:cs="Arial"/>
                <w:sz w:val="18"/>
              </w:rPr>
              <w:t>1</w:t>
            </w:r>
          </w:p>
        </w:tc>
        <w:tc>
          <w:tcPr>
            <w:tcW w:w="2445" w:type="dxa"/>
          </w:tcPr>
          <w:p>
            <w:pPr>
              <w:pStyle w:val="GesAbsatz"/>
              <w:tabs>
                <w:tab w:val="clear" w:pos="425"/>
                <w:tab w:val="decimal" w:pos="1348"/>
              </w:tabs>
              <w:rPr>
                <w:rFonts w:eastAsia="Arial Unicode MS" w:cs="Arial"/>
                <w:sz w:val="18"/>
                <w:szCs w:val="24"/>
              </w:rPr>
            </w:pPr>
            <w:r>
              <w:rPr>
                <w:rFonts w:cs="Arial"/>
                <w:sz w:val="18"/>
              </w:rPr>
              <w:t>8</w:t>
            </w:r>
          </w:p>
        </w:tc>
        <w:tc>
          <w:tcPr>
            <w:tcW w:w="2445" w:type="dxa"/>
          </w:tcPr>
          <w:p>
            <w:pPr>
              <w:pStyle w:val="GesAbsatz"/>
              <w:tabs>
                <w:tab w:val="clear" w:pos="425"/>
                <w:tab w:val="decimal" w:pos="1348"/>
              </w:tabs>
              <w:rPr>
                <w:rFonts w:eastAsia="Arial Unicode MS" w:cs="Arial"/>
                <w:sz w:val="18"/>
                <w:szCs w:val="24"/>
              </w:rPr>
            </w:pPr>
            <w:r>
              <w:rPr>
                <w:rFonts w:cs="Arial"/>
                <w:sz w:val="18"/>
              </w:rPr>
              <w:t>6</w:t>
            </w:r>
          </w:p>
        </w:tc>
      </w:tr>
      <w:tr>
        <w:trPr>
          <w:jc w:val="center"/>
        </w:trPr>
        <w:tc>
          <w:tcPr>
            <w:tcW w:w="2480" w:type="dxa"/>
          </w:tcPr>
          <w:p>
            <w:pPr>
              <w:pStyle w:val="GesAbsatz"/>
              <w:rPr>
                <w:rFonts w:eastAsia="Arial Unicode MS" w:cs="Arial"/>
                <w:sz w:val="18"/>
                <w:szCs w:val="24"/>
              </w:rPr>
            </w:pPr>
            <w:r>
              <w:rPr>
                <w:rFonts w:cs="Arial"/>
                <w:sz w:val="18"/>
              </w:rPr>
              <w:t xml:space="preserve">&gt; 50 - 99 % </w:t>
            </w:r>
          </w:p>
        </w:tc>
        <w:tc>
          <w:tcPr>
            <w:tcW w:w="2408" w:type="dxa"/>
          </w:tcPr>
          <w:p>
            <w:pPr>
              <w:pStyle w:val="GesAbsatz"/>
              <w:tabs>
                <w:tab w:val="clear" w:pos="425"/>
                <w:tab w:val="decimal" w:pos="1348"/>
              </w:tabs>
              <w:rPr>
                <w:rFonts w:eastAsia="Arial Unicode MS" w:cs="Arial"/>
                <w:sz w:val="18"/>
                <w:szCs w:val="24"/>
              </w:rPr>
            </w:pPr>
            <w:r>
              <w:rPr>
                <w:rFonts w:cs="Arial"/>
                <w:sz w:val="18"/>
              </w:rPr>
              <w:t>-</w:t>
            </w:r>
          </w:p>
        </w:tc>
        <w:tc>
          <w:tcPr>
            <w:tcW w:w="2445" w:type="dxa"/>
          </w:tcPr>
          <w:p>
            <w:pPr>
              <w:pStyle w:val="GesAbsatz"/>
              <w:tabs>
                <w:tab w:val="clear" w:pos="425"/>
                <w:tab w:val="decimal" w:pos="1348"/>
              </w:tabs>
              <w:rPr>
                <w:rFonts w:eastAsia="Arial Unicode MS" w:cs="Arial"/>
                <w:sz w:val="18"/>
                <w:szCs w:val="24"/>
              </w:rPr>
            </w:pPr>
            <w:r>
              <w:rPr>
                <w:rFonts w:cs="Arial"/>
                <w:sz w:val="18"/>
              </w:rPr>
              <w:t>1</w:t>
            </w:r>
          </w:p>
        </w:tc>
        <w:tc>
          <w:tcPr>
            <w:tcW w:w="2445" w:type="dxa"/>
          </w:tcPr>
          <w:p>
            <w:pPr>
              <w:pStyle w:val="GesAbsatz"/>
              <w:tabs>
                <w:tab w:val="clear" w:pos="425"/>
                <w:tab w:val="decimal" w:pos="1348"/>
              </w:tabs>
              <w:rPr>
                <w:rFonts w:eastAsia="Arial Unicode MS" w:cs="Arial"/>
                <w:sz w:val="18"/>
                <w:szCs w:val="24"/>
              </w:rPr>
            </w:pPr>
            <w:r>
              <w:rPr>
                <w:rFonts w:cs="Arial"/>
                <w:sz w:val="18"/>
              </w:rPr>
              <w:t>2</w:t>
            </w:r>
          </w:p>
        </w:tc>
      </w:tr>
      <w:tr>
        <w:trPr>
          <w:jc w:val="center"/>
        </w:trPr>
        <w:tc>
          <w:tcPr>
            <w:tcW w:w="2480" w:type="dxa"/>
          </w:tcPr>
          <w:p>
            <w:pPr>
              <w:pStyle w:val="GesAbsatz"/>
              <w:rPr>
                <w:rFonts w:eastAsia="Arial Unicode MS" w:cs="Arial"/>
                <w:sz w:val="18"/>
                <w:szCs w:val="24"/>
              </w:rPr>
            </w:pPr>
            <w:r>
              <w:rPr>
                <w:rFonts w:cs="Arial"/>
                <w:sz w:val="18"/>
              </w:rPr>
              <w:t>100 %</w:t>
            </w:r>
          </w:p>
        </w:tc>
        <w:tc>
          <w:tcPr>
            <w:tcW w:w="2408" w:type="dxa"/>
          </w:tcPr>
          <w:p>
            <w:pPr>
              <w:pStyle w:val="GesAbsatz"/>
              <w:tabs>
                <w:tab w:val="clear" w:pos="425"/>
                <w:tab w:val="decimal" w:pos="1348"/>
              </w:tabs>
              <w:rPr>
                <w:rFonts w:eastAsia="Arial Unicode MS" w:cs="Arial"/>
                <w:sz w:val="18"/>
                <w:szCs w:val="24"/>
              </w:rPr>
            </w:pPr>
            <w:r>
              <w:rPr>
                <w:rFonts w:cs="Arial"/>
                <w:sz w:val="18"/>
              </w:rPr>
              <w:t>1</w:t>
            </w:r>
          </w:p>
        </w:tc>
        <w:tc>
          <w:tcPr>
            <w:tcW w:w="2445" w:type="dxa"/>
          </w:tcPr>
          <w:p>
            <w:pPr>
              <w:pStyle w:val="GesAbsatz"/>
              <w:tabs>
                <w:tab w:val="clear" w:pos="425"/>
                <w:tab w:val="decimal" w:pos="1348"/>
              </w:tabs>
              <w:rPr>
                <w:rFonts w:eastAsia="Arial Unicode MS" w:cs="Arial"/>
                <w:sz w:val="18"/>
                <w:szCs w:val="24"/>
              </w:rPr>
            </w:pPr>
            <w:r>
              <w:rPr>
                <w:rFonts w:cs="Arial"/>
                <w:sz w:val="18"/>
              </w:rPr>
              <w:t>11</w:t>
            </w:r>
          </w:p>
        </w:tc>
        <w:tc>
          <w:tcPr>
            <w:tcW w:w="2445" w:type="dxa"/>
          </w:tcPr>
          <w:p>
            <w:pPr>
              <w:pStyle w:val="GesAbsatz"/>
              <w:tabs>
                <w:tab w:val="clear" w:pos="425"/>
                <w:tab w:val="decimal" w:pos="1348"/>
              </w:tabs>
              <w:rPr>
                <w:rFonts w:eastAsia="Arial Unicode MS" w:cs="Arial"/>
                <w:sz w:val="18"/>
                <w:szCs w:val="24"/>
              </w:rPr>
            </w:pPr>
            <w:r>
              <w:rPr>
                <w:rFonts w:cs="Arial"/>
                <w:sz w:val="18"/>
              </w:rPr>
              <w:t>32</w:t>
            </w:r>
          </w:p>
        </w:tc>
      </w:tr>
      <w:tr>
        <w:trPr>
          <w:jc w:val="center"/>
        </w:trPr>
        <w:tc>
          <w:tcPr>
            <w:tcW w:w="2480" w:type="dxa"/>
          </w:tcPr>
          <w:p>
            <w:pPr>
              <w:pStyle w:val="GesAbsatz"/>
              <w:rPr>
                <w:rFonts w:eastAsia="Arial Unicode MS" w:cs="Arial"/>
                <w:sz w:val="18"/>
                <w:szCs w:val="24"/>
              </w:rPr>
            </w:pPr>
            <w:r>
              <w:rPr>
                <w:rFonts w:cs="Arial"/>
                <w:sz w:val="18"/>
              </w:rPr>
              <w:t>Anzahl der Nennungen gesamt</w:t>
            </w:r>
          </w:p>
        </w:tc>
        <w:tc>
          <w:tcPr>
            <w:tcW w:w="2408" w:type="dxa"/>
          </w:tcPr>
          <w:p>
            <w:pPr>
              <w:pStyle w:val="GesAbsatz"/>
              <w:tabs>
                <w:tab w:val="clear" w:pos="425"/>
                <w:tab w:val="decimal" w:pos="1348"/>
              </w:tabs>
              <w:rPr>
                <w:rFonts w:eastAsia="Arial Unicode MS" w:cs="Arial"/>
                <w:sz w:val="18"/>
                <w:szCs w:val="24"/>
              </w:rPr>
            </w:pPr>
            <w:r>
              <w:rPr>
                <w:rFonts w:cs="Arial"/>
                <w:sz w:val="18"/>
              </w:rPr>
              <w:t>2</w:t>
            </w:r>
          </w:p>
        </w:tc>
        <w:tc>
          <w:tcPr>
            <w:tcW w:w="2445" w:type="dxa"/>
          </w:tcPr>
          <w:p>
            <w:pPr>
              <w:pStyle w:val="GesAbsatz"/>
              <w:tabs>
                <w:tab w:val="clear" w:pos="425"/>
                <w:tab w:val="decimal" w:pos="1348"/>
              </w:tabs>
              <w:rPr>
                <w:rFonts w:eastAsia="Arial Unicode MS" w:cs="Arial"/>
                <w:sz w:val="18"/>
                <w:szCs w:val="24"/>
              </w:rPr>
            </w:pPr>
            <w:r>
              <w:rPr>
                <w:rFonts w:cs="Arial"/>
                <w:sz w:val="18"/>
              </w:rPr>
              <w:t>20</w:t>
            </w:r>
          </w:p>
        </w:tc>
        <w:tc>
          <w:tcPr>
            <w:tcW w:w="2445" w:type="dxa"/>
          </w:tcPr>
          <w:p>
            <w:pPr>
              <w:pStyle w:val="GesAbsatz"/>
              <w:tabs>
                <w:tab w:val="clear" w:pos="425"/>
                <w:tab w:val="decimal" w:pos="1348"/>
              </w:tabs>
              <w:rPr>
                <w:rFonts w:eastAsia="Arial Unicode MS" w:cs="Arial"/>
                <w:sz w:val="18"/>
                <w:szCs w:val="24"/>
              </w:rPr>
            </w:pPr>
            <w:r>
              <w:rPr>
                <w:rFonts w:cs="Arial"/>
                <w:sz w:val="18"/>
              </w:rPr>
              <w:t>40</w:t>
            </w:r>
          </w:p>
        </w:tc>
      </w:tr>
      <w:tr>
        <w:trPr>
          <w:jc w:val="center"/>
        </w:trPr>
        <w:tc>
          <w:tcPr>
            <w:tcW w:w="2480" w:type="dxa"/>
          </w:tcPr>
          <w:p>
            <w:pPr>
              <w:pStyle w:val="GesAbsatz"/>
              <w:rPr>
                <w:rFonts w:eastAsia="Arial Unicode MS" w:cs="Arial"/>
                <w:sz w:val="18"/>
                <w:szCs w:val="24"/>
              </w:rPr>
            </w:pPr>
            <w:r>
              <w:rPr>
                <w:rFonts w:cs="Arial"/>
                <w:sz w:val="18"/>
              </w:rPr>
              <w:t>Kompostproduktion in Mg/a nach Schwermetallkategorien</w:t>
            </w:r>
            <w:r>
              <w:rPr>
                <w:rFonts w:cs="Arial"/>
                <w:sz w:val="18"/>
                <w:vertAlign w:val="superscript"/>
              </w:rPr>
              <w:t>3</w:t>
            </w:r>
          </w:p>
        </w:tc>
        <w:tc>
          <w:tcPr>
            <w:tcW w:w="2408" w:type="dxa"/>
          </w:tcPr>
          <w:p>
            <w:pPr>
              <w:pStyle w:val="GesAbsatz"/>
              <w:tabs>
                <w:tab w:val="clear" w:pos="425"/>
                <w:tab w:val="decimal" w:pos="1348"/>
              </w:tabs>
              <w:rPr>
                <w:rFonts w:eastAsia="Arial Unicode MS" w:cs="Arial"/>
                <w:sz w:val="18"/>
                <w:szCs w:val="24"/>
              </w:rPr>
            </w:pPr>
            <w:r>
              <w:rPr>
                <w:rFonts w:cs="Arial"/>
                <w:sz w:val="18"/>
              </w:rPr>
              <w:t>3.136</w:t>
            </w:r>
          </w:p>
        </w:tc>
        <w:tc>
          <w:tcPr>
            <w:tcW w:w="2445" w:type="dxa"/>
          </w:tcPr>
          <w:p>
            <w:pPr>
              <w:pStyle w:val="GesAbsatz"/>
              <w:tabs>
                <w:tab w:val="clear" w:pos="425"/>
                <w:tab w:val="decimal" w:pos="1348"/>
              </w:tabs>
              <w:rPr>
                <w:rFonts w:eastAsia="Arial Unicode MS" w:cs="Arial"/>
                <w:sz w:val="18"/>
                <w:szCs w:val="24"/>
              </w:rPr>
            </w:pPr>
            <w:r>
              <w:rPr>
                <w:rFonts w:cs="Arial"/>
                <w:sz w:val="18"/>
              </w:rPr>
              <w:t>134.139</w:t>
            </w:r>
          </w:p>
        </w:tc>
        <w:tc>
          <w:tcPr>
            <w:tcW w:w="2445" w:type="dxa"/>
          </w:tcPr>
          <w:p>
            <w:pPr>
              <w:pStyle w:val="GesAbsatz"/>
              <w:tabs>
                <w:tab w:val="clear" w:pos="425"/>
                <w:tab w:val="decimal" w:pos="1348"/>
              </w:tabs>
              <w:rPr>
                <w:rFonts w:eastAsia="Arial Unicode MS" w:cs="Arial"/>
                <w:sz w:val="18"/>
                <w:szCs w:val="24"/>
              </w:rPr>
            </w:pPr>
            <w:r>
              <w:rPr>
                <w:rFonts w:cs="Arial"/>
                <w:sz w:val="18"/>
              </w:rPr>
              <w:t>349.750</w:t>
            </w:r>
          </w:p>
        </w:tc>
      </w:tr>
      <w:tr>
        <w:trPr>
          <w:cantSplit/>
          <w:jc w:val="center"/>
        </w:trPr>
        <w:tc>
          <w:tcPr>
            <w:tcW w:w="9778" w:type="dxa"/>
            <w:gridSpan w:val="4"/>
            <w:vAlign w:val="center"/>
          </w:tcPr>
          <w:p>
            <w:pPr>
              <w:pStyle w:val="GesAbsatz"/>
              <w:rPr>
                <w:rFonts w:eastAsia="Arial Unicode MS" w:cs="Arial"/>
                <w:sz w:val="18"/>
                <w:szCs w:val="24"/>
              </w:rPr>
            </w:pPr>
            <w:r>
              <w:rPr>
                <w:rFonts w:cs="Arial"/>
                <w:sz w:val="18"/>
                <w:szCs w:val="15"/>
                <w:vertAlign w:val="superscript"/>
              </w:rPr>
              <w:t xml:space="preserve">1 </w:t>
            </w:r>
            <w:r>
              <w:rPr>
                <w:rFonts w:cs="Arial"/>
                <w:sz w:val="18"/>
                <w:szCs w:val="15"/>
              </w:rPr>
              <w:t>Erlaubte Aufbringungsmenge von 20 Mg TS/ha in 3 Jahren, entspricht RAL-GZ 251 und Kategorie I des LAGA M 10.</w:t>
            </w:r>
            <w:r>
              <w:rPr>
                <w:rFonts w:cs="Arial"/>
                <w:sz w:val="18"/>
                <w:szCs w:val="15"/>
              </w:rPr>
              <w:br/>
            </w:r>
            <w:r>
              <w:rPr>
                <w:rFonts w:cs="Arial"/>
                <w:sz w:val="18"/>
                <w:szCs w:val="15"/>
                <w:vertAlign w:val="superscript"/>
              </w:rPr>
              <w:t>2</w:t>
            </w:r>
            <w:r>
              <w:rPr>
                <w:rFonts w:cs="Arial"/>
                <w:sz w:val="18"/>
                <w:szCs w:val="15"/>
              </w:rPr>
              <w:t xml:space="preserve"> Erlaubte Aufbringungsmenge von 30 Mg TS/ha in 3 Jahren.</w:t>
            </w:r>
            <w:r>
              <w:rPr>
                <w:rFonts w:cs="Arial"/>
                <w:sz w:val="18"/>
                <w:szCs w:val="15"/>
              </w:rPr>
              <w:br/>
            </w:r>
            <w:r>
              <w:rPr>
                <w:rFonts w:cs="Arial"/>
                <w:sz w:val="18"/>
                <w:szCs w:val="15"/>
                <w:vertAlign w:val="superscript"/>
              </w:rPr>
              <w:t>3</w:t>
            </w:r>
            <w:r>
              <w:rPr>
                <w:rFonts w:cs="Arial"/>
                <w:sz w:val="18"/>
                <w:szCs w:val="15"/>
              </w:rPr>
              <w:t xml:space="preserve"> Gesamtproduktion aus Tabelle 18 von 487.025 Mg entspricht nicht der Gesamtproduktion aus Tabelle 16, da nicht von allen Anlagenbetreibern beide Fragen vollständig ausgefüllt wurden. </w:t>
            </w:r>
          </w:p>
        </w:tc>
      </w:tr>
    </w:tbl>
    <w:p>
      <w:pPr>
        <w:pStyle w:val="GesAbsatz"/>
        <w:rPr>
          <w:rFonts w:cs="Arial"/>
        </w:rPr>
      </w:pPr>
    </w:p>
    <w:p>
      <w:pPr>
        <w:pStyle w:val="GesAbsatz"/>
        <w:rPr>
          <w:rFonts w:cs="Arial"/>
          <w:b/>
          <w:bCs/>
        </w:rPr>
      </w:pPr>
      <w:r>
        <w:rPr>
          <w:rFonts w:cs="Arial"/>
          <w:b/>
          <w:bCs/>
        </w:rPr>
        <w:t>Schwermetallkategorien</w:t>
      </w:r>
    </w:p>
    <w:p>
      <w:pPr>
        <w:pStyle w:val="GesAbsatz"/>
        <w:rPr>
          <w:rFonts w:cs="Arial"/>
        </w:rPr>
      </w:pPr>
      <w:r>
        <w:rPr>
          <w:rFonts w:cs="Arial"/>
        </w:rPr>
        <w:lastRenderedPageBreak/>
        <w:t>Derzeit werden auf den Kompostierungsanlagen zum weitaus größten Teil Kompostqualitäten der Kategorie mit den geringsten Schwermetallgrenzwerten nach BioAbfV § 4 Abs. 3 (erlaubte Ausbringungsmenge von 30 Mg TS/ha in 3 Jahren) hergestellt. Bei 32 der antwortenden Anlagenbetreiber befinden sich 100 % der produzierten Komposte in dieser Klasse. Der Kategorie I des LAGA M 10 (LAGA 1995, erlaubt ist nach BioAbfV die Ausbringung von 20 Mg TS/ha in 3 Jahren) entsprechen nach Angaben von weiteren 11 Betreibern 100 % ihrer Produktion. Nur zweimal wurde die Kategorie II des LAGA M 10 genannt; die Kompostproduktion dieser Schwermetallkategorie umfasst einen Mengenanteil von nur 3.136 Mg. Insgesamt betrachtet werden Komposte dieser Kategorie nur vereinzelt und in relativ geringem Umfang produziert.</w:t>
      </w:r>
    </w:p>
    <w:p>
      <w:pPr>
        <w:pStyle w:val="GesAbsatz"/>
        <w:rPr>
          <w:rFonts w:cs="Arial"/>
          <w:b/>
          <w:bCs/>
        </w:rPr>
      </w:pPr>
      <w:r>
        <w:rPr>
          <w:rFonts w:cs="Arial"/>
          <w:b/>
          <w:bCs/>
        </w:rPr>
        <w:t>Rottegrade</w:t>
      </w:r>
    </w:p>
    <w:p>
      <w:pPr>
        <w:pStyle w:val="GesAbsatz"/>
        <w:rPr>
          <w:rFonts w:cs="Arial"/>
        </w:rPr>
      </w:pPr>
      <w:r>
        <w:rPr>
          <w:rFonts w:cs="Arial"/>
        </w:rPr>
        <w:t>Zum überwiegenden Teil (63 %) werden derzeit Fertigkomposte auf den Kompostierungsanlagen hergestellt. Insgesamt 19 Nennungen entfielen auf die ausschließliche Produktion von Fertigkompost mit dem Rottegrad IV-V (100.199 Mg/a). 31 Antworten entfielen auf die Produktion von Frischkompost, wobei nur 1 Anlage eine alleinige Frischkompostproduktion durchführt. Der relativ hohe Anteil von Frischkompost wird von wenigen Anlagen bestimmt. Allein 7 Kompostierungsanlagen weisen eine Frischkompostproduktion von &gt; 10.000 Mg/a auf und stellen damit mehr als 2/3 (122.593 Mg/a) der gesamten Frischkomposte her (s. Tabelle 19).</w:t>
      </w:r>
    </w:p>
    <w:p>
      <w:pPr>
        <w:pStyle w:val="GesAbsatz"/>
        <w:rPr>
          <w:rFonts w:cs="Arial"/>
        </w:rPr>
      </w:pPr>
      <w:r>
        <w:rPr>
          <w:rFonts w:cs="Arial"/>
          <w:b/>
          <w:bCs/>
        </w:rPr>
        <w:t>Tabelle 19: Produzierte Rottegrade, Mehrfachnennungen möglich</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60"/>
      </w:tblGrid>
      <w:tr>
        <w:trPr>
          <w:cantSplit/>
        </w:trPr>
        <w:tc>
          <w:tcPr>
            <w:tcW w:w="3259" w:type="dxa"/>
          </w:tcPr>
          <w:p>
            <w:pPr>
              <w:pStyle w:val="GesAbsatz"/>
              <w:jc w:val="center"/>
              <w:rPr>
                <w:rFonts w:eastAsia="Arial Unicode MS" w:cs="Arial"/>
                <w:sz w:val="18"/>
                <w:szCs w:val="24"/>
              </w:rPr>
            </w:pPr>
            <w:r>
              <w:rPr>
                <w:rFonts w:cs="Arial"/>
                <w:b/>
                <w:bCs/>
                <w:sz w:val="18"/>
              </w:rPr>
              <w:t>Anteil an der Produktion</w:t>
            </w:r>
          </w:p>
        </w:tc>
        <w:tc>
          <w:tcPr>
            <w:tcW w:w="6519" w:type="dxa"/>
            <w:gridSpan w:val="2"/>
          </w:tcPr>
          <w:p>
            <w:pPr>
              <w:pStyle w:val="GesAbsatz"/>
              <w:jc w:val="center"/>
              <w:rPr>
                <w:rFonts w:eastAsia="Arial Unicode MS" w:cs="Arial"/>
                <w:sz w:val="18"/>
                <w:szCs w:val="24"/>
              </w:rPr>
            </w:pPr>
            <w:r>
              <w:rPr>
                <w:rFonts w:cs="Arial"/>
                <w:b/>
                <w:bCs/>
                <w:sz w:val="18"/>
              </w:rPr>
              <w:t>Anzahl der Nennungen</w:t>
            </w:r>
          </w:p>
        </w:tc>
      </w:tr>
      <w:tr>
        <w:tc>
          <w:tcPr>
            <w:tcW w:w="3259" w:type="dxa"/>
          </w:tcPr>
          <w:p>
            <w:pPr>
              <w:pStyle w:val="GesAbsatz"/>
              <w:jc w:val="center"/>
              <w:rPr>
                <w:rFonts w:eastAsia="Arial Unicode MS" w:cs="Arial"/>
                <w:sz w:val="18"/>
                <w:szCs w:val="24"/>
              </w:rPr>
            </w:pPr>
          </w:p>
        </w:tc>
        <w:tc>
          <w:tcPr>
            <w:tcW w:w="3259" w:type="dxa"/>
          </w:tcPr>
          <w:p>
            <w:pPr>
              <w:pStyle w:val="GesAbsatz"/>
              <w:jc w:val="center"/>
              <w:rPr>
                <w:rFonts w:eastAsia="Arial Unicode MS" w:cs="Arial"/>
                <w:sz w:val="18"/>
                <w:szCs w:val="24"/>
              </w:rPr>
            </w:pPr>
            <w:r>
              <w:rPr>
                <w:rFonts w:cs="Arial"/>
                <w:b/>
                <w:bCs/>
                <w:sz w:val="18"/>
              </w:rPr>
              <w:t>Rottergrade II - III</w:t>
            </w:r>
          </w:p>
        </w:tc>
        <w:tc>
          <w:tcPr>
            <w:tcW w:w="3260" w:type="dxa"/>
          </w:tcPr>
          <w:p>
            <w:pPr>
              <w:pStyle w:val="GesAbsatz"/>
              <w:jc w:val="center"/>
              <w:rPr>
                <w:rFonts w:eastAsia="Arial Unicode MS" w:cs="Arial"/>
                <w:sz w:val="18"/>
                <w:szCs w:val="24"/>
              </w:rPr>
            </w:pPr>
            <w:r>
              <w:rPr>
                <w:rFonts w:cs="Arial"/>
                <w:b/>
                <w:bCs/>
                <w:sz w:val="18"/>
              </w:rPr>
              <w:t>Rottergrade IV - V</w:t>
            </w:r>
          </w:p>
        </w:tc>
      </w:tr>
      <w:tr>
        <w:tc>
          <w:tcPr>
            <w:tcW w:w="3259" w:type="dxa"/>
          </w:tcPr>
          <w:p>
            <w:pPr>
              <w:pStyle w:val="GesAbsatz"/>
              <w:rPr>
                <w:rFonts w:eastAsia="Arial Unicode MS" w:cs="Arial"/>
                <w:sz w:val="18"/>
                <w:szCs w:val="24"/>
              </w:rPr>
            </w:pPr>
            <w:r>
              <w:rPr>
                <w:rFonts w:cs="Arial"/>
                <w:sz w:val="18"/>
              </w:rPr>
              <w:t xml:space="preserve">0 - 50 % </w:t>
            </w:r>
          </w:p>
        </w:tc>
        <w:tc>
          <w:tcPr>
            <w:tcW w:w="3259" w:type="dxa"/>
          </w:tcPr>
          <w:p>
            <w:pPr>
              <w:pStyle w:val="GesAbsatz"/>
              <w:tabs>
                <w:tab w:val="clear" w:pos="425"/>
                <w:tab w:val="decimal" w:pos="1561"/>
              </w:tabs>
              <w:rPr>
                <w:rFonts w:eastAsia="Arial Unicode MS" w:cs="Arial"/>
                <w:sz w:val="18"/>
                <w:szCs w:val="24"/>
              </w:rPr>
            </w:pPr>
            <w:r>
              <w:rPr>
                <w:rFonts w:cs="Arial"/>
                <w:sz w:val="18"/>
              </w:rPr>
              <w:t>24</w:t>
            </w:r>
          </w:p>
        </w:tc>
        <w:tc>
          <w:tcPr>
            <w:tcW w:w="3260" w:type="dxa"/>
          </w:tcPr>
          <w:p>
            <w:pPr>
              <w:pStyle w:val="GesAbsatz"/>
              <w:tabs>
                <w:tab w:val="clear" w:pos="425"/>
                <w:tab w:val="decimal" w:pos="1561"/>
              </w:tabs>
              <w:rPr>
                <w:rFonts w:eastAsia="Arial Unicode MS" w:cs="Arial"/>
                <w:sz w:val="18"/>
                <w:szCs w:val="24"/>
              </w:rPr>
            </w:pPr>
            <w:r>
              <w:rPr>
                <w:rFonts w:cs="Arial"/>
                <w:sz w:val="18"/>
              </w:rPr>
              <w:t>13</w:t>
            </w:r>
          </w:p>
        </w:tc>
      </w:tr>
      <w:tr>
        <w:tc>
          <w:tcPr>
            <w:tcW w:w="3259" w:type="dxa"/>
          </w:tcPr>
          <w:p>
            <w:pPr>
              <w:pStyle w:val="GesAbsatz"/>
              <w:rPr>
                <w:rFonts w:eastAsia="Arial Unicode MS" w:cs="Arial"/>
                <w:sz w:val="18"/>
                <w:szCs w:val="24"/>
              </w:rPr>
            </w:pPr>
            <w:r>
              <w:rPr>
                <w:rFonts w:cs="Arial"/>
                <w:sz w:val="18"/>
              </w:rPr>
              <w:t xml:space="preserve">&gt; 50 - 99 % </w:t>
            </w:r>
          </w:p>
        </w:tc>
        <w:tc>
          <w:tcPr>
            <w:tcW w:w="3259" w:type="dxa"/>
          </w:tcPr>
          <w:p>
            <w:pPr>
              <w:pStyle w:val="GesAbsatz"/>
              <w:tabs>
                <w:tab w:val="clear" w:pos="425"/>
                <w:tab w:val="decimal" w:pos="1561"/>
              </w:tabs>
              <w:rPr>
                <w:rFonts w:eastAsia="Arial Unicode MS" w:cs="Arial"/>
                <w:sz w:val="18"/>
                <w:szCs w:val="24"/>
              </w:rPr>
            </w:pPr>
            <w:r>
              <w:rPr>
                <w:rFonts w:cs="Arial"/>
                <w:sz w:val="18"/>
              </w:rPr>
              <w:t>6</w:t>
            </w:r>
          </w:p>
        </w:tc>
        <w:tc>
          <w:tcPr>
            <w:tcW w:w="3260" w:type="dxa"/>
          </w:tcPr>
          <w:p>
            <w:pPr>
              <w:pStyle w:val="GesAbsatz"/>
              <w:tabs>
                <w:tab w:val="clear" w:pos="425"/>
                <w:tab w:val="decimal" w:pos="1561"/>
              </w:tabs>
              <w:rPr>
                <w:rFonts w:eastAsia="Arial Unicode MS" w:cs="Arial"/>
                <w:sz w:val="18"/>
                <w:szCs w:val="24"/>
              </w:rPr>
            </w:pPr>
            <w:r>
              <w:rPr>
                <w:rFonts w:cs="Arial"/>
                <w:sz w:val="18"/>
              </w:rPr>
              <w:t>17</w:t>
            </w:r>
          </w:p>
        </w:tc>
      </w:tr>
      <w:tr>
        <w:tc>
          <w:tcPr>
            <w:tcW w:w="3259" w:type="dxa"/>
          </w:tcPr>
          <w:p>
            <w:pPr>
              <w:pStyle w:val="GesAbsatz"/>
              <w:rPr>
                <w:rFonts w:eastAsia="Arial Unicode MS" w:cs="Arial"/>
                <w:sz w:val="18"/>
                <w:szCs w:val="24"/>
              </w:rPr>
            </w:pPr>
            <w:r>
              <w:rPr>
                <w:rFonts w:cs="Arial"/>
                <w:sz w:val="18"/>
              </w:rPr>
              <w:t>100 %</w:t>
            </w:r>
          </w:p>
        </w:tc>
        <w:tc>
          <w:tcPr>
            <w:tcW w:w="3259" w:type="dxa"/>
          </w:tcPr>
          <w:p>
            <w:pPr>
              <w:pStyle w:val="GesAbsatz"/>
              <w:tabs>
                <w:tab w:val="clear" w:pos="425"/>
                <w:tab w:val="decimal" w:pos="1561"/>
              </w:tabs>
              <w:rPr>
                <w:rFonts w:eastAsia="Arial Unicode MS" w:cs="Arial"/>
                <w:sz w:val="18"/>
                <w:szCs w:val="24"/>
              </w:rPr>
            </w:pPr>
            <w:r>
              <w:rPr>
                <w:rFonts w:cs="Arial"/>
                <w:sz w:val="18"/>
              </w:rPr>
              <w:t>1</w:t>
            </w:r>
          </w:p>
        </w:tc>
        <w:tc>
          <w:tcPr>
            <w:tcW w:w="3260" w:type="dxa"/>
          </w:tcPr>
          <w:p>
            <w:pPr>
              <w:pStyle w:val="GesAbsatz"/>
              <w:tabs>
                <w:tab w:val="clear" w:pos="425"/>
                <w:tab w:val="decimal" w:pos="1561"/>
              </w:tabs>
              <w:rPr>
                <w:rFonts w:eastAsia="Arial Unicode MS" w:cs="Arial"/>
                <w:sz w:val="18"/>
                <w:szCs w:val="24"/>
              </w:rPr>
            </w:pPr>
            <w:r>
              <w:rPr>
                <w:rFonts w:cs="Arial"/>
                <w:sz w:val="18"/>
              </w:rPr>
              <w:t>19</w:t>
            </w:r>
          </w:p>
        </w:tc>
      </w:tr>
      <w:tr>
        <w:tc>
          <w:tcPr>
            <w:tcW w:w="3259" w:type="dxa"/>
          </w:tcPr>
          <w:p>
            <w:pPr>
              <w:pStyle w:val="GesAbsatz"/>
              <w:rPr>
                <w:rFonts w:eastAsia="Arial Unicode MS" w:cs="Arial"/>
                <w:sz w:val="18"/>
                <w:szCs w:val="24"/>
              </w:rPr>
            </w:pPr>
            <w:r>
              <w:rPr>
                <w:rFonts w:cs="Arial"/>
                <w:sz w:val="18"/>
              </w:rPr>
              <w:t>Anzahl der Nennungen insgesamt</w:t>
            </w:r>
          </w:p>
        </w:tc>
        <w:tc>
          <w:tcPr>
            <w:tcW w:w="3259" w:type="dxa"/>
          </w:tcPr>
          <w:p>
            <w:pPr>
              <w:pStyle w:val="GesAbsatz"/>
              <w:tabs>
                <w:tab w:val="clear" w:pos="425"/>
                <w:tab w:val="decimal" w:pos="1561"/>
              </w:tabs>
              <w:rPr>
                <w:rFonts w:eastAsia="Arial Unicode MS" w:cs="Arial"/>
                <w:sz w:val="18"/>
                <w:szCs w:val="24"/>
              </w:rPr>
            </w:pPr>
            <w:r>
              <w:rPr>
                <w:rFonts w:cs="Arial"/>
                <w:sz w:val="18"/>
              </w:rPr>
              <w:t>31</w:t>
            </w:r>
          </w:p>
        </w:tc>
        <w:tc>
          <w:tcPr>
            <w:tcW w:w="3260" w:type="dxa"/>
          </w:tcPr>
          <w:p>
            <w:pPr>
              <w:pStyle w:val="GesAbsatz"/>
              <w:tabs>
                <w:tab w:val="clear" w:pos="425"/>
                <w:tab w:val="decimal" w:pos="1561"/>
              </w:tabs>
              <w:rPr>
                <w:rFonts w:eastAsia="Arial Unicode MS" w:cs="Arial"/>
                <w:sz w:val="18"/>
                <w:szCs w:val="24"/>
              </w:rPr>
            </w:pPr>
            <w:r>
              <w:rPr>
                <w:rFonts w:cs="Arial"/>
                <w:sz w:val="18"/>
              </w:rPr>
              <w:t>49</w:t>
            </w:r>
          </w:p>
        </w:tc>
      </w:tr>
      <w:tr>
        <w:trPr>
          <w:cantSplit/>
        </w:trPr>
        <w:tc>
          <w:tcPr>
            <w:tcW w:w="9778" w:type="dxa"/>
            <w:gridSpan w:val="3"/>
          </w:tcPr>
          <w:p>
            <w:pPr>
              <w:pStyle w:val="GesAbsatz"/>
              <w:rPr>
                <w:rFonts w:eastAsia="Arial Unicode MS" w:cs="Arial"/>
                <w:sz w:val="18"/>
                <w:szCs w:val="24"/>
              </w:rPr>
            </w:pPr>
            <w:r>
              <w:rPr>
                <w:rFonts w:cs="Arial"/>
                <w:sz w:val="18"/>
              </w:rPr>
              <w:t>Kompostproduktion in Mg/a nach Rottergraden</w:t>
            </w:r>
            <w:r>
              <w:rPr>
                <w:rFonts w:cs="Arial"/>
                <w:sz w:val="18"/>
                <w:vertAlign w:val="superscript"/>
              </w:rPr>
              <w:t>1</w:t>
            </w:r>
          </w:p>
        </w:tc>
      </w:tr>
      <w:tr>
        <w:trPr>
          <w:cantSplit/>
        </w:trPr>
        <w:tc>
          <w:tcPr>
            <w:tcW w:w="9778" w:type="dxa"/>
            <w:gridSpan w:val="3"/>
            <w:vAlign w:val="center"/>
          </w:tcPr>
          <w:p>
            <w:pPr>
              <w:pStyle w:val="GesAbsatz"/>
              <w:rPr>
                <w:rFonts w:eastAsia="Arial Unicode MS" w:cs="Arial"/>
                <w:sz w:val="18"/>
                <w:szCs w:val="24"/>
              </w:rPr>
            </w:pPr>
            <w:r>
              <w:rPr>
                <w:rFonts w:cs="Arial"/>
                <w:sz w:val="18"/>
                <w:szCs w:val="15"/>
                <w:vertAlign w:val="superscript"/>
              </w:rPr>
              <w:t xml:space="preserve">1 </w:t>
            </w:r>
            <w:r>
              <w:rPr>
                <w:rFonts w:cs="Arial"/>
                <w:sz w:val="18"/>
                <w:szCs w:val="15"/>
              </w:rPr>
              <w:t>Gesamtproduktion aus Tabelle 19 von 492.724 Mg entspricht wiederum nicht der Gesamtproduktion aus Tabelle 16, da nicht von allen Anlagenbetreibern beide Fragen vollständig ausgefüllt wurden.</w:t>
            </w:r>
          </w:p>
        </w:tc>
      </w:tr>
    </w:tbl>
    <w:p>
      <w:pPr>
        <w:pStyle w:val="GesAbsatz"/>
        <w:rPr>
          <w:rFonts w:cs="Arial"/>
        </w:rPr>
      </w:pPr>
    </w:p>
    <w:p>
      <w:pPr>
        <w:pStyle w:val="GesAbsatz"/>
        <w:rPr>
          <w:rFonts w:cs="Arial"/>
          <w:sz w:val="18"/>
        </w:rPr>
      </w:pPr>
      <w:r>
        <w:rPr>
          <w:rFonts w:cs="Arial"/>
          <w:b/>
          <w:bCs/>
        </w:rPr>
        <w:t>Tabelle 20: Angebotene Absiebungen, 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7"/>
        <w:gridCol w:w="1205"/>
        <w:gridCol w:w="1204"/>
        <w:gridCol w:w="1204"/>
        <w:gridCol w:w="1204"/>
        <w:gridCol w:w="1204"/>
        <w:gridCol w:w="1205"/>
        <w:gridCol w:w="1205"/>
      </w:tblGrid>
      <w:tr>
        <w:tc>
          <w:tcPr>
            <w:tcW w:w="1222" w:type="dxa"/>
          </w:tcPr>
          <w:p>
            <w:pPr>
              <w:pStyle w:val="GesAbsatz"/>
              <w:jc w:val="center"/>
              <w:rPr>
                <w:rFonts w:eastAsia="Arial Unicode MS" w:cs="Arial"/>
                <w:sz w:val="18"/>
                <w:szCs w:val="24"/>
              </w:rPr>
            </w:pPr>
          </w:p>
        </w:tc>
        <w:tc>
          <w:tcPr>
            <w:tcW w:w="1222" w:type="dxa"/>
          </w:tcPr>
          <w:p>
            <w:pPr>
              <w:pStyle w:val="GesAbsatz"/>
              <w:jc w:val="center"/>
              <w:rPr>
                <w:rFonts w:eastAsia="Arial Unicode MS" w:cs="Arial"/>
                <w:sz w:val="18"/>
                <w:szCs w:val="24"/>
              </w:rPr>
            </w:pPr>
            <w:r>
              <w:rPr>
                <w:rFonts w:cs="Arial"/>
                <w:b/>
                <w:bCs/>
                <w:sz w:val="18"/>
              </w:rPr>
              <w:t>0/10</w:t>
            </w:r>
          </w:p>
        </w:tc>
        <w:tc>
          <w:tcPr>
            <w:tcW w:w="1222" w:type="dxa"/>
          </w:tcPr>
          <w:p>
            <w:pPr>
              <w:pStyle w:val="GesAbsatz"/>
              <w:jc w:val="center"/>
              <w:rPr>
                <w:rFonts w:eastAsia="Arial Unicode MS" w:cs="Arial"/>
                <w:sz w:val="18"/>
                <w:szCs w:val="24"/>
              </w:rPr>
            </w:pPr>
            <w:r>
              <w:rPr>
                <w:rFonts w:cs="Arial"/>
                <w:b/>
                <w:bCs/>
                <w:sz w:val="18"/>
              </w:rPr>
              <w:t>0/15</w:t>
            </w:r>
          </w:p>
        </w:tc>
        <w:tc>
          <w:tcPr>
            <w:tcW w:w="1222" w:type="dxa"/>
          </w:tcPr>
          <w:p>
            <w:pPr>
              <w:pStyle w:val="GesAbsatz"/>
              <w:jc w:val="center"/>
              <w:rPr>
                <w:rFonts w:eastAsia="Arial Unicode MS" w:cs="Arial"/>
                <w:sz w:val="18"/>
                <w:szCs w:val="24"/>
              </w:rPr>
            </w:pPr>
            <w:r>
              <w:rPr>
                <w:rFonts w:cs="Arial"/>
                <w:b/>
                <w:bCs/>
                <w:sz w:val="18"/>
              </w:rPr>
              <w:t>0/20</w:t>
            </w:r>
          </w:p>
        </w:tc>
        <w:tc>
          <w:tcPr>
            <w:tcW w:w="1222" w:type="dxa"/>
          </w:tcPr>
          <w:p>
            <w:pPr>
              <w:pStyle w:val="GesAbsatz"/>
              <w:jc w:val="center"/>
              <w:rPr>
                <w:rFonts w:eastAsia="Arial Unicode MS" w:cs="Arial"/>
                <w:sz w:val="18"/>
                <w:szCs w:val="24"/>
              </w:rPr>
            </w:pPr>
            <w:r>
              <w:rPr>
                <w:rFonts w:cs="Arial"/>
                <w:b/>
                <w:bCs/>
                <w:sz w:val="18"/>
              </w:rPr>
              <w:t>0/25</w:t>
            </w:r>
          </w:p>
        </w:tc>
        <w:tc>
          <w:tcPr>
            <w:tcW w:w="1222" w:type="dxa"/>
          </w:tcPr>
          <w:p>
            <w:pPr>
              <w:pStyle w:val="GesAbsatz"/>
              <w:jc w:val="center"/>
              <w:rPr>
                <w:rFonts w:eastAsia="Arial Unicode MS" w:cs="Arial"/>
                <w:sz w:val="18"/>
                <w:szCs w:val="24"/>
              </w:rPr>
            </w:pPr>
            <w:r>
              <w:rPr>
                <w:rFonts w:cs="Arial"/>
                <w:b/>
                <w:bCs/>
                <w:sz w:val="18"/>
              </w:rPr>
              <w:t>0/30</w:t>
            </w:r>
          </w:p>
        </w:tc>
        <w:tc>
          <w:tcPr>
            <w:tcW w:w="1223" w:type="dxa"/>
          </w:tcPr>
          <w:p>
            <w:pPr>
              <w:pStyle w:val="GesAbsatz"/>
              <w:jc w:val="center"/>
              <w:rPr>
                <w:rFonts w:eastAsia="Arial Unicode MS" w:cs="Arial"/>
                <w:sz w:val="18"/>
                <w:szCs w:val="24"/>
              </w:rPr>
            </w:pPr>
            <w:r>
              <w:rPr>
                <w:rFonts w:cs="Arial"/>
                <w:b/>
                <w:bCs/>
                <w:sz w:val="18"/>
              </w:rPr>
              <w:t>0/35</w:t>
            </w:r>
          </w:p>
        </w:tc>
        <w:tc>
          <w:tcPr>
            <w:tcW w:w="1223" w:type="dxa"/>
          </w:tcPr>
          <w:p>
            <w:pPr>
              <w:pStyle w:val="GesAbsatz"/>
              <w:jc w:val="center"/>
              <w:rPr>
                <w:rFonts w:eastAsia="Arial Unicode MS" w:cs="Arial"/>
                <w:sz w:val="18"/>
                <w:szCs w:val="24"/>
              </w:rPr>
            </w:pPr>
            <w:r>
              <w:rPr>
                <w:rFonts w:cs="Arial"/>
                <w:b/>
                <w:bCs/>
                <w:sz w:val="18"/>
              </w:rPr>
              <w:t>0/40</w:t>
            </w:r>
          </w:p>
        </w:tc>
      </w:tr>
      <w:tr>
        <w:tc>
          <w:tcPr>
            <w:tcW w:w="1222" w:type="dxa"/>
          </w:tcPr>
          <w:p>
            <w:pPr>
              <w:pStyle w:val="GesAbsatz"/>
              <w:rPr>
                <w:rFonts w:eastAsia="Arial Unicode MS" w:cs="Arial"/>
                <w:sz w:val="18"/>
                <w:szCs w:val="24"/>
              </w:rPr>
            </w:pPr>
            <w:r>
              <w:rPr>
                <w:rFonts w:cs="Arial"/>
                <w:sz w:val="18"/>
              </w:rPr>
              <w:t xml:space="preserve">Nennungen </w:t>
            </w:r>
          </w:p>
        </w:tc>
        <w:tc>
          <w:tcPr>
            <w:tcW w:w="1222" w:type="dxa"/>
          </w:tcPr>
          <w:p>
            <w:pPr>
              <w:pStyle w:val="GesAbsatz"/>
              <w:tabs>
                <w:tab w:val="clear" w:pos="425"/>
                <w:tab w:val="decimal" w:pos="621"/>
              </w:tabs>
              <w:rPr>
                <w:rFonts w:eastAsia="Arial Unicode MS" w:cs="Arial"/>
                <w:sz w:val="18"/>
                <w:szCs w:val="24"/>
              </w:rPr>
            </w:pPr>
            <w:r>
              <w:rPr>
                <w:rFonts w:cs="Arial"/>
                <w:sz w:val="18"/>
              </w:rPr>
              <w:t>37</w:t>
            </w:r>
          </w:p>
        </w:tc>
        <w:tc>
          <w:tcPr>
            <w:tcW w:w="1222" w:type="dxa"/>
          </w:tcPr>
          <w:p>
            <w:pPr>
              <w:pStyle w:val="GesAbsatz"/>
              <w:tabs>
                <w:tab w:val="clear" w:pos="425"/>
                <w:tab w:val="decimal" w:pos="621"/>
              </w:tabs>
              <w:rPr>
                <w:rFonts w:eastAsia="Arial Unicode MS" w:cs="Arial"/>
                <w:sz w:val="18"/>
                <w:szCs w:val="24"/>
              </w:rPr>
            </w:pPr>
            <w:r>
              <w:rPr>
                <w:rFonts w:cs="Arial"/>
                <w:sz w:val="18"/>
              </w:rPr>
              <w:t>10</w:t>
            </w:r>
          </w:p>
        </w:tc>
        <w:tc>
          <w:tcPr>
            <w:tcW w:w="1222" w:type="dxa"/>
          </w:tcPr>
          <w:p>
            <w:pPr>
              <w:pStyle w:val="GesAbsatz"/>
              <w:tabs>
                <w:tab w:val="clear" w:pos="425"/>
                <w:tab w:val="decimal" w:pos="621"/>
              </w:tabs>
              <w:rPr>
                <w:rFonts w:eastAsia="Arial Unicode MS" w:cs="Arial"/>
                <w:sz w:val="18"/>
                <w:szCs w:val="24"/>
              </w:rPr>
            </w:pPr>
            <w:r>
              <w:rPr>
                <w:rFonts w:cs="Arial"/>
                <w:sz w:val="18"/>
              </w:rPr>
              <w:t>38</w:t>
            </w:r>
          </w:p>
        </w:tc>
        <w:tc>
          <w:tcPr>
            <w:tcW w:w="1222" w:type="dxa"/>
          </w:tcPr>
          <w:p>
            <w:pPr>
              <w:pStyle w:val="GesAbsatz"/>
              <w:tabs>
                <w:tab w:val="clear" w:pos="425"/>
                <w:tab w:val="decimal" w:pos="621"/>
              </w:tabs>
              <w:rPr>
                <w:rFonts w:eastAsia="Arial Unicode MS" w:cs="Arial"/>
                <w:sz w:val="18"/>
                <w:szCs w:val="24"/>
              </w:rPr>
            </w:pPr>
            <w:r>
              <w:rPr>
                <w:rFonts w:cs="Arial"/>
                <w:sz w:val="18"/>
              </w:rPr>
              <w:t>6</w:t>
            </w:r>
          </w:p>
        </w:tc>
        <w:tc>
          <w:tcPr>
            <w:tcW w:w="1222" w:type="dxa"/>
          </w:tcPr>
          <w:p>
            <w:pPr>
              <w:pStyle w:val="GesAbsatz"/>
              <w:tabs>
                <w:tab w:val="clear" w:pos="425"/>
                <w:tab w:val="decimal" w:pos="621"/>
              </w:tabs>
              <w:rPr>
                <w:rFonts w:eastAsia="Arial Unicode MS" w:cs="Arial"/>
                <w:sz w:val="18"/>
                <w:szCs w:val="24"/>
              </w:rPr>
            </w:pPr>
            <w:r>
              <w:rPr>
                <w:rFonts w:cs="Arial"/>
                <w:sz w:val="18"/>
              </w:rPr>
              <w:t>14</w:t>
            </w:r>
          </w:p>
        </w:tc>
        <w:tc>
          <w:tcPr>
            <w:tcW w:w="1223" w:type="dxa"/>
          </w:tcPr>
          <w:p>
            <w:pPr>
              <w:pStyle w:val="GesAbsatz"/>
              <w:tabs>
                <w:tab w:val="clear" w:pos="425"/>
                <w:tab w:val="decimal" w:pos="621"/>
              </w:tabs>
              <w:rPr>
                <w:rFonts w:eastAsia="Arial Unicode MS" w:cs="Arial"/>
                <w:sz w:val="18"/>
                <w:szCs w:val="24"/>
              </w:rPr>
            </w:pPr>
            <w:r>
              <w:rPr>
                <w:rFonts w:cs="Arial"/>
                <w:sz w:val="18"/>
              </w:rPr>
              <w:t>15</w:t>
            </w:r>
          </w:p>
        </w:tc>
        <w:tc>
          <w:tcPr>
            <w:tcW w:w="1223" w:type="dxa"/>
          </w:tcPr>
          <w:p>
            <w:pPr>
              <w:pStyle w:val="GesAbsatz"/>
              <w:tabs>
                <w:tab w:val="clear" w:pos="425"/>
                <w:tab w:val="decimal" w:pos="621"/>
              </w:tabs>
              <w:rPr>
                <w:rFonts w:eastAsia="Arial Unicode MS" w:cs="Arial"/>
                <w:sz w:val="18"/>
                <w:szCs w:val="24"/>
              </w:rPr>
            </w:pPr>
            <w:r>
              <w:rPr>
                <w:rFonts w:cs="Arial"/>
                <w:sz w:val="18"/>
              </w:rPr>
              <w:t>7</w:t>
            </w:r>
            <w:r>
              <w:rPr>
                <w:rFonts w:cs="Arial"/>
                <w:sz w:val="18"/>
                <w:vertAlign w:val="superscript"/>
              </w:rPr>
              <w:t>1</w:t>
            </w:r>
          </w:p>
        </w:tc>
      </w:tr>
      <w:tr>
        <w:trPr>
          <w:cantSplit/>
        </w:trPr>
        <w:tc>
          <w:tcPr>
            <w:tcW w:w="9778" w:type="dxa"/>
            <w:gridSpan w:val="8"/>
          </w:tcPr>
          <w:p>
            <w:pPr>
              <w:pStyle w:val="GesAbsatz"/>
              <w:rPr>
                <w:rFonts w:eastAsia="Arial Unicode MS" w:cs="Arial"/>
                <w:sz w:val="18"/>
                <w:szCs w:val="24"/>
              </w:rPr>
            </w:pPr>
            <w:r>
              <w:rPr>
                <w:rFonts w:cs="Arial"/>
                <w:sz w:val="18"/>
                <w:szCs w:val="15"/>
                <w:vertAlign w:val="superscript"/>
              </w:rPr>
              <w:t xml:space="preserve">1 </w:t>
            </w:r>
            <w:r>
              <w:rPr>
                <w:rFonts w:cs="Arial"/>
                <w:sz w:val="18"/>
                <w:szCs w:val="15"/>
              </w:rPr>
              <w:t>Jeweils mindestens eine Nennung folgender Absiebungsformen: 0/45, 0/120, 10/20, 10/25, 20/80, &gt;40</w:t>
            </w:r>
          </w:p>
        </w:tc>
      </w:tr>
    </w:tbl>
    <w:p>
      <w:pPr>
        <w:pStyle w:val="GesAbsatz"/>
        <w:rPr>
          <w:rFonts w:eastAsia="Arial Unicode MS" w:cs="Arial"/>
          <w:szCs w:val="24"/>
        </w:rPr>
      </w:pPr>
    </w:p>
    <w:p>
      <w:pPr>
        <w:pStyle w:val="GesAbsatz"/>
        <w:rPr>
          <w:rFonts w:eastAsia="Arial Unicode MS" w:cs="Arial"/>
          <w:szCs w:val="24"/>
        </w:rPr>
      </w:pPr>
      <w:r>
        <w:rPr>
          <w:rFonts w:cs="Arial"/>
          <w:b/>
          <w:bCs/>
        </w:rPr>
        <w:t>Tabelle 21: Gebindeformen im Kompostabsatz</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2410"/>
        <w:gridCol w:w="2835"/>
      </w:tblGrid>
      <w:tr>
        <w:trPr>
          <w:cantSplit/>
        </w:trPr>
        <w:tc>
          <w:tcPr>
            <w:tcW w:w="2268" w:type="dxa"/>
          </w:tcPr>
          <w:p>
            <w:pPr>
              <w:pStyle w:val="GesAbsatz"/>
              <w:jc w:val="center"/>
              <w:rPr>
                <w:rFonts w:eastAsia="Arial Unicode MS" w:cs="Arial"/>
                <w:sz w:val="18"/>
                <w:szCs w:val="24"/>
              </w:rPr>
            </w:pPr>
          </w:p>
        </w:tc>
        <w:tc>
          <w:tcPr>
            <w:tcW w:w="5245" w:type="dxa"/>
            <w:gridSpan w:val="2"/>
          </w:tcPr>
          <w:p>
            <w:pPr>
              <w:pStyle w:val="GesAbsatz"/>
              <w:jc w:val="center"/>
              <w:rPr>
                <w:rFonts w:eastAsia="Arial Unicode MS" w:cs="Arial"/>
                <w:sz w:val="18"/>
                <w:szCs w:val="24"/>
              </w:rPr>
            </w:pPr>
            <w:r>
              <w:rPr>
                <w:rFonts w:cs="Arial"/>
                <w:b/>
                <w:bCs/>
                <w:sz w:val="18"/>
              </w:rPr>
              <w:t>Gebindeformen</w:t>
            </w:r>
          </w:p>
        </w:tc>
      </w:tr>
      <w:tr>
        <w:tc>
          <w:tcPr>
            <w:tcW w:w="2268" w:type="dxa"/>
          </w:tcPr>
          <w:p>
            <w:pPr>
              <w:pStyle w:val="GesAbsatz"/>
              <w:jc w:val="center"/>
              <w:rPr>
                <w:rFonts w:eastAsia="Arial Unicode MS" w:cs="Arial"/>
                <w:sz w:val="18"/>
                <w:szCs w:val="24"/>
              </w:rPr>
            </w:pPr>
          </w:p>
        </w:tc>
        <w:tc>
          <w:tcPr>
            <w:tcW w:w="2410" w:type="dxa"/>
          </w:tcPr>
          <w:p>
            <w:pPr>
              <w:pStyle w:val="GesAbsatz"/>
              <w:jc w:val="center"/>
              <w:rPr>
                <w:rFonts w:eastAsia="Arial Unicode MS" w:cs="Arial"/>
                <w:sz w:val="18"/>
                <w:szCs w:val="24"/>
              </w:rPr>
            </w:pPr>
            <w:r>
              <w:rPr>
                <w:rFonts w:cs="Arial"/>
                <w:b/>
                <w:bCs/>
                <w:sz w:val="18"/>
              </w:rPr>
              <w:t>Lose</w:t>
            </w:r>
          </w:p>
        </w:tc>
        <w:tc>
          <w:tcPr>
            <w:tcW w:w="2835" w:type="dxa"/>
          </w:tcPr>
          <w:p>
            <w:pPr>
              <w:pStyle w:val="GesAbsatz"/>
              <w:jc w:val="center"/>
              <w:rPr>
                <w:rFonts w:eastAsia="Arial Unicode MS" w:cs="Arial"/>
                <w:sz w:val="18"/>
                <w:szCs w:val="24"/>
              </w:rPr>
            </w:pPr>
            <w:r>
              <w:rPr>
                <w:rFonts w:cs="Arial"/>
                <w:b/>
                <w:bCs/>
                <w:sz w:val="18"/>
              </w:rPr>
              <w:t>davon zusätzlich Sackware</w:t>
            </w:r>
          </w:p>
        </w:tc>
      </w:tr>
      <w:tr>
        <w:tc>
          <w:tcPr>
            <w:tcW w:w="2268" w:type="dxa"/>
          </w:tcPr>
          <w:p>
            <w:pPr>
              <w:pStyle w:val="GesAbsatz"/>
              <w:rPr>
                <w:rFonts w:eastAsia="Arial Unicode MS" w:cs="Arial"/>
                <w:sz w:val="18"/>
                <w:szCs w:val="24"/>
              </w:rPr>
            </w:pPr>
            <w:r>
              <w:rPr>
                <w:rFonts w:cs="Arial"/>
                <w:sz w:val="18"/>
              </w:rPr>
              <w:t xml:space="preserve">Nennungen </w:t>
            </w:r>
          </w:p>
        </w:tc>
        <w:tc>
          <w:tcPr>
            <w:tcW w:w="2410" w:type="dxa"/>
          </w:tcPr>
          <w:p>
            <w:pPr>
              <w:pStyle w:val="GesAbsatz"/>
              <w:tabs>
                <w:tab w:val="clear" w:pos="425"/>
                <w:tab w:val="decimal" w:pos="1206"/>
              </w:tabs>
              <w:rPr>
                <w:rFonts w:eastAsia="Arial Unicode MS" w:cs="Arial"/>
                <w:sz w:val="18"/>
                <w:szCs w:val="24"/>
              </w:rPr>
            </w:pPr>
            <w:r>
              <w:rPr>
                <w:rFonts w:cs="Arial"/>
                <w:sz w:val="18"/>
              </w:rPr>
              <w:t>58</w:t>
            </w:r>
          </w:p>
        </w:tc>
        <w:tc>
          <w:tcPr>
            <w:tcW w:w="2835" w:type="dxa"/>
          </w:tcPr>
          <w:p>
            <w:pPr>
              <w:pStyle w:val="GesAbsatz"/>
              <w:tabs>
                <w:tab w:val="clear" w:pos="425"/>
                <w:tab w:val="decimal" w:pos="1206"/>
              </w:tabs>
              <w:rPr>
                <w:rFonts w:eastAsia="Arial Unicode MS" w:cs="Arial"/>
                <w:sz w:val="18"/>
                <w:szCs w:val="24"/>
              </w:rPr>
            </w:pPr>
            <w:r>
              <w:rPr>
                <w:rFonts w:cs="Arial"/>
                <w:sz w:val="18"/>
              </w:rPr>
              <w:t>19</w:t>
            </w:r>
          </w:p>
        </w:tc>
      </w:tr>
    </w:tbl>
    <w:p>
      <w:pPr>
        <w:pStyle w:val="GesAbsatz"/>
        <w:rPr>
          <w:rFonts w:eastAsia="Arial Unicode MS" w:cs="Arial"/>
          <w:szCs w:val="24"/>
        </w:rPr>
      </w:pPr>
    </w:p>
    <w:p>
      <w:pPr>
        <w:pStyle w:val="GesAbsatz"/>
        <w:rPr>
          <w:rFonts w:cs="Arial"/>
          <w:b/>
          <w:color w:val="auto"/>
        </w:rPr>
      </w:pPr>
      <w:r>
        <w:rPr>
          <w:rFonts w:cs="Arial"/>
          <w:b/>
          <w:color w:val="auto"/>
        </w:rPr>
        <w:br w:type="page"/>
      </w:r>
      <w:r>
        <w:rPr>
          <w:rFonts w:cs="Arial"/>
          <w:b/>
          <w:color w:val="auto"/>
        </w:rPr>
        <w:lastRenderedPageBreak/>
        <w:t>Abbildung 2:</w:t>
      </w:r>
    </w:p>
    <w:p>
      <w:pPr>
        <w:pStyle w:val="GesAbsatz"/>
        <w:jc w:val="center"/>
        <w:rPr>
          <w:rFonts w:cs="Arial"/>
          <w:color w:val="auto"/>
        </w:rPr>
      </w:pPr>
      <w:r>
        <w:object w:dxaOrig="8821" w:dyaOrig="4529">
          <v:shape id="_x0000_i1026" type="#_x0000_t75" style="width:440.75pt;height:226pt" o:ole="">
            <v:imagedata r:id="rId11" o:title=""/>
          </v:shape>
          <o:OLEObject Type="Embed" ProgID="PBrush" ShapeID="_x0000_i1026" DrawAspect="Content" ObjectID="_1698664218" r:id="rId12"/>
        </w:object>
      </w:r>
    </w:p>
    <w:p>
      <w:pPr>
        <w:pStyle w:val="GesAbsatz"/>
        <w:rPr>
          <w:rFonts w:cs="Arial"/>
          <w:b/>
          <w:bCs/>
        </w:rPr>
      </w:pPr>
    </w:p>
    <w:p>
      <w:pPr>
        <w:pStyle w:val="GesAbsatz"/>
        <w:rPr>
          <w:rFonts w:cs="Arial"/>
          <w:b/>
          <w:bCs/>
        </w:rPr>
      </w:pPr>
      <w:r>
        <w:rPr>
          <w:rFonts w:cs="Arial"/>
          <w:b/>
          <w:bCs/>
        </w:rPr>
        <w:t>Absiebungen</w:t>
      </w:r>
    </w:p>
    <w:p>
      <w:pPr>
        <w:pStyle w:val="GesAbsatz"/>
        <w:rPr>
          <w:rFonts w:cs="Arial"/>
        </w:rPr>
      </w:pPr>
      <w:r>
        <w:rPr>
          <w:rFonts w:cs="Arial"/>
        </w:rPr>
        <w:t>Bisher werden auf den Kompostierungsanlagen zum überwiegenden Teil die Absiebungen von 0/10 und 0/20 mm hergestellt. Auch Komposte ohne Feinanteil mit den Absiebungen 10/20, 10/25 und 10/30 mm werden vermehrt produziert. Die derzeit hergestellten Absiebungsformen sind in Tabelle 20 dargestellt.</w:t>
      </w:r>
    </w:p>
    <w:p>
      <w:pPr>
        <w:pStyle w:val="GesAbsatz"/>
        <w:rPr>
          <w:rFonts w:cs="Arial"/>
          <w:b/>
          <w:bCs/>
        </w:rPr>
      </w:pPr>
      <w:r>
        <w:rPr>
          <w:rFonts w:cs="Arial"/>
          <w:b/>
          <w:bCs/>
        </w:rPr>
        <w:t>Gebindeformen</w:t>
      </w:r>
    </w:p>
    <w:p>
      <w:pPr>
        <w:pStyle w:val="GesAbsatz"/>
        <w:rPr>
          <w:rFonts w:eastAsia="Arial Unicode MS" w:cs="Arial"/>
        </w:rPr>
      </w:pPr>
      <w:r>
        <w:rPr>
          <w:rFonts w:cs="Arial"/>
        </w:rPr>
        <w:t>Der Absatz von Kompost in loser Form hat eine starke Verbreitung. Nur etwa ein Drittel der Betreiber hat zusätzlich zur losen Ware Sackware im Angebot (Tabelle 21). Andere mögliche Gebindeformen wie z.B. palettierte Ware oder Systeme wie Mehrwegeimer oder Pfandkisten wurden in keinem Fall genannt.</w:t>
      </w:r>
    </w:p>
    <w:p>
      <w:pPr>
        <w:pStyle w:val="GesAbsatz"/>
        <w:rPr>
          <w:rFonts w:cs="Arial"/>
          <w:b/>
          <w:bCs/>
        </w:rPr>
      </w:pPr>
      <w:r>
        <w:rPr>
          <w:rFonts w:cs="Arial"/>
          <w:b/>
          <w:bCs/>
        </w:rPr>
        <w:t>Veredelung</w:t>
      </w:r>
    </w:p>
    <w:p>
      <w:pPr>
        <w:pStyle w:val="GesAbsatz"/>
        <w:rPr>
          <w:rFonts w:cs="Arial"/>
        </w:rPr>
      </w:pPr>
      <w:r>
        <w:rPr>
          <w:rFonts w:cs="Arial"/>
        </w:rPr>
        <w:t>Die Frage nach der momentanen Produktion von Erden und Substraten (n = 52) zeigt diesbezüglich eine relativ ausgeprägte und schon recht differenzierte Produktion. 40 % der antwortenden Betreiber produzieren Erden und Substrate, wobei sich der Anteil von auf diese Weise veredelten Komposten an den produzierten Mengen in einem weiten Bereich von 0,5 bis 60 % (mit einem Schwerpunkt bei 5 - 15 %) bewegt. Als Produkte werden in erster Linie Blumen- und Graberden genannt (n = 13).</w:t>
      </w:r>
    </w:p>
    <w:p>
      <w:pPr>
        <w:pStyle w:val="GesAbsatz"/>
        <w:rPr>
          <w:rFonts w:eastAsia="Arial Unicode MS" w:cs="Arial"/>
        </w:rPr>
      </w:pPr>
      <w:r>
        <w:rPr>
          <w:rFonts w:cs="Arial"/>
        </w:rPr>
        <w:t>Es folgen Vegetationsschichten (n = 10), Dachgarten-, Pflanzloch- und Auffüllsubstrate (jeweils n = 9), Kultursubstrate (n = 8) und Containersubstrate (n = 5). Zwölf der Befragten planen die Veredelung für 1999/2000, während ein gutes Drittel angab, derzeit noch keine Erden- und Substratproduktion zu haben und auch keine zu planen.</w:t>
      </w:r>
    </w:p>
    <w:p>
      <w:pPr>
        <w:pStyle w:val="GesAbsatz"/>
        <w:rPr>
          <w:rFonts w:cs="Arial"/>
          <w:b/>
          <w:bCs/>
        </w:rPr>
      </w:pPr>
      <w:r>
        <w:rPr>
          <w:rFonts w:cs="Arial"/>
          <w:b/>
          <w:bCs/>
        </w:rPr>
        <w:t>Marktsegmente</w:t>
      </w:r>
    </w:p>
    <w:p>
      <w:pPr>
        <w:pStyle w:val="GesAbsatz"/>
        <w:rPr>
          <w:rFonts w:cs="Arial"/>
        </w:rPr>
      </w:pPr>
      <w:r>
        <w:rPr>
          <w:rFonts w:cs="Arial"/>
        </w:rPr>
        <w:t>Die Hauptabsatzbereiche für Kompost liegen hinsichtlich der Zahl der Betriebe – sowohl nach den Ergebnissen der Befragung als auch nach Einbeziehung weiterer Quellen (Kompostkataster des LUA, Kompost-Atlas 1998/99 von Wiemer und Kern, 1998) – im Hobbygartenbau (n = 49 bzw. 64), im Landschaftsbau (n = 43 bzw. 54) und in der Landwirtschaft (n = 40 bzw. 52). In die Landwirtschaft setzen relativ viele Anlagen (n = 18 bzw. 22) einen mengenmäßig hohen Anteil, nämlich über die Hälfte bzw. bis zu 100 % der produzierten Komposte ab.</w:t>
      </w:r>
    </w:p>
    <w:p>
      <w:pPr>
        <w:pStyle w:val="GesAbsatz"/>
        <w:rPr>
          <w:rFonts w:cs="Arial"/>
        </w:rPr>
      </w:pPr>
      <w:r>
        <w:rPr>
          <w:rFonts w:cs="Arial"/>
        </w:rPr>
        <w:t>Es folgen als wichtige Absatzbereiche die Kommunen (n = 31 bzw. 41), die Rekultivierung (n = 27 bzw. 31) und mit einigem Abstand der Erwerbsgartenbau (n = 22 bzw. 35) und die Erdenwerke (n = 19). Nur relativ wenige Nennungen betreffen die Kompostanwendung in anderen Bereichen (z. B. Filterkomposte, Erosionsschutz, Deponieabdeckung). Aufgrund der wenigen vorhandenen Wein- und Obstbauflächen sowie Flächen mit Sonderkulturen gibt es nur verhältnismäßig wenige Nennungen in diesen Bereichen (s. Tabelle 22).</w:t>
      </w:r>
    </w:p>
    <w:p>
      <w:pPr>
        <w:pStyle w:val="GesAbsatz"/>
        <w:rPr>
          <w:rFonts w:cs="Arial"/>
        </w:rPr>
      </w:pPr>
      <w:r>
        <w:rPr>
          <w:rFonts w:cs="Arial"/>
        </w:rPr>
        <w:t>Betrachtet man hingegen die Kompostmengen, die in die verschiedenen Bereiche abgesetzt werden (errechnet nach den Angaben der Betreiber aus produzierten Kompostmengen und prozentualen Anteilen der Marktsegmente am Absatz; Übersicht über die Kreise in Tab. VII im Anhang), so liegt hier ganz eindeutig die Land</w:t>
      </w:r>
      <w:r>
        <w:rPr>
          <w:rFonts w:cs="Arial"/>
        </w:rPr>
        <w:lastRenderedPageBreak/>
        <w:t>wirtschaft vorne, mit Abstand gefolgt vom Landschaftsbau und dem Hobbygartenbau. Geringere Mengen werden bei der Rekultivierung und im Erwerbsgartenbau eingesetzt. Die anderen Bereiche spielen eine eher untergeordnete Rolle (s. Tabelle 23).</w:t>
      </w:r>
    </w:p>
    <w:p>
      <w:pPr>
        <w:pStyle w:val="GesAbsatz"/>
        <w:rPr>
          <w:rFonts w:cs="Arial"/>
        </w:rPr>
      </w:pPr>
      <w:r>
        <w:rPr>
          <w:rFonts w:cs="Arial"/>
          <w:b/>
          <w:bCs/>
        </w:rPr>
        <w:t>Tabelle 22: Vermarktung von Kompost in verschiedene Absatzbereiche, Mehrfachnennungen möglich</w:t>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992"/>
        <w:gridCol w:w="1134"/>
        <w:gridCol w:w="1134"/>
        <w:gridCol w:w="993"/>
        <w:gridCol w:w="992"/>
        <w:gridCol w:w="1134"/>
        <w:gridCol w:w="919"/>
      </w:tblGrid>
      <w:tr>
        <w:tc>
          <w:tcPr>
            <w:tcW w:w="1488" w:type="dxa"/>
          </w:tcPr>
          <w:p>
            <w:pPr>
              <w:pStyle w:val="GesAbsatz"/>
              <w:jc w:val="center"/>
              <w:rPr>
                <w:rFonts w:eastAsia="Arial Unicode MS" w:cs="Arial"/>
                <w:sz w:val="18"/>
                <w:szCs w:val="24"/>
              </w:rPr>
            </w:pPr>
            <w:r>
              <w:rPr>
                <w:rFonts w:cs="Arial"/>
                <w:b/>
                <w:bCs/>
                <w:sz w:val="18"/>
              </w:rPr>
              <w:t>Anteil der am Kompostabsatz je Anlage</w:t>
            </w:r>
          </w:p>
        </w:tc>
        <w:tc>
          <w:tcPr>
            <w:tcW w:w="1984" w:type="dxa"/>
            <w:gridSpan w:val="2"/>
          </w:tcPr>
          <w:p>
            <w:pPr>
              <w:pStyle w:val="GesAbsatz"/>
              <w:jc w:val="center"/>
              <w:rPr>
                <w:rFonts w:eastAsia="Arial Unicode MS" w:cs="Arial"/>
                <w:sz w:val="18"/>
                <w:szCs w:val="24"/>
              </w:rPr>
            </w:pPr>
            <w:r>
              <w:rPr>
                <w:rFonts w:cs="Arial"/>
                <w:b/>
                <w:bCs/>
                <w:sz w:val="18"/>
              </w:rPr>
              <w:t>Landschaftsbau</w:t>
            </w:r>
            <w:r>
              <w:rPr>
                <w:rFonts w:cs="Arial"/>
                <w:b/>
                <w:bCs/>
                <w:sz w:val="18"/>
              </w:rPr>
              <w:br/>
            </w:r>
            <w:r>
              <w:rPr>
                <w:rFonts w:cs="Arial"/>
                <w:sz w:val="18"/>
                <w:szCs w:val="15"/>
              </w:rPr>
              <w:t>Anzahl der Nennungen</w:t>
            </w:r>
          </w:p>
        </w:tc>
        <w:tc>
          <w:tcPr>
            <w:tcW w:w="2268" w:type="dxa"/>
            <w:gridSpan w:val="2"/>
          </w:tcPr>
          <w:p>
            <w:pPr>
              <w:pStyle w:val="GesAbsatz"/>
              <w:jc w:val="center"/>
              <w:rPr>
                <w:rFonts w:eastAsia="Arial Unicode MS" w:cs="Arial"/>
                <w:sz w:val="18"/>
                <w:szCs w:val="24"/>
              </w:rPr>
            </w:pPr>
            <w:r>
              <w:rPr>
                <w:rFonts w:cs="Arial"/>
                <w:b/>
                <w:bCs/>
                <w:sz w:val="18"/>
              </w:rPr>
              <w:t>Landwirtschaft</w:t>
            </w:r>
            <w:r>
              <w:rPr>
                <w:rFonts w:cs="Arial"/>
                <w:b/>
                <w:bCs/>
                <w:sz w:val="18"/>
              </w:rPr>
              <w:br/>
            </w:r>
            <w:r>
              <w:rPr>
                <w:rFonts w:cs="Arial"/>
                <w:sz w:val="18"/>
                <w:szCs w:val="15"/>
              </w:rPr>
              <w:t>Anzahl der Nennungen</w:t>
            </w:r>
          </w:p>
        </w:tc>
        <w:tc>
          <w:tcPr>
            <w:tcW w:w="1985" w:type="dxa"/>
            <w:gridSpan w:val="2"/>
          </w:tcPr>
          <w:p>
            <w:pPr>
              <w:pStyle w:val="GesAbsatz"/>
              <w:jc w:val="center"/>
              <w:rPr>
                <w:rFonts w:eastAsia="Arial Unicode MS" w:cs="Arial"/>
                <w:sz w:val="18"/>
                <w:szCs w:val="24"/>
              </w:rPr>
            </w:pPr>
            <w:r>
              <w:rPr>
                <w:rFonts w:cs="Arial"/>
                <w:b/>
                <w:bCs/>
                <w:sz w:val="18"/>
              </w:rPr>
              <w:t>Hobbygartenbau</w:t>
            </w:r>
            <w:r>
              <w:rPr>
                <w:rFonts w:cs="Arial"/>
                <w:b/>
                <w:bCs/>
                <w:sz w:val="18"/>
              </w:rPr>
              <w:br/>
            </w:r>
            <w:r>
              <w:rPr>
                <w:rFonts w:cs="Arial"/>
                <w:sz w:val="18"/>
                <w:szCs w:val="15"/>
              </w:rPr>
              <w:t>Anzahl der Nennungen</w:t>
            </w:r>
          </w:p>
        </w:tc>
        <w:tc>
          <w:tcPr>
            <w:tcW w:w="2053" w:type="dxa"/>
            <w:gridSpan w:val="2"/>
          </w:tcPr>
          <w:p>
            <w:pPr>
              <w:pStyle w:val="GesAbsatz"/>
              <w:jc w:val="center"/>
              <w:rPr>
                <w:rFonts w:eastAsia="Arial Unicode MS" w:cs="Arial"/>
                <w:sz w:val="18"/>
                <w:szCs w:val="24"/>
              </w:rPr>
            </w:pPr>
            <w:r>
              <w:rPr>
                <w:rFonts w:cs="Arial"/>
                <w:b/>
                <w:bCs/>
                <w:sz w:val="18"/>
              </w:rPr>
              <w:t>Erwerbsgartenbau</w:t>
            </w:r>
            <w:r>
              <w:rPr>
                <w:rFonts w:cs="Arial"/>
                <w:b/>
                <w:bCs/>
                <w:sz w:val="18"/>
              </w:rPr>
              <w:br/>
            </w:r>
            <w:r>
              <w:rPr>
                <w:rFonts w:cs="Arial"/>
                <w:sz w:val="18"/>
                <w:szCs w:val="15"/>
              </w:rPr>
              <w:t>Anzahl der Nennungen</w:t>
            </w:r>
          </w:p>
        </w:tc>
      </w:tr>
      <w:tr>
        <w:tc>
          <w:tcPr>
            <w:tcW w:w="1488" w:type="dxa"/>
          </w:tcPr>
          <w:p>
            <w:pPr>
              <w:pStyle w:val="GesAbsatz"/>
              <w:jc w:val="center"/>
              <w:rPr>
                <w:rFonts w:eastAsia="Arial Unicode MS" w:cs="Arial"/>
                <w:sz w:val="18"/>
                <w:szCs w:val="24"/>
              </w:rPr>
            </w:pPr>
          </w:p>
        </w:tc>
        <w:tc>
          <w:tcPr>
            <w:tcW w:w="992" w:type="dxa"/>
          </w:tcPr>
          <w:p>
            <w:pPr>
              <w:pStyle w:val="GesAbsatz"/>
              <w:jc w:val="center"/>
              <w:rPr>
                <w:rFonts w:eastAsia="Arial Unicode MS" w:cs="Arial"/>
                <w:sz w:val="18"/>
                <w:szCs w:val="24"/>
              </w:rPr>
            </w:pPr>
            <w:r>
              <w:rPr>
                <w:rFonts w:cs="Arial"/>
                <w:sz w:val="18"/>
              </w:rPr>
              <w:t>1</w:t>
            </w:r>
          </w:p>
        </w:tc>
        <w:tc>
          <w:tcPr>
            <w:tcW w:w="992" w:type="dxa"/>
          </w:tcPr>
          <w:p>
            <w:pPr>
              <w:pStyle w:val="GesAbsatz"/>
              <w:jc w:val="center"/>
              <w:rPr>
                <w:rFonts w:eastAsia="Arial Unicode MS" w:cs="Arial"/>
                <w:sz w:val="18"/>
                <w:szCs w:val="24"/>
              </w:rPr>
            </w:pPr>
            <w:r>
              <w:rPr>
                <w:rFonts w:cs="Arial"/>
                <w:sz w:val="18"/>
              </w:rPr>
              <w:t>2</w:t>
            </w:r>
            <w:r>
              <w:rPr>
                <w:rFonts w:cs="Arial"/>
                <w:sz w:val="18"/>
                <w:vertAlign w:val="superscript"/>
              </w:rPr>
              <w:t>3</w:t>
            </w:r>
          </w:p>
        </w:tc>
        <w:tc>
          <w:tcPr>
            <w:tcW w:w="1134" w:type="dxa"/>
          </w:tcPr>
          <w:p>
            <w:pPr>
              <w:pStyle w:val="GesAbsatz"/>
              <w:jc w:val="center"/>
              <w:rPr>
                <w:rFonts w:eastAsia="Arial Unicode MS" w:cs="Arial"/>
                <w:sz w:val="18"/>
                <w:szCs w:val="24"/>
              </w:rPr>
            </w:pPr>
            <w:r>
              <w:rPr>
                <w:rFonts w:cs="Arial"/>
                <w:sz w:val="18"/>
              </w:rPr>
              <w:t>1</w:t>
            </w:r>
          </w:p>
        </w:tc>
        <w:tc>
          <w:tcPr>
            <w:tcW w:w="1134" w:type="dxa"/>
          </w:tcPr>
          <w:p>
            <w:pPr>
              <w:pStyle w:val="GesAbsatz"/>
              <w:jc w:val="center"/>
              <w:rPr>
                <w:rFonts w:eastAsia="Arial Unicode MS" w:cs="Arial"/>
                <w:sz w:val="18"/>
                <w:szCs w:val="24"/>
              </w:rPr>
            </w:pPr>
            <w:r>
              <w:rPr>
                <w:rFonts w:cs="Arial"/>
                <w:sz w:val="18"/>
              </w:rPr>
              <w:t>2</w:t>
            </w:r>
          </w:p>
        </w:tc>
        <w:tc>
          <w:tcPr>
            <w:tcW w:w="993" w:type="dxa"/>
          </w:tcPr>
          <w:p>
            <w:pPr>
              <w:pStyle w:val="GesAbsatz"/>
              <w:jc w:val="center"/>
              <w:rPr>
                <w:rFonts w:eastAsia="Arial Unicode MS" w:cs="Arial"/>
                <w:sz w:val="18"/>
                <w:szCs w:val="24"/>
              </w:rPr>
            </w:pPr>
            <w:r>
              <w:rPr>
                <w:rFonts w:cs="Arial"/>
                <w:sz w:val="18"/>
              </w:rPr>
              <w:t>1</w:t>
            </w:r>
          </w:p>
        </w:tc>
        <w:tc>
          <w:tcPr>
            <w:tcW w:w="992" w:type="dxa"/>
          </w:tcPr>
          <w:p>
            <w:pPr>
              <w:pStyle w:val="GesAbsatz"/>
              <w:jc w:val="center"/>
              <w:rPr>
                <w:rFonts w:eastAsia="Arial Unicode MS" w:cs="Arial"/>
                <w:sz w:val="18"/>
                <w:szCs w:val="24"/>
              </w:rPr>
            </w:pPr>
            <w:r>
              <w:rPr>
                <w:rFonts w:cs="Arial"/>
                <w:sz w:val="18"/>
              </w:rPr>
              <w:t>2</w:t>
            </w:r>
          </w:p>
        </w:tc>
        <w:tc>
          <w:tcPr>
            <w:tcW w:w="1134" w:type="dxa"/>
          </w:tcPr>
          <w:p>
            <w:pPr>
              <w:pStyle w:val="GesAbsatz"/>
              <w:jc w:val="center"/>
              <w:rPr>
                <w:rFonts w:eastAsia="Arial Unicode MS" w:cs="Arial"/>
                <w:sz w:val="18"/>
                <w:szCs w:val="24"/>
              </w:rPr>
            </w:pPr>
            <w:r>
              <w:rPr>
                <w:rFonts w:cs="Arial"/>
                <w:sz w:val="18"/>
              </w:rPr>
              <w:t>1</w:t>
            </w:r>
          </w:p>
        </w:tc>
        <w:tc>
          <w:tcPr>
            <w:tcW w:w="919" w:type="dxa"/>
          </w:tcPr>
          <w:p>
            <w:pPr>
              <w:pStyle w:val="GesAbsatz"/>
              <w:jc w:val="center"/>
              <w:rPr>
                <w:rFonts w:eastAsia="Arial Unicode MS" w:cs="Arial"/>
                <w:sz w:val="18"/>
                <w:szCs w:val="24"/>
              </w:rPr>
            </w:pPr>
            <w:r>
              <w:rPr>
                <w:rFonts w:cs="Arial"/>
                <w:sz w:val="18"/>
              </w:rPr>
              <w:t>2</w:t>
            </w:r>
          </w:p>
        </w:tc>
      </w:tr>
      <w:tr>
        <w:tc>
          <w:tcPr>
            <w:tcW w:w="1488" w:type="dxa"/>
          </w:tcPr>
          <w:p>
            <w:pPr>
              <w:pStyle w:val="GesAbsatz"/>
              <w:rPr>
                <w:rFonts w:eastAsia="Arial Unicode MS" w:cs="Arial"/>
                <w:sz w:val="18"/>
                <w:szCs w:val="24"/>
              </w:rPr>
            </w:pPr>
            <w:r>
              <w:rPr>
                <w:rFonts w:cs="Arial"/>
                <w:sz w:val="18"/>
              </w:rPr>
              <w:t xml:space="preserve">0 - 25 % </w:t>
            </w:r>
          </w:p>
        </w:tc>
        <w:tc>
          <w:tcPr>
            <w:tcW w:w="992" w:type="dxa"/>
          </w:tcPr>
          <w:p>
            <w:pPr>
              <w:pStyle w:val="GesAbsatz"/>
              <w:tabs>
                <w:tab w:val="clear" w:pos="425"/>
                <w:tab w:val="decimal" w:pos="497"/>
              </w:tabs>
              <w:rPr>
                <w:rFonts w:eastAsia="Arial Unicode MS" w:cs="Arial"/>
                <w:sz w:val="18"/>
                <w:szCs w:val="24"/>
              </w:rPr>
            </w:pPr>
            <w:r>
              <w:rPr>
                <w:rFonts w:cs="Arial"/>
                <w:sz w:val="18"/>
              </w:rPr>
              <w:t>33</w:t>
            </w:r>
          </w:p>
        </w:tc>
        <w:tc>
          <w:tcPr>
            <w:tcW w:w="992" w:type="dxa"/>
          </w:tcPr>
          <w:p>
            <w:pPr>
              <w:pStyle w:val="GesAbsatz"/>
              <w:tabs>
                <w:tab w:val="clear" w:pos="425"/>
                <w:tab w:val="decimal" w:pos="497"/>
              </w:tabs>
              <w:rPr>
                <w:rFonts w:eastAsia="Arial Unicode MS" w:cs="Arial"/>
                <w:sz w:val="18"/>
                <w:szCs w:val="24"/>
              </w:rPr>
            </w:pPr>
            <w:r>
              <w:rPr>
                <w:rFonts w:cs="Arial"/>
                <w:sz w:val="18"/>
              </w:rPr>
              <w:t>39</w:t>
            </w:r>
          </w:p>
        </w:tc>
        <w:tc>
          <w:tcPr>
            <w:tcW w:w="1134" w:type="dxa"/>
          </w:tcPr>
          <w:p>
            <w:pPr>
              <w:pStyle w:val="GesAbsatz"/>
              <w:tabs>
                <w:tab w:val="clear" w:pos="425"/>
                <w:tab w:val="decimal" w:pos="497"/>
              </w:tabs>
              <w:rPr>
                <w:rFonts w:eastAsia="Arial Unicode MS" w:cs="Arial"/>
                <w:sz w:val="18"/>
                <w:szCs w:val="24"/>
              </w:rPr>
            </w:pPr>
            <w:r>
              <w:rPr>
                <w:rFonts w:cs="Arial"/>
                <w:sz w:val="18"/>
              </w:rPr>
              <w:t>7</w:t>
            </w:r>
          </w:p>
        </w:tc>
        <w:tc>
          <w:tcPr>
            <w:tcW w:w="1134" w:type="dxa"/>
          </w:tcPr>
          <w:p>
            <w:pPr>
              <w:pStyle w:val="GesAbsatz"/>
              <w:tabs>
                <w:tab w:val="clear" w:pos="425"/>
                <w:tab w:val="decimal" w:pos="497"/>
              </w:tabs>
              <w:rPr>
                <w:rFonts w:eastAsia="Arial Unicode MS" w:cs="Arial"/>
                <w:sz w:val="18"/>
                <w:szCs w:val="24"/>
              </w:rPr>
            </w:pPr>
            <w:r>
              <w:rPr>
                <w:rFonts w:cs="Arial"/>
                <w:sz w:val="18"/>
              </w:rPr>
              <w:t>9</w:t>
            </w:r>
          </w:p>
        </w:tc>
        <w:tc>
          <w:tcPr>
            <w:tcW w:w="993" w:type="dxa"/>
          </w:tcPr>
          <w:p>
            <w:pPr>
              <w:pStyle w:val="GesAbsatz"/>
              <w:tabs>
                <w:tab w:val="clear" w:pos="425"/>
                <w:tab w:val="decimal" w:pos="497"/>
              </w:tabs>
              <w:rPr>
                <w:rFonts w:eastAsia="Arial Unicode MS" w:cs="Arial"/>
                <w:sz w:val="18"/>
                <w:szCs w:val="24"/>
              </w:rPr>
            </w:pPr>
            <w:r>
              <w:rPr>
                <w:rFonts w:cs="Arial"/>
                <w:sz w:val="18"/>
              </w:rPr>
              <w:t>43</w:t>
            </w:r>
          </w:p>
        </w:tc>
        <w:tc>
          <w:tcPr>
            <w:tcW w:w="992" w:type="dxa"/>
          </w:tcPr>
          <w:p>
            <w:pPr>
              <w:pStyle w:val="GesAbsatz"/>
              <w:tabs>
                <w:tab w:val="clear" w:pos="425"/>
                <w:tab w:val="decimal" w:pos="497"/>
              </w:tabs>
              <w:rPr>
                <w:rFonts w:eastAsia="Arial Unicode MS" w:cs="Arial"/>
                <w:sz w:val="18"/>
                <w:szCs w:val="24"/>
              </w:rPr>
            </w:pPr>
            <w:r>
              <w:rPr>
                <w:rFonts w:cs="Arial"/>
                <w:sz w:val="18"/>
              </w:rPr>
              <w:t>54</w:t>
            </w:r>
          </w:p>
        </w:tc>
        <w:tc>
          <w:tcPr>
            <w:tcW w:w="1134" w:type="dxa"/>
          </w:tcPr>
          <w:p>
            <w:pPr>
              <w:pStyle w:val="GesAbsatz"/>
              <w:tabs>
                <w:tab w:val="clear" w:pos="425"/>
                <w:tab w:val="decimal" w:pos="497"/>
              </w:tabs>
              <w:rPr>
                <w:rFonts w:eastAsia="Arial Unicode MS" w:cs="Arial"/>
                <w:sz w:val="18"/>
                <w:szCs w:val="24"/>
              </w:rPr>
            </w:pPr>
            <w:r>
              <w:rPr>
                <w:rFonts w:cs="Arial"/>
                <w:sz w:val="18"/>
              </w:rPr>
              <w:t>19</w:t>
            </w:r>
          </w:p>
        </w:tc>
        <w:tc>
          <w:tcPr>
            <w:tcW w:w="919" w:type="dxa"/>
          </w:tcPr>
          <w:p>
            <w:pPr>
              <w:pStyle w:val="GesAbsatz"/>
              <w:tabs>
                <w:tab w:val="clear" w:pos="425"/>
                <w:tab w:val="decimal" w:pos="497"/>
              </w:tabs>
              <w:rPr>
                <w:rFonts w:eastAsia="Arial Unicode MS" w:cs="Arial"/>
                <w:sz w:val="18"/>
                <w:szCs w:val="24"/>
              </w:rPr>
            </w:pPr>
            <w:r>
              <w:rPr>
                <w:rFonts w:cs="Arial"/>
                <w:sz w:val="18"/>
              </w:rPr>
              <w:t>27</w:t>
            </w:r>
          </w:p>
        </w:tc>
      </w:tr>
      <w:tr>
        <w:tc>
          <w:tcPr>
            <w:tcW w:w="1488" w:type="dxa"/>
          </w:tcPr>
          <w:p>
            <w:pPr>
              <w:pStyle w:val="GesAbsatz"/>
              <w:rPr>
                <w:rFonts w:eastAsia="Arial Unicode MS" w:cs="Arial"/>
                <w:sz w:val="18"/>
                <w:szCs w:val="24"/>
              </w:rPr>
            </w:pPr>
            <w:r>
              <w:rPr>
                <w:rFonts w:cs="Arial"/>
                <w:sz w:val="18"/>
              </w:rPr>
              <w:t>26 - 50 %</w:t>
            </w:r>
          </w:p>
        </w:tc>
        <w:tc>
          <w:tcPr>
            <w:tcW w:w="992" w:type="dxa"/>
          </w:tcPr>
          <w:p>
            <w:pPr>
              <w:pStyle w:val="GesAbsatz"/>
              <w:tabs>
                <w:tab w:val="clear" w:pos="425"/>
                <w:tab w:val="decimal" w:pos="497"/>
              </w:tabs>
              <w:rPr>
                <w:rFonts w:eastAsia="Arial Unicode MS" w:cs="Arial"/>
                <w:sz w:val="18"/>
                <w:szCs w:val="24"/>
              </w:rPr>
            </w:pPr>
            <w:r>
              <w:rPr>
                <w:rFonts w:cs="Arial"/>
                <w:sz w:val="18"/>
              </w:rPr>
              <w:t>4</w:t>
            </w:r>
          </w:p>
        </w:tc>
        <w:tc>
          <w:tcPr>
            <w:tcW w:w="992" w:type="dxa"/>
          </w:tcPr>
          <w:p>
            <w:pPr>
              <w:pStyle w:val="GesAbsatz"/>
              <w:tabs>
                <w:tab w:val="clear" w:pos="425"/>
                <w:tab w:val="decimal" w:pos="497"/>
              </w:tabs>
              <w:rPr>
                <w:rFonts w:eastAsia="Arial Unicode MS" w:cs="Arial"/>
                <w:sz w:val="18"/>
                <w:szCs w:val="24"/>
              </w:rPr>
            </w:pPr>
            <w:r>
              <w:rPr>
                <w:rFonts w:cs="Arial"/>
                <w:sz w:val="18"/>
              </w:rPr>
              <w:t>9</w:t>
            </w:r>
          </w:p>
        </w:tc>
        <w:tc>
          <w:tcPr>
            <w:tcW w:w="1134" w:type="dxa"/>
          </w:tcPr>
          <w:p>
            <w:pPr>
              <w:pStyle w:val="GesAbsatz"/>
              <w:tabs>
                <w:tab w:val="clear" w:pos="425"/>
                <w:tab w:val="decimal" w:pos="497"/>
              </w:tabs>
              <w:rPr>
                <w:rFonts w:eastAsia="Arial Unicode MS" w:cs="Arial"/>
                <w:sz w:val="18"/>
                <w:szCs w:val="24"/>
              </w:rPr>
            </w:pPr>
            <w:r>
              <w:rPr>
                <w:rFonts w:cs="Arial"/>
                <w:sz w:val="18"/>
              </w:rPr>
              <w:t>15</w:t>
            </w:r>
          </w:p>
        </w:tc>
        <w:tc>
          <w:tcPr>
            <w:tcW w:w="1134" w:type="dxa"/>
          </w:tcPr>
          <w:p>
            <w:pPr>
              <w:pStyle w:val="GesAbsatz"/>
              <w:tabs>
                <w:tab w:val="clear" w:pos="425"/>
                <w:tab w:val="decimal" w:pos="497"/>
              </w:tabs>
              <w:rPr>
                <w:rFonts w:eastAsia="Arial Unicode MS" w:cs="Arial"/>
                <w:sz w:val="18"/>
                <w:szCs w:val="24"/>
              </w:rPr>
            </w:pPr>
            <w:r>
              <w:rPr>
                <w:rFonts w:cs="Arial"/>
                <w:sz w:val="18"/>
              </w:rPr>
              <w:t>22</w:t>
            </w:r>
          </w:p>
        </w:tc>
        <w:tc>
          <w:tcPr>
            <w:tcW w:w="993" w:type="dxa"/>
          </w:tcPr>
          <w:p>
            <w:pPr>
              <w:pStyle w:val="GesAbsatz"/>
              <w:tabs>
                <w:tab w:val="clear" w:pos="425"/>
                <w:tab w:val="decimal" w:pos="497"/>
              </w:tabs>
              <w:rPr>
                <w:rFonts w:eastAsia="Arial Unicode MS" w:cs="Arial"/>
                <w:sz w:val="18"/>
                <w:szCs w:val="24"/>
              </w:rPr>
            </w:pPr>
            <w:r>
              <w:rPr>
                <w:rFonts w:cs="Arial"/>
                <w:sz w:val="18"/>
              </w:rPr>
              <w:t>5</w:t>
            </w:r>
          </w:p>
        </w:tc>
        <w:tc>
          <w:tcPr>
            <w:tcW w:w="992" w:type="dxa"/>
          </w:tcPr>
          <w:p>
            <w:pPr>
              <w:pStyle w:val="GesAbsatz"/>
              <w:tabs>
                <w:tab w:val="clear" w:pos="425"/>
                <w:tab w:val="decimal" w:pos="497"/>
              </w:tabs>
              <w:rPr>
                <w:rFonts w:eastAsia="Arial Unicode MS" w:cs="Arial"/>
                <w:sz w:val="18"/>
                <w:szCs w:val="24"/>
              </w:rPr>
            </w:pPr>
            <w:r>
              <w:rPr>
                <w:rFonts w:cs="Arial"/>
                <w:sz w:val="18"/>
              </w:rPr>
              <w:t>9</w:t>
            </w:r>
          </w:p>
        </w:tc>
        <w:tc>
          <w:tcPr>
            <w:tcW w:w="1134" w:type="dxa"/>
          </w:tcPr>
          <w:p>
            <w:pPr>
              <w:pStyle w:val="GesAbsatz"/>
              <w:tabs>
                <w:tab w:val="clear" w:pos="425"/>
                <w:tab w:val="decimal" w:pos="497"/>
              </w:tabs>
              <w:rPr>
                <w:rFonts w:eastAsia="Arial Unicode MS" w:cs="Arial"/>
                <w:sz w:val="18"/>
                <w:szCs w:val="24"/>
              </w:rPr>
            </w:pPr>
            <w:r>
              <w:rPr>
                <w:rFonts w:cs="Arial"/>
                <w:sz w:val="18"/>
              </w:rPr>
              <w:t xml:space="preserve">2 </w:t>
            </w:r>
          </w:p>
        </w:tc>
        <w:tc>
          <w:tcPr>
            <w:tcW w:w="919" w:type="dxa"/>
          </w:tcPr>
          <w:p>
            <w:pPr>
              <w:pStyle w:val="GesAbsatz"/>
              <w:tabs>
                <w:tab w:val="clear" w:pos="425"/>
                <w:tab w:val="decimal" w:pos="497"/>
              </w:tabs>
              <w:rPr>
                <w:rFonts w:eastAsia="Arial Unicode MS" w:cs="Arial"/>
                <w:sz w:val="18"/>
                <w:szCs w:val="24"/>
              </w:rPr>
            </w:pPr>
            <w:r>
              <w:rPr>
                <w:rFonts w:cs="Arial"/>
                <w:sz w:val="18"/>
              </w:rPr>
              <w:t>7</w:t>
            </w:r>
          </w:p>
        </w:tc>
      </w:tr>
      <w:tr>
        <w:tc>
          <w:tcPr>
            <w:tcW w:w="1488" w:type="dxa"/>
          </w:tcPr>
          <w:p>
            <w:pPr>
              <w:pStyle w:val="GesAbsatz"/>
              <w:rPr>
                <w:rFonts w:eastAsia="Arial Unicode MS" w:cs="Arial"/>
                <w:sz w:val="18"/>
                <w:szCs w:val="24"/>
              </w:rPr>
            </w:pPr>
            <w:r>
              <w:rPr>
                <w:rFonts w:cs="Arial"/>
                <w:sz w:val="18"/>
              </w:rPr>
              <w:t>51 - 75 %</w:t>
            </w:r>
          </w:p>
        </w:tc>
        <w:tc>
          <w:tcPr>
            <w:tcW w:w="992" w:type="dxa"/>
          </w:tcPr>
          <w:p>
            <w:pPr>
              <w:pStyle w:val="GesAbsatz"/>
              <w:tabs>
                <w:tab w:val="clear" w:pos="425"/>
                <w:tab w:val="decimal" w:pos="497"/>
              </w:tabs>
              <w:rPr>
                <w:rFonts w:eastAsia="Arial Unicode MS" w:cs="Arial"/>
                <w:sz w:val="18"/>
                <w:szCs w:val="24"/>
              </w:rPr>
            </w:pPr>
            <w:r>
              <w:rPr>
                <w:rFonts w:cs="Arial"/>
                <w:sz w:val="18"/>
              </w:rPr>
              <w:t>5</w:t>
            </w:r>
          </w:p>
        </w:tc>
        <w:tc>
          <w:tcPr>
            <w:tcW w:w="992" w:type="dxa"/>
          </w:tcPr>
          <w:p>
            <w:pPr>
              <w:pStyle w:val="GesAbsatz"/>
              <w:tabs>
                <w:tab w:val="clear" w:pos="425"/>
                <w:tab w:val="decimal" w:pos="497"/>
              </w:tabs>
              <w:rPr>
                <w:rFonts w:eastAsia="Arial Unicode MS" w:cs="Arial"/>
                <w:sz w:val="18"/>
                <w:szCs w:val="24"/>
              </w:rPr>
            </w:pPr>
            <w:r>
              <w:rPr>
                <w:rFonts w:cs="Arial"/>
                <w:sz w:val="18"/>
              </w:rPr>
              <w:t>5</w:t>
            </w:r>
          </w:p>
        </w:tc>
        <w:tc>
          <w:tcPr>
            <w:tcW w:w="1134" w:type="dxa"/>
          </w:tcPr>
          <w:p>
            <w:pPr>
              <w:pStyle w:val="GesAbsatz"/>
              <w:tabs>
                <w:tab w:val="clear" w:pos="425"/>
                <w:tab w:val="decimal" w:pos="497"/>
              </w:tabs>
              <w:rPr>
                <w:rFonts w:eastAsia="Arial Unicode MS" w:cs="Arial"/>
                <w:sz w:val="18"/>
                <w:szCs w:val="24"/>
              </w:rPr>
            </w:pPr>
            <w:r>
              <w:rPr>
                <w:rFonts w:cs="Arial"/>
                <w:sz w:val="18"/>
              </w:rPr>
              <w:t>9</w:t>
            </w:r>
          </w:p>
        </w:tc>
        <w:tc>
          <w:tcPr>
            <w:tcW w:w="1134" w:type="dxa"/>
          </w:tcPr>
          <w:p>
            <w:pPr>
              <w:pStyle w:val="GesAbsatz"/>
              <w:tabs>
                <w:tab w:val="clear" w:pos="425"/>
                <w:tab w:val="decimal" w:pos="497"/>
              </w:tabs>
              <w:rPr>
                <w:rFonts w:eastAsia="Arial Unicode MS" w:cs="Arial"/>
                <w:sz w:val="18"/>
                <w:szCs w:val="24"/>
              </w:rPr>
            </w:pPr>
            <w:r>
              <w:rPr>
                <w:rFonts w:cs="Arial"/>
                <w:sz w:val="18"/>
              </w:rPr>
              <w:t>11</w:t>
            </w:r>
          </w:p>
        </w:tc>
        <w:tc>
          <w:tcPr>
            <w:tcW w:w="993" w:type="dxa"/>
          </w:tcPr>
          <w:p>
            <w:pPr>
              <w:pStyle w:val="GesAbsatz"/>
              <w:tabs>
                <w:tab w:val="clear" w:pos="425"/>
                <w:tab w:val="decimal" w:pos="497"/>
              </w:tabs>
              <w:rPr>
                <w:rFonts w:eastAsia="Arial Unicode MS" w:cs="Arial"/>
                <w:sz w:val="18"/>
                <w:szCs w:val="24"/>
              </w:rPr>
            </w:pPr>
            <w:r>
              <w:rPr>
                <w:rFonts w:cs="Arial"/>
                <w:sz w:val="18"/>
              </w:rPr>
              <w:t>1</w:t>
            </w:r>
          </w:p>
        </w:tc>
        <w:tc>
          <w:tcPr>
            <w:tcW w:w="992" w:type="dxa"/>
          </w:tcPr>
          <w:p>
            <w:pPr>
              <w:pStyle w:val="GesAbsatz"/>
              <w:tabs>
                <w:tab w:val="clear" w:pos="425"/>
                <w:tab w:val="decimal" w:pos="497"/>
              </w:tabs>
              <w:rPr>
                <w:rFonts w:eastAsia="Arial Unicode MS" w:cs="Arial"/>
                <w:sz w:val="18"/>
                <w:szCs w:val="24"/>
              </w:rPr>
            </w:pPr>
            <w:r>
              <w:rPr>
                <w:rFonts w:cs="Arial"/>
                <w:sz w:val="18"/>
              </w:rPr>
              <w:t>1</w:t>
            </w:r>
          </w:p>
        </w:tc>
        <w:tc>
          <w:tcPr>
            <w:tcW w:w="1134" w:type="dxa"/>
          </w:tcPr>
          <w:p>
            <w:pPr>
              <w:pStyle w:val="GesAbsatz"/>
              <w:tabs>
                <w:tab w:val="clear" w:pos="425"/>
                <w:tab w:val="decimal" w:pos="497"/>
              </w:tabs>
              <w:rPr>
                <w:rFonts w:eastAsia="Arial Unicode MS" w:cs="Arial"/>
                <w:sz w:val="18"/>
                <w:szCs w:val="24"/>
              </w:rPr>
            </w:pPr>
            <w:r>
              <w:rPr>
                <w:rFonts w:cs="Arial"/>
                <w:sz w:val="18"/>
              </w:rPr>
              <w:t>1</w:t>
            </w:r>
          </w:p>
        </w:tc>
        <w:tc>
          <w:tcPr>
            <w:tcW w:w="919" w:type="dxa"/>
          </w:tcPr>
          <w:p>
            <w:pPr>
              <w:pStyle w:val="GesAbsatz"/>
              <w:tabs>
                <w:tab w:val="clear" w:pos="425"/>
                <w:tab w:val="decimal" w:pos="497"/>
              </w:tabs>
              <w:rPr>
                <w:rFonts w:eastAsia="Arial Unicode MS" w:cs="Arial"/>
                <w:sz w:val="18"/>
                <w:szCs w:val="24"/>
              </w:rPr>
            </w:pPr>
            <w:r>
              <w:rPr>
                <w:rFonts w:cs="Arial"/>
                <w:sz w:val="18"/>
              </w:rPr>
              <w:t>2</w:t>
            </w:r>
          </w:p>
        </w:tc>
      </w:tr>
      <w:tr>
        <w:tc>
          <w:tcPr>
            <w:tcW w:w="1488" w:type="dxa"/>
          </w:tcPr>
          <w:p>
            <w:pPr>
              <w:pStyle w:val="GesAbsatz"/>
              <w:rPr>
                <w:rFonts w:eastAsia="Arial Unicode MS" w:cs="Arial"/>
                <w:sz w:val="18"/>
                <w:szCs w:val="24"/>
              </w:rPr>
            </w:pPr>
            <w:r>
              <w:rPr>
                <w:rFonts w:cs="Arial"/>
                <w:sz w:val="18"/>
              </w:rPr>
              <w:t>76 - 100 %</w:t>
            </w:r>
          </w:p>
        </w:tc>
        <w:tc>
          <w:tcPr>
            <w:tcW w:w="992" w:type="dxa"/>
          </w:tcPr>
          <w:p>
            <w:pPr>
              <w:pStyle w:val="GesAbsatz"/>
              <w:tabs>
                <w:tab w:val="clear" w:pos="425"/>
                <w:tab w:val="decimal" w:pos="497"/>
              </w:tabs>
              <w:rPr>
                <w:rFonts w:eastAsia="Arial Unicode MS" w:cs="Arial"/>
                <w:sz w:val="18"/>
                <w:szCs w:val="24"/>
              </w:rPr>
            </w:pPr>
            <w:r>
              <w:rPr>
                <w:rFonts w:cs="Arial"/>
                <w:sz w:val="18"/>
              </w:rPr>
              <w:t>1</w:t>
            </w:r>
          </w:p>
        </w:tc>
        <w:tc>
          <w:tcPr>
            <w:tcW w:w="992" w:type="dxa"/>
          </w:tcPr>
          <w:p>
            <w:pPr>
              <w:pStyle w:val="GesAbsatz"/>
              <w:tabs>
                <w:tab w:val="clear" w:pos="425"/>
                <w:tab w:val="decimal" w:pos="497"/>
              </w:tabs>
              <w:rPr>
                <w:rFonts w:eastAsia="Arial Unicode MS" w:cs="Arial"/>
                <w:sz w:val="18"/>
                <w:szCs w:val="24"/>
              </w:rPr>
            </w:pPr>
            <w:r>
              <w:rPr>
                <w:rFonts w:cs="Arial"/>
                <w:sz w:val="18"/>
              </w:rPr>
              <w:t>1</w:t>
            </w:r>
          </w:p>
        </w:tc>
        <w:tc>
          <w:tcPr>
            <w:tcW w:w="1134" w:type="dxa"/>
          </w:tcPr>
          <w:p>
            <w:pPr>
              <w:pStyle w:val="GesAbsatz"/>
              <w:tabs>
                <w:tab w:val="clear" w:pos="425"/>
                <w:tab w:val="decimal" w:pos="497"/>
              </w:tabs>
              <w:rPr>
                <w:rFonts w:eastAsia="Arial Unicode MS" w:cs="Arial"/>
                <w:sz w:val="18"/>
                <w:szCs w:val="24"/>
              </w:rPr>
            </w:pPr>
            <w:r>
              <w:rPr>
                <w:rFonts w:cs="Arial"/>
                <w:sz w:val="18"/>
              </w:rPr>
              <w:t>9</w:t>
            </w:r>
          </w:p>
        </w:tc>
        <w:tc>
          <w:tcPr>
            <w:tcW w:w="1134" w:type="dxa"/>
          </w:tcPr>
          <w:p>
            <w:pPr>
              <w:pStyle w:val="GesAbsatz"/>
              <w:tabs>
                <w:tab w:val="clear" w:pos="425"/>
                <w:tab w:val="decimal" w:pos="497"/>
              </w:tabs>
              <w:rPr>
                <w:rFonts w:eastAsia="Arial Unicode MS" w:cs="Arial"/>
                <w:sz w:val="18"/>
                <w:szCs w:val="24"/>
              </w:rPr>
            </w:pPr>
            <w:r>
              <w:rPr>
                <w:rFonts w:cs="Arial"/>
                <w:sz w:val="18"/>
              </w:rPr>
              <w:t>11</w:t>
            </w:r>
          </w:p>
        </w:tc>
        <w:tc>
          <w:tcPr>
            <w:tcW w:w="993" w:type="dxa"/>
          </w:tcPr>
          <w:p>
            <w:pPr>
              <w:pStyle w:val="GesAbsatz"/>
              <w:tabs>
                <w:tab w:val="clear" w:pos="425"/>
                <w:tab w:val="decimal" w:pos="497"/>
              </w:tabs>
              <w:rPr>
                <w:rFonts w:eastAsia="Arial Unicode MS" w:cs="Arial"/>
                <w:sz w:val="18"/>
                <w:szCs w:val="24"/>
              </w:rPr>
            </w:pPr>
            <w:r>
              <w:rPr>
                <w:rFonts w:cs="Arial"/>
                <w:sz w:val="18"/>
              </w:rPr>
              <w:t>—</w:t>
            </w:r>
          </w:p>
        </w:tc>
        <w:tc>
          <w:tcPr>
            <w:tcW w:w="992" w:type="dxa"/>
          </w:tcPr>
          <w:p>
            <w:pPr>
              <w:pStyle w:val="GesAbsatz"/>
              <w:tabs>
                <w:tab w:val="clear" w:pos="425"/>
                <w:tab w:val="decimal" w:pos="497"/>
              </w:tabs>
              <w:rPr>
                <w:rFonts w:eastAsia="Arial Unicode MS" w:cs="Arial"/>
                <w:sz w:val="18"/>
                <w:szCs w:val="24"/>
              </w:rPr>
            </w:pPr>
            <w:r>
              <w:rPr>
                <w:rFonts w:cs="Arial"/>
                <w:sz w:val="18"/>
              </w:rPr>
              <w:t>—</w:t>
            </w:r>
          </w:p>
        </w:tc>
        <w:tc>
          <w:tcPr>
            <w:tcW w:w="1134" w:type="dxa"/>
          </w:tcPr>
          <w:p>
            <w:pPr>
              <w:pStyle w:val="GesAbsatz"/>
              <w:tabs>
                <w:tab w:val="clear" w:pos="425"/>
                <w:tab w:val="decimal" w:pos="497"/>
              </w:tabs>
              <w:rPr>
                <w:rFonts w:eastAsia="Arial Unicode MS" w:cs="Arial"/>
                <w:sz w:val="18"/>
                <w:szCs w:val="24"/>
              </w:rPr>
            </w:pPr>
            <w:r>
              <w:rPr>
                <w:rFonts w:cs="Arial"/>
                <w:sz w:val="18"/>
              </w:rPr>
              <w:t>—</w:t>
            </w:r>
          </w:p>
        </w:tc>
        <w:tc>
          <w:tcPr>
            <w:tcW w:w="919" w:type="dxa"/>
          </w:tcPr>
          <w:p>
            <w:pPr>
              <w:pStyle w:val="GesAbsatz"/>
              <w:tabs>
                <w:tab w:val="clear" w:pos="425"/>
                <w:tab w:val="decimal" w:pos="497"/>
              </w:tabs>
              <w:rPr>
                <w:rFonts w:eastAsia="Arial Unicode MS" w:cs="Arial"/>
                <w:sz w:val="18"/>
                <w:szCs w:val="24"/>
              </w:rPr>
            </w:pPr>
            <w:r>
              <w:rPr>
                <w:rFonts w:cs="Arial"/>
                <w:sz w:val="18"/>
              </w:rPr>
              <w:t>—</w:t>
            </w:r>
          </w:p>
        </w:tc>
      </w:tr>
      <w:tr>
        <w:tc>
          <w:tcPr>
            <w:tcW w:w="1488" w:type="dxa"/>
          </w:tcPr>
          <w:p>
            <w:pPr>
              <w:pStyle w:val="GesAbsatz"/>
              <w:rPr>
                <w:rFonts w:eastAsia="Arial Unicode MS" w:cs="Arial"/>
                <w:sz w:val="18"/>
                <w:szCs w:val="24"/>
              </w:rPr>
            </w:pPr>
            <w:r>
              <w:rPr>
                <w:rFonts w:cs="Arial"/>
                <w:sz w:val="18"/>
              </w:rPr>
              <w:t>gesamt</w:t>
            </w:r>
          </w:p>
        </w:tc>
        <w:tc>
          <w:tcPr>
            <w:tcW w:w="992" w:type="dxa"/>
          </w:tcPr>
          <w:p>
            <w:pPr>
              <w:pStyle w:val="GesAbsatz"/>
              <w:tabs>
                <w:tab w:val="clear" w:pos="425"/>
                <w:tab w:val="decimal" w:pos="497"/>
              </w:tabs>
              <w:rPr>
                <w:rFonts w:eastAsia="Arial Unicode MS" w:cs="Arial"/>
                <w:sz w:val="18"/>
                <w:szCs w:val="24"/>
              </w:rPr>
            </w:pPr>
            <w:r>
              <w:rPr>
                <w:rFonts w:cs="Arial"/>
                <w:sz w:val="18"/>
              </w:rPr>
              <w:t>43</w:t>
            </w:r>
          </w:p>
        </w:tc>
        <w:tc>
          <w:tcPr>
            <w:tcW w:w="992" w:type="dxa"/>
          </w:tcPr>
          <w:p>
            <w:pPr>
              <w:pStyle w:val="GesAbsatz"/>
              <w:tabs>
                <w:tab w:val="clear" w:pos="425"/>
                <w:tab w:val="decimal" w:pos="497"/>
              </w:tabs>
              <w:rPr>
                <w:rFonts w:eastAsia="Arial Unicode MS" w:cs="Arial"/>
                <w:sz w:val="18"/>
                <w:szCs w:val="24"/>
              </w:rPr>
            </w:pPr>
            <w:r>
              <w:rPr>
                <w:rFonts w:cs="Arial"/>
                <w:sz w:val="18"/>
              </w:rPr>
              <w:t>54</w:t>
            </w:r>
          </w:p>
        </w:tc>
        <w:tc>
          <w:tcPr>
            <w:tcW w:w="1134" w:type="dxa"/>
          </w:tcPr>
          <w:p>
            <w:pPr>
              <w:pStyle w:val="GesAbsatz"/>
              <w:tabs>
                <w:tab w:val="clear" w:pos="425"/>
                <w:tab w:val="decimal" w:pos="497"/>
              </w:tabs>
              <w:rPr>
                <w:rFonts w:eastAsia="Arial Unicode MS" w:cs="Arial"/>
                <w:sz w:val="18"/>
                <w:szCs w:val="24"/>
              </w:rPr>
            </w:pPr>
            <w:r>
              <w:rPr>
                <w:rFonts w:cs="Arial"/>
                <w:sz w:val="18"/>
              </w:rPr>
              <w:t>40</w:t>
            </w:r>
          </w:p>
        </w:tc>
        <w:tc>
          <w:tcPr>
            <w:tcW w:w="1134" w:type="dxa"/>
          </w:tcPr>
          <w:p>
            <w:pPr>
              <w:pStyle w:val="GesAbsatz"/>
              <w:tabs>
                <w:tab w:val="clear" w:pos="425"/>
                <w:tab w:val="decimal" w:pos="497"/>
              </w:tabs>
              <w:rPr>
                <w:rFonts w:eastAsia="Arial Unicode MS" w:cs="Arial"/>
                <w:sz w:val="18"/>
                <w:szCs w:val="24"/>
              </w:rPr>
            </w:pPr>
            <w:r>
              <w:rPr>
                <w:rFonts w:cs="Arial"/>
                <w:sz w:val="18"/>
              </w:rPr>
              <w:t>53</w:t>
            </w:r>
          </w:p>
        </w:tc>
        <w:tc>
          <w:tcPr>
            <w:tcW w:w="993" w:type="dxa"/>
          </w:tcPr>
          <w:p>
            <w:pPr>
              <w:pStyle w:val="GesAbsatz"/>
              <w:tabs>
                <w:tab w:val="clear" w:pos="425"/>
                <w:tab w:val="decimal" w:pos="497"/>
              </w:tabs>
              <w:rPr>
                <w:rFonts w:eastAsia="Arial Unicode MS" w:cs="Arial"/>
                <w:sz w:val="18"/>
                <w:szCs w:val="24"/>
              </w:rPr>
            </w:pPr>
            <w:r>
              <w:rPr>
                <w:rFonts w:cs="Arial"/>
                <w:sz w:val="18"/>
              </w:rPr>
              <w:t>49</w:t>
            </w:r>
          </w:p>
        </w:tc>
        <w:tc>
          <w:tcPr>
            <w:tcW w:w="992" w:type="dxa"/>
          </w:tcPr>
          <w:p>
            <w:pPr>
              <w:pStyle w:val="GesAbsatz"/>
              <w:tabs>
                <w:tab w:val="clear" w:pos="425"/>
                <w:tab w:val="decimal" w:pos="497"/>
              </w:tabs>
              <w:rPr>
                <w:rFonts w:eastAsia="Arial Unicode MS" w:cs="Arial"/>
                <w:sz w:val="18"/>
                <w:szCs w:val="24"/>
              </w:rPr>
            </w:pPr>
            <w:r>
              <w:rPr>
                <w:rFonts w:cs="Arial"/>
                <w:sz w:val="18"/>
              </w:rPr>
              <w:t>64</w:t>
            </w:r>
          </w:p>
        </w:tc>
        <w:tc>
          <w:tcPr>
            <w:tcW w:w="1134" w:type="dxa"/>
          </w:tcPr>
          <w:p>
            <w:pPr>
              <w:pStyle w:val="GesAbsatz"/>
              <w:tabs>
                <w:tab w:val="clear" w:pos="425"/>
                <w:tab w:val="decimal" w:pos="497"/>
              </w:tabs>
              <w:rPr>
                <w:rFonts w:eastAsia="Arial Unicode MS" w:cs="Arial"/>
                <w:sz w:val="18"/>
                <w:szCs w:val="24"/>
              </w:rPr>
            </w:pPr>
            <w:r>
              <w:rPr>
                <w:rFonts w:cs="Arial"/>
                <w:sz w:val="18"/>
              </w:rPr>
              <w:t>22</w:t>
            </w:r>
          </w:p>
        </w:tc>
        <w:tc>
          <w:tcPr>
            <w:tcW w:w="919" w:type="dxa"/>
          </w:tcPr>
          <w:p>
            <w:pPr>
              <w:pStyle w:val="GesAbsatz"/>
              <w:tabs>
                <w:tab w:val="clear" w:pos="425"/>
                <w:tab w:val="decimal" w:pos="497"/>
              </w:tabs>
              <w:rPr>
                <w:rFonts w:eastAsia="Arial Unicode MS" w:cs="Arial"/>
                <w:sz w:val="18"/>
                <w:szCs w:val="24"/>
              </w:rPr>
            </w:pPr>
            <w:r>
              <w:rPr>
                <w:rFonts w:cs="Arial"/>
                <w:sz w:val="18"/>
              </w:rPr>
              <w:t>36</w:t>
            </w:r>
          </w:p>
        </w:tc>
      </w:tr>
    </w:tbl>
    <w:p>
      <w:pPr>
        <w:pStyle w:val="GesAbsatz"/>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7"/>
        <w:gridCol w:w="868"/>
        <w:gridCol w:w="867"/>
        <w:gridCol w:w="853"/>
        <w:gridCol w:w="853"/>
        <w:gridCol w:w="855"/>
        <w:gridCol w:w="855"/>
        <w:gridCol w:w="844"/>
        <w:gridCol w:w="844"/>
        <w:gridCol w:w="836"/>
        <w:gridCol w:w="836"/>
      </w:tblGrid>
      <w:tr>
        <w:tc>
          <w:tcPr>
            <w:tcW w:w="1267" w:type="dxa"/>
          </w:tcPr>
          <w:p>
            <w:pPr>
              <w:pStyle w:val="GesAbsatz"/>
              <w:jc w:val="center"/>
              <w:rPr>
                <w:rFonts w:eastAsia="Arial Unicode MS" w:cs="Arial"/>
                <w:sz w:val="18"/>
                <w:szCs w:val="24"/>
              </w:rPr>
            </w:pPr>
            <w:r>
              <w:rPr>
                <w:rFonts w:cs="Arial"/>
                <w:b/>
                <w:bCs/>
                <w:sz w:val="18"/>
              </w:rPr>
              <w:t>Anteil der am Kompostabsatz je Anlage</w:t>
            </w:r>
          </w:p>
        </w:tc>
        <w:tc>
          <w:tcPr>
            <w:tcW w:w="1735" w:type="dxa"/>
            <w:gridSpan w:val="2"/>
          </w:tcPr>
          <w:p>
            <w:pPr>
              <w:pStyle w:val="GesAbsatz"/>
              <w:jc w:val="center"/>
              <w:rPr>
                <w:rFonts w:eastAsia="Arial Unicode MS" w:cs="Arial"/>
                <w:sz w:val="18"/>
                <w:szCs w:val="24"/>
              </w:rPr>
            </w:pPr>
            <w:r>
              <w:rPr>
                <w:rFonts w:cs="Arial"/>
                <w:b/>
                <w:bCs/>
                <w:sz w:val="18"/>
              </w:rPr>
              <w:t xml:space="preserve">Wein-/Obstbau, Sonderkulturen </w:t>
            </w:r>
            <w:r>
              <w:rPr>
                <w:rFonts w:cs="Arial"/>
                <w:sz w:val="18"/>
                <w:szCs w:val="15"/>
              </w:rPr>
              <w:t>Anzahl der Nennungen</w:t>
            </w:r>
          </w:p>
        </w:tc>
        <w:tc>
          <w:tcPr>
            <w:tcW w:w="1706" w:type="dxa"/>
            <w:gridSpan w:val="2"/>
          </w:tcPr>
          <w:p>
            <w:pPr>
              <w:pStyle w:val="GesAbsatz"/>
              <w:jc w:val="center"/>
              <w:rPr>
                <w:rFonts w:eastAsia="Arial Unicode MS" w:cs="Arial"/>
                <w:sz w:val="18"/>
                <w:szCs w:val="24"/>
              </w:rPr>
            </w:pPr>
            <w:r>
              <w:rPr>
                <w:rFonts w:cs="Arial"/>
                <w:b/>
                <w:bCs/>
                <w:sz w:val="18"/>
              </w:rPr>
              <w:t>Erdenwerke</w:t>
            </w:r>
            <w:r>
              <w:rPr>
                <w:rFonts w:cs="Arial"/>
                <w:b/>
                <w:bCs/>
                <w:sz w:val="18"/>
              </w:rPr>
              <w:br/>
            </w:r>
            <w:r>
              <w:rPr>
                <w:rFonts w:cs="Arial"/>
                <w:sz w:val="18"/>
                <w:szCs w:val="15"/>
              </w:rPr>
              <w:t>Anzahl der Nennungen</w:t>
            </w:r>
          </w:p>
        </w:tc>
        <w:tc>
          <w:tcPr>
            <w:tcW w:w="1710" w:type="dxa"/>
            <w:gridSpan w:val="2"/>
          </w:tcPr>
          <w:p>
            <w:pPr>
              <w:pStyle w:val="GesAbsatz"/>
              <w:jc w:val="center"/>
              <w:rPr>
                <w:rFonts w:eastAsia="Arial Unicode MS" w:cs="Arial"/>
                <w:sz w:val="18"/>
                <w:szCs w:val="24"/>
              </w:rPr>
            </w:pPr>
            <w:r>
              <w:rPr>
                <w:rFonts w:cs="Arial"/>
                <w:b/>
                <w:bCs/>
                <w:sz w:val="18"/>
              </w:rPr>
              <w:t>Rekultivierung</w:t>
            </w:r>
            <w:r>
              <w:rPr>
                <w:rFonts w:cs="Arial"/>
                <w:b/>
                <w:bCs/>
                <w:sz w:val="18"/>
              </w:rPr>
              <w:br/>
            </w:r>
            <w:r>
              <w:rPr>
                <w:rFonts w:cs="Arial"/>
                <w:sz w:val="18"/>
                <w:szCs w:val="15"/>
              </w:rPr>
              <w:t>Anzahl der Nennungen</w:t>
            </w:r>
          </w:p>
        </w:tc>
        <w:tc>
          <w:tcPr>
            <w:tcW w:w="1688" w:type="dxa"/>
            <w:gridSpan w:val="2"/>
          </w:tcPr>
          <w:p>
            <w:pPr>
              <w:pStyle w:val="GesAbsatz"/>
              <w:jc w:val="center"/>
              <w:rPr>
                <w:rFonts w:eastAsia="Arial Unicode MS" w:cs="Arial"/>
                <w:sz w:val="18"/>
                <w:szCs w:val="24"/>
              </w:rPr>
            </w:pPr>
            <w:r>
              <w:rPr>
                <w:rFonts w:cs="Arial"/>
                <w:b/>
                <w:bCs/>
                <w:sz w:val="18"/>
              </w:rPr>
              <w:t>Kommunen</w:t>
            </w:r>
            <w:r>
              <w:rPr>
                <w:rFonts w:cs="Arial"/>
                <w:b/>
                <w:bCs/>
                <w:sz w:val="18"/>
              </w:rPr>
              <w:br/>
            </w:r>
            <w:r>
              <w:rPr>
                <w:rFonts w:cs="Arial"/>
                <w:sz w:val="18"/>
                <w:szCs w:val="15"/>
              </w:rPr>
              <w:t>Anzahl der Nennungen</w:t>
            </w:r>
          </w:p>
        </w:tc>
        <w:tc>
          <w:tcPr>
            <w:tcW w:w="1672" w:type="dxa"/>
            <w:gridSpan w:val="2"/>
          </w:tcPr>
          <w:p>
            <w:pPr>
              <w:pStyle w:val="GesAbsatz"/>
              <w:jc w:val="center"/>
              <w:rPr>
                <w:rFonts w:eastAsia="Arial Unicode MS" w:cs="Arial"/>
                <w:sz w:val="18"/>
                <w:szCs w:val="24"/>
              </w:rPr>
            </w:pPr>
            <w:r>
              <w:rPr>
                <w:rFonts w:cs="Arial"/>
                <w:b/>
                <w:bCs/>
                <w:sz w:val="18"/>
              </w:rPr>
              <w:t>andere</w:t>
            </w:r>
            <w:r>
              <w:rPr>
                <w:rFonts w:cs="Arial"/>
                <w:b/>
                <w:bCs/>
                <w:sz w:val="18"/>
              </w:rPr>
              <w:br/>
            </w:r>
            <w:r>
              <w:rPr>
                <w:rFonts w:cs="Arial"/>
                <w:sz w:val="18"/>
                <w:szCs w:val="15"/>
              </w:rPr>
              <w:t>Anzahl der Nennungen</w:t>
            </w:r>
          </w:p>
        </w:tc>
      </w:tr>
      <w:tr>
        <w:tc>
          <w:tcPr>
            <w:tcW w:w="1267" w:type="dxa"/>
          </w:tcPr>
          <w:p>
            <w:pPr>
              <w:pStyle w:val="GesAbsatz"/>
              <w:jc w:val="center"/>
              <w:rPr>
                <w:rFonts w:eastAsia="Arial Unicode MS" w:cs="Arial"/>
                <w:sz w:val="18"/>
                <w:szCs w:val="24"/>
              </w:rPr>
            </w:pPr>
          </w:p>
        </w:tc>
        <w:tc>
          <w:tcPr>
            <w:tcW w:w="868" w:type="dxa"/>
          </w:tcPr>
          <w:p>
            <w:pPr>
              <w:pStyle w:val="GesAbsatz"/>
              <w:jc w:val="center"/>
              <w:rPr>
                <w:rFonts w:eastAsia="Arial Unicode MS" w:cs="Arial"/>
                <w:sz w:val="18"/>
                <w:szCs w:val="24"/>
              </w:rPr>
            </w:pPr>
            <w:r>
              <w:rPr>
                <w:rFonts w:cs="Arial"/>
                <w:sz w:val="18"/>
              </w:rPr>
              <w:t>1</w:t>
            </w:r>
          </w:p>
        </w:tc>
        <w:tc>
          <w:tcPr>
            <w:tcW w:w="867" w:type="dxa"/>
          </w:tcPr>
          <w:p>
            <w:pPr>
              <w:pStyle w:val="GesAbsatz"/>
              <w:jc w:val="center"/>
              <w:rPr>
                <w:rFonts w:eastAsia="Arial Unicode MS" w:cs="Arial"/>
                <w:sz w:val="18"/>
                <w:szCs w:val="24"/>
              </w:rPr>
            </w:pPr>
            <w:r>
              <w:rPr>
                <w:rFonts w:cs="Arial"/>
                <w:sz w:val="18"/>
              </w:rPr>
              <w:t>2</w:t>
            </w:r>
            <w:r>
              <w:rPr>
                <w:rFonts w:cs="Arial"/>
                <w:sz w:val="18"/>
                <w:vertAlign w:val="superscript"/>
              </w:rPr>
              <w:t>3</w:t>
            </w:r>
          </w:p>
        </w:tc>
        <w:tc>
          <w:tcPr>
            <w:tcW w:w="853" w:type="dxa"/>
          </w:tcPr>
          <w:p>
            <w:pPr>
              <w:pStyle w:val="GesAbsatz"/>
              <w:jc w:val="center"/>
              <w:rPr>
                <w:rFonts w:eastAsia="Arial Unicode MS" w:cs="Arial"/>
                <w:sz w:val="18"/>
                <w:szCs w:val="24"/>
              </w:rPr>
            </w:pPr>
            <w:r>
              <w:rPr>
                <w:rFonts w:cs="Arial"/>
                <w:sz w:val="18"/>
              </w:rPr>
              <w:t>1</w:t>
            </w:r>
          </w:p>
        </w:tc>
        <w:tc>
          <w:tcPr>
            <w:tcW w:w="853" w:type="dxa"/>
          </w:tcPr>
          <w:p>
            <w:pPr>
              <w:pStyle w:val="GesAbsatz"/>
              <w:jc w:val="center"/>
              <w:rPr>
                <w:rFonts w:eastAsia="Arial Unicode MS" w:cs="Arial"/>
                <w:sz w:val="18"/>
                <w:szCs w:val="24"/>
              </w:rPr>
            </w:pPr>
            <w:r>
              <w:rPr>
                <w:rFonts w:cs="Arial"/>
                <w:sz w:val="18"/>
              </w:rPr>
              <w:t>2</w:t>
            </w:r>
          </w:p>
        </w:tc>
        <w:tc>
          <w:tcPr>
            <w:tcW w:w="855" w:type="dxa"/>
          </w:tcPr>
          <w:p>
            <w:pPr>
              <w:pStyle w:val="GesAbsatz"/>
              <w:jc w:val="center"/>
              <w:rPr>
                <w:rFonts w:eastAsia="Arial Unicode MS" w:cs="Arial"/>
                <w:sz w:val="18"/>
                <w:szCs w:val="24"/>
              </w:rPr>
            </w:pPr>
            <w:r>
              <w:rPr>
                <w:rFonts w:cs="Arial"/>
                <w:sz w:val="18"/>
              </w:rPr>
              <w:t>1</w:t>
            </w:r>
          </w:p>
        </w:tc>
        <w:tc>
          <w:tcPr>
            <w:tcW w:w="855" w:type="dxa"/>
          </w:tcPr>
          <w:p>
            <w:pPr>
              <w:pStyle w:val="GesAbsatz"/>
              <w:jc w:val="center"/>
              <w:rPr>
                <w:rFonts w:eastAsia="Arial Unicode MS" w:cs="Arial"/>
                <w:sz w:val="18"/>
                <w:szCs w:val="24"/>
              </w:rPr>
            </w:pPr>
            <w:r>
              <w:rPr>
                <w:rFonts w:cs="Arial"/>
                <w:sz w:val="18"/>
              </w:rPr>
              <w:t>2</w:t>
            </w:r>
          </w:p>
        </w:tc>
        <w:tc>
          <w:tcPr>
            <w:tcW w:w="844" w:type="dxa"/>
          </w:tcPr>
          <w:p>
            <w:pPr>
              <w:pStyle w:val="GesAbsatz"/>
              <w:jc w:val="center"/>
              <w:rPr>
                <w:rFonts w:eastAsia="Arial Unicode MS" w:cs="Arial"/>
                <w:sz w:val="18"/>
                <w:szCs w:val="24"/>
              </w:rPr>
            </w:pPr>
            <w:r>
              <w:rPr>
                <w:rFonts w:cs="Arial"/>
                <w:sz w:val="18"/>
              </w:rPr>
              <w:t>1</w:t>
            </w:r>
          </w:p>
        </w:tc>
        <w:tc>
          <w:tcPr>
            <w:tcW w:w="844" w:type="dxa"/>
          </w:tcPr>
          <w:p>
            <w:pPr>
              <w:pStyle w:val="GesAbsatz"/>
              <w:jc w:val="center"/>
              <w:rPr>
                <w:rFonts w:eastAsia="Arial Unicode MS" w:cs="Arial"/>
                <w:sz w:val="18"/>
                <w:szCs w:val="24"/>
              </w:rPr>
            </w:pPr>
            <w:r>
              <w:rPr>
                <w:rFonts w:cs="Arial"/>
                <w:sz w:val="18"/>
              </w:rPr>
              <w:t>2</w:t>
            </w:r>
          </w:p>
        </w:tc>
        <w:tc>
          <w:tcPr>
            <w:tcW w:w="836" w:type="dxa"/>
          </w:tcPr>
          <w:p>
            <w:pPr>
              <w:pStyle w:val="GesAbsatz"/>
              <w:jc w:val="center"/>
              <w:rPr>
                <w:rFonts w:eastAsia="Arial Unicode MS" w:cs="Arial"/>
                <w:sz w:val="18"/>
                <w:szCs w:val="24"/>
              </w:rPr>
            </w:pPr>
            <w:r>
              <w:rPr>
                <w:rFonts w:cs="Arial"/>
                <w:sz w:val="18"/>
              </w:rPr>
              <w:t>1</w:t>
            </w:r>
          </w:p>
        </w:tc>
        <w:tc>
          <w:tcPr>
            <w:tcW w:w="836" w:type="dxa"/>
          </w:tcPr>
          <w:p>
            <w:pPr>
              <w:pStyle w:val="GesAbsatz"/>
              <w:jc w:val="center"/>
              <w:rPr>
                <w:rFonts w:eastAsia="Arial Unicode MS" w:cs="Arial"/>
                <w:sz w:val="18"/>
                <w:szCs w:val="24"/>
              </w:rPr>
            </w:pPr>
            <w:r>
              <w:rPr>
                <w:rFonts w:cs="Arial"/>
                <w:sz w:val="18"/>
              </w:rPr>
              <w:t>2</w:t>
            </w:r>
          </w:p>
        </w:tc>
      </w:tr>
      <w:tr>
        <w:tc>
          <w:tcPr>
            <w:tcW w:w="1267" w:type="dxa"/>
          </w:tcPr>
          <w:p>
            <w:pPr>
              <w:pStyle w:val="GesAbsatz"/>
              <w:rPr>
                <w:rFonts w:eastAsia="Arial Unicode MS" w:cs="Arial"/>
                <w:sz w:val="18"/>
                <w:szCs w:val="24"/>
              </w:rPr>
            </w:pPr>
            <w:r>
              <w:rPr>
                <w:rFonts w:cs="Arial"/>
                <w:sz w:val="18"/>
              </w:rPr>
              <w:t xml:space="preserve">0 - 25 % </w:t>
            </w:r>
          </w:p>
        </w:tc>
        <w:tc>
          <w:tcPr>
            <w:tcW w:w="868" w:type="dxa"/>
          </w:tcPr>
          <w:p>
            <w:pPr>
              <w:pStyle w:val="GesAbsatz"/>
              <w:tabs>
                <w:tab w:val="clear" w:pos="425"/>
                <w:tab w:val="decimal" w:pos="434"/>
              </w:tabs>
              <w:rPr>
                <w:rFonts w:eastAsia="Arial Unicode MS" w:cs="Arial"/>
                <w:sz w:val="18"/>
                <w:szCs w:val="24"/>
              </w:rPr>
            </w:pPr>
            <w:r>
              <w:rPr>
                <w:rFonts w:cs="Arial"/>
                <w:sz w:val="18"/>
              </w:rPr>
              <w:t>11</w:t>
            </w:r>
          </w:p>
        </w:tc>
        <w:tc>
          <w:tcPr>
            <w:tcW w:w="867" w:type="dxa"/>
          </w:tcPr>
          <w:p>
            <w:pPr>
              <w:pStyle w:val="GesAbsatz"/>
              <w:tabs>
                <w:tab w:val="clear" w:pos="425"/>
                <w:tab w:val="decimal" w:pos="434"/>
              </w:tabs>
              <w:rPr>
                <w:rFonts w:eastAsia="Arial Unicode MS" w:cs="Arial"/>
                <w:sz w:val="18"/>
                <w:szCs w:val="24"/>
              </w:rPr>
            </w:pPr>
            <w:r>
              <w:rPr>
                <w:rFonts w:cs="Arial"/>
                <w:sz w:val="18"/>
              </w:rPr>
              <w:t>13</w:t>
            </w:r>
          </w:p>
        </w:tc>
        <w:tc>
          <w:tcPr>
            <w:tcW w:w="853" w:type="dxa"/>
          </w:tcPr>
          <w:p>
            <w:pPr>
              <w:pStyle w:val="GesAbsatz"/>
              <w:tabs>
                <w:tab w:val="clear" w:pos="425"/>
                <w:tab w:val="decimal" w:pos="434"/>
              </w:tabs>
              <w:rPr>
                <w:rFonts w:eastAsia="Arial Unicode MS" w:cs="Arial"/>
                <w:sz w:val="18"/>
                <w:szCs w:val="24"/>
              </w:rPr>
            </w:pPr>
            <w:r>
              <w:rPr>
                <w:rFonts w:cs="Arial"/>
                <w:sz w:val="18"/>
              </w:rPr>
              <w:t>17</w:t>
            </w:r>
          </w:p>
        </w:tc>
        <w:tc>
          <w:tcPr>
            <w:tcW w:w="853" w:type="dxa"/>
          </w:tcPr>
          <w:p>
            <w:pPr>
              <w:pStyle w:val="GesAbsatz"/>
              <w:tabs>
                <w:tab w:val="clear" w:pos="425"/>
                <w:tab w:val="decimal" w:pos="434"/>
              </w:tabs>
              <w:rPr>
                <w:rFonts w:eastAsia="Arial Unicode MS" w:cs="Arial"/>
                <w:sz w:val="18"/>
                <w:szCs w:val="24"/>
              </w:rPr>
            </w:pPr>
            <w:r>
              <w:rPr>
                <w:rFonts w:cs="Arial"/>
                <w:sz w:val="18"/>
              </w:rPr>
              <w:t>17</w:t>
            </w:r>
          </w:p>
        </w:tc>
        <w:tc>
          <w:tcPr>
            <w:tcW w:w="855" w:type="dxa"/>
          </w:tcPr>
          <w:p>
            <w:pPr>
              <w:pStyle w:val="GesAbsatz"/>
              <w:tabs>
                <w:tab w:val="clear" w:pos="425"/>
                <w:tab w:val="decimal" w:pos="434"/>
              </w:tabs>
              <w:rPr>
                <w:rFonts w:eastAsia="Arial Unicode MS" w:cs="Arial"/>
                <w:sz w:val="18"/>
                <w:szCs w:val="24"/>
              </w:rPr>
            </w:pPr>
            <w:r>
              <w:rPr>
                <w:rFonts w:cs="Arial"/>
                <w:sz w:val="18"/>
              </w:rPr>
              <w:t>18</w:t>
            </w:r>
          </w:p>
        </w:tc>
        <w:tc>
          <w:tcPr>
            <w:tcW w:w="855" w:type="dxa"/>
          </w:tcPr>
          <w:p>
            <w:pPr>
              <w:pStyle w:val="GesAbsatz"/>
              <w:tabs>
                <w:tab w:val="clear" w:pos="425"/>
                <w:tab w:val="decimal" w:pos="434"/>
              </w:tabs>
              <w:rPr>
                <w:rFonts w:eastAsia="Arial Unicode MS" w:cs="Arial"/>
                <w:sz w:val="18"/>
                <w:szCs w:val="24"/>
              </w:rPr>
            </w:pPr>
            <w:r>
              <w:rPr>
                <w:rFonts w:cs="Arial"/>
                <w:sz w:val="18"/>
              </w:rPr>
              <w:t>19</w:t>
            </w:r>
          </w:p>
        </w:tc>
        <w:tc>
          <w:tcPr>
            <w:tcW w:w="844" w:type="dxa"/>
          </w:tcPr>
          <w:p>
            <w:pPr>
              <w:pStyle w:val="GesAbsatz"/>
              <w:tabs>
                <w:tab w:val="clear" w:pos="425"/>
                <w:tab w:val="decimal" w:pos="434"/>
              </w:tabs>
              <w:rPr>
                <w:rFonts w:eastAsia="Arial Unicode MS" w:cs="Arial"/>
                <w:sz w:val="18"/>
                <w:szCs w:val="24"/>
              </w:rPr>
            </w:pPr>
            <w:r>
              <w:rPr>
                <w:rFonts w:cs="Arial"/>
                <w:sz w:val="18"/>
              </w:rPr>
              <w:t>27</w:t>
            </w:r>
          </w:p>
        </w:tc>
        <w:tc>
          <w:tcPr>
            <w:tcW w:w="844" w:type="dxa"/>
          </w:tcPr>
          <w:p>
            <w:pPr>
              <w:pStyle w:val="GesAbsatz"/>
              <w:tabs>
                <w:tab w:val="clear" w:pos="425"/>
                <w:tab w:val="decimal" w:pos="434"/>
              </w:tabs>
              <w:rPr>
                <w:rFonts w:eastAsia="Arial Unicode MS" w:cs="Arial"/>
                <w:sz w:val="18"/>
                <w:szCs w:val="24"/>
              </w:rPr>
            </w:pPr>
            <w:r>
              <w:rPr>
                <w:rFonts w:cs="Arial"/>
                <w:sz w:val="18"/>
              </w:rPr>
              <w:t>33</w:t>
            </w:r>
          </w:p>
        </w:tc>
        <w:tc>
          <w:tcPr>
            <w:tcW w:w="836" w:type="dxa"/>
          </w:tcPr>
          <w:p>
            <w:pPr>
              <w:pStyle w:val="GesAbsatz"/>
              <w:tabs>
                <w:tab w:val="clear" w:pos="425"/>
                <w:tab w:val="decimal" w:pos="434"/>
              </w:tabs>
              <w:rPr>
                <w:rFonts w:eastAsia="Arial Unicode MS" w:cs="Arial"/>
                <w:sz w:val="18"/>
                <w:szCs w:val="24"/>
              </w:rPr>
            </w:pPr>
            <w:r>
              <w:rPr>
                <w:rFonts w:cs="Arial"/>
                <w:sz w:val="18"/>
              </w:rPr>
              <w:t>9</w:t>
            </w:r>
          </w:p>
        </w:tc>
        <w:tc>
          <w:tcPr>
            <w:tcW w:w="836" w:type="dxa"/>
          </w:tcPr>
          <w:p>
            <w:pPr>
              <w:pStyle w:val="GesAbsatz"/>
              <w:tabs>
                <w:tab w:val="clear" w:pos="425"/>
                <w:tab w:val="decimal" w:pos="434"/>
              </w:tabs>
              <w:rPr>
                <w:rFonts w:eastAsia="Arial Unicode MS" w:cs="Arial"/>
                <w:sz w:val="18"/>
                <w:szCs w:val="24"/>
              </w:rPr>
            </w:pPr>
            <w:r>
              <w:rPr>
                <w:rFonts w:cs="Arial"/>
                <w:sz w:val="18"/>
              </w:rPr>
              <w:t>19</w:t>
            </w:r>
          </w:p>
        </w:tc>
      </w:tr>
      <w:tr>
        <w:tc>
          <w:tcPr>
            <w:tcW w:w="1267" w:type="dxa"/>
          </w:tcPr>
          <w:p>
            <w:pPr>
              <w:pStyle w:val="GesAbsatz"/>
              <w:rPr>
                <w:rFonts w:eastAsia="Arial Unicode MS" w:cs="Arial"/>
                <w:sz w:val="18"/>
                <w:szCs w:val="24"/>
              </w:rPr>
            </w:pPr>
            <w:r>
              <w:rPr>
                <w:rFonts w:cs="Arial"/>
                <w:sz w:val="18"/>
              </w:rPr>
              <w:t>26 - 50 %</w:t>
            </w:r>
          </w:p>
        </w:tc>
        <w:tc>
          <w:tcPr>
            <w:tcW w:w="868" w:type="dxa"/>
          </w:tcPr>
          <w:p>
            <w:pPr>
              <w:pStyle w:val="GesAbsatz"/>
              <w:tabs>
                <w:tab w:val="clear" w:pos="425"/>
                <w:tab w:val="decimal" w:pos="434"/>
              </w:tabs>
              <w:rPr>
                <w:rFonts w:eastAsia="Arial Unicode MS" w:cs="Arial"/>
                <w:sz w:val="18"/>
                <w:szCs w:val="24"/>
              </w:rPr>
            </w:pPr>
            <w:r>
              <w:rPr>
                <w:rFonts w:cs="Arial"/>
                <w:sz w:val="18"/>
              </w:rPr>
              <w:t>—</w:t>
            </w:r>
          </w:p>
        </w:tc>
        <w:tc>
          <w:tcPr>
            <w:tcW w:w="867" w:type="dxa"/>
          </w:tcPr>
          <w:p>
            <w:pPr>
              <w:pStyle w:val="GesAbsatz"/>
              <w:tabs>
                <w:tab w:val="clear" w:pos="425"/>
                <w:tab w:val="decimal" w:pos="434"/>
              </w:tabs>
              <w:rPr>
                <w:rFonts w:eastAsia="Arial Unicode MS" w:cs="Arial"/>
                <w:sz w:val="18"/>
                <w:szCs w:val="24"/>
              </w:rPr>
            </w:pPr>
            <w:r>
              <w:rPr>
                <w:rFonts w:cs="Arial"/>
                <w:sz w:val="18"/>
              </w:rPr>
              <w:t xml:space="preserve">— </w:t>
            </w:r>
          </w:p>
        </w:tc>
        <w:tc>
          <w:tcPr>
            <w:tcW w:w="853" w:type="dxa"/>
          </w:tcPr>
          <w:p>
            <w:pPr>
              <w:pStyle w:val="GesAbsatz"/>
              <w:tabs>
                <w:tab w:val="clear" w:pos="425"/>
                <w:tab w:val="decimal" w:pos="434"/>
              </w:tabs>
              <w:rPr>
                <w:rFonts w:eastAsia="Arial Unicode MS" w:cs="Arial"/>
                <w:sz w:val="18"/>
                <w:szCs w:val="24"/>
              </w:rPr>
            </w:pPr>
            <w:r>
              <w:rPr>
                <w:rFonts w:cs="Arial"/>
                <w:sz w:val="18"/>
              </w:rPr>
              <w:t>1</w:t>
            </w:r>
          </w:p>
        </w:tc>
        <w:tc>
          <w:tcPr>
            <w:tcW w:w="853" w:type="dxa"/>
          </w:tcPr>
          <w:p>
            <w:pPr>
              <w:pStyle w:val="GesAbsatz"/>
              <w:tabs>
                <w:tab w:val="clear" w:pos="425"/>
                <w:tab w:val="decimal" w:pos="434"/>
              </w:tabs>
              <w:rPr>
                <w:rFonts w:eastAsia="Arial Unicode MS" w:cs="Arial"/>
                <w:sz w:val="18"/>
                <w:szCs w:val="24"/>
              </w:rPr>
            </w:pPr>
            <w:r>
              <w:rPr>
                <w:rFonts w:cs="Arial"/>
                <w:sz w:val="18"/>
              </w:rPr>
              <w:t>1</w:t>
            </w:r>
          </w:p>
        </w:tc>
        <w:tc>
          <w:tcPr>
            <w:tcW w:w="855" w:type="dxa"/>
          </w:tcPr>
          <w:p>
            <w:pPr>
              <w:pStyle w:val="GesAbsatz"/>
              <w:tabs>
                <w:tab w:val="clear" w:pos="425"/>
                <w:tab w:val="decimal" w:pos="434"/>
              </w:tabs>
              <w:rPr>
                <w:rFonts w:eastAsia="Arial Unicode MS" w:cs="Arial"/>
                <w:sz w:val="18"/>
                <w:szCs w:val="24"/>
              </w:rPr>
            </w:pPr>
            <w:r>
              <w:rPr>
                <w:rFonts w:cs="Arial"/>
                <w:sz w:val="18"/>
              </w:rPr>
              <w:t>3</w:t>
            </w:r>
          </w:p>
        </w:tc>
        <w:tc>
          <w:tcPr>
            <w:tcW w:w="855" w:type="dxa"/>
          </w:tcPr>
          <w:p>
            <w:pPr>
              <w:pStyle w:val="GesAbsatz"/>
              <w:tabs>
                <w:tab w:val="clear" w:pos="425"/>
                <w:tab w:val="decimal" w:pos="434"/>
              </w:tabs>
              <w:rPr>
                <w:rFonts w:eastAsia="Arial Unicode MS" w:cs="Arial"/>
                <w:sz w:val="18"/>
                <w:szCs w:val="24"/>
              </w:rPr>
            </w:pPr>
            <w:r>
              <w:rPr>
                <w:rFonts w:cs="Arial"/>
                <w:sz w:val="18"/>
              </w:rPr>
              <w:t>7</w:t>
            </w:r>
          </w:p>
        </w:tc>
        <w:tc>
          <w:tcPr>
            <w:tcW w:w="844" w:type="dxa"/>
          </w:tcPr>
          <w:p>
            <w:pPr>
              <w:pStyle w:val="GesAbsatz"/>
              <w:tabs>
                <w:tab w:val="clear" w:pos="425"/>
                <w:tab w:val="decimal" w:pos="434"/>
              </w:tabs>
              <w:rPr>
                <w:rFonts w:eastAsia="Arial Unicode MS" w:cs="Arial"/>
                <w:sz w:val="18"/>
                <w:szCs w:val="24"/>
              </w:rPr>
            </w:pPr>
            <w:r>
              <w:rPr>
                <w:rFonts w:cs="Arial"/>
                <w:sz w:val="18"/>
              </w:rPr>
              <w:t xml:space="preserve">2 </w:t>
            </w:r>
          </w:p>
        </w:tc>
        <w:tc>
          <w:tcPr>
            <w:tcW w:w="844" w:type="dxa"/>
          </w:tcPr>
          <w:p>
            <w:pPr>
              <w:pStyle w:val="GesAbsatz"/>
              <w:tabs>
                <w:tab w:val="clear" w:pos="425"/>
                <w:tab w:val="decimal" w:pos="434"/>
              </w:tabs>
              <w:rPr>
                <w:rFonts w:eastAsia="Arial Unicode MS" w:cs="Arial"/>
                <w:sz w:val="18"/>
                <w:szCs w:val="24"/>
              </w:rPr>
            </w:pPr>
            <w:r>
              <w:rPr>
                <w:rFonts w:cs="Arial"/>
                <w:sz w:val="18"/>
              </w:rPr>
              <w:t>2</w:t>
            </w:r>
          </w:p>
        </w:tc>
        <w:tc>
          <w:tcPr>
            <w:tcW w:w="836" w:type="dxa"/>
          </w:tcPr>
          <w:p>
            <w:pPr>
              <w:pStyle w:val="GesAbsatz"/>
              <w:tabs>
                <w:tab w:val="clear" w:pos="425"/>
                <w:tab w:val="decimal" w:pos="434"/>
              </w:tabs>
              <w:rPr>
                <w:rFonts w:eastAsia="Arial Unicode MS" w:cs="Arial"/>
                <w:sz w:val="18"/>
                <w:szCs w:val="24"/>
              </w:rPr>
            </w:pPr>
            <w:r>
              <w:rPr>
                <w:rFonts w:cs="Arial"/>
                <w:sz w:val="18"/>
              </w:rPr>
              <w:t>—</w:t>
            </w:r>
          </w:p>
        </w:tc>
        <w:tc>
          <w:tcPr>
            <w:tcW w:w="836" w:type="dxa"/>
          </w:tcPr>
          <w:p>
            <w:pPr>
              <w:pStyle w:val="GesAbsatz"/>
              <w:tabs>
                <w:tab w:val="clear" w:pos="425"/>
                <w:tab w:val="decimal" w:pos="434"/>
              </w:tabs>
              <w:rPr>
                <w:rFonts w:eastAsia="Arial Unicode MS" w:cs="Arial"/>
                <w:sz w:val="18"/>
                <w:szCs w:val="24"/>
              </w:rPr>
            </w:pPr>
            <w:r>
              <w:rPr>
                <w:rFonts w:cs="Arial"/>
                <w:sz w:val="18"/>
              </w:rPr>
              <w:t>—</w:t>
            </w:r>
          </w:p>
        </w:tc>
      </w:tr>
      <w:tr>
        <w:tc>
          <w:tcPr>
            <w:tcW w:w="1267" w:type="dxa"/>
          </w:tcPr>
          <w:p>
            <w:pPr>
              <w:pStyle w:val="GesAbsatz"/>
              <w:rPr>
                <w:rFonts w:eastAsia="Arial Unicode MS" w:cs="Arial"/>
                <w:sz w:val="18"/>
                <w:szCs w:val="24"/>
              </w:rPr>
            </w:pPr>
            <w:r>
              <w:rPr>
                <w:rFonts w:cs="Arial"/>
                <w:sz w:val="18"/>
              </w:rPr>
              <w:t>51 - 75 %</w:t>
            </w:r>
          </w:p>
        </w:tc>
        <w:tc>
          <w:tcPr>
            <w:tcW w:w="868" w:type="dxa"/>
          </w:tcPr>
          <w:p>
            <w:pPr>
              <w:pStyle w:val="GesAbsatz"/>
              <w:tabs>
                <w:tab w:val="clear" w:pos="425"/>
                <w:tab w:val="decimal" w:pos="434"/>
              </w:tabs>
              <w:rPr>
                <w:rFonts w:eastAsia="Arial Unicode MS" w:cs="Arial"/>
                <w:sz w:val="18"/>
                <w:szCs w:val="24"/>
              </w:rPr>
            </w:pPr>
            <w:r>
              <w:rPr>
                <w:rFonts w:cs="Arial"/>
                <w:sz w:val="18"/>
              </w:rPr>
              <w:t>—</w:t>
            </w:r>
          </w:p>
        </w:tc>
        <w:tc>
          <w:tcPr>
            <w:tcW w:w="867" w:type="dxa"/>
          </w:tcPr>
          <w:p>
            <w:pPr>
              <w:pStyle w:val="GesAbsatz"/>
              <w:tabs>
                <w:tab w:val="clear" w:pos="425"/>
                <w:tab w:val="decimal" w:pos="434"/>
              </w:tabs>
              <w:rPr>
                <w:rFonts w:eastAsia="Arial Unicode MS" w:cs="Arial"/>
                <w:sz w:val="18"/>
                <w:szCs w:val="24"/>
              </w:rPr>
            </w:pPr>
            <w:r>
              <w:rPr>
                <w:rFonts w:cs="Arial"/>
                <w:sz w:val="18"/>
              </w:rPr>
              <w:t xml:space="preserve">— </w:t>
            </w:r>
          </w:p>
        </w:tc>
        <w:tc>
          <w:tcPr>
            <w:tcW w:w="853" w:type="dxa"/>
          </w:tcPr>
          <w:p>
            <w:pPr>
              <w:pStyle w:val="GesAbsatz"/>
              <w:tabs>
                <w:tab w:val="clear" w:pos="425"/>
                <w:tab w:val="decimal" w:pos="434"/>
              </w:tabs>
              <w:rPr>
                <w:rFonts w:eastAsia="Arial Unicode MS" w:cs="Arial"/>
                <w:sz w:val="18"/>
                <w:szCs w:val="24"/>
              </w:rPr>
            </w:pPr>
            <w:r>
              <w:rPr>
                <w:rFonts w:cs="Arial"/>
                <w:sz w:val="18"/>
              </w:rPr>
              <w:t xml:space="preserve">1 </w:t>
            </w:r>
          </w:p>
        </w:tc>
        <w:tc>
          <w:tcPr>
            <w:tcW w:w="853" w:type="dxa"/>
          </w:tcPr>
          <w:p>
            <w:pPr>
              <w:pStyle w:val="GesAbsatz"/>
              <w:tabs>
                <w:tab w:val="clear" w:pos="425"/>
                <w:tab w:val="decimal" w:pos="434"/>
              </w:tabs>
              <w:rPr>
                <w:rFonts w:eastAsia="Arial Unicode MS" w:cs="Arial"/>
                <w:sz w:val="18"/>
                <w:szCs w:val="24"/>
              </w:rPr>
            </w:pPr>
            <w:r>
              <w:rPr>
                <w:rFonts w:cs="Arial"/>
                <w:sz w:val="18"/>
              </w:rPr>
              <w:t>1</w:t>
            </w:r>
          </w:p>
        </w:tc>
        <w:tc>
          <w:tcPr>
            <w:tcW w:w="855" w:type="dxa"/>
          </w:tcPr>
          <w:p>
            <w:pPr>
              <w:pStyle w:val="GesAbsatz"/>
              <w:tabs>
                <w:tab w:val="clear" w:pos="425"/>
                <w:tab w:val="decimal" w:pos="434"/>
              </w:tabs>
              <w:rPr>
                <w:rFonts w:eastAsia="Arial Unicode MS" w:cs="Arial"/>
                <w:sz w:val="18"/>
                <w:szCs w:val="24"/>
              </w:rPr>
            </w:pPr>
            <w:r>
              <w:rPr>
                <w:rFonts w:cs="Arial"/>
                <w:sz w:val="18"/>
              </w:rPr>
              <w:t>2</w:t>
            </w:r>
          </w:p>
        </w:tc>
        <w:tc>
          <w:tcPr>
            <w:tcW w:w="855" w:type="dxa"/>
          </w:tcPr>
          <w:p>
            <w:pPr>
              <w:pStyle w:val="GesAbsatz"/>
              <w:tabs>
                <w:tab w:val="clear" w:pos="425"/>
                <w:tab w:val="decimal" w:pos="434"/>
              </w:tabs>
              <w:rPr>
                <w:rFonts w:eastAsia="Arial Unicode MS" w:cs="Arial"/>
                <w:sz w:val="18"/>
                <w:szCs w:val="24"/>
              </w:rPr>
            </w:pPr>
            <w:r>
              <w:rPr>
                <w:rFonts w:cs="Arial"/>
                <w:sz w:val="18"/>
              </w:rPr>
              <w:t>2</w:t>
            </w:r>
          </w:p>
        </w:tc>
        <w:tc>
          <w:tcPr>
            <w:tcW w:w="844" w:type="dxa"/>
          </w:tcPr>
          <w:p>
            <w:pPr>
              <w:pStyle w:val="GesAbsatz"/>
              <w:tabs>
                <w:tab w:val="clear" w:pos="425"/>
                <w:tab w:val="decimal" w:pos="434"/>
              </w:tabs>
              <w:rPr>
                <w:rFonts w:eastAsia="Arial Unicode MS" w:cs="Arial"/>
                <w:sz w:val="18"/>
                <w:szCs w:val="24"/>
              </w:rPr>
            </w:pPr>
            <w:r>
              <w:rPr>
                <w:rFonts w:cs="Arial"/>
                <w:sz w:val="18"/>
              </w:rPr>
              <w:t>1</w:t>
            </w:r>
          </w:p>
        </w:tc>
        <w:tc>
          <w:tcPr>
            <w:tcW w:w="844" w:type="dxa"/>
          </w:tcPr>
          <w:p>
            <w:pPr>
              <w:pStyle w:val="GesAbsatz"/>
              <w:tabs>
                <w:tab w:val="clear" w:pos="425"/>
                <w:tab w:val="decimal" w:pos="434"/>
              </w:tabs>
              <w:rPr>
                <w:rFonts w:eastAsia="Arial Unicode MS" w:cs="Arial"/>
                <w:sz w:val="18"/>
                <w:szCs w:val="24"/>
              </w:rPr>
            </w:pPr>
            <w:r>
              <w:rPr>
                <w:rFonts w:cs="Arial"/>
                <w:sz w:val="18"/>
              </w:rPr>
              <w:t xml:space="preserve">3 </w:t>
            </w:r>
          </w:p>
        </w:tc>
        <w:tc>
          <w:tcPr>
            <w:tcW w:w="836" w:type="dxa"/>
          </w:tcPr>
          <w:p>
            <w:pPr>
              <w:pStyle w:val="GesAbsatz"/>
              <w:tabs>
                <w:tab w:val="clear" w:pos="425"/>
                <w:tab w:val="decimal" w:pos="434"/>
              </w:tabs>
              <w:rPr>
                <w:rFonts w:eastAsia="Arial Unicode MS" w:cs="Arial"/>
                <w:sz w:val="18"/>
                <w:szCs w:val="24"/>
              </w:rPr>
            </w:pPr>
            <w:r>
              <w:rPr>
                <w:rFonts w:cs="Arial"/>
                <w:sz w:val="18"/>
              </w:rPr>
              <w:t>—</w:t>
            </w:r>
          </w:p>
        </w:tc>
        <w:tc>
          <w:tcPr>
            <w:tcW w:w="836" w:type="dxa"/>
          </w:tcPr>
          <w:p>
            <w:pPr>
              <w:pStyle w:val="GesAbsatz"/>
              <w:tabs>
                <w:tab w:val="clear" w:pos="425"/>
                <w:tab w:val="decimal" w:pos="434"/>
              </w:tabs>
              <w:rPr>
                <w:rFonts w:eastAsia="Arial Unicode MS" w:cs="Arial"/>
                <w:sz w:val="18"/>
                <w:szCs w:val="24"/>
              </w:rPr>
            </w:pPr>
            <w:r>
              <w:rPr>
                <w:rFonts w:cs="Arial"/>
                <w:sz w:val="18"/>
              </w:rPr>
              <w:t>—</w:t>
            </w:r>
          </w:p>
        </w:tc>
      </w:tr>
      <w:tr>
        <w:tc>
          <w:tcPr>
            <w:tcW w:w="1267" w:type="dxa"/>
          </w:tcPr>
          <w:p>
            <w:pPr>
              <w:pStyle w:val="GesAbsatz"/>
              <w:rPr>
                <w:rFonts w:eastAsia="Arial Unicode MS" w:cs="Arial"/>
                <w:sz w:val="18"/>
                <w:szCs w:val="24"/>
              </w:rPr>
            </w:pPr>
            <w:r>
              <w:rPr>
                <w:rFonts w:cs="Arial"/>
                <w:sz w:val="18"/>
              </w:rPr>
              <w:t>76 - 100 %</w:t>
            </w:r>
          </w:p>
        </w:tc>
        <w:tc>
          <w:tcPr>
            <w:tcW w:w="868" w:type="dxa"/>
          </w:tcPr>
          <w:p>
            <w:pPr>
              <w:pStyle w:val="GesAbsatz"/>
              <w:tabs>
                <w:tab w:val="clear" w:pos="425"/>
                <w:tab w:val="decimal" w:pos="434"/>
              </w:tabs>
              <w:rPr>
                <w:rFonts w:eastAsia="Arial Unicode MS" w:cs="Arial"/>
                <w:sz w:val="18"/>
                <w:szCs w:val="24"/>
              </w:rPr>
            </w:pPr>
            <w:r>
              <w:rPr>
                <w:rFonts w:cs="Arial"/>
                <w:sz w:val="18"/>
              </w:rPr>
              <w:t>—</w:t>
            </w:r>
          </w:p>
        </w:tc>
        <w:tc>
          <w:tcPr>
            <w:tcW w:w="867" w:type="dxa"/>
          </w:tcPr>
          <w:p>
            <w:pPr>
              <w:pStyle w:val="GesAbsatz"/>
              <w:tabs>
                <w:tab w:val="clear" w:pos="425"/>
                <w:tab w:val="decimal" w:pos="434"/>
              </w:tabs>
              <w:rPr>
                <w:rFonts w:eastAsia="Arial Unicode MS" w:cs="Arial"/>
                <w:sz w:val="18"/>
                <w:szCs w:val="24"/>
              </w:rPr>
            </w:pPr>
            <w:r>
              <w:rPr>
                <w:rFonts w:cs="Arial"/>
                <w:sz w:val="18"/>
              </w:rPr>
              <w:t>—</w:t>
            </w:r>
          </w:p>
        </w:tc>
        <w:tc>
          <w:tcPr>
            <w:tcW w:w="853" w:type="dxa"/>
          </w:tcPr>
          <w:p>
            <w:pPr>
              <w:pStyle w:val="GesAbsatz"/>
              <w:tabs>
                <w:tab w:val="clear" w:pos="425"/>
                <w:tab w:val="decimal" w:pos="434"/>
              </w:tabs>
              <w:rPr>
                <w:rFonts w:eastAsia="Arial Unicode MS" w:cs="Arial"/>
                <w:sz w:val="18"/>
                <w:szCs w:val="24"/>
              </w:rPr>
            </w:pPr>
            <w:r>
              <w:rPr>
                <w:rFonts w:cs="Arial"/>
                <w:sz w:val="18"/>
              </w:rPr>
              <w:t>—</w:t>
            </w:r>
          </w:p>
        </w:tc>
        <w:tc>
          <w:tcPr>
            <w:tcW w:w="853" w:type="dxa"/>
          </w:tcPr>
          <w:p>
            <w:pPr>
              <w:pStyle w:val="GesAbsatz"/>
              <w:tabs>
                <w:tab w:val="clear" w:pos="425"/>
                <w:tab w:val="decimal" w:pos="434"/>
              </w:tabs>
              <w:rPr>
                <w:rFonts w:eastAsia="Arial Unicode MS" w:cs="Arial"/>
                <w:sz w:val="18"/>
                <w:szCs w:val="24"/>
              </w:rPr>
            </w:pPr>
            <w:r>
              <w:rPr>
                <w:rFonts w:cs="Arial"/>
                <w:sz w:val="18"/>
              </w:rPr>
              <w:t xml:space="preserve">— </w:t>
            </w:r>
          </w:p>
        </w:tc>
        <w:tc>
          <w:tcPr>
            <w:tcW w:w="855" w:type="dxa"/>
          </w:tcPr>
          <w:p>
            <w:pPr>
              <w:pStyle w:val="GesAbsatz"/>
              <w:tabs>
                <w:tab w:val="clear" w:pos="425"/>
                <w:tab w:val="decimal" w:pos="434"/>
              </w:tabs>
              <w:rPr>
                <w:rFonts w:eastAsia="Arial Unicode MS" w:cs="Arial"/>
                <w:sz w:val="18"/>
                <w:szCs w:val="24"/>
              </w:rPr>
            </w:pPr>
            <w:r>
              <w:rPr>
                <w:rFonts w:cs="Arial"/>
                <w:sz w:val="18"/>
              </w:rPr>
              <w:t>4</w:t>
            </w:r>
          </w:p>
        </w:tc>
        <w:tc>
          <w:tcPr>
            <w:tcW w:w="855" w:type="dxa"/>
          </w:tcPr>
          <w:p>
            <w:pPr>
              <w:pStyle w:val="GesAbsatz"/>
              <w:tabs>
                <w:tab w:val="clear" w:pos="425"/>
                <w:tab w:val="decimal" w:pos="434"/>
              </w:tabs>
              <w:rPr>
                <w:rFonts w:eastAsia="Arial Unicode MS" w:cs="Arial"/>
                <w:sz w:val="18"/>
                <w:szCs w:val="24"/>
              </w:rPr>
            </w:pPr>
            <w:r>
              <w:rPr>
                <w:rFonts w:cs="Arial"/>
                <w:sz w:val="18"/>
              </w:rPr>
              <w:t>5</w:t>
            </w:r>
          </w:p>
        </w:tc>
        <w:tc>
          <w:tcPr>
            <w:tcW w:w="844" w:type="dxa"/>
          </w:tcPr>
          <w:p>
            <w:pPr>
              <w:pStyle w:val="GesAbsatz"/>
              <w:tabs>
                <w:tab w:val="clear" w:pos="425"/>
                <w:tab w:val="decimal" w:pos="434"/>
              </w:tabs>
              <w:rPr>
                <w:rFonts w:eastAsia="Arial Unicode MS" w:cs="Arial"/>
                <w:sz w:val="18"/>
                <w:szCs w:val="24"/>
              </w:rPr>
            </w:pPr>
            <w:r>
              <w:rPr>
                <w:rFonts w:cs="Arial"/>
                <w:sz w:val="18"/>
              </w:rPr>
              <w:t>1</w:t>
            </w:r>
          </w:p>
        </w:tc>
        <w:tc>
          <w:tcPr>
            <w:tcW w:w="844" w:type="dxa"/>
          </w:tcPr>
          <w:p>
            <w:pPr>
              <w:pStyle w:val="GesAbsatz"/>
              <w:tabs>
                <w:tab w:val="clear" w:pos="425"/>
                <w:tab w:val="decimal" w:pos="434"/>
              </w:tabs>
              <w:rPr>
                <w:rFonts w:eastAsia="Arial Unicode MS" w:cs="Arial"/>
                <w:sz w:val="18"/>
                <w:szCs w:val="24"/>
              </w:rPr>
            </w:pPr>
            <w:r>
              <w:rPr>
                <w:rFonts w:cs="Arial"/>
                <w:sz w:val="18"/>
              </w:rPr>
              <w:t>3</w:t>
            </w:r>
          </w:p>
        </w:tc>
        <w:tc>
          <w:tcPr>
            <w:tcW w:w="836" w:type="dxa"/>
          </w:tcPr>
          <w:p>
            <w:pPr>
              <w:pStyle w:val="GesAbsatz"/>
              <w:tabs>
                <w:tab w:val="clear" w:pos="425"/>
                <w:tab w:val="decimal" w:pos="434"/>
              </w:tabs>
              <w:rPr>
                <w:rFonts w:eastAsia="Arial Unicode MS" w:cs="Arial"/>
                <w:sz w:val="18"/>
                <w:szCs w:val="24"/>
              </w:rPr>
            </w:pPr>
            <w:r>
              <w:rPr>
                <w:rFonts w:cs="Arial"/>
                <w:sz w:val="18"/>
              </w:rPr>
              <w:t>2</w:t>
            </w:r>
          </w:p>
        </w:tc>
        <w:tc>
          <w:tcPr>
            <w:tcW w:w="836" w:type="dxa"/>
          </w:tcPr>
          <w:p>
            <w:pPr>
              <w:pStyle w:val="GesAbsatz"/>
              <w:tabs>
                <w:tab w:val="clear" w:pos="425"/>
                <w:tab w:val="decimal" w:pos="434"/>
              </w:tabs>
              <w:rPr>
                <w:rFonts w:eastAsia="Arial Unicode MS" w:cs="Arial"/>
                <w:sz w:val="18"/>
                <w:szCs w:val="24"/>
              </w:rPr>
            </w:pPr>
            <w:r>
              <w:rPr>
                <w:rFonts w:cs="Arial"/>
                <w:sz w:val="18"/>
              </w:rPr>
              <w:t>2</w:t>
            </w:r>
          </w:p>
        </w:tc>
      </w:tr>
      <w:tr>
        <w:tc>
          <w:tcPr>
            <w:tcW w:w="1267" w:type="dxa"/>
          </w:tcPr>
          <w:p>
            <w:pPr>
              <w:pStyle w:val="GesAbsatz"/>
              <w:rPr>
                <w:rFonts w:eastAsia="Arial Unicode MS" w:cs="Arial"/>
                <w:sz w:val="18"/>
                <w:szCs w:val="24"/>
              </w:rPr>
            </w:pPr>
            <w:r>
              <w:rPr>
                <w:rFonts w:cs="Arial"/>
                <w:sz w:val="18"/>
              </w:rPr>
              <w:t>gesamt</w:t>
            </w:r>
          </w:p>
        </w:tc>
        <w:tc>
          <w:tcPr>
            <w:tcW w:w="868" w:type="dxa"/>
          </w:tcPr>
          <w:p>
            <w:pPr>
              <w:pStyle w:val="GesAbsatz"/>
              <w:tabs>
                <w:tab w:val="clear" w:pos="425"/>
                <w:tab w:val="decimal" w:pos="434"/>
              </w:tabs>
              <w:rPr>
                <w:rFonts w:eastAsia="Arial Unicode MS" w:cs="Arial"/>
                <w:sz w:val="18"/>
                <w:szCs w:val="24"/>
              </w:rPr>
            </w:pPr>
            <w:r>
              <w:rPr>
                <w:rFonts w:cs="Arial"/>
                <w:sz w:val="18"/>
              </w:rPr>
              <w:t>11</w:t>
            </w:r>
          </w:p>
        </w:tc>
        <w:tc>
          <w:tcPr>
            <w:tcW w:w="867" w:type="dxa"/>
          </w:tcPr>
          <w:p>
            <w:pPr>
              <w:pStyle w:val="GesAbsatz"/>
              <w:tabs>
                <w:tab w:val="clear" w:pos="425"/>
                <w:tab w:val="decimal" w:pos="434"/>
              </w:tabs>
              <w:rPr>
                <w:rFonts w:eastAsia="Arial Unicode MS" w:cs="Arial"/>
                <w:sz w:val="18"/>
                <w:szCs w:val="24"/>
              </w:rPr>
            </w:pPr>
            <w:r>
              <w:rPr>
                <w:rFonts w:cs="Arial"/>
                <w:sz w:val="18"/>
              </w:rPr>
              <w:t>13</w:t>
            </w:r>
          </w:p>
        </w:tc>
        <w:tc>
          <w:tcPr>
            <w:tcW w:w="853" w:type="dxa"/>
          </w:tcPr>
          <w:p>
            <w:pPr>
              <w:pStyle w:val="GesAbsatz"/>
              <w:tabs>
                <w:tab w:val="clear" w:pos="425"/>
                <w:tab w:val="decimal" w:pos="434"/>
              </w:tabs>
              <w:rPr>
                <w:rFonts w:eastAsia="Arial Unicode MS" w:cs="Arial"/>
                <w:sz w:val="18"/>
                <w:szCs w:val="24"/>
              </w:rPr>
            </w:pPr>
            <w:r>
              <w:rPr>
                <w:rFonts w:cs="Arial"/>
                <w:sz w:val="18"/>
              </w:rPr>
              <w:t>19</w:t>
            </w:r>
          </w:p>
        </w:tc>
        <w:tc>
          <w:tcPr>
            <w:tcW w:w="853" w:type="dxa"/>
          </w:tcPr>
          <w:p>
            <w:pPr>
              <w:pStyle w:val="GesAbsatz"/>
              <w:tabs>
                <w:tab w:val="clear" w:pos="425"/>
                <w:tab w:val="decimal" w:pos="434"/>
              </w:tabs>
              <w:rPr>
                <w:rFonts w:eastAsia="Arial Unicode MS" w:cs="Arial"/>
                <w:sz w:val="18"/>
                <w:szCs w:val="24"/>
              </w:rPr>
            </w:pPr>
            <w:r>
              <w:rPr>
                <w:rFonts w:cs="Arial"/>
                <w:sz w:val="18"/>
              </w:rPr>
              <w:t>19</w:t>
            </w:r>
          </w:p>
        </w:tc>
        <w:tc>
          <w:tcPr>
            <w:tcW w:w="855" w:type="dxa"/>
          </w:tcPr>
          <w:p>
            <w:pPr>
              <w:pStyle w:val="GesAbsatz"/>
              <w:tabs>
                <w:tab w:val="clear" w:pos="425"/>
                <w:tab w:val="decimal" w:pos="434"/>
              </w:tabs>
              <w:rPr>
                <w:rFonts w:eastAsia="Arial Unicode MS" w:cs="Arial"/>
                <w:sz w:val="18"/>
                <w:szCs w:val="24"/>
              </w:rPr>
            </w:pPr>
            <w:r>
              <w:rPr>
                <w:rFonts w:cs="Arial"/>
                <w:sz w:val="18"/>
              </w:rPr>
              <w:t>27</w:t>
            </w:r>
          </w:p>
        </w:tc>
        <w:tc>
          <w:tcPr>
            <w:tcW w:w="855" w:type="dxa"/>
          </w:tcPr>
          <w:p>
            <w:pPr>
              <w:pStyle w:val="GesAbsatz"/>
              <w:tabs>
                <w:tab w:val="clear" w:pos="425"/>
                <w:tab w:val="decimal" w:pos="434"/>
              </w:tabs>
              <w:rPr>
                <w:rFonts w:eastAsia="Arial Unicode MS" w:cs="Arial"/>
                <w:sz w:val="18"/>
                <w:szCs w:val="24"/>
              </w:rPr>
            </w:pPr>
            <w:r>
              <w:rPr>
                <w:rFonts w:cs="Arial"/>
                <w:sz w:val="18"/>
              </w:rPr>
              <w:t>33</w:t>
            </w:r>
          </w:p>
        </w:tc>
        <w:tc>
          <w:tcPr>
            <w:tcW w:w="844" w:type="dxa"/>
          </w:tcPr>
          <w:p>
            <w:pPr>
              <w:pStyle w:val="GesAbsatz"/>
              <w:tabs>
                <w:tab w:val="clear" w:pos="425"/>
                <w:tab w:val="decimal" w:pos="434"/>
              </w:tabs>
              <w:rPr>
                <w:rFonts w:eastAsia="Arial Unicode MS" w:cs="Arial"/>
                <w:sz w:val="18"/>
                <w:szCs w:val="24"/>
              </w:rPr>
            </w:pPr>
            <w:r>
              <w:rPr>
                <w:rFonts w:cs="Arial"/>
                <w:sz w:val="18"/>
              </w:rPr>
              <w:t>31</w:t>
            </w:r>
          </w:p>
        </w:tc>
        <w:tc>
          <w:tcPr>
            <w:tcW w:w="844" w:type="dxa"/>
          </w:tcPr>
          <w:p>
            <w:pPr>
              <w:pStyle w:val="GesAbsatz"/>
              <w:tabs>
                <w:tab w:val="clear" w:pos="425"/>
                <w:tab w:val="decimal" w:pos="434"/>
              </w:tabs>
              <w:rPr>
                <w:rFonts w:eastAsia="Arial Unicode MS" w:cs="Arial"/>
                <w:sz w:val="18"/>
                <w:szCs w:val="24"/>
              </w:rPr>
            </w:pPr>
            <w:r>
              <w:rPr>
                <w:rFonts w:cs="Arial"/>
                <w:sz w:val="18"/>
              </w:rPr>
              <w:t>41</w:t>
            </w:r>
          </w:p>
        </w:tc>
        <w:tc>
          <w:tcPr>
            <w:tcW w:w="836" w:type="dxa"/>
          </w:tcPr>
          <w:p>
            <w:pPr>
              <w:pStyle w:val="GesAbsatz"/>
              <w:tabs>
                <w:tab w:val="clear" w:pos="425"/>
                <w:tab w:val="decimal" w:pos="434"/>
              </w:tabs>
              <w:rPr>
                <w:rFonts w:eastAsia="Arial Unicode MS" w:cs="Arial"/>
                <w:sz w:val="18"/>
                <w:szCs w:val="24"/>
              </w:rPr>
            </w:pPr>
            <w:r>
              <w:rPr>
                <w:rFonts w:cs="Arial"/>
                <w:sz w:val="18"/>
              </w:rPr>
              <w:t>11</w:t>
            </w:r>
          </w:p>
        </w:tc>
        <w:tc>
          <w:tcPr>
            <w:tcW w:w="836" w:type="dxa"/>
          </w:tcPr>
          <w:p>
            <w:pPr>
              <w:pStyle w:val="GesAbsatz"/>
              <w:tabs>
                <w:tab w:val="clear" w:pos="425"/>
                <w:tab w:val="decimal" w:pos="434"/>
              </w:tabs>
              <w:rPr>
                <w:rFonts w:eastAsia="Arial Unicode MS" w:cs="Arial"/>
                <w:sz w:val="18"/>
                <w:szCs w:val="24"/>
              </w:rPr>
            </w:pPr>
            <w:r>
              <w:rPr>
                <w:rFonts w:cs="Arial"/>
                <w:sz w:val="18"/>
              </w:rPr>
              <w:t>21</w:t>
            </w:r>
          </w:p>
        </w:tc>
      </w:tr>
      <w:tr>
        <w:tc>
          <w:tcPr>
            <w:tcW w:w="9778" w:type="dxa"/>
            <w:gridSpan w:val="11"/>
          </w:tcPr>
          <w:p>
            <w:pPr>
              <w:pStyle w:val="GesAbsatz"/>
              <w:rPr>
                <w:rFonts w:cs="Arial"/>
                <w:sz w:val="18"/>
              </w:rPr>
            </w:pPr>
            <w:r>
              <w:rPr>
                <w:rFonts w:cs="Arial"/>
                <w:sz w:val="18"/>
                <w:szCs w:val="15"/>
                <w:vertAlign w:val="superscript"/>
              </w:rPr>
              <w:t xml:space="preserve">1 </w:t>
            </w:r>
            <w:r>
              <w:rPr>
                <w:rFonts w:cs="Arial"/>
                <w:sz w:val="18"/>
                <w:szCs w:val="15"/>
              </w:rPr>
              <w:t>laut Fragebögen</w:t>
            </w:r>
            <w:r>
              <w:rPr>
                <w:rFonts w:cs="Arial"/>
                <w:sz w:val="18"/>
                <w:szCs w:val="15"/>
              </w:rPr>
              <w:br/>
            </w:r>
            <w:r>
              <w:rPr>
                <w:rFonts w:cs="Arial"/>
                <w:sz w:val="18"/>
                <w:szCs w:val="15"/>
                <w:vertAlign w:val="superscript"/>
              </w:rPr>
              <w:t>2</w:t>
            </w:r>
            <w:r>
              <w:rPr>
                <w:rFonts w:cs="Arial"/>
                <w:sz w:val="18"/>
                <w:szCs w:val="15"/>
              </w:rPr>
              <w:t xml:space="preserve"> inkl. weiterer Quellen</w:t>
            </w:r>
            <w:r>
              <w:rPr>
                <w:rFonts w:cs="Arial"/>
                <w:sz w:val="18"/>
                <w:szCs w:val="15"/>
              </w:rPr>
              <w:br/>
            </w:r>
            <w:r>
              <w:rPr>
                <w:rFonts w:cs="Arial"/>
                <w:sz w:val="18"/>
                <w:szCs w:val="15"/>
                <w:vertAlign w:val="superscript"/>
              </w:rPr>
              <w:t>3</w:t>
            </w:r>
            <w:r>
              <w:rPr>
                <w:rFonts w:cs="Arial"/>
                <w:sz w:val="18"/>
                <w:szCs w:val="15"/>
              </w:rPr>
              <w:t xml:space="preserve"> Kompostkataster des LUA, Kompost-Atlas 1998/99 von Wiemer und Kern, 1998</w:t>
            </w:r>
          </w:p>
        </w:tc>
      </w:tr>
    </w:tbl>
    <w:p>
      <w:pPr>
        <w:pStyle w:val="GesAbsatz"/>
        <w:rPr>
          <w:rFonts w:cs="Arial"/>
        </w:rPr>
      </w:pPr>
    </w:p>
    <w:p>
      <w:pPr>
        <w:pStyle w:val="GesAbsatz"/>
        <w:rPr>
          <w:rFonts w:cs="Arial"/>
        </w:rPr>
      </w:pPr>
      <w:r>
        <w:rPr>
          <w:rFonts w:cs="Arial"/>
          <w:b/>
          <w:bCs/>
        </w:rPr>
        <w:t>Tabelle 23: Vermarktung von Kompost in den verschiedenen Absatzbereichen, nach Angaben der Betreiber errechnet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9"/>
        <w:gridCol w:w="1031"/>
        <w:gridCol w:w="884"/>
        <w:gridCol w:w="1031"/>
        <w:gridCol w:w="1031"/>
        <w:gridCol w:w="1078"/>
        <w:gridCol w:w="1031"/>
        <w:gridCol w:w="1031"/>
        <w:gridCol w:w="1123"/>
      </w:tblGrid>
      <w:tr>
        <w:tc>
          <w:tcPr>
            <w:tcW w:w="1346" w:type="dxa"/>
          </w:tcPr>
          <w:p>
            <w:pPr>
              <w:pStyle w:val="GesAbsatz"/>
              <w:jc w:val="center"/>
              <w:rPr>
                <w:rFonts w:eastAsia="Arial Unicode MS" w:cs="Arial"/>
                <w:sz w:val="18"/>
                <w:szCs w:val="24"/>
              </w:rPr>
            </w:pPr>
            <w:r>
              <w:rPr>
                <w:rFonts w:cs="Arial"/>
                <w:b/>
                <w:bCs/>
                <w:sz w:val="18"/>
              </w:rPr>
              <w:t>Anteil der am</w:t>
            </w:r>
            <w:r>
              <w:rPr>
                <w:rFonts w:cs="Arial"/>
                <w:b/>
                <w:bCs/>
                <w:sz w:val="18"/>
              </w:rPr>
              <w:br/>
              <w:t>Kompostabsatz je</w:t>
            </w:r>
            <w:r>
              <w:rPr>
                <w:rFonts w:cs="Arial"/>
                <w:b/>
                <w:bCs/>
                <w:sz w:val="18"/>
              </w:rPr>
              <w:br/>
              <w:t>Anlage</w:t>
            </w:r>
          </w:p>
        </w:tc>
        <w:tc>
          <w:tcPr>
            <w:tcW w:w="1843" w:type="dxa"/>
            <w:gridSpan w:val="2"/>
          </w:tcPr>
          <w:p>
            <w:pPr>
              <w:pStyle w:val="GesAbsatz"/>
              <w:jc w:val="center"/>
              <w:rPr>
                <w:rFonts w:eastAsia="Arial Unicode MS" w:cs="Arial"/>
                <w:sz w:val="18"/>
                <w:szCs w:val="24"/>
              </w:rPr>
            </w:pPr>
            <w:r>
              <w:rPr>
                <w:rFonts w:cs="Arial"/>
                <w:b/>
                <w:bCs/>
                <w:sz w:val="18"/>
              </w:rPr>
              <w:t>Landschaftsbau</w:t>
            </w:r>
            <w:r>
              <w:rPr>
                <w:rFonts w:cs="Arial"/>
                <w:b/>
                <w:bCs/>
                <w:sz w:val="18"/>
              </w:rPr>
              <w:br/>
            </w:r>
            <w:r>
              <w:rPr>
                <w:rFonts w:cs="Arial"/>
                <w:sz w:val="18"/>
                <w:szCs w:val="15"/>
              </w:rPr>
              <w:t>Mengen in</w:t>
            </w:r>
            <w:r>
              <w:rPr>
                <w:rFonts w:cs="Arial"/>
                <w:sz w:val="18"/>
                <w:szCs w:val="15"/>
              </w:rPr>
              <w:br/>
              <w:t>Mg/a</w:t>
            </w:r>
          </w:p>
        </w:tc>
        <w:tc>
          <w:tcPr>
            <w:tcW w:w="1984" w:type="dxa"/>
            <w:gridSpan w:val="2"/>
          </w:tcPr>
          <w:p>
            <w:pPr>
              <w:pStyle w:val="GesAbsatz"/>
              <w:jc w:val="center"/>
              <w:rPr>
                <w:rFonts w:eastAsia="Arial Unicode MS" w:cs="Arial"/>
                <w:sz w:val="18"/>
                <w:szCs w:val="24"/>
              </w:rPr>
            </w:pPr>
            <w:r>
              <w:rPr>
                <w:rFonts w:cs="Arial"/>
                <w:b/>
                <w:bCs/>
                <w:sz w:val="18"/>
              </w:rPr>
              <w:t>Landwirtschaft</w:t>
            </w:r>
            <w:r>
              <w:rPr>
                <w:rFonts w:cs="Arial"/>
                <w:b/>
                <w:bCs/>
                <w:sz w:val="18"/>
              </w:rPr>
              <w:br/>
            </w:r>
            <w:r>
              <w:rPr>
                <w:rFonts w:cs="Arial"/>
                <w:sz w:val="18"/>
                <w:szCs w:val="15"/>
              </w:rPr>
              <w:t>Mengen in</w:t>
            </w:r>
            <w:r>
              <w:rPr>
                <w:rFonts w:cs="Arial"/>
                <w:sz w:val="18"/>
                <w:szCs w:val="15"/>
              </w:rPr>
              <w:br/>
              <w:t>Mg/a</w:t>
            </w:r>
          </w:p>
        </w:tc>
        <w:tc>
          <w:tcPr>
            <w:tcW w:w="2029" w:type="dxa"/>
            <w:gridSpan w:val="2"/>
          </w:tcPr>
          <w:p>
            <w:pPr>
              <w:pStyle w:val="GesAbsatz"/>
              <w:jc w:val="center"/>
              <w:rPr>
                <w:rFonts w:eastAsia="Arial Unicode MS" w:cs="Arial"/>
                <w:sz w:val="18"/>
                <w:szCs w:val="24"/>
              </w:rPr>
            </w:pPr>
            <w:r>
              <w:rPr>
                <w:rFonts w:cs="Arial"/>
                <w:b/>
                <w:bCs/>
                <w:sz w:val="18"/>
              </w:rPr>
              <w:t>Hobbygartenbau</w:t>
            </w:r>
            <w:r>
              <w:rPr>
                <w:rFonts w:cs="Arial"/>
                <w:b/>
                <w:bCs/>
                <w:sz w:val="18"/>
              </w:rPr>
              <w:br/>
            </w:r>
            <w:r>
              <w:rPr>
                <w:rFonts w:cs="Arial"/>
                <w:sz w:val="18"/>
                <w:szCs w:val="15"/>
              </w:rPr>
              <w:t>Mengen in</w:t>
            </w:r>
            <w:r>
              <w:rPr>
                <w:rFonts w:cs="Arial"/>
                <w:sz w:val="18"/>
                <w:szCs w:val="15"/>
              </w:rPr>
              <w:br/>
              <w:t>Mg/a</w:t>
            </w:r>
          </w:p>
        </w:tc>
        <w:tc>
          <w:tcPr>
            <w:tcW w:w="2072" w:type="dxa"/>
            <w:gridSpan w:val="2"/>
          </w:tcPr>
          <w:p>
            <w:pPr>
              <w:pStyle w:val="GesAbsatz"/>
              <w:jc w:val="center"/>
              <w:rPr>
                <w:rFonts w:eastAsia="Arial Unicode MS" w:cs="Arial"/>
                <w:sz w:val="18"/>
                <w:szCs w:val="24"/>
              </w:rPr>
            </w:pPr>
            <w:r>
              <w:rPr>
                <w:rFonts w:cs="Arial"/>
                <w:b/>
                <w:bCs/>
                <w:sz w:val="18"/>
              </w:rPr>
              <w:t>Erwerbsgartenbau</w:t>
            </w:r>
            <w:r>
              <w:rPr>
                <w:rFonts w:cs="Arial"/>
                <w:b/>
                <w:bCs/>
                <w:sz w:val="18"/>
              </w:rPr>
              <w:br/>
            </w:r>
            <w:r>
              <w:rPr>
                <w:rFonts w:cs="Arial"/>
                <w:sz w:val="18"/>
                <w:szCs w:val="15"/>
              </w:rPr>
              <w:t>Mengen in</w:t>
            </w:r>
            <w:r>
              <w:rPr>
                <w:rFonts w:cs="Arial"/>
                <w:sz w:val="18"/>
                <w:szCs w:val="15"/>
              </w:rPr>
              <w:br/>
              <w:t>Mg/a</w:t>
            </w:r>
          </w:p>
        </w:tc>
      </w:tr>
      <w:tr>
        <w:tc>
          <w:tcPr>
            <w:tcW w:w="1346" w:type="dxa"/>
          </w:tcPr>
          <w:p>
            <w:pPr>
              <w:pStyle w:val="GesAbsatz"/>
              <w:jc w:val="center"/>
              <w:rPr>
                <w:rFonts w:eastAsia="Arial Unicode MS" w:cs="Arial"/>
                <w:sz w:val="18"/>
                <w:szCs w:val="24"/>
              </w:rPr>
            </w:pPr>
          </w:p>
        </w:tc>
        <w:tc>
          <w:tcPr>
            <w:tcW w:w="992" w:type="dxa"/>
          </w:tcPr>
          <w:p>
            <w:pPr>
              <w:pStyle w:val="GesAbsatz"/>
              <w:jc w:val="center"/>
              <w:rPr>
                <w:rFonts w:eastAsia="Arial Unicode MS" w:cs="Arial"/>
                <w:sz w:val="18"/>
                <w:szCs w:val="24"/>
              </w:rPr>
            </w:pPr>
            <w:r>
              <w:rPr>
                <w:rFonts w:cs="Arial"/>
                <w:sz w:val="18"/>
              </w:rPr>
              <w:t>1</w:t>
            </w:r>
          </w:p>
        </w:tc>
        <w:tc>
          <w:tcPr>
            <w:tcW w:w="851" w:type="dxa"/>
          </w:tcPr>
          <w:p>
            <w:pPr>
              <w:pStyle w:val="GesAbsatz"/>
              <w:jc w:val="center"/>
              <w:rPr>
                <w:rFonts w:eastAsia="Arial Unicode MS" w:cs="Arial"/>
                <w:sz w:val="18"/>
                <w:szCs w:val="24"/>
              </w:rPr>
            </w:pPr>
            <w:r>
              <w:rPr>
                <w:rFonts w:cs="Arial"/>
                <w:sz w:val="18"/>
              </w:rPr>
              <w:t>2</w:t>
            </w:r>
            <w:r>
              <w:rPr>
                <w:rFonts w:cs="Arial"/>
                <w:sz w:val="18"/>
                <w:vertAlign w:val="superscript"/>
              </w:rPr>
              <w:t>3</w:t>
            </w:r>
          </w:p>
        </w:tc>
        <w:tc>
          <w:tcPr>
            <w:tcW w:w="992" w:type="dxa"/>
          </w:tcPr>
          <w:p>
            <w:pPr>
              <w:pStyle w:val="GesAbsatz"/>
              <w:jc w:val="center"/>
              <w:rPr>
                <w:rFonts w:eastAsia="Arial Unicode MS" w:cs="Arial"/>
                <w:sz w:val="18"/>
                <w:szCs w:val="24"/>
              </w:rPr>
            </w:pPr>
            <w:r>
              <w:rPr>
                <w:rFonts w:cs="Arial"/>
                <w:sz w:val="18"/>
              </w:rPr>
              <w:t>1</w:t>
            </w:r>
          </w:p>
        </w:tc>
        <w:tc>
          <w:tcPr>
            <w:tcW w:w="992" w:type="dxa"/>
          </w:tcPr>
          <w:p>
            <w:pPr>
              <w:pStyle w:val="GesAbsatz"/>
              <w:jc w:val="center"/>
              <w:rPr>
                <w:rFonts w:eastAsia="Arial Unicode MS" w:cs="Arial"/>
                <w:sz w:val="18"/>
                <w:szCs w:val="24"/>
              </w:rPr>
            </w:pPr>
            <w:r>
              <w:rPr>
                <w:rFonts w:cs="Arial"/>
                <w:sz w:val="18"/>
              </w:rPr>
              <w:t>2</w:t>
            </w:r>
          </w:p>
        </w:tc>
        <w:tc>
          <w:tcPr>
            <w:tcW w:w="1037" w:type="dxa"/>
          </w:tcPr>
          <w:p>
            <w:pPr>
              <w:pStyle w:val="GesAbsatz"/>
              <w:jc w:val="center"/>
              <w:rPr>
                <w:rFonts w:eastAsia="Arial Unicode MS" w:cs="Arial"/>
                <w:sz w:val="18"/>
                <w:szCs w:val="24"/>
              </w:rPr>
            </w:pPr>
            <w:r>
              <w:rPr>
                <w:rFonts w:cs="Arial"/>
                <w:sz w:val="18"/>
              </w:rPr>
              <w:t>1</w:t>
            </w:r>
          </w:p>
        </w:tc>
        <w:tc>
          <w:tcPr>
            <w:tcW w:w="992" w:type="dxa"/>
          </w:tcPr>
          <w:p>
            <w:pPr>
              <w:pStyle w:val="GesAbsatz"/>
              <w:jc w:val="center"/>
              <w:rPr>
                <w:rFonts w:eastAsia="Arial Unicode MS" w:cs="Arial"/>
                <w:sz w:val="18"/>
                <w:szCs w:val="24"/>
              </w:rPr>
            </w:pPr>
            <w:r>
              <w:rPr>
                <w:rFonts w:cs="Arial"/>
                <w:sz w:val="18"/>
              </w:rPr>
              <w:t>2</w:t>
            </w:r>
          </w:p>
        </w:tc>
        <w:tc>
          <w:tcPr>
            <w:tcW w:w="992" w:type="dxa"/>
          </w:tcPr>
          <w:p>
            <w:pPr>
              <w:pStyle w:val="GesAbsatz"/>
              <w:jc w:val="center"/>
              <w:rPr>
                <w:rFonts w:eastAsia="Arial Unicode MS" w:cs="Arial"/>
                <w:sz w:val="18"/>
                <w:szCs w:val="24"/>
              </w:rPr>
            </w:pPr>
            <w:r>
              <w:rPr>
                <w:rFonts w:cs="Arial"/>
                <w:sz w:val="18"/>
              </w:rPr>
              <w:t>1</w:t>
            </w:r>
          </w:p>
        </w:tc>
        <w:tc>
          <w:tcPr>
            <w:tcW w:w="1080" w:type="dxa"/>
          </w:tcPr>
          <w:p>
            <w:pPr>
              <w:pStyle w:val="GesAbsatz"/>
              <w:jc w:val="center"/>
              <w:rPr>
                <w:rFonts w:eastAsia="Arial Unicode MS" w:cs="Arial"/>
                <w:sz w:val="18"/>
                <w:szCs w:val="24"/>
              </w:rPr>
            </w:pPr>
            <w:r>
              <w:rPr>
                <w:rFonts w:cs="Arial"/>
                <w:sz w:val="18"/>
              </w:rPr>
              <w:t>2</w:t>
            </w:r>
          </w:p>
        </w:tc>
      </w:tr>
      <w:tr>
        <w:tc>
          <w:tcPr>
            <w:tcW w:w="1346" w:type="dxa"/>
          </w:tcPr>
          <w:p>
            <w:pPr>
              <w:pStyle w:val="GesAbsatz"/>
              <w:rPr>
                <w:rFonts w:eastAsia="Arial Unicode MS" w:cs="Arial"/>
                <w:sz w:val="18"/>
                <w:szCs w:val="24"/>
              </w:rPr>
            </w:pPr>
            <w:r>
              <w:rPr>
                <w:rFonts w:cs="Arial"/>
                <w:sz w:val="18"/>
              </w:rPr>
              <w:t xml:space="preserve">0 - 25 % </w:t>
            </w:r>
          </w:p>
        </w:tc>
        <w:tc>
          <w:tcPr>
            <w:tcW w:w="992" w:type="dxa"/>
          </w:tcPr>
          <w:p>
            <w:pPr>
              <w:pStyle w:val="GesAbsatz"/>
              <w:tabs>
                <w:tab w:val="clear" w:pos="425"/>
                <w:tab w:val="decimal" w:pos="728"/>
              </w:tabs>
              <w:rPr>
                <w:rFonts w:eastAsia="Arial Unicode MS" w:cs="Arial"/>
                <w:sz w:val="18"/>
                <w:szCs w:val="24"/>
              </w:rPr>
            </w:pPr>
            <w:r>
              <w:rPr>
                <w:rFonts w:cs="Arial"/>
                <w:sz w:val="18"/>
              </w:rPr>
              <w:t>62.947</w:t>
            </w:r>
          </w:p>
        </w:tc>
        <w:tc>
          <w:tcPr>
            <w:tcW w:w="851" w:type="dxa"/>
          </w:tcPr>
          <w:p>
            <w:pPr>
              <w:pStyle w:val="GesAbsatz"/>
              <w:tabs>
                <w:tab w:val="clear" w:pos="425"/>
                <w:tab w:val="decimal" w:pos="728"/>
              </w:tabs>
              <w:rPr>
                <w:rFonts w:eastAsia="Arial Unicode MS" w:cs="Arial"/>
                <w:sz w:val="18"/>
                <w:szCs w:val="24"/>
              </w:rPr>
            </w:pPr>
            <w:r>
              <w:rPr>
                <w:rFonts w:cs="Arial"/>
                <w:sz w:val="18"/>
              </w:rPr>
              <w:t>66.246</w:t>
            </w:r>
          </w:p>
        </w:tc>
        <w:tc>
          <w:tcPr>
            <w:tcW w:w="992" w:type="dxa"/>
          </w:tcPr>
          <w:p>
            <w:pPr>
              <w:pStyle w:val="GesAbsatz"/>
              <w:tabs>
                <w:tab w:val="clear" w:pos="425"/>
                <w:tab w:val="decimal" w:pos="728"/>
              </w:tabs>
              <w:rPr>
                <w:rFonts w:eastAsia="Arial Unicode MS" w:cs="Arial"/>
                <w:sz w:val="18"/>
                <w:szCs w:val="24"/>
              </w:rPr>
            </w:pPr>
            <w:r>
              <w:rPr>
                <w:rFonts w:cs="Arial"/>
                <w:sz w:val="18"/>
              </w:rPr>
              <w:t>3.493</w:t>
            </w:r>
          </w:p>
        </w:tc>
        <w:tc>
          <w:tcPr>
            <w:tcW w:w="992" w:type="dxa"/>
          </w:tcPr>
          <w:p>
            <w:pPr>
              <w:pStyle w:val="GesAbsatz"/>
              <w:tabs>
                <w:tab w:val="clear" w:pos="425"/>
                <w:tab w:val="decimal" w:pos="728"/>
              </w:tabs>
              <w:rPr>
                <w:rFonts w:eastAsia="Arial Unicode MS" w:cs="Arial"/>
                <w:sz w:val="18"/>
                <w:szCs w:val="24"/>
              </w:rPr>
            </w:pPr>
            <w:r>
              <w:rPr>
                <w:rFonts w:cs="Arial"/>
                <w:sz w:val="18"/>
              </w:rPr>
              <w:t>4.683</w:t>
            </w:r>
          </w:p>
        </w:tc>
        <w:tc>
          <w:tcPr>
            <w:tcW w:w="1037" w:type="dxa"/>
          </w:tcPr>
          <w:p>
            <w:pPr>
              <w:pStyle w:val="GesAbsatz"/>
              <w:tabs>
                <w:tab w:val="clear" w:pos="425"/>
                <w:tab w:val="decimal" w:pos="728"/>
              </w:tabs>
              <w:rPr>
                <w:rFonts w:eastAsia="Arial Unicode MS" w:cs="Arial"/>
                <w:sz w:val="18"/>
                <w:szCs w:val="24"/>
              </w:rPr>
            </w:pPr>
            <w:r>
              <w:rPr>
                <w:rFonts w:cs="Arial"/>
                <w:sz w:val="18"/>
              </w:rPr>
              <w:t>35.842</w:t>
            </w:r>
          </w:p>
        </w:tc>
        <w:tc>
          <w:tcPr>
            <w:tcW w:w="992" w:type="dxa"/>
          </w:tcPr>
          <w:p>
            <w:pPr>
              <w:pStyle w:val="GesAbsatz"/>
              <w:tabs>
                <w:tab w:val="clear" w:pos="425"/>
                <w:tab w:val="decimal" w:pos="728"/>
              </w:tabs>
              <w:rPr>
                <w:rFonts w:eastAsia="Arial Unicode MS" w:cs="Arial"/>
                <w:sz w:val="18"/>
                <w:szCs w:val="24"/>
              </w:rPr>
            </w:pPr>
            <w:r>
              <w:rPr>
                <w:rFonts w:cs="Arial"/>
                <w:sz w:val="18"/>
              </w:rPr>
              <w:t>40.574</w:t>
            </w:r>
          </w:p>
        </w:tc>
        <w:tc>
          <w:tcPr>
            <w:tcW w:w="992" w:type="dxa"/>
          </w:tcPr>
          <w:p>
            <w:pPr>
              <w:pStyle w:val="GesAbsatz"/>
              <w:tabs>
                <w:tab w:val="clear" w:pos="425"/>
                <w:tab w:val="decimal" w:pos="728"/>
              </w:tabs>
              <w:rPr>
                <w:rFonts w:eastAsia="Arial Unicode MS" w:cs="Arial"/>
                <w:sz w:val="18"/>
                <w:szCs w:val="24"/>
              </w:rPr>
            </w:pPr>
            <w:r>
              <w:rPr>
                <w:rFonts w:cs="Arial"/>
                <w:sz w:val="18"/>
              </w:rPr>
              <w:t>15.873</w:t>
            </w:r>
          </w:p>
        </w:tc>
        <w:tc>
          <w:tcPr>
            <w:tcW w:w="1080" w:type="dxa"/>
          </w:tcPr>
          <w:p>
            <w:pPr>
              <w:pStyle w:val="GesAbsatz"/>
              <w:tabs>
                <w:tab w:val="clear" w:pos="425"/>
                <w:tab w:val="decimal" w:pos="728"/>
              </w:tabs>
              <w:rPr>
                <w:rFonts w:eastAsia="Arial Unicode MS" w:cs="Arial"/>
                <w:sz w:val="18"/>
                <w:szCs w:val="24"/>
              </w:rPr>
            </w:pPr>
            <w:r>
              <w:rPr>
                <w:rFonts w:cs="Arial"/>
                <w:sz w:val="18"/>
              </w:rPr>
              <w:t>19.179</w:t>
            </w:r>
          </w:p>
        </w:tc>
      </w:tr>
      <w:tr>
        <w:tc>
          <w:tcPr>
            <w:tcW w:w="1346" w:type="dxa"/>
          </w:tcPr>
          <w:p>
            <w:pPr>
              <w:pStyle w:val="GesAbsatz"/>
              <w:rPr>
                <w:rFonts w:eastAsia="Arial Unicode MS" w:cs="Arial"/>
                <w:sz w:val="18"/>
                <w:szCs w:val="24"/>
              </w:rPr>
            </w:pPr>
            <w:r>
              <w:rPr>
                <w:rFonts w:cs="Arial"/>
                <w:sz w:val="18"/>
              </w:rPr>
              <w:t>26 - 50 %</w:t>
            </w:r>
          </w:p>
        </w:tc>
        <w:tc>
          <w:tcPr>
            <w:tcW w:w="992" w:type="dxa"/>
          </w:tcPr>
          <w:p>
            <w:pPr>
              <w:pStyle w:val="GesAbsatz"/>
              <w:tabs>
                <w:tab w:val="clear" w:pos="425"/>
                <w:tab w:val="decimal" w:pos="728"/>
              </w:tabs>
              <w:rPr>
                <w:rFonts w:eastAsia="Arial Unicode MS" w:cs="Arial"/>
                <w:sz w:val="18"/>
                <w:szCs w:val="24"/>
              </w:rPr>
            </w:pPr>
            <w:r>
              <w:rPr>
                <w:rFonts w:cs="Arial"/>
                <w:sz w:val="18"/>
              </w:rPr>
              <w:t>14.340</w:t>
            </w:r>
          </w:p>
        </w:tc>
        <w:tc>
          <w:tcPr>
            <w:tcW w:w="851" w:type="dxa"/>
          </w:tcPr>
          <w:p>
            <w:pPr>
              <w:pStyle w:val="GesAbsatz"/>
              <w:tabs>
                <w:tab w:val="clear" w:pos="425"/>
                <w:tab w:val="decimal" w:pos="728"/>
              </w:tabs>
              <w:rPr>
                <w:rFonts w:eastAsia="Arial Unicode MS" w:cs="Arial"/>
                <w:sz w:val="18"/>
                <w:szCs w:val="24"/>
              </w:rPr>
            </w:pPr>
            <w:r>
              <w:rPr>
                <w:rFonts w:cs="Arial"/>
                <w:sz w:val="18"/>
              </w:rPr>
              <w:t>26.570</w:t>
            </w:r>
          </w:p>
        </w:tc>
        <w:tc>
          <w:tcPr>
            <w:tcW w:w="992" w:type="dxa"/>
          </w:tcPr>
          <w:p>
            <w:pPr>
              <w:pStyle w:val="GesAbsatz"/>
              <w:tabs>
                <w:tab w:val="clear" w:pos="425"/>
                <w:tab w:val="decimal" w:pos="728"/>
              </w:tabs>
              <w:rPr>
                <w:rFonts w:eastAsia="Arial Unicode MS" w:cs="Arial"/>
                <w:sz w:val="18"/>
                <w:szCs w:val="24"/>
              </w:rPr>
            </w:pPr>
            <w:r>
              <w:rPr>
                <w:rFonts w:cs="Arial"/>
                <w:sz w:val="18"/>
              </w:rPr>
              <w:t>76.586</w:t>
            </w:r>
          </w:p>
        </w:tc>
        <w:tc>
          <w:tcPr>
            <w:tcW w:w="992" w:type="dxa"/>
          </w:tcPr>
          <w:p>
            <w:pPr>
              <w:pStyle w:val="GesAbsatz"/>
              <w:tabs>
                <w:tab w:val="clear" w:pos="425"/>
                <w:tab w:val="decimal" w:pos="728"/>
              </w:tabs>
              <w:rPr>
                <w:rFonts w:eastAsia="Arial Unicode MS" w:cs="Arial"/>
                <w:sz w:val="18"/>
                <w:szCs w:val="24"/>
              </w:rPr>
            </w:pPr>
            <w:r>
              <w:rPr>
                <w:rFonts w:cs="Arial"/>
                <w:sz w:val="18"/>
              </w:rPr>
              <w:t>92.928</w:t>
            </w:r>
          </w:p>
        </w:tc>
        <w:tc>
          <w:tcPr>
            <w:tcW w:w="1037" w:type="dxa"/>
          </w:tcPr>
          <w:p>
            <w:pPr>
              <w:pStyle w:val="GesAbsatz"/>
              <w:tabs>
                <w:tab w:val="clear" w:pos="425"/>
                <w:tab w:val="decimal" w:pos="728"/>
              </w:tabs>
              <w:rPr>
                <w:rFonts w:eastAsia="Arial Unicode MS" w:cs="Arial"/>
                <w:sz w:val="18"/>
                <w:szCs w:val="24"/>
              </w:rPr>
            </w:pPr>
            <w:r>
              <w:rPr>
                <w:rFonts w:cs="Arial"/>
                <w:sz w:val="18"/>
              </w:rPr>
              <w:t>9.971</w:t>
            </w:r>
          </w:p>
        </w:tc>
        <w:tc>
          <w:tcPr>
            <w:tcW w:w="992" w:type="dxa"/>
          </w:tcPr>
          <w:p>
            <w:pPr>
              <w:pStyle w:val="GesAbsatz"/>
              <w:tabs>
                <w:tab w:val="clear" w:pos="425"/>
                <w:tab w:val="decimal" w:pos="728"/>
              </w:tabs>
              <w:rPr>
                <w:rFonts w:eastAsia="Arial Unicode MS" w:cs="Arial"/>
                <w:sz w:val="18"/>
                <w:szCs w:val="24"/>
              </w:rPr>
            </w:pPr>
            <w:r>
              <w:rPr>
                <w:rFonts w:cs="Arial"/>
                <w:sz w:val="18"/>
              </w:rPr>
              <w:t>13.361</w:t>
            </w:r>
          </w:p>
        </w:tc>
        <w:tc>
          <w:tcPr>
            <w:tcW w:w="992" w:type="dxa"/>
          </w:tcPr>
          <w:p>
            <w:pPr>
              <w:pStyle w:val="GesAbsatz"/>
              <w:tabs>
                <w:tab w:val="clear" w:pos="425"/>
                <w:tab w:val="decimal" w:pos="728"/>
              </w:tabs>
              <w:rPr>
                <w:rFonts w:eastAsia="Arial Unicode MS" w:cs="Arial"/>
                <w:sz w:val="18"/>
                <w:szCs w:val="24"/>
              </w:rPr>
            </w:pPr>
            <w:r>
              <w:rPr>
                <w:rFonts w:cs="Arial"/>
                <w:sz w:val="18"/>
              </w:rPr>
              <w:t xml:space="preserve">5.896 </w:t>
            </w:r>
          </w:p>
        </w:tc>
        <w:tc>
          <w:tcPr>
            <w:tcW w:w="1080" w:type="dxa"/>
          </w:tcPr>
          <w:p>
            <w:pPr>
              <w:pStyle w:val="GesAbsatz"/>
              <w:tabs>
                <w:tab w:val="clear" w:pos="425"/>
                <w:tab w:val="decimal" w:pos="728"/>
              </w:tabs>
              <w:rPr>
                <w:rFonts w:eastAsia="Arial Unicode MS" w:cs="Arial"/>
                <w:sz w:val="18"/>
                <w:szCs w:val="24"/>
              </w:rPr>
            </w:pPr>
            <w:r>
              <w:rPr>
                <w:rFonts w:cs="Arial"/>
                <w:sz w:val="18"/>
              </w:rPr>
              <w:t>17.413</w:t>
            </w:r>
          </w:p>
        </w:tc>
      </w:tr>
      <w:tr>
        <w:tc>
          <w:tcPr>
            <w:tcW w:w="1346" w:type="dxa"/>
          </w:tcPr>
          <w:p>
            <w:pPr>
              <w:pStyle w:val="GesAbsatz"/>
              <w:rPr>
                <w:rFonts w:eastAsia="Arial Unicode MS" w:cs="Arial"/>
                <w:sz w:val="18"/>
                <w:szCs w:val="24"/>
              </w:rPr>
            </w:pPr>
            <w:r>
              <w:rPr>
                <w:rFonts w:cs="Arial"/>
                <w:sz w:val="18"/>
              </w:rPr>
              <w:t>51 - 75 %</w:t>
            </w:r>
          </w:p>
        </w:tc>
        <w:tc>
          <w:tcPr>
            <w:tcW w:w="992" w:type="dxa"/>
          </w:tcPr>
          <w:p>
            <w:pPr>
              <w:pStyle w:val="GesAbsatz"/>
              <w:tabs>
                <w:tab w:val="clear" w:pos="425"/>
                <w:tab w:val="decimal" w:pos="728"/>
              </w:tabs>
              <w:rPr>
                <w:rFonts w:eastAsia="Arial Unicode MS" w:cs="Arial"/>
                <w:sz w:val="18"/>
                <w:szCs w:val="24"/>
              </w:rPr>
            </w:pPr>
            <w:r>
              <w:rPr>
                <w:rFonts w:cs="Arial"/>
                <w:sz w:val="18"/>
              </w:rPr>
              <w:t>15.280</w:t>
            </w:r>
          </w:p>
        </w:tc>
        <w:tc>
          <w:tcPr>
            <w:tcW w:w="851" w:type="dxa"/>
          </w:tcPr>
          <w:p>
            <w:pPr>
              <w:pStyle w:val="GesAbsatz"/>
              <w:tabs>
                <w:tab w:val="clear" w:pos="425"/>
                <w:tab w:val="decimal" w:pos="728"/>
              </w:tabs>
              <w:rPr>
                <w:rFonts w:eastAsia="Arial Unicode MS" w:cs="Arial"/>
                <w:sz w:val="18"/>
                <w:szCs w:val="24"/>
              </w:rPr>
            </w:pPr>
            <w:r>
              <w:rPr>
                <w:rFonts w:cs="Arial"/>
                <w:sz w:val="18"/>
              </w:rPr>
              <w:t>15.280</w:t>
            </w:r>
          </w:p>
        </w:tc>
        <w:tc>
          <w:tcPr>
            <w:tcW w:w="992" w:type="dxa"/>
          </w:tcPr>
          <w:p>
            <w:pPr>
              <w:pStyle w:val="GesAbsatz"/>
              <w:tabs>
                <w:tab w:val="clear" w:pos="425"/>
                <w:tab w:val="decimal" w:pos="728"/>
              </w:tabs>
              <w:rPr>
                <w:rFonts w:eastAsia="Arial Unicode MS" w:cs="Arial"/>
                <w:sz w:val="18"/>
                <w:szCs w:val="24"/>
              </w:rPr>
            </w:pPr>
            <w:r>
              <w:rPr>
                <w:rFonts w:cs="Arial"/>
                <w:sz w:val="18"/>
              </w:rPr>
              <w:t>81.725</w:t>
            </w:r>
          </w:p>
        </w:tc>
        <w:tc>
          <w:tcPr>
            <w:tcW w:w="992" w:type="dxa"/>
          </w:tcPr>
          <w:p>
            <w:pPr>
              <w:pStyle w:val="GesAbsatz"/>
              <w:tabs>
                <w:tab w:val="clear" w:pos="425"/>
                <w:tab w:val="decimal" w:pos="728"/>
              </w:tabs>
              <w:rPr>
                <w:rFonts w:eastAsia="Arial Unicode MS" w:cs="Arial"/>
                <w:sz w:val="18"/>
                <w:szCs w:val="24"/>
              </w:rPr>
            </w:pPr>
            <w:r>
              <w:rPr>
                <w:rFonts w:cs="Arial"/>
                <w:sz w:val="18"/>
              </w:rPr>
              <w:t>88.689</w:t>
            </w:r>
          </w:p>
        </w:tc>
        <w:tc>
          <w:tcPr>
            <w:tcW w:w="1037" w:type="dxa"/>
          </w:tcPr>
          <w:p>
            <w:pPr>
              <w:pStyle w:val="GesAbsatz"/>
              <w:tabs>
                <w:tab w:val="clear" w:pos="425"/>
                <w:tab w:val="decimal" w:pos="728"/>
              </w:tabs>
              <w:rPr>
                <w:rFonts w:eastAsia="Arial Unicode MS" w:cs="Arial"/>
                <w:sz w:val="18"/>
                <w:szCs w:val="24"/>
              </w:rPr>
            </w:pPr>
            <w:r>
              <w:rPr>
                <w:rFonts w:cs="Arial"/>
                <w:sz w:val="18"/>
              </w:rPr>
              <w:t>300</w:t>
            </w:r>
          </w:p>
        </w:tc>
        <w:tc>
          <w:tcPr>
            <w:tcW w:w="992" w:type="dxa"/>
          </w:tcPr>
          <w:p>
            <w:pPr>
              <w:pStyle w:val="GesAbsatz"/>
              <w:tabs>
                <w:tab w:val="clear" w:pos="425"/>
                <w:tab w:val="decimal" w:pos="728"/>
              </w:tabs>
              <w:rPr>
                <w:rFonts w:eastAsia="Arial Unicode MS" w:cs="Arial"/>
                <w:sz w:val="18"/>
                <w:szCs w:val="24"/>
              </w:rPr>
            </w:pPr>
            <w:r>
              <w:rPr>
                <w:rFonts w:cs="Arial"/>
                <w:sz w:val="18"/>
              </w:rPr>
              <w:t>300</w:t>
            </w:r>
          </w:p>
        </w:tc>
        <w:tc>
          <w:tcPr>
            <w:tcW w:w="992" w:type="dxa"/>
          </w:tcPr>
          <w:p>
            <w:pPr>
              <w:pStyle w:val="GesAbsatz"/>
              <w:tabs>
                <w:tab w:val="clear" w:pos="425"/>
                <w:tab w:val="decimal" w:pos="728"/>
              </w:tabs>
              <w:rPr>
                <w:rFonts w:eastAsia="Arial Unicode MS" w:cs="Arial"/>
                <w:sz w:val="18"/>
                <w:szCs w:val="24"/>
              </w:rPr>
            </w:pPr>
            <w:r>
              <w:rPr>
                <w:rFonts w:cs="Arial"/>
                <w:sz w:val="18"/>
              </w:rPr>
              <w:t xml:space="preserve">2.100 </w:t>
            </w:r>
          </w:p>
        </w:tc>
        <w:tc>
          <w:tcPr>
            <w:tcW w:w="1080" w:type="dxa"/>
          </w:tcPr>
          <w:p>
            <w:pPr>
              <w:pStyle w:val="GesAbsatz"/>
              <w:tabs>
                <w:tab w:val="clear" w:pos="425"/>
                <w:tab w:val="decimal" w:pos="728"/>
              </w:tabs>
              <w:rPr>
                <w:rFonts w:eastAsia="Arial Unicode MS" w:cs="Arial"/>
                <w:sz w:val="18"/>
                <w:szCs w:val="24"/>
              </w:rPr>
            </w:pPr>
            <w:r>
              <w:rPr>
                <w:rFonts w:cs="Arial"/>
                <w:sz w:val="18"/>
              </w:rPr>
              <w:t>3.885</w:t>
            </w:r>
          </w:p>
        </w:tc>
      </w:tr>
      <w:tr>
        <w:tc>
          <w:tcPr>
            <w:tcW w:w="1346" w:type="dxa"/>
          </w:tcPr>
          <w:p>
            <w:pPr>
              <w:pStyle w:val="GesAbsatz"/>
              <w:rPr>
                <w:rFonts w:eastAsia="Arial Unicode MS" w:cs="Arial"/>
                <w:sz w:val="18"/>
                <w:szCs w:val="24"/>
              </w:rPr>
            </w:pPr>
            <w:r>
              <w:rPr>
                <w:rFonts w:cs="Arial"/>
                <w:sz w:val="18"/>
              </w:rPr>
              <w:t>76 - 100 %</w:t>
            </w:r>
          </w:p>
        </w:tc>
        <w:tc>
          <w:tcPr>
            <w:tcW w:w="992" w:type="dxa"/>
          </w:tcPr>
          <w:p>
            <w:pPr>
              <w:pStyle w:val="GesAbsatz"/>
              <w:tabs>
                <w:tab w:val="clear" w:pos="425"/>
                <w:tab w:val="decimal" w:pos="728"/>
              </w:tabs>
              <w:rPr>
                <w:rFonts w:eastAsia="Arial Unicode MS" w:cs="Arial"/>
                <w:sz w:val="18"/>
                <w:szCs w:val="24"/>
              </w:rPr>
            </w:pPr>
            <w:r>
              <w:rPr>
                <w:rFonts w:cs="Arial"/>
                <w:sz w:val="18"/>
              </w:rPr>
              <w:t>3.200</w:t>
            </w:r>
          </w:p>
        </w:tc>
        <w:tc>
          <w:tcPr>
            <w:tcW w:w="851" w:type="dxa"/>
          </w:tcPr>
          <w:p>
            <w:pPr>
              <w:pStyle w:val="GesAbsatz"/>
              <w:tabs>
                <w:tab w:val="clear" w:pos="425"/>
                <w:tab w:val="decimal" w:pos="728"/>
              </w:tabs>
              <w:rPr>
                <w:rFonts w:eastAsia="Arial Unicode MS" w:cs="Arial"/>
                <w:sz w:val="18"/>
                <w:szCs w:val="24"/>
              </w:rPr>
            </w:pPr>
            <w:r>
              <w:rPr>
                <w:rFonts w:cs="Arial"/>
                <w:sz w:val="18"/>
              </w:rPr>
              <w:t>3.200</w:t>
            </w:r>
          </w:p>
        </w:tc>
        <w:tc>
          <w:tcPr>
            <w:tcW w:w="992" w:type="dxa"/>
          </w:tcPr>
          <w:p>
            <w:pPr>
              <w:pStyle w:val="GesAbsatz"/>
              <w:tabs>
                <w:tab w:val="clear" w:pos="425"/>
                <w:tab w:val="decimal" w:pos="728"/>
              </w:tabs>
              <w:rPr>
                <w:rFonts w:eastAsia="Arial Unicode MS" w:cs="Arial"/>
                <w:sz w:val="18"/>
                <w:szCs w:val="24"/>
              </w:rPr>
            </w:pPr>
            <w:r>
              <w:rPr>
                <w:rFonts w:cs="Arial"/>
                <w:sz w:val="18"/>
              </w:rPr>
              <w:t>63.043</w:t>
            </w:r>
          </w:p>
        </w:tc>
        <w:tc>
          <w:tcPr>
            <w:tcW w:w="992" w:type="dxa"/>
          </w:tcPr>
          <w:p>
            <w:pPr>
              <w:pStyle w:val="GesAbsatz"/>
              <w:tabs>
                <w:tab w:val="clear" w:pos="425"/>
                <w:tab w:val="decimal" w:pos="728"/>
              </w:tabs>
              <w:rPr>
                <w:rFonts w:eastAsia="Arial Unicode MS" w:cs="Arial"/>
                <w:sz w:val="18"/>
                <w:szCs w:val="24"/>
              </w:rPr>
            </w:pPr>
            <w:r>
              <w:rPr>
                <w:rFonts w:cs="Arial"/>
                <w:sz w:val="18"/>
              </w:rPr>
              <w:t>75.903</w:t>
            </w:r>
          </w:p>
        </w:tc>
        <w:tc>
          <w:tcPr>
            <w:tcW w:w="1037" w:type="dxa"/>
          </w:tcPr>
          <w:p>
            <w:pPr>
              <w:pStyle w:val="GesAbsatz"/>
              <w:tabs>
                <w:tab w:val="clear" w:pos="425"/>
                <w:tab w:val="decimal" w:pos="728"/>
              </w:tabs>
              <w:rPr>
                <w:rFonts w:eastAsia="Arial Unicode MS" w:cs="Arial"/>
                <w:sz w:val="18"/>
                <w:szCs w:val="24"/>
              </w:rPr>
            </w:pPr>
            <w:r>
              <w:rPr>
                <w:rFonts w:cs="Arial"/>
                <w:sz w:val="18"/>
              </w:rPr>
              <w:t>—</w:t>
            </w:r>
          </w:p>
        </w:tc>
        <w:tc>
          <w:tcPr>
            <w:tcW w:w="992" w:type="dxa"/>
          </w:tcPr>
          <w:p>
            <w:pPr>
              <w:pStyle w:val="GesAbsatz"/>
              <w:tabs>
                <w:tab w:val="clear" w:pos="425"/>
                <w:tab w:val="decimal" w:pos="728"/>
              </w:tabs>
              <w:rPr>
                <w:rFonts w:eastAsia="Arial Unicode MS" w:cs="Arial"/>
                <w:sz w:val="18"/>
                <w:szCs w:val="24"/>
              </w:rPr>
            </w:pPr>
            <w:r>
              <w:rPr>
                <w:rFonts w:cs="Arial"/>
                <w:sz w:val="18"/>
              </w:rPr>
              <w:t>—</w:t>
            </w:r>
          </w:p>
        </w:tc>
        <w:tc>
          <w:tcPr>
            <w:tcW w:w="992" w:type="dxa"/>
          </w:tcPr>
          <w:p>
            <w:pPr>
              <w:pStyle w:val="GesAbsatz"/>
              <w:tabs>
                <w:tab w:val="clear" w:pos="425"/>
                <w:tab w:val="decimal" w:pos="728"/>
              </w:tabs>
              <w:rPr>
                <w:rFonts w:eastAsia="Arial Unicode MS" w:cs="Arial"/>
                <w:sz w:val="18"/>
                <w:szCs w:val="24"/>
              </w:rPr>
            </w:pPr>
            <w:r>
              <w:rPr>
                <w:rFonts w:cs="Arial"/>
                <w:sz w:val="18"/>
              </w:rPr>
              <w:t>—</w:t>
            </w:r>
          </w:p>
        </w:tc>
        <w:tc>
          <w:tcPr>
            <w:tcW w:w="1080" w:type="dxa"/>
          </w:tcPr>
          <w:p>
            <w:pPr>
              <w:pStyle w:val="GesAbsatz"/>
              <w:tabs>
                <w:tab w:val="clear" w:pos="425"/>
                <w:tab w:val="decimal" w:pos="728"/>
              </w:tabs>
              <w:rPr>
                <w:rFonts w:eastAsia="Arial Unicode MS" w:cs="Arial"/>
                <w:sz w:val="18"/>
                <w:szCs w:val="24"/>
              </w:rPr>
            </w:pPr>
            <w:r>
              <w:rPr>
                <w:rFonts w:cs="Arial"/>
                <w:sz w:val="18"/>
              </w:rPr>
              <w:t>—</w:t>
            </w:r>
          </w:p>
        </w:tc>
      </w:tr>
      <w:tr>
        <w:tc>
          <w:tcPr>
            <w:tcW w:w="1346" w:type="dxa"/>
          </w:tcPr>
          <w:p>
            <w:pPr>
              <w:pStyle w:val="GesAbsatz"/>
              <w:rPr>
                <w:rFonts w:eastAsia="Arial Unicode MS" w:cs="Arial"/>
                <w:sz w:val="18"/>
                <w:szCs w:val="24"/>
              </w:rPr>
            </w:pPr>
            <w:r>
              <w:rPr>
                <w:rFonts w:cs="Arial"/>
                <w:sz w:val="18"/>
              </w:rPr>
              <w:t>gesamt</w:t>
            </w:r>
          </w:p>
        </w:tc>
        <w:tc>
          <w:tcPr>
            <w:tcW w:w="992" w:type="dxa"/>
          </w:tcPr>
          <w:p>
            <w:pPr>
              <w:pStyle w:val="GesAbsatz"/>
              <w:tabs>
                <w:tab w:val="clear" w:pos="425"/>
                <w:tab w:val="decimal" w:pos="728"/>
              </w:tabs>
              <w:rPr>
                <w:rFonts w:eastAsia="Arial Unicode MS" w:cs="Arial"/>
                <w:sz w:val="18"/>
                <w:szCs w:val="24"/>
              </w:rPr>
            </w:pPr>
            <w:r>
              <w:rPr>
                <w:rFonts w:cs="Arial"/>
                <w:sz w:val="18"/>
              </w:rPr>
              <w:t>95.767</w:t>
            </w:r>
          </w:p>
        </w:tc>
        <w:tc>
          <w:tcPr>
            <w:tcW w:w="851" w:type="dxa"/>
          </w:tcPr>
          <w:p>
            <w:pPr>
              <w:pStyle w:val="GesAbsatz"/>
              <w:tabs>
                <w:tab w:val="clear" w:pos="425"/>
                <w:tab w:val="decimal" w:pos="728"/>
              </w:tabs>
              <w:rPr>
                <w:rFonts w:eastAsia="Arial Unicode MS" w:cs="Arial"/>
                <w:sz w:val="18"/>
                <w:szCs w:val="24"/>
              </w:rPr>
            </w:pPr>
            <w:r>
              <w:rPr>
                <w:rFonts w:cs="Arial"/>
                <w:sz w:val="18"/>
              </w:rPr>
              <w:t>111.296</w:t>
            </w:r>
          </w:p>
        </w:tc>
        <w:tc>
          <w:tcPr>
            <w:tcW w:w="992" w:type="dxa"/>
          </w:tcPr>
          <w:p>
            <w:pPr>
              <w:pStyle w:val="GesAbsatz"/>
              <w:tabs>
                <w:tab w:val="clear" w:pos="425"/>
                <w:tab w:val="decimal" w:pos="728"/>
              </w:tabs>
              <w:rPr>
                <w:rFonts w:eastAsia="Arial Unicode MS" w:cs="Arial"/>
                <w:sz w:val="18"/>
                <w:szCs w:val="24"/>
              </w:rPr>
            </w:pPr>
            <w:r>
              <w:rPr>
                <w:rFonts w:cs="Arial"/>
                <w:sz w:val="18"/>
              </w:rPr>
              <w:t>224.847</w:t>
            </w:r>
          </w:p>
        </w:tc>
        <w:tc>
          <w:tcPr>
            <w:tcW w:w="992" w:type="dxa"/>
          </w:tcPr>
          <w:p>
            <w:pPr>
              <w:pStyle w:val="GesAbsatz"/>
              <w:tabs>
                <w:tab w:val="clear" w:pos="425"/>
                <w:tab w:val="decimal" w:pos="728"/>
              </w:tabs>
              <w:rPr>
                <w:rFonts w:eastAsia="Arial Unicode MS" w:cs="Arial"/>
                <w:sz w:val="18"/>
                <w:szCs w:val="24"/>
              </w:rPr>
            </w:pPr>
            <w:r>
              <w:rPr>
                <w:rFonts w:cs="Arial"/>
                <w:sz w:val="18"/>
              </w:rPr>
              <w:t>262.204</w:t>
            </w:r>
          </w:p>
        </w:tc>
        <w:tc>
          <w:tcPr>
            <w:tcW w:w="1037" w:type="dxa"/>
          </w:tcPr>
          <w:p>
            <w:pPr>
              <w:pStyle w:val="GesAbsatz"/>
              <w:tabs>
                <w:tab w:val="clear" w:pos="425"/>
                <w:tab w:val="decimal" w:pos="728"/>
              </w:tabs>
              <w:rPr>
                <w:rFonts w:eastAsia="Arial Unicode MS" w:cs="Arial"/>
                <w:sz w:val="18"/>
                <w:szCs w:val="24"/>
              </w:rPr>
            </w:pPr>
            <w:r>
              <w:rPr>
                <w:rFonts w:cs="Arial"/>
                <w:sz w:val="18"/>
              </w:rPr>
              <w:t>46.113</w:t>
            </w:r>
          </w:p>
        </w:tc>
        <w:tc>
          <w:tcPr>
            <w:tcW w:w="992" w:type="dxa"/>
          </w:tcPr>
          <w:p>
            <w:pPr>
              <w:pStyle w:val="GesAbsatz"/>
              <w:tabs>
                <w:tab w:val="clear" w:pos="425"/>
                <w:tab w:val="decimal" w:pos="728"/>
              </w:tabs>
              <w:rPr>
                <w:rFonts w:eastAsia="Arial Unicode MS" w:cs="Arial"/>
                <w:sz w:val="18"/>
                <w:szCs w:val="24"/>
              </w:rPr>
            </w:pPr>
            <w:r>
              <w:rPr>
                <w:rFonts w:cs="Arial"/>
                <w:sz w:val="18"/>
              </w:rPr>
              <w:t>54.235</w:t>
            </w:r>
          </w:p>
        </w:tc>
        <w:tc>
          <w:tcPr>
            <w:tcW w:w="992" w:type="dxa"/>
          </w:tcPr>
          <w:p>
            <w:pPr>
              <w:pStyle w:val="GesAbsatz"/>
              <w:tabs>
                <w:tab w:val="clear" w:pos="425"/>
                <w:tab w:val="decimal" w:pos="728"/>
              </w:tabs>
              <w:rPr>
                <w:rFonts w:eastAsia="Arial Unicode MS" w:cs="Arial"/>
                <w:sz w:val="18"/>
                <w:szCs w:val="24"/>
              </w:rPr>
            </w:pPr>
            <w:r>
              <w:rPr>
                <w:rFonts w:cs="Arial"/>
                <w:sz w:val="18"/>
              </w:rPr>
              <w:t>23.869</w:t>
            </w:r>
          </w:p>
        </w:tc>
        <w:tc>
          <w:tcPr>
            <w:tcW w:w="1080" w:type="dxa"/>
          </w:tcPr>
          <w:p>
            <w:pPr>
              <w:pStyle w:val="GesAbsatz"/>
              <w:tabs>
                <w:tab w:val="clear" w:pos="425"/>
                <w:tab w:val="decimal" w:pos="728"/>
              </w:tabs>
              <w:rPr>
                <w:rFonts w:eastAsia="Arial Unicode MS" w:cs="Arial"/>
                <w:sz w:val="18"/>
                <w:szCs w:val="24"/>
              </w:rPr>
            </w:pPr>
            <w:r>
              <w:rPr>
                <w:rFonts w:cs="Arial"/>
                <w:sz w:val="18"/>
              </w:rPr>
              <w:t>40.477</w:t>
            </w:r>
          </w:p>
        </w:tc>
      </w:tr>
    </w:tbl>
    <w:p>
      <w:pPr>
        <w:pStyle w:val="GesAbsatz"/>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4"/>
        <w:gridCol w:w="875"/>
        <w:gridCol w:w="877"/>
        <w:gridCol w:w="874"/>
        <w:gridCol w:w="874"/>
        <w:gridCol w:w="870"/>
        <w:gridCol w:w="870"/>
        <w:gridCol w:w="873"/>
        <w:gridCol w:w="873"/>
        <w:gridCol w:w="859"/>
        <w:gridCol w:w="859"/>
      </w:tblGrid>
      <w:tr>
        <w:trPr>
          <w:tblHeader/>
        </w:trPr>
        <w:tc>
          <w:tcPr>
            <w:tcW w:w="1074" w:type="dxa"/>
          </w:tcPr>
          <w:p>
            <w:pPr>
              <w:pStyle w:val="GesAbsatz"/>
              <w:jc w:val="center"/>
              <w:rPr>
                <w:rFonts w:eastAsia="Arial Unicode MS" w:cs="Arial"/>
                <w:sz w:val="18"/>
                <w:szCs w:val="24"/>
              </w:rPr>
            </w:pPr>
            <w:r>
              <w:rPr>
                <w:rFonts w:cs="Arial"/>
                <w:b/>
                <w:bCs/>
                <w:sz w:val="18"/>
              </w:rPr>
              <w:lastRenderedPageBreak/>
              <w:t>Anteil der am Kompostabsatz je Anlage</w:t>
            </w:r>
          </w:p>
        </w:tc>
        <w:tc>
          <w:tcPr>
            <w:tcW w:w="1752" w:type="dxa"/>
            <w:gridSpan w:val="2"/>
          </w:tcPr>
          <w:p>
            <w:pPr>
              <w:pStyle w:val="GesAbsatz"/>
              <w:jc w:val="center"/>
              <w:rPr>
                <w:rFonts w:eastAsia="Arial Unicode MS" w:cs="Arial"/>
                <w:sz w:val="18"/>
                <w:szCs w:val="24"/>
              </w:rPr>
            </w:pPr>
            <w:r>
              <w:rPr>
                <w:rFonts w:cs="Arial"/>
                <w:b/>
                <w:bCs/>
                <w:sz w:val="18"/>
              </w:rPr>
              <w:t>Wein-/Obstbau,</w:t>
            </w:r>
            <w:r>
              <w:rPr>
                <w:rFonts w:cs="Arial"/>
                <w:b/>
                <w:bCs/>
                <w:sz w:val="18"/>
              </w:rPr>
              <w:br/>
              <w:t>Sonderkulturen</w:t>
            </w:r>
            <w:r>
              <w:rPr>
                <w:rFonts w:cs="Arial"/>
                <w:b/>
                <w:bCs/>
                <w:sz w:val="18"/>
              </w:rPr>
              <w:br/>
            </w:r>
            <w:r>
              <w:rPr>
                <w:rFonts w:cs="Arial"/>
                <w:sz w:val="18"/>
                <w:szCs w:val="15"/>
              </w:rPr>
              <w:t>Mengen in</w:t>
            </w:r>
            <w:r>
              <w:rPr>
                <w:rFonts w:cs="Arial"/>
                <w:sz w:val="18"/>
                <w:szCs w:val="15"/>
              </w:rPr>
              <w:br/>
              <w:t>Mg/a</w:t>
            </w:r>
          </w:p>
        </w:tc>
        <w:tc>
          <w:tcPr>
            <w:tcW w:w="1748" w:type="dxa"/>
            <w:gridSpan w:val="2"/>
          </w:tcPr>
          <w:p>
            <w:pPr>
              <w:pStyle w:val="GesAbsatz"/>
              <w:jc w:val="center"/>
              <w:rPr>
                <w:rFonts w:eastAsia="Arial Unicode MS" w:cs="Arial"/>
                <w:sz w:val="18"/>
                <w:szCs w:val="24"/>
              </w:rPr>
            </w:pPr>
            <w:r>
              <w:rPr>
                <w:rFonts w:cs="Arial"/>
                <w:b/>
                <w:bCs/>
                <w:sz w:val="18"/>
              </w:rPr>
              <w:t>Erdenwerke</w:t>
            </w:r>
            <w:r>
              <w:rPr>
                <w:rFonts w:cs="Arial"/>
                <w:b/>
                <w:bCs/>
                <w:sz w:val="18"/>
              </w:rPr>
              <w:br/>
            </w:r>
            <w:r>
              <w:rPr>
                <w:rFonts w:cs="Arial"/>
                <w:sz w:val="18"/>
                <w:szCs w:val="15"/>
              </w:rPr>
              <w:t>Mengen in</w:t>
            </w:r>
            <w:r>
              <w:rPr>
                <w:rFonts w:cs="Arial"/>
                <w:sz w:val="18"/>
                <w:szCs w:val="15"/>
              </w:rPr>
              <w:br/>
              <w:t>Mg/a</w:t>
            </w:r>
          </w:p>
        </w:tc>
        <w:tc>
          <w:tcPr>
            <w:tcW w:w="1740" w:type="dxa"/>
            <w:gridSpan w:val="2"/>
          </w:tcPr>
          <w:p>
            <w:pPr>
              <w:pStyle w:val="GesAbsatz"/>
              <w:jc w:val="center"/>
              <w:rPr>
                <w:rFonts w:eastAsia="Arial Unicode MS" w:cs="Arial"/>
                <w:sz w:val="18"/>
                <w:szCs w:val="24"/>
              </w:rPr>
            </w:pPr>
            <w:r>
              <w:rPr>
                <w:rFonts w:cs="Arial"/>
                <w:b/>
                <w:bCs/>
                <w:sz w:val="18"/>
              </w:rPr>
              <w:t>Rekultivierung</w:t>
            </w:r>
            <w:r>
              <w:rPr>
                <w:rFonts w:cs="Arial"/>
                <w:b/>
                <w:bCs/>
                <w:sz w:val="18"/>
              </w:rPr>
              <w:br/>
            </w:r>
            <w:r>
              <w:rPr>
                <w:rFonts w:cs="Arial"/>
                <w:sz w:val="18"/>
                <w:szCs w:val="15"/>
              </w:rPr>
              <w:t>Mengen in</w:t>
            </w:r>
            <w:r>
              <w:rPr>
                <w:rFonts w:cs="Arial"/>
                <w:sz w:val="18"/>
                <w:szCs w:val="15"/>
              </w:rPr>
              <w:br/>
              <w:t>Mg/a</w:t>
            </w:r>
          </w:p>
        </w:tc>
        <w:tc>
          <w:tcPr>
            <w:tcW w:w="1746" w:type="dxa"/>
            <w:gridSpan w:val="2"/>
          </w:tcPr>
          <w:p>
            <w:pPr>
              <w:pStyle w:val="GesAbsatz"/>
              <w:jc w:val="center"/>
              <w:rPr>
                <w:rFonts w:eastAsia="Arial Unicode MS" w:cs="Arial"/>
                <w:sz w:val="18"/>
                <w:szCs w:val="24"/>
              </w:rPr>
            </w:pPr>
            <w:r>
              <w:rPr>
                <w:rFonts w:cs="Arial"/>
                <w:b/>
                <w:bCs/>
                <w:sz w:val="18"/>
              </w:rPr>
              <w:t>Kommunen</w:t>
            </w:r>
            <w:r>
              <w:rPr>
                <w:rFonts w:cs="Arial"/>
                <w:b/>
                <w:bCs/>
                <w:sz w:val="18"/>
              </w:rPr>
              <w:br/>
            </w:r>
            <w:r>
              <w:rPr>
                <w:rFonts w:cs="Arial"/>
                <w:sz w:val="18"/>
                <w:szCs w:val="15"/>
              </w:rPr>
              <w:t>Mengen in</w:t>
            </w:r>
            <w:r>
              <w:rPr>
                <w:rFonts w:cs="Arial"/>
                <w:sz w:val="18"/>
                <w:szCs w:val="15"/>
              </w:rPr>
              <w:br/>
              <w:t>Mg/a</w:t>
            </w:r>
          </w:p>
        </w:tc>
        <w:tc>
          <w:tcPr>
            <w:tcW w:w="1718" w:type="dxa"/>
            <w:gridSpan w:val="2"/>
          </w:tcPr>
          <w:p>
            <w:pPr>
              <w:pStyle w:val="GesAbsatz"/>
              <w:jc w:val="center"/>
              <w:rPr>
                <w:rFonts w:eastAsia="Arial Unicode MS" w:cs="Arial"/>
                <w:sz w:val="18"/>
                <w:szCs w:val="24"/>
              </w:rPr>
            </w:pPr>
            <w:r>
              <w:rPr>
                <w:rFonts w:cs="Arial"/>
                <w:b/>
                <w:bCs/>
                <w:sz w:val="18"/>
              </w:rPr>
              <w:t>andere</w:t>
            </w:r>
            <w:r>
              <w:rPr>
                <w:rFonts w:cs="Arial"/>
                <w:b/>
                <w:bCs/>
                <w:sz w:val="18"/>
              </w:rPr>
              <w:br/>
            </w:r>
            <w:r>
              <w:rPr>
                <w:rFonts w:cs="Arial"/>
                <w:sz w:val="18"/>
                <w:szCs w:val="15"/>
              </w:rPr>
              <w:t>Mengen in</w:t>
            </w:r>
            <w:r>
              <w:rPr>
                <w:rFonts w:cs="Arial"/>
                <w:sz w:val="18"/>
                <w:szCs w:val="15"/>
              </w:rPr>
              <w:br/>
              <w:t>Mg/a</w:t>
            </w:r>
          </w:p>
        </w:tc>
      </w:tr>
      <w:tr>
        <w:trPr>
          <w:tblHeader/>
        </w:trPr>
        <w:tc>
          <w:tcPr>
            <w:tcW w:w="1074" w:type="dxa"/>
          </w:tcPr>
          <w:p>
            <w:pPr>
              <w:pStyle w:val="GesAbsatz"/>
              <w:jc w:val="center"/>
              <w:rPr>
                <w:rFonts w:eastAsia="Arial Unicode MS" w:cs="Arial"/>
                <w:sz w:val="18"/>
                <w:szCs w:val="24"/>
              </w:rPr>
            </w:pPr>
          </w:p>
        </w:tc>
        <w:tc>
          <w:tcPr>
            <w:tcW w:w="875" w:type="dxa"/>
          </w:tcPr>
          <w:p>
            <w:pPr>
              <w:pStyle w:val="GesAbsatz"/>
              <w:jc w:val="center"/>
              <w:rPr>
                <w:rFonts w:eastAsia="Arial Unicode MS" w:cs="Arial"/>
                <w:sz w:val="18"/>
                <w:szCs w:val="24"/>
              </w:rPr>
            </w:pPr>
            <w:r>
              <w:rPr>
                <w:rFonts w:cs="Arial"/>
                <w:sz w:val="18"/>
              </w:rPr>
              <w:t>1</w:t>
            </w:r>
          </w:p>
        </w:tc>
        <w:tc>
          <w:tcPr>
            <w:tcW w:w="877" w:type="dxa"/>
          </w:tcPr>
          <w:p>
            <w:pPr>
              <w:pStyle w:val="GesAbsatz"/>
              <w:jc w:val="center"/>
              <w:rPr>
                <w:rFonts w:eastAsia="Arial Unicode MS" w:cs="Arial"/>
                <w:sz w:val="18"/>
                <w:szCs w:val="24"/>
              </w:rPr>
            </w:pPr>
            <w:r>
              <w:rPr>
                <w:rFonts w:cs="Arial"/>
                <w:sz w:val="18"/>
              </w:rPr>
              <w:t>2</w:t>
            </w:r>
            <w:r>
              <w:rPr>
                <w:rFonts w:cs="Arial"/>
                <w:sz w:val="18"/>
                <w:vertAlign w:val="superscript"/>
              </w:rPr>
              <w:t>3</w:t>
            </w:r>
          </w:p>
        </w:tc>
        <w:tc>
          <w:tcPr>
            <w:tcW w:w="874" w:type="dxa"/>
          </w:tcPr>
          <w:p>
            <w:pPr>
              <w:pStyle w:val="GesAbsatz"/>
              <w:jc w:val="center"/>
              <w:rPr>
                <w:rFonts w:eastAsia="Arial Unicode MS" w:cs="Arial"/>
                <w:sz w:val="18"/>
                <w:szCs w:val="24"/>
              </w:rPr>
            </w:pPr>
            <w:r>
              <w:rPr>
                <w:rFonts w:cs="Arial"/>
                <w:sz w:val="18"/>
              </w:rPr>
              <w:t>1</w:t>
            </w:r>
          </w:p>
        </w:tc>
        <w:tc>
          <w:tcPr>
            <w:tcW w:w="874" w:type="dxa"/>
          </w:tcPr>
          <w:p>
            <w:pPr>
              <w:pStyle w:val="GesAbsatz"/>
              <w:jc w:val="center"/>
              <w:rPr>
                <w:rFonts w:eastAsia="Arial Unicode MS" w:cs="Arial"/>
                <w:sz w:val="18"/>
                <w:szCs w:val="24"/>
              </w:rPr>
            </w:pPr>
            <w:r>
              <w:rPr>
                <w:rFonts w:cs="Arial"/>
                <w:sz w:val="18"/>
              </w:rPr>
              <w:t>2</w:t>
            </w:r>
          </w:p>
        </w:tc>
        <w:tc>
          <w:tcPr>
            <w:tcW w:w="870" w:type="dxa"/>
          </w:tcPr>
          <w:p>
            <w:pPr>
              <w:pStyle w:val="GesAbsatz"/>
              <w:jc w:val="center"/>
              <w:rPr>
                <w:rFonts w:eastAsia="Arial Unicode MS" w:cs="Arial"/>
                <w:sz w:val="18"/>
                <w:szCs w:val="24"/>
              </w:rPr>
            </w:pPr>
            <w:r>
              <w:rPr>
                <w:rFonts w:cs="Arial"/>
                <w:sz w:val="18"/>
              </w:rPr>
              <w:t>1</w:t>
            </w:r>
          </w:p>
        </w:tc>
        <w:tc>
          <w:tcPr>
            <w:tcW w:w="870" w:type="dxa"/>
          </w:tcPr>
          <w:p>
            <w:pPr>
              <w:pStyle w:val="GesAbsatz"/>
              <w:jc w:val="center"/>
              <w:rPr>
                <w:rFonts w:eastAsia="Arial Unicode MS" w:cs="Arial"/>
                <w:sz w:val="18"/>
                <w:szCs w:val="24"/>
              </w:rPr>
            </w:pPr>
            <w:r>
              <w:rPr>
                <w:rFonts w:cs="Arial"/>
                <w:sz w:val="18"/>
              </w:rPr>
              <w:t>2</w:t>
            </w:r>
          </w:p>
        </w:tc>
        <w:tc>
          <w:tcPr>
            <w:tcW w:w="873" w:type="dxa"/>
          </w:tcPr>
          <w:p>
            <w:pPr>
              <w:pStyle w:val="GesAbsatz"/>
              <w:jc w:val="center"/>
              <w:rPr>
                <w:rFonts w:eastAsia="Arial Unicode MS" w:cs="Arial"/>
                <w:sz w:val="18"/>
                <w:szCs w:val="24"/>
              </w:rPr>
            </w:pPr>
            <w:r>
              <w:rPr>
                <w:rFonts w:cs="Arial"/>
                <w:sz w:val="18"/>
              </w:rPr>
              <w:t>1</w:t>
            </w:r>
          </w:p>
        </w:tc>
        <w:tc>
          <w:tcPr>
            <w:tcW w:w="873" w:type="dxa"/>
          </w:tcPr>
          <w:p>
            <w:pPr>
              <w:pStyle w:val="GesAbsatz"/>
              <w:jc w:val="center"/>
              <w:rPr>
                <w:rFonts w:eastAsia="Arial Unicode MS" w:cs="Arial"/>
                <w:sz w:val="18"/>
                <w:szCs w:val="24"/>
              </w:rPr>
            </w:pPr>
            <w:r>
              <w:rPr>
                <w:rFonts w:cs="Arial"/>
                <w:sz w:val="18"/>
              </w:rPr>
              <w:t>2</w:t>
            </w:r>
          </w:p>
        </w:tc>
        <w:tc>
          <w:tcPr>
            <w:tcW w:w="859" w:type="dxa"/>
          </w:tcPr>
          <w:p>
            <w:pPr>
              <w:pStyle w:val="GesAbsatz"/>
              <w:jc w:val="center"/>
              <w:rPr>
                <w:rFonts w:eastAsia="Arial Unicode MS" w:cs="Arial"/>
                <w:sz w:val="18"/>
                <w:szCs w:val="24"/>
              </w:rPr>
            </w:pPr>
            <w:r>
              <w:rPr>
                <w:rFonts w:cs="Arial"/>
                <w:sz w:val="18"/>
              </w:rPr>
              <w:t>1</w:t>
            </w:r>
          </w:p>
        </w:tc>
        <w:tc>
          <w:tcPr>
            <w:tcW w:w="859" w:type="dxa"/>
          </w:tcPr>
          <w:p>
            <w:pPr>
              <w:pStyle w:val="GesAbsatz"/>
              <w:jc w:val="center"/>
              <w:rPr>
                <w:rFonts w:eastAsia="Arial Unicode MS" w:cs="Arial"/>
                <w:sz w:val="18"/>
                <w:szCs w:val="24"/>
              </w:rPr>
            </w:pPr>
            <w:r>
              <w:rPr>
                <w:rFonts w:cs="Arial"/>
                <w:sz w:val="18"/>
              </w:rPr>
              <w:t>2</w:t>
            </w:r>
          </w:p>
        </w:tc>
      </w:tr>
      <w:tr>
        <w:tc>
          <w:tcPr>
            <w:tcW w:w="1074" w:type="dxa"/>
          </w:tcPr>
          <w:p>
            <w:pPr>
              <w:pStyle w:val="GesAbsatz"/>
              <w:rPr>
                <w:rFonts w:eastAsia="Arial Unicode MS" w:cs="Arial"/>
                <w:sz w:val="18"/>
                <w:szCs w:val="24"/>
              </w:rPr>
            </w:pPr>
            <w:r>
              <w:rPr>
                <w:rFonts w:cs="Arial"/>
                <w:sz w:val="18"/>
              </w:rPr>
              <w:t xml:space="preserve">0 - 25 % </w:t>
            </w:r>
          </w:p>
        </w:tc>
        <w:tc>
          <w:tcPr>
            <w:tcW w:w="875" w:type="dxa"/>
          </w:tcPr>
          <w:p>
            <w:pPr>
              <w:pStyle w:val="GesAbsatz"/>
              <w:rPr>
                <w:rFonts w:eastAsia="Arial Unicode MS" w:cs="Arial"/>
                <w:sz w:val="18"/>
                <w:szCs w:val="24"/>
              </w:rPr>
            </w:pPr>
            <w:r>
              <w:rPr>
                <w:rFonts w:cs="Arial"/>
                <w:sz w:val="18"/>
              </w:rPr>
              <w:t>11.893</w:t>
            </w:r>
          </w:p>
        </w:tc>
        <w:tc>
          <w:tcPr>
            <w:tcW w:w="877" w:type="dxa"/>
          </w:tcPr>
          <w:p>
            <w:pPr>
              <w:pStyle w:val="GesAbsatz"/>
              <w:rPr>
                <w:rFonts w:eastAsia="Arial Unicode MS" w:cs="Arial"/>
                <w:sz w:val="18"/>
                <w:szCs w:val="24"/>
              </w:rPr>
            </w:pPr>
            <w:r>
              <w:rPr>
                <w:rFonts w:cs="Arial"/>
                <w:sz w:val="18"/>
              </w:rPr>
              <w:t xml:space="preserve">11.893 </w:t>
            </w:r>
          </w:p>
        </w:tc>
        <w:tc>
          <w:tcPr>
            <w:tcW w:w="874" w:type="dxa"/>
          </w:tcPr>
          <w:p>
            <w:pPr>
              <w:pStyle w:val="GesAbsatz"/>
              <w:rPr>
                <w:rFonts w:eastAsia="Arial Unicode MS" w:cs="Arial"/>
                <w:sz w:val="18"/>
                <w:szCs w:val="24"/>
              </w:rPr>
            </w:pPr>
            <w:r>
              <w:rPr>
                <w:rFonts w:cs="Arial"/>
                <w:sz w:val="18"/>
              </w:rPr>
              <w:t>21.004</w:t>
            </w:r>
          </w:p>
        </w:tc>
        <w:tc>
          <w:tcPr>
            <w:tcW w:w="874" w:type="dxa"/>
          </w:tcPr>
          <w:p>
            <w:pPr>
              <w:pStyle w:val="GesAbsatz"/>
              <w:rPr>
                <w:rFonts w:eastAsia="Arial Unicode MS" w:cs="Arial"/>
                <w:sz w:val="18"/>
                <w:szCs w:val="24"/>
              </w:rPr>
            </w:pPr>
            <w:r>
              <w:rPr>
                <w:rFonts w:cs="Arial"/>
                <w:sz w:val="18"/>
              </w:rPr>
              <w:t>21.004</w:t>
            </w:r>
          </w:p>
        </w:tc>
        <w:tc>
          <w:tcPr>
            <w:tcW w:w="870" w:type="dxa"/>
          </w:tcPr>
          <w:p>
            <w:pPr>
              <w:pStyle w:val="GesAbsatz"/>
              <w:rPr>
                <w:rFonts w:eastAsia="Arial Unicode MS" w:cs="Arial"/>
                <w:sz w:val="18"/>
                <w:szCs w:val="24"/>
              </w:rPr>
            </w:pPr>
            <w:r>
              <w:rPr>
                <w:rFonts w:cs="Arial"/>
                <w:sz w:val="18"/>
              </w:rPr>
              <w:t>14.874</w:t>
            </w:r>
          </w:p>
        </w:tc>
        <w:tc>
          <w:tcPr>
            <w:tcW w:w="870" w:type="dxa"/>
          </w:tcPr>
          <w:p>
            <w:pPr>
              <w:pStyle w:val="GesAbsatz"/>
              <w:rPr>
                <w:rFonts w:eastAsia="Arial Unicode MS" w:cs="Arial"/>
                <w:sz w:val="18"/>
                <w:szCs w:val="24"/>
              </w:rPr>
            </w:pPr>
            <w:r>
              <w:rPr>
                <w:rFonts w:cs="Arial"/>
                <w:sz w:val="18"/>
              </w:rPr>
              <w:t>15.770</w:t>
            </w:r>
          </w:p>
        </w:tc>
        <w:tc>
          <w:tcPr>
            <w:tcW w:w="873" w:type="dxa"/>
          </w:tcPr>
          <w:p>
            <w:pPr>
              <w:pStyle w:val="GesAbsatz"/>
              <w:rPr>
                <w:rFonts w:eastAsia="Arial Unicode MS" w:cs="Arial"/>
                <w:sz w:val="18"/>
                <w:szCs w:val="24"/>
              </w:rPr>
            </w:pPr>
            <w:r>
              <w:rPr>
                <w:rFonts w:cs="Arial"/>
                <w:sz w:val="18"/>
              </w:rPr>
              <w:t>18.109</w:t>
            </w:r>
          </w:p>
        </w:tc>
        <w:tc>
          <w:tcPr>
            <w:tcW w:w="873" w:type="dxa"/>
          </w:tcPr>
          <w:p>
            <w:pPr>
              <w:pStyle w:val="GesAbsatz"/>
              <w:rPr>
                <w:rFonts w:eastAsia="Arial Unicode MS" w:cs="Arial"/>
                <w:sz w:val="18"/>
                <w:szCs w:val="24"/>
              </w:rPr>
            </w:pPr>
            <w:r>
              <w:rPr>
                <w:rFonts w:cs="Arial"/>
                <w:sz w:val="18"/>
              </w:rPr>
              <w:t>20.065</w:t>
            </w:r>
          </w:p>
        </w:tc>
        <w:tc>
          <w:tcPr>
            <w:tcW w:w="859" w:type="dxa"/>
          </w:tcPr>
          <w:p>
            <w:pPr>
              <w:pStyle w:val="GesAbsatz"/>
              <w:rPr>
                <w:rFonts w:eastAsia="Arial Unicode MS" w:cs="Arial"/>
                <w:sz w:val="18"/>
                <w:szCs w:val="24"/>
              </w:rPr>
            </w:pPr>
            <w:r>
              <w:rPr>
                <w:rFonts w:cs="Arial"/>
                <w:sz w:val="18"/>
              </w:rPr>
              <w:t>9.930</w:t>
            </w:r>
          </w:p>
        </w:tc>
        <w:tc>
          <w:tcPr>
            <w:tcW w:w="859" w:type="dxa"/>
          </w:tcPr>
          <w:p>
            <w:pPr>
              <w:pStyle w:val="GesAbsatz"/>
              <w:rPr>
                <w:rFonts w:eastAsia="Arial Unicode MS" w:cs="Arial"/>
                <w:sz w:val="18"/>
                <w:szCs w:val="24"/>
              </w:rPr>
            </w:pPr>
            <w:r>
              <w:rPr>
                <w:rFonts w:cs="Arial"/>
                <w:sz w:val="18"/>
              </w:rPr>
              <w:t>14.938</w:t>
            </w:r>
          </w:p>
        </w:tc>
      </w:tr>
      <w:tr>
        <w:tc>
          <w:tcPr>
            <w:tcW w:w="1074" w:type="dxa"/>
          </w:tcPr>
          <w:p>
            <w:pPr>
              <w:pStyle w:val="GesAbsatz"/>
              <w:rPr>
                <w:rFonts w:eastAsia="Arial Unicode MS" w:cs="Arial"/>
                <w:sz w:val="18"/>
                <w:szCs w:val="24"/>
              </w:rPr>
            </w:pPr>
            <w:r>
              <w:rPr>
                <w:rFonts w:cs="Arial"/>
                <w:sz w:val="18"/>
              </w:rPr>
              <w:t>26 - 50 %</w:t>
            </w:r>
          </w:p>
        </w:tc>
        <w:tc>
          <w:tcPr>
            <w:tcW w:w="875" w:type="dxa"/>
          </w:tcPr>
          <w:p>
            <w:pPr>
              <w:pStyle w:val="GesAbsatz"/>
              <w:rPr>
                <w:rFonts w:eastAsia="Arial Unicode MS" w:cs="Arial"/>
                <w:sz w:val="18"/>
                <w:szCs w:val="24"/>
              </w:rPr>
            </w:pPr>
            <w:r>
              <w:rPr>
                <w:rFonts w:cs="Arial"/>
                <w:sz w:val="18"/>
              </w:rPr>
              <w:t>—</w:t>
            </w:r>
          </w:p>
        </w:tc>
        <w:tc>
          <w:tcPr>
            <w:tcW w:w="877" w:type="dxa"/>
          </w:tcPr>
          <w:p>
            <w:pPr>
              <w:pStyle w:val="GesAbsatz"/>
              <w:rPr>
                <w:rFonts w:eastAsia="Arial Unicode MS" w:cs="Arial"/>
                <w:sz w:val="18"/>
                <w:szCs w:val="24"/>
              </w:rPr>
            </w:pPr>
            <w:r>
              <w:rPr>
                <w:rFonts w:cs="Arial"/>
                <w:sz w:val="18"/>
              </w:rPr>
              <w:t xml:space="preserve">— </w:t>
            </w:r>
          </w:p>
        </w:tc>
        <w:tc>
          <w:tcPr>
            <w:tcW w:w="874" w:type="dxa"/>
          </w:tcPr>
          <w:p>
            <w:pPr>
              <w:pStyle w:val="GesAbsatz"/>
              <w:rPr>
                <w:rFonts w:eastAsia="Arial Unicode MS" w:cs="Arial"/>
                <w:sz w:val="18"/>
                <w:szCs w:val="24"/>
              </w:rPr>
            </w:pPr>
            <w:r>
              <w:rPr>
                <w:rFonts w:cs="Arial"/>
                <w:sz w:val="18"/>
              </w:rPr>
              <w:t>2.000</w:t>
            </w:r>
          </w:p>
        </w:tc>
        <w:tc>
          <w:tcPr>
            <w:tcW w:w="874" w:type="dxa"/>
          </w:tcPr>
          <w:p>
            <w:pPr>
              <w:pStyle w:val="GesAbsatz"/>
              <w:rPr>
                <w:rFonts w:eastAsia="Arial Unicode MS" w:cs="Arial"/>
                <w:sz w:val="18"/>
                <w:szCs w:val="24"/>
              </w:rPr>
            </w:pPr>
            <w:r>
              <w:rPr>
                <w:rFonts w:cs="Arial"/>
                <w:sz w:val="18"/>
              </w:rPr>
              <w:t>2.000</w:t>
            </w:r>
          </w:p>
        </w:tc>
        <w:tc>
          <w:tcPr>
            <w:tcW w:w="870" w:type="dxa"/>
          </w:tcPr>
          <w:p>
            <w:pPr>
              <w:pStyle w:val="GesAbsatz"/>
              <w:rPr>
                <w:rFonts w:eastAsia="Arial Unicode MS" w:cs="Arial"/>
                <w:sz w:val="18"/>
                <w:szCs w:val="24"/>
              </w:rPr>
            </w:pPr>
            <w:r>
              <w:rPr>
                <w:rFonts w:cs="Arial"/>
                <w:sz w:val="18"/>
              </w:rPr>
              <w:t>6.013</w:t>
            </w:r>
          </w:p>
        </w:tc>
        <w:tc>
          <w:tcPr>
            <w:tcW w:w="870" w:type="dxa"/>
          </w:tcPr>
          <w:p>
            <w:pPr>
              <w:pStyle w:val="GesAbsatz"/>
              <w:rPr>
                <w:rFonts w:eastAsia="Arial Unicode MS" w:cs="Arial"/>
                <w:sz w:val="18"/>
                <w:szCs w:val="24"/>
              </w:rPr>
            </w:pPr>
            <w:r>
              <w:rPr>
                <w:rFonts w:cs="Arial"/>
                <w:sz w:val="18"/>
              </w:rPr>
              <w:t>9.249</w:t>
            </w:r>
          </w:p>
        </w:tc>
        <w:tc>
          <w:tcPr>
            <w:tcW w:w="873" w:type="dxa"/>
          </w:tcPr>
          <w:p>
            <w:pPr>
              <w:pStyle w:val="GesAbsatz"/>
              <w:rPr>
                <w:rFonts w:eastAsia="Arial Unicode MS" w:cs="Arial"/>
                <w:sz w:val="18"/>
                <w:szCs w:val="24"/>
              </w:rPr>
            </w:pPr>
            <w:r>
              <w:rPr>
                <w:rFonts w:cs="Arial"/>
                <w:sz w:val="18"/>
              </w:rPr>
              <w:t xml:space="preserve">2.320 </w:t>
            </w:r>
          </w:p>
        </w:tc>
        <w:tc>
          <w:tcPr>
            <w:tcW w:w="873" w:type="dxa"/>
          </w:tcPr>
          <w:p>
            <w:pPr>
              <w:pStyle w:val="GesAbsatz"/>
              <w:rPr>
                <w:rFonts w:eastAsia="Arial Unicode MS" w:cs="Arial"/>
                <w:sz w:val="18"/>
                <w:szCs w:val="24"/>
              </w:rPr>
            </w:pPr>
            <w:r>
              <w:rPr>
                <w:rFonts w:cs="Arial"/>
                <w:sz w:val="18"/>
              </w:rPr>
              <w:t>2.320</w:t>
            </w:r>
          </w:p>
        </w:tc>
        <w:tc>
          <w:tcPr>
            <w:tcW w:w="859" w:type="dxa"/>
          </w:tcPr>
          <w:p>
            <w:pPr>
              <w:pStyle w:val="GesAbsatz"/>
              <w:rPr>
                <w:rFonts w:eastAsia="Arial Unicode MS" w:cs="Arial"/>
                <w:sz w:val="18"/>
                <w:szCs w:val="24"/>
              </w:rPr>
            </w:pPr>
            <w:r>
              <w:rPr>
                <w:rFonts w:cs="Arial"/>
                <w:sz w:val="18"/>
              </w:rPr>
              <w:t xml:space="preserve">— </w:t>
            </w:r>
          </w:p>
        </w:tc>
        <w:tc>
          <w:tcPr>
            <w:tcW w:w="859" w:type="dxa"/>
          </w:tcPr>
          <w:p>
            <w:pPr>
              <w:pStyle w:val="GesAbsatz"/>
              <w:rPr>
                <w:rFonts w:eastAsia="Arial Unicode MS" w:cs="Arial"/>
                <w:sz w:val="18"/>
                <w:szCs w:val="24"/>
              </w:rPr>
            </w:pPr>
            <w:r>
              <w:rPr>
                <w:rFonts w:cs="Arial"/>
                <w:sz w:val="18"/>
              </w:rPr>
              <w:t>—</w:t>
            </w:r>
          </w:p>
        </w:tc>
      </w:tr>
      <w:tr>
        <w:tc>
          <w:tcPr>
            <w:tcW w:w="1074" w:type="dxa"/>
          </w:tcPr>
          <w:p>
            <w:pPr>
              <w:pStyle w:val="GesAbsatz"/>
              <w:rPr>
                <w:rFonts w:eastAsia="Arial Unicode MS" w:cs="Arial"/>
                <w:sz w:val="18"/>
                <w:szCs w:val="24"/>
              </w:rPr>
            </w:pPr>
            <w:r>
              <w:rPr>
                <w:rFonts w:cs="Arial"/>
                <w:sz w:val="18"/>
              </w:rPr>
              <w:t>51 - 75 %</w:t>
            </w:r>
          </w:p>
        </w:tc>
        <w:tc>
          <w:tcPr>
            <w:tcW w:w="875" w:type="dxa"/>
          </w:tcPr>
          <w:p>
            <w:pPr>
              <w:pStyle w:val="GesAbsatz"/>
              <w:rPr>
                <w:rFonts w:eastAsia="Arial Unicode MS" w:cs="Arial"/>
                <w:sz w:val="18"/>
                <w:szCs w:val="24"/>
              </w:rPr>
            </w:pPr>
            <w:r>
              <w:rPr>
                <w:rFonts w:cs="Arial"/>
                <w:sz w:val="18"/>
              </w:rPr>
              <w:t xml:space="preserve">— </w:t>
            </w:r>
          </w:p>
        </w:tc>
        <w:tc>
          <w:tcPr>
            <w:tcW w:w="877" w:type="dxa"/>
          </w:tcPr>
          <w:p>
            <w:pPr>
              <w:pStyle w:val="GesAbsatz"/>
              <w:rPr>
                <w:rFonts w:eastAsia="Arial Unicode MS" w:cs="Arial"/>
                <w:sz w:val="18"/>
                <w:szCs w:val="24"/>
              </w:rPr>
            </w:pPr>
            <w:r>
              <w:rPr>
                <w:rFonts w:cs="Arial"/>
                <w:sz w:val="18"/>
              </w:rPr>
              <w:t>—</w:t>
            </w:r>
          </w:p>
        </w:tc>
        <w:tc>
          <w:tcPr>
            <w:tcW w:w="874" w:type="dxa"/>
          </w:tcPr>
          <w:p>
            <w:pPr>
              <w:pStyle w:val="GesAbsatz"/>
              <w:rPr>
                <w:rFonts w:eastAsia="Arial Unicode MS" w:cs="Arial"/>
                <w:sz w:val="18"/>
                <w:szCs w:val="24"/>
              </w:rPr>
            </w:pPr>
            <w:r>
              <w:rPr>
                <w:rFonts w:cs="Arial"/>
                <w:sz w:val="18"/>
              </w:rPr>
              <w:t>5.384</w:t>
            </w:r>
          </w:p>
        </w:tc>
        <w:tc>
          <w:tcPr>
            <w:tcW w:w="874" w:type="dxa"/>
          </w:tcPr>
          <w:p>
            <w:pPr>
              <w:pStyle w:val="GesAbsatz"/>
              <w:rPr>
                <w:rFonts w:eastAsia="Arial Unicode MS" w:cs="Arial"/>
                <w:sz w:val="18"/>
                <w:szCs w:val="24"/>
              </w:rPr>
            </w:pPr>
            <w:r>
              <w:rPr>
                <w:rFonts w:cs="Arial"/>
                <w:sz w:val="18"/>
              </w:rPr>
              <w:t>5.384</w:t>
            </w:r>
          </w:p>
        </w:tc>
        <w:tc>
          <w:tcPr>
            <w:tcW w:w="870" w:type="dxa"/>
          </w:tcPr>
          <w:p>
            <w:pPr>
              <w:pStyle w:val="GesAbsatz"/>
              <w:rPr>
                <w:rFonts w:eastAsia="Arial Unicode MS" w:cs="Arial"/>
                <w:sz w:val="18"/>
                <w:szCs w:val="24"/>
              </w:rPr>
            </w:pPr>
            <w:r>
              <w:rPr>
                <w:rFonts w:cs="Arial"/>
                <w:sz w:val="18"/>
              </w:rPr>
              <w:t>9.824</w:t>
            </w:r>
          </w:p>
        </w:tc>
        <w:tc>
          <w:tcPr>
            <w:tcW w:w="870" w:type="dxa"/>
          </w:tcPr>
          <w:p>
            <w:pPr>
              <w:pStyle w:val="GesAbsatz"/>
              <w:rPr>
                <w:rFonts w:eastAsia="Arial Unicode MS" w:cs="Arial"/>
                <w:sz w:val="18"/>
                <w:szCs w:val="24"/>
              </w:rPr>
            </w:pPr>
            <w:r>
              <w:rPr>
                <w:rFonts w:cs="Arial"/>
                <w:sz w:val="18"/>
              </w:rPr>
              <w:t>9.824</w:t>
            </w:r>
          </w:p>
        </w:tc>
        <w:tc>
          <w:tcPr>
            <w:tcW w:w="873" w:type="dxa"/>
          </w:tcPr>
          <w:p>
            <w:pPr>
              <w:pStyle w:val="GesAbsatz"/>
              <w:rPr>
                <w:rFonts w:eastAsia="Arial Unicode MS" w:cs="Arial"/>
                <w:sz w:val="18"/>
                <w:szCs w:val="24"/>
              </w:rPr>
            </w:pPr>
            <w:r>
              <w:rPr>
                <w:rFonts w:cs="Arial"/>
                <w:sz w:val="18"/>
              </w:rPr>
              <w:t xml:space="preserve">680 </w:t>
            </w:r>
          </w:p>
        </w:tc>
        <w:tc>
          <w:tcPr>
            <w:tcW w:w="873" w:type="dxa"/>
          </w:tcPr>
          <w:p>
            <w:pPr>
              <w:pStyle w:val="GesAbsatz"/>
              <w:rPr>
                <w:rFonts w:eastAsia="Arial Unicode MS" w:cs="Arial"/>
                <w:sz w:val="18"/>
                <w:szCs w:val="24"/>
              </w:rPr>
            </w:pPr>
            <w:r>
              <w:rPr>
                <w:rFonts w:cs="Arial"/>
                <w:sz w:val="18"/>
              </w:rPr>
              <w:t>2.207</w:t>
            </w:r>
          </w:p>
        </w:tc>
        <w:tc>
          <w:tcPr>
            <w:tcW w:w="859" w:type="dxa"/>
          </w:tcPr>
          <w:p>
            <w:pPr>
              <w:pStyle w:val="GesAbsatz"/>
              <w:rPr>
                <w:rFonts w:eastAsia="Arial Unicode MS" w:cs="Arial"/>
                <w:sz w:val="18"/>
                <w:szCs w:val="24"/>
              </w:rPr>
            </w:pPr>
            <w:r>
              <w:rPr>
                <w:rFonts w:cs="Arial"/>
                <w:sz w:val="18"/>
              </w:rPr>
              <w:t>—</w:t>
            </w:r>
          </w:p>
        </w:tc>
        <w:tc>
          <w:tcPr>
            <w:tcW w:w="859" w:type="dxa"/>
          </w:tcPr>
          <w:p>
            <w:pPr>
              <w:pStyle w:val="GesAbsatz"/>
              <w:rPr>
                <w:rFonts w:eastAsia="Arial Unicode MS" w:cs="Arial"/>
                <w:sz w:val="18"/>
                <w:szCs w:val="24"/>
              </w:rPr>
            </w:pPr>
            <w:r>
              <w:rPr>
                <w:rFonts w:cs="Arial"/>
                <w:sz w:val="18"/>
              </w:rPr>
              <w:t>—</w:t>
            </w:r>
          </w:p>
        </w:tc>
      </w:tr>
      <w:tr>
        <w:tc>
          <w:tcPr>
            <w:tcW w:w="1074" w:type="dxa"/>
          </w:tcPr>
          <w:p>
            <w:pPr>
              <w:pStyle w:val="GesAbsatz"/>
              <w:rPr>
                <w:rFonts w:eastAsia="Arial Unicode MS" w:cs="Arial"/>
                <w:sz w:val="18"/>
                <w:szCs w:val="24"/>
              </w:rPr>
            </w:pPr>
            <w:r>
              <w:rPr>
                <w:rFonts w:cs="Arial"/>
                <w:sz w:val="18"/>
              </w:rPr>
              <w:t>76 - 100%</w:t>
            </w:r>
          </w:p>
        </w:tc>
        <w:tc>
          <w:tcPr>
            <w:tcW w:w="875" w:type="dxa"/>
          </w:tcPr>
          <w:p>
            <w:pPr>
              <w:pStyle w:val="GesAbsatz"/>
              <w:rPr>
                <w:rFonts w:eastAsia="Arial Unicode MS" w:cs="Arial"/>
                <w:sz w:val="18"/>
                <w:szCs w:val="24"/>
              </w:rPr>
            </w:pPr>
            <w:r>
              <w:rPr>
                <w:rFonts w:cs="Arial"/>
                <w:sz w:val="18"/>
              </w:rPr>
              <w:t xml:space="preserve">— </w:t>
            </w:r>
          </w:p>
        </w:tc>
        <w:tc>
          <w:tcPr>
            <w:tcW w:w="877" w:type="dxa"/>
          </w:tcPr>
          <w:p>
            <w:pPr>
              <w:pStyle w:val="GesAbsatz"/>
              <w:rPr>
                <w:rFonts w:eastAsia="Arial Unicode MS" w:cs="Arial"/>
                <w:sz w:val="18"/>
                <w:szCs w:val="24"/>
              </w:rPr>
            </w:pPr>
            <w:r>
              <w:rPr>
                <w:rFonts w:cs="Arial"/>
                <w:sz w:val="18"/>
              </w:rPr>
              <w:t xml:space="preserve">— </w:t>
            </w:r>
          </w:p>
        </w:tc>
        <w:tc>
          <w:tcPr>
            <w:tcW w:w="874" w:type="dxa"/>
          </w:tcPr>
          <w:p>
            <w:pPr>
              <w:pStyle w:val="GesAbsatz"/>
              <w:rPr>
                <w:rFonts w:eastAsia="Arial Unicode MS" w:cs="Arial"/>
                <w:sz w:val="18"/>
                <w:szCs w:val="24"/>
              </w:rPr>
            </w:pPr>
            <w:r>
              <w:rPr>
                <w:rFonts w:cs="Arial"/>
                <w:sz w:val="18"/>
              </w:rPr>
              <w:t>—</w:t>
            </w:r>
          </w:p>
        </w:tc>
        <w:tc>
          <w:tcPr>
            <w:tcW w:w="874" w:type="dxa"/>
          </w:tcPr>
          <w:p>
            <w:pPr>
              <w:pStyle w:val="GesAbsatz"/>
              <w:rPr>
                <w:rFonts w:eastAsia="Arial Unicode MS" w:cs="Arial"/>
                <w:sz w:val="18"/>
                <w:szCs w:val="24"/>
              </w:rPr>
            </w:pPr>
            <w:r>
              <w:rPr>
                <w:rFonts w:cs="Arial"/>
                <w:sz w:val="18"/>
              </w:rPr>
              <w:t>—</w:t>
            </w:r>
          </w:p>
        </w:tc>
        <w:tc>
          <w:tcPr>
            <w:tcW w:w="870" w:type="dxa"/>
          </w:tcPr>
          <w:p>
            <w:pPr>
              <w:pStyle w:val="GesAbsatz"/>
              <w:rPr>
                <w:rFonts w:eastAsia="Arial Unicode MS" w:cs="Arial"/>
                <w:sz w:val="18"/>
                <w:szCs w:val="24"/>
              </w:rPr>
            </w:pPr>
            <w:r>
              <w:rPr>
                <w:rFonts w:cs="Arial"/>
                <w:sz w:val="18"/>
              </w:rPr>
              <w:t>5.750</w:t>
            </w:r>
          </w:p>
        </w:tc>
        <w:tc>
          <w:tcPr>
            <w:tcW w:w="870" w:type="dxa"/>
          </w:tcPr>
          <w:p>
            <w:pPr>
              <w:pStyle w:val="GesAbsatz"/>
              <w:rPr>
                <w:rFonts w:eastAsia="Arial Unicode MS" w:cs="Arial"/>
                <w:sz w:val="18"/>
                <w:szCs w:val="24"/>
              </w:rPr>
            </w:pPr>
            <w:r>
              <w:rPr>
                <w:rFonts w:cs="Arial"/>
                <w:sz w:val="18"/>
              </w:rPr>
              <w:t>5.750</w:t>
            </w:r>
          </w:p>
        </w:tc>
        <w:tc>
          <w:tcPr>
            <w:tcW w:w="873" w:type="dxa"/>
          </w:tcPr>
          <w:p>
            <w:pPr>
              <w:pStyle w:val="GesAbsatz"/>
              <w:rPr>
                <w:rFonts w:eastAsia="Arial Unicode MS" w:cs="Arial"/>
                <w:sz w:val="18"/>
                <w:szCs w:val="24"/>
              </w:rPr>
            </w:pPr>
            <w:r>
              <w:rPr>
                <w:rFonts w:cs="Arial"/>
                <w:sz w:val="18"/>
              </w:rPr>
              <w:t>4.170</w:t>
            </w:r>
          </w:p>
        </w:tc>
        <w:tc>
          <w:tcPr>
            <w:tcW w:w="873" w:type="dxa"/>
          </w:tcPr>
          <w:p>
            <w:pPr>
              <w:pStyle w:val="GesAbsatz"/>
              <w:rPr>
                <w:rFonts w:eastAsia="Arial Unicode MS" w:cs="Arial"/>
                <w:sz w:val="18"/>
                <w:szCs w:val="24"/>
              </w:rPr>
            </w:pPr>
            <w:r>
              <w:rPr>
                <w:rFonts w:cs="Arial"/>
                <w:sz w:val="18"/>
              </w:rPr>
              <w:t xml:space="preserve">4.170 </w:t>
            </w:r>
          </w:p>
        </w:tc>
        <w:tc>
          <w:tcPr>
            <w:tcW w:w="859" w:type="dxa"/>
          </w:tcPr>
          <w:p>
            <w:pPr>
              <w:pStyle w:val="GesAbsatz"/>
              <w:rPr>
                <w:rFonts w:eastAsia="Arial Unicode MS" w:cs="Arial"/>
                <w:sz w:val="18"/>
                <w:szCs w:val="24"/>
              </w:rPr>
            </w:pPr>
            <w:r>
              <w:rPr>
                <w:rFonts w:cs="Arial"/>
                <w:sz w:val="18"/>
              </w:rPr>
              <w:t xml:space="preserve">555 </w:t>
            </w:r>
          </w:p>
        </w:tc>
        <w:tc>
          <w:tcPr>
            <w:tcW w:w="859" w:type="dxa"/>
          </w:tcPr>
          <w:p>
            <w:pPr>
              <w:pStyle w:val="GesAbsatz"/>
              <w:rPr>
                <w:rFonts w:eastAsia="Arial Unicode MS" w:cs="Arial"/>
                <w:sz w:val="18"/>
                <w:szCs w:val="24"/>
              </w:rPr>
            </w:pPr>
            <w:r>
              <w:rPr>
                <w:rFonts w:cs="Arial"/>
                <w:sz w:val="18"/>
              </w:rPr>
              <w:t>555</w:t>
            </w:r>
          </w:p>
        </w:tc>
      </w:tr>
      <w:tr>
        <w:tc>
          <w:tcPr>
            <w:tcW w:w="1074" w:type="dxa"/>
          </w:tcPr>
          <w:p>
            <w:pPr>
              <w:pStyle w:val="GesAbsatz"/>
              <w:rPr>
                <w:rFonts w:eastAsia="Arial Unicode MS" w:cs="Arial"/>
                <w:sz w:val="18"/>
                <w:szCs w:val="24"/>
              </w:rPr>
            </w:pPr>
            <w:r>
              <w:rPr>
                <w:rFonts w:cs="Arial"/>
                <w:sz w:val="18"/>
              </w:rPr>
              <w:t>gesamt</w:t>
            </w:r>
          </w:p>
        </w:tc>
        <w:tc>
          <w:tcPr>
            <w:tcW w:w="875" w:type="dxa"/>
          </w:tcPr>
          <w:p>
            <w:pPr>
              <w:pStyle w:val="GesAbsatz"/>
              <w:rPr>
                <w:rFonts w:eastAsia="Arial Unicode MS" w:cs="Arial"/>
                <w:sz w:val="18"/>
                <w:szCs w:val="24"/>
              </w:rPr>
            </w:pPr>
            <w:r>
              <w:rPr>
                <w:rFonts w:cs="Arial"/>
                <w:sz w:val="18"/>
              </w:rPr>
              <w:t>11.893</w:t>
            </w:r>
          </w:p>
        </w:tc>
        <w:tc>
          <w:tcPr>
            <w:tcW w:w="877" w:type="dxa"/>
          </w:tcPr>
          <w:p>
            <w:pPr>
              <w:pStyle w:val="GesAbsatz"/>
              <w:rPr>
                <w:rFonts w:eastAsia="Arial Unicode MS" w:cs="Arial"/>
                <w:sz w:val="18"/>
                <w:szCs w:val="24"/>
              </w:rPr>
            </w:pPr>
            <w:r>
              <w:rPr>
                <w:rFonts w:cs="Arial"/>
                <w:sz w:val="18"/>
              </w:rPr>
              <w:t>11.893</w:t>
            </w:r>
          </w:p>
        </w:tc>
        <w:tc>
          <w:tcPr>
            <w:tcW w:w="874" w:type="dxa"/>
          </w:tcPr>
          <w:p>
            <w:pPr>
              <w:pStyle w:val="GesAbsatz"/>
              <w:rPr>
                <w:rFonts w:eastAsia="Arial Unicode MS" w:cs="Arial"/>
                <w:sz w:val="18"/>
                <w:szCs w:val="24"/>
              </w:rPr>
            </w:pPr>
            <w:r>
              <w:rPr>
                <w:rFonts w:cs="Arial"/>
                <w:sz w:val="18"/>
              </w:rPr>
              <w:t>28.388</w:t>
            </w:r>
          </w:p>
        </w:tc>
        <w:tc>
          <w:tcPr>
            <w:tcW w:w="874" w:type="dxa"/>
          </w:tcPr>
          <w:p>
            <w:pPr>
              <w:pStyle w:val="GesAbsatz"/>
              <w:rPr>
                <w:rFonts w:eastAsia="Arial Unicode MS" w:cs="Arial"/>
                <w:sz w:val="18"/>
                <w:szCs w:val="24"/>
              </w:rPr>
            </w:pPr>
            <w:r>
              <w:rPr>
                <w:rFonts w:cs="Arial"/>
                <w:sz w:val="18"/>
              </w:rPr>
              <w:t>28.388</w:t>
            </w:r>
          </w:p>
        </w:tc>
        <w:tc>
          <w:tcPr>
            <w:tcW w:w="870" w:type="dxa"/>
          </w:tcPr>
          <w:p>
            <w:pPr>
              <w:pStyle w:val="GesAbsatz"/>
              <w:rPr>
                <w:rFonts w:eastAsia="Arial Unicode MS" w:cs="Arial"/>
                <w:sz w:val="18"/>
                <w:szCs w:val="24"/>
              </w:rPr>
            </w:pPr>
            <w:r>
              <w:rPr>
                <w:rFonts w:cs="Arial"/>
                <w:sz w:val="18"/>
              </w:rPr>
              <w:t>36.462</w:t>
            </w:r>
          </w:p>
        </w:tc>
        <w:tc>
          <w:tcPr>
            <w:tcW w:w="870" w:type="dxa"/>
          </w:tcPr>
          <w:p>
            <w:pPr>
              <w:pStyle w:val="GesAbsatz"/>
              <w:rPr>
                <w:rFonts w:eastAsia="Arial Unicode MS" w:cs="Arial"/>
                <w:sz w:val="18"/>
                <w:szCs w:val="24"/>
              </w:rPr>
            </w:pPr>
            <w:r>
              <w:rPr>
                <w:rFonts w:cs="Arial"/>
                <w:sz w:val="18"/>
              </w:rPr>
              <w:t>40.594</w:t>
            </w:r>
          </w:p>
        </w:tc>
        <w:tc>
          <w:tcPr>
            <w:tcW w:w="873" w:type="dxa"/>
          </w:tcPr>
          <w:p>
            <w:pPr>
              <w:pStyle w:val="GesAbsatz"/>
              <w:rPr>
                <w:rFonts w:eastAsia="Arial Unicode MS" w:cs="Arial"/>
                <w:sz w:val="18"/>
                <w:szCs w:val="24"/>
              </w:rPr>
            </w:pPr>
            <w:r>
              <w:rPr>
                <w:rFonts w:cs="Arial"/>
                <w:sz w:val="18"/>
              </w:rPr>
              <w:t>25.279</w:t>
            </w:r>
          </w:p>
        </w:tc>
        <w:tc>
          <w:tcPr>
            <w:tcW w:w="873" w:type="dxa"/>
          </w:tcPr>
          <w:p>
            <w:pPr>
              <w:pStyle w:val="GesAbsatz"/>
              <w:rPr>
                <w:rFonts w:eastAsia="Arial Unicode MS" w:cs="Arial"/>
                <w:sz w:val="18"/>
                <w:szCs w:val="24"/>
              </w:rPr>
            </w:pPr>
            <w:r>
              <w:rPr>
                <w:rFonts w:cs="Arial"/>
                <w:sz w:val="18"/>
              </w:rPr>
              <w:t xml:space="preserve">28.762 </w:t>
            </w:r>
          </w:p>
        </w:tc>
        <w:tc>
          <w:tcPr>
            <w:tcW w:w="859" w:type="dxa"/>
          </w:tcPr>
          <w:p>
            <w:pPr>
              <w:pStyle w:val="GesAbsatz"/>
              <w:rPr>
                <w:rFonts w:eastAsia="Arial Unicode MS" w:cs="Arial"/>
                <w:sz w:val="18"/>
                <w:szCs w:val="24"/>
              </w:rPr>
            </w:pPr>
            <w:r>
              <w:rPr>
                <w:rFonts w:cs="Arial"/>
                <w:sz w:val="18"/>
              </w:rPr>
              <w:t xml:space="preserve">10.485 </w:t>
            </w:r>
          </w:p>
        </w:tc>
        <w:tc>
          <w:tcPr>
            <w:tcW w:w="859" w:type="dxa"/>
          </w:tcPr>
          <w:p>
            <w:pPr>
              <w:pStyle w:val="GesAbsatz"/>
              <w:rPr>
                <w:rFonts w:eastAsia="Arial Unicode MS" w:cs="Arial"/>
                <w:sz w:val="18"/>
                <w:szCs w:val="24"/>
              </w:rPr>
            </w:pPr>
            <w:r>
              <w:rPr>
                <w:rFonts w:cs="Arial"/>
                <w:sz w:val="18"/>
              </w:rPr>
              <w:t>15.493</w:t>
            </w:r>
          </w:p>
        </w:tc>
      </w:tr>
      <w:tr>
        <w:tc>
          <w:tcPr>
            <w:tcW w:w="9778" w:type="dxa"/>
            <w:gridSpan w:val="11"/>
          </w:tcPr>
          <w:p>
            <w:pPr>
              <w:pStyle w:val="GesAbsatz"/>
              <w:rPr>
                <w:rFonts w:cs="Arial"/>
                <w:sz w:val="18"/>
              </w:rPr>
            </w:pPr>
            <w:r>
              <w:rPr>
                <w:rFonts w:cs="Arial"/>
                <w:sz w:val="18"/>
                <w:szCs w:val="15"/>
                <w:vertAlign w:val="superscript"/>
              </w:rPr>
              <w:t xml:space="preserve">1 </w:t>
            </w:r>
            <w:r>
              <w:rPr>
                <w:rFonts w:cs="Arial"/>
                <w:sz w:val="18"/>
                <w:szCs w:val="15"/>
              </w:rPr>
              <w:t>laut Fragebögen</w:t>
            </w:r>
            <w:r>
              <w:rPr>
                <w:rFonts w:cs="Arial"/>
                <w:sz w:val="18"/>
                <w:szCs w:val="15"/>
              </w:rPr>
              <w:br/>
            </w:r>
            <w:r>
              <w:rPr>
                <w:rFonts w:cs="Arial"/>
                <w:sz w:val="18"/>
                <w:szCs w:val="15"/>
                <w:vertAlign w:val="superscript"/>
              </w:rPr>
              <w:t>2</w:t>
            </w:r>
            <w:r>
              <w:rPr>
                <w:rFonts w:cs="Arial"/>
                <w:sz w:val="18"/>
                <w:szCs w:val="15"/>
              </w:rPr>
              <w:t xml:space="preserve"> inkl. weiterer Quellen</w:t>
            </w:r>
            <w:r>
              <w:rPr>
                <w:rFonts w:cs="Arial"/>
                <w:sz w:val="18"/>
                <w:szCs w:val="15"/>
              </w:rPr>
              <w:br/>
            </w:r>
            <w:r>
              <w:rPr>
                <w:rFonts w:cs="Arial"/>
                <w:sz w:val="18"/>
                <w:szCs w:val="15"/>
                <w:vertAlign w:val="superscript"/>
              </w:rPr>
              <w:t>3</w:t>
            </w:r>
            <w:r>
              <w:rPr>
                <w:rFonts w:cs="Arial"/>
                <w:sz w:val="18"/>
                <w:szCs w:val="15"/>
              </w:rPr>
              <w:t xml:space="preserve"> Kompostkataster des LUA, Kompost-Atlas 1998/99 von Wiemer und Kern, 1998</w:t>
            </w:r>
            <w:r>
              <w:rPr>
                <w:rFonts w:cs="Arial"/>
                <w:sz w:val="18"/>
                <w:szCs w:val="15"/>
              </w:rPr>
              <w:br/>
              <w:t>Abweichungen zwischen der Gesamtmenge an Kompost von 498.139 Mg laut Fragebögen bzw. 593.342 Mg incl. weiterer Quellen aus Tabelle 23 von der Gesamtmenge aus Tabelle 16 beruhen auf Rundungsfehlern!</w:t>
            </w:r>
          </w:p>
        </w:tc>
      </w:tr>
    </w:tbl>
    <w:p>
      <w:pPr>
        <w:pStyle w:val="GesAbsatz"/>
        <w:rPr>
          <w:rFonts w:cs="Arial"/>
          <w:b/>
          <w:bCs/>
        </w:rPr>
      </w:pPr>
    </w:p>
    <w:p>
      <w:pPr>
        <w:pStyle w:val="GesAbsatz"/>
        <w:rPr>
          <w:rFonts w:cs="Arial"/>
          <w:b/>
          <w:bCs/>
        </w:rPr>
      </w:pPr>
      <w:r>
        <w:rPr>
          <w:rFonts w:cs="Arial"/>
          <w:b/>
          <w:bCs/>
        </w:rPr>
        <w:t>Erlössituation</w:t>
      </w:r>
    </w:p>
    <w:p>
      <w:pPr>
        <w:pStyle w:val="GesAbsatz"/>
        <w:rPr>
          <w:rFonts w:cs="Arial"/>
        </w:rPr>
      </w:pPr>
      <w:r>
        <w:rPr>
          <w:rFonts w:cs="Arial"/>
        </w:rPr>
        <w:t>Mit der derzeitigen Erlössituation sind 40 % der antwortenden Betreiber zufrieden, nur 2 % bezeichnen sie als sehr gut. Weit über die Hälfte sind allerdings mit ihrer Erlössituation unzufrieden (s. Abbildung 3). Die Preisspanne bei Frischkompost (n = 18) wurde mit 0 - 27 DM/Mg angegeben. Der Schwerpunkt liegt bei 0 </w:t>
      </w:r>
      <w:r>
        <w:rPr>
          <w:rFonts w:cs="Arial"/>
        </w:rPr>
        <w:noBreakHyphen/>
        <w:t> 10 DM/Mg. Bei Fertigkompost (n = 42) wurde eine Spanne von 0 - 100 DM/Mg mit Schwerpunkt zwischen 0 und 35 DM/Mg genannt. Bei acht Befragten wurde auch eine kostenlose Abgabe sowie Zuzahlungen von bis zu 20 DM/Mg erwähnt.</w:t>
      </w:r>
    </w:p>
    <w:p>
      <w:pPr>
        <w:pStyle w:val="GesAbsatz"/>
        <w:rPr>
          <w:rFonts w:eastAsia="Arial Unicode MS" w:cs="Arial"/>
          <w:szCs w:val="24"/>
        </w:rPr>
      </w:pPr>
      <w:r>
        <w:rPr>
          <w:rFonts w:cs="Arial"/>
        </w:rPr>
        <w:t>Für Filterkomposte und Mulch wurden Preisspannen von 10 - 60 DM/Mg genannt (n = 5). Sackware erzielte umgerechnet Erlöse von 80 - 200 DM/Mg (n = 4).</w:t>
      </w:r>
    </w:p>
    <w:p>
      <w:pPr>
        <w:pStyle w:val="GesAbsatz"/>
        <w:rPr>
          <w:rFonts w:cs="Arial"/>
          <w:b/>
          <w:bCs/>
        </w:rPr>
      </w:pPr>
      <w:r>
        <w:rPr>
          <w:rFonts w:cs="Arial"/>
          <w:b/>
          <w:bCs/>
        </w:rPr>
        <w:t>Kommunikation/Werbung</w:t>
      </w:r>
    </w:p>
    <w:p>
      <w:pPr>
        <w:pStyle w:val="GesAbsatz"/>
        <w:rPr>
          <w:rFonts w:cs="Arial"/>
        </w:rPr>
      </w:pPr>
      <w:r>
        <w:rPr>
          <w:rFonts w:cs="Arial"/>
        </w:rPr>
        <w:t>Hinsichtlich der derzeitigen Kommunikation bzw. Werbung für den Kompostabsatz ist gut ein Viertel der antwortenden Betreiber voll zufrieden. Etwa ein Fünftel ist dagegen mit dem vorhandenen Zustand nicht zufrieden, während gut die Hälfte der Befragten in etwa zufrieden ist (s. Abbildung 4).</w:t>
      </w:r>
    </w:p>
    <w:p>
      <w:pPr>
        <w:pStyle w:val="GesAbsatz"/>
        <w:rPr>
          <w:rFonts w:cs="Arial"/>
        </w:rPr>
      </w:pPr>
      <w:r>
        <w:rPr>
          <w:rFonts w:cs="Arial"/>
        </w:rPr>
        <w:t>Gleichzeitig meinten 39 % der Antwortenden (n = 53), dass durch einen erhöhten Werbeaufwand eine deutliche Absatzsteigerung möglich sei und sogar 57 % hielten eine solche Steigerung immerhin für begrenzt möglich.</w:t>
      </w:r>
    </w:p>
    <w:p>
      <w:pPr>
        <w:pStyle w:val="GesAbsatz"/>
        <w:rPr>
          <w:rFonts w:cs="Arial"/>
        </w:rPr>
      </w:pPr>
      <w:r>
        <w:rPr>
          <w:rFonts w:cs="Arial"/>
        </w:rPr>
        <w:t>Nur 4 % hielten eine Absatzsteigerung trotz Mehraufwand für Werbung für unrealistisch.</w:t>
      </w:r>
    </w:p>
    <w:p>
      <w:pPr>
        <w:pStyle w:val="GesAbsatz"/>
        <w:rPr>
          <w:rFonts w:cs="Arial"/>
          <w:b/>
          <w:bCs/>
        </w:rPr>
      </w:pPr>
      <w:r>
        <w:rPr>
          <w:rFonts w:cs="Arial"/>
          <w:b/>
          <w:bCs/>
        </w:rPr>
        <w:t>Verkaufsstellen</w:t>
      </w:r>
    </w:p>
    <w:p>
      <w:pPr>
        <w:pStyle w:val="GesAbsatz"/>
        <w:rPr>
          <w:rFonts w:cs="Arial"/>
          <w:vanish/>
        </w:rPr>
      </w:pPr>
      <w:r>
        <w:rPr>
          <w:rFonts w:cs="Arial"/>
        </w:rPr>
        <w:t>Die Ermittlung von eingerichteten Verkaufsstellen (n = 45) zeigte, dass von den Antwortenden ein knappes Drittel (n = 14) mehr als eine Verkaufsstelle haben. Acht gaben an, zwischen 2 und 5 Verkaufsstellen zu führen, während sechs sogar mehr als 5 Verkaufsstellen eingerichtet haben. Neben dem Verkauf auf der Kompostanlage wurde eine Vielzahl von Verkaufsstellen-Typen genannt: Recyclinghöfe/Wertstoffhöfe/Bauhöfe, Gartencenter, Baumärkte/Baustoffhandel, SB-Märkte, Raiffeisengenossenschaften, Deponien, Annahmestellen und Gärtner/Landwirte.</w:t>
      </w:r>
    </w:p>
    <w:p>
      <w:pPr>
        <w:pStyle w:val="GesAbsatz"/>
        <w:rPr>
          <w:rFonts w:cs="Arial"/>
          <w:b/>
          <w:bCs/>
        </w:rPr>
      </w:pPr>
      <w:r>
        <w:rPr>
          <w:rFonts w:cs="Arial"/>
          <w:b/>
          <w:bCs/>
        </w:rPr>
        <w:t>Vertriebsbeauftragte</w:t>
      </w:r>
    </w:p>
    <w:p>
      <w:pPr>
        <w:pStyle w:val="GesAbsatz"/>
        <w:rPr>
          <w:rFonts w:cs="Arial"/>
        </w:rPr>
      </w:pPr>
      <w:r>
        <w:rPr>
          <w:rFonts w:cs="Arial"/>
        </w:rPr>
        <w:t>Spezielle Vertriebsbeauftragte sind laut Befragung bei über der Hälfte der antwortenden Betreiber für den Kompostabsatz zuständig. Jeweils ca. ein Viertel der Befragten gab an, eine Person als Vollzeitkraft bzw. zumindest Teilzeitkräfte für den Kompostabsatz zu beschäftigen. Einen Außendienst zu unterhalten ist die große Ausnahme. Knapp die Hälfte hat keine speziellen Vertriebsbeauftragten für ihren Kompostabsatz (s. Abbildung 5).</w:t>
      </w:r>
    </w:p>
    <w:p>
      <w:pPr>
        <w:pStyle w:val="GesAbsatz"/>
        <w:rPr>
          <w:rFonts w:eastAsia="Arial Unicode MS" w:cs="Arial"/>
          <w:b/>
          <w:color w:val="auto"/>
          <w:szCs w:val="24"/>
          <w:lang w:val="it-IT"/>
        </w:rPr>
      </w:pPr>
      <w:r>
        <w:rPr>
          <w:rFonts w:eastAsia="Arial Unicode MS" w:cs="Arial"/>
          <w:b/>
          <w:color w:val="auto"/>
          <w:szCs w:val="24"/>
          <w:lang w:val="it-IT"/>
        </w:rPr>
        <w:br w:type="page"/>
      </w:r>
      <w:r>
        <w:rPr>
          <w:rFonts w:eastAsia="Arial Unicode MS" w:cs="Arial"/>
          <w:b/>
          <w:color w:val="auto"/>
          <w:szCs w:val="24"/>
          <w:lang w:val="it-IT"/>
        </w:rPr>
        <w:lastRenderedPageBreak/>
        <w:t>Abbildung 3:</w:t>
      </w:r>
    </w:p>
    <w:p>
      <w:pPr>
        <w:pStyle w:val="GesAbsatz"/>
        <w:jc w:val="center"/>
        <w:rPr>
          <w:rFonts w:eastAsia="Arial Unicode MS" w:cs="Arial"/>
          <w:color w:val="auto"/>
          <w:szCs w:val="24"/>
          <w:lang w:val="it-IT"/>
        </w:rPr>
      </w:pPr>
      <w:r>
        <w:object w:dxaOrig="6914" w:dyaOrig="3600">
          <v:shape id="_x0000_i1027" type="#_x0000_t75" style="width:345.6pt;height:180.3pt" o:ole="" o:allowoverlap="f">
            <v:imagedata r:id="rId13" o:title=""/>
          </v:shape>
          <o:OLEObject Type="Embed" ProgID="PBrush" ShapeID="_x0000_i1027" DrawAspect="Content" ObjectID="_1698664219" r:id="rId14"/>
        </w:object>
      </w:r>
    </w:p>
    <w:p>
      <w:pPr>
        <w:pStyle w:val="GesAbsatz"/>
        <w:rPr>
          <w:rFonts w:eastAsia="Arial Unicode MS" w:cs="Arial"/>
          <w:b/>
          <w:color w:val="auto"/>
          <w:szCs w:val="24"/>
          <w:lang w:val="it-IT"/>
        </w:rPr>
      </w:pPr>
    </w:p>
    <w:p>
      <w:pPr>
        <w:pStyle w:val="GesAbsatz"/>
        <w:rPr>
          <w:rFonts w:eastAsia="Arial Unicode MS" w:cs="Arial"/>
          <w:b/>
          <w:color w:val="auto"/>
          <w:szCs w:val="24"/>
          <w:lang w:val="it-IT"/>
        </w:rPr>
      </w:pPr>
      <w:r>
        <w:rPr>
          <w:rFonts w:eastAsia="Arial Unicode MS" w:cs="Arial"/>
          <w:b/>
          <w:color w:val="auto"/>
          <w:szCs w:val="24"/>
          <w:lang w:val="it-IT"/>
        </w:rPr>
        <w:t>Abbildung 4:</w:t>
      </w:r>
    </w:p>
    <w:p>
      <w:pPr>
        <w:pStyle w:val="GesAbsatz"/>
        <w:rPr>
          <w:rFonts w:eastAsia="Arial Unicode MS" w:cs="Arial"/>
          <w:color w:val="auto"/>
          <w:szCs w:val="24"/>
          <w:lang w:val="it-IT"/>
        </w:rPr>
      </w:pPr>
    </w:p>
    <w:p>
      <w:pPr>
        <w:pStyle w:val="GesAbsatz"/>
        <w:jc w:val="center"/>
        <w:rPr>
          <w:rFonts w:eastAsia="Arial Unicode MS" w:cs="Arial"/>
          <w:color w:val="auto"/>
          <w:szCs w:val="24"/>
          <w:lang w:val="it-IT"/>
        </w:rPr>
      </w:pPr>
      <w:r>
        <w:object w:dxaOrig="6944" w:dyaOrig="3555">
          <v:shape id="_x0000_i1028" type="#_x0000_t75" style="width:347.5pt;height:177.8pt" o:ole="">
            <v:imagedata r:id="rId15" o:title=""/>
          </v:shape>
          <o:OLEObject Type="Embed" ProgID="PBrush" ShapeID="_x0000_i1028" DrawAspect="Content" ObjectID="_1698664220" r:id="rId16"/>
        </w:object>
      </w:r>
    </w:p>
    <w:p>
      <w:pPr>
        <w:pStyle w:val="GesAbsatz"/>
        <w:rPr>
          <w:rFonts w:eastAsia="Arial Unicode MS" w:cs="Arial"/>
          <w:color w:val="auto"/>
          <w:szCs w:val="24"/>
          <w:lang w:val="it-IT"/>
        </w:rPr>
      </w:pPr>
    </w:p>
    <w:p>
      <w:pPr>
        <w:pStyle w:val="GesAbsatz"/>
        <w:rPr>
          <w:rFonts w:eastAsia="Arial Unicode MS" w:cs="Arial"/>
          <w:b/>
          <w:color w:val="auto"/>
          <w:szCs w:val="24"/>
          <w:lang w:val="it-IT"/>
        </w:rPr>
      </w:pPr>
      <w:r>
        <w:rPr>
          <w:rFonts w:eastAsia="Arial Unicode MS" w:cs="Arial"/>
          <w:b/>
          <w:color w:val="auto"/>
          <w:szCs w:val="24"/>
          <w:lang w:val="it-IT"/>
        </w:rPr>
        <w:t>Abbildung 5:</w:t>
      </w:r>
    </w:p>
    <w:p>
      <w:pPr>
        <w:pStyle w:val="GesAbsatz"/>
        <w:jc w:val="center"/>
        <w:rPr>
          <w:rFonts w:cs="Arial"/>
          <w:b/>
          <w:bCs/>
        </w:rPr>
      </w:pPr>
      <w:r>
        <w:object w:dxaOrig="6914" w:dyaOrig="3586">
          <v:shape id="_x0000_i1029" type="#_x0000_t75" style="width:345.6pt;height:179.7pt" o:ole="">
            <v:imagedata r:id="rId17" o:title=""/>
          </v:shape>
          <o:OLEObject Type="Embed" ProgID="PBrush" ShapeID="_x0000_i1029" DrawAspect="Content" ObjectID="_1698664221" r:id="rId18"/>
        </w:object>
      </w:r>
    </w:p>
    <w:p>
      <w:pPr>
        <w:pStyle w:val="GesAbsatz"/>
        <w:rPr>
          <w:rFonts w:cs="Arial"/>
          <w:b/>
          <w:bCs/>
        </w:rPr>
      </w:pPr>
    </w:p>
    <w:p>
      <w:pPr>
        <w:pStyle w:val="GesAbsatz"/>
        <w:rPr>
          <w:rFonts w:cs="Arial"/>
          <w:b/>
          <w:bCs/>
        </w:rPr>
      </w:pPr>
      <w:r>
        <w:rPr>
          <w:rFonts w:cs="Arial"/>
          <w:b/>
          <w:bCs/>
        </w:rPr>
        <w:t>4.1.3 Kompostmarkt</w:t>
      </w:r>
    </w:p>
    <w:p>
      <w:pPr>
        <w:pStyle w:val="GesAbsatz"/>
        <w:rPr>
          <w:rFonts w:cs="Arial"/>
          <w:b/>
          <w:bCs/>
        </w:rPr>
      </w:pPr>
      <w:r>
        <w:rPr>
          <w:rFonts w:cs="Arial"/>
        </w:rPr>
        <w:t xml:space="preserve">Noch wird in Nordrhein-Westfalen mit ca. 600.000 Mg pro Jahr nicht die letztendlich zu erwartende Kompostmenge produziert. Nach dieser Untersuchung wird die in Zukunft produzierte Kompostmenge im Bereich zwischen 780.000 Mg und 1.100.000 Mg pro Jahr liegen (s. Kapitel 5). Die Struktur des Landes weist hinsichtlich </w:t>
      </w:r>
      <w:r>
        <w:rPr>
          <w:rFonts w:cs="Arial"/>
        </w:rPr>
        <w:lastRenderedPageBreak/>
        <w:t>des Kompostabsatzes keine besonderen Vorzüge auf. Im Bereich der Landwirtschaft ist sie wegen des hohen Viehbesatzes und den eher unterdurchschnittlichen Flächen mit Spezialkulturen als eher schwierig anzusehen. Im Bereich der Rekultivierung, des Garten- und Landschaftsbaus, zum Teil des Erwerbsgartenbaus und des Hobbygartenbaus können hingegen bessere Absatzchancen liegen.</w:t>
      </w:r>
    </w:p>
    <w:p>
      <w:pPr>
        <w:pStyle w:val="GesAbsatz"/>
        <w:rPr>
          <w:rFonts w:cs="Arial"/>
          <w:b/>
          <w:bCs/>
        </w:rPr>
      </w:pPr>
      <w:r>
        <w:rPr>
          <w:rFonts w:cs="Arial"/>
        </w:rPr>
        <w:t>Dennoch wird die Situation zumindest derzeit positiv gesehen, was ein Aspekt der Befragung belegt. Um den derzeitigen und den möglichen Kompostabsatz beurteilen zu können, wurden die Befragten gebeten, ihre eigene Region (Kreis oder kreisfreie Stadt) hinsichtlich des potenziellen Kompostabsatzes einzuschätzen. 24 % der Antwortenden (n = 46) waren der Meinung, dass maximal bis 5.000 Mg/a Kompost in ihrer Region abgesetzt werden könnten. 22 % gaben an, dass bis zu 10.000 Mg/a Kompost vermarktbar wären und weitere 35 % können sich sogar einen Absatz von 10.000 bis 30.000 Mg/a Kompost vorstellen. Für den Großraum „Ruhrgebiet und angrenzende Regionen“ wird insgesamt ein möglicher Absatz von 200.000 Mg/a Kompost genannt. 20 % der Befragten hatten dagegen keine Vorstellung zum maximalen Kompostabsatz in ihrer Region.</w:t>
      </w:r>
    </w:p>
    <w:p>
      <w:pPr>
        <w:pStyle w:val="GesAbsatz"/>
        <w:rPr>
          <w:rFonts w:cs="Arial"/>
          <w:b/>
          <w:bCs/>
        </w:rPr>
      </w:pPr>
      <w:r>
        <w:rPr>
          <w:rFonts w:cs="Arial"/>
          <w:b/>
          <w:bCs/>
        </w:rPr>
        <w:t>Höherer Kompostabsatz</w:t>
      </w:r>
    </w:p>
    <w:p>
      <w:pPr>
        <w:pStyle w:val="GesAbsatz"/>
        <w:rPr>
          <w:rFonts w:cs="Arial"/>
        </w:rPr>
      </w:pPr>
      <w:r>
        <w:rPr>
          <w:rFonts w:cs="Arial"/>
        </w:rPr>
        <w:t>Es wurde gefragt, ob mehr Kompost im Gebiet abgesetzt als produziert werden kann. Dies schätzten 18 % für eindeutig möglich ein. Knapp die Hälfte meinte, dies sei bei verstärkten Vermarktungsanstrengungen zu erreichen. Gut 1/3 der Befragten gehen davon aus, dass höhere Kompostmengen in keinem Fall absetzbar sind (s. Abbildung 6).</w:t>
      </w:r>
    </w:p>
    <w:p>
      <w:pPr>
        <w:pStyle w:val="GesAbsatz"/>
        <w:rPr>
          <w:rFonts w:cs="Arial"/>
        </w:rPr>
      </w:pPr>
      <w:r>
        <w:rPr>
          <w:rFonts w:cs="Arial"/>
        </w:rPr>
        <w:t>Laut Erhebung gibt es derzeit nur bei 9 % der Befragten (n = 56) Überhangmengen von Kompost. Bei knapp der Hälfte der Befragten werden zeitweise (25 %) oder in absehbarer Zukunft (23 %) höherer Mengen an Kompost auf dem Markt erwartet. Immerhin 43 % gaben an, nicht von Überhangmengen betroffen zu sein. Von den Betroffenen gehen 27 % (n = 26) davon aus, dass diese Überhangmengen unvermeidbar sind, 35 % halten sie für ein vorübergehendes Problem und 38 % sind davon überzeugt, dass diese Mengen bei verstärkten Vermarktungsanstrengungen abbaubar seien.</w:t>
      </w:r>
    </w:p>
    <w:p>
      <w:pPr>
        <w:pStyle w:val="GesAbsatz"/>
        <w:rPr>
          <w:rFonts w:cs="Arial"/>
        </w:rPr>
      </w:pPr>
      <w:r>
        <w:rPr>
          <w:rFonts w:cs="Arial"/>
        </w:rPr>
        <w:t>Spezielle Handicaps beim Kompostabsatz gibt es bei 61 % der Befragten (n=54). Hierfür werden vielfältige Ursachen genannt (Anzahl der Nennungen in Klammern):</w:t>
      </w:r>
    </w:p>
    <w:p>
      <w:pPr>
        <w:pStyle w:val="GesAbsatz"/>
        <w:rPr>
          <w:rFonts w:cs="Arial"/>
        </w:rPr>
      </w:pPr>
      <w:r>
        <w:rPr>
          <w:rFonts w:cs="Arial"/>
        </w:rPr>
        <w:t>-</w:t>
      </w:r>
      <w:r>
        <w:rPr>
          <w:rFonts w:cs="Arial"/>
        </w:rPr>
        <w:tab/>
        <w:t>Hoher Viehbesatz in der Region bzw. wenig Ackerfläche (10),</w:t>
      </w:r>
    </w:p>
    <w:p>
      <w:pPr>
        <w:pStyle w:val="GesAbsatz"/>
        <w:ind w:left="426" w:hanging="426"/>
        <w:rPr>
          <w:rFonts w:cs="Arial"/>
        </w:rPr>
      </w:pPr>
      <w:r>
        <w:rPr>
          <w:rFonts w:cs="Arial"/>
        </w:rPr>
        <w:t>-</w:t>
      </w:r>
      <w:r>
        <w:rPr>
          <w:rFonts w:cs="Arial"/>
        </w:rPr>
        <w:tab/>
        <w:t>Konkurrenz durch nicht RAL-gütegesicherte Komposte (z.B. Garten- und Landschaftsbau kompostiert größtenteils selbst, Champignonerde) (6),</w:t>
      </w:r>
    </w:p>
    <w:p>
      <w:pPr>
        <w:pStyle w:val="GesAbsatz"/>
        <w:rPr>
          <w:rFonts w:cs="Arial"/>
        </w:rPr>
      </w:pPr>
      <w:r>
        <w:rPr>
          <w:rFonts w:cs="Arial"/>
        </w:rPr>
        <w:t>-</w:t>
      </w:r>
      <w:r>
        <w:rPr>
          <w:rFonts w:cs="Arial"/>
        </w:rPr>
        <w:tab/>
        <w:t>Verhältnis Einwohner zu potenzieller Ausbringfläche (5),</w:t>
      </w:r>
    </w:p>
    <w:p>
      <w:pPr>
        <w:pStyle w:val="GesAbsatz"/>
        <w:rPr>
          <w:rFonts w:cs="Arial"/>
        </w:rPr>
      </w:pPr>
      <w:r>
        <w:rPr>
          <w:rFonts w:cs="Arial"/>
        </w:rPr>
        <w:t>-</w:t>
      </w:r>
      <w:r>
        <w:rPr>
          <w:rFonts w:cs="Arial"/>
        </w:rPr>
        <w:tab/>
        <w:t>Konkurrenz zur Klärschlammverwertung (3),</w:t>
      </w:r>
    </w:p>
    <w:p>
      <w:pPr>
        <w:pStyle w:val="GesAbsatz"/>
        <w:rPr>
          <w:rFonts w:cs="Arial"/>
        </w:rPr>
      </w:pPr>
      <w:r>
        <w:rPr>
          <w:rFonts w:cs="Arial"/>
        </w:rPr>
        <w:t>-</w:t>
      </w:r>
      <w:r>
        <w:rPr>
          <w:rFonts w:cs="Arial"/>
        </w:rPr>
        <w:tab/>
        <w:t>„überflüssige“ Beregelung, Vorurteile bei Politik, Bioabfallverordnung (3),</w:t>
      </w:r>
    </w:p>
    <w:p>
      <w:pPr>
        <w:pStyle w:val="GesAbsatz"/>
        <w:rPr>
          <w:rFonts w:cs="Arial"/>
        </w:rPr>
      </w:pPr>
      <w:r>
        <w:rPr>
          <w:rFonts w:cs="Arial"/>
        </w:rPr>
        <w:t>-</w:t>
      </w:r>
      <w:r>
        <w:rPr>
          <w:rFonts w:cs="Arial"/>
        </w:rPr>
        <w:tab/>
        <w:t>wenig Ackerfläche, waldreiche Gegend (2),</w:t>
      </w:r>
    </w:p>
    <w:p>
      <w:pPr>
        <w:pStyle w:val="GesAbsatz"/>
        <w:rPr>
          <w:rFonts w:cs="Arial"/>
        </w:rPr>
      </w:pPr>
      <w:r>
        <w:rPr>
          <w:rFonts w:cs="Arial"/>
        </w:rPr>
        <w:t>-</w:t>
      </w:r>
      <w:r>
        <w:rPr>
          <w:rFonts w:cs="Arial"/>
        </w:rPr>
        <w:tab/>
        <w:t>bestehende Bodenbelastung (2),</w:t>
      </w:r>
    </w:p>
    <w:p>
      <w:pPr>
        <w:pStyle w:val="GesAbsatz"/>
        <w:rPr>
          <w:rFonts w:cs="Arial"/>
        </w:rPr>
      </w:pPr>
      <w:r>
        <w:rPr>
          <w:rFonts w:cs="Arial"/>
        </w:rPr>
        <w:t>-</w:t>
      </w:r>
      <w:r>
        <w:rPr>
          <w:rFonts w:cs="Arial"/>
        </w:rPr>
        <w:tab/>
        <w:t>Preisakzeptanz (1),</w:t>
      </w:r>
    </w:p>
    <w:p>
      <w:pPr>
        <w:pStyle w:val="GesAbsatz"/>
        <w:rPr>
          <w:rFonts w:cs="Arial"/>
        </w:rPr>
      </w:pPr>
      <w:r>
        <w:rPr>
          <w:rFonts w:cs="Arial"/>
        </w:rPr>
        <w:t>-</w:t>
      </w:r>
      <w:r>
        <w:rPr>
          <w:rFonts w:cs="Arial"/>
        </w:rPr>
        <w:tab/>
        <w:t>Grenzgebiet zu den Niederlanden (1),</w:t>
      </w:r>
    </w:p>
    <w:p>
      <w:pPr>
        <w:pStyle w:val="GesAbsatz"/>
        <w:rPr>
          <w:rFonts w:cs="Arial"/>
        </w:rPr>
      </w:pPr>
      <w:r>
        <w:rPr>
          <w:rFonts w:cs="Arial"/>
        </w:rPr>
        <w:t>-</w:t>
      </w:r>
      <w:r>
        <w:rPr>
          <w:rFonts w:cs="Arial"/>
        </w:rPr>
        <w:tab/>
        <w:t>Konkurrenz durch RAL-gütegesicherte Komposte (1),</w:t>
      </w:r>
    </w:p>
    <w:p>
      <w:pPr>
        <w:pStyle w:val="GesAbsatz"/>
        <w:rPr>
          <w:rFonts w:cs="Arial"/>
        </w:rPr>
      </w:pPr>
      <w:r>
        <w:rPr>
          <w:rFonts w:cs="Arial"/>
        </w:rPr>
        <w:t>-</w:t>
      </w:r>
      <w:r>
        <w:rPr>
          <w:rFonts w:cs="Arial"/>
        </w:rPr>
        <w:tab/>
        <w:t>keine Sonderkulturen in der Region (1),</w:t>
      </w:r>
    </w:p>
    <w:p>
      <w:pPr>
        <w:pStyle w:val="GesAbsatz"/>
        <w:rPr>
          <w:rFonts w:cs="Arial"/>
        </w:rPr>
      </w:pPr>
      <w:r>
        <w:rPr>
          <w:rFonts w:cs="Arial"/>
        </w:rPr>
        <w:t>-</w:t>
      </w:r>
      <w:r>
        <w:rPr>
          <w:rFonts w:cs="Arial"/>
        </w:rPr>
        <w:tab/>
        <w:t>zu wenig Einsicht in die Notwendigkeit des Komposteinsatzes bei allen Abnehmern (1).</w:t>
      </w:r>
    </w:p>
    <w:p>
      <w:pPr>
        <w:pStyle w:val="GesAbsatz"/>
        <w:rPr>
          <w:rFonts w:cs="Arial"/>
          <w:b/>
          <w:bCs/>
        </w:rPr>
      </w:pPr>
      <w:r>
        <w:rPr>
          <w:rFonts w:cs="Arial"/>
          <w:b/>
          <w:bCs/>
        </w:rPr>
        <w:t>Kompost-„Import“</w:t>
      </w:r>
    </w:p>
    <w:p>
      <w:pPr>
        <w:pStyle w:val="GesAbsatz"/>
        <w:rPr>
          <w:rFonts w:cs="Arial"/>
        </w:rPr>
      </w:pPr>
      <w:r>
        <w:rPr>
          <w:rFonts w:cs="Arial"/>
        </w:rPr>
        <w:t>Probleme durch aus den Nachbarkreisen oder -regionen eingeführten Kompost haben nur 15 % der Befragten. Insgesamt 44 % haben dennoch zeitweise oder wegen geringer „importierter“ Kompostmengen Absatzprobleme. Etwa gleich viele der Antwortenden hat durch sogenannte „Importkomposte“ keine Probleme (s. Abbildung 7).</w:t>
      </w:r>
    </w:p>
    <w:p>
      <w:pPr>
        <w:pStyle w:val="GesAbsatz"/>
        <w:rPr>
          <w:rFonts w:cs="Arial"/>
          <w:b/>
          <w:bCs/>
        </w:rPr>
      </w:pPr>
      <w:r>
        <w:rPr>
          <w:rFonts w:cs="Arial"/>
          <w:b/>
          <w:bCs/>
        </w:rPr>
        <w:t>Störende Absatzpolitik anderer</w:t>
      </w:r>
    </w:p>
    <w:p>
      <w:pPr>
        <w:pStyle w:val="GesAbsatz"/>
        <w:rPr>
          <w:rFonts w:cs="Arial"/>
        </w:rPr>
      </w:pPr>
      <w:r>
        <w:rPr>
          <w:rFonts w:cs="Arial"/>
        </w:rPr>
        <w:t>In einer deutlich anderen Absatzpolitik in der „Nachbarschaft“ sehen knapp die Hälfte der Antwortenden entweder eindeutig oder teilweise die Ursache für Probleme im Kompostabsatz (s. Abbildung 8). Von der großen Mehrheit der Betroffenen (88 %, n = 26) wird die Preis- und Zuschusspolitik der anderen als Ursache genannt, kaum jedoch eine andere Qualität oder ein besseres Image. Etwas über die Hälfte dagegen hat durch die Absatzpolitik in der „Nachbarschaft“ keine Probleme.</w:t>
      </w:r>
    </w:p>
    <w:p>
      <w:pPr>
        <w:pStyle w:val="GesAbsatz"/>
        <w:rPr>
          <w:rFonts w:cs="Arial"/>
          <w:b/>
          <w:color w:val="auto"/>
          <w:lang w:val="it-IT"/>
        </w:rPr>
      </w:pPr>
      <w:r>
        <w:rPr>
          <w:rFonts w:cs="Arial"/>
          <w:b/>
          <w:color w:val="auto"/>
          <w:lang w:val="it-IT"/>
        </w:rPr>
        <w:t>Abbildung 6:</w:t>
      </w:r>
    </w:p>
    <w:p>
      <w:pPr>
        <w:pStyle w:val="GesAbsatz"/>
        <w:jc w:val="center"/>
        <w:rPr>
          <w:rFonts w:cs="Arial"/>
          <w:color w:val="auto"/>
          <w:lang w:val="it-IT"/>
        </w:rPr>
      </w:pPr>
      <w:r>
        <w:object w:dxaOrig="6901" w:dyaOrig="3751">
          <v:shape id="_x0000_i1030" type="#_x0000_t75" style="width:344.95pt;height:187.85pt" o:ole="">
            <v:imagedata r:id="rId19" o:title=""/>
          </v:shape>
          <o:OLEObject Type="Embed" ProgID="PBrush" ShapeID="_x0000_i1030" DrawAspect="Content" ObjectID="_1698664222" r:id="rId20"/>
        </w:object>
      </w:r>
    </w:p>
    <w:p>
      <w:pPr>
        <w:pStyle w:val="GesAbsatz"/>
        <w:rPr>
          <w:rFonts w:cs="Arial"/>
          <w:color w:val="auto"/>
          <w:lang w:val="it-IT"/>
        </w:rPr>
      </w:pPr>
    </w:p>
    <w:p>
      <w:pPr>
        <w:pStyle w:val="GesAbsatz"/>
        <w:rPr>
          <w:rFonts w:cs="Arial"/>
          <w:b/>
          <w:color w:val="auto"/>
          <w:lang w:val="it-IT"/>
        </w:rPr>
      </w:pPr>
      <w:r>
        <w:rPr>
          <w:rFonts w:cs="Arial"/>
          <w:b/>
          <w:color w:val="auto"/>
          <w:lang w:val="it-IT"/>
        </w:rPr>
        <w:t>Abbildung 7:</w:t>
      </w:r>
    </w:p>
    <w:p>
      <w:pPr>
        <w:pStyle w:val="GesAbsatz"/>
        <w:jc w:val="center"/>
        <w:rPr>
          <w:rFonts w:cs="Arial"/>
          <w:color w:val="auto"/>
          <w:lang w:val="it-IT"/>
        </w:rPr>
      </w:pPr>
      <w:r>
        <w:object w:dxaOrig="6901" w:dyaOrig="3781">
          <v:shape id="_x0000_i1031" type="#_x0000_t75" style="width:344.95pt;height:189.1pt" o:ole="">
            <v:imagedata r:id="rId21" o:title=""/>
          </v:shape>
          <o:OLEObject Type="Embed" ProgID="PBrush" ShapeID="_x0000_i1031" DrawAspect="Content" ObjectID="_1698664223" r:id="rId22"/>
        </w:object>
      </w:r>
    </w:p>
    <w:p>
      <w:pPr>
        <w:pStyle w:val="GesAbsatz"/>
        <w:rPr>
          <w:rFonts w:cs="Arial"/>
          <w:color w:val="auto"/>
          <w:lang w:val="it-IT"/>
        </w:rPr>
      </w:pPr>
    </w:p>
    <w:p>
      <w:pPr>
        <w:pStyle w:val="GesAbsatz"/>
        <w:rPr>
          <w:rFonts w:cs="Arial"/>
          <w:bCs/>
          <w:color w:val="auto"/>
        </w:rPr>
      </w:pPr>
      <w:r>
        <w:rPr>
          <w:rFonts w:cs="Arial"/>
          <w:b/>
          <w:color w:val="auto"/>
        </w:rPr>
        <w:t>Abbildung 8:</w:t>
      </w:r>
    </w:p>
    <w:p>
      <w:pPr>
        <w:pStyle w:val="GesAbsatz"/>
        <w:jc w:val="center"/>
        <w:rPr>
          <w:rFonts w:cs="Arial"/>
          <w:bCs/>
          <w:color w:val="auto"/>
        </w:rPr>
      </w:pPr>
      <w:r>
        <w:object w:dxaOrig="8804" w:dyaOrig="4831">
          <v:shape id="_x0000_i1032" type="#_x0000_t75" style="width:422pt;height:231.65pt" o:ole="">
            <v:imagedata r:id="rId23" o:title=""/>
          </v:shape>
          <o:OLEObject Type="Embed" ProgID="PBrush" ShapeID="_x0000_i1032" DrawAspect="Content" ObjectID="_1698664224" r:id="rId24"/>
        </w:object>
      </w:r>
    </w:p>
    <w:p>
      <w:pPr>
        <w:pStyle w:val="berschrift3"/>
        <w:jc w:val="left"/>
        <w:rPr>
          <w:rFonts w:eastAsia="Arial Unicode MS"/>
          <w:szCs w:val="24"/>
        </w:rPr>
      </w:pPr>
      <w:bookmarkStart w:id="14" w:name="_Toc45599502"/>
      <w:r>
        <w:lastRenderedPageBreak/>
        <w:t>4.2 Böden und Sekundärrohstoffdünger</w:t>
      </w:r>
      <w:bookmarkEnd w:id="14"/>
    </w:p>
    <w:p>
      <w:pPr>
        <w:pStyle w:val="GesAbsatz"/>
        <w:rPr>
          <w:rFonts w:cs="Arial"/>
          <w:b/>
          <w:bCs/>
        </w:rPr>
      </w:pPr>
      <w:r>
        <w:rPr>
          <w:rFonts w:cs="Arial"/>
          <w:b/>
          <w:bCs/>
        </w:rPr>
        <w:t>4.2.1 Nährstoffversorgung und Schwermetallbelastung der Böden in Nordrhein- Westfalen</w:t>
      </w:r>
    </w:p>
    <w:p>
      <w:pPr>
        <w:pStyle w:val="GesAbsatz"/>
        <w:rPr>
          <w:rFonts w:cs="Arial"/>
          <w:b/>
          <w:bCs/>
        </w:rPr>
      </w:pPr>
      <w:r>
        <w:rPr>
          <w:rFonts w:cs="Arial"/>
        </w:rPr>
        <w:t>Zur Beschreibung der Phosphat-Versorgungssituation der Böden in den Kreisen wurden die bereits ausgewerteten Bodenuntersuchungsdaten der Landwirtschaftlichen Untersuchungs- und Forschungsanstalt (LUFA) aus den Jahren 1991-1994 (Brenk, 1998a) herangezogen. Nach LUFA werden die Böden je nach Phosphatgehalt (mg P</w:t>
      </w:r>
      <w:r>
        <w:rPr>
          <w:rFonts w:cs="Arial"/>
          <w:vertAlign w:val="subscript"/>
        </w:rPr>
        <w:t>2</w:t>
      </w:r>
      <w:r>
        <w:rPr>
          <w:rFonts w:cs="Arial"/>
        </w:rPr>
        <w:t>O</w:t>
      </w:r>
      <w:r>
        <w:rPr>
          <w:rFonts w:cs="Arial"/>
          <w:vertAlign w:val="subscript"/>
        </w:rPr>
        <w:t>5</w:t>
      </w:r>
      <w:r>
        <w:rPr>
          <w:rFonts w:cs="Arial"/>
        </w:rPr>
        <w:t>/100 g Boden) in die Gehaltsklassen A bis E eingeteilt, wobei es zwischen den Klassen Überschneidungen in den Gehalten gibt, da die unterschiedlichen Bodenarten verschiedenen Gehaltsklassen zugeordnet werden. Für eine Kartendarstellung mussten die Klassen klar voneinander abgegrenzt werden, wobei der Betrag, um den sich die beiden Gehaltsklassen überlappten, je zur Hälfte der einen und der anderen Klasse zugeschlagen wurden. Hierdurch ergibt sich eine leichte Änderung der Bewertung für leichte und mittlere Böden, für die die Daten zum großen Teil erhoben wurden.</w:t>
      </w:r>
    </w:p>
    <w:p>
      <w:pPr>
        <w:pStyle w:val="GesAbsatz"/>
        <w:rPr>
          <w:rFonts w:cs="Arial"/>
          <w:b/>
          <w:bCs/>
        </w:rPr>
      </w:pPr>
      <w:r>
        <w:rPr>
          <w:rFonts w:cs="Arial"/>
        </w:rPr>
        <w:t>Da in einigen Kreisen die Grünlandnutzung überwiegt und darüber hinaus die Bodengehalte von Acker- und Grünlandflächen häufig leicht voneinander abwichen, wurde ein gewichtetes Mittel der Bodengehalte errechnet. In Karte 1 sind die P</w:t>
      </w:r>
      <w:r>
        <w:rPr>
          <w:rFonts w:cs="Arial"/>
          <w:vertAlign w:val="subscript"/>
        </w:rPr>
        <w:t>2</w:t>
      </w:r>
      <w:r>
        <w:rPr>
          <w:rFonts w:cs="Arial"/>
        </w:rPr>
        <w:t>O</w:t>
      </w:r>
      <w:r>
        <w:rPr>
          <w:rFonts w:cs="Arial"/>
          <w:vertAlign w:val="subscript"/>
        </w:rPr>
        <w:t>5</w:t>
      </w:r>
      <w:r>
        <w:rPr>
          <w:rFonts w:cs="Arial"/>
        </w:rPr>
        <w:t>-Gehalte der Böden abgebildet. Auf Kreisebene liegen ausschließlich Böden der Gehaltsklassen C und D vor, wobei sich eine klare Zweiteilung zwischen höheren Gehalten im Norden und Westen und geringeren Gehalten im Süden und Osten des Landes ergibt.</w:t>
      </w:r>
    </w:p>
    <w:p>
      <w:pPr>
        <w:pStyle w:val="GesAbsatz"/>
        <w:rPr>
          <w:rFonts w:cs="Arial"/>
        </w:rPr>
      </w:pPr>
      <w:r>
        <w:rPr>
          <w:rFonts w:cs="Arial"/>
        </w:rPr>
        <w:t>Um die Untersuchung überschaubar zu halten, wurden die Gehaltsklassen A - E genutzt und keine weitergehende Unterteilung vorgenommen. Letztendlich müsste der konkrete P</w:t>
      </w:r>
      <w:r>
        <w:rPr>
          <w:rFonts w:cs="Arial"/>
          <w:vertAlign w:val="subscript"/>
        </w:rPr>
        <w:t>2</w:t>
      </w:r>
      <w:r>
        <w:rPr>
          <w:rFonts w:cs="Arial"/>
        </w:rPr>
        <w:t>O</w:t>
      </w:r>
      <w:r>
        <w:rPr>
          <w:rFonts w:cs="Arial"/>
          <w:vertAlign w:val="subscript"/>
        </w:rPr>
        <w:t>5</w:t>
      </w:r>
      <w:r>
        <w:rPr>
          <w:rFonts w:cs="Arial"/>
        </w:rPr>
        <w:t xml:space="preserve"> -Gehalt eines jeden Ackerschlages über 1 Hektar für die Düngebedarfsermittlung herangezogen werden. Um die Kernprobleme zu lokalisieren und aufzuzeigen, wurde in dieser Studie eine Berücksichtigung der Gehaltsklassen als völlig hinreichend erachtet. Eine genauere Differenzierung auf Gemeindeebene (Unterteilung der Klasse C in zwei Stufen und der Klasse D in drei Stufen nach der Klasseneinteilung der Landwirtschaftskammern) ist der Studie von Brenk und Werner (1997) zu entnehmen.</w:t>
      </w:r>
    </w:p>
    <w:p>
      <w:pPr>
        <w:pStyle w:val="GesAbsatz"/>
        <w:rPr>
          <w:rFonts w:cs="Arial"/>
        </w:rPr>
      </w:pPr>
    </w:p>
    <w:p>
      <w:pPr>
        <w:pStyle w:val="GesAbsatz"/>
        <w:rPr>
          <w:rFonts w:cs="Arial"/>
        </w:rPr>
      </w:pPr>
      <w:r>
        <w:rPr>
          <w:noProof/>
        </w:rPr>
        <w:lastRenderedPageBreak/>
        <w:drawing>
          <wp:inline distT="0" distB="0" distL="0" distR="0">
            <wp:extent cx="5760720" cy="624078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240780"/>
                    </a:xfrm>
                    <a:prstGeom prst="rect">
                      <a:avLst/>
                    </a:prstGeom>
                    <a:noFill/>
                    <a:ln>
                      <a:noFill/>
                    </a:ln>
                  </pic:spPr>
                </pic:pic>
              </a:graphicData>
            </a:graphic>
          </wp:inline>
        </w:drawing>
      </w:r>
    </w:p>
    <w:p>
      <w:pPr>
        <w:pStyle w:val="GesAbsatz"/>
        <w:rPr>
          <w:rFonts w:cs="Arial"/>
        </w:rPr>
      </w:pPr>
      <w:r>
        <w:rPr>
          <w:rFonts w:cs="Arial"/>
          <w:b/>
          <w:bCs/>
        </w:rPr>
        <w:t>Tabelle 24: Abteilung der Skalierung der Bodengehalte an Schwermetallen aus den Grenzwerten der BioAbfV für die Bodenart Lehm, mg/kg TS</w:t>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1"/>
        <w:gridCol w:w="1603"/>
        <w:gridCol w:w="1611"/>
        <w:gridCol w:w="1611"/>
        <w:gridCol w:w="1611"/>
        <w:gridCol w:w="1611"/>
      </w:tblGrid>
      <w:tr>
        <w:tc>
          <w:tcPr>
            <w:tcW w:w="1629" w:type="dxa"/>
          </w:tcPr>
          <w:p>
            <w:pPr>
              <w:pStyle w:val="GesAbsatz"/>
              <w:jc w:val="center"/>
              <w:rPr>
                <w:rFonts w:eastAsia="Arial Unicode MS" w:cs="Arial"/>
                <w:sz w:val="18"/>
                <w:szCs w:val="24"/>
              </w:rPr>
            </w:pPr>
          </w:p>
        </w:tc>
        <w:tc>
          <w:tcPr>
            <w:tcW w:w="1629" w:type="dxa"/>
          </w:tcPr>
          <w:p>
            <w:pPr>
              <w:pStyle w:val="GesAbsatz"/>
              <w:jc w:val="center"/>
              <w:rPr>
                <w:rFonts w:eastAsia="Arial Unicode MS" w:cs="Arial"/>
                <w:sz w:val="18"/>
                <w:szCs w:val="24"/>
                <w:lang w:val="en-US"/>
              </w:rPr>
            </w:pPr>
            <w:r>
              <w:rPr>
                <w:rFonts w:cs="Arial"/>
                <w:b/>
                <w:bCs/>
                <w:sz w:val="18"/>
                <w:lang w:val="en-US"/>
              </w:rPr>
              <w:t>BioAbfV</w:t>
            </w:r>
          </w:p>
        </w:tc>
        <w:tc>
          <w:tcPr>
            <w:tcW w:w="1630" w:type="dxa"/>
          </w:tcPr>
          <w:p>
            <w:pPr>
              <w:pStyle w:val="GesAbsatz"/>
              <w:jc w:val="center"/>
              <w:rPr>
                <w:rFonts w:eastAsia="Arial Unicode MS" w:cs="Arial"/>
                <w:sz w:val="18"/>
                <w:szCs w:val="24"/>
                <w:lang w:val="en-US"/>
              </w:rPr>
            </w:pPr>
            <w:r>
              <w:rPr>
                <w:rFonts w:cs="Arial"/>
                <w:b/>
                <w:bCs/>
                <w:sz w:val="18"/>
                <w:lang w:val="en-US"/>
              </w:rPr>
              <w:t>80 %</w:t>
            </w:r>
          </w:p>
        </w:tc>
        <w:tc>
          <w:tcPr>
            <w:tcW w:w="1630" w:type="dxa"/>
          </w:tcPr>
          <w:p>
            <w:pPr>
              <w:pStyle w:val="GesAbsatz"/>
              <w:jc w:val="center"/>
              <w:rPr>
                <w:rFonts w:eastAsia="Arial Unicode MS" w:cs="Arial"/>
                <w:sz w:val="18"/>
                <w:szCs w:val="24"/>
                <w:lang w:val="en-US"/>
              </w:rPr>
            </w:pPr>
            <w:r>
              <w:rPr>
                <w:rFonts w:cs="Arial"/>
                <w:b/>
                <w:bCs/>
                <w:sz w:val="18"/>
                <w:lang w:val="en-US"/>
              </w:rPr>
              <w:t>60 %</w:t>
            </w:r>
          </w:p>
        </w:tc>
        <w:tc>
          <w:tcPr>
            <w:tcW w:w="1630" w:type="dxa"/>
          </w:tcPr>
          <w:p>
            <w:pPr>
              <w:pStyle w:val="GesAbsatz"/>
              <w:jc w:val="center"/>
              <w:rPr>
                <w:rFonts w:eastAsia="Arial Unicode MS" w:cs="Arial"/>
                <w:sz w:val="18"/>
                <w:szCs w:val="24"/>
                <w:lang w:val="en-US"/>
              </w:rPr>
            </w:pPr>
            <w:r>
              <w:rPr>
                <w:rFonts w:cs="Arial"/>
                <w:b/>
                <w:bCs/>
                <w:sz w:val="18"/>
                <w:lang w:val="en-US"/>
              </w:rPr>
              <w:t>40 %</w:t>
            </w:r>
          </w:p>
        </w:tc>
        <w:tc>
          <w:tcPr>
            <w:tcW w:w="1630" w:type="dxa"/>
          </w:tcPr>
          <w:p>
            <w:pPr>
              <w:pStyle w:val="GesAbsatz"/>
              <w:jc w:val="center"/>
              <w:rPr>
                <w:rFonts w:eastAsia="Arial Unicode MS" w:cs="Arial"/>
                <w:sz w:val="18"/>
                <w:szCs w:val="24"/>
                <w:lang w:val="en-US"/>
              </w:rPr>
            </w:pPr>
            <w:r>
              <w:rPr>
                <w:rFonts w:cs="Arial"/>
                <w:b/>
                <w:bCs/>
                <w:sz w:val="18"/>
                <w:lang w:val="en-US"/>
              </w:rPr>
              <w:t>20 %</w:t>
            </w:r>
          </w:p>
        </w:tc>
      </w:tr>
      <w:tr>
        <w:tc>
          <w:tcPr>
            <w:tcW w:w="1629" w:type="dxa"/>
          </w:tcPr>
          <w:p>
            <w:pPr>
              <w:pStyle w:val="GesAbsatz"/>
              <w:rPr>
                <w:rFonts w:eastAsia="Arial Unicode MS" w:cs="Arial"/>
                <w:sz w:val="18"/>
                <w:szCs w:val="24"/>
                <w:lang w:val="en-US"/>
              </w:rPr>
            </w:pPr>
            <w:r>
              <w:rPr>
                <w:rFonts w:cs="Arial"/>
                <w:sz w:val="18"/>
                <w:lang w:val="en-US"/>
              </w:rPr>
              <w:t xml:space="preserve">Cadmium Cd </w:t>
            </w:r>
          </w:p>
        </w:tc>
        <w:tc>
          <w:tcPr>
            <w:tcW w:w="1629" w:type="dxa"/>
          </w:tcPr>
          <w:p>
            <w:pPr>
              <w:pStyle w:val="GesAbsatz"/>
              <w:tabs>
                <w:tab w:val="clear" w:pos="425"/>
                <w:tab w:val="decimal" w:pos="923"/>
              </w:tabs>
              <w:rPr>
                <w:rFonts w:eastAsia="Arial Unicode MS" w:cs="Arial"/>
                <w:sz w:val="18"/>
                <w:szCs w:val="24"/>
              </w:rPr>
            </w:pPr>
            <w:r>
              <w:rPr>
                <w:rFonts w:cs="Arial"/>
                <w:sz w:val="18"/>
              </w:rPr>
              <w:t>1</w:t>
            </w:r>
          </w:p>
        </w:tc>
        <w:tc>
          <w:tcPr>
            <w:tcW w:w="1630" w:type="dxa"/>
          </w:tcPr>
          <w:p>
            <w:pPr>
              <w:pStyle w:val="GesAbsatz"/>
              <w:tabs>
                <w:tab w:val="clear" w:pos="425"/>
                <w:tab w:val="decimal" w:pos="923"/>
              </w:tabs>
              <w:rPr>
                <w:rFonts w:eastAsia="Arial Unicode MS" w:cs="Arial"/>
                <w:sz w:val="18"/>
                <w:szCs w:val="24"/>
              </w:rPr>
            </w:pPr>
            <w:r>
              <w:rPr>
                <w:rFonts w:cs="Arial"/>
                <w:sz w:val="18"/>
              </w:rPr>
              <w:t xml:space="preserve">0,8 </w:t>
            </w:r>
          </w:p>
        </w:tc>
        <w:tc>
          <w:tcPr>
            <w:tcW w:w="1630" w:type="dxa"/>
          </w:tcPr>
          <w:p>
            <w:pPr>
              <w:pStyle w:val="GesAbsatz"/>
              <w:tabs>
                <w:tab w:val="clear" w:pos="425"/>
                <w:tab w:val="decimal" w:pos="923"/>
              </w:tabs>
              <w:rPr>
                <w:rFonts w:eastAsia="Arial Unicode MS" w:cs="Arial"/>
                <w:sz w:val="18"/>
                <w:szCs w:val="24"/>
              </w:rPr>
            </w:pPr>
            <w:r>
              <w:rPr>
                <w:rFonts w:cs="Arial"/>
                <w:sz w:val="18"/>
              </w:rPr>
              <w:t>0,6</w:t>
            </w:r>
          </w:p>
        </w:tc>
        <w:tc>
          <w:tcPr>
            <w:tcW w:w="1630" w:type="dxa"/>
          </w:tcPr>
          <w:p>
            <w:pPr>
              <w:pStyle w:val="GesAbsatz"/>
              <w:tabs>
                <w:tab w:val="clear" w:pos="425"/>
                <w:tab w:val="decimal" w:pos="923"/>
              </w:tabs>
              <w:rPr>
                <w:rFonts w:eastAsia="Arial Unicode MS" w:cs="Arial"/>
                <w:sz w:val="18"/>
                <w:szCs w:val="24"/>
              </w:rPr>
            </w:pPr>
            <w:r>
              <w:rPr>
                <w:rFonts w:cs="Arial"/>
                <w:sz w:val="18"/>
              </w:rPr>
              <w:t>0,4</w:t>
            </w:r>
          </w:p>
        </w:tc>
        <w:tc>
          <w:tcPr>
            <w:tcW w:w="1630" w:type="dxa"/>
          </w:tcPr>
          <w:p>
            <w:pPr>
              <w:pStyle w:val="GesAbsatz"/>
              <w:tabs>
                <w:tab w:val="clear" w:pos="425"/>
                <w:tab w:val="decimal" w:pos="923"/>
              </w:tabs>
              <w:rPr>
                <w:rFonts w:eastAsia="Arial Unicode MS" w:cs="Arial"/>
                <w:sz w:val="18"/>
                <w:szCs w:val="24"/>
              </w:rPr>
            </w:pPr>
            <w:r>
              <w:rPr>
                <w:rFonts w:cs="Arial"/>
                <w:sz w:val="18"/>
              </w:rPr>
              <w:t>0,2</w:t>
            </w:r>
          </w:p>
        </w:tc>
      </w:tr>
      <w:tr>
        <w:tc>
          <w:tcPr>
            <w:tcW w:w="1629" w:type="dxa"/>
          </w:tcPr>
          <w:p>
            <w:pPr>
              <w:pStyle w:val="GesAbsatz"/>
              <w:rPr>
                <w:rFonts w:eastAsia="Arial Unicode MS" w:cs="Arial"/>
                <w:sz w:val="18"/>
                <w:szCs w:val="24"/>
              </w:rPr>
            </w:pPr>
            <w:r>
              <w:rPr>
                <w:rFonts w:cs="Arial"/>
                <w:sz w:val="18"/>
              </w:rPr>
              <w:t xml:space="preserve">Kupfer Cu </w:t>
            </w:r>
          </w:p>
        </w:tc>
        <w:tc>
          <w:tcPr>
            <w:tcW w:w="1629" w:type="dxa"/>
          </w:tcPr>
          <w:p>
            <w:pPr>
              <w:pStyle w:val="GesAbsatz"/>
              <w:tabs>
                <w:tab w:val="clear" w:pos="425"/>
                <w:tab w:val="decimal" w:pos="923"/>
              </w:tabs>
              <w:rPr>
                <w:rFonts w:eastAsia="Arial Unicode MS" w:cs="Arial"/>
                <w:sz w:val="18"/>
                <w:szCs w:val="24"/>
              </w:rPr>
            </w:pPr>
            <w:r>
              <w:rPr>
                <w:rFonts w:cs="Arial"/>
                <w:sz w:val="18"/>
              </w:rPr>
              <w:t>40</w:t>
            </w:r>
          </w:p>
        </w:tc>
        <w:tc>
          <w:tcPr>
            <w:tcW w:w="1630" w:type="dxa"/>
          </w:tcPr>
          <w:p>
            <w:pPr>
              <w:pStyle w:val="GesAbsatz"/>
              <w:tabs>
                <w:tab w:val="clear" w:pos="425"/>
                <w:tab w:val="decimal" w:pos="923"/>
              </w:tabs>
              <w:rPr>
                <w:rFonts w:eastAsia="Arial Unicode MS" w:cs="Arial"/>
                <w:sz w:val="18"/>
                <w:szCs w:val="24"/>
              </w:rPr>
            </w:pPr>
            <w:r>
              <w:rPr>
                <w:rFonts w:cs="Arial"/>
                <w:sz w:val="18"/>
              </w:rPr>
              <w:t>32</w:t>
            </w:r>
          </w:p>
        </w:tc>
        <w:tc>
          <w:tcPr>
            <w:tcW w:w="1630" w:type="dxa"/>
          </w:tcPr>
          <w:p>
            <w:pPr>
              <w:pStyle w:val="GesAbsatz"/>
              <w:tabs>
                <w:tab w:val="clear" w:pos="425"/>
                <w:tab w:val="decimal" w:pos="923"/>
              </w:tabs>
              <w:rPr>
                <w:rFonts w:eastAsia="Arial Unicode MS" w:cs="Arial"/>
                <w:sz w:val="18"/>
                <w:szCs w:val="24"/>
              </w:rPr>
            </w:pPr>
            <w:r>
              <w:rPr>
                <w:rFonts w:cs="Arial"/>
                <w:sz w:val="18"/>
              </w:rPr>
              <w:t>24</w:t>
            </w:r>
          </w:p>
        </w:tc>
        <w:tc>
          <w:tcPr>
            <w:tcW w:w="1630" w:type="dxa"/>
          </w:tcPr>
          <w:p>
            <w:pPr>
              <w:pStyle w:val="GesAbsatz"/>
              <w:tabs>
                <w:tab w:val="clear" w:pos="425"/>
                <w:tab w:val="decimal" w:pos="923"/>
              </w:tabs>
              <w:rPr>
                <w:rFonts w:eastAsia="Arial Unicode MS" w:cs="Arial"/>
                <w:sz w:val="18"/>
                <w:szCs w:val="24"/>
              </w:rPr>
            </w:pPr>
            <w:r>
              <w:rPr>
                <w:rFonts w:cs="Arial"/>
                <w:sz w:val="18"/>
              </w:rPr>
              <w:t>16</w:t>
            </w:r>
          </w:p>
        </w:tc>
        <w:tc>
          <w:tcPr>
            <w:tcW w:w="1630" w:type="dxa"/>
          </w:tcPr>
          <w:p>
            <w:pPr>
              <w:pStyle w:val="GesAbsatz"/>
              <w:tabs>
                <w:tab w:val="clear" w:pos="425"/>
                <w:tab w:val="decimal" w:pos="923"/>
              </w:tabs>
              <w:rPr>
                <w:rFonts w:eastAsia="Arial Unicode MS" w:cs="Arial"/>
                <w:sz w:val="18"/>
                <w:szCs w:val="24"/>
              </w:rPr>
            </w:pPr>
            <w:r>
              <w:rPr>
                <w:rFonts w:cs="Arial"/>
                <w:sz w:val="18"/>
              </w:rPr>
              <w:t>8</w:t>
            </w:r>
          </w:p>
        </w:tc>
      </w:tr>
      <w:tr>
        <w:tc>
          <w:tcPr>
            <w:tcW w:w="1629" w:type="dxa"/>
          </w:tcPr>
          <w:p>
            <w:pPr>
              <w:pStyle w:val="GesAbsatz"/>
              <w:rPr>
                <w:rFonts w:eastAsia="Arial Unicode MS" w:cs="Arial"/>
                <w:sz w:val="18"/>
                <w:szCs w:val="24"/>
              </w:rPr>
            </w:pPr>
            <w:r>
              <w:rPr>
                <w:rFonts w:cs="Arial"/>
                <w:sz w:val="18"/>
              </w:rPr>
              <w:t>Blei Pb</w:t>
            </w:r>
          </w:p>
        </w:tc>
        <w:tc>
          <w:tcPr>
            <w:tcW w:w="1629" w:type="dxa"/>
          </w:tcPr>
          <w:p>
            <w:pPr>
              <w:pStyle w:val="GesAbsatz"/>
              <w:tabs>
                <w:tab w:val="clear" w:pos="425"/>
                <w:tab w:val="decimal" w:pos="923"/>
              </w:tabs>
              <w:rPr>
                <w:rFonts w:eastAsia="Arial Unicode MS" w:cs="Arial"/>
                <w:sz w:val="18"/>
                <w:szCs w:val="24"/>
              </w:rPr>
            </w:pPr>
            <w:r>
              <w:rPr>
                <w:rFonts w:cs="Arial"/>
                <w:sz w:val="18"/>
              </w:rPr>
              <w:t>70</w:t>
            </w:r>
          </w:p>
        </w:tc>
        <w:tc>
          <w:tcPr>
            <w:tcW w:w="1630" w:type="dxa"/>
          </w:tcPr>
          <w:p>
            <w:pPr>
              <w:pStyle w:val="GesAbsatz"/>
              <w:tabs>
                <w:tab w:val="clear" w:pos="425"/>
                <w:tab w:val="decimal" w:pos="923"/>
              </w:tabs>
              <w:rPr>
                <w:rFonts w:eastAsia="Arial Unicode MS" w:cs="Arial"/>
                <w:sz w:val="18"/>
                <w:szCs w:val="24"/>
              </w:rPr>
            </w:pPr>
            <w:r>
              <w:rPr>
                <w:rFonts w:cs="Arial"/>
                <w:sz w:val="18"/>
              </w:rPr>
              <w:t>56</w:t>
            </w:r>
          </w:p>
        </w:tc>
        <w:tc>
          <w:tcPr>
            <w:tcW w:w="1630" w:type="dxa"/>
          </w:tcPr>
          <w:p>
            <w:pPr>
              <w:pStyle w:val="GesAbsatz"/>
              <w:tabs>
                <w:tab w:val="clear" w:pos="425"/>
                <w:tab w:val="decimal" w:pos="923"/>
              </w:tabs>
              <w:rPr>
                <w:rFonts w:eastAsia="Arial Unicode MS" w:cs="Arial"/>
                <w:sz w:val="18"/>
                <w:szCs w:val="24"/>
              </w:rPr>
            </w:pPr>
            <w:r>
              <w:rPr>
                <w:rFonts w:cs="Arial"/>
                <w:sz w:val="18"/>
              </w:rPr>
              <w:t>42</w:t>
            </w:r>
          </w:p>
        </w:tc>
        <w:tc>
          <w:tcPr>
            <w:tcW w:w="1630" w:type="dxa"/>
          </w:tcPr>
          <w:p>
            <w:pPr>
              <w:pStyle w:val="GesAbsatz"/>
              <w:tabs>
                <w:tab w:val="clear" w:pos="425"/>
                <w:tab w:val="decimal" w:pos="923"/>
              </w:tabs>
              <w:rPr>
                <w:rFonts w:eastAsia="Arial Unicode MS" w:cs="Arial"/>
                <w:sz w:val="18"/>
                <w:szCs w:val="24"/>
              </w:rPr>
            </w:pPr>
            <w:r>
              <w:rPr>
                <w:rFonts w:cs="Arial"/>
                <w:sz w:val="18"/>
              </w:rPr>
              <w:t>28</w:t>
            </w:r>
          </w:p>
        </w:tc>
        <w:tc>
          <w:tcPr>
            <w:tcW w:w="1630" w:type="dxa"/>
          </w:tcPr>
          <w:p>
            <w:pPr>
              <w:pStyle w:val="GesAbsatz"/>
              <w:tabs>
                <w:tab w:val="clear" w:pos="425"/>
                <w:tab w:val="decimal" w:pos="923"/>
              </w:tabs>
              <w:rPr>
                <w:rFonts w:eastAsia="Arial Unicode MS" w:cs="Arial"/>
                <w:sz w:val="18"/>
                <w:szCs w:val="24"/>
              </w:rPr>
            </w:pPr>
            <w:r>
              <w:rPr>
                <w:rFonts w:cs="Arial"/>
                <w:sz w:val="18"/>
              </w:rPr>
              <w:t>14</w:t>
            </w:r>
          </w:p>
        </w:tc>
      </w:tr>
      <w:tr>
        <w:tc>
          <w:tcPr>
            <w:tcW w:w="1629" w:type="dxa"/>
          </w:tcPr>
          <w:p>
            <w:pPr>
              <w:pStyle w:val="GesAbsatz"/>
              <w:rPr>
                <w:rFonts w:eastAsia="Arial Unicode MS" w:cs="Arial"/>
                <w:sz w:val="18"/>
                <w:szCs w:val="24"/>
              </w:rPr>
            </w:pPr>
            <w:r>
              <w:rPr>
                <w:rFonts w:cs="Arial"/>
                <w:sz w:val="18"/>
              </w:rPr>
              <w:t>Zink Zn</w:t>
            </w:r>
          </w:p>
        </w:tc>
        <w:tc>
          <w:tcPr>
            <w:tcW w:w="1629" w:type="dxa"/>
          </w:tcPr>
          <w:p>
            <w:pPr>
              <w:pStyle w:val="GesAbsatz"/>
              <w:tabs>
                <w:tab w:val="clear" w:pos="425"/>
                <w:tab w:val="decimal" w:pos="923"/>
              </w:tabs>
              <w:rPr>
                <w:rFonts w:eastAsia="Arial Unicode MS" w:cs="Arial"/>
                <w:sz w:val="18"/>
                <w:szCs w:val="24"/>
              </w:rPr>
            </w:pPr>
            <w:r>
              <w:rPr>
                <w:rFonts w:cs="Arial"/>
                <w:sz w:val="18"/>
              </w:rPr>
              <w:t>150</w:t>
            </w:r>
          </w:p>
        </w:tc>
        <w:tc>
          <w:tcPr>
            <w:tcW w:w="1630" w:type="dxa"/>
          </w:tcPr>
          <w:p>
            <w:pPr>
              <w:pStyle w:val="GesAbsatz"/>
              <w:tabs>
                <w:tab w:val="clear" w:pos="425"/>
                <w:tab w:val="decimal" w:pos="923"/>
              </w:tabs>
              <w:rPr>
                <w:rFonts w:eastAsia="Arial Unicode MS" w:cs="Arial"/>
                <w:sz w:val="18"/>
                <w:szCs w:val="24"/>
              </w:rPr>
            </w:pPr>
            <w:r>
              <w:rPr>
                <w:rFonts w:cs="Arial"/>
                <w:sz w:val="18"/>
              </w:rPr>
              <w:t>120</w:t>
            </w:r>
          </w:p>
        </w:tc>
        <w:tc>
          <w:tcPr>
            <w:tcW w:w="1630" w:type="dxa"/>
          </w:tcPr>
          <w:p>
            <w:pPr>
              <w:pStyle w:val="GesAbsatz"/>
              <w:tabs>
                <w:tab w:val="clear" w:pos="425"/>
                <w:tab w:val="decimal" w:pos="923"/>
              </w:tabs>
              <w:rPr>
                <w:rFonts w:eastAsia="Arial Unicode MS" w:cs="Arial"/>
                <w:sz w:val="18"/>
                <w:szCs w:val="24"/>
              </w:rPr>
            </w:pPr>
            <w:r>
              <w:rPr>
                <w:rFonts w:cs="Arial"/>
                <w:sz w:val="18"/>
              </w:rPr>
              <w:t>90</w:t>
            </w:r>
          </w:p>
        </w:tc>
        <w:tc>
          <w:tcPr>
            <w:tcW w:w="1630" w:type="dxa"/>
          </w:tcPr>
          <w:p>
            <w:pPr>
              <w:pStyle w:val="GesAbsatz"/>
              <w:tabs>
                <w:tab w:val="clear" w:pos="425"/>
                <w:tab w:val="decimal" w:pos="923"/>
              </w:tabs>
              <w:rPr>
                <w:rFonts w:eastAsia="Arial Unicode MS" w:cs="Arial"/>
                <w:sz w:val="18"/>
                <w:szCs w:val="24"/>
              </w:rPr>
            </w:pPr>
            <w:r>
              <w:rPr>
                <w:rFonts w:cs="Arial"/>
                <w:sz w:val="18"/>
              </w:rPr>
              <w:t>60</w:t>
            </w:r>
          </w:p>
        </w:tc>
        <w:tc>
          <w:tcPr>
            <w:tcW w:w="1630" w:type="dxa"/>
          </w:tcPr>
          <w:p>
            <w:pPr>
              <w:pStyle w:val="GesAbsatz"/>
              <w:tabs>
                <w:tab w:val="clear" w:pos="425"/>
                <w:tab w:val="decimal" w:pos="923"/>
              </w:tabs>
              <w:rPr>
                <w:rFonts w:eastAsia="Arial Unicode MS" w:cs="Arial"/>
                <w:sz w:val="18"/>
                <w:szCs w:val="24"/>
              </w:rPr>
            </w:pPr>
            <w:r>
              <w:rPr>
                <w:rFonts w:cs="Arial"/>
                <w:sz w:val="18"/>
              </w:rPr>
              <w:t>30</w:t>
            </w:r>
          </w:p>
        </w:tc>
      </w:tr>
    </w:tbl>
    <w:p>
      <w:pPr>
        <w:pStyle w:val="GesAbsatz"/>
        <w:rPr>
          <w:rFonts w:eastAsia="Arial Unicode MS" w:cs="Arial"/>
          <w:szCs w:val="24"/>
        </w:rPr>
      </w:pPr>
    </w:p>
    <w:p>
      <w:pPr>
        <w:pStyle w:val="GesAbsatz"/>
        <w:rPr>
          <w:rFonts w:cs="Arial"/>
        </w:rPr>
      </w:pPr>
      <w:r>
        <w:rPr>
          <w:rFonts w:cs="Arial"/>
        </w:rPr>
        <w:t xml:space="preserve">Die Verschiebungen bei weiteren Differenzierungen der Gehaltsklassen auf Kreisebene erwiesen sich als relativ geringfügig, müssen aber bei einer konkreten Verwertung von Abfällen aller Art selbstverständlich berücksichtigt werden. Auch bei der Planung einer Organisationsstruktur nach Kapitel 6.3 müssen hinsichtlich der Stoffstromlenkung gegebenenfalls die Gehaltsklassen stärker differenziert werden. Als Grundlage für die Beschreibung der Schwermetallgehalte der nordrhein-westfälischen Böden dienten Daten aus dem „Fachinformationssystem Stoffliche Bodenbelastung“ (FIS StoBo), die auf der Auswertung von Messergebnissen von 23.000 Probeentnahmeorten beruhen. Diese Daten wurden auf Kreisebene aufbereitet (Brenk, 1998 a). Die </w:t>
      </w:r>
      <w:r>
        <w:rPr>
          <w:rFonts w:cs="Arial"/>
        </w:rPr>
        <w:lastRenderedPageBreak/>
        <w:t>Schwermetallgehalte von Kreisen mit unzureichender Datengrundlage wurden auf der Basis der naturraumbezogenen Mittel ermittelt.</w:t>
      </w:r>
    </w:p>
    <w:p>
      <w:pPr>
        <w:pStyle w:val="GesAbsatz"/>
        <w:rPr>
          <w:rFonts w:cs="Arial"/>
        </w:rPr>
      </w:pPr>
      <w:r>
        <w:rPr>
          <w:rFonts w:cs="Arial"/>
        </w:rPr>
        <w:t>Die Darstellung der Ergebnisse orientiert sich an den Bodenwerten nach BioAbfV – gleichzusetzen den Vorsorgewerten nach BBodSchV – für die in Nordrhein-Westfalen weit verbreitete Bodenart Lehm (ca. 60 % der Landesfläche). Eine spezielle Auswertung für die Bodenarten Ton und Sand (ca. 6 % bzw. 30 % der Landesfläche) war im Rahmen der vorliegenden Untersuchung nicht möglich. Aufgrund der zusätzlichen Berücksichtigung des pH-Wertes bei der Einstufung in die Vorsorgewerte-Klassen dürfte der tatsächliche Anteil der der Klasse „Sand“ zuzuordnenden Flächen wahrscheinlich höher als 30 % sein.</w:t>
      </w:r>
    </w:p>
    <w:p>
      <w:pPr>
        <w:pStyle w:val="GesAbsatz"/>
        <w:rPr>
          <w:rFonts w:cs="Arial"/>
        </w:rPr>
      </w:pPr>
      <w:r>
        <w:rPr>
          <w:rFonts w:cs="Arial"/>
        </w:rPr>
        <w:t>Die im Weiteren getroffenen Aussagen sind daher nur für den Vergleich der Boden-Schwermetallgehalte mit den Bodenwerten für die Bodenart Lehm zutreffend. Ein Vergleich mit den Bodenwerten für die Bodenart Sand führt für die Schwermetalle Cadmium und Zink zu deutlich mehr Überschreitungen der Vorsorgewerte, bzw. höheren Ausschöpfungen der Werte. Eine detaillierte Auswertung hierzu wurde vom Landesumweltamt durchgeführt und parallel veröffentlicht. Die Skalierung bei der Darstellung der Schwermetallgehalte erfolgt in linearer Schrittweise.</w:t>
      </w:r>
    </w:p>
    <w:p>
      <w:pPr>
        <w:pStyle w:val="GesAbsatz"/>
        <w:rPr>
          <w:rFonts w:cs="Arial"/>
        </w:rPr>
      </w:pPr>
      <w:r>
        <w:rPr>
          <w:rFonts w:cs="Arial"/>
        </w:rPr>
        <w:t>Für die Darstellung der Schwermetallgehalte wurde der Median als Richtgröße gewählt. Im Vergleich dazu würde bei der Verwendung der 90. Perzentile ein strengerer Maßstab angelegt, allerdings mit der Folge, dass der sachlich unrichtige Eindruck entstanden wäre, dass in manchen Kreisen bzw. Aggregaten kaum oder gar keine Kompostausbringung möglich wäre. Dies wäre jedoch eine inadäquate Darstellung der tatsächlichen Situation, da eine Ausschöpfung bzw. Überschreitung der Bodengrenzwerte nur im kleinräumigen Maßstab vorliegt. Die Auswertung der Bodengehalte auf Kreis- und erst recht auf Aggregatebene führt zu einer Nivellierung. Die großräumige Betrachtung verwischt die z. T. extrem hohen Schwermetallgehalte der Belastungsregionen Aachen und Duisburg/ Kreis Mettmann, bewirkt aber auch eine Erhöhung unbedenklicher Werte umliegender Kreise bis in kritische Bereiche, was wiederum zu einer Verfälschung des Eindrucks beitragen würde. Dies ist auch vor dem Hintergrund zu sehen, dass diese Untersuchung nicht das Ziel hat, Vorsorgewerte zu betrachten, sondern die gegebene Situation abbildet. Letztlich entscheidet die Bodenuntersuchung für einen bestimmten einzelnen Ackerschlag, ob und in welchem Maße Kompost aufgebracht werden kann.</w:t>
      </w:r>
    </w:p>
    <w:p>
      <w:pPr>
        <w:pStyle w:val="GesAbsatz"/>
        <w:rPr>
          <w:rFonts w:cs="Arial"/>
        </w:rPr>
      </w:pPr>
      <w:r>
        <w:rPr>
          <w:rFonts w:cs="Arial"/>
        </w:rPr>
        <w:t>Die in den Karten 2 bis 5 abgebildeten Bodengehalte der vier genannten Schwermetalle zeigen, dass die Böden im Norden und Nordosten durchgehend die niedrigsten Werte aufweisen. Meistens liegt der Median hier unter 40 % des Lehm-Bodenwerts der Bioabfallverordnung. In einem größeren Teil des Landes bewegen sich die Schwermetallgehalte im Bereich zwischen 40 und 60 % der nach BioAbfV für Lehmböden zulässigen Bodengehalte. Hierzu zählen die Regionen Köln-Aachener Bucht, Niederrhein und Teile des Münsterlandes sowie Ostwestfalens. Gehalte zwischen 60 und 80 % des Lehm-Bodenwerts der Bioabfallverordnung sind vor allem in den Mittelgebirgsregionen, in der Rhein-Ruhr-Region und im Aachener Raum zu finden. Die in der BioAbfV angegebenen Bodenwerte für die Bodenart Lehm werden in keinem Fall erreicht.</w:t>
      </w:r>
    </w:p>
    <w:p>
      <w:pPr>
        <w:pStyle w:val="GesAbsatz"/>
        <w:rPr>
          <w:rFonts w:cs="Arial"/>
        </w:rPr>
      </w:pPr>
    </w:p>
    <w:p>
      <w:pPr>
        <w:pStyle w:val="GesAbsatz"/>
        <w:rPr>
          <w:rFonts w:cs="Arial"/>
          <w:color w:val="auto"/>
        </w:rPr>
      </w:pPr>
      <w:r>
        <w:rPr>
          <w:rFonts w:cs="Arial"/>
          <w:noProof/>
        </w:rPr>
        <w:lastRenderedPageBreak/>
        <w:drawing>
          <wp:inline distT="0" distB="0" distL="0" distR="0">
            <wp:extent cx="6118860" cy="665988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6659880"/>
                    </a:xfrm>
                    <a:prstGeom prst="rect">
                      <a:avLst/>
                    </a:prstGeom>
                    <a:noFill/>
                    <a:ln>
                      <a:noFill/>
                    </a:ln>
                  </pic:spPr>
                </pic:pic>
              </a:graphicData>
            </a:graphic>
          </wp:inline>
        </w:drawing>
      </w:r>
    </w:p>
    <w:p>
      <w:pPr>
        <w:pStyle w:val="GesAbsatz"/>
        <w:rPr>
          <w:rFonts w:cs="Arial"/>
          <w:color w:val="auto"/>
        </w:rPr>
      </w:pPr>
      <w:r>
        <w:rPr>
          <w:rFonts w:cs="Arial"/>
          <w:noProof/>
        </w:rPr>
        <w:lastRenderedPageBreak/>
        <w:drawing>
          <wp:inline distT="0" distB="0" distL="0" distR="0">
            <wp:extent cx="6118860" cy="654558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860" cy="6545580"/>
                    </a:xfrm>
                    <a:prstGeom prst="rect">
                      <a:avLst/>
                    </a:prstGeom>
                    <a:noFill/>
                    <a:ln>
                      <a:noFill/>
                    </a:ln>
                  </pic:spPr>
                </pic:pic>
              </a:graphicData>
            </a:graphic>
          </wp:inline>
        </w:drawing>
      </w:r>
    </w:p>
    <w:p>
      <w:pPr>
        <w:pStyle w:val="GesAbsatz"/>
        <w:rPr>
          <w:rFonts w:cs="Arial"/>
          <w:color w:val="auto"/>
        </w:rPr>
      </w:pPr>
      <w:r>
        <w:rPr>
          <w:rFonts w:cs="Arial"/>
          <w:noProof/>
        </w:rPr>
        <w:lastRenderedPageBreak/>
        <w:drawing>
          <wp:inline distT="0" distB="0" distL="0" distR="0">
            <wp:extent cx="6118860" cy="654558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8860" cy="6545580"/>
                    </a:xfrm>
                    <a:prstGeom prst="rect">
                      <a:avLst/>
                    </a:prstGeom>
                    <a:noFill/>
                    <a:ln>
                      <a:noFill/>
                    </a:ln>
                  </pic:spPr>
                </pic:pic>
              </a:graphicData>
            </a:graphic>
          </wp:inline>
        </w:drawing>
      </w:r>
    </w:p>
    <w:p>
      <w:pPr>
        <w:pStyle w:val="GesAbsatz"/>
        <w:rPr>
          <w:rFonts w:cs="Arial"/>
        </w:rPr>
      </w:pPr>
    </w:p>
    <w:p>
      <w:pPr>
        <w:pStyle w:val="GesAbsatz"/>
        <w:rPr>
          <w:rFonts w:cs="Arial"/>
          <w:b/>
          <w:bCs/>
        </w:rPr>
      </w:pPr>
      <w:r>
        <w:rPr>
          <w:rFonts w:cs="Arial"/>
          <w:b/>
          <w:bCs/>
          <w:noProof/>
        </w:rPr>
        <w:lastRenderedPageBreak/>
        <w:drawing>
          <wp:inline distT="0" distB="0" distL="0" distR="0">
            <wp:extent cx="6118860" cy="648462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8860" cy="6484620"/>
                    </a:xfrm>
                    <a:prstGeom prst="rect">
                      <a:avLst/>
                    </a:prstGeom>
                    <a:noFill/>
                    <a:ln>
                      <a:noFill/>
                    </a:ln>
                  </pic:spPr>
                </pic:pic>
              </a:graphicData>
            </a:graphic>
          </wp:inline>
        </w:drawing>
      </w:r>
    </w:p>
    <w:p>
      <w:pPr>
        <w:pStyle w:val="GesAbsatz"/>
        <w:rPr>
          <w:rFonts w:cs="Arial"/>
        </w:rPr>
      </w:pPr>
      <w:r>
        <w:rPr>
          <w:rFonts w:cs="Arial"/>
          <w:b/>
          <w:bCs/>
        </w:rPr>
        <w:t>4.2.2 Anfall und Auswirkungen von Nährstoffen und Schwermetallen durch Wirtschafts- und Sekundärrohstoffdünger</w:t>
      </w:r>
    </w:p>
    <w:p>
      <w:pPr>
        <w:pStyle w:val="GesAbsatz"/>
        <w:rPr>
          <w:rFonts w:cs="Arial"/>
        </w:rPr>
      </w:pPr>
      <w:r>
        <w:rPr>
          <w:rFonts w:cs="Arial"/>
        </w:rPr>
        <w:t>Beim Nährstoff- und Schwermetallanfall wurden Mengen aus Wirtschaftsdüngern, Klärschlamm und Kompost berücksichtigt und zum Gesamtanfall je Kreis addiert (die Berechnung erfolgte anhand der in Kapitel 2, Tabelle 5 bis 11 angegebenen Werte). Die berechneten in den Kreisen gegenwärtig anfallenden Mengen werden als Eintrag in kg bzw. g/ha Ackerfläche (AF) dargestellt, da von folgenden Voraussetzungen ausgegangen wird:</w:t>
      </w:r>
    </w:p>
    <w:p>
      <w:pPr>
        <w:pStyle w:val="GesAbsatz"/>
        <w:rPr>
          <w:rFonts w:cs="Arial"/>
        </w:rPr>
      </w:pPr>
      <w:r>
        <w:rPr>
          <w:rFonts w:cs="Arial"/>
        </w:rPr>
        <w:t>-</w:t>
      </w:r>
      <w:r>
        <w:rPr>
          <w:rFonts w:cs="Arial"/>
        </w:rPr>
        <w:tab/>
        <w:t>Die Ausbringung von Klärschlamm ist nur auf Ackerflächen erlaubt,</w:t>
      </w:r>
    </w:p>
    <w:p>
      <w:pPr>
        <w:pStyle w:val="GesAbsatz"/>
        <w:ind w:left="426" w:hanging="426"/>
        <w:rPr>
          <w:rFonts w:cs="Arial"/>
        </w:rPr>
      </w:pPr>
      <w:r>
        <w:rPr>
          <w:rFonts w:cs="Arial"/>
        </w:rPr>
        <w:t>-</w:t>
      </w:r>
      <w:r>
        <w:rPr>
          <w:rFonts w:cs="Arial"/>
        </w:rPr>
        <w:tab/>
        <w:t>die Ausbringung von Kompost erfolgt ebenfalls ausschließlich auf Ackerland, obwohl die Verwertung auf Grünland unter Berücksichtigung von Auflagen der BioAbfV erlaubt ist und</w:t>
      </w:r>
    </w:p>
    <w:p>
      <w:pPr>
        <w:pStyle w:val="GesAbsatz"/>
        <w:rPr>
          <w:rFonts w:cs="Arial"/>
        </w:rPr>
      </w:pPr>
      <w:r>
        <w:rPr>
          <w:rFonts w:cs="Arial"/>
        </w:rPr>
        <w:tab/>
        <w:t>der Aufbringung von Wirtschaftsdüngern auf Acker- und Grünland ohne Bevorzugung einer Nutzung.</w:t>
      </w:r>
    </w:p>
    <w:p>
      <w:pPr>
        <w:pStyle w:val="GesAbsatz"/>
        <w:rPr>
          <w:rFonts w:cs="Arial"/>
        </w:rPr>
      </w:pPr>
      <w:r>
        <w:rPr>
          <w:rFonts w:cs="Arial"/>
        </w:rPr>
        <w:t>Der Anfall auf Grünlandflächen (GF) stammt somit aus Wirtschaftsdüngern und wird in einer gesonderten Karte dargestellt (vgl. Karte 7 bis 12).</w:t>
      </w:r>
    </w:p>
    <w:p>
      <w:pPr>
        <w:pStyle w:val="GesAbsatz"/>
        <w:rPr>
          <w:rFonts w:cs="Arial"/>
        </w:rPr>
      </w:pPr>
      <w:r>
        <w:rPr>
          <w:rFonts w:cs="Arial"/>
        </w:rPr>
        <w:t>Bei den kreisfreien Städten wurde davon ausgegangen, dass die Verwertung der Dünger nicht nur auf der zum Gebiet der kreisfreien Städte zugehörigen Ackerfläche erfolgt. Deshalb wurden nach dem im „Regionali</w:t>
      </w:r>
      <w:r>
        <w:rPr>
          <w:rFonts w:cs="Arial"/>
        </w:rPr>
        <w:lastRenderedPageBreak/>
        <w:t>sierten Agrar- und Umweltinformationssystem für Nordrhein-Westfalen“ (RAUMIS-NRW) vorgegebenen Beispiel als Referenzregionen für die Betrachtungen 31 Kreisaggregate gebildet, bei denen es sich um 21 Kreise und um 10 Aggregate aus Kreisen und kreisfreien Städten handelt.</w:t>
      </w:r>
    </w:p>
    <w:p>
      <w:pPr>
        <w:pStyle w:val="GesAbsatz"/>
        <w:rPr>
          <w:rFonts w:cs="Arial"/>
        </w:rPr>
      </w:pPr>
      <w:r>
        <w:rPr>
          <w:rFonts w:cs="Arial"/>
        </w:rPr>
        <w:t>Aggregate im Regierungsbezirk Arnsberg sind:</w:t>
      </w:r>
    </w:p>
    <w:p>
      <w:pPr>
        <w:pStyle w:val="GesAbsatz"/>
        <w:rPr>
          <w:rFonts w:cs="Arial"/>
        </w:rPr>
      </w:pPr>
      <w:r>
        <w:rPr>
          <w:rFonts w:cs="Arial"/>
        </w:rPr>
        <w:t>-</w:t>
      </w:r>
      <w:r>
        <w:rPr>
          <w:rFonts w:cs="Arial"/>
        </w:rPr>
        <w:tab/>
        <w:t>die kreisfreien Städte Bochum, Hagen und Herne mit dem Ennepe-Ruhr-Kreis und</w:t>
      </w:r>
    </w:p>
    <w:p>
      <w:pPr>
        <w:pStyle w:val="GesAbsatz"/>
        <w:rPr>
          <w:rFonts w:cs="Arial"/>
        </w:rPr>
      </w:pPr>
      <w:r>
        <w:rPr>
          <w:rFonts w:cs="Arial"/>
        </w:rPr>
        <w:t>-</w:t>
      </w:r>
      <w:r>
        <w:rPr>
          <w:rFonts w:cs="Arial"/>
        </w:rPr>
        <w:tab/>
        <w:t>die kreisfreien Städte Dortmund und Hamm mit dem Kreis Unna.</w:t>
      </w:r>
    </w:p>
    <w:p>
      <w:pPr>
        <w:pStyle w:val="GesAbsatz"/>
        <w:rPr>
          <w:rFonts w:cs="Arial"/>
        </w:rPr>
      </w:pPr>
      <w:r>
        <w:rPr>
          <w:rFonts w:cs="Arial"/>
        </w:rPr>
        <w:t>Aggregate im Regierungsbezirk Detmold sind:</w:t>
      </w:r>
    </w:p>
    <w:p>
      <w:pPr>
        <w:pStyle w:val="GesAbsatz"/>
        <w:rPr>
          <w:rFonts w:cs="Arial"/>
        </w:rPr>
      </w:pPr>
      <w:r>
        <w:rPr>
          <w:rFonts w:cs="Arial"/>
        </w:rPr>
        <w:t>-</w:t>
      </w:r>
      <w:r>
        <w:rPr>
          <w:rFonts w:cs="Arial"/>
        </w:rPr>
        <w:tab/>
        <w:t>die kreisfreie Stadt Bielefeld mit dem Kreis Herford.</w:t>
      </w:r>
    </w:p>
    <w:p>
      <w:pPr>
        <w:pStyle w:val="GesAbsatz"/>
        <w:rPr>
          <w:rFonts w:cs="Arial"/>
        </w:rPr>
      </w:pPr>
      <w:r>
        <w:rPr>
          <w:rFonts w:cs="Arial"/>
        </w:rPr>
        <w:t>Aggregate im Regierungsbezirk Düsseldorf sind:</w:t>
      </w:r>
    </w:p>
    <w:p>
      <w:pPr>
        <w:pStyle w:val="GesAbsatz"/>
        <w:ind w:left="426" w:hanging="426"/>
        <w:rPr>
          <w:rFonts w:cs="Arial"/>
        </w:rPr>
      </w:pPr>
      <w:r>
        <w:rPr>
          <w:rFonts w:cs="Arial"/>
        </w:rPr>
        <w:t>-</w:t>
      </w:r>
      <w:r>
        <w:rPr>
          <w:rFonts w:cs="Arial"/>
        </w:rPr>
        <w:tab/>
        <w:t>die kreisfreien Städte Duisburg, Düsseldorf, Essen, Mühlheim, Oberhausen, Remscheid, Solingen und Wuppertal mit dem Kreis Mettmann und</w:t>
      </w:r>
    </w:p>
    <w:p>
      <w:pPr>
        <w:pStyle w:val="GesAbsatz"/>
        <w:rPr>
          <w:rFonts w:cs="Arial"/>
        </w:rPr>
      </w:pPr>
      <w:r>
        <w:rPr>
          <w:rFonts w:cs="Arial"/>
        </w:rPr>
        <w:t>-</w:t>
      </w:r>
      <w:r>
        <w:rPr>
          <w:rFonts w:cs="Arial"/>
        </w:rPr>
        <w:tab/>
        <w:t>die kreisfreien Städte Krefeld und Mönchengladbach mit dem Kreis Viersen.</w:t>
      </w:r>
    </w:p>
    <w:p>
      <w:pPr>
        <w:pStyle w:val="GesAbsatz"/>
        <w:rPr>
          <w:rFonts w:cs="Arial"/>
        </w:rPr>
      </w:pPr>
      <w:r>
        <w:rPr>
          <w:rFonts w:cs="Arial"/>
        </w:rPr>
        <w:t>Aggregate im Regierungsbezirk Köln sind:</w:t>
      </w:r>
    </w:p>
    <w:p>
      <w:pPr>
        <w:pStyle w:val="GesAbsatz"/>
        <w:rPr>
          <w:rFonts w:cs="Arial"/>
        </w:rPr>
      </w:pPr>
      <w:r>
        <w:rPr>
          <w:rFonts w:cs="Arial"/>
        </w:rPr>
        <w:t>-</w:t>
      </w:r>
      <w:r>
        <w:rPr>
          <w:rFonts w:cs="Arial"/>
        </w:rPr>
        <w:tab/>
        <w:t>die kreisfreie Stadt Aachen mit dem Kreis Aachen,</w:t>
      </w:r>
    </w:p>
    <w:p>
      <w:pPr>
        <w:pStyle w:val="GesAbsatz"/>
        <w:rPr>
          <w:rFonts w:cs="Arial"/>
        </w:rPr>
      </w:pPr>
      <w:r>
        <w:rPr>
          <w:rFonts w:cs="Arial"/>
        </w:rPr>
        <w:t>-</w:t>
      </w:r>
      <w:r>
        <w:rPr>
          <w:rFonts w:cs="Arial"/>
        </w:rPr>
        <w:tab/>
        <w:t>die kreisfreie Stadt Bonn mit dem Rhein-Sieg-Kreis und</w:t>
      </w:r>
    </w:p>
    <w:p>
      <w:pPr>
        <w:pStyle w:val="GesAbsatz"/>
        <w:rPr>
          <w:rFonts w:cs="Arial"/>
        </w:rPr>
      </w:pPr>
      <w:r>
        <w:rPr>
          <w:rFonts w:cs="Arial"/>
        </w:rPr>
        <w:t>-</w:t>
      </w:r>
      <w:r>
        <w:rPr>
          <w:rFonts w:cs="Arial"/>
        </w:rPr>
        <w:tab/>
        <w:t>die kreisfreien Städte Köln und Leverkusen mit dem Rheinisch-Bergischen Kreis.</w:t>
      </w:r>
    </w:p>
    <w:p>
      <w:pPr>
        <w:pStyle w:val="GesAbsatz"/>
        <w:rPr>
          <w:rFonts w:cs="Arial"/>
        </w:rPr>
      </w:pPr>
      <w:r>
        <w:rPr>
          <w:rFonts w:cs="Arial"/>
        </w:rPr>
        <w:t>Aggregate im Regierungsbezirk Münster sind:</w:t>
      </w:r>
    </w:p>
    <w:p>
      <w:pPr>
        <w:pStyle w:val="GesAbsatz"/>
        <w:rPr>
          <w:rFonts w:cs="Arial"/>
        </w:rPr>
      </w:pPr>
      <w:r>
        <w:rPr>
          <w:rFonts w:cs="Arial"/>
        </w:rPr>
        <w:t>-</w:t>
      </w:r>
      <w:r>
        <w:rPr>
          <w:rFonts w:cs="Arial"/>
        </w:rPr>
        <w:tab/>
        <w:t>die kreisfreien Städte Bottrop und Gelsenkirchen mit dem</w:t>
      </w:r>
    </w:p>
    <w:p>
      <w:pPr>
        <w:pStyle w:val="GesAbsatz"/>
        <w:rPr>
          <w:rFonts w:cs="Arial"/>
        </w:rPr>
      </w:pPr>
      <w:r>
        <w:rPr>
          <w:rFonts w:cs="Arial"/>
        </w:rPr>
        <w:t>-</w:t>
      </w:r>
      <w:r>
        <w:rPr>
          <w:rFonts w:cs="Arial"/>
        </w:rPr>
        <w:tab/>
        <w:t>Kreis Recklinghausen und</w:t>
      </w:r>
    </w:p>
    <w:p>
      <w:pPr>
        <w:pStyle w:val="GesAbsatz"/>
        <w:rPr>
          <w:rFonts w:eastAsia="Arial Unicode MS" w:cs="Arial"/>
          <w:szCs w:val="24"/>
        </w:rPr>
      </w:pPr>
      <w:r>
        <w:rPr>
          <w:rFonts w:cs="Arial"/>
        </w:rPr>
        <w:t>-</w:t>
      </w:r>
      <w:r>
        <w:rPr>
          <w:rFonts w:cs="Arial"/>
        </w:rPr>
        <w:tab/>
        <w:t>die kreisfreie Stadt Münster mit dem Kreis Warendorf.</w:t>
      </w:r>
    </w:p>
    <w:p>
      <w:pPr>
        <w:pStyle w:val="GesAbsatz"/>
        <w:rPr>
          <w:rFonts w:eastAsia="Arial Unicode MS" w:cs="Arial"/>
          <w:color w:val="auto"/>
          <w:szCs w:val="24"/>
        </w:rPr>
      </w:pPr>
    </w:p>
    <w:p>
      <w:pPr>
        <w:pStyle w:val="GesAbsatz"/>
        <w:rPr>
          <w:rFonts w:eastAsia="Arial Unicode MS" w:cs="Arial"/>
          <w:szCs w:val="24"/>
        </w:rPr>
      </w:pPr>
      <w:r>
        <w:rPr>
          <w:rFonts w:eastAsia="Arial Unicode MS" w:cs="Arial"/>
          <w:noProof/>
          <w:szCs w:val="24"/>
        </w:rPr>
        <w:lastRenderedPageBreak/>
        <w:drawing>
          <wp:inline distT="0" distB="0" distL="0" distR="0">
            <wp:extent cx="6118860" cy="627888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8860" cy="6278880"/>
                    </a:xfrm>
                    <a:prstGeom prst="rect">
                      <a:avLst/>
                    </a:prstGeom>
                    <a:noFill/>
                    <a:ln>
                      <a:noFill/>
                    </a:ln>
                  </pic:spPr>
                </pic:pic>
              </a:graphicData>
            </a:graphic>
          </wp:inline>
        </w:drawing>
      </w:r>
    </w:p>
    <w:p>
      <w:pPr>
        <w:pStyle w:val="GesAbsatz"/>
        <w:rPr>
          <w:rFonts w:eastAsia="Arial Unicode MS" w:cs="Arial"/>
          <w:szCs w:val="24"/>
        </w:rPr>
      </w:pPr>
      <w:r>
        <w:rPr>
          <w:rFonts w:cs="Arial"/>
        </w:rPr>
        <w:t>Für diese Darstellungsweise wurden die kreisweise errechneten Nährstoff- und Schwermetallmengen zu einem auf die Größe der Acker- bzw. Grünlandfläche bezogenen gewichteten Mittel zusammengefasst. Die Darstellung des Gesamtanfalls erfolgt als Flächenfärbung, die Anteile der einzelnen Düngestoffe an der Gesamtmenge werden in Form von Balkendiagrammen wiedergegeben. Die Ergebnisse für die Grünlandflächen werden in den kleinen Karten gezeigt.</w:t>
      </w:r>
    </w:p>
    <w:p>
      <w:pPr>
        <w:pStyle w:val="GesAbsatz"/>
        <w:rPr>
          <w:rFonts w:cs="Arial"/>
        </w:rPr>
      </w:pPr>
      <w:r>
        <w:rPr>
          <w:rFonts w:cs="Arial"/>
        </w:rPr>
        <w:t>Karte 7 zeigt das Ergebnis der Berechnungen zum Stickstoffanfall. Die Skalierung wurde in Anlehnung an die Düngemittelverordnung gewählt, nach der aus organischen Düngern maximal 170 kg N/ha*a aufgebracht werden dürfen. Dieser Maximalwert wird in zwei Kreisen überschritten. In der typischen Ackerbauregion der Köln-Aachener Bucht sowie in Teilen Ostwestfalens beträgt der Anfall weniger als die Hälfte dieses Werts. Der Stickstoffanfall aus Wirtschaftsdüngern dominiert bei weitem den aus Sekundärrohstoffdüngern, vor allem in den Regionen Münsterland und Niederrhein mit hohen Viehhaltungsintensitäten.</w:t>
      </w:r>
    </w:p>
    <w:p>
      <w:pPr>
        <w:pStyle w:val="GesAbsatz"/>
        <w:rPr>
          <w:rFonts w:cs="Arial"/>
        </w:rPr>
      </w:pPr>
    </w:p>
    <w:p>
      <w:pPr>
        <w:pStyle w:val="GesAbsatz"/>
        <w:rPr>
          <w:rFonts w:cs="Arial"/>
          <w:color w:val="auto"/>
        </w:rPr>
      </w:pPr>
      <w:r>
        <w:rPr>
          <w:rFonts w:cs="Arial"/>
          <w:noProof/>
        </w:rPr>
        <w:lastRenderedPageBreak/>
        <w:drawing>
          <wp:inline distT="0" distB="0" distL="0" distR="0">
            <wp:extent cx="6111240" cy="734568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1240" cy="7345680"/>
                    </a:xfrm>
                    <a:prstGeom prst="rect">
                      <a:avLst/>
                    </a:prstGeom>
                    <a:noFill/>
                    <a:ln>
                      <a:noFill/>
                    </a:ln>
                  </pic:spPr>
                </pic:pic>
              </a:graphicData>
            </a:graphic>
          </wp:inline>
        </w:drawing>
      </w:r>
    </w:p>
    <w:p>
      <w:pPr>
        <w:pStyle w:val="GesAbsatz"/>
        <w:rPr>
          <w:rFonts w:eastAsia="Arial Unicode MS" w:cs="Arial"/>
          <w:color w:val="auto"/>
          <w:szCs w:val="24"/>
        </w:rPr>
      </w:pPr>
      <w:r>
        <w:rPr>
          <w:rFonts w:eastAsia="Arial Unicode MS" w:cs="Arial"/>
          <w:noProof/>
          <w:szCs w:val="24"/>
        </w:rPr>
        <w:lastRenderedPageBreak/>
        <w:drawing>
          <wp:inline distT="0" distB="0" distL="0" distR="0">
            <wp:extent cx="6111240" cy="729996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1240" cy="7299960"/>
                    </a:xfrm>
                    <a:prstGeom prst="rect">
                      <a:avLst/>
                    </a:prstGeom>
                    <a:noFill/>
                    <a:ln>
                      <a:noFill/>
                    </a:ln>
                  </pic:spPr>
                </pic:pic>
              </a:graphicData>
            </a:graphic>
          </wp:inline>
        </w:drawing>
      </w:r>
    </w:p>
    <w:p>
      <w:pPr>
        <w:pStyle w:val="GesAbsatz"/>
        <w:rPr>
          <w:rFonts w:cs="Arial"/>
        </w:rPr>
      </w:pPr>
      <w:r>
        <w:rPr>
          <w:rFonts w:cs="Arial"/>
        </w:rPr>
        <w:t>Der Phosphatanfall wird in Karte 8 gezeigt. Der Gesamtanfall wird hier nicht als absoluter Wert in kg/ha Ackerfläche dargestellt, sondern gemessen am Düngerbedarf. Nach ordnungsgemäßer Düngung („gute fachliche Praxis“) muss die Ausbringungsmenge am Nährstoffentzug unter Berücksichtigung der im Boden verfügbaren Nährstoffe bemessen sein. Die zulässige Nährstoffzufuhr muss sich an den Phosphatgehalten der Böden und der durchschnittlichen Phosphatabfuhr durch die Erntemasse orientieren. Der durchschnittliche Phosphatentzug in Nordrhein-Westfalen wurde mit 53,7 kg/ha angesetzt (Entzug im Mittel der letzten 5 Jahre; PlanCoTec und Ifeu-Institut 1998-1999).</w:t>
      </w:r>
    </w:p>
    <w:p>
      <w:pPr>
        <w:pStyle w:val="GesAbsatz"/>
        <w:rPr>
          <w:rFonts w:eastAsia="Arial Unicode MS" w:cs="Arial"/>
          <w:szCs w:val="24"/>
        </w:rPr>
      </w:pPr>
      <w:r>
        <w:rPr>
          <w:rFonts w:cs="Arial"/>
        </w:rPr>
        <w:t xml:space="preserve">Zur Beschreibung der Phosphatversorgungssituation der Böden in den Kreisen wurden die bereits ausgewerteten LUFA-Bodenuntersuchungsdaten aus den Jahren 1991-1994 (Brenk 1998a) herangezogen. In NRW liegen auf Kreisebene nur Böden der Gehaltsklassen C und D vor (s. auch Kap. 4.2.1, Karte 1), wonach eine Düngebemessung nach dem vollen Pflanzenentzug (Gehaltsklasse C, Erhaltungsdüngung) bzw. nach dem halben Entzug (Gehaltsklasse D) erfolgen kann. Die Skalierung in Karte 8 wurde so gewählt, dass sie den </w:t>
      </w:r>
      <w:r>
        <w:rPr>
          <w:rFonts w:cs="Arial"/>
        </w:rPr>
        <w:lastRenderedPageBreak/>
        <w:t>Phosphatanfall in Prozent der – gemäß o.g. Kriterien – „zulässigen“ Phosphatzufuhr wiedergibt. Eine Überschreitung der zulässigen Zufuhr wird schon in den Gebieten der Kategorie „100 bis unter 125 % der zulässigen Zufuhr“ erreicht.</w:t>
      </w:r>
    </w:p>
    <w:p>
      <w:pPr>
        <w:pStyle w:val="GesAbsatz"/>
        <w:rPr>
          <w:rFonts w:cs="Arial"/>
        </w:rPr>
      </w:pPr>
      <w:r>
        <w:rPr>
          <w:rFonts w:cs="Arial"/>
        </w:rPr>
        <w:t>Insgesamt sind hier wieder die Wirtschaftsdünger als Nährstoffträger bei weitem dominierend. Allein der Eintrag aus diesem Dünger reicht zu einer Überschreitung der erlaubten Zufuhr in den Regionen Münsterland, Niederrhein und Teilen Ostwestfalens, so dass hier keine weitere Verwertung von Sekundärrohstoffdüngern erfolgen dürfte. Auf ca. zwei Dritteln der Fläche überwiegt der gesamte Phosphatanfall die erlaubte Zufuhr um 25 % bis über 50 %. Dies gilt auch für die Kreise bzw. Aggregate der Gehaltsklasse C, in denen zu den Mengen aus Wirtschaftsdüngern beträchtliche Mengen aus Klärschlamm oder Kompost hinzukommen (Ballungsgebiet Rhein-Ruhr-Wupper, Oberbergischer Kreis). Der Anfall aus Wirtschaftsdüngern wird nur in zwei weiteren Kreisen bzw. Aggregaten von Klärschlamm bzw. Kompost erreicht oder übertroffen (Raum Aachen, Erftkreis).</w:t>
      </w:r>
    </w:p>
    <w:p>
      <w:pPr>
        <w:pStyle w:val="GesAbsatz"/>
        <w:rPr>
          <w:rFonts w:cs="Arial"/>
        </w:rPr>
      </w:pPr>
      <w:r>
        <w:rPr>
          <w:rFonts w:cs="Arial"/>
        </w:rPr>
        <w:t>Der Schwermetalleintrag in die Ackerfläche ist in den Karten 9 bis 12 dargestellt. Die Skalierung des Schwermetallanfalls wurde an die Grenzwerte der BioAbfV und die maximal erlaubte Aufbringungsmenge von 30 Mg TS/ha innerhalb von 3 Jahren angepasst. Bei dieser Menge sind trotz geringerer Grenzwerte höhere Frachten an Kupfer und Zink möglich als bei der Einhaltung der Grenzwerte für eine Aufbringung von 20 Mg TS/ha *3a. Nach Befragungsergebnissen stellt in Nordrhein-Westfalen ein großer Teil der Anlagen (32 von 58) zu 100% Kompost der Qualität her, die eine maximale Aufbringungsmenge von 30 Mg TS/ha in 3 Jahren erlaubt.</w:t>
      </w:r>
    </w:p>
    <w:p>
      <w:pPr>
        <w:pStyle w:val="GesAbsatz"/>
        <w:rPr>
          <w:rFonts w:cs="Arial"/>
        </w:rPr>
      </w:pPr>
      <w:r>
        <w:rPr>
          <w:rFonts w:cs="Arial"/>
        </w:rPr>
        <w:t>Aus den Grenzwerten multipliziert mit 10 leitet sich die Schwermetallmenge ab, die maximal innerhalb eines Jahres auf eine Ackerfläche aufgebracht werden darf. Diese rechnerisch vorgenommene Ausschöpfung der maximalen Schwermetallfrachten steht allerdings den Zielen des Bodenschutzes zur Minimisierung schädlicher Stoffeinträge in den Boden entgegen.</w:t>
      </w:r>
    </w:p>
    <w:p>
      <w:pPr>
        <w:pStyle w:val="GesAbsatz"/>
        <w:rPr>
          <w:rFonts w:cs="Arial"/>
        </w:rPr>
      </w:pPr>
      <w:r>
        <w:rPr>
          <w:rFonts w:cs="Arial"/>
        </w:rPr>
        <w:t>Die Skalierung erfolgt anders als bei der Darstellung der Schwermetallgehalte nicht linear sondern exponentiell (s. Tabelle 25).</w:t>
      </w:r>
    </w:p>
    <w:p>
      <w:pPr>
        <w:pStyle w:val="GesAbsatz"/>
        <w:rPr>
          <w:rFonts w:cs="Arial"/>
        </w:rPr>
      </w:pPr>
      <w:r>
        <w:rPr>
          <w:rFonts w:cs="Arial"/>
          <w:b/>
          <w:bCs/>
        </w:rPr>
        <w:t>Tabelle 25: Ableitung der Skalierung des Schwermetallanfalls aus den maximal zulässigen Schwermetallfrachten nach BioAbfV, gerundet, g/ha*a</w:t>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6"/>
        <w:gridCol w:w="2076"/>
        <w:gridCol w:w="1560"/>
        <w:gridCol w:w="1134"/>
        <w:gridCol w:w="1275"/>
        <w:gridCol w:w="1134"/>
        <w:gridCol w:w="1203"/>
      </w:tblGrid>
      <w:tr>
        <w:tc>
          <w:tcPr>
            <w:tcW w:w="1396" w:type="dxa"/>
          </w:tcPr>
          <w:p>
            <w:pPr>
              <w:pStyle w:val="GesAbsatz"/>
              <w:jc w:val="center"/>
              <w:rPr>
                <w:rFonts w:eastAsia="Arial Unicode MS" w:cs="Arial"/>
                <w:sz w:val="18"/>
                <w:szCs w:val="24"/>
              </w:rPr>
            </w:pPr>
          </w:p>
        </w:tc>
        <w:tc>
          <w:tcPr>
            <w:tcW w:w="2076" w:type="dxa"/>
          </w:tcPr>
          <w:p>
            <w:pPr>
              <w:pStyle w:val="GesAbsatz"/>
              <w:jc w:val="center"/>
              <w:rPr>
                <w:rFonts w:eastAsia="Arial Unicode MS" w:cs="Arial"/>
                <w:sz w:val="18"/>
                <w:szCs w:val="24"/>
              </w:rPr>
            </w:pPr>
            <w:r>
              <w:rPr>
                <w:rFonts w:cs="Arial"/>
                <w:b/>
                <w:bCs/>
                <w:sz w:val="18"/>
              </w:rPr>
              <w:t xml:space="preserve">BioAbfV </w:t>
            </w:r>
            <w:r>
              <w:rPr>
                <w:rFonts w:cs="Arial"/>
                <w:b/>
                <w:bCs/>
                <w:sz w:val="18"/>
              </w:rPr>
              <w:br/>
            </w:r>
            <w:r>
              <w:rPr>
                <w:rFonts w:cs="Arial"/>
                <w:sz w:val="18"/>
                <w:szCs w:val="15"/>
              </w:rPr>
              <w:t>mg/kg TS Kompost</w:t>
            </w:r>
          </w:p>
        </w:tc>
        <w:tc>
          <w:tcPr>
            <w:tcW w:w="1560" w:type="dxa"/>
          </w:tcPr>
          <w:p>
            <w:pPr>
              <w:pStyle w:val="GesAbsatz"/>
              <w:jc w:val="center"/>
              <w:rPr>
                <w:rFonts w:eastAsia="Arial Unicode MS" w:cs="Arial"/>
                <w:sz w:val="18"/>
                <w:szCs w:val="24"/>
                <w:lang w:val="it-IT"/>
              </w:rPr>
            </w:pPr>
            <w:r>
              <w:rPr>
                <w:rFonts w:cs="Arial"/>
                <w:b/>
                <w:bCs/>
                <w:sz w:val="18"/>
                <w:lang w:val="it-IT"/>
              </w:rPr>
              <w:t>max. Fracht</w:t>
            </w:r>
            <w:r>
              <w:rPr>
                <w:rFonts w:cs="Arial"/>
                <w:b/>
                <w:bCs/>
                <w:sz w:val="18"/>
                <w:lang w:val="it-IT"/>
              </w:rPr>
              <w:br/>
            </w:r>
            <w:r>
              <w:rPr>
                <w:rFonts w:cs="Arial"/>
                <w:sz w:val="18"/>
                <w:szCs w:val="15"/>
                <w:lang w:val="it-IT"/>
              </w:rPr>
              <w:t>mg/ha*a</w:t>
            </w:r>
          </w:p>
        </w:tc>
        <w:tc>
          <w:tcPr>
            <w:tcW w:w="1134" w:type="dxa"/>
          </w:tcPr>
          <w:p>
            <w:pPr>
              <w:pStyle w:val="GesAbsatz"/>
              <w:jc w:val="center"/>
              <w:rPr>
                <w:rFonts w:eastAsia="Arial Unicode MS" w:cs="Arial"/>
                <w:sz w:val="18"/>
                <w:szCs w:val="24"/>
                <w:lang w:val="it-IT"/>
              </w:rPr>
            </w:pPr>
            <w:r>
              <w:rPr>
                <w:rFonts w:cs="Arial"/>
                <w:b/>
                <w:bCs/>
                <w:sz w:val="18"/>
                <w:lang w:val="it-IT"/>
              </w:rPr>
              <w:t>x 1/2</w:t>
            </w:r>
          </w:p>
        </w:tc>
        <w:tc>
          <w:tcPr>
            <w:tcW w:w="1275" w:type="dxa"/>
          </w:tcPr>
          <w:p>
            <w:pPr>
              <w:pStyle w:val="GesAbsatz"/>
              <w:jc w:val="center"/>
              <w:rPr>
                <w:rFonts w:eastAsia="Arial Unicode MS" w:cs="Arial"/>
                <w:sz w:val="18"/>
                <w:szCs w:val="24"/>
                <w:lang w:val="it-IT"/>
              </w:rPr>
            </w:pPr>
            <w:r>
              <w:rPr>
                <w:rFonts w:cs="Arial"/>
                <w:b/>
                <w:bCs/>
                <w:sz w:val="18"/>
                <w:lang w:val="it-IT"/>
              </w:rPr>
              <w:t>x 1/4</w:t>
            </w:r>
          </w:p>
        </w:tc>
        <w:tc>
          <w:tcPr>
            <w:tcW w:w="1134" w:type="dxa"/>
          </w:tcPr>
          <w:p>
            <w:pPr>
              <w:pStyle w:val="GesAbsatz"/>
              <w:jc w:val="center"/>
              <w:rPr>
                <w:rFonts w:eastAsia="Arial Unicode MS" w:cs="Arial"/>
                <w:sz w:val="18"/>
                <w:szCs w:val="24"/>
                <w:lang w:val="it-IT"/>
              </w:rPr>
            </w:pPr>
            <w:r>
              <w:rPr>
                <w:rFonts w:cs="Arial"/>
                <w:b/>
                <w:bCs/>
                <w:sz w:val="18"/>
                <w:lang w:val="it-IT"/>
              </w:rPr>
              <w:t>x 1/8</w:t>
            </w:r>
          </w:p>
        </w:tc>
        <w:tc>
          <w:tcPr>
            <w:tcW w:w="1203" w:type="dxa"/>
          </w:tcPr>
          <w:p>
            <w:pPr>
              <w:pStyle w:val="GesAbsatz"/>
              <w:jc w:val="center"/>
              <w:rPr>
                <w:rFonts w:eastAsia="Arial Unicode MS" w:cs="Arial"/>
                <w:sz w:val="18"/>
                <w:szCs w:val="24"/>
                <w:lang w:val="it-IT"/>
              </w:rPr>
            </w:pPr>
            <w:r>
              <w:rPr>
                <w:rFonts w:cs="Arial"/>
                <w:b/>
                <w:bCs/>
                <w:sz w:val="18"/>
                <w:lang w:val="it-IT"/>
              </w:rPr>
              <w:t>x 1/16</w:t>
            </w:r>
          </w:p>
        </w:tc>
      </w:tr>
      <w:tr>
        <w:tc>
          <w:tcPr>
            <w:tcW w:w="1396" w:type="dxa"/>
          </w:tcPr>
          <w:p>
            <w:pPr>
              <w:pStyle w:val="GesAbsatz"/>
              <w:rPr>
                <w:rFonts w:eastAsia="Arial Unicode MS" w:cs="Arial"/>
                <w:sz w:val="18"/>
                <w:szCs w:val="24"/>
                <w:lang w:val="it-IT"/>
              </w:rPr>
            </w:pPr>
            <w:r>
              <w:rPr>
                <w:rFonts w:cs="Arial"/>
                <w:sz w:val="18"/>
                <w:lang w:val="it-IT"/>
              </w:rPr>
              <w:t xml:space="preserve">Cadmium Cd </w:t>
            </w:r>
          </w:p>
        </w:tc>
        <w:tc>
          <w:tcPr>
            <w:tcW w:w="2076" w:type="dxa"/>
          </w:tcPr>
          <w:p>
            <w:pPr>
              <w:pStyle w:val="GesAbsatz"/>
              <w:tabs>
                <w:tab w:val="clear" w:pos="425"/>
                <w:tab w:val="decimal" w:pos="731"/>
              </w:tabs>
              <w:rPr>
                <w:rFonts w:eastAsia="Arial Unicode MS" w:cs="Arial"/>
                <w:sz w:val="18"/>
                <w:szCs w:val="24"/>
              </w:rPr>
            </w:pPr>
            <w:r>
              <w:rPr>
                <w:rFonts w:cs="Arial"/>
                <w:sz w:val="18"/>
              </w:rPr>
              <w:t>1</w:t>
            </w:r>
          </w:p>
        </w:tc>
        <w:tc>
          <w:tcPr>
            <w:tcW w:w="1560" w:type="dxa"/>
          </w:tcPr>
          <w:p>
            <w:pPr>
              <w:pStyle w:val="GesAbsatz"/>
              <w:tabs>
                <w:tab w:val="clear" w:pos="425"/>
                <w:tab w:val="decimal" w:pos="731"/>
              </w:tabs>
              <w:rPr>
                <w:rFonts w:eastAsia="Arial Unicode MS" w:cs="Arial"/>
                <w:sz w:val="18"/>
                <w:szCs w:val="24"/>
              </w:rPr>
            </w:pPr>
            <w:r>
              <w:rPr>
                <w:rFonts w:cs="Arial"/>
                <w:sz w:val="18"/>
              </w:rPr>
              <w:t>10</w:t>
            </w:r>
          </w:p>
        </w:tc>
        <w:tc>
          <w:tcPr>
            <w:tcW w:w="1134" w:type="dxa"/>
          </w:tcPr>
          <w:p>
            <w:pPr>
              <w:pStyle w:val="GesAbsatz"/>
              <w:tabs>
                <w:tab w:val="clear" w:pos="425"/>
                <w:tab w:val="decimal" w:pos="731"/>
              </w:tabs>
              <w:rPr>
                <w:rFonts w:eastAsia="Arial Unicode MS" w:cs="Arial"/>
                <w:sz w:val="18"/>
                <w:szCs w:val="24"/>
              </w:rPr>
            </w:pPr>
            <w:r>
              <w:rPr>
                <w:rFonts w:cs="Arial"/>
                <w:sz w:val="18"/>
              </w:rPr>
              <w:t>5</w:t>
            </w:r>
          </w:p>
        </w:tc>
        <w:tc>
          <w:tcPr>
            <w:tcW w:w="1275" w:type="dxa"/>
          </w:tcPr>
          <w:p>
            <w:pPr>
              <w:pStyle w:val="GesAbsatz"/>
              <w:tabs>
                <w:tab w:val="clear" w:pos="425"/>
                <w:tab w:val="decimal" w:pos="731"/>
              </w:tabs>
              <w:rPr>
                <w:rFonts w:eastAsia="Arial Unicode MS" w:cs="Arial"/>
                <w:sz w:val="18"/>
                <w:szCs w:val="24"/>
              </w:rPr>
            </w:pPr>
            <w:r>
              <w:rPr>
                <w:rFonts w:cs="Arial"/>
                <w:sz w:val="18"/>
              </w:rPr>
              <w:t>2,5</w:t>
            </w:r>
          </w:p>
        </w:tc>
        <w:tc>
          <w:tcPr>
            <w:tcW w:w="1134" w:type="dxa"/>
          </w:tcPr>
          <w:p>
            <w:pPr>
              <w:pStyle w:val="GesAbsatz"/>
              <w:tabs>
                <w:tab w:val="clear" w:pos="425"/>
                <w:tab w:val="decimal" w:pos="731"/>
              </w:tabs>
              <w:rPr>
                <w:rFonts w:eastAsia="Arial Unicode MS" w:cs="Arial"/>
                <w:sz w:val="18"/>
                <w:szCs w:val="24"/>
              </w:rPr>
            </w:pPr>
            <w:r>
              <w:rPr>
                <w:rFonts w:cs="Arial"/>
                <w:sz w:val="18"/>
              </w:rPr>
              <w:t>1,3</w:t>
            </w:r>
          </w:p>
        </w:tc>
        <w:tc>
          <w:tcPr>
            <w:tcW w:w="1203" w:type="dxa"/>
          </w:tcPr>
          <w:p>
            <w:pPr>
              <w:pStyle w:val="GesAbsatz"/>
              <w:tabs>
                <w:tab w:val="clear" w:pos="425"/>
                <w:tab w:val="decimal" w:pos="731"/>
              </w:tabs>
              <w:rPr>
                <w:rFonts w:eastAsia="Arial Unicode MS" w:cs="Arial"/>
                <w:sz w:val="18"/>
                <w:szCs w:val="24"/>
              </w:rPr>
            </w:pPr>
            <w:r>
              <w:rPr>
                <w:rFonts w:cs="Arial"/>
                <w:sz w:val="18"/>
              </w:rPr>
              <w:t>0,6</w:t>
            </w:r>
          </w:p>
        </w:tc>
      </w:tr>
      <w:tr>
        <w:tc>
          <w:tcPr>
            <w:tcW w:w="1396" w:type="dxa"/>
          </w:tcPr>
          <w:p>
            <w:pPr>
              <w:pStyle w:val="GesAbsatz"/>
              <w:rPr>
                <w:rFonts w:eastAsia="Arial Unicode MS" w:cs="Arial"/>
                <w:sz w:val="18"/>
                <w:szCs w:val="24"/>
              </w:rPr>
            </w:pPr>
            <w:r>
              <w:rPr>
                <w:rFonts w:cs="Arial"/>
                <w:sz w:val="18"/>
              </w:rPr>
              <w:t xml:space="preserve">Kupfer Cu </w:t>
            </w:r>
          </w:p>
        </w:tc>
        <w:tc>
          <w:tcPr>
            <w:tcW w:w="2076" w:type="dxa"/>
          </w:tcPr>
          <w:p>
            <w:pPr>
              <w:pStyle w:val="GesAbsatz"/>
              <w:tabs>
                <w:tab w:val="clear" w:pos="425"/>
                <w:tab w:val="decimal" w:pos="731"/>
              </w:tabs>
              <w:rPr>
                <w:rFonts w:eastAsia="Arial Unicode MS" w:cs="Arial"/>
                <w:sz w:val="18"/>
                <w:szCs w:val="24"/>
              </w:rPr>
            </w:pPr>
            <w:r>
              <w:rPr>
                <w:rFonts w:cs="Arial"/>
                <w:sz w:val="18"/>
              </w:rPr>
              <w:t>70</w:t>
            </w:r>
          </w:p>
        </w:tc>
        <w:tc>
          <w:tcPr>
            <w:tcW w:w="1560" w:type="dxa"/>
          </w:tcPr>
          <w:p>
            <w:pPr>
              <w:pStyle w:val="GesAbsatz"/>
              <w:tabs>
                <w:tab w:val="clear" w:pos="425"/>
                <w:tab w:val="decimal" w:pos="731"/>
              </w:tabs>
              <w:rPr>
                <w:rFonts w:eastAsia="Arial Unicode MS" w:cs="Arial"/>
                <w:sz w:val="18"/>
                <w:szCs w:val="24"/>
              </w:rPr>
            </w:pPr>
            <w:r>
              <w:rPr>
                <w:rFonts w:cs="Arial"/>
                <w:sz w:val="18"/>
              </w:rPr>
              <w:t>700</w:t>
            </w:r>
          </w:p>
        </w:tc>
        <w:tc>
          <w:tcPr>
            <w:tcW w:w="1134" w:type="dxa"/>
          </w:tcPr>
          <w:p>
            <w:pPr>
              <w:pStyle w:val="GesAbsatz"/>
              <w:tabs>
                <w:tab w:val="clear" w:pos="425"/>
                <w:tab w:val="decimal" w:pos="731"/>
              </w:tabs>
              <w:rPr>
                <w:rFonts w:eastAsia="Arial Unicode MS" w:cs="Arial"/>
                <w:sz w:val="18"/>
                <w:szCs w:val="24"/>
              </w:rPr>
            </w:pPr>
            <w:r>
              <w:rPr>
                <w:rFonts w:cs="Arial"/>
                <w:sz w:val="18"/>
              </w:rPr>
              <w:t>350</w:t>
            </w:r>
          </w:p>
        </w:tc>
        <w:tc>
          <w:tcPr>
            <w:tcW w:w="1275" w:type="dxa"/>
          </w:tcPr>
          <w:p>
            <w:pPr>
              <w:pStyle w:val="GesAbsatz"/>
              <w:tabs>
                <w:tab w:val="clear" w:pos="425"/>
                <w:tab w:val="decimal" w:pos="731"/>
              </w:tabs>
              <w:rPr>
                <w:rFonts w:eastAsia="Arial Unicode MS" w:cs="Arial"/>
                <w:sz w:val="18"/>
                <w:szCs w:val="24"/>
              </w:rPr>
            </w:pPr>
            <w:r>
              <w:rPr>
                <w:rFonts w:cs="Arial"/>
                <w:sz w:val="18"/>
              </w:rPr>
              <w:t>175</w:t>
            </w:r>
          </w:p>
        </w:tc>
        <w:tc>
          <w:tcPr>
            <w:tcW w:w="1134" w:type="dxa"/>
          </w:tcPr>
          <w:p>
            <w:pPr>
              <w:pStyle w:val="GesAbsatz"/>
              <w:tabs>
                <w:tab w:val="clear" w:pos="425"/>
                <w:tab w:val="decimal" w:pos="731"/>
              </w:tabs>
              <w:rPr>
                <w:rFonts w:eastAsia="Arial Unicode MS" w:cs="Arial"/>
                <w:sz w:val="18"/>
                <w:szCs w:val="24"/>
              </w:rPr>
            </w:pPr>
            <w:r>
              <w:rPr>
                <w:rFonts w:cs="Arial"/>
                <w:sz w:val="18"/>
              </w:rPr>
              <w:t>88</w:t>
            </w:r>
          </w:p>
        </w:tc>
        <w:tc>
          <w:tcPr>
            <w:tcW w:w="1203" w:type="dxa"/>
          </w:tcPr>
          <w:p>
            <w:pPr>
              <w:pStyle w:val="GesAbsatz"/>
              <w:tabs>
                <w:tab w:val="clear" w:pos="425"/>
                <w:tab w:val="decimal" w:pos="731"/>
              </w:tabs>
              <w:rPr>
                <w:rFonts w:eastAsia="Arial Unicode MS" w:cs="Arial"/>
                <w:sz w:val="18"/>
                <w:szCs w:val="24"/>
              </w:rPr>
            </w:pPr>
            <w:r>
              <w:rPr>
                <w:rFonts w:cs="Arial"/>
                <w:sz w:val="18"/>
              </w:rPr>
              <w:t>44</w:t>
            </w:r>
          </w:p>
        </w:tc>
      </w:tr>
      <w:tr>
        <w:tc>
          <w:tcPr>
            <w:tcW w:w="1396" w:type="dxa"/>
          </w:tcPr>
          <w:p>
            <w:pPr>
              <w:pStyle w:val="GesAbsatz"/>
              <w:rPr>
                <w:rFonts w:eastAsia="Arial Unicode MS" w:cs="Arial"/>
                <w:sz w:val="18"/>
                <w:szCs w:val="24"/>
              </w:rPr>
            </w:pPr>
            <w:r>
              <w:rPr>
                <w:rFonts w:cs="Arial"/>
                <w:sz w:val="18"/>
              </w:rPr>
              <w:t>Blei Pb</w:t>
            </w:r>
          </w:p>
        </w:tc>
        <w:tc>
          <w:tcPr>
            <w:tcW w:w="2076" w:type="dxa"/>
          </w:tcPr>
          <w:p>
            <w:pPr>
              <w:pStyle w:val="GesAbsatz"/>
              <w:tabs>
                <w:tab w:val="clear" w:pos="425"/>
                <w:tab w:val="decimal" w:pos="731"/>
              </w:tabs>
              <w:rPr>
                <w:rFonts w:eastAsia="Arial Unicode MS" w:cs="Arial"/>
                <w:sz w:val="18"/>
                <w:szCs w:val="24"/>
              </w:rPr>
            </w:pPr>
            <w:r>
              <w:rPr>
                <w:rFonts w:cs="Arial"/>
                <w:sz w:val="18"/>
              </w:rPr>
              <w:t>100</w:t>
            </w:r>
          </w:p>
        </w:tc>
        <w:tc>
          <w:tcPr>
            <w:tcW w:w="1560" w:type="dxa"/>
          </w:tcPr>
          <w:p>
            <w:pPr>
              <w:pStyle w:val="GesAbsatz"/>
              <w:tabs>
                <w:tab w:val="clear" w:pos="425"/>
                <w:tab w:val="decimal" w:pos="731"/>
              </w:tabs>
              <w:rPr>
                <w:rFonts w:eastAsia="Arial Unicode MS" w:cs="Arial"/>
                <w:sz w:val="18"/>
                <w:szCs w:val="24"/>
              </w:rPr>
            </w:pPr>
            <w:r>
              <w:rPr>
                <w:rFonts w:cs="Arial"/>
                <w:sz w:val="18"/>
              </w:rPr>
              <w:t>1.000</w:t>
            </w:r>
          </w:p>
        </w:tc>
        <w:tc>
          <w:tcPr>
            <w:tcW w:w="1134" w:type="dxa"/>
          </w:tcPr>
          <w:p>
            <w:pPr>
              <w:pStyle w:val="GesAbsatz"/>
              <w:tabs>
                <w:tab w:val="clear" w:pos="425"/>
                <w:tab w:val="decimal" w:pos="731"/>
              </w:tabs>
              <w:rPr>
                <w:rFonts w:eastAsia="Arial Unicode MS" w:cs="Arial"/>
                <w:sz w:val="18"/>
                <w:szCs w:val="24"/>
              </w:rPr>
            </w:pPr>
            <w:r>
              <w:rPr>
                <w:rFonts w:cs="Arial"/>
                <w:sz w:val="18"/>
              </w:rPr>
              <w:t>500</w:t>
            </w:r>
          </w:p>
        </w:tc>
        <w:tc>
          <w:tcPr>
            <w:tcW w:w="1275" w:type="dxa"/>
          </w:tcPr>
          <w:p>
            <w:pPr>
              <w:pStyle w:val="GesAbsatz"/>
              <w:tabs>
                <w:tab w:val="clear" w:pos="425"/>
                <w:tab w:val="decimal" w:pos="731"/>
              </w:tabs>
              <w:rPr>
                <w:rFonts w:eastAsia="Arial Unicode MS" w:cs="Arial"/>
                <w:sz w:val="18"/>
                <w:szCs w:val="24"/>
              </w:rPr>
            </w:pPr>
            <w:r>
              <w:rPr>
                <w:rFonts w:cs="Arial"/>
                <w:sz w:val="18"/>
              </w:rPr>
              <w:t>250</w:t>
            </w:r>
          </w:p>
        </w:tc>
        <w:tc>
          <w:tcPr>
            <w:tcW w:w="1134" w:type="dxa"/>
          </w:tcPr>
          <w:p>
            <w:pPr>
              <w:pStyle w:val="GesAbsatz"/>
              <w:tabs>
                <w:tab w:val="clear" w:pos="425"/>
                <w:tab w:val="decimal" w:pos="731"/>
              </w:tabs>
              <w:rPr>
                <w:rFonts w:eastAsia="Arial Unicode MS" w:cs="Arial"/>
                <w:sz w:val="18"/>
                <w:szCs w:val="24"/>
              </w:rPr>
            </w:pPr>
            <w:r>
              <w:rPr>
                <w:rFonts w:cs="Arial"/>
                <w:sz w:val="18"/>
              </w:rPr>
              <w:t>125</w:t>
            </w:r>
          </w:p>
        </w:tc>
        <w:tc>
          <w:tcPr>
            <w:tcW w:w="1203" w:type="dxa"/>
          </w:tcPr>
          <w:p>
            <w:pPr>
              <w:pStyle w:val="GesAbsatz"/>
              <w:tabs>
                <w:tab w:val="clear" w:pos="425"/>
                <w:tab w:val="decimal" w:pos="731"/>
              </w:tabs>
              <w:rPr>
                <w:rFonts w:eastAsia="Arial Unicode MS" w:cs="Arial"/>
                <w:sz w:val="18"/>
                <w:szCs w:val="24"/>
              </w:rPr>
            </w:pPr>
            <w:r>
              <w:rPr>
                <w:rFonts w:cs="Arial"/>
                <w:sz w:val="18"/>
              </w:rPr>
              <w:t>63</w:t>
            </w:r>
          </w:p>
        </w:tc>
      </w:tr>
      <w:tr>
        <w:tc>
          <w:tcPr>
            <w:tcW w:w="1396" w:type="dxa"/>
          </w:tcPr>
          <w:p>
            <w:pPr>
              <w:pStyle w:val="GesAbsatz"/>
              <w:rPr>
                <w:rFonts w:eastAsia="Arial Unicode MS" w:cs="Arial"/>
                <w:sz w:val="18"/>
                <w:szCs w:val="24"/>
              </w:rPr>
            </w:pPr>
            <w:r>
              <w:rPr>
                <w:rFonts w:cs="Arial"/>
                <w:sz w:val="18"/>
              </w:rPr>
              <w:t>Zink Zn</w:t>
            </w:r>
          </w:p>
        </w:tc>
        <w:tc>
          <w:tcPr>
            <w:tcW w:w="2076" w:type="dxa"/>
          </w:tcPr>
          <w:p>
            <w:pPr>
              <w:pStyle w:val="GesAbsatz"/>
              <w:tabs>
                <w:tab w:val="clear" w:pos="425"/>
                <w:tab w:val="decimal" w:pos="731"/>
              </w:tabs>
              <w:rPr>
                <w:rFonts w:eastAsia="Arial Unicode MS" w:cs="Arial"/>
                <w:sz w:val="18"/>
                <w:szCs w:val="24"/>
              </w:rPr>
            </w:pPr>
            <w:r>
              <w:rPr>
                <w:rFonts w:cs="Arial"/>
                <w:sz w:val="18"/>
              </w:rPr>
              <w:t>300</w:t>
            </w:r>
          </w:p>
        </w:tc>
        <w:tc>
          <w:tcPr>
            <w:tcW w:w="1560" w:type="dxa"/>
          </w:tcPr>
          <w:p>
            <w:pPr>
              <w:pStyle w:val="GesAbsatz"/>
              <w:tabs>
                <w:tab w:val="clear" w:pos="425"/>
                <w:tab w:val="decimal" w:pos="731"/>
              </w:tabs>
              <w:rPr>
                <w:rFonts w:eastAsia="Arial Unicode MS" w:cs="Arial"/>
                <w:sz w:val="18"/>
                <w:szCs w:val="24"/>
              </w:rPr>
            </w:pPr>
            <w:r>
              <w:rPr>
                <w:rFonts w:cs="Arial"/>
                <w:sz w:val="18"/>
              </w:rPr>
              <w:t>3.000</w:t>
            </w:r>
          </w:p>
        </w:tc>
        <w:tc>
          <w:tcPr>
            <w:tcW w:w="1134" w:type="dxa"/>
          </w:tcPr>
          <w:p>
            <w:pPr>
              <w:pStyle w:val="GesAbsatz"/>
              <w:tabs>
                <w:tab w:val="clear" w:pos="425"/>
                <w:tab w:val="decimal" w:pos="731"/>
              </w:tabs>
              <w:rPr>
                <w:rFonts w:eastAsia="Arial Unicode MS" w:cs="Arial"/>
                <w:sz w:val="18"/>
                <w:szCs w:val="24"/>
              </w:rPr>
            </w:pPr>
            <w:r>
              <w:rPr>
                <w:rFonts w:cs="Arial"/>
                <w:sz w:val="18"/>
              </w:rPr>
              <w:t>1.500</w:t>
            </w:r>
          </w:p>
        </w:tc>
        <w:tc>
          <w:tcPr>
            <w:tcW w:w="1275" w:type="dxa"/>
          </w:tcPr>
          <w:p>
            <w:pPr>
              <w:pStyle w:val="GesAbsatz"/>
              <w:tabs>
                <w:tab w:val="clear" w:pos="425"/>
                <w:tab w:val="decimal" w:pos="731"/>
              </w:tabs>
              <w:rPr>
                <w:rFonts w:eastAsia="Arial Unicode MS" w:cs="Arial"/>
                <w:sz w:val="18"/>
                <w:szCs w:val="24"/>
              </w:rPr>
            </w:pPr>
            <w:r>
              <w:rPr>
                <w:rFonts w:cs="Arial"/>
                <w:sz w:val="18"/>
              </w:rPr>
              <w:t>750</w:t>
            </w:r>
          </w:p>
        </w:tc>
        <w:tc>
          <w:tcPr>
            <w:tcW w:w="1134" w:type="dxa"/>
          </w:tcPr>
          <w:p>
            <w:pPr>
              <w:pStyle w:val="GesAbsatz"/>
              <w:tabs>
                <w:tab w:val="clear" w:pos="425"/>
                <w:tab w:val="decimal" w:pos="731"/>
              </w:tabs>
              <w:rPr>
                <w:rFonts w:eastAsia="Arial Unicode MS" w:cs="Arial"/>
                <w:sz w:val="18"/>
                <w:szCs w:val="24"/>
              </w:rPr>
            </w:pPr>
            <w:r>
              <w:rPr>
                <w:rFonts w:cs="Arial"/>
                <w:sz w:val="18"/>
              </w:rPr>
              <w:t>375</w:t>
            </w:r>
          </w:p>
        </w:tc>
        <w:tc>
          <w:tcPr>
            <w:tcW w:w="1203" w:type="dxa"/>
          </w:tcPr>
          <w:p>
            <w:pPr>
              <w:pStyle w:val="GesAbsatz"/>
              <w:tabs>
                <w:tab w:val="clear" w:pos="425"/>
                <w:tab w:val="decimal" w:pos="731"/>
              </w:tabs>
              <w:rPr>
                <w:rFonts w:eastAsia="Arial Unicode MS" w:cs="Arial"/>
                <w:sz w:val="18"/>
                <w:szCs w:val="24"/>
              </w:rPr>
            </w:pPr>
            <w:r>
              <w:rPr>
                <w:rFonts w:cs="Arial"/>
                <w:sz w:val="18"/>
              </w:rPr>
              <w:t>188</w:t>
            </w:r>
          </w:p>
        </w:tc>
      </w:tr>
    </w:tbl>
    <w:p>
      <w:pPr>
        <w:pStyle w:val="GesAbsatz"/>
        <w:rPr>
          <w:rFonts w:cs="Arial"/>
        </w:rPr>
      </w:pPr>
    </w:p>
    <w:p>
      <w:pPr>
        <w:pStyle w:val="GesAbsatz"/>
        <w:rPr>
          <w:rFonts w:eastAsia="Arial Unicode MS" w:cs="Arial"/>
          <w:szCs w:val="24"/>
        </w:rPr>
      </w:pPr>
      <w:r>
        <w:rPr>
          <w:rFonts w:cs="Arial"/>
        </w:rPr>
        <w:t>Die Ist-Situation des Schwermetalleintrags stellt sich für die vier Schwermetalle unterschiedlich dar. Allerdings erreichen bis auf die Kreise Coesfeld, Borken, Steinfurt und das Aggregat Warendorf/ Münster, in denen die maximal zulässige jährliche Fracht für Kupfer überschritten wird, alle anderen Kreise bzw. Aggregate Schwermetallfrachten von maximal nur etwa der Hälfte der zulässigen Werte und bedeuten somit keine akute Überschreitung.</w:t>
      </w:r>
    </w:p>
    <w:p>
      <w:pPr>
        <w:pStyle w:val="GesAbsatz"/>
        <w:rPr>
          <w:rFonts w:cs="Arial"/>
        </w:rPr>
      </w:pPr>
      <w:r>
        <w:rPr>
          <w:rFonts w:cs="Arial"/>
        </w:rPr>
        <w:t>Die relativ hohen Zink- und vor allem Kupfereinträge, die auf rund zwei Dritteln der Fläche etwa 25 % bis über die Hälfte der zulässigen jährlichen Schwermetallfracht betragen, stammen vorrangig aus Wirtschaftsdüngern. Gebiete mit starker Viehhaltung oder einem verhältnismäßig hohen Grünlandanteil an der landwirtschaftlichen Nutzfläche weisen bei diesen beiden Elementen tendenziell die höchsten Werte auf. Typische Ackerbauregionen im Südwesten Nordrhein-Westfalens werden weniger belastet. Nur in drei Gebieten kommen die Einträge hauptsächlich aus Klärschlamm (Aachener Raum, Oberbergischer Kreis, Ballungsgebiet Rhein-Ruhr-Wupper).</w:t>
      </w:r>
    </w:p>
    <w:p>
      <w:pPr>
        <w:pStyle w:val="GesAbsatz"/>
        <w:rPr>
          <w:rFonts w:cs="Arial"/>
        </w:rPr>
      </w:pPr>
      <w:r>
        <w:rPr>
          <w:rFonts w:cs="Arial"/>
        </w:rPr>
        <w:t>Insgesamt relativ gering sind die Bleieinträge. Geringe bis mittlere Einträge treten ausschließlich in Kreisen mit einem hohen Anfall von Klärschlamm oder Kompost (Ballungsraum Rhein-Ruhr-Wupper, Aachener Raum), manchmal auch in Kombination mit einem ungünstigen Acker-Grünland-Verhältnis auf (Kreis Olpe, Oberbergischer Kreis). Bei Cadmium heben sich ebenfalls vor allem die Kreise bzw. Aggregate ab, bei denen zu einer mittleren Wirtschaftsdüngermenge nennenswerte Einträge aus Klärschlamm und/oder Kompost hinzukommen (gleiche Kreise wie bei Blei). Mittlere Einträge sind aber auch in den Kreisen anzutreffen, in denen der Wirtschaftsdüngeranfall überwiegt.</w:t>
      </w:r>
    </w:p>
    <w:p>
      <w:pPr>
        <w:pStyle w:val="GesAbsatz"/>
        <w:rPr>
          <w:rFonts w:cs="Arial"/>
        </w:rPr>
      </w:pPr>
      <w:r>
        <w:rPr>
          <w:rFonts w:cs="Arial"/>
        </w:rPr>
        <w:t xml:space="preserve">Nennenswerte Einträge von Cadmium, Blei und Zink über Klärschlamm und Kompost sind hauptsächlich in den südlichen und südwestlichen Kreisen bzw. Aggregaten zu verzeichnen. Im Einzelfall können jedoch auch </w:t>
      </w:r>
      <w:r>
        <w:rPr>
          <w:rFonts w:cs="Arial"/>
        </w:rPr>
        <w:lastRenderedPageBreak/>
        <w:t>in anderen Gebieten bei weitgehender Ausschöpfung der Schwermetallgrenzwerte und der zulässigen Aufbringungsmengen nach der BioAbfV die Einträge an Cadmium, Blei und Zink über den Kompost relativ hoch sein.</w:t>
      </w:r>
    </w:p>
    <w:p>
      <w:pPr>
        <w:pStyle w:val="GesAbsatz"/>
        <w:rPr>
          <w:rFonts w:cs="Arial"/>
          <w:color w:val="auto"/>
        </w:rPr>
      </w:pPr>
      <w:r>
        <w:rPr>
          <w:rFonts w:cs="Arial"/>
          <w:noProof/>
        </w:rPr>
        <w:drawing>
          <wp:inline distT="0" distB="0" distL="0" distR="0">
            <wp:extent cx="6118860" cy="734568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8860" cy="7345680"/>
                    </a:xfrm>
                    <a:prstGeom prst="rect">
                      <a:avLst/>
                    </a:prstGeom>
                    <a:noFill/>
                    <a:ln>
                      <a:noFill/>
                    </a:ln>
                  </pic:spPr>
                </pic:pic>
              </a:graphicData>
            </a:graphic>
          </wp:inline>
        </w:drawing>
      </w:r>
    </w:p>
    <w:p>
      <w:pPr>
        <w:pStyle w:val="GesAbsatz"/>
        <w:rPr>
          <w:rFonts w:cs="Arial"/>
          <w:color w:val="auto"/>
        </w:rPr>
      </w:pPr>
      <w:r>
        <w:rPr>
          <w:rFonts w:cs="Arial"/>
          <w:noProof/>
        </w:rPr>
        <w:lastRenderedPageBreak/>
        <w:drawing>
          <wp:inline distT="0" distB="0" distL="0" distR="0">
            <wp:extent cx="6118860" cy="724662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8860" cy="7246620"/>
                    </a:xfrm>
                    <a:prstGeom prst="rect">
                      <a:avLst/>
                    </a:prstGeom>
                    <a:noFill/>
                    <a:ln>
                      <a:noFill/>
                    </a:ln>
                  </pic:spPr>
                </pic:pic>
              </a:graphicData>
            </a:graphic>
          </wp:inline>
        </w:drawing>
      </w:r>
    </w:p>
    <w:p>
      <w:pPr>
        <w:pStyle w:val="GesAbsatz"/>
        <w:rPr>
          <w:rFonts w:cs="Arial"/>
          <w:color w:val="auto"/>
        </w:rPr>
      </w:pPr>
      <w:r>
        <w:rPr>
          <w:rFonts w:cs="Arial"/>
          <w:noProof/>
        </w:rPr>
        <w:lastRenderedPageBreak/>
        <w:drawing>
          <wp:inline distT="0" distB="0" distL="0" distR="0">
            <wp:extent cx="6118860" cy="738378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860" cy="7383780"/>
                    </a:xfrm>
                    <a:prstGeom prst="rect">
                      <a:avLst/>
                    </a:prstGeom>
                    <a:noFill/>
                    <a:ln>
                      <a:noFill/>
                    </a:ln>
                  </pic:spPr>
                </pic:pic>
              </a:graphicData>
            </a:graphic>
          </wp:inline>
        </w:drawing>
      </w:r>
    </w:p>
    <w:p>
      <w:pPr>
        <w:pStyle w:val="GesAbsatz"/>
        <w:rPr>
          <w:rFonts w:cs="Arial"/>
        </w:rPr>
      </w:pPr>
      <w:r>
        <w:rPr>
          <w:rFonts w:cs="Arial"/>
          <w:noProof/>
        </w:rPr>
        <w:lastRenderedPageBreak/>
        <w:drawing>
          <wp:inline distT="0" distB="0" distL="0" distR="0">
            <wp:extent cx="6111240" cy="73152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1240" cy="7315200"/>
                    </a:xfrm>
                    <a:prstGeom prst="rect">
                      <a:avLst/>
                    </a:prstGeom>
                    <a:noFill/>
                    <a:ln>
                      <a:noFill/>
                    </a:ln>
                  </pic:spPr>
                </pic:pic>
              </a:graphicData>
            </a:graphic>
          </wp:inline>
        </w:drawing>
      </w:r>
    </w:p>
    <w:p>
      <w:pPr>
        <w:pStyle w:val="berschrift3"/>
        <w:jc w:val="left"/>
        <w:rPr>
          <w:rFonts w:eastAsia="Arial Unicode MS"/>
          <w:szCs w:val="24"/>
        </w:rPr>
      </w:pPr>
      <w:bookmarkStart w:id="15" w:name="_Toc45599503"/>
      <w:r>
        <w:t>4.3 Einschätzungen durch Fachkreise und Multiplikatoren</w:t>
      </w:r>
      <w:bookmarkEnd w:id="15"/>
    </w:p>
    <w:p>
      <w:pPr>
        <w:pStyle w:val="GesAbsatz"/>
        <w:rPr>
          <w:rFonts w:eastAsia="Arial Unicode MS" w:cs="Arial"/>
          <w:szCs w:val="24"/>
        </w:rPr>
      </w:pPr>
      <w:r>
        <w:rPr>
          <w:rFonts w:cs="Arial"/>
        </w:rPr>
        <w:t>Fachleute von maßgeblichen Verbänden und Institutionen aus pflanzenbaulichen und vegetationstechnischen Bereichen wurden um ihre Einschätzung zum derzeitigen und zukünftigen Komposteinsatz gebeten. Im folgenden Abschnitt sind die Antworten der 14 Befragten aus den verschiedenen Bereichen Landwirtschaft, Erwerbsgartenbau, Garten- und Landschaftsbau, Hobbygartenbau, Rekultivierung und Forstwirtschaft zusammengefasst (s. Tabelle 26 und 27). Es sei darauf hingewiesen, dass es sich hierbei auch um persönliche Einzelmeinungen bzw. Verbandsmeinungen handelt.</w:t>
      </w:r>
    </w:p>
    <w:p>
      <w:pPr>
        <w:pStyle w:val="berschrift3"/>
        <w:jc w:val="left"/>
        <w:rPr>
          <w:rFonts w:eastAsia="Arial Unicode MS"/>
          <w:szCs w:val="24"/>
        </w:rPr>
      </w:pPr>
      <w:bookmarkStart w:id="16" w:name="_Toc45599504"/>
      <w:r>
        <w:lastRenderedPageBreak/>
        <w:t>4.4 Beurteilung der Kompostqualitäten und Substitutionsmöglichkeiten</w:t>
      </w:r>
      <w:bookmarkEnd w:id="16"/>
    </w:p>
    <w:p>
      <w:pPr>
        <w:pStyle w:val="GesAbsatz"/>
        <w:rPr>
          <w:rFonts w:cs="Arial"/>
        </w:rPr>
      </w:pPr>
      <w:r>
        <w:rPr>
          <w:rFonts w:cs="Arial"/>
        </w:rPr>
        <w:t>Eine grundlegende Voraussetzung für eine erfolgreiche und nutzbringende Anwendung für Bio- und Grünkomposte ist es, die Anforderungen an die Kompostqualität aus den pflanzenbaulichen Bereichen, die über 95 % der potenziellen Marktbereiche stellen, zu erfüllen. Mit den vorliegenden Gütekriterien der Komposte und den jeweiligen Grenz- oder Richtwerten ist dies in der Regel gegeben.</w:t>
      </w:r>
    </w:p>
    <w:p>
      <w:pPr>
        <w:pStyle w:val="GesAbsatz"/>
        <w:rPr>
          <w:rFonts w:eastAsia="Arial Unicode MS" w:cs="Arial"/>
          <w:szCs w:val="24"/>
        </w:rPr>
      </w:pPr>
      <w:r>
        <w:rPr>
          <w:rFonts w:cs="Arial"/>
        </w:rPr>
        <w:t>Die in Nordrhein-Westfalen produzierten Komposte (Bio- und Grünkomposte) können im Durchschnitt als mittelnährstoffreiche Komposte bezeichnet werden (Tabelle 28). Bei den löslichen Nährstoffgehalten wurde im Mittel keine Überschreitung der Anforderungen für Substratkomposte festgestellt, jedoch verein- zelt bei den Maximalwerten für Stickstoff und Kalium.</w:t>
      </w:r>
    </w:p>
    <w:p>
      <w:pPr>
        <w:pStyle w:val="GesAbsatz"/>
        <w:rPr>
          <w:rFonts w:cs="Arial"/>
        </w:rPr>
      </w:pPr>
      <w:r>
        <w:rPr>
          <w:rFonts w:cs="Arial"/>
        </w:rPr>
        <w:t>Der durchschnittliche Salzgehalt ist relativ gering und die Komposte besitzen eine recht gute Pflanzenverträglichkeit. Nur bei 5 der befragten Anlagen wird die Pflanzenverträglichkeit bei einem Kompostanteil von 50 % nicht eingehalten. Der Fremdstoff- und Steinanteil ist ebenfalls gering. Der Gehalt an organischer Substanz liegt auf einem mittleren Niveau und erfüllt die Anforderungen.</w:t>
      </w:r>
    </w:p>
    <w:p>
      <w:pPr>
        <w:pStyle w:val="GesAbsatz"/>
        <w:rPr>
          <w:rFonts w:eastAsia="Arial Unicode MS" w:cs="Arial"/>
          <w:szCs w:val="24"/>
        </w:rPr>
      </w:pPr>
      <w:r>
        <w:rPr>
          <w:rFonts w:cs="Arial"/>
        </w:rPr>
        <w:t>Die Schwermetallgehalte der Komposte in Nordrhein-Westfalen können zum weitaus größten Teil als niedrig bezeichnet werden. Die Maximalgehalte liegen außer bei Nickel weit unterhalb der Richtwerte, so dass bezüglich der Schwermetallbelastung zur Zeit keine Probleme zu erwarten sind.</w:t>
      </w:r>
    </w:p>
    <w:p>
      <w:pPr>
        <w:pStyle w:val="GesAbsatz"/>
        <w:rPr>
          <w:rFonts w:cs="Arial"/>
        </w:rPr>
      </w:pPr>
      <w:r>
        <w:rPr>
          <w:rFonts w:cs="Arial"/>
        </w:rPr>
        <w:t>Derzeit entsprechen ca. 72 % der hergestellten Komposte der Kategorie mit den geringsten Schwermetallgrenzwerten nach BioAbfV § 4 Abs. 3 (erlaubt ist die Ausbringung von 30 Mg TS/ha in 3 Jahren, s. Abb. 9. Grenzwerte s. auch Tabelle 3). Weitere rd. 28 % der Komposte entsprechen der zweiten Kategorie der BioAbfV (erlaubt ist die Ausbringung von 20 Mg TS/ha in 3 Jahren) und nur weniger als 1 % der produzierten Komposte weisen höhere Schwermetallgehalte auf und dürfen nicht auf Flächen zur Nahrungsmittelproduktion eingesetzt werden.</w:t>
      </w:r>
    </w:p>
    <w:p>
      <w:pPr>
        <w:pStyle w:val="GesAbsatz"/>
        <w:rPr>
          <w:rFonts w:cs="Arial"/>
        </w:rPr>
      </w:pPr>
      <w:r>
        <w:rPr>
          <w:rFonts w:cs="Arial"/>
        </w:rPr>
        <w:t>Die Gütekriterien der Bundesgütegemeinschaft Kompost (RAL-GZ 251) werden hinsichtlich differenzierter Anforderungen an Komposte für verschiedene Einsatzzwecke ständig weiterentwickelt. Dies zeigt sich in der aktuellen Überarbeitung der Güte- und Prüfbestimmungen dahingehend, dass eine Erweiterung durch die Aufnahme der Produkte Substratkompost und Mulchkompost stattgefunden hat.</w:t>
      </w:r>
    </w:p>
    <w:p>
      <w:pPr>
        <w:pStyle w:val="GesAbsatz"/>
        <w:rPr>
          <w:rFonts w:cs="Arial"/>
        </w:rPr>
      </w:pPr>
      <w:r>
        <w:rPr>
          <w:rFonts w:cs="Arial"/>
        </w:rPr>
        <w:t>Nach Auskunft der Bundesgütegemeinschaft Kompost befanden sich im Januar 1999 in Nordrhein-Westfalen 8 Anlagen im Anerkennungsverfahren für Substratkomposte. Die Tendenz, Komposte als Substratkomposte zertifizieren zu lassen, ist steigend.</w:t>
      </w:r>
    </w:p>
    <w:p>
      <w:pPr>
        <w:pStyle w:val="GesAbsatz"/>
        <w:rPr>
          <w:rFonts w:cs="Arial"/>
          <w:b/>
          <w:bCs/>
        </w:rPr>
      </w:pPr>
      <w:r>
        <w:rPr>
          <w:rFonts w:cs="Arial"/>
          <w:b/>
          <w:bCs/>
        </w:rPr>
        <w:t>Substitutionsmöglichkeiten</w:t>
      </w:r>
    </w:p>
    <w:p>
      <w:pPr>
        <w:pStyle w:val="GesAbsatz"/>
        <w:rPr>
          <w:rFonts w:cs="Arial"/>
        </w:rPr>
      </w:pPr>
      <w:r>
        <w:rPr>
          <w:rFonts w:cs="Arial"/>
        </w:rPr>
        <w:t>Grundsätzlich ist in vielen pflanzenbaulichen Bereichen die Möglichkeit einer Substitution von herkömmlichen Düngemitteln und Bodenverbesserern durch Komposte von der Eignung her gegeben. Die Umsetzung in die Praxis wird jedoch durch unterschiedliche Faktoren beeinflusst. Im Folgenden wird auf die verschiedenen Substitute kurz eingegangen.</w:t>
      </w:r>
    </w:p>
    <w:p>
      <w:pPr>
        <w:pStyle w:val="GesAbsatz"/>
        <w:rPr>
          <w:rFonts w:cs="Arial"/>
          <w:b/>
          <w:bCs/>
        </w:rPr>
      </w:pPr>
      <w:r>
        <w:rPr>
          <w:rFonts w:cs="Arial"/>
          <w:b/>
          <w:bCs/>
        </w:rPr>
        <w:t>Wirtschaftsdünger</w:t>
      </w:r>
    </w:p>
    <w:p>
      <w:pPr>
        <w:pStyle w:val="GesAbsatz"/>
        <w:rPr>
          <w:rFonts w:cs="Arial"/>
        </w:rPr>
      </w:pPr>
      <w:r>
        <w:rPr>
          <w:rFonts w:cs="Arial"/>
        </w:rPr>
        <w:t>Wie der Phosphatanfall aus Wirtschaftsdüngern zeigt, wird auf ca. einem Drittel der Ackerfläche von Nordrhein-Westfalen (d.h. in allen nordwestlich gelegenen Kreisen) der durchschnittliche Pflanzenentzug allein durch die Nährstoffgaben mit Wirtschaftsdüngern um bis über die Hälfte übertroffen. Da für die Landwirte die Ausbringung der vorhandenen Wirtschaftsdünger Priorität hat und diese Dünger normalerweise nicht über weite Distanzen transportiert werden, ist eine Substitution durch Kompost besonders in viehstarken Regionen größtenteils gar nicht möglich und auch nicht sinnvoll. In Anbetracht der gegebenen Nährstoffversorgung der Böden und unter Berücksichtigung der guten fachlichen Praxis beim Düngen dürften hier keine weiteren P-Dünger ausgebracht werden. Die Situation kann hier höchstens über die Reduzierung der Tierzahlen entschärft werden.</w:t>
      </w:r>
    </w:p>
    <w:p>
      <w:pPr>
        <w:pStyle w:val="GesAbsatz"/>
        <w:rPr>
          <w:rFonts w:cs="Arial"/>
          <w:b/>
          <w:color w:val="auto"/>
        </w:rPr>
      </w:pPr>
      <w:r>
        <w:rPr>
          <w:rFonts w:cs="Arial"/>
          <w:b/>
          <w:color w:val="auto"/>
        </w:rPr>
        <w:br w:type="page"/>
      </w:r>
      <w:r>
        <w:rPr>
          <w:rFonts w:cs="Arial"/>
          <w:b/>
          <w:color w:val="auto"/>
        </w:rPr>
        <w:lastRenderedPageBreak/>
        <w:t>Abbildung 9:</w:t>
      </w:r>
    </w:p>
    <w:p>
      <w:pPr>
        <w:pStyle w:val="GesAbsatz"/>
      </w:pPr>
      <w:r>
        <w:object w:dxaOrig="8791" w:dyaOrig="4514">
          <v:shape id="_x0000_i1033" type="#_x0000_t75" style="width:440.15pt;height:225.4pt" o:ole="">
            <v:imagedata r:id="rId37" o:title=""/>
          </v:shape>
          <o:OLEObject Type="Embed" ProgID="PBrush" ShapeID="_x0000_i1033" DrawAspect="Content" ObjectID="_1698664225" r:id="rId38"/>
        </w:object>
      </w:r>
    </w:p>
    <w:p>
      <w:pPr>
        <w:pStyle w:val="GesAbsatz"/>
        <w:rPr>
          <w:rFonts w:eastAsia="Arial Unicode MS" w:cs="Arial"/>
          <w:szCs w:val="24"/>
        </w:rPr>
      </w:pPr>
    </w:p>
    <w:p>
      <w:pPr>
        <w:pStyle w:val="GesAbsatz"/>
        <w:rPr>
          <w:rFonts w:cs="Arial"/>
        </w:rPr>
      </w:pPr>
      <w:r>
        <w:rPr>
          <w:rFonts w:cs="Arial"/>
          <w:b/>
          <w:bCs/>
        </w:rPr>
        <w:t>Tabelle 26: Einschätzung des derzeitigen und zukünftigen Komposteinsatzes in verschiedenen pflanzenbaulichen und vegetationstechnischen Bereichen (Düngemittel- und Komposteinsatz, Akzeptanz)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2102"/>
        <w:gridCol w:w="1944"/>
        <w:gridCol w:w="2031"/>
        <w:gridCol w:w="1930"/>
      </w:tblGrid>
      <w:tr>
        <w:trPr>
          <w:tblHeader/>
        </w:trPr>
        <w:tc>
          <w:tcPr>
            <w:tcW w:w="1771" w:type="dxa"/>
          </w:tcPr>
          <w:p>
            <w:pPr>
              <w:pStyle w:val="GesAbsatz"/>
              <w:jc w:val="center"/>
              <w:rPr>
                <w:rFonts w:cs="Arial"/>
                <w:sz w:val="18"/>
              </w:rPr>
            </w:pPr>
            <w:r>
              <w:rPr>
                <w:rFonts w:cs="Arial"/>
                <w:b/>
                <w:bCs/>
                <w:sz w:val="18"/>
              </w:rPr>
              <w:t>Thema</w:t>
            </w:r>
          </w:p>
        </w:tc>
        <w:tc>
          <w:tcPr>
            <w:tcW w:w="6077" w:type="dxa"/>
            <w:gridSpan w:val="3"/>
          </w:tcPr>
          <w:p>
            <w:pPr>
              <w:pStyle w:val="GesAbsatz"/>
              <w:jc w:val="center"/>
              <w:rPr>
                <w:rFonts w:cs="Arial"/>
                <w:sz w:val="18"/>
              </w:rPr>
            </w:pPr>
            <w:r>
              <w:rPr>
                <w:rFonts w:cs="Arial"/>
                <w:b/>
                <w:bCs/>
                <w:sz w:val="18"/>
              </w:rPr>
              <w:t>Düngemittel- und Komposteinsatz</w:t>
            </w:r>
          </w:p>
        </w:tc>
        <w:tc>
          <w:tcPr>
            <w:tcW w:w="1930" w:type="dxa"/>
          </w:tcPr>
          <w:p>
            <w:pPr>
              <w:pStyle w:val="GesAbsatz"/>
              <w:jc w:val="center"/>
              <w:rPr>
                <w:rFonts w:cs="Arial"/>
                <w:sz w:val="18"/>
              </w:rPr>
            </w:pPr>
            <w:r>
              <w:rPr>
                <w:rFonts w:cs="Arial"/>
                <w:b/>
                <w:bCs/>
                <w:sz w:val="18"/>
              </w:rPr>
              <w:t>Akzeptanz</w:t>
            </w:r>
          </w:p>
        </w:tc>
      </w:tr>
      <w:tr>
        <w:trPr>
          <w:tblHeader/>
        </w:trPr>
        <w:tc>
          <w:tcPr>
            <w:tcW w:w="1771" w:type="dxa"/>
          </w:tcPr>
          <w:p>
            <w:pPr>
              <w:pStyle w:val="GesAbsatz"/>
              <w:rPr>
                <w:rFonts w:cs="Arial"/>
                <w:sz w:val="18"/>
              </w:rPr>
            </w:pPr>
          </w:p>
        </w:tc>
        <w:tc>
          <w:tcPr>
            <w:tcW w:w="2102" w:type="dxa"/>
          </w:tcPr>
          <w:p>
            <w:pPr>
              <w:pStyle w:val="GesAbsatz"/>
              <w:rPr>
                <w:rFonts w:cs="Arial"/>
                <w:sz w:val="18"/>
              </w:rPr>
            </w:pPr>
            <w:r>
              <w:rPr>
                <w:rFonts w:cs="Arial"/>
                <w:b/>
                <w:bCs/>
                <w:sz w:val="18"/>
              </w:rPr>
              <w:t>Welche Düngemittelarten und Bodenverbesserer werden von Ihren Mitgliedern eingesetzt?</w:t>
            </w:r>
          </w:p>
        </w:tc>
        <w:tc>
          <w:tcPr>
            <w:tcW w:w="3975" w:type="dxa"/>
            <w:gridSpan w:val="2"/>
          </w:tcPr>
          <w:p>
            <w:pPr>
              <w:pStyle w:val="GesAbsatz"/>
              <w:rPr>
                <w:rFonts w:cs="Arial"/>
                <w:sz w:val="18"/>
              </w:rPr>
            </w:pPr>
            <w:r>
              <w:rPr>
                <w:rFonts w:cs="Arial"/>
                <w:b/>
                <w:bCs/>
                <w:sz w:val="18"/>
              </w:rPr>
              <w:t>Wenn Kompost eingesetzt wird:</w:t>
            </w:r>
          </w:p>
        </w:tc>
        <w:tc>
          <w:tcPr>
            <w:tcW w:w="1930" w:type="dxa"/>
          </w:tcPr>
          <w:p>
            <w:pPr>
              <w:pStyle w:val="GesAbsatz"/>
              <w:rPr>
                <w:rFonts w:cs="Arial"/>
                <w:sz w:val="18"/>
              </w:rPr>
            </w:pPr>
            <w:r>
              <w:rPr>
                <w:rFonts w:cs="Arial"/>
                <w:b/>
                <w:bCs/>
                <w:sz w:val="18"/>
              </w:rPr>
              <w:t>Wie ist die Akzeptanz der Kompostverwendung im Vergleich zu anderen Düngemitteln?</w:t>
            </w:r>
          </w:p>
        </w:tc>
      </w:tr>
      <w:tr>
        <w:trPr>
          <w:tblHeader/>
        </w:trPr>
        <w:tc>
          <w:tcPr>
            <w:tcW w:w="1771" w:type="dxa"/>
          </w:tcPr>
          <w:p>
            <w:pPr>
              <w:pStyle w:val="GesAbsatz"/>
              <w:rPr>
                <w:rFonts w:cs="Arial"/>
                <w:sz w:val="18"/>
              </w:rPr>
            </w:pPr>
            <w:r>
              <w:rPr>
                <w:rFonts w:cs="Arial"/>
                <w:b/>
                <w:bCs/>
                <w:sz w:val="18"/>
              </w:rPr>
              <w:t>Fragestellung</w:t>
            </w:r>
          </w:p>
        </w:tc>
        <w:tc>
          <w:tcPr>
            <w:tcW w:w="2102" w:type="dxa"/>
          </w:tcPr>
          <w:p>
            <w:pPr>
              <w:pStyle w:val="GesAbsatz"/>
              <w:rPr>
                <w:rFonts w:cs="Arial"/>
                <w:sz w:val="18"/>
              </w:rPr>
            </w:pPr>
          </w:p>
        </w:tc>
        <w:tc>
          <w:tcPr>
            <w:tcW w:w="1944" w:type="dxa"/>
          </w:tcPr>
          <w:p>
            <w:pPr>
              <w:pStyle w:val="GesAbsatz"/>
              <w:rPr>
                <w:rFonts w:cs="Arial"/>
                <w:sz w:val="18"/>
              </w:rPr>
            </w:pPr>
            <w:r>
              <w:rPr>
                <w:rFonts w:cs="Arial"/>
                <w:b/>
                <w:bCs/>
                <w:sz w:val="18"/>
              </w:rPr>
              <w:t>Welche Kompostprodukte?</w:t>
            </w:r>
          </w:p>
        </w:tc>
        <w:tc>
          <w:tcPr>
            <w:tcW w:w="2031" w:type="dxa"/>
          </w:tcPr>
          <w:p>
            <w:pPr>
              <w:pStyle w:val="GesAbsatz"/>
              <w:rPr>
                <w:rFonts w:cs="Arial"/>
                <w:sz w:val="18"/>
              </w:rPr>
            </w:pPr>
            <w:r>
              <w:rPr>
                <w:rFonts w:cs="Arial"/>
                <w:b/>
                <w:bCs/>
                <w:sz w:val="18"/>
              </w:rPr>
              <w:t>In welchen Bereichen?</w:t>
            </w:r>
          </w:p>
        </w:tc>
        <w:tc>
          <w:tcPr>
            <w:tcW w:w="1930" w:type="dxa"/>
          </w:tcPr>
          <w:p>
            <w:pPr>
              <w:pStyle w:val="GesAbsatz"/>
              <w:rPr>
                <w:rFonts w:cs="Arial"/>
                <w:sz w:val="18"/>
              </w:rPr>
            </w:pPr>
          </w:p>
        </w:tc>
      </w:tr>
      <w:tr>
        <w:tc>
          <w:tcPr>
            <w:tcW w:w="1771" w:type="dxa"/>
          </w:tcPr>
          <w:p>
            <w:pPr>
              <w:pStyle w:val="GesAbsatz"/>
              <w:rPr>
                <w:rFonts w:eastAsia="Arial Unicode MS" w:cs="Arial"/>
                <w:sz w:val="18"/>
                <w:szCs w:val="24"/>
              </w:rPr>
            </w:pPr>
            <w:r>
              <w:rPr>
                <w:rFonts w:cs="Arial"/>
                <w:sz w:val="18"/>
              </w:rPr>
              <w:t>Landwirtschaft</w:t>
            </w:r>
          </w:p>
        </w:tc>
        <w:tc>
          <w:tcPr>
            <w:tcW w:w="2102" w:type="dxa"/>
          </w:tcPr>
          <w:p>
            <w:pPr>
              <w:pStyle w:val="GesAbsatz"/>
              <w:rPr>
                <w:rFonts w:eastAsia="Arial Unicode MS" w:cs="Arial"/>
                <w:sz w:val="18"/>
                <w:szCs w:val="24"/>
              </w:rPr>
            </w:pPr>
            <w:r>
              <w:rPr>
                <w:rFonts w:cs="Arial"/>
                <w:sz w:val="18"/>
              </w:rPr>
              <w:t>Mineraldünger, Wirtschaftsdünger (auch viel importierter Geflügeltrockenkot aus den Niederlanden), abgetragene Champignonsubstrate, Klärschlamm, Kompost</w:t>
            </w:r>
          </w:p>
        </w:tc>
        <w:tc>
          <w:tcPr>
            <w:tcW w:w="1944" w:type="dxa"/>
          </w:tcPr>
          <w:p>
            <w:pPr>
              <w:pStyle w:val="GesAbsatz"/>
              <w:rPr>
                <w:rFonts w:eastAsia="Arial Unicode MS" w:cs="Arial"/>
                <w:sz w:val="18"/>
                <w:szCs w:val="24"/>
              </w:rPr>
            </w:pPr>
            <w:r>
              <w:rPr>
                <w:rFonts w:cs="Arial"/>
                <w:sz w:val="18"/>
              </w:rPr>
              <w:t>Bio- und Grünabfallkomposte, wenn sie gütegesichert sind, sowohl Frisch- als auch Fertigkomposte</w:t>
            </w:r>
          </w:p>
        </w:tc>
        <w:tc>
          <w:tcPr>
            <w:tcW w:w="2031" w:type="dxa"/>
          </w:tcPr>
          <w:p>
            <w:pPr>
              <w:pStyle w:val="GesAbsatz"/>
              <w:rPr>
                <w:rFonts w:eastAsia="Arial Unicode MS" w:cs="Arial"/>
                <w:sz w:val="18"/>
                <w:szCs w:val="24"/>
              </w:rPr>
            </w:pPr>
            <w:r>
              <w:rPr>
                <w:rFonts w:cs="Arial"/>
                <w:sz w:val="18"/>
              </w:rPr>
              <w:t>alle Bereiche der Feldwirtschaft, Anhebung des Humusgehalts</w:t>
            </w:r>
          </w:p>
        </w:tc>
        <w:tc>
          <w:tcPr>
            <w:tcW w:w="1930" w:type="dxa"/>
          </w:tcPr>
          <w:p>
            <w:pPr>
              <w:pStyle w:val="GesAbsatz"/>
              <w:rPr>
                <w:rFonts w:eastAsia="Arial Unicode MS" w:cs="Arial"/>
                <w:sz w:val="18"/>
                <w:szCs w:val="24"/>
              </w:rPr>
            </w:pPr>
            <w:r>
              <w:rPr>
                <w:rFonts w:cs="Arial"/>
                <w:sz w:val="18"/>
              </w:rPr>
              <w:t>generell hat Kompost ein gutes Image (teils besser als Klärschlamm), die Bereitschaft, dafür zu zahlen, ist gering. Gegen Wirtschaftsdünger hat Kompost einen schweren Stand</w:t>
            </w:r>
          </w:p>
        </w:tc>
      </w:tr>
      <w:tr>
        <w:tc>
          <w:tcPr>
            <w:tcW w:w="1771" w:type="dxa"/>
          </w:tcPr>
          <w:p>
            <w:pPr>
              <w:pStyle w:val="GesAbsatz"/>
              <w:rPr>
                <w:rFonts w:eastAsia="Arial Unicode MS" w:cs="Arial"/>
                <w:sz w:val="18"/>
                <w:szCs w:val="24"/>
              </w:rPr>
            </w:pPr>
            <w:r>
              <w:rPr>
                <w:rFonts w:cs="Arial"/>
                <w:sz w:val="18"/>
              </w:rPr>
              <w:t>Erwerbsgartenbau</w:t>
            </w:r>
          </w:p>
        </w:tc>
        <w:tc>
          <w:tcPr>
            <w:tcW w:w="2102" w:type="dxa"/>
          </w:tcPr>
          <w:p>
            <w:pPr>
              <w:pStyle w:val="GesAbsatz"/>
              <w:rPr>
                <w:rFonts w:eastAsia="Arial Unicode MS" w:cs="Arial"/>
                <w:sz w:val="18"/>
                <w:szCs w:val="24"/>
              </w:rPr>
            </w:pPr>
            <w:r>
              <w:rPr>
                <w:rFonts w:cs="Arial"/>
                <w:sz w:val="18"/>
              </w:rPr>
              <w:t xml:space="preserve">Mineraldünger, eigener sowie zugekaufter Kompost </w:t>
            </w:r>
          </w:p>
        </w:tc>
        <w:tc>
          <w:tcPr>
            <w:tcW w:w="1944" w:type="dxa"/>
          </w:tcPr>
          <w:p>
            <w:pPr>
              <w:pStyle w:val="GesAbsatz"/>
              <w:rPr>
                <w:rFonts w:eastAsia="Arial Unicode MS" w:cs="Arial"/>
                <w:sz w:val="18"/>
                <w:szCs w:val="24"/>
              </w:rPr>
            </w:pPr>
            <w:r>
              <w:rPr>
                <w:rFonts w:cs="Arial"/>
                <w:sz w:val="18"/>
              </w:rPr>
              <w:t>Substratkompost, Grün- und Biokompost</w:t>
            </w:r>
          </w:p>
        </w:tc>
        <w:tc>
          <w:tcPr>
            <w:tcW w:w="2031" w:type="dxa"/>
          </w:tcPr>
          <w:p>
            <w:pPr>
              <w:pStyle w:val="GesAbsatz"/>
              <w:rPr>
                <w:rFonts w:eastAsia="Arial Unicode MS" w:cs="Arial"/>
                <w:sz w:val="18"/>
                <w:szCs w:val="24"/>
              </w:rPr>
            </w:pPr>
            <w:r>
              <w:rPr>
                <w:rFonts w:cs="Arial"/>
                <w:sz w:val="18"/>
              </w:rPr>
              <w:t>Jungpflanzenanzucht (v.a. Zierpflanzen), z.T. Gemüsebau, Baumschulen (Bodenkultur)</w:t>
            </w:r>
          </w:p>
        </w:tc>
        <w:tc>
          <w:tcPr>
            <w:tcW w:w="1930" w:type="dxa"/>
          </w:tcPr>
          <w:p>
            <w:pPr>
              <w:pStyle w:val="GesAbsatz"/>
              <w:rPr>
                <w:rFonts w:eastAsia="Arial Unicode MS" w:cs="Arial"/>
                <w:sz w:val="18"/>
                <w:szCs w:val="24"/>
              </w:rPr>
            </w:pPr>
            <w:r>
              <w:rPr>
                <w:rFonts w:cs="Arial"/>
                <w:sz w:val="18"/>
              </w:rPr>
              <w:t>Akzeptanz regelt sich fast ausschließlich über den Preis. Beim Einsatz im Gemüsebau ist man noch skeptisch (aufwendigere Aufbringung, Schadstoff-grenzwerte)</w:t>
            </w:r>
          </w:p>
        </w:tc>
      </w:tr>
      <w:tr>
        <w:tc>
          <w:tcPr>
            <w:tcW w:w="1771" w:type="dxa"/>
          </w:tcPr>
          <w:p>
            <w:pPr>
              <w:pStyle w:val="GesAbsatz"/>
              <w:rPr>
                <w:rFonts w:eastAsia="Arial Unicode MS" w:cs="Arial"/>
                <w:sz w:val="18"/>
                <w:szCs w:val="24"/>
              </w:rPr>
            </w:pPr>
            <w:r>
              <w:rPr>
                <w:rFonts w:cs="Arial"/>
                <w:sz w:val="18"/>
              </w:rPr>
              <w:t xml:space="preserve">Garten- und </w:t>
            </w:r>
            <w:r>
              <w:rPr>
                <w:rFonts w:cs="Arial"/>
                <w:sz w:val="18"/>
              </w:rPr>
              <w:br/>
              <w:t>Landschaftsbau</w:t>
            </w:r>
          </w:p>
        </w:tc>
        <w:tc>
          <w:tcPr>
            <w:tcW w:w="2102" w:type="dxa"/>
          </w:tcPr>
          <w:p>
            <w:pPr>
              <w:pStyle w:val="GesAbsatz"/>
              <w:rPr>
                <w:rFonts w:eastAsia="Arial Unicode MS" w:cs="Arial"/>
                <w:sz w:val="18"/>
                <w:szCs w:val="24"/>
              </w:rPr>
            </w:pPr>
            <w:r>
              <w:rPr>
                <w:rFonts w:cs="Arial"/>
                <w:sz w:val="18"/>
              </w:rPr>
              <w:t>Grünkompost aus eigener Herstellung, zugekaufter Kompost, wenn ausdrücklich in der Ausschreibung verlangt, für gezielten Einsatz Stickstoffdünger</w:t>
            </w:r>
          </w:p>
        </w:tc>
        <w:tc>
          <w:tcPr>
            <w:tcW w:w="1944" w:type="dxa"/>
          </w:tcPr>
          <w:p>
            <w:pPr>
              <w:pStyle w:val="GesAbsatz"/>
              <w:rPr>
                <w:rFonts w:eastAsia="Arial Unicode MS" w:cs="Arial"/>
                <w:sz w:val="18"/>
                <w:szCs w:val="24"/>
              </w:rPr>
            </w:pPr>
            <w:r>
              <w:rPr>
                <w:rFonts w:cs="Arial"/>
                <w:sz w:val="18"/>
              </w:rPr>
              <w:t>Mulchkompost (Grünkompost)</w:t>
            </w:r>
          </w:p>
        </w:tc>
        <w:tc>
          <w:tcPr>
            <w:tcW w:w="2031" w:type="dxa"/>
          </w:tcPr>
          <w:p>
            <w:pPr>
              <w:pStyle w:val="GesAbsatz"/>
              <w:rPr>
                <w:rFonts w:eastAsia="Arial Unicode MS" w:cs="Arial"/>
                <w:sz w:val="18"/>
                <w:szCs w:val="24"/>
              </w:rPr>
            </w:pPr>
            <w:r>
              <w:rPr>
                <w:rFonts w:cs="Arial"/>
                <w:sz w:val="18"/>
              </w:rPr>
              <w:t>Pflege der Garten- und Parkanlagen, Anlage neuer kommunaler Grün- und Erholungsflächen</w:t>
            </w:r>
          </w:p>
        </w:tc>
        <w:tc>
          <w:tcPr>
            <w:tcW w:w="1930" w:type="dxa"/>
          </w:tcPr>
          <w:p>
            <w:pPr>
              <w:pStyle w:val="GesAbsatz"/>
              <w:rPr>
                <w:rFonts w:eastAsia="Arial Unicode MS" w:cs="Arial"/>
                <w:sz w:val="18"/>
                <w:szCs w:val="24"/>
              </w:rPr>
            </w:pPr>
            <w:r>
              <w:rPr>
                <w:rFonts w:cs="Arial"/>
                <w:sz w:val="18"/>
              </w:rPr>
              <w:t>Akzeptanz des eigenen Kompostes ist sehr hoch, fremder Kompost wird selten gebraucht. In Gärten und Parks ist Unterbringung des eigenen mengenmäßig oft schon schwierig</w:t>
            </w:r>
          </w:p>
        </w:tc>
      </w:tr>
      <w:tr>
        <w:tc>
          <w:tcPr>
            <w:tcW w:w="1771" w:type="dxa"/>
          </w:tcPr>
          <w:p>
            <w:pPr>
              <w:pStyle w:val="GesAbsatz"/>
              <w:rPr>
                <w:rFonts w:eastAsia="Arial Unicode MS" w:cs="Arial"/>
                <w:sz w:val="18"/>
                <w:szCs w:val="24"/>
              </w:rPr>
            </w:pPr>
            <w:r>
              <w:rPr>
                <w:rFonts w:cs="Arial"/>
                <w:sz w:val="18"/>
              </w:rPr>
              <w:lastRenderedPageBreak/>
              <w:t>Hobbygartenbau</w:t>
            </w:r>
          </w:p>
        </w:tc>
        <w:tc>
          <w:tcPr>
            <w:tcW w:w="2102" w:type="dxa"/>
            <w:vAlign w:val="center"/>
          </w:tcPr>
          <w:p>
            <w:pPr>
              <w:pStyle w:val="GesAbsatz"/>
              <w:rPr>
                <w:rFonts w:eastAsia="Arial Unicode MS" w:cs="Arial"/>
                <w:sz w:val="18"/>
                <w:szCs w:val="24"/>
              </w:rPr>
            </w:pPr>
            <w:r>
              <w:rPr>
                <w:rFonts w:cs="Arial"/>
                <w:sz w:val="18"/>
              </w:rPr>
              <w:t>eigener Kompost, Mineraldünger oder organische Dünger (Rhizinusschrot, kompostierter Geflügelkot), Mist, auch zugekaufter Kompost</w:t>
            </w:r>
          </w:p>
        </w:tc>
        <w:tc>
          <w:tcPr>
            <w:tcW w:w="1944" w:type="dxa"/>
          </w:tcPr>
          <w:p>
            <w:pPr>
              <w:pStyle w:val="GesAbsatz"/>
              <w:rPr>
                <w:rFonts w:eastAsia="Arial Unicode MS" w:cs="Arial"/>
                <w:sz w:val="18"/>
                <w:szCs w:val="24"/>
              </w:rPr>
            </w:pPr>
            <w:r>
              <w:rPr>
                <w:rFonts w:cs="Arial"/>
                <w:sz w:val="18"/>
              </w:rPr>
              <w:t>am meisten Eigenkompost, dann Grün- und Biokompost, Mulch, Substratkompost</w:t>
            </w:r>
          </w:p>
        </w:tc>
        <w:tc>
          <w:tcPr>
            <w:tcW w:w="2031" w:type="dxa"/>
          </w:tcPr>
          <w:p>
            <w:pPr>
              <w:pStyle w:val="GesAbsatz"/>
              <w:rPr>
                <w:rFonts w:eastAsia="Arial Unicode MS" w:cs="Arial"/>
                <w:sz w:val="18"/>
                <w:szCs w:val="24"/>
              </w:rPr>
            </w:pPr>
            <w:r>
              <w:rPr>
                <w:rFonts w:cs="Arial"/>
                <w:sz w:val="18"/>
              </w:rPr>
              <w:t>in allen Bereichen</w:t>
            </w:r>
          </w:p>
        </w:tc>
        <w:tc>
          <w:tcPr>
            <w:tcW w:w="1930" w:type="dxa"/>
          </w:tcPr>
          <w:p>
            <w:pPr>
              <w:pStyle w:val="GesAbsatz"/>
              <w:rPr>
                <w:rFonts w:eastAsia="Arial Unicode MS" w:cs="Arial"/>
                <w:sz w:val="18"/>
                <w:szCs w:val="24"/>
              </w:rPr>
            </w:pPr>
            <w:r>
              <w:rPr>
                <w:rFonts w:cs="Arial"/>
                <w:sz w:val="18"/>
              </w:rPr>
              <w:t>Akzeptanz ist hier besonders groß, Idealismus und Aufgeschlossenheit gegenüber dem Gedanken der Kreislaufwirtschaft</w:t>
            </w:r>
          </w:p>
        </w:tc>
      </w:tr>
      <w:tr>
        <w:tc>
          <w:tcPr>
            <w:tcW w:w="1771" w:type="dxa"/>
          </w:tcPr>
          <w:p>
            <w:pPr>
              <w:pStyle w:val="GesAbsatz"/>
              <w:rPr>
                <w:rFonts w:eastAsia="Arial Unicode MS" w:cs="Arial"/>
                <w:sz w:val="18"/>
                <w:szCs w:val="24"/>
              </w:rPr>
            </w:pPr>
            <w:r>
              <w:rPr>
                <w:rFonts w:cs="Arial"/>
                <w:sz w:val="18"/>
              </w:rPr>
              <w:t>Rekultivierung</w:t>
            </w:r>
          </w:p>
        </w:tc>
        <w:tc>
          <w:tcPr>
            <w:tcW w:w="2102" w:type="dxa"/>
          </w:tcPr>
          <w:p>
            <w:pPr>
              <w:pStyle w:val="GesAbsatz"/>
              <w:rPr>
                <w:rFonts w:eastAsia="Arial Unicode MS" w:cs="Arial"/>
                <w:sz w:val="18"/>
                <w:szCs w:val="24"/>
              </w:rPr>
            </w:pPr>
            <w:r>
              <w:rPr>
                <w:rFonts w:cs="Arial"/>
                <w:sz w:val="18"/>
              </w:rPr>
              <w:t>Rinder- und Schweinegülle, Putenmist, Kompost (30 Mg/ha auf ca. 70 ha der Rheinbraun), Klärschlamm</w:t>
            </w:r>
          </w:p>
        </w:tc>
        <w:tc>
          <w:tcPr>
            <w:tcW w:w="1944" w:type="dxa"/>
          </w:tcPr>
          <w:p>
            <w:pPr>
              <w:pStyle w:val="GesAbsatz"/>
              <w:rPr>
                <w:rFonts w:eastAsia="Arial Unicode MS" w:cs="Arial"/>
                <w:sz w:val="18"/>
                <w:szCs w:val="24"/>
              </w:rPr>
            </w:pPr>
            <w:r>
              <w:rPr>
                <w:rFonts w:cs="Arial"/>
                <w:sz w:val="18"/>
              </w:rPr>
              <w:t>RAL-GZ- geprüfte Grünkomposte, Rottegrad IV-V</w:t>
            </w:r>
          </w:p>
        </w:tc>
        <w:tc>
          <w:tcPr>
            <w:tcW w:w="2031" w:type="dxa"/>
          </w:tcPr>
          <w:p>
            <w:pPr>
              <w:pStyle w:val="GesAbsatz"/>
              <w:rPr>
                <w:rFonts w:eastAsia="Arial Unicode MS" w:cs="Arial"/>
                <w:sz w:val="18"/>
                <w:szCs w:val="24"/>
              </w:rPr>
            </w:pPr>
            <w:r>
              <w:rPr>
                <w:rFonts w:cs="Arial"/>
                <w:sz w:val="18"/>
              </w:rPr>
              <w:t>Erosionsschutz, Bodenbelebung, Rekultivierung von Braunkohletagebaugebieten</w:t>
            </w:r>
          </w:p>
        </w:tc>
        <w:tc>
          <w:tcPr>
            <w:tcW w:w="1930" w:type="dxa"/>
          </w:tcPr>
          <w:p>
            <w:pPr>
              <w:pStyle w:val="GesAbsatz"/>
              <w:rPr>
                <w:rFonts w:eastAsia="Arial Unicode MS" w:cs="Arial"/>
                <w:sz w:val="18"/>
                <w:szCs w:val="24"/>
              </w:rPr>
            </w:pPr>
            <w:r>
              <w:rPr>
                <w:rFonts w:cs="Arial"/>
                <w:sz w:val="18"/>
              </w:rPr>
              <w:t xml:space="preserve">Akzeptanz von Kompost im Vergleich zu </w:t>
            </w:r>
            <w:r>
              <w:rPr>
                <w:rFonts w:cs="Arial"/>
                <w:sz w:val="18"/>
              </w:rPr>
              <w:br/>
              <w:t>Klärschlamm hoch, N-Gehalt im Kompost überbewertet, eher P-K-Grunddünger</w:t>
            </w:r>
          </w:p>
        </w:tc>
      </w:tr>
      <w:tr>
        <w:tc>
          <w:tcPr>
            <w:tcW w:w="1771" w:type="dxa"/>
          </w:tcPr>
          <w:p>
            <w:pPr>
              <w:pStyle w:val="GesAbsatz"/>
              <w:rPr>
                <w:rFonts w:eastAsia="Arial Unicode MS" w:cs="Arial"/>
                <w:sz w:val="18"/>
                <w:szCs w:val="24"/>
              </w:rPr>
            </w:pPr>
            <w:r>
              <w:rPr>
                <w:rFonts w:cs="Arial"/>
                <w:sz w:val="18"/>
              </w:rPr>
              <w:t>Forstwirtschaft</w:t>
            </w:r>
          </w:p>
        </w:tc>
        <w:tc>
          <w:tcPr>
            <w:tcW w:w="2102" w:type="dxa"/>
            <w:vAlign w:val="center"/>
          </w:tcPr>
          <w:p>
            <w:pPr>
              <w:pStyle w:val="GesAbsatz"/>
              <w:rPr>
                <w:rFonts w:eastAsia="Arial Unicode MS" w:cs="Arial"/>
                <w:sz w:val="18"/>
                <w:szCs w:val="24"/>
              </w:rPr>
            </w:pPr>
            <w:r>
              <w:rPr>
                <w:rFonts w:cs="Arial"/>
                <w:sz w:val="18"/>
              </w:rPr>
              <w:t>kein Düngemitteleinsatz erforderlich, Waldboden ist aus der Luft mit Nähr- und Schadstoffen schon stark belastet</w:t>
            </w:r>
          </w:p>
        </w:tc>
        <w:tc>
          <w:tcPr>
            <w:tcW w:w="1944" w:type="dxa"/>
          </w:tcPr>
          <w:p>
            <w:pPr>
              <w:pStyle w:val="GesAbsatz"/>
              <w:rPr>
                <w:rFonts w:eastAsia="Arial Unicode MS" w:cs="Arial"/>
                <w:sz w:val="18"/>
                <w:szCs w:val="24"/>
              </w:rPr>
            </w:pPr>
            <w:r>
              <w:rPr>
                <w:rFonts w:cs="Arial"/>
                <w:sz w:val="18"/>
              </w:rPr>
              <w:t>Kompost nur auf kleinen Versuchsflächen, technische Schwierigkeiten bei der Ausbringung</w:t>
            </w:r>
          </w:p>
        </w:tc>
        <w:tc>
          <w:tcPr>
            <w:tcW w:w="2031" w:type="dxa"/>
          </w:tcPr>
          <w:p>
            <w:pPr>
              <w:pStyle w:val="GesAbsatz"/>
              <w:rPr>
                <w:rFonts w:eastAsia="Arial Unicode MS" w:cs="Arial"/>
                <w:sz w:val="18"/>
                <w:szCs w:val="24"/>
              </w:rPr>
            </w:pPr>
          </w:p>
        </w:tc>
        <w:tc>
          <w:tcPr>
            <w:tcW w:w="1930" w:type="dxa"/>
          </w:tcPr>
          <w:p>
            <w:pPr>
              <w:pStyle w:val="GesAbsatz"/>
              <w:rPr>
                <w:rFonts w:eastAsia="Arial Unicode MS" w:cs="Arial"/>
                <w:sz w:val="18"/>
                <w:szCs w:val="24"/>
              </w:rPr>
            </w:pPr>
            <w:r>
              <w:rPr>
                <w:rFonts w:cs="Arial"/>
                <w:sz w:val="18"/>
              </w:rPr>
              <w:t>irrelevant</w:t>
            </w:r>
          </w:p>
        </w:tc>
      </w:tr>
    </w:tbl>
    <w:p>
      <w:pPr>
        <w:pStyle w:val="GesAbsatz"/>
        <w:rPr>
          <w:rFonts w:cs="Arial"/>
        </w:rPr>
      </w:pPr>
    </w:p>
    <w:p>
      <w:pPr>
        <w:pStyle w:val="GesAbsatz"/>
        <w:rPr>
          <w:rFonts w:cs="Arial"/>
        </w:rPr>
      </w:pPr>
      <w:r>
        <w:rPr>
          <w:rFonts w:cs="Arial"/>
          <w:b/>
          <w:bCs/>
        </w:rPr>
        <w:t>Tabelle 27: Einschätzung des derzeitigen und zukünftigen Komposteinsatzes in verschiedenen pflanzenbaulichen und vegetationstechnischen Bereichen (Konkurrenz, Potenzial und Bedingungen)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4"/>
        <w:gridCol w:w="2444"/>
        <w:gridCol w:w="2445"/>
        <w:gridCol w:w="2445"/>
      </w:tblGrid>
      <w:tr>
        <w:trPr>
          <w:tblHeader/>
        </w:trPr>
        <w:tc>
          <w:tcPr>
            <w:tcW w:w="2444" w:type="dxa"/>
          </w:tcPr>
          <w:p>
            <w:pPr>
              <w:pStyle w:val="GesAbsatz"/>
              <w:jc w:val="center"/>
              <w:rPr>
                <w:rFonts w:eastAsia="Arial Unicode MS" w:cs="Arial"/>
                <w:sz w:val="18"/>
                <w:szCs w:val="24"/>
              </w:rPr>
            </w:pPr>
            <w:r>
              <w:rPr>
                <w:rFonts w:cs="Arial"/>
                <w:b/>
                <w:bCs/>
                <w:sz w:val="18"/>
              </w:rPr>
              <w:t>Thema</w:t>
            </w:r>
          </w:p>
        </w:tc>
        <w:tc>
          <w:tcPr>
            <w:tcW w:w="2444" w:type="dxa"/>
          </w:tcPr>
          <w:p>
            <w:pPr>
              <w:pStyle w:val="GesAbsatz"/>
              <w:jc w:val="center"/>
              <w:rPr>
                <w:rFonts w:eastAsia="Arial Unicode MS" w:cs="Arial"/>
                <w:sz w:val="18"/>
                <w:szCs w:val="24"/>
              </w:rPr>
            </w:pPr>
            <w:r>
              <w:rPr>
                <w:rFonts w:cs="Arial"/>
                <w:b/>
                <w:bCs/>
                <w:sz w:val="18"/>
              </w:rPr>
              <w:t>Konkurrenz</w:t>
            </w:r>
          </w:p>
        </w:tc>
        <w:tc>
          <w:tcPr>
            <w:tcW w:w="2445" w:type="dxa"/>
          </w:tcPr>
          <w:p>
            <w:pPr>
              <w:pStyle w:val="GesAbsatz"/>
              <w:jc w:val="center"/>
              <w:rPr>
                <w:rFonts w:eastAsia="Arial Unicode MS" w:cs="Arial"/>
                <w:sz w:val="18"/>
                <w:szCs w:val="24"/>
              </w:rPr>
            </w:pPr>
            <w:r>
              <w:rPr>
                <w:rFonts w:cs="Arial"/>
                <w:b/>
                <w:bCs/>
                <w:sz w:val="18"/>
              </w:rPr>
              <w:t>Potenzial</w:t>
            </w:r>
          </w:p>
        </w:tc>
        <w:tc>
          <w:tcPr>
            <w:tcW w:w="2445" w:type="dxa"/>
          </w:tcPr>
          <w:p>
            <w:pPr>
              <w:pStyle w:val="GesAbsatz"/>
              <w:jc w:val="center"/>
              <w:rPr>
                <w:rFonts w:eastAsia="Arial Unicode MS" w:cs="Arial"/>
                <w:sz w:val="18"/>
                <w:szCs w:val="24"/>
              </w:rPr>
            </w:pPr>
            <w:r>
              <w:rPr>
                <w:rFonts w:cs="Arial"/>
                <w:b/>
                <w:bCs/>
                <w:sz w:val="18"/>
              </w:rPr>
              <w:t>Bedingungen</w:t>
            </w:r>
          </w:p>
        </w:tc>
      </w:tr>
      <w:tr>
        <w:trPr>
          <w:tblHeader/>
        </w:trPr>
        <w:tc>
          <w:tcPr>
            <w:tcW w:w="2444" w:type="dxa"/>
          </w:tcPr>
          <w:p>
            <w:pPr>
              <w:pStyle w:val="GesAbsatz"/>
              <w:rPr>
                <w:rFonts w:eastAsia="Arial Unicode MS" w:cs="Arial"/>
                <w:sz w:val="18"/>
                <w:szCs w:val="24"/>
              </w:rPr>
            </w:pPr>
            <w:r>
              <w:rPr>
                <w:rFonts w:cs="Arial"/>
                <w:b/>
                <w:bCs/>
                <w:sz w:val="18"/>
              </w:rPr>
              <w:t>Fragestellung</w:t>
            </w:r>
          </w:p>
        </w:tc>
        <w:tc>
          <w:tcPr>
            <w:tcW w:w="2444" w:type="dxa"/>
          </w:tcPr>
          <w:p>
            <w:pPr>
              <w:pStyle w:val="GesAbsatz"/>
              <w:rPr>
                <w:rFonts w:eastAsia="Arial Unicode MS" w:cs="Arial"/>
                <w:sz w:val="18"/>
                <w:szCs w:val="24"/>
              </w:rPr>
            </w:pPr>
            <w:r>
              <w:rPr>
                <w:rFonts w:cs="Arial"/>
                <w:b/>
                <w:bCs/>
                <w:sz w:val="18"/>
              </w:rPr>
              <w:t xml:space="preserve">Steht Kompost in </w:t>
            </w:r>
            <w:r>
              <w:rPr>
                <w:rFonts w:cs="Arial"/>
                <w:b/>
                <w:bCs/>
                <w:sz w:val="18"/>
              </w:rPr>
              <w:br/>
              <w:t>besonderer Konkurrenz zu Rinde/Torf/organ. Gewerbeabfällen?</w:t>
            </w:r>
          </w:p>
        </w:tc>
        <w:tc>
          <w:tcPr>
            <w:tcW w:w="2445" w:type="dxa"/>
          </w:tcPr>
          <w:p>
            <w:pPr>
              <w:pStyle w:val="GesAbsatz"/>
              <w:rPr>
                <w:rFonts w:eastAsia="Arial Unicode MS" w:cs="Arial"/>
                <w:sz w:val="18"/>
                <w:szCs w:val="24"/>
              </w:rPr>
            </w:pPr>
            <w:r>
              <w:rPr>
                <w:rFonts w:cs="Arial"/>
                <w:b/>
                <w:bCs/>
                <w:sz w:val="18"/>
              </w:rPr>
              <w:t xml:space="preserve">In welchen Bereichen </w:t>
            </w:r>
            <w:r>
              <w:rPr>
                <w:rFonts w:cs="Arial"/>
                <w:b/>
                <w:bCs/>
                <w:sz w:val="18"/>
              </w:rPr>
              <w:br/>
              <w:t>könnte in Zukunft mehr Kompost eingesetzt werden?</w:t>
            </w:r>
          </w:p>
        </w:tc>
        <w:tc>
          <w:tcPr>
            <w:tcW w:w="2445" w:type="dxa"/>
          </w:tcPr>
          <w:p>
            <w:pPr>
              <w:pStyle w:val="GesAbsatz"/>
              <w:rPr>
                <w:rFonts w:eastAsia="Arial Unicode MS" w:cs="Arial"/>
                <w:sz w:val="18"/>
                <w:szCs w:val="24"/>
              </w:rPr>
            </w:pPr>
            <w:r>
              <w:rPr>
                <w:rFonts w:cs="Arial"/>
                <w:b/>
                <w:bCs/>
                <w:sz w:val="18"/>
              </w:rPr>
              <w:t>Was müsste sich ändern, damit mehr Kompost eingesetzt wird?</w:t>
            </w:r>
          </w:p>
        </w:tc>
      </w:tr>
      <w:tr>
        <w:tc>
          <w:tcPr>
            <w:tcW w:w="2444" w:type="dxa"/>
          </w:tcPr>
          <w:p>
            <w:pPr>
              <w:pStyle w:val="GesAbsatz"/>
              <w:rPr>
                <w:rFonts w:eastAsia="Arial Unicode MS" w:cs="Arial"/>
                <w:sz w:val="18"/>
                <w:szCs w:val="24"/>
              </w:rPr>
            </w:pPr>
            <w:r>
              <w:rPr>
                <w:rFonts w:cs="Arial"/>
                <w:b/>
                <w:bCs/>
                <w:sz w:val="18"/>
              </w:rPr>
              <w:t>Landwirtschaft</w:t>
            </w:r>
          </w:p>
        </w:tc>
        <w:tc>
          <w:tcPr>
            <w:tcW w:w="2444" w:type="dxa"/>
          </w:tcPr>
          <w:p>
            <w:pPr>
              <w:pStyle w:val="GesAbsatz"/>
              <w:rPr>
                <w:rFonts w:eastAsia="Arial Unicode MS" w:cs="Arial"/>
                <w:sz w:val="18"/>
                <w:szCs w:val="24"/>
              </w:rPr>
            </w:pPr>
            <w:r>
              <w:rPr>
                <w:rFonts w:cs="Arial"/>
                <w:sz w:val="18"/>
              </w:rPr>
              <w:t>eine Konkurrenz von Komposten zu diesen Produkten wird nicht gesehen, organische Gewerbeabfälle werden nur ganz vereinzelt unverarbeitet aufs Feld gebracht</w:t>
            </w:r>
          </w:p>
        </w:tc>
        <w:tc>
          <w:tcPr>
            <w:tcW w:w="2445" w:type="dxa"/>
          </w:tcPr>
          <w:p>
            <w:pPr>
              <w:pStyle w:val="GesAbsatz"/>
              <w:rPr>
                <w:rFonts w:eastAsia="Arial Unicode MS" w:cs="Arial"/>
                <w:sz w:val="18"/>
                <w:szCs w:val="24"/>
              </w:rPr>
            </w:pPr>
            <w:r>
              <w:rPr>
                <w:rFonts w:cs="Arial"/>
                <w:sz w:val="18"/>
              </w:rPr>
              <w:t>in der Landwirtschaft bestehen große Einsatzpotenziale (v.a. in den östlichen Bundesländern mit viel Fläche)</w:t>
            </w:r>
          </w:p>
        </w:tc>
        <w:tc>
          <w:tcPr>
            <w:tcW w:w="2445" w:type="dxa"/>
          </w:tcPr>
          <w:p>
            <w:pPr>
              <w:pStyle w:val="GesAbsatz"/>
              <w:rPr>
                <w:rFonts w:eastAsia="Arial Unicode MS" w:cs="Arial"/>
                <w:sz w:val="18"/>
                <w:szCs w:val="24"/>
              </w:rPr>
            </w:pPr>
            <w:r>
              <w:rPr>
                <w:rFonts w:cs="Arial"/>
                <w:sz w:val="18"/>
              </w:rPr>
              <w:t>Zuzahlung, evtl. Schaffung eines Verwertungsfonds, weitere Qualitätsverbesserung, Produktdifferenzierung, Nutzen stärker im Bewußtsein der Anwender verankern, verlässliche gesetzliche Regelungen, die Politik ist gefordert</w:t>
            </w:r>
          </w:p>
        </w:tc>
      </w:tr>
      <w:tr>
        <w:tc>
          <w:tcPr>
            <w:tcW w:w="2444" w:type="dxa"/>
          </w:tcPr>
          <w:p>
            <w:pPr>
              <w:pStyle w:val="GesAbsatz"/>
              <w:rPr>
                <w:rFonts w:eastAsia="Arial Unicode MS" w:cs="Arial"/>
                <w:sz w:val="18"/>
                <w:szCs w:val="24"/>
              </w:rPr>
            </w:pPr>
            <w:r>
              <w:rPr>
                <w:rFonts w:cs="Arial"/>
                <w:b/>
                <w:bCs/>
                <w:sz w:val="18"/>
              </w:rPr>
              <w:t>Erwerbsgartenbau</w:t>
            </w:r>
          </w:p>
        </w:tc>
        <w:tc>
          <w:tcPr>
            <w:tcW w:w="2444" w:type="dxa"/>
          </w:tcPr>
          <w:p>
            <w:pPr>
              <w:pStyle w:val="GesAbsatz"/>
              <w:rPr>
                <w:rFonts w:eastAsia="Arial Unicode MS" w:cs="Arial"/>
                <w:sz w:val="18"/>
                <w:szCs w:val="24"/>
              </w:rPr>
            </w:pPr>
            <w:r>
              <w:rPr>
                <w:rFonts w:cs="Arial"/>
                <w:sz w:val="18"/>
              </w:rPr>
              <w:t>auch hier entscheidet der Preis, da sowohl Komposte als auch Mulchmaterialien häufig subventioniert werden</w:t>
            </w:r>
          </w:p>
        </w:tc>
        <w:tc>
          <w:tcPr>
            <w:tcW w:w="2445" w:type="dxa"/>
          </w:tcPr>
          <w:p>
            <w:pPr>
              <w:pStyle w:val="GesAbsatz"/>
              <w:rPr>
                <w:rFonts w:eastAsia="Arial Unicode MS" w:cs="Arial"/>
                <w:sz w:val="18"/>
                <w:szCs w:val="24"/>
              </w:rPr>
            </w:pPr>
            <w:r>
              <w:rPr>
                <w:rFonts w:cs="Arial"/>
                <w:sz w:val="18"/>
              </w:rPr>
              <w:t xml:space="preserve">im Substratbereich und in Baumschulen wird eine Steigerung des Einsatzes </w:t>
            </w:r>
            <w:r>
              <w:rPr>
                <w:rFonts w:cs="Arial"/>
                <w:sz w:val="18"/>
              </w:rPr>
              <w:br/>
              <w:t>für möglich gehalten</w:t>
            </w:r>
          </w:p>
        </w:tc>
        <w:tc>
          <w:tcPr>
            <w:tcW w:w="2445" w:type="dxa"/>
          </w:tcPr>
          <w:p>
            <w:pPr>
              <w:pStyle w:val="GesAbsatz"/>
              <w:rPr>
                <w:rFonts w:eastAsia="Arial Unicode MS" w:cs="Arial"/>
                <w:sz w:val="18"/>
                <w:szCs w:val="24"/>
              </w:rPr>
            </w:pPr>
            <w:r>
              <w:rPr>
                <w:rFonts w:cs="Arial"/>
                <w:sz w:val="18"/>
              </w:rPr>
              <w:t>größere Produktdifferenzierung mit klarer Definierung der Produkteigenschaften (spezifische Qualitäten), Kultursicherheit, nachgewiesener Nutzen, stärker im Bewusstsein der Anwender verankern</w:t>
            </w:r>
          </w:p>
        </w:tc>
      </w:tr>
      <w:tr>
        <w:tc>
          <w:tcPr>
            <w:tcW w:w="2444" w:type="dxa"/>
          </w:tcPr>
          <w:p>
            <w:pPr>
              <w:pStyle w:val="GesAbsatz"/>
              <w:rPr>
                <w:rFonts w:eastAsia="Arial Unicode MS" w:cs="Arial"/>
                <w:sz w:val="18"/>
                <w:szCs w:val="24"/>
              </w:rPr>
            </w:pPr>
            <w:r>
              <w:rPr>
                <w:rFonts w:cs="Arial"/>
                <w:b/>
                <w:bCs/>
                <w:sz w:val="18"/>
              </w:rPr>
              <w:t xml:space="preserve">Garten- und </w:t>
            </w:r>
            <w:r>
              <w:rPr>
                <w:rFonts w:cs="Arial"/>
                <w:b/>
                <w:bCs/>
                <w:sz w:val="18"/>
              </w:rPr>
              <w:br/>
              <w:t>Landschaftsbau</w:t>
            </w:r>
          </w:p>
        </w:tc>
        <w:tc>
          <w:tcPr>
            <w:tcW w:w="2444" w:type="dxa"/>
          </w:tcPr>
          <w:p>
            <w:pPr>
              <w:pStyle w:val="GesAbsatz"/>
              <w:rPr>
                <w:rFonts w:eastAsia="Arial Unicode MS" w:cs="Arial"/>
                <w:sz w:val="18"/>
                <w:szCs w:val="24"/>
              </w:rPr>
            </w:pPr>
            <w:r>
              <w:rPr>
                <w:rFonts w:cs="Arial"/>
                <w:sz w:val="18"/>
              </w:rPr>
              <w:t>nur nährstoffarme Komposte können z.B. mit Grünhäcksel konkurrieren, im Wege- und Spielplatzbau gibt es kaum Alternativen zu Rindenprodukten (mech. Anforderungen)</w:t>
            </w:r>
          </w:p>
        </w:tc>
        <w:tc>
          <w:tcPr>
            <w:tcW w:w="2445" w:type="dxa"/>
          </w:tcPr>
          <w:p>
            <w:pPr>
              <w:pStyle w:val="GesAbsatz"/>
              <w:rPr>
                <w:rFonts w:eastAsia="Arial Unicode MS" w:cs="Arial"/>
                <w:sz w:val="18"/>
                <w:szCs w:val="24"/>
              </w:rPr>
            </w:pPr>
            <w:r>
              <w:rPr>
                <w:rFonts w:cs="Arial"/>
                <w:sz w:val="18"/>
              </w:rPr>
              <w:t>im Garten- und Landschaftsbau werden noch Entwicklungsmöglichkeiten gesehen, aber nicht im Bereich öffentliches Grün</w:t>
            </w:r>
          </w:p>
        </w:tc>
        <w:tc>
          <w:tcPr>
            <w:tcW w:w="2445" w:type="dxa"/>
          </w:tcPr>
          <w:p>
            <w:pPr>
              <w:pStyle w:val="GesAbsatz"/>
              <w:rPr>
                <w:rFonts w:eastAsia="Arial Unicode MS" w:cs="Arial"/>
                <w:sz w:val="18"/>
                <w:szCs w:val="24"/>
              </w:rPr>
            </w:pPr>
            <w:r>
              <w:rPr>
                <w:rFonts w:cs="Arial"/>
                <w:sz w:val="18"/>
              </w:rPr>
              <w:t>weitere Qualitätsverbesserung, Fremdkompost wird auch aus Kostengründen selten eingesetzt</w:t>
            </w:r>
          </w:p>
        </w:tc>
      </w:tr>
      <w:tr>
        <w:tc>
          <w:tcPr>
            <w:tcW w:w="2444" w:type="dxa"/>
          </w:tcPr>
          <w:p>
            <w:pPr>
              <w:pStyle w:val="GesAbsatz"/>
              <w:rPr>
                <w:rFonts w:eastAsia="Arial Unicode MS" w:cs="Arial"/>
                <w:sz w:val="18"/>
                <w:szCs w:val="24"/>
              </w:rPr>
            </w:pPr>
            <w:r>
              <w:rPr>
                <w:rFonts w:cs="Arial"/>
                <w:b/>
                <w:bCs/>
                <w:sz w:val="18"/>
              </w:rPr>
              <w:lastRenderedPageBreak/>
              <w:t>Hobbygartenbau</w:t>
            </w:r>
          </w:p>
        </w:tc>
        <w:tc>
          <w:tcPr>
            <w:tcW w:w="2444" w:type="dxa"/>
          </w:tcPr>
          <w:p>
            <w:pPr>
              <w:pStyle w:val="GesAbsatz"/>
              <w:rPr>
                <w:rFonts w:eastAsia="Arial Unicode MS" w:cs="Arial"/>
                <w:sz w:val="18"/>
                <w:szCs w:val="24"/>
              </w:rPr>
            </w:pPr>
            <w:r>
              <w:rPr>
                <w:rFonts w:cs="Arial"/>
                <w:sz w:val="18"/>
              </w:rPr>
              <w:t>im Grunde keine Konkurrenz, Rinderprodukte spielen eine geringere Rolle, Torfprodukte werden leider noch viel zu häufig eingesetzt</w:t>
            </w:r>
          </w:p>
        </w:tc>
        <w:tc>
          <w:tcPr>
            <w:tcW w:w="2445" w:type="dxa"/>
          </w:tcPr>
          <w:p>
            <w:pPr>
              <w:pStyle w:val="GesAbsatz"/>
              <w:rPr>
                <w:rFonts w:eastAsia="Arial Unicode MS" w:cs="Arial"/>
                <w:sz w:val="18"/>
                <w:szCs w:val="24"/>
              </w:rPr>
            </w:pPr>
            <w:r>
              <w:rPr>
                <w:rFonts w:cs="Arial"/>
                <w:sz w:val="18"/>
              </w:rPr>
              <w:t>im Klein- und Hausgartenbereich könnte vielfach wegen Überdüngung der Einsatz von jeglichen Düngemitteln unterbleiben</w:t>
            </w:r>
          </w:p>
        </w:tc>
        <w:tc>
          <w:tcPr>
            <w:tcW w:w="2445" w:type="dxa"/>
          </w:tcPr>
          <w:p>
            <w:pPr>
              <w:pStyle w:val="GesAbsatz"/>
              <w:rPr>
                <w:rFonts w:eastAsia="Arial Unicode MS" w:cs="Arial"/>
                <w:sz w:val="18"/>
                <w:szCs w:val="24"/>
              </w:rPr>
            </w:pPr>
            <w:r>
              <w:rPr>
                <w:rFonts w:cs="Arial"/>
                <w:sz w:val="18"/>
              </w:rPr>
              <w:t>weitere Qualitätsverbesserung, evtl. bei größerer Produktdifferenzierung mit klarer Definierung der Produkteigenschaften noch Möglichkeiten</w:t>
            </w:r>
          </w:p>
        </w:tc>
      </w:tr>
      <w:tr>
        <w:tc>
          <w:tcPr>
            <w:tcW w:w="2444" w:type="dxa"/>
          </w:tcPr>
          <w:p>
            <w:pPr>
              <w:pStyle w:val="GesAbsatz"/>
              <w:rPr>
                <w:rFonts w:eastAsia="Arial Unicode MS" w:cs="Arial"/>
                <w:sz w:val="18"/>
                <w:szCs w:val="24"/>
              </w:rPr>
            </w:pPr>
            <w:r>
              <w:rPr>
                <w:rFonts w:cs="Arial"/>
                <w:b/>
                <w:bCs/>
                <w:sz w:val="18"/>
              </w:rPr>
              <w:t>Rekultivierung</w:t>
            </w:r>
          </w:p>
        </w:tc>
        <w:tc>
          <w:tcPr>
            <w:tcW w:w="2444" w:type="dxa"/>
          </w:tcPr>
          <w:p>
            <w:pPr>
              <w:pStyle w:val="GesAbsatz"/>
              <w:rPr>
                <w:rFonts w:eastAsia="Arial Unicode MS" w:cs="Arial"/>
                <w:sz w:val="18"/>
                <w:szCs w:val="24"/>
              </w:rPr>
            </w:pPr>
            <w:r>
              <w:rPr>
                <w:rFonts w:cs="Arial"/>
                <w:sz w:val="18"/>
              </w:rPr>
              <w:t>für Kompost keine Konkurrenz in diesem Verwertungsbereich</w:t>
            </w:r>
          </w:p>
        </w:tc>
        <w:tc>
          <w:tcPr>
            <w:tcW w:w="2445" w:type="dxa"/>
          </w:tcPr>
          <w:p>
            <w:pPr>
              <w:pStyle w:val="GesAbsatz"/>
              <w:rPr>
                <w:rFonts w:eastAsia="Arial Unicode MS" w:cs="Arial"/>
                <w:sz w:val="18"/>
                <w:szCs w:val="24"/>
              </w:rPr>
            </w:pPr>
            <w:r>
              <w:rPr>
                <w:rFonts w:cs="Arial"/>
                <w:sz w:val="18"/>
              </w:rPr>
              <w:t>generell hohes Potenzial in diesem Bereich, z.B. auf ehemaligen Rekultivierungsflächen der Rhein-braun (ca. 6.000 ha), auf jetzigem Abbaugebiet (ca. 2.500 ha)</w:t>
            </w:r>
          </w:p>
        </w:tc>
        <w:tc>
          <w:tcPr>
            <w:tcW w:w="2445" w:type="dxa"/>
          </w:tcPr>
          <w:p>
            <w:pPr>
              <w:pStyle w:val="GesAbsatz"/>
              <w:rPr>
                <w:rFonts w:eastAsia="Arial Unicode MS" w:cs="Arial"/>
                <w:sz w:val="18"/>
                <w:szCs w:val="24"/>
              </w:rPr>
            </w:pPr>
            <w:r>
              <w:rPr>
                <w:rFonts w:cs="Arial"/>
                <w:sz w:val="18"/>
              </w:rPr>
              <w:t>es muss mehr Kompost guter Qualität zur Verfügung stehen, eindeutige gesetzliche Regelungen</w:t>
            </w:r>
          </w:p>
        </w:tc>
      </w:tr>
      <w:tr>
        <w:tc>
          <w:tcPr>
            <w:tcW w:w="2444" w:type="dxa"/>
          </w:tcPr>
          <w:p>
            <w:pPr>
              <w:pStyle w:val="GesAbsatz"/>
              <w:rPr>
                <w:rFonts w:eastAsia="Arial Unicode MS" w:cs="Arial"/>
                <w:sz w:val="18"/>
                <w:szCs w:val="24"/>
              </w:rPr>
            </w:pPr>
            <w:r>
              <w:rPr>
                <w:rFonts w:cs="Arial"/>
                <w:b/>
                <w:bCs/>
                <w:sz w:val="18"/>
              </w:rPr>
              <w:t>Forstwirtschaft</w:t>
            </w:r>
          </w:p>
        </w:tc>
        <w:tc>
          <w:tcPr>
            <w:tcW w:w="2444" w:type="dxa"/>
          </w:tcPr>
          <w:p>
            <w:pPr>
              <w:pStyle w:val="GesAbsatz"/>
              <w:rPr>
                <w:rFonts w:eastAsia="Arial Unicode MS" w:cs="Arial"/>
                <w:sz w:val="18"/>
                <w:szCs w:val="24"/>
              </w:rPr>
            </w:pPr>
            <w:r>
              <w:rPr>
                <w:rFonts w:cs="Arial"/>
                <w:sz w:val="18"/>
              </w:rPr>
              <w:t>irrelevant</w:t>
            </w:r>
          </w:p>
        </w:tc>
        <w:tc>
          <w:tcPr>
            <w:tcW w:w="2445" w:type="dxa"/>
          </w:tcPr>
          <w:p>
            <w:pPr>
              <w:pStyle w:val="GesAbsatz"/>
              <w:rPr>
                <w:rFonts w:eastAsia="Arial Unicode MS" w:cs="Arial"/>
                <w:sz w:val="18"/>
                <w:szCs w:val="24"/>
              </w:rPr>
            </w:pPr>
            <w:r>
              <w:rPr>
                <w:rFonts w:cs="Arial"/>
                <w:sz w:val="18"/>
              </w:rPr>
              <w:t>auch in Zukunft werden keine Einsatzmöglichkeiten gesehen</w:t>
            </w:r>
          </w:p>
        </w:tc>
        <w:tc>
          <w:tcPr>
            <w:tcW w:w="2445" w:type="dxa"/>
          </w:tcPr>
          <w:p>
            <w:pPr>
              <w:pStyle w:val="GesAbsatz"/>
              <w:rPr>
                <w:rFonts w:eastAsia="Arial Unicode MS" w:cs="Arial"/>
                <w:sz w:val="18"/>
                <w:szCs w:val="24"/>
              </w:rPr>
            </w:pPr>
          </w:p>
        </w:tc>
      </w:tr>
    </w:tbl>
    <w:p>
      <w:pPr>
        <w:pStyle w:val="GesAbsatz"/>
        <w:rPr>
          <w:rFonts w:eastAsia="Arial Unicode MS" w:cs="Arial"/>
        </w:rPr>
      </w:pPr>
    </w:p>
    <w:p>
      <w:pPr>
        <w:pStyle w:val="GesAbsatz"/>
        <w:rPr>
          <w:rFonts w:cs="Arial"/>
          <w:b/>
          <w:bCs/>
        </w:rPr>
      </w:pPr>
      <w:r>
        <w:rPr>
          <w:rFonts w:cs="Arial"/>
          <w:b/>
          <w:bCs/>
        </w:rPr>
        <w:t>Tabelle 28: Qualitätsparameter der in Nordrhein-Westfalen produzierten Komposte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3"/>
        <w:gridCol w:w="1619"/>
        <w:gridCol w:w="1785"/>
        <w:gridCol w:w="1421"/>
        <w:gridCol w:w="1395"/>
        <w:gridCol w:w="1405"/>
      </w:tblGrid>
      <w:tr>
        <w:tc>
          <w:tcPr>
            <w:tcW w:w="2153" w:type="dxa"/>
          </w:tcPr>
          <w:p>
            <w:pPr>
              <w:pStyle w:val="GesAbsatz"/>
              <w:jc w:val="center"/>
              <w:rPr>
                <w:rFonts w:eastAsia="Arial Unicode MS" w:cs="Arial"/>
                <w:sz w:val="18"/>
                <w:szCs w:val="24"/>
              </w:rPr>
            </w:pPr>
            <w:r>
              <w:rPr>
                <w:rFonts w:cs="Arial"/>
                <w:b/>
                <w:bCs/>
                <w:sz w:val="18"/>
              </w:rPr>
              <w:t>Parameter</w:t>
            </w:r>
          </w:p>
        </w:tc>
        <w:tc>
          <w:tcPr>
            <w:tcW w:w="1619" w:type="dxa"/>
          </w:tcPr>
          <w:p>
            <w:pPr>
              <w:pStyle w:val="GesAbsatz"/>
              <w:jc w:val="center"/>
              <w:rPr>
                <w:rFonts w:eastAsia="Arial Unicode MS" w:cs="Arial"/>
                <w:sz w:val="18"/>
                <w:szCs w:val="24"/>
              </w:rPr>
            </w:pPr>
            <w:r>
              <w:rPr>
                <w:rFonts w:cs="Arial"/>
                <w:b/>
                <w:bCs/>
                <w:sz w:val="18"/>
              </w:rPr>
              <w:t>Anforderungen RAL-GZ 251 für Fertigkomposte</w:t>
            </w:r>
          </w:p>
        </w:tc>
        <w:tc>
          <w:tcPr>
            <w:tcW w:w="1785" w:type="dxa"/>
          </w:tcPr>
          <w:p>
            <w:pPr>
              <w:pStyle w:val="GesAbsatz"/>
              <w:jc w:val="center"/>
              <w:rPr>
                <w:rFonts w:eastAsia="Arial Unicode MS" w:cs="Arial"/>
                <w:sz w:val="18"/>
                <w:szCs w:val="24"/>
              </w:rPr>
            </w:pPr>
            <w:r>
              <w:rPr>
                <w:rFonts w:cs="Arial"/>
                <w:b/>
                <w:bCs/>
                <w:sz w:val="18"/>
              </w:rPr>
              <w:t>Anforderungen RAL-GZ 251 für Substratkomposte</w:t>
            </w:r>
            <w:r>
              <w:rPr>
                <w:rFonts w:cs="Arial"/>
                <w:b/>
                <w:bCs/>
                <w:sz w:val="18"/>
                <w:vertAlign w:val="superscript"/>
              </w:rPr>
              <w:t xml:space="preserve">2 </w:t>
            </w:r>
            <w:r>
              <w:rPr>
                <w:rFonts w:cs="Arial"/>
                <w:b/>
                <w:bCs/>
                <w:sz w:val="18"/>
              </w:rPr>
              <w:t>Typ 1/Typ 2</w:t>
            </w:r>
            <w:r>
              <w:rPr>
                <w:rFonts w:cs="Arial"/>
                <w:b/>
                <w:bCs/>
                <w:sz w:val="18"/>
                <w:vertAlign w:val="superscript"/>
              </w:rPr>
              <w:t>3</w:t>
            </w:r>
          </w:p>
        </w:tc>
        <w:tc>
          <w:tcPr>
            <w:tcW w:w="1421" w:type="dxa"/>
          </w:tcPr>
          <w:p>
            <w:pPr>
              <w:pStyle w:val="GesAbsatz"/>
              <w:jc w:val="center"/>
              <w:rPr>
                <w:rFonts w:eastAsia="Arial Unicode MS" w:cs="Arial"/>
                <w:sz w:val="18"/>
                <w:szCs w:val="24"/>
              </w:rPr>
            </w:pPr>
            <w:r>
              <w:rPr>
                <w:rFonts w:cs="Arial"/>
                <w:b/>
                <w:bCs/>
                <w:sz w:val="18"/>
              </w:rPr>
              <w:t>Mittelwert</w:t>
            </w:r>
            <w:r>
              <w:rPr>
                <w:rFonts w:cs="Arial"/>
                <w:b/>
                <w:bCs/>
                <w:sz w:val="18"/>
                <w:vertAlign w:val="superscript"/>
              </w:rPr>
              <w:t>1</w:t>
            </w:r>
          </w:p>
        </w:tc>
        <w:tc>
          <w:tcPr>
            <w:tcW w:w="1395" w:type="dxa"/>
          </w:tcPr>
          <w:p>
            <w:pPr>
              <w:pStyle w:val="GesAbsatz"/>
              <w:jc w:val="center"/>
              <w:rPr>
                <w:rFonts w:eastAsia="Arial Unicode MS" w:cs="Arial"/>
                <w:sz w:val="18"/>
                <w:szCs w:val="24"/>
              </w:rPr>
            </w:pPr>
            <w:r>
              <w:rPr>
                <w:rFonts w:cs="Arial"/>
                <w:b/>
                <w:bCs/>
                <w:sz w:val="18"/>
              </w:rPr>
              <w:t>Min.</w:t>
            </w:r>
            <w:r>
              <w:rPr>
                <w:rFonts w:cs="Arial"/>
                <w:b/>
                <w:bCs/>
                <w:sz w:val="18"/>
                <w:vertAlign w:val="superscript"/>
              </w:rPr>
              <w:t>1</w:t>
            </w:r>
          </w:p>
        </w:tc>
        <w:tc>
          <w:tcPr>
            <w:tcW w:w="1405" w:type="dxa"/>
          </w:tcPr>
          <w:p>
            <w:pPr>
              <w:pStyle w:val="GesAbsatz"/>
              <w:jc w:val="center"/>
              <w:rPr>
                <w:rFonts w:eastAsia="Arial Unicode MS" w:cs="Arial"/>
                <w:sz w:val="18"/>
                <w:szCs w:val="24"/>
              </w:rPr>
            </w:pPr>
            <w:r>
              <w:rPr>
                <w:rFonts w:cs="Arial"/>
                <w:b/>
                <w:bCs/>
                <w:sz w:val="18"/>
              </w:rPr>
              <w:t>Max.</w:t>
            </w:r>
            <w:r>
              <w:rPr>
                <w:rFonts w:cs="Arial"/>
                <w:b/>
                <w:bCs/>
                <w:sz w:val="18"/>
                <w:vertAlign w:val="superscript"/>
              </w:rPr>
              <w:t>1</w:t>
            </w:r>
          </w:p>
        </w:tc>
      </w:tr>
      <w:tr>
        <w:tc>
          <w:tcPr>
            <w:tcW w:w="2153" w:type="dxa"/>
            <w:vAlign w:val="center"/>
          </w:tcPr>
          <w:p>
            <w:pPr>
              <w:pStyle w:val="GesAbsatz"/>
              <w:rPr>
                <w:rFonts w:eastAsia="Arial Unicode MS" w:cs="Arial"/>
                <w:sz w:val="18"/>
                <w:szCs w:val="24"/>
              </w:rPr>
            </w:pPr>
            <w:r>
              <w:rPr>
                <w:rFonts w:cs="Arial"/>
                <w:sz w:val="18"/>
              </w:rPr>
              <w:t xml:space="preserve">Rohdichte g/l </w:t>
            </w:r>
          </w:p>
        </w:tc>
        <w:tc>
          <w:tcPr>
            <w:tcW w:w="1619" w:type="dxa"/>
          </w:tcPr>
          <w:p>
            <w:pPr>
              <w:pStyle w:val="GesAbsatz"/>
              <w:tabs>
                <w:tab w:val="clear" w:pos="425"/>
                <w:tab w:val="decimal" w:pos="824"/>
              </w:tabs>
              <w:rPr>
                <w:rFonts w:eastAsia="Arial Unicode MS" w:cs="Arial"/>
                <w:sz w:val="18"/>
                <w:szCs w:val="24"/>
              </w:rPr>
            </w:pPr>
            <w:r>
              <w:rPr>
                <w:rFonts w:cs="Arial"/>
                <w:sz w:val="18"/>
              </w:rPr>
              <w:t>Deklaration</w:t>
            </w:r>
          </w:p>
        </w:tc>
        <w:tc>
          <w:tcPr>
            <w:tcW w:w="1785" w:type="dxa"/>
          </w:tcPr>
          <w:p>
            <w:pPr>
              <w:pStyle w:val="GesAbsatz"/>
              <w:tabs>
                <w:tab w:val="clear" w:pos="425"/>
                <w:tab w:val="decimal" w:pos="824"/>
              </w:tabs>
              <w:rPr>
                <w:rFonts w:eastAsia="Arial Unicode MS" w:cs="Arial"/>
                <w:sz w:val="18"/>
                <w:szCs w:val="24"/>
              </w:rPr>
            </w:pPr>
            <w:r>
              <w:rPr>
                <w:rFonts w:cs="Arial"/>
                <w:sz w:val="18"/>
              </w:rPr>
              <w:t>Deklaration</w:t>
            </w:r>
          </w:p>
        </w:tc>
        <w:tc>
          <w:tcPr>
            <w:tcW w:w="1421" w:type="dxa"/>
          </w:tcPr>
          <w:p>
            <w:pPr>
              <w:pStyle w:val="GesAbsatz"/>
              <w:tabs>
                <w:tab w:val="clear" w:pos="425"/>
                <w:tab w:val="decimal" w:pos="824"/>
              </w:tabs>
              <w:rPr>
                <w:rFonts w:eastAsia="Arial Unicode MS" w:cs="Arial"/>
                <w:sz w:val="18"/>
                <w:szCs w:val="24"/>
              </w:rPr>
            </w:pPr>
            <w:r>
              <w:rPr>
                <w:rFonts w:cs="Arial"/>
                <w:sz w:val="18"/>
              </w:rPr>
              <w:t>676</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453</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1.020</w:t>
            </w:r>
          </w:p>
        </w:tc>
      </w:tr>
      <w:tr>
        <w:tc>
          <w:tcPr>
            <w:tcW w:w="2153" w:type="dxa"/>
            <w:vAlign w:val="center"/>
          </w:tcPr>
          <w:p>
            <w:pPr>
              <w:pStyle w:val="GesAbsatz"/>
              <w:rPr>
                <w:rFonts w:eastAsia="Arial Unicode MS" w:cs="Arial"/>
                <w:sz w:val="18"/>
                <w:szCs w:val="24"/>
              </w:rPr>
            </w:pPr>
            <w:r>
              <w:rPr>
                <w:rFonts w:cs="Arial"/>
                <w:sz w:val="18"/>
              </w:rPr>
              <w:t>Fremdstoffe &gt; 2 mm % TS</w:t>
            </w:r>
          </w:p>
        </w:tc>
        <w:tc>
          <w:tcPr>
            <w:tcW w:w="1619" w:type="dxa"/>
          </w:tcPr>
          <w:p>
            <w:pPr>
              <w:pStyle w:val="GesAbsatz"/>
              <w:tabs>
                <w:tab w:val="clear" w:pos="425"/>
                <w:tab w:val="decimal" w:pos="824"/>
              </w:tabs>
              <w:rPr>
                <w:rFonts w:eastAsia="Arial Unicode MS" w:cs="Arial"/>
                <w:sz w:val="18"/>
                <w:szCs w:val="24"/>
              </w:rPr>
            </w:pPr>
            <w:r>
              <w:rPr>
                <w:rFonts w:cs="Arial"/>
                <w:sz w:val="18"/>
                <w:u w:val="single"/>
              </w:rPr>
              <w:t>&lt;</w:t>
            </w:r>
            <w:r>
              <w:rPr>
                <w:rFonts w:cs="Arial"/>
                <w:sz w:val="18"/>
              </w:rPr>
              <w:t xml:space="preserve"> 0,5</w:t>
            </w:r>
          </w:p>
        </w:tc>
        <w:tc>
          <w:tcPr>
            <w:tcW w:w="1785" w:type="dxa"/>
          </w:tcPr>
          <w:p>
            <w:pPr>
              <w:pStyle w:val="GesAbsatz"/>
              <w:tabs>
                <w:tab w:val="clear" w:pos="425"/>
                <w:tab w:val="decimal" w:pos="824"/>
              </w:tabs>
              <w:rPr>
                <w:rFonts w:eastAsia="Arial Unicode MS" w:cs="Arial"/>
                <w:sz w:val="18"/>
                <w:szCs w:val="24"/>
              </w:rPr>
            </w:pPr>
            <w:r>
              <w:rPr>
                <w:rFonts w:cs="Arial"/>
                <w:sz w:val="18"/>
                <w:u w:val="single"/>
              </w:rPr>
              <w:t>&lt;</w:t>
            </w:r>
            <w:r>
              <w:rPr>
                <w:rFonts w:cs="Arial"/>
                <w:sz w:val="18"/>
              </w:rPr>
              <w:t xml:space="preserve"> 0,5</w:t>
            </w:r>
          </w:p>
        </w:tc>
        <w:tc>
          <w:tcPr>
            <w:tcW w:w="1421" w:type="dxa"/>
          </w:tcPr>
          <w:p>
            <w:pPr>
              <w:pStyle w:val="GesAbsatz"/>
              <w:tabs>
                <w:tab w:val="clear" w:pos="425"/>
                <w:tab w:val="decimal" w:pos="824"/>
              </w:tabs>
              <w:rPr>
                <w:rFonts w:eastAsia="Arial Unicode MS" w:cs="Arial"/>
                <w:sz w:val="18"/>
                <w:szCs w:val="24"/>
              </w:rPr>
            </w:pPr>
            <w:r>
              <w:rPr>
                <w:rFonts w:cs="Arial"/>
                <w:sz w:val="18"/>
              </w:rPr>
              <w:t>0,13</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0,0</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0,65</w:t>
            </w:r>
          </w:p>
        </w:tc>
      </w:tr>
      <w:tr>
        <w:tc>
          <w:tcPr>
            <w:tcW w:w="2153" w:type="dxa"/>
            <w:vAlign w:val="center"/>
          </w:tcPr>
          <w:p>
            <w:pPr>
              <w:pStyle w:val="GesAbsatz"/>
              <w:rPr>
                <w:rFonts w:eastAsia="Arial Unicode MS" w:cs="Arial"/>
                <w:sz w:val="18"/>
                <w:szCs w:val="24"/>
              </w:rPr>
            </w:pPr>
            <w:r>
              <w:rPr>
                <w:rFonts w:cs="Arial"/>
                <w:sz w:val="18"/>
              </w:rPr>
              <w:t xml:space="preserve">Steine &gt; 5 mm % TS </w:t>
            </w:r>
          </w:p>
        </w:tc>
        <w:tc>
          <w:tcPr>
            <w:tcW w:w="1619" w:type="dxa"/>
          </w:tcPr>
          <w:p>
            <w:pPr>
              <w:pStyle w:val="GesAbsatz"/>
              <w:tabs>
                <w:tab w:val="clear" w:pos="425"/>
                <w:tab w:val="decimal" w:pos="824"/>
              </w:tabs>
              <w:rPr>
                <w:rFonts w:eastAsia="Arial Unicode MS" w:cs="Arial"/>
                <w:sz w:val="18"/>
                <w:szCs w:val="24"/>
              </w:rPr>
            </w:pPr>
            <w:r>
              <w:rPr>
                <w:rFonts w:cs="Arial"/>
                <w:sz w:val="18"/>
                <w:u w:val="single"/>
              </w:rPr>
              <w:t>&lt;</w:t>
            </w:r>
            <w:r>
              <w:rPr>
                <w:rFonts w:cs="Arial"/>
                <w:sz w:val="18"/>
              </w:rPr>
              <w:t xml:space="preserve"> 5,0</w:t>
            </w:r>
          </w:p>
        </w:tc>
        <w:tc>
          <w:tcPr>
            <w:tcW w:w="1785" w:type="dxa"/>
          </w:tcPr>
          <w:p>
            <w:pPr>
              <w:pStyle w:val="GesAbsatz"/>
              <w:tabs>
                <w:tab w:val="clear" w:pos="425"/>
                <w:tab w:val="decimal" w:pos="824"/>
              </w:tabs>
              <w:rPr>
                <w:rFonts w:eastAsia="Arial Unicode MS" w:cs="Arial"/>
                <w:sz w:val="18"/>
                <w:szCs w:val="24"/>
              </w:rPr>
            </w:pPr>
            <w:r>
              <w:rPr>
                <w:rFonts w:cs="Arial"/>
                <w:sz w:val="18"/>
                <w:u w:val="single"/>
              </w:rPr>
              <w:t>&lt;</w:t>
            </w:r>
            <w:r>
              <w:rPr>
                <w:rFonts w:cs="Arial"/>
                <w:sz w:val="18"/>
              </w:rPr>
              <w:t xml:space="preserve"> 5,0</w:t>
            </w:r>
          </w:p>
        </w:tc>
        <w:tc>
          <w:tcPr>
            <w:tcW w:w="1421" w:type="dxa"/>
          </w:tcPr>
          <w:p>
            <w:pPr>
              <w:pStyle w:val="GesAbsatz"/>
              <w:tabs>
                <w:tab w:val="clear" w:pos="425"/>
                <w:tab w:val="decimal" w:pos="824"/>
              </w:tabs>
              <w:rPr>
                <w:rFonts w:eastAsia="Arial Unicode MS" w:cs="Arial"/>
                <w:sz w:val="18"/>
                <w:szCs w:val="24"/>
              </w:rPr>
            </w:pPr>
            <w:r>
              <w:rPr>
                <w:rFonts w:cs="Arial"/>
                <w:sz w:val="18"/>
              </w:rPr>
              <w:t>2,30</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0,21</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7,91</w:t>
            </w:r>
          </w:p>
        </w:tc>
      </w:tr>
      <w:tr>
        <w:tc>
          <w:tcPr>
            <w:tcW w:w="2153" w:type="dxa"/>
            <w:vAlign w:val="center"/>
          </w:tcPr>
          <w:p>
            <w:pPr>
              <w:pStyle w:val="GesAbsatz"/>
              <w:rPr>
                <w:rFonts w:eastAsia="Arial Unicode MS" w:cs="Arial"/>
                <w:sz w:val="18"/>
                <w:szCs w:val="24"/>
              </w:rPr>
            </w:pPr>
            <w:r>
              <w:rPr>
                <w:rFonts w:cs="Arial"/>
                <w:sz w:val="18"/>
              </w:rPr>
              <w:t xml:space="preserve">OS-Gehalt % TS </w:t>
            </w:r>
          </w:p>
        </w:tc>
        <w:tc>
          <w:tcPr>
            <w:tcW w:w="1619" w:type="dxa"/>
          </w:tcPr>
          <w:p>
            <w:pPr>
              <w:pStyle w:val="GesAbsatz"/>
              <w:tabs>
                <w:tab w:val="clear" w:pos="425"/>
                <w:tab w:val="decimal" w:pos="824"/>
              </w:tabs>
              <w:rPr>
                <w:rFonts w:eastAsia="Arial Unicode MS" w:cs="Arial"/>
                <w:sz w:val="18"/>
                <w:szCs w:val="24"/>
              </w:rPr>
            </w:pPr>
            <w:r>
              <w:rPr>
                <w:rFonts w:cs="Arial"/>
                <w:sz w:val="18"/>
              </w:rPr>
              <w:t>&gt; 20</w:t>
            </w:r>
          </w:p>
        </w:tc>
        <w:tc>
          <w:tcPr>
            <w:tcW w:w="1785" w:type="dxa"/>
          </w:tcPr>
          <w:p>
            <w:pPr>
              <w:pStyle w:val="GesAbsatz"/>
              <w:tabs>
                <w:tab w:val="clear" w:pos="425"/>
                <w:tab w:val="decimal" w:pos="824"/>
              </w:tabs>
              <w:rPr>
                <w:rFonts w:eastAsia="Arial Unicode MS" w:cs="Arial"/>
                <w:sz w:val="18"/>
                <w:szCs w:val="24"/>
              </w:rPr>
            </w:pPr>
            <w:r>
              <w:rPr>
                <w:rFonts w:cs="Arial"/>
                <w:sz w:val="18"/>
              </w:rPr>
              <w:t>&gt; 15</w:t>
            </w:r>
          </w:p>
        </w:tc>
        <w:tc>
          <w:tcPr>
            <w:tcW w:w="1421" w:type="dxa"/>
          </w:tcPr>
          <w:p>
            <w:pPr>
              <w:pStyle w:val="GesAbsatz"/>
              <w:tabs>
                <w:tab w:val="clear" w:pos="425"/>
                <w:tab w:val="decimal" w:pos="824"/>
              </w:tabs>
              <w:rPr>
                <w:rFonts w:eastAsia="Arial Unicode MS" w:cs="Arial"/>
                <w:sz w:val="18"/>
                <w:szCs w:val="24"/>
              </w:rPr>
            </w:pPr>
            <w:r>
              <w:rPr>
                <w:rFonts w:cs="Arial"/>
                <w:sz w:val="18"/>
              </w:rPr>
              <w:t>32,3</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16,0</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46,4</w:t>
            </w:r>
          </w:p>
        </w:tc>
      </w:tr>
      <w:tr>
        <w:tc>
          <w:tcPr>
            <w:tcW w:w="2153" w:type="dxa"/>
            <w:vAlign w:val="center"/>
          </w:tcPr>
          <w:p>
            <w:pPr>
              <w:pStyle w:val="GesAbsatz"/>
              <w:rPr>
                <w:rFonts w:eastAsia="Arial Unicode MS" w:cs="Arial"/>
                <w:sz w:val="18"/>
                <w:szCs w:val="24"/>
              </w:rPr>
            </w:pPr>
            <w:r>
              <w:rPr>
                <w:rFonts w:cs="Arial"/>
                <w:sz w:val="18"/>
              </w:rPr>
              <w:t xml:space="preserve">keimfähige Samen </w:t>
            </w:r>
          </w:p>
        </w:tc>
        <w:tc>
          <w:tcPr>
            <w:tcW w:w="1619" w:type="dxa"/>
          </w:tcPr>
          <w:p>
            <w:pPr>
              <w:pStyle w:val="GesAbsatz"/>
              <w:tabs>
                <w:tab w:val="clear" w:pos="425"/>
                <w:tab w:val="decimal" w:pos="824"/>
              </w:tabs>
              <w:rPr>
                <w:rFonts w:eastAsia="Arial Unicode MS" w:cs="Arial"/>
                <w:sz w:val="18"/>
                <w:szCs w:val="24"/>
              </w:rPr>
            </w:pPr>
            <w:r>
              <w:rPr>
                <w:rFonts w:cs="Arial"/>
                <w:sz w:val="18"/>
                <w:u w:val="single"/>
              </w:rPr>
              <w:t>&lt;</w:t>
            </w:r>
            <w:r>
              <w:rPr>
                <w:rFonts w:cs="Arial"/>
                <w:sz w:val="18"/>
              </w:rPr>
              <w:t xml:space="preserve"> 2,0</w:t>
            </w:r>
          </w:p>
        </w:tc>
        <w:tc>
          <w:tcPr>
            <w:tcW w:w="1785" w:type="dxa"/>
          </w:tcPr>
          <w:p>
            <w:pPr>
              <w:pStyle w:val="GesAbsatz"/>
              <w:tabs>
                <w:tab w:val="clear" w:pos="425"/>
                <w:tab w:val="decimal" w:pos="824"/>
              </w:tabs>
              <w:rPr>
                <w:rFonts w:eastAsia="Arial Unicode MS" w:cs="Arial"/>
                <w:sz w:val="18"/>
                <w:szCs w:val="24"/>
              </w:rPr>
            </w:pPr>
            <w:r>
              <w:rPr>
                <w:rFonts w:cs="Arial"/>
                <w:sz w:val="18"/>
                <w:u w:val="single"/>
              </w:rPr>
              <w:t>&lt;</w:t>
            </w:r>
            <w:r>
              <w:rPr>
                <w:rFonts w:cs="Arial"/>
                <w:sz w:val="18"/>
              </w:rPr>
              <w:t xml:space="preserve"> 0,5</w:t>
            </w:r>
          </w:p>
        </w:tc>
        <w:tc>
          <w:tcPr>
            <w:tcW w:w="1421" w:type="dxa"/>
          </w:tcPr>
          <w:p>
            <w:pPr>
              <w:pStyle w:val="GesAbsatz"/>
              <w:tabs>
                <w:tab w:val="clear" w:pos="425"/>
                <w:tab w:val="decimal" w:pos="824"/>
              </w:tabs>
              <w:rPr>
                <w:rFonts w:eastAsia="Arial Unicode MS" w:cs="Arial"/>
                <w:sz w:val="18"/>
                <w:szCs w:val="24"/>
              </w:rPr>
            </w:pPr>
            <w:r>
              <w:rPr>
                <w:rFonts w:cs="Arial"/>
                <w:sz w:val="18"/>
              </w:rPr>
              <w:t>0,09</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0,0</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1,7</w:t>
            </w:r>
          </w:p>
        </w:tc>
      </w:tr>
      <w:tr>
        <w:tc>
          <w:tcPr>
            <w:tcW w:w="2153" w:type="dxa"/>
            <w:vAlign w:val="center"/>
          </w:tcPr>
          <w:p>
            <w:pPr>
              <w:pStyle w:val="GesAbsatz"/>
              <w:rPr>
                <w:rFonts w:eastAsia="Arial Unicode MS" w:cs="Arial"/>
                <w:sz w:val="18"/>
                <w:szCs w:val="24"/>
              </w:rPr>
            </w:pPr>
            <w:r>
              <w:rPr>
                <w:rFonts w:cs="Arial"/>
                <w:sz w:val="18"/>
              </w:rPr>
              <w:t xml:space="preserve">Pflanzenverträglichkeit bei 25 % Kompostanteil </w:t>
            </w:r>
          </w:p>
        </w:tc>
        <w:tc>
          <w:tcPr>
            <w:tcW w:w="1619" w:type="dxa"/>
          </w:tcPr>
          <w:p>
            <w:pPr>
              <w:pStyle w:val="GesAbsatz"/>
              <w:tabs>
                <w:tab w:val="clear" w:pos="425"/>
                <w:tab w:val="decimal" w:pos="824"/>
              </w:tabs>
              <w:rPr>
                <w:rFonts w:eastAsia="Arial Unicode MS" w:cs="Arial"/>
                <w:sz w:val="18"/>
                <w:szCs w:val="24"/>
              </w:rPr>
            </w:pPr>
            <w:r>
              <w:rPr>
                <w:rFonts w:cs="Arial"/>
                <w:sz w:val="18"/>
                <w:u w:val="single"/>
              </w:rPr>
              <w:t>&gt;</w:t>
            </w:r>
            <w:r>
              <w:rPr>
                <w:rFonts w:cs="Arial"/>
                <w:sz w:val="18"/>
              </w:rPr>
              <w:t xml:space="preserve"> 90</w:t>
            </w:r>
          </w:p>
        </w:tc>
        <w:tc>
          <w:tcPr>
            <w:tcW w:w="1785" w:type="dxa"/>
          </w:tcPr>
          <w:p>
            <w:pPr>
              <w:pStyle w:val="GesAbsatz"/>
              <w:tabs>
                <w:tab w:val="clear" w:pos="425"/>
                <w:tab w:val="decimal" w:pos="824"/>
              </w:tabs>
              <w:rPr>
                <w:rFonts w:eastAsia="Arial Unicode MS" w:cs="Arial"/>
                <w:sz w:val="18"/>
                <w:szCs w:val="24"/>
              </w:rPr>
            </w:pPr>
          </w:p>
        </w:tc>
        <w:tc>
          <w:tcPr>
            <w:tcW w:w="1421" w:type="dxa"/>
          </w:tcPr>
          <w:p>
            <w:pPr>
              <w:pStyle w:val="GesAbsatz"/>
              <w:tabs>
                <w:tab w:val="clear" w:pos="425"/>
                <w:tab w:val="decimal" w:pos="824"/>
              </w:tabs>
              <w:rPr>
                <w:rFonts w:eastAsia="Arial Unicode MS" w:cs="Arial"/>
                <w:sz w:val="18"/>
                <w:szCs w:val="24"/>
              </w:rPr>
            </w:pPr>
            <w:r>
              <w:rPr>
                <w:rFonts w:cs="Arial"/>
                <w:sz w:val="18"/>
              </w:rPr>
              <w:t>117,1</w:t>
            </w:r>
          </w:p>
        </w:tc>
        <w:tc>
          <w:tcPr>
            <w:tcW w:w="1395" w:type="dxa"/>
          </w:tcPr>
          <w:p>
            <w:pPr>
              <w:pStyle w:val="GesAbsatz"/>
              <w:tabs>
                <w:tab w:val="clear" w:pos="425"/>
                <w:tab w:val="decimal" w:pos="824"/>
              </w:tabs>
              <w:rPr>
                <w:rFonts w:eastAsia="Arial Unicode MS" w:cs="Arial"/>
                <w:sz w:val="18"/>
                <w:szCs w:val="24"/>
              </w:rPr>
            </w:pPr>
            <w:r>
              <w:rPr>
                <w:rFonts w:cs="Arial"/>
                <w:sz w:val="18"/>
              </w:rPr>
              <w:t>98,0</w:t>
            </w:r>
          </w:p>
        </w:tc>
        <w:tc>
          <w:tcPr>
            <w:tcW w:w="1405" w:type="dxa"/>
          </w:tcPr>
          <w:p>
            <w:pPr>
              <w:pStyle w:val="GesAbsatz"/>
              <w:tabs>
                <w:tab w:val="clear" w:pos="425"/>
                <w:tab w:val="decimal" w:pos="824"/>
              </w:tabs>
              <w:rPr>
                <w:rFonts w:eastAsia="Arial Unicode MS" w:cs="Arial"/>
                <w:sz w:val="18"/>
                <w:szCs w:val="24"/>
              </w:rPr>
            </w:pPr>
            <w:r>
              <w:rPr>
                <w:rFonts w:cs="Arial"/>
                <w:sz w:val="18"/>
              </w:rPr>
              <w:t>153,5</w:t>
            </w:r>
          </w:p>
        </w:tc>
      </w:tr>
      <w:tr>
        <w:tc>
          <w:tcPr>
            <w:tcW w:w="2153" w:type="dxa"/>
            <w:vAlign w:val="center"/>
          </w:tcPr>
          <w:p>
            <w:pPr>
              <w:pStyle w:val="GesAbsatz"/>
              <w:rPr>
                <w:rFonts w:eastAsia="Arial Unicode MS" w:cs="Arial"/>
                <w:sz w:val="18"/>
                <w:szCs w:val="24"/>
              </w:rPr>
            </w:pPr>
            <w:r>
              <w:rPr>
                <w:rFonts w:cs="Arial"/>
                <w:sz w:val="18"/>
              </w:rPr>
              <w:t xml:space="preserve">Pflanzenverträglichkeit bei 50 % Kompostanteil </w:t>
            </w:r>
          </w:p>
        </w:tc>
        <w:tc>
          <w:tcPr>
            <w:tcW w:w="1619" w:type="dxa"/>
          </w:tcPr>
          <w:p>
            <w:pPr>
              <w:pStyle w:val="GesAbsatz"/>
              <w:tabs>
                <w:tab w:val="clear" w:pos="425"/>
                <w:tab w:val="decimal" w:pos="824"/>
              </w:tabs>
              <w:rPr>
                <w:rFonts w:eastAsia="Arial Unicode MS" w:cs="Arial"/>
                <w:sz w:val="18"/>
                <w:szCs w:val="24"/>
              </w:rPr>
            </w:pPr>
          </w:p>
        </w:tc>
        <w:tc>
          <w:tcPr>
            <w:tcW w:w="1785" w:type="dxa"/>
          </w:tcPr>
          <w:p>
            <w:pPr>
              <w:pStyle w:val="GesAbsatz"/>
              <w:tabs>
                <w:tab w:val="clear" w:pos="425"/>
                <w:tab w:val="decimal" w:pos="824"/>
              </w:tabs>
              <w:rPr>
                <w:rFonts w:eastAsia="Arial Unicode MS" w:cs="Arial"/>
                <w:sz w:val="18"/>
                <w:szCs w:val="24"/>
              </w:rPr>
            </w:pPr>
            <w:r>
              <w:rPr>
                <w:rFonts w:cs="Arial"/>
                <w:sz w:val="18"/>
                <w:u w:val="single"/>
              </w:rPr>
              <w:t>&gt;</w:t>
            </w:r>
            <w:r>
              <w:rPr>
                <w:rFonts w:cs="Arial"/>
                <w:sz w:val="18"/>
              </w:rPr>
              <w:t xml:space="preserve"> 90</w:t>
            </w:r>
          </w:p>
        </w:tc>
        <w:tc>
          <w:tcPr>
            <w:tcW w:w="1421" w:type="dxa"/>
          </w:tcPr>
          <w:p>
            <w:pPr>
              <w:pStyle w:val="GesAbsatz"/>
              <w:tabs>
                <w:tab w:val="clear" w:pos="425"/>
                <w:tab w:val="decimal" w:pos="824"/>
              </w:tabs>
              <w:rPr>
                <w:rFonts w:eastAsia="Arial Unicode MS" w:cs="Arial"/>
                <w:sz w:val="18"/>
                <w:szCs w:val="24"/>
              </w:rPr>
            </w:pPr>
            <w:r>
              <w:rPr>
                <w:rFonts w:cs="Arial"/>
                <w:sz w:val="18"/>
              </w:rPr>
              <w:t>110,1</w:t>
            </w:r>
          </w:p>
        </w:tc>
        <w:tc>
          <w:tcPr>
            <w:tcW w:w="1395" w:type="dxa"/>
          </w:tcPr>
          <w:p>
            <w:pPr>
              <w:pStyle w:val="GesAbsatz"/>
              <w:tabs>
                <w:tab w:val="clear" w:pos="425"/>
                <w:tab w:val="decimal" w:pos="824"/>
              </w:tabs>
              <w:rPr>
                <w:rFonts w:eastAsia="Arial Unicode MS" w:cs="Arial"/>
                <w:sz w:val="18"/>
                <w:szCs w:val="24"/>
              </w:rPr>
            </w:pPr>
            <w:r>
              <w:rPr>
                <w:rFonts w:cs="Arial"/>
                <w:sz w:val="18"/>
              </w:rPr>
              <w:t xml:space="preserve">78,0 </w:t>
            </w:r>
          </w:p>
        </w:tc>
        <w:tc>
          <w:tcPr>
            <w:tcW w:w="1405" w:type="dxa"/>
          </w:tcPr>
          <w:p>
            <w:pPr>
              <w:pStyle w:val="GesAbsatz"/>
              <w:tabs>
                <w:tab w:val="clear" w:pos="425"/>
                <w:tab w:val="decimal" w:pos="824"/>
              </w:tabs>
              <w:rPr>
                <w:rFonts w:eastAsia="Arial Unicode MS" w:cs="Arial"/>
                <w:sz w:val="18"/>
                <w:szCs w:val="24"/>
              </w:rPr>
            </w:pPr>
            <w:r>
              <w:rPr>
                <w:rFonts w:cs="Arial"/>
                <w:sz w:val="18"/>
              </w:rPr>
              <w:t>146,0</w:t>
            </w:r>
          </w:p>
        </w:tc>
      </w:tr>
      <w:tr>
        <w:tc>
          <w:tcPr>
            <w:tcW w:w="2153" w:type="dxa"/>
            <w:vAlign w:val="center"/>
          </w:tcPr>
          <w:p>
            <w:pPr>
              <w:pStyle w:val="GesAbsatz"/>
              <w:rPr>
                <w:rFonts w:eastAsia="Arial Unicode MS" w:cs="Arial"/>
                <w:sz w:val="18"/>
                <w:szCs w:val="24"/>
              </w:rPr>
            </w:pPr>
            <w:r>
              <w:rPr>
                <w:rFonts w:cs="Arial"/>
                <w:sz w:val="18"/>
              </w:rPr>
              <w:t xml:space="preserve">Salzgehalt g/l </w:t>
            </w:r>
          </w:p>
        </w:tc>
        <w:tc>
          <w:tcPr>
            <w:tcW w:w="1619" w:type="dxa"/>
          </w:tcPr>
          <w:p>
            <w:pPr>
              <w:pStyle w:val="GesAbsatz"/>
              <w:tabs>
                <w:tab w:val="clear" w:pos="425"/>
                <w:tab w:val="decimal" w:pos="824"/>
              </w:tabs>
              <w:rPr>
                <w:rFonts w:eastAsia="Arial Unicode MS" w:cs="Arial"/>
                <w:sz w:val="18"/>
                <w:szCs w:val="24"/>
              </w:rPr>
            </w:pPr>
            <w:r>
              <w:rPr>
                <w:rFonts w:cs="Arial"/>
                <w:sz w:val="18"/>
              </w:rPr>
              <w:t>Deklaration</w:t>
            </w:r>
          </w:p>
        </w:tc>
        <w:tc>
          <w:tcPr>
            <w:tcW w:w="1785" w:type="dxa"/>
          </w:tcPr>
          <w:p>
            <w:pPr>
              <w:pStyle w:val="GesAbsatz"/>
              <w:tabs>
                <w:tab w:val="clear" w:pos="425"/>
                <w:tab w:val="decimal" w:pos="824"/>
              </w:tabs>
              <w:rPr>
                <w:rFonts w:eastAsia="Arial Unicode MS" w:cs="Arial"/>
                <w:sz w:val="18"/>
                <w:szCs w:val="24"/>
              </w:rPr>
            </w:pPr>
            <w:r>
              <w:rPr>
                <w:rFonts w:cs="Arial"/>
                <w:sz w:val="18"/>
              </w:rPr>
              <w:t>&lt; 5,0/&lt; 2,5</w:t>
            </w:r>
          </w:p>
        </w:tc>
        <w:tc>
          <w:tcPr>
            <w:tcW w:w="1421" w:type="dxa"/>
          </w:tcPr>
          <w:p>
            <w:pPr>
              <w:pStyle w:val="GesAbsatz"/>
              <w:tabs>
                <w:tab w:val="clear" w:pos="425"/>
                <w:tab w:val="decimal" w:pos="824"/>
              </w:tabs>
              <w:rPr>
                <w:rFonts w:eastAsia="Arial Unicode MS" w:cs="Arial"/>
                <w:sz w:val="18"/>
                <w:szCs w:val="24"/>
              </w:rPr>
            </w:pPr>
            <w:r>
              <w:rPr>
                <w:rFonts w:cs="Arial"/>
                <w:sz w:val="18"/>
              </w:rPr>
              <w:t>3,63</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 xml:space="preserve">1,0 </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7,4</w:t>
            </w:r>
          </w:p>
        </w:tc>
      </w:tr>
      <w:tr>
        <w:tc>
          <w:tcPr>
            <w:tcW w:w="2153" w:type="dxa"/>
            <w:vAlign w:val="center"/>
          </w:tcPr>
          <w:p>
            <w:pPr>
              <w:pStyle w:val="GesAbsatz"/>
              <w:rPr>
                <w:rFonts w:eastAsia="Arial Unicode MS" w:cs="Arial"/>
                <w:sz w:val="18"/>
                <w:szCs w:val="24"/>
              </w:rPr>
            </w:pPr>
            <w:r>
              <w:rPr>
                <w:rFonts w:cs="Arial"/>
                <w:sz w:val="18"/>
              </w:rPr>
              <w:t xml:space="preserve">pH-Wert </w:t>
            </w:r>
          </w:p>
        </w:tc>
        <w:tc>
          <w:tcPr>
            <w:tcW w:w="1619" w:type="dxa"/>
          </w:tcPr>
          <w:p>
            <w:pPr>
              <w:pStyle w:val="GesAbsatz"/>
              <w:tabs>
                <w:tab w:val="clear" w:pos="425"/>
                <w:tab w:val="decimal" w:pos="824"/>
              </w:tabs>
              <w:rPr>
                <w:rFonts w:eastAsia="Arial Unicode MS" w:cs="Arial"/>
                <w:sz w:val="18"/>
                <w:szCs w:val="24"/>
              </w:rPr>
            </w:pPr>
            <w:r>
              <w:rPr>
                <w:rFonts w:cs="Arial"/>
                <w:sz w:val="18"/>
              </w:rPr>
              <w:t>Deklaration</w:t>
            </w:r>
          </w:p>
        </w:tc>
        <w:tc>
          <w:tcPr>
            <w:tcW w:w="1785" w:type="dxa"/>
          </w:tcPr>
          <w:p>
            <w:pPr>
              <w:pStyle w:val="GesAbsatz"/>
              <w:tabs>
                <w:tab w:val="clear" w:pos="425"/>
                <w:tab w:val="decimal" w:pos="824"/>
              </w:tabs>
              <w:rPr>
                <w:rFonts w:eastAsia="Arial Unicode MS" w:cs="Arial"/>
                <w:sz w:val="18"/>
                <w:szCs w:val="24"/>
              </w:rPr>
            </w:pPr>
            <w:r>
              <w:rPr>
                <w:rFonts w:cs="Arial"/>
                <w:sz w:val="18"/>
              </w:rPr>
              <w:t>Deklaration</w:t>
            </w:r>
          </w:p>
        </w:tc>
        <w:tc>
          <w:tcPr>
            <w:tcW w:w="1421" w:type="dxa"/>
          </w:tcPr>
          <w:p>
            <w:pPr>
              <w:pStyle w:val="GesAbsatz"/>
              <w:tabs>
                <w:tab w:val="clear" w:pos="425"/>
                <w:tab w:val="decimal" w:pos="824"/>
              </w:tabs>
              <w:rPr>
                <w:rFonts w:eastAsia="Arial Unicode MS" w:cs="Arial"/>
                <w:sz w:val="18"/>
                <w:szCs w:val="24"/>
              </w:rPr>
            </w:pPr>
            <w:r>
              <w:rPr>
                <w:rFonts w:cs="Arial"/>
                <w:sz w:val="18"/>
              </w:rPr>
              <w:t>7,7</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7,1</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8,1</w:t>
            </w:r>
          </w:p>
        </w:tc>
      </w:tr>
      <w:tr>
        <w:tc>
          <w:tcPr>
            <w:tcW w:w="2153" w:type="dxa"/>
            <w:vAlign w:val="center"/>
          </w:tcPr>
          <w:p>
            <w:pPr>
              <w:pStyle w:val="GesAbsatz"/>
              <w:rPr>
                <w:rFonts w:eastAsia="Arial Unicode MS" w:cs="Arial"/>
                <w:sz w:val="18"/>
                <w:szCs w:val="24"/>
              </w:rPr>
            </w:pPr>
            <w:r>
              <w:rPr>
                <w:rFonts w:cs="Arial"/>
                <w:sz w:val="18"/>
              </w:rPr>
              <w:t>Stickstoff % TS</w:t>
            </w:r>
            <w:r>
              <w:rPr>
                <w:rFonts w:cs="Arial"/>
                <w:sz w:val="18"/>
                <w:vertAlign w:val="superscript"/>
              </w:rPr>
              <w:t>4</w:t>
            </w:r>
          </w:p>
        </w:tc>
        <w:tc>
          <w:tcPr>
            <w:tcW w:w="1619" w:type="dxa"/>
          </w:tcPr>
          <w:p>
            <w:pPr>
              <w:pStyle w:val="GesAbsatz"/>
              <w:tabs>
                <w:tab w:val="clear" w:pos="425"/>
                <w:tab w:val="decimal" w:pos="824"/>
              </w:tabs>
              <w:rPr>
                <w:rFonts w:eastAsia="Arial Unicode MS" w:cs="Arial"/>
                <w:sz w:val="18"/>
                <w:szCs w:val="24"/>
              </w:rPr>
            </w:pPr>
            <w:r>
              <w:rPr>
                <w:rFonts w:cs="Arial"/>
                <w:sz w:val="18"/>
              </w:rPr>
              <w:t>Deklaration</w:t>
            </w:r>
          </w:p>
        </w:tc>
        <w:tc>
          <w:tcPr>
            <w:tcW w:w="1785" w:type="dxa"/>
          </w:tcPr>
          <w:p>
            <w:pPr>
              <w:pStyle w:val="GesAbsatz"/>
              <w:tabs>
                <w:tab w:val="clear" w:pos="425"/>
                <w:tab w:val="decimal" w:pos="824"/>
              </w:tabs>
              <w:rPr>
                <w:rFonts w:eastAsia="Arial Unicode MS" w:cs="Arial"/>
                <w:sz w:val="18"/>
                <w:szCs w:val="24"/>
              </w:rPr>
            </w:pPr>
            <w:r>
              <w:rPr>
                <w:rFonts w:cs="Arial"/>
                <w:sz w:val="18"/>
              </w:rPr>
              <w:t>Deklaration</w:t>
            </w:r>
          </w:p>
        </w:tc>
        <w:tc>
          <w:tcPr>
            <w:tcW w:w="1421" w:type="dxa"/>
          </w:tcPr>
          <w:p>
            <w:pPr>
              <w:pStyle w:val="GesAbsatz"/>
              <w:tabs>
                <w:tab w:val="clear" w:pos="425"/>
                <w:tab w:val="decimal" w:pos="824"/>
              </w:tabs>
              <w:rPr>
                <w:rFonts w:eastAsia="Arial Unicode MS" w:cs="Arial"/>
                <w:sz w:val="18"/>
                <w:szCs w:val="24"/>
              </w:rPr>
            </w:pPr>
            <w:r>
              <w:rPr>
                <w:rFonts w:cs="Arial"/>
                <w:sz w:val="18"/>
              </w:rPr>
              <w:t>1,15</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0,66</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2,22</w:t>
            </w:r>
          </w:p>
        </w:tc>
      </w:tr>
      <w:tr>
        <w:tc>
          <w:tcPr>
            <w:tcW w:w="2153" w:type="dxa"/>
            <w:vAlign w:val="center"/>
          </w:tcPr>
          <w:p>
            <w:pPr>
              <w:pStyle w:val="GesAbsatz"/>
              <w:rPr>
                <w:rFonts w:eastAsia="Arial Unicode MS" w:cs="Arial"/>
                <w:sz w:val="18"/>
                <w:szCs w:val="24"/>
              </w:rPr>
            </w:pPr>
            <w:r>
              <w:rPr>
                <w:rFonts w:cs="Arial"/>
                <w:sz w:val="18"/>
              </w:rPr>
              <w:t>Stickstoff mg/l FS</w:t>
            </w:r>
            <w:r>
              <w:rPr>
                <w:rFonts w:cs="Arial"/>
                <w:sz w:val="18"/>
                <w:vertAlign w:val="superscript"/>
              </w:rPr>
              <w:t>5</w:t>
            </w:r>
            <w:r>
              <w:rPr>
                <w:rFonts w:cs="Arial"/>
                <w:sz w:val="18"/>
              </w:rPr>
              <w:t xml:space="preserve"> </w:t>
            </w:r>
          </w:p>
        </w:tc>
        <w:tc>
          <w:tcPr>
            <w:tcW w:w="1619" w:type="dxa"/>
          </w:tcPr>
          <w:p>
            <w:pPr>
              <w:pStyle w:val="GesAbsatz"/>
              <w:tabs>
                <w:tab w:val="clear" w:pos="425"/>
                <w:tab w:val="decimal" w:pos="824"/>
              </w:tabs>
              <w:rPr>
                <w:rFonts w:eastAsia="Arial Unicode MS" w:cs="Arial"/>
                <w:sz w:val="18"/>
                <w:szCs w:val="24"/>
              </w:rPr>
            </w:pPr>
            <w:r>
              <w:rPr>
                <w:rFonts w:cs="Arial"/>
                <w:sz w:val="18"/>
              </w:rPr>
              <w:t xml:space="preserve">- </w:t>
            </w:r>
          </w:p>
        </w:tc>
        <w:tc>
          <w:tcPr>
            <w:tcW w:w="1785" w:type="dxa"/>
          </w:tcPr>
          <w:p>
            <w:pPr>
              <w:pStyle w:val="GesAbsatz"/>
              <w:tabs>
                <w:tab w:val="clear" w:pos="425"/>
                <w:tab w:val="decimal" w:pos="824"/>
              </w:tabs>
              <w:rPr>
                <w:rFonts w:eastAsia="Arial Unicode MS" w:cs="Arial"/>
                <w:sz w:val="18"/>
                <w:szCs w:val="24"/>
              </w:rPr>
            </w:pPr>
            <w:r>
              <w:rPr>
                <w:rFonts w:cs="Arial"/>
                <w:sz w:val="18"/>
              </w:rPr>
              <w:t>&lt; 600/&lt; 300</w:t>
            </w:r>
          </w:p>
        </w:tc>
        <w:tc>
          <w:tcPr>
            <w:tcW w:w="1421" w:type="dxa"/>
          </w:tcPr>
          <w:p>
            <w:pPr>
              <w:pStyle w:val="GesAbsatz"/>
              <w:tabs>
                <w:tab w:val="clear" w:pos="425"/>
                <w:tab w:val="decimal" w:pos="824"/>
              </w:tabs>
              <w:rPr>
                <w:rFonts w:eastAsia="Arial Unicode MS" w:cs="Arial"/>
                <w:sz w:val="18"/>
                <w:szCs w:val="24"/>
              </w:rPr>
            </w:pPr>
            <w:r>
              <w:rPr>
                <w:rFonts w:cs="Arial"/>
                <w:sz w:val="18"/>
              </w:rPr>
              <w:t>269</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4</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789</w:t>
            </w:r>
          </w:p>
        </w:tc>
      </w:tr>
      <w:tr>
        <w:tc>
          <w:tcPr>
            <w:tcW w:w="2153" w:type="dxa"/>
            <w:vAlign w:val="center"/>
          </w:tcPr>
          <w:p>
            <w:pPr>
              <w:pStyle w:val="GesAbsatz"/>
              <w:rPr>
                <w:rFonts w:eastAsia="Arial Unicode MS" w:cs="Arial"/>
                <w:sz w:val="18"/>
                <w:szCs w:val="24"/>
              </w:rPr>
            </w:pPr>
            <w:r>
              <w:rPr>
                <w:rFonts w:cs="Arial"/>
                <w:sz w:val="18"/>
              </w:rPr>
              <w:t>Phosphat % TS</w:t>
            </w:r>
            <w:r>
              <w:rPr>
                <w:rFonts w:cs="Arial"/>
                <w:sz w:val="18"/>
                <w:vertAlign w:val="superscript"/>
              </w:rPr>
              <w:t>4</w:t>
            </w:r>
            <w:r>
              <w:rPr>
                <w:rFonts w:cs="Arial"/>
                <w:sz w:val="18"/>
              </w:rPr>
              <w:t xml:space="preserve"> </w:t>
            </w:r>
          </w:p>
        </w:tc>
        <w:tc>
          <w:tcPr>
            <w:tcW w:w="1619" w:type="dxa"/>
          </w:tcPr>
          <w:p>
            <w:pPr>
              <w:pStyle w:val="GesAbsatz"/>
              <w:tabs>
                <w:tab w:val="clear" w:pos="425"/>
                <w:tab w:val="decimal" w:pos="824"/>
              </w:tabs>
              <w:rPr>
                <w:rFonts w:eastAsia="Arial Unicode MS" w:cs="Arial"/>
                <w:sz w:val="18"/>
                <w:szCs w:val="24"/>
              </w:rPr>
            </w:pPr>
            <w:r>
              <w:rPr>
                <w:rFonts w:cs="Arial"/>
                <w:sz w:val="18"/>
              </w:rPr>
              <w:t>Deklaration</w:t>
            </w:r>
          </w:p>
        </w:tc>
        <w:tc>
          <w:tcPr>
            <w:tcW w:w="1785" w:type="dxa"/>
          </w:tcPr>
          <w:p>
            <w:pPr>
              <w:pStyle w:val="GesAbsatz"/>
              <w:tabs>
                <w:tab w:val="clear" w:pos="425"/>
                <w:tab w:val="decimal" w:pos="824"/>
              </w:tabs>
              <w:rPr>
                <w:rFonts w:eastAsia="Arial Unicode MS" w:cs="Arial"/>
                <w:sz w:val="18"/>
                <w:szCs w:val="24"/>
              </w:rPr>
            </w:pPr>
            <w:r>
              <w:rPr>
                <w:rFonts w:cs="Arial"/>
                <w:sz w:val="18"/>
              </w:rPr>
              <w:t>Deklaration</w:t>
            </w:r>
          </w:p>
        </w:tc>
        <w:tc>
          <w:tcPr>
            <w:tcW w:w="1421" w:type="dxa"/>
          </w:tcPr>
          <w:p>
            <w:pPr>
              <w:pStyle w:val="GesAbsatz"/>
              <w:tabs>
                <w:tab w:val="clear" w:pos="425"/>
                <w:tab w:val="decimal" w:pos="824"/>
              </w:tabs>
              <w:rPr>
                <w:rFonts w:eastAsia="Arial Unicode MS" w:cs="Arial"/>
                <w:sz w:val="18"/>
                <w:szCs w:val="24"/>
                <w:lang w:val="en-US"/>
              </w:rPr>
            </w:pPr>
            <w:r>
              <w:rPr>
                <w:rFonts w:cs="Arial"/>
                <w:sz w:val="18"/>
                <w:lang w:val="en-US"/>
              </w:rPr>
              <w:t>0,57</w:t>
            </w:r>
          </w:p>
        </w:tc>
        <w:tc>
          <w:tcPr>
            <w:tcW w:w="1395" w:type="dxa"/>
            <w:vAlign w:val="center"/>
          </w:tcPr>
          <w:p>
            <w:pPr>
              <w:pStyle w:val="GesAbsatz"/>
              <w:tabs>
                <w:tab w:val="clear" w:pos="425"/>
                <w:tab w:val="decimal" w:pos="824"/>
              </w:tabs>
              <w:rPr>
                <w:rFonts w:eastAsia="Arial Unicode MS" w:cs="Arial"/>
                <w:sz w:val="18"/>
                <w:szCs w:val="24"/>
                <w:lang w:val="en-US"/>
              </w:rPr>
            </w:pPr>
            <w:r>
              <w:rPr>
                <w:rFonts w:cs="Arial"/>
                <w:sz w:val="18"/>
                <w:lang w:val="en-US"/>
              </w:rPr>
              <w:t>0,24</w:t>
            </w:r>
          </w:p>
        </w:tc>
        <w:tc>
          <w:tcPr>
            <w:tcW w:w="1405" w:type="dxa"/>
            <w:vAlign w:val="center"/>
          </w:tcPr>
          <w:p>
            <w:pPr>
              <w:pStyle w:val="GesAbsatz"/>
              <w:tabs>
                <w:tab w:val="clear" w:pos="425"/>
                <w:tab w:val="decimal" w:pos="824"/>
              </w:tabs>
              <w:rPr>
                <w:rFonts w:eastAsia="Arial Unicode MS" w:cs="Arial"/>
                <w:sz w:val="18"/>
                <w:szCs w:val="24"/>
                <w:lang w:val="en-US"/>
              </w:rPr>
            </w:pPr>
            <w:r>
              <w:rPr>
                <w:rFonts w:cs="Arial"/>
                <w:sz w:val="18"/>
                <w:lang w:val="en-US"/>
              </w:rPr>
              <w:t>1,05</w:t>
            </w:r>
          </w:p>
        </w:tc>
      </w:tr>
      <w:tr>
        <w:tc>
          <w:tcPr>
            <w:tcW w:w="2153" w:type="dxa"/>
            <w:vAlign w:val="center"/>
          </w:tcPr>
          <w:p>
            <w:pPr>
              <w:pStyle w:val="GesAbsatz"/>
              <w:rPr>
                <w:rFonts w:eastAsia="Arial Unicode MS" w:cs="Arial"/>
                <w:sz w:val="18"/>
                <w:szCs w:val="24"/>
                <w:lang w:val="en-US"/>
              </w:rPr>
            </w:pPr>
            <w:r>
              <w:rPr>
                <w:rFonts w:cs="Arial"/>
                <w:sz w:val="18"/>
                <w:lang w:val="en-US"/>
              </w:rPr>
              <w:t>Phosphat mg/l FS</w:t>
            </w:r>
            <w:r>
              <w:rPr>
                <w:rFonts w:cs="Arial"/>
                <w:sz w:val="18"/>
                <w:vertAlign w:val="superscript"/>
                <w:lang w:val="en-US"/>
              </w:rPr>
              <w:t>5</w:t>
            </w:r>
          </w:p>
        </w:tc>
        <w:tc>
          <w:tcPr>
            <w:tcW w:w="1619" w:type="dxa"/>
          </w:tcPr>
          <w:p>
            <w:pPr>
              <w:pStyle w:val="GesAbsatz"/>
              <w:tabs>
                <w:tab w:val="clear" w:pos="425"/>
                <w:tab w:val="decimal" w:pos="824"/>
              </w:tabs>
              <w:rPr>
                <w:rFonts w:eastAsia="Arial Unicode MS" w:cs="Arial"/>
                <w:sz w:val="18"/>
                <w:szCs w:val="24"/>
              </w:rPr>
            </w:pPr>
            <w:r>
              <w:rPr>
                <w:rFonts w:cs="Arial"/>
                <w:sz w:val="18"/>
              </w:rPr>
              <w:t xml:space="preserve">- </w:t>
            </w:r>
          </w:p>
        </w:tc>
        <w:tc>
          <w:tcPr>
            <w:tcW w:w="1785" w:type="dxa"/>
          </w:tcPr>
          <w:p>
            <w:pPr>
              <w:pStyle w:val="GesAbsatz"/>
              <w:tabs>
                <w:tab w:val="clear" w:pos="425"/>
                <w:tab w:val="decimal" w:pos="824"/>
              </w:tabs>
              <w:rPr>
                <w:rFonts w:eastAsia="Arial Unicode MS" w:cs="Arial"/>
                <w:sz w:val="18"/>
                <w:szCs w:val="24"/>
              </w:rPr>
            </w:pPr>
            <w:r>
              <w:rPr>
                <w:rFonts w:cs="Arial"/>
                <w:sz w:val="18"/>
              </w:rPr>
              <w:t>&lt; 2400/&lt; 1200</w:t>
            </w:r>
          </w:p>
        </w:tc>
        <w:tc>
          <w:tcPr>
            <w:tcW w:w="1421" w:type="dxa"/>
          </w:tcPr>
          <w:p>
            <w:pPr>
              <w:pStyle w:val="GesAbsatz"/>
              <w:tabs>
                <w:tab w:val="clear" w:pos="425"/>
                <w:tab w:val="decimal" w:pos="824"/>
              </w:tabs>
              <w:rPr>
                <w:rFonts w:eastAsia="Arial Unicode MS" w:cs="Arial"/>
                <w:sz w:val="18"/>
                <w:szCs w:val="24"/>
              </w:rPr>
            </w:pPr>
            <w:r>
              <w:rPr>
                <w:rFonts w:cs="Arial"/>
                <w:sz w:val="18"/>
              </w:rPr>
              <w:t>724</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25</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1.492</w:t>
            </w:r>
          </w:p>
        </w:tc>
      </w:tr>
      <w:tr>
        <w:tc>
          <w:tcPr>
            <w:tcW w:w="2153" w:type="dxa"/>
            <w:vAlign w:val="center"/>
          </w:tcPr>
          <w:p>
            <w:pPr>
              <w:pStyle w:val="GesAbsatz"/>
              <w:rPr>
                <w:rFonts w:eastAsia="Arial Unicode MS" w:cs="Arial"/>
                <w:sz w:val="18"/>
                <w:szCs w:val="24"/>
              </w:rPr>
            </w:pPr>
            <w:r>
              <w:rPr>
                <w:rFonts w:cs="Arial"/>
                <w:sz w:val="18"/>
              </w:rPr>
              <w:t>Kalium % TS</w:t>
            </w:r>
            <w:r>
              <w:rPr>
                <w:rFonts w:cs="Arial"/>
                <w:sz w:val="18"/>
                <w:vertAlign w:val="superscript"/>
              </w:rPr>
              <w:t xml:space="preserve">4 </w:t>
            </w:r>
          </w:p>
        </w:tc>
        <w:tc>
          <w:tcPr>
            <w:tcW w:w="1619" w:type="dxa"/>
          </w:tcPr>
          <w:p>
            <w:pPr>
              <w:pStyle w:val="GesAbsatz"/>
              <w:tabs>
                <w:tab w:val="clear" w:pos="425"/>
                <w:tab w:val="decimal" w:pos="824"/>
              </w:tabs>
              <w:rPr>
                <w:rFonts w:eastAsia="Arial Unicode MS" w:cs="Arial"/>
                <w:sz w:val="18"/>
                <w:szCs w:val="24"/>
              </w:rPr>
            </w:pPr>
            <w:r>
              <w:rPr>
                <w:rFonts w:cs="Arial"/>
                <w:sz w:val="18"/>
              </w:rPr>
              <w:t>Deklaration</w:t>
            </w:r>
          </w:p>
        </w:tc>
        <w:tc>
          <w:tcPr>
            <w:tcW w:w="1785" w:type="dxa"/>
          </w:tcPr>
          <w:p>
            <w:pPr>
              <w:pStyle w:val="GesAbsatz"/>
              <w:tabs>
                <w:tab w:val="clear" w:pos="425"/>
                <w:tab w:val="decimal" w:pos="824"/>
              </w:tabs>
              <w:rPr>
                <w:rFonts w:eastAsia="Arial Unicode MS" w:cs="Arial"/>
                <w:sz w:val="18"/>
                <w:szCs w:val="24"/>
              </w:rPr>
            </w:pPr>
            <w:r>
              <w:rPr>
                <w:rFonts w:cs="Arial"/>
                <w:sz w:val="18"/>
              </w:rPr>
              <w:t>Deklaration</w:t>
            </w:r>
          </w:p>
        </w:tc>
        <w:tc>
          <w:tcPr>
            <w:tcW w:w="1421" w:type="dxa"/>
          </w:tcPr>
          <w:p>
            <w:pPr>
              <w:pStyle w:val="GesAbsatz"/>
              <w:tabs>
                <w:tab w:val="clear" w:pos="425"/>
                <w:tab w:val="decimal" w:pos="824"/>
              </w:tabs>
              <w:rPr>
                <w:rFonts w:eastAsia="Arial Unicode MS" w:cs="Arial"/>
                <w:sz w:val="18"/>
                <w:szCs w:val="24"/>
              </w:rPr>
            </w:pPr>
            <w:r>
              <w:rPr>
                <w:rFonts w:cs="Arial"/>
                <w:sz w:val="18"/>
              </w:rPr>
              <w:t>0,93</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0,30</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1,60</w:t>
            </w:r>
          </w:p>
        </w:tc>
      </w:tr>
      <w:tr>
        <w:tc>
          <w:tcPr>
            <w:tcW w:w="2153" w:type="dxa"/>
            <w:vAlign w:val="center"/>
          </w:tcPr>
          <w:p>
            <w:pPr>
              <w:pStyle w:val="GesAbsatz"/>
              <w:rPr>
                <w:rFonts w:eastAsia="Arial Unicode MS" w:cs="Arial"/>
                <w:sz w:val="18"/>
                <w:szCs w:val="24"/>
              </w:rPr>
            </w:pPr>
            <w:r>
              <w:rPr>
                <w:rFonts w:cs="Arial"/>
                <w:sz w:val="18"/>
              </w:rPr>
              <w:t>Kalium mg/l FS</w:t>
            </w:r>
            <w:r>
              <w:rPr>
                <w:rFonts w:cs="Arial"/>
                <w:sz w:val="18"/>
                <w:vertAlign w:val="superscript"/>
              </w:rPr>
              <w:t>5</w:t>
            </w:r>
          </w:p>
        </w:tc>
        <w:tc>
          <w:tcPr>
            <w:tcW w:w="1619" w:type="dxa"/>
          </w:tcPr>
          <w:p>
            <w:pPr>
              <w:pStyle w:val="GesAbsatz"/>
              <w:tabs>
                <w:tab w:val="clear" w:pos="425"/>
                <w:tab w:val="decimal" w:pos="824"/>
              </w:tabs>
              <w:rPr>
                <w:rFonts w:eastAsia="Arial Unicode MS" w:cs="Arial"/>
                <w:sz w:val="18"/>
                <w:szCs w:val="24"/>
              </w:rPr>
            </w:pPr>
            <w:r>
              <w:rPr>
                <w:rFonts w:cs="Arial"/>
                <w:sz w:val="18"/>
              </w:rPr>
              <w:t xml:space="preserve">- </w:t>
            </w:r>
          </w:p>
        </w:tc>
        <w:tc>
          <w:tcPr>
            <w:tcW w:w="1785" w:type="dxa"/>
          </w:tcPr>
          <w:p>
            <w:pPr>
              <w:pStyle w:val="GesAbsatz"/>
              <w:tabs>
                <w:tab w:val="clear" w:pos="425"/>
                <w:tab w:val="decimal" w:pos="824"/>
              </w:tabs>
              <w:rPr>
                <w:rFonts w:eastAsia="Arial Unicode MS" w:cs="Arial"/>
                <w:sz w:val="18"/>
                <w:szCs w:val="24"/>
              </w:rPr>
            </w:pPr>
            <w:r>
              <w:rPr>
                <w:rFonts w:cs="Arial"/>
                <w:sz w:val="18"/>
              </w:rPr>
              <w:t>&lt; 4000/&lt; 2000</w:t>
            </w:r>
          </w:p>
        </w:tc>
        <w:tc>
          <w:tcPr>
            <w:tcW w:w="1421" w:type="dxa"/>
          </w:tcPr>
          <w:p>
            <w:pPr>
              <w:pStyle w:val="GesAbsatz"/>
              <w:tabs>
                <w:tab w:val="clear" w:pos="425"/>
                <w:tab w:val="decimal" w:pos="824"/>
              </w:tabs>
              <w:rPr>
                <w:rFonts w:eastAsia="Arial Unicode MS" w:cs="Arial"/>
                <w:sz w:val="18"/>
                <w:szCs w:val="24"/>
              </w:rPr>
            </w:pPr>
            <w:r>
              <w:rPr>
                <w:rFonts w:cs="Arial"/>
                <w:sz w:val="18"/>
              </w:rPr>
              <w:t>2.613</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350</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5.130</w:t>
            </w:r>
          </w:p>
        </w:tc>
      </w:tr>
      <w:tr>
        <w:tc>
          <w:tcPr>
            <w:tcW w:w="2153" w:type="dxa"/>
            <w:vAlign w:val="center"/>
          </w:tcPr>
          <w:p>
            <w:pPr>
              <w:pStyle w:val="GesAbsatz"/>
              <w:rPr>
                <w:rFonts w:eastAsia="Arial Unicode MS" w:cs="Arial"/>
                <w:sz w:val="18"/>
                <w:szCs w:val="24"/>
              </w:rPr>
            </w:pPr>
            <w:r>
              <w:rPr>
                <w:rFonts w:cs="Arial"/>
                <w:sz w:val="18"/>
              </w:rPr>
              <w:t>Magnesium % TS</w:t>
            </w:r>
            <w:r>
              <w:rPr>
                <w:rFonts w:cs="Arial"/>
                <w:sz w:val="18"/>
                <w:vertAlign w:val="superscript"/>
              </w:rPr>
              <w:t>4</w:t>
            </w:r>
            <w:r>
              <w:rPr>
                <w:rFonts w:cs="Arial"/>
                <w:sz w:val="18"/>
              </w:rPr>
              <w:t xml:space="preserve"> </w:t>
            </w:r>
          </w:p>
        </w:tc>
        <w:tc>
          <w:tcPr>
            <w:tcW w:w="1619" w:type="dxa"/>
          </w:tcPr>
          <w:p>
            <w:pPr>
              <w:pStyle w:val="GesAbsatz"/>
              <w:tabs>
                <w:tab w:val="clear" w:pos="425"/>
                <w:tab w:val="decimal" w:pos="824"/>
              </w:tabs>
              <w:rPr>
                <w:rFonts w:eastAsia="Arial Unicode MS" w:cs="Arial"/>
                <w:sz w:val="18"/>
                <w:szCs w:val="24"/>
              </w:rPr>
            </w:pPr>
            <w:r>
              <w:rPr>
                <w:rFonts w:cs="Arial"/>
                <w:sz w:val="18"/>
              </w:rPr>
              <w:t>Deklaration</w:t>
            </w:r>
          </w:p>
        </w:tc>
        <w:tc>
          <w:tcPr>
            <w:tcW w:w="1785" w:type="dxa"/>
          </w:tcPr>
          <w:p>
            <w:pPr>
              <w:pStyle w:val="GesAbsatz"/>
              <w:tabs>
                <w:tab w:val="clear" w:pos="425"/>
                <w:tab w:val="decimal" w:pos="824"/>
              </w:tabs>
              <w:rPr>
                <w:rFonts w:eastAsia="Arial Unicode MS" w:cs="Arial"/>
                <w:sz w:val="18"/>
                <w:szCs w:val="24"/>
              </w:rPr>
            </w:pPr>
            <w:r>
              <w:rPr>
                <w:rFonts w:cs="Arial"/>
                <w:sz w:val="18"/>
              </w:rPr>
              <w:t>Deklaration</w:t>
            </w:r>
          </w:p>
        </w:tc>
        <w:tc>
          <w:tcPr>
            <w:tcW w:w="1421" w:type="dxa"/>
          </w:tcPr>
          <w:p>
            <w:pPr>
              <w:pStyle w:val="GesAbsatz"/>
              <w:tabs>
                <w:tab w:val="clear" w:pos="425"/>
                <w:tab w:val="decimal" w:pos="824"/>
              </w:tabs>
              <w:rPr>
                <w:rFonts w:eastAsia="Arial Unicode MS" w:cs="Arial"/>
                <w:sz w:val="18"/>
                <w:szCs w:val="24"/>
              </w:rPr>
            </w:pPr>
            <w:r>
              <w:rPr>
                <w:rFonts w:cs="Arial"/>
                <w:sz w:val="18"/>
              </w:rPr>
              <w:t>0,68</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0,30</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2,18</w:t>
            </w:r>
          </w:p>
        </w:tc>
      </w:tr>
      <w:tr>
        <w:tc>
          <w:tcPr>
            <w:tcW w:w="2153" w:type="dxa"/>
            <w:vAlign w:val="center"/>
          </w:tcPr>
          <w:p>
            <w:pPr>
              <w:pStyle w:val="GesAbsatz"/>
              <w:rPr>
                <w:rFonts w:eastAsia="Arial Unicode MS" w:cs="Arial"/>
                <w:sz w:val="18"/>
                <w:szCs w:val="24"/>
              </w:rPr>
            </w:pPr>
            <w:r>
              <w:rPr>
                <w:rFonts w:cs="Arial"/>
                <w:sz w:val="18"/>
              </w:rPr>
              <w:t xml:space="preserve">Calcium % TS4 </w:t>
            </w:r>
          </w:p>
        </w:tc>
        <w:tc>
          <w:tcPr>
            <w:tcW w:w="1619" w:type="dxa"/>
          </w:tcPr>
          <w:p>
            <w:pPr>
              <w:pStyle w:val="GesAbsatz"/>
              <w:tabs>
                <w:tab w:val="clear" w:pos="425"/>
                <w:tab w:val="decimal" w:pos="824"/>
              </w:tabs>
              <w:rPr>
                <w:rFonts w:eastAsia="Arial Unicode MS" w:cs="Arial"/>
                <w:sz w:val="18"/>
                <w:szCs w:val="24"/>
              </w:rPr>
            </w:pPr>
            <w:r>
              <w:rPr>
                <w:rFonts w:cs="Arial"/>
                <w:sz w:val="18"/>
              </w:rPr>
              <w:t>Deklaration</w:t>
            </w:r>
          </w:p>
        </w:tc>
        <w:tc>
          <w:tcPr>
            <w:tcW w:w="1785" w:type="dxa"/>
          </w:tcPr>
          <w:p>
            <w:pPr>
              <w:pStyle w:val="GesAbsatz"/>
              <w:tabs>
                <w:tab w:val="clear" w:pos="425"/>
                <w:tab w:val="decimal" w:pos="824"/>
              </w:tabs>
              <w:rPr>
                <w:rFonts w:eastAsia="Arial Unicode MS" w:cs="Arial"/>
                <w:sz w:val="18"/>
                <w:szCs w:val="24"/>
              </w:rPr>
            </w:pPr>
            <w:r>
              <w:rPr>
                <w:rFonts w:cs="Arial"/>
                <w:sz w:val="18"/>
              </w:rPr>
              <w:t>Deklaration</w:t>
            </w:r>
          </w:p>
        </w:tc>
        <w:tc>
          <w:tcPr>
            <w:tcW w:w="1421" w:type="dxa"/>
          </w:tcPr>
          <w:p>
            <w:pPr>
              <w:pStyle w:val="GesAbsatz"/>
              <w:tabs>
                <w:tab w:val="clear" w:pos="425"/>
                <w:tab w:val="decimal" w:pos="824"/>
              </w:tabs>
              <w:rPr>
                <w:rFonts w:eastAsia="Arial Unicode MS" w:cs="Arial"/>
                <w:sz w:val="18"/>
                <w:szCs w:val="24"/>
              </w:rPr>
            </w:pPr>
            <w:r>
              <w:rPr>
                <w:rFonts w:cs="Arial"/>
                <w:sz w:val="18"/>
              </w:rPr>
              <w:t>4,31</w:t>
            </w:r>
          </w:p>
        </w:tc>
        <w:tc>
          <w:tcPr>
            <w:tcW w:w="1395" w:type="dxa"/>
            <w:vAlign w:val="center"/>
          </w:tcPr>
          <w:p>
            <w:pPr>
              <w:pStyle w:val="GesAbsatz"/>
              <w:tabs>
                <w:tab w:val="clear" w:pos="425"/>
                <w:tab w:val="decimal" w:pos="824"/>
              </w:tabs>
              <w:rPr>
                <w:rFonts w:eastAsia="Arial Unicode MS" w:cs="Arial"/>
                <w:sz w:val="18"/>
                <w:szCs w:val="24"/>
              </w:rPr>
            </w:pPr>
            <w:r>
              <w:rPr>
                <w:rFonts w:cs="Arial"/>
                <w:sz w:val="18"/>
              </w:rPr>
              <w:t>1,90</w:t>
            </w:r>
          </w:p>
        </w:tc>
        <w:tc>
          <w:tcPr>
            <w:tcW w:w="1405" w:type="dxa"/>
            <w:vAlign w:val="center"/>
          </w:tcPr>
          <w:p>
            <w:pPr>
              <w:pStyle w:val="GesAbsatz"/>
              <w:tabs>
                <w:tab w:val="clear" w:pos="425"/>
                <w:tab w:val="decimal" w:pos="824"/>
              </w:tabs>
              <w:rPr>
                <w:rFonts w:eastAsia="Arial Unicode MS" w:cs="Arial"/>
                <w:sz w:val="18"/>
                <w:szCs w:val="24"/>
              </w:rPr>
            </w:pPr>
            <w:r>
              <w:rPr>
                <w:rFonts w:cs="Arial"/>
                <w:sz w:val="18"/>
              </w:rPr>
              <w:t>10,03</w:t>
            </w:r>
          </w:p>
        </w:tc>
      </w:tr>
      <w:tr>
        <w:tc>
          <w:tcPr>
            <w:tcW w:w="2153" w:type="dxa"/>
            <w:vAlign w:val="center"/>
          </w:tcPr>
          <w:p>
            <w:pPr>
              <w:pStyle w:val="GesAbsatz"/>
              <w:rPr>
                <w:rFonts w:eastAsia="Arial Unicode MS" w:cs="Arial"/>
                <w:sz w:val="18"/>
                <w:szCs w:val="24"/>
              </w:rPr>
            </w:pPr>
            <w:r>
              <w:rPr>
                <w:rFonts w:cs="Arial"/>
                <w:sz w:val="18"/>
              </w:rPr>
              <w:t xml:space="preserve">Blei mg/kg TS </w:t>
            </w:r>
          </w:p>
        </w:tc>
        <w:tc>
          <w:tcPr>
            <w:tcW w:w="1619" w:type="dxa"/>
          </w:tcPr>
          <w:p>
            <w:pPr>
              <w:pStyle w:val="GesAbsatz"/>
              <w:tabs>
                <w:tab w:val="clear" w:pos="425"/>
                <w:tab w:val="decimal" w:pos="824"/>
              </w:tabs>
              <w:rPr>
                <w:rFonts w:eastAsia="Arial Unicode MS" w:cs="Arial"/>
                <w:sz w:val="18"/>
                <w:szCs w:val="24"/>
                <w:lang w:val="en-US"/>
              </w:rPr>
            </w:pPr>
            <w:r>
              <w:rPr>
                <w:rFonts w:cs="Arial"/>
                <w:sz w:val="18"/>
                <w:lang w:val="en-US"/>
              </w:rPr>
              <w:t>&lt; 150/&lt; 100 *</w:t>
            </w:r>
          </w:p>
        </w:tc>
        <w:tc>
          <w:tcPr>
            <w:tcW w:w="1785" w:type="dxa"/>
          </w:tcPr>
          <w:p>
            <w:pPr>
              <w:pStyle w:val="GesAbsatz"/>
              <w:tabs>
                <w:tab w:val="clear" w:pos="425"/>
                <w:tab w:val="decimal" w:pos="824"/>
              </w:tabs>
              <w:rPr>
                <w:rFonts w:eastAsia="Arial Unicode MS" w:cs="Arial"/>
                <w:sz w:val="18"/>
                <w:szCs w:val="24"/>
                <w:lang w:val="en-US"/>
              </w:rPr>
            </w:pPr>
            <w:r>
              <w:rPr>
                <w:rFonts w:cs="Arial"/>
                <w:sz w:val="18"/>
                <w:lang w:val="en-US"/>
              </w:rPr>
              <w:t xml:space="preserve">&lt; 150 </w:t>
            </w:r>
          </w:p>
        </w:tc>
        <w:tc>
          <w:tcPr>
            <w:tcW w:w="1421" w:type="dxa"/>
          </w:tcPr>
          <w:p>
            <w:pPr>
              <w:pStyle w:val="GesAbsatz"/>
              <w:tabs>
                <w:tab w:val="clear" w:pos="425"/>
                <w:tab w:val="decimal" w:pos="824"/>
              </w:tabs>
              <w:rPr>
                <w:rFonts w:eastAsia="Arial Unicode MS" w:cs="Arial"/>
                <w:sz w:val="18"/>
                <w:szCs w:val="24"/>
                <w:lang w:val="en-US"/>
              </w:rPr>
            </w:pPr>
            <w:r>
              <w:rPr>
                <w:rFonts w:cs="Arial"/>
                <w:sz w:val="18"/>
                <w:lang w:val="en-US"/>
              </w:rPr>
              <w:t>59,18</w:t>
            </w:r>
          </w:p>
        </w:tc>
        <w:tc>
          <w:tcPr>
            <w:tcW w:w="1395" w:type="dxa"/>
            <w:vAlign w:val="center"/>
          </w:tcPr>
          <w:p>
            <w:pPr>
              <w:pStyle w:val="GesAbsatz"/>
              <w:tabs>
                <w:tab w:val="clear" w:pos="425"/>
                <w:tab w:val="decimal" w:pos="824"/>
              </w:tabs>
              <w:rPr>
                <w:rFonts w:eastAsia="Arial Unicode MS" w:cs="Arial"/>
                <w:sz w:val="18"/>
                <w:szCs w:val="24"/>
                <w:lang w:val="en-US"/>
              </w:rPr>
            </w:pPr>
            <w:r>
              <w:rPr>
                <w:rFonts w:cs="Arial"/>
                <w:sz w:val="18"/>
                <w:lang w:val="en-US"/>
              </w:rPr>
              <w:t>30,0</w:t>
            </w:r>
          </w:p>
        </w:tc>
        <w:tc>
          <w:tcPr>
            <w:tcW w:w="1405" w:type="dxa"/>
            <w:vAlign w:val="center"/>
          </w:tcPr>
          <w:p>
            <w:pPr>
              <w:pStyle w:val="GesAbsatz"/>
              <w:tabs>
                <w:tab w:val="clear" w:pos="425"/>
                <w:tab w:val="decimal" w:pos="824"/>
              </w:tabs>
              <w:rPr>
                <w:rFonts w:eastAsia="Arial Unicode MS" w:cs="Arial"/>
                <w:sz w:val="18"/>
                <w:szCs w:val="24"/>
                <w:lang w:val="en-US"/>
              </w:rPr>
            </w:pPr>
            <w:r>
              <w:rPr>
                <w:rFonts w:cs="Arial"/>
                <w:sz w:val="18"/>
                <w:lang w:val="en-US"/>
              </w:rPr>
              <w:t>127,0</w:t>
            </w:r>
          </w:p>
        </w:tc>
      </w:tr>
      <w:tr>
        <w:tc>
          <w:tcPr>
            <w:tcW w:w="2153" w:type="dxa"/>
            <w:vAlign w:val="center"/>
          </w:tcPr>
          <w:p>
            <w:pPr>
              <w:pStyle w:val="GesAbsatz"/>
              <w:rPr>
                <w:rFonts w:eastAsia="Arial Unicode MS" w:cs="Arial"/>
                <w:sz w:val="18"/>
                <w:szCs w:val="24"/>
                <w:lang w:val="en-US"/>
              </w:rPr>
            </w:pPr>
            <w:r>
              <w:rPr>
                <w:rFonts w:cs="Arial"/>
                <w:sz w:val="18"/>
                <w:lang w:val="en-US"/>
              </w:rPr>
              <w:t xml:space="preserve">Cadmium mg/kg TS </w:t>
            </w:r>
          </w:p>
        </w:tc>
        <w:tc>
          <w:tcPr>
            <w:tcW w:w="1619" w:type="dxa"/>
          </w:tcPr>
          <w:p>
            <w:pPr>
              <w:pStyle w:val="GesAbsatz"/>
              <w:tabs>
                <w:tab w:val="clear" w:pos="425"/>
                <w:tab w:val="decimal" w:pos="824"/>
              </w:tabs>
              <w:rPr>
                <w:rFonts w:eastAsia="Arial Unicode MS" w:cs="Arial"/>
                <w:sz w:val="18"/>
                <w:szCs w:val="24"/>
                <w:lang w:val="en-US"/>
              </w:rPr>
            </w:pPr>
            <w:r>
              <w:rPr>
                <w:rFonts w:cs="Arial"/>
                <w:sz w:val="18"/>
                <w:lang w:val="en-US"/>
              </w:rPr>
              <w:t>&lt; 1,5/&lt; 1,0 *</w:t>
            </w:r>
          </w:p>
        </w:tc>
        <w:tc>
          <w:tcPr>
            <w:tcW w:w="1785" w:type="dxa"/>
          </w:tcPr>
          <w:p>
            <w:pPr>
              <w:pStyle w:val="GesAbsatz"/>
              <w:tabs>
                <w:tab w:val="clear" w:pos="425"/>
                <w:tab w:val="decimal" w:pos="824"/>
              </w:tabs>
              <w:rPr>
                <w:rFonts w:eastAsia="Arial Unicode MS" w:cs="Arial"/>
                <w:sz w:val="18"/>
                <w:szCs w:val="24"/>
                <w:lang w:val="en-US"/>
              </w:rPr>
            </w:pPr>
            <w:r>
              <w:rPr>
                <w:rFonts w:cs="Arial"/>
                <w:sz w:val="18"/>
                <w:lang w:val="en-US"/>
              </w:rPr>
              <w:t>&lt; 1,5</w:t>
            </w:r>
          </w:p>
        </w:tc>
        <w:tc>
          <w:tcPr>
            <w:tcW w:w="1421" w:type="dxa"/>
          </w:tcPr>
          <w:p>
            <w:pPr>
              <w:pStyle w:val="GesAbsatz"/>
              <w:tabs>
                <w:tab w:val="clear" w:pos="425"/>
                <w:tab w:val="decimal" w:pos="824"/>
              </w:tabs>
              <w:rPr>
                <w:rFonts w:eastAsia="Arial Unicode MS" w:cs="Arial"/>
                <w:sz w:val="18"/>
                <w:szCs w:val="24"/>
                <w:lang w:val="en-US"/>
              </w:rPr>
            </w:pPr>
            <w:r>
              <w:rPr>
                <w:rFonts w:cs="Arial"/>
                <w:sz w:val="18"/>
                <w:lang w:val="en-US"/>
              </w:rPr>
              <w:t>0,69</w:t>
            </w:r>
          </w:p>
        </w:tc>
        <w:tc>
          <w:tcPr>
            <w:tcW w:w="1395" w:type="dxa"/>
            <w:vAlign w:val="center"/>
          </w:tcPr>
          <w:p>
            <w:pPr>
              <w:pStyle w:val="GesAbsatz"/>
              <w:tabs>
                <w:tab w:val="clear" w:pos="425"/>
                <w:tab w:val="decimal" w:pos="824"/>
              </w:tabs>
              <w:rPr>
                <w:rFonts w:eastAsia="Arial Unicode MS" w:cs="Arial"/>
                <w:sz w:val="18"/>
                <w:szCs w:val="24"/>
                <w:lang w:val="en-US"/>
              </w:rPr>
            </w:pPr>
            <w:r>
              <w:rPr>
                <w:rFonts w:cs="Arial"/>
                <w:sz w:val="18"/>
                <w:lang w:val="en-US"/>
              </w:rPr>
              <w:t>0,37</w:t>
            </w:r>
          </w:p>
        </w:tc>
        <w:tc>
          <w:tcPr>
            <w:tcW w:w="1405" w:type="dxa"/>
            <w:vAlign w:val="center"/>
          </w:tcPr>
          <w:p>
            <w:pPr>
              <w:pStyle w:val="GesAbsatz"/>
              <w:tabs>
                <w:tab w:val="clear" w:pos="425"/>
                <w:tab w:val="decimal" w:pos="824"/>
              </w:tabs>
              <w:rPr>
                <w:rFonts w:eastAsia="Arial Unicode MS" w:cs="Arial"/>
                <w:sz w:val="18"/>
                <w:szCs w:val="24"/>
                <w:lang w:val="en-US"/>
              </w:rPr>
            </w:pPr>
            <w:r>
              <w:rPr>
                <w:rFonts w:cs="Arial"/>
                <w:sz w:val="18"/>
                <w:lang w:val="en-US"/>
              </w:rPr>
              <w:t>1,3</w:t>
            </w:r>
          </w:p>
        </w:tc>
      </w:tr>
      <w:tr>
        <w:tc>
          <w:tcPr>
            <w:tcW w:w="2153" w:type="dxa"/>
            <w:vAlign w:val="center"/>
          </w:tcPr>
          <w:p>
            <w:pPr>
              <w:pStyle w:val="GesAbsatz"/>
              <w:rPr>
                <w:rFonts w:eastAsia="Arial Unicode MS" w:cs="Arial"/>
                <w:sz w:val="18"/>
                <w:szCs w:val="24"/>
                <w:lang w:val="en-US"/>
              </w:rPr>
            </w:pPr>
            <w:r>
              <w:rPr>
                <w:rFonts w:cs="Arial"/>
                <w:sz w:val="18"/>
                <w:lang w:val="en-US"/>
              </w:rPr>
              <w:lastRenderedPageBreak/>
              <w:t xml:space="preserve">Chrom mg/kg TS </w:t>
            </w:r>
          </w:p>
        </w:tc>
        <w:tc>
          <w:tcPr>
            <w:tcW w:w="1619" w:type="dxa"/>
            <w:vAlign w:val="bottom"/>
          </w:tcPr>
          <w:p>
            <w:pPr>
              <w:pStyle w:val="GesAbsatz"/>
              <w:tabs>
                <w:tab w:val="clear" w:pos="425"/>
                <w:tab w:val="decimal" w:pos="824"/>
              </w:tabs>
              <w:rPr>
                <w:rFonts w:eastAsia="Arial Unicode MS" w:cs="Arial"/>
                <w:sz w:val="18"/>
                <w:szCs w:val="24"/>
              </w:rPr>
            </w:pPr>
            <w:r>
              <w:rPr>
                <w:rFonts w:cs="Arial"/>
                <w:sz w:val="18"/>
              </w:rPr>
              <w:t>&lt; 100/&lt; 100 *</w:t>
            </w:r>
          </w:p>
        </w:tc>
        <w:tc>
          <w:tcPr>
            <w:tcW w:w="1785" w:type="dxa"/>
            <w:vAlign w:val="bottom"/>
          </w:tcPr>
          <w:p>
            <w:pPr>
              <w:pStyle w:val="GesAbsatz"/>
              <w:tabs>
                <w:tab w:val="clear" w:pos="425"/>
                <w:tab w:val="decimal" w:pos="824"/>
              </w:tabs>
              <w:rPr>
                <w:rFonts w:eastAsia="Arial Unicode MS" w:cs="Arial"/>
                <w:sz w:val="18"/>
                <w:szCs w:val="24"/>
              </w:rPr>
            </w:pPr>
            <w:r>
              <w:rPr>
                <w:rFonts w:cs="Arial"/>
                <w:sz w:val="18"/>
              </w:rPr>
              <w:t>&lt; 100</w:t>
            </w:r>
          </w:p>
        </w:tc>
        <w:tc>
          <w:tcPr>
            <w:tcW w:w="1421" w:type="dxa"/>
            <w:vAlign w:val="bottom"/>
          </w:tcPr>
          <w:p>
            <w:pPr>
              <w:pStyle w:val="GesAbsatz"/>
              <w:tabs>
                <w:tab w:val="clear" w:pos="425"/>
                <w:tab w:val="decimal" w:pos="824"/>
              </w:tabs>
              <w:rPr>
                <w:rFonts w:eastAsia="Arial Unicode MS" w:cs="Arial"/>
                <w:sz w:val="18"/>
                <w:szCs w:val="24"/>
              </w:rPr>
            </w:pPr>
            <w:r>
              <w:rPr>
                <w:rFonts w:cs="Arial"/>
                <w:sz w:val="18"/>
              </w:rPr>
              <w:t>24,57</w:t>
            </w:r>
          </w:p>
        </w:tc>
        <w:tc>
          <w:tcPr>
            <w:tcW w:w="1395" w:type="dxa"/>
            <w:vAlign w:val="bottom"/>
          </w:tcPr>
          <w:p>
            <w:pPr>
              <w:pStyle w:val="GesAbsatz"/>
              <w:tabs>
                <w:tab w:val="clear" w:pos="425"/>
                <w:tab w:val="decimal" w:pos="824"/>
              </w:tabs>
              <w:rPr>
                <w:rFonts w:eastAsia="Arial Unicode MS" w:cs="Arial"/>
                <w:sz w:val="18"/>
                <w:szCs w:val="24"/>
              </w:rPr>
            </w:pPr>
            <w:r>
              <w:rPr>
                <w:rFonts w:cs="Arial"/>
                <w:sz w:val="18"/>
              </w:rPr>
              <w:t>12,44</w:t>
            </w:r>
          </w:p>
        </w:tc>
        <w:tc>
          <w:tcPr>
            <w:tcW w:w="1405" w:type="dxa"/>
            <w:vAlign w:val="bottom"/>
          </w:tcPr>
          <w:p>
            <w:pPr>
              <w:pStyle w:val="GesAbsatz"/>
              <w:tabs>
                <w:tab w:val="clear" w:pos="425"/>
                <w:tab w:val="decimal" w:pos="824"/>
              </w:tabs>
              <w:rPr>
                <w:rFonts w:eastAsia="Arial Unicode MS" w:cs="Arial"/>
                <w:sz w:val="18"/>
                <w:szCs w:val="24"/>
              </w:rPr>
            </w:pPr>
            <w:r>
              <w:rPr>
                <w:rFonts w:cs="Arial"/>
                <w:sz w:val="18"/>
              </w:rPr>
              <w:t>64,1</w:t>
            </w:r>
          </w:p>
        </w:tc>
      </w:tr>
      <w:tr>
        <w:tc>
          <w:tcPr>
            <w:tcW w:w="2153" w:type="dxa"/>
            <w:vAlign w:val="center"/>
          </w:tcPr>
          <w:p>
            <w:pPr>
              <w:pStyle w:val="GesAbsatz"/>
              <w:rPr>
                <w:rFonts w:eastAsia="Arial Unicode MS" w:cs="Arial"/>
                <w:sz w:val="18"/>
                <w:szCs w:val="24"/>
              </w:rPr>
            </w:pPr>
            <w:r>
              <w:rPr>
                <w:rFonts w:cs="Arial"/>
                <w:sz w:val="18"/>
              </w:rPr>
              <w:t>Kupfer mg/kg TS</w:t>
            </w:r>
          </w:p>
        </w:tc>
        <w:tc>
          <w:tcPr>
            <w:tcW w:w="1619" w:type="dxa"/>
          </w:tcPr>
          <w:p>
            <w:pPr>
              <w:pStyle w:val="GesAbsatz"/>
              <w:tabs>
                <w:tab w:val="clear" w:pos="425"/>
                <w:tab w:val="decimal" w:pos="824"/>
              </w:tabs>
              <w:rPr>
                <w:rFonts w:eastAsia="Arial Unicode MS" w:cs="Arial"/>
                <w:sz w:val="18"/>
                <w:szCs w:val="24"/>
              </w:rPr>
            </w:pPr>
            <w:r>
              <w:rPr>
                <w:rFonts w:cs="Arial"/>
                <w:sz w:val="18"/>
              </w:rPr>
              <w:t>&lt; 100/&lt; 75 *</w:t>
            </w:r>
          </w:p>
        </w:tc>
        <w:tc>
          <w:tcPr>
            <w:tcW w:w="1785" w:type="dxa"/>
          </w:tcPr>
          <w:p>
            <w:pPr>
              <w:pStyle w:val="GesAbsatz"/>
              <w:tabs>
                <w:tab w:val="clear" w:pos="425"/>
                <w:tab w:val="decimal" w:pos="824"/>
              </w:tabs>
              <w:rPr>
                <w:rFonts w:eastAsia="Arial Unicode MS" w:cs="Arial"/>
                <w:sz w:val="18"/>
                <w:szCs w:val="24"/>
              </w:rPr>
            </w:pPr>
            <w:r>
              <w:rPr>
                <w:rFonts w:cs="Arial"/>
                <w:sz w:val="18"/>
              </w:rPr>
              <w:t>&lt; 100</w:t>
            </w:r>
          </w:p>
        </w:tc>
        <w:tc>
          <w:tcPr>
            <w:tcW w:w="1421" w:type="dxa"/>
          </w:tcPr>
          <w:p>
            <w:pPr>
              <w:pStyle w:val="GesAbsatz"/>
              <w:tabs>
                <w:tab w:val="clear" w:pos="425"/>
                <w:tab w:val="decimal" w:pos="824"/>
              </w:tabs>
              <w:rPr>
                <w:rFonts w:eastAsia="Arial Unicode MS" w:cs="Arial"/>
                <w:sz w:val="18"/>
                <w:szCs w:val="24"/>
              </w:rPr>
            </w:pPr>
            <w:r>
              <w:rPr>
                <w:rFonts w:cs="Arial"/>
                <w:sz w:val="18"/>
              </w:rPr>
              <w:t>41,69</w:t>
            </w:r>
          </w:p>
        </w:tc>
        <w:tc>
          <w:tcPr>
            <w:tcW w:w="1395" w:type="dxa"/>
          </w:tcPr>
          <w:p>
            <w:pPr>
              <w:pStyle w:val="GesAbsatz"/>
              <w:tabs>
                <w:tab w:val="clear" w:pos="425"/>
                <w:tab w:val="decimal" w:pos="824"/>
              </w:tabs>
              <w:rPr>
                <w:rFonts w:eastAsia="Arial Unicode MS" w:cs="Arial"/>
                <w:sz w:val="18"/>
                <w:szCs w:val="24"/>
              </w:rPr>
            </w:pPr>
            <w:r>
              <w:rPr>
                <w:rFonts w:cs="Arial"/>
                <w:sz w:val="18"/>
              </w:rPr>
              <w:t>20,45</w:t>
            </w:r>
          </w:p>
        </w:tc>
        <w:tc>
          <w:tcPr>
            <w:tcW w:w="1405" w:type="dxa"/>
          </w:tcPr>
          <w:p>
            <w:pPr>
              <w:pStyle w:val="GesAbsatz"/>
              <w:tabs>
                <w:tab w:val="clear" w:pos="425"/>
                <w:tab w:val="decimal" w:pos="824"/>
              </w:tabs>
              <w:rPr>
                <w:rFonts w:eastAsia="Arial Unicode MS" w:cs="Arial"/>
                <w:sz w:val="18"/>
                <w:szCs w:val="24"/>
              </w:rPr>
            </w:pPr>
            <w:r>
              <w:rPr>
                <w:rFonts w:cs="Arial"/>
                <w:sz w:val="18"/>
              </w:rPr>
              <w:t>77,0</w:t>
            </w:r>
          </w:p>
        </w:tc>
      </w:tr>
      <w:tr>
        <w:tc>
          <w:tcPr>
            <w:tcW w:w="2153" w:type="dxa"/>
            <w:vAlign w:val="center"/>
          </w:tcPr>
          <w:p>
            <w:pPr>
              <w:pStyle w:val="GesAbsatz"/>
              <w:rPr>
                <w:rFonts w:eastAsia="Arial Unicode MS" w:cs="Arial"/>
                <w:sz w:val="18"/>
                <w:szCs w:val="24"/>
              </w:rPr>
            </w:pPr>
            <w:r>
              <w:rPr>
                <w:rFonts w:cs="Arial"/>
                <w:sz w:val="18"/>
              </w:rPr>
              <w:t xml:space="preserve">Nickel mg/kg TS </w:t>
            </w:r>
          </w:p>
        </w:tc>
        <w:tc>
          <w:tcPr>
            <w:tcW w:w="1619" w:type="dxa"/>
          </w:tcPr>
          <w:p>
            <w:pPr>
              <w:pStyle w:val="GesAbsatz"/>
              <w:tabs>
                <w:tab w:val="clear" w:pos="425"/>
                <w:tab w:val="decimal" w:pos="824"/>
              </w:tabs>
              <w:rPr>
                <w:rFonts w:eastAsia="Arial Unicode MS" w:cs="Arial"/>
                <w:sz w:val="18"/>
                <w:szCs w:val="24"/>
              </w:rPr>
            </w:pPr>
            <w:r>
              <w:rPr>
                <w:rFonts w:cs="Arial"/>
                <w:sz w:val="18"/>
              </w:rPr>
              <w:t>&lt; 50/&lt; 50 *</w:t>
            </w:r>
          </w:p>
        </w:tc>
        <w:tc>
          <w:tcPr>
            <w:tcW w:w="1785" w:type="dxa"/>
          </w:tcPr>
          <w:p>
            <w:pPr>
              <w:pStyle w:val="GesAbsatz"/>
              <w:tabs>
                <w:tab w:val="clear" w:pos="425"/>
                <w:tab w:val="decimal" w:pos="824"/>
              </w:tabs>
              <w:rPr>
                <w:rFonts w:eastAsia="Arial Unicode MS" w:cs="Arial"/>
                <w:sz w:val="18"/>
                <w:szCs w:val="24"/>
              </w:rPr>
            </w:pPr>
            <w:r>
              <w:rPr>
                <w:rFonts w:cs="Arial"/>
                <w:sz w:val="18"/>
              </w:rPr>
              <w:t>&lt; 50</w:t>
            </w:r>
          </w:p>
        </w:tc>
        <w:tc>
          <w:tcPr>
            <w:tcW w:w="1421" w:type="dxa"/>
          </w:tcPr>
          <w:p>
            <w:pPr>
              <w:pStyle w:val="GesAbsatz"/>
              <w:tabs>
                <w:tab w:val="clear" w:pos="425"/>
                <w:tab w:val="decimal" w:pos="824"/>
              </w:tabs>
              <w:rPr>
                <w:rFonts w:eastAsia="Arial Unicode MS" w:cs="Arial"/>
                <w:sz w:val="18"/>
                <w:szCs w:val="24"/>
              </w:rPr>
            </w:pPr>
            <w:r>
              <w:rPr>
                <w:rFonts w:cs="Arial"/>
                <w:sz w:val="18"/>
              </w:rPr>
              <w:t>15,51</w:t>
            </w:r>
          </w:p>
        </w:tc>
        <w:tc>
          <w:tcPr>
            <w:tcW w:w="1395" w:type="dxa"/>
          </w:tcPr>
          <w:p>
            <w:pPr>
              <w:pStyle w:val="GesAbsatz"/>
              <w:tabs>
                <w:tab w:val="clear" w:pos="425"/>
                <w:tab w:val="decimal" w:pos="824"/>
              </w:tabs>
              <w:rPr>
                <w:rFonts w:eastAsia="Arial Unicode MS" w:cs="Arial"/>
                <w:sz w:val="18"/>
                <w:szCs w:val="24"/>
              </w:rPr>
            </w:pPr>
            <w:r>
              <w:rPr>
                <w:rFonts w:cs="Arial"/>
                <w:sz w:val="18"/>
              </w:rPr>
              <w:t>7,6</w:t>
            </w:r>
          </w:p>
        </w:tc>
        <w:tc>
          <w:tcPr>
            <w:tcW w:w="1405" w:type="dxa"/>
          </w:tcPr>
          <w:p>
            <w:pPr>
              <w:pStyle w:val="GesAbsatz"/>
              <w:tabs>
                <w:tab w:val="clear" w:pos="425"/>
                <w:tab w:val="decimal" w:pos="824"/>
              </w:tabs>
              <w:rPr>
                <w:rFonts w:eastAsia="Arial Unicode MS" w:cs="Arial"/>
                <w:sz w:val="18"/>
                <w:szCs w:val="24"/>
              </w:rPr>
            </w:pPr>
            <w:r>
              <w:rPr>
                <w:rFonts w:cs="Arial"/>
                <w:sz w:val="18"/>
              </w:rPr>
              <w:t>56,9</w:t>
            </w:r>
          </w:p>
        </w:tc>
      </w:tr>
      <w:tr>
        <w:tc>
          <w:tcPr>
            <w:tcW w:w="2153" w:type="dxa"/>
            <w:vAlign w:val="center"/>
          </w:tcPr>
          <w:p>
            <w:pPr>
              <w:pStyle w:val="GesAbsatz"/>
              <w:rPr>
                <w:rFonts w:eastAsia="Arial Unicode MS" w:cs="Arial"/>
                <w:sz w:val="18"/>
                <w:szCs w:val="24"/>
              </w:rPr>
            </w:pPr>
            <w:r>
              <w:rPr>
                <w:rFonts w:cs="Arial"/>
                <w:sz w:val="18"/>
              </w:rPr>
              <w:t>Quecksilber mg/kg TS</w:t>
            </w:r>
          </w:p>
        </w:tc>
        <w:tc>
          <w:tcPr>
            <w:tcW w:w="1619" w:type="dxa"/>
          </w:tcPr>
          <w:p>
            <w:pPr>
              <w:pStyle w:val="GesAbsatz"/>
              <w:tabs>
                <w:tab w:val="clear" w:pos="425"/>
                <w:tab w:val="decimal" w:pos="824"/>
              </w:tabs>
              <w:rPr>
                <w:rFonts w:eastAsia="Arial Unicode MS" w:cs="Arial"/>
                <w:sz w:val="18"/>
                <w:szCs w:val="24"/>
                <w:lang w:val="en-US"/>
              </w:rPr>
            </w:pPr>
            <w:r>
              <w:rPr>
                <w:rFonts w:cs="Arial"/>
                <w:sz w:val="18"/>
                <w:lang w:val="en-US"/>
              </w:rPr>
              <w:t>&lt; 1,0/&lt; 1,0 *</w:t>
            </w:r>
          </w:p>
        </w:tc>
        <w:tc>
          <w:tcPr>
            <w:tcW w:w="1785" w:type="dxa"/>
          </w:tcPr>
          <w:p>
            <w:pPr>
              <w:pStyle w:val="GesAbsatz"/>
              <w:tabs>
                <w:tab w:val="clear" w:pos="425"/>
                <w:tab w:val="decimal" w:pos="824"/>
              </w:tabs>
              <w:rPr>
                <w:rFonts w:eastAsia="Arial Unicode MS" w:cs="Arial"/>
                <w:sz w:val="18"/>
                <w:szCs w:val="24"/>
                <w:lang w:val="en-US"/>
              </w:rPr>
            </w:pPr>
            <w:r>
              <w:rPr>
                <w:rFonts w:cs="Arial"/>
                <w:sz w:val="18"/>
                <w:lang w:val="en-US"/>
              </w:rPr>
              <w:t>&lt; 1,0</w:t>
            </w:r>
          </w:p>
        </w:tc>
        <w:tc>
          <w:tcPr>
            <w:tcW w:w="1421" w:type="dxa"/>
          </w:tcPr>
          <w:p>
            <w:pPr>
              <w:pStyle w:val="GesAbsatz"/>
              <w:tabs>
                <w:tab w:val="clear" w:pos="425"/>
                <w:tab w:val="decimal" w:pos="824"/>
              </w:tabs>
              <w:rPr>
                <w:rFonts w:eastAsia="Arial Unicode MS" w:cs="Arial"/>
                <w:sz w:val="18"/>
                <w:szCs w:val="24"/>
                <w:lang w:val="en-US"/>
              </w:rPr>
            </w:pPr>
            <w:r>
              <w:rPr>
                <w:rFonts w:cs="Arial"/>
                <w:sz w:val="18"/>
                <w:lang w:val="en-US"/>
              </w:rPr>
              <w:t>0,15</w:t>
            </w:r>
          </w:p>
        </w:tc>
        <w:tc>
          <w:tcPr>
            <w:tcW w:w="1395" w:type="dxa"/>
          </w:tcPr>
          <w:p>
            <w:pPr>
              <w:pStyle w:val="GesAbsatz"/>
              <w:tabs>
                <w:tab w:val="clear" w:pos="425"/>
                <w:tab w:val="decimal" w:pos="824"/>
              </w:tabs>
              <w:rPr>
                <w:rFonts w:eastAsia="Arial Unicode MS" w:cs="Arial"/>
                <w:sz w:val="18"/>
                <w:szCs w:val="24"/>
                <w:lang w:val="en-US"/>
              </w:rPr>
            </w:pPr>
            <w:r>
              <w:rPr>
                <w:rFonts w:cs="Arial"/>
                <w:sz w:val="18"/>
                <w:lang w:val="en-US"/>
              </w:rPr>
              <w:t>0,09</w:t>
            </w:r>
          </w:p>
        </w:tc>
        <w:tc>
          <w:tcPr>
            <w:tcW w:w="1405" w:type="dxa"/>
          </w:tcPr>
          <w:p>
            <w:pPr>
              <w:pStyle w:val="GesAbsatz"/>
              <w:tabs>
                <w:tab w:val="clear" w:pos="425"/>
                <w:tab w:val="decimal" w:pos="824"/>
              </w:tabs>
              <w:rPr>
                <w:rFonts w:eastAsia="Arial Unicode MS" w:cs="Arial"/>
                <w:sz w:val="18"/>
                <w:szCs w:val="24"/>
                <w:lang w:val="en-US"/>
              </w:rPr>
            </w:pPr>
            <w:r>
              <w:rPr>
                <w:rFonts w:cs="Arial"/>
                <w:sz w:val="18"/>
                <w:lang w:val="en-US"/>
              </w:rPr>
              <w:t>0,6</w:t>
            </w:r>
          </w:p>
        </w:tc>
      </w:tr>
      <w:tr>
        <w:tc>
          <w:tcPr>
            <w:tcW w:w="2153" w:type="dxa"/>
            <w:vAlign w:val="center"/>
          </w:tcPr>
          <w:p>
            <w:pPr>
              <w:pStyle w:val="GesAbsatz"/>
              <w:rPr>
                <w:rFonts w:eastAsia="Arial Unicode MS" w:cs="Arial"/>
                <w:sz w:val="18"/>
                <w:szCs w:val="24"/>
                <w:lang w:val="en-US"/>
              </w:rPr>
            </w:pPr>
            <w:r>
              <w:rPr>
                <w:rFonts w:cs="Arial"/>
                <w:sz w:val="18"/>
                <w:lang w:val="en-US"/>
              </w:rPr>
              <w:t>Zink mg/kg TS</w:t>
            </w:r>
          </w:p>
        </w:tc>
        <w:tc>
          <w:tcPr>
            <w:tcW w:w="1619" w:type="dxa"/>
          </w:tcPr>
          <w:p>
            <w:pPr>
              <w:pStyle w:val="GesAbsatz"/>
              <w:tabs>
                <w:tab w:val="clear" w:pos="425"/>
                <w:tab w:val="decimal" w:pos="824"/>
              </w:tabs>
              <w:rPr>
                <w:rFonts w:eastAsia="Arial Unicode MS" w:cs="Arial"/>
                <w:sz w:val="18"/>
                <w:szCs w:val="24"/>
              </w:rPr>
            </w:pPr>
            <w:r>
              <w:rPr>
                <w:rFonts w:cs="Arial"/>
                <w:sz w:val="18"/>
              </w:rPr>
              <w:t>&lt; 400/&lt; 300 *</w:t>
            </w:r>
          </w:p>
        </w:tc>
        <w:tc>
          <w:tcPr>
            <w:tcW w:w="1785" w:type="dxa"/>
          </w:tcPr>
          <w:p>
            <w:pPr>
              <w:pStyle w:val="GesAbsatz"/>
              <w:tabs>
                <w:tab w:val="clear" w:pos="425"/>
                <w:tab w:val="decimal" w:pos="824"/>
              </w:tabs>
              <w:rPr>
                <w:rFonts w:eastAsia="Arial Unicode MS" w:cs="Arial"/>
                <w:sz w:val="18"/>
                <w:szCs w:val="24"/>
              </w:rPr>
            </w:pPr>
            <w:r>
              <w:rPr>
                <w:rFonts w:cs="Arial"/>
                <w:sz w:val="18"/>
              </w:rPr>
              <w:t>&lt; 400</w:t>
            </w:r>
          </w:p>
        </w:tc>
        <w:tc>
          <w:tcPr>
            <w:tcW w:w="1421" w:type="dxa"/>
          </w:tcPr>
          <w:p>
            <w:pPr>
              <w:pStyle w:val="GesAbsatz"/>
              <w:tabs>
                <w:tab w:val="clear" w:pos="425"/>
                <w:tab w:val="decimal" w:pos="824"/>
              </w:tabs>
              <w:rPr>
                <w:rFonts w:eastAsia="Arial Unicode MS" w:cs="Arial"/>
                <w:sz w:val="18"/>
                <w:szCs w:val="24"/>
              </w:rPr>
            </w:pPr>
            <w:r>
              <w:rPr>
                <w:rFonts w:cs="Arial"/>
                <w:sz w:val="18"/>
              </w:rPr>
              <w:t>197,38</w:t>
            </w:r>
          </w:p>
        </w:tc>
        <w:tc>
          <w:tcPr>
            <w:tcW w:w="1395" w:type="dxa"/>
          </w:tcPr>
          <w:p>
            <w:pPr>
              <w:pStyle w:val="GesAbsatz"/>
              <w:tabs>
                <w:tab w:val="clear" w:pos="425"/>
                <w:tab w:val="decimal" w:pos="824"/>
              </w:tabs>
              <w:rPr>
                <w:rFonts w:eastAsia="Arial Unicode MS" w:cs="Arial"/>
                <w:sz w:val="18"/>
                <w:szCs w:val="24"/>
              </w:rPr>
            </w:pPr>
            <w:r>
              <w:rPr>
                <w:rFonts w:cs="Arial"/>
                <w:sz w:val="18"/>
              </w:rPr>
              <w:t>97,5</w:t>
            </w:r>
          </w:p>
        </w:tc>
        <w:tc>
          <w:tcPr>
            <w:tcW w:w="1405" w:type="dxa"/>
          </w:tcPr>
          <w:p>
            <w:pPr>
              <w:pStyle w:val="GesAbsatz"/>
              <w:tabs>
                <w:tab w:val="clear" w:pos="425"/>
                <w:tab w:val="decimal" w:pos="824"/>
              </w:tabs>
              <w:rPr>
                <w:rFonts w:eastAsia="Arial Unicode MS" w:cs="Arial"/>
                <w:sz w:val="18"/>
                <w:szCs w:val="24"/>
              </w:rPr>
            </w:pPr>
            <w:r>
              <w:rPr>
                <w:rFonts w:cs="Arial"/>
                <w:sz w:val="18"/>
              </w:rPr>
              <w:t>367,0</w:t>
            </w:r>
          </w:p>
        </w:tc>
      </w:tr>
      <w:tr>
        <w:tc>
          <w:tcPr>
            <w:tcW w:w="9778" w:type="dxa"/>
            <w:gridSpan w:val="6"/>
            <w:vAlign w:val="center"/>
          </w:tcPr>
          <w:p>
            <w:pPr>
              <w:pStyle w:val="GesAbsatz"/>
              <w:rPr>
                <w:rFonts w:eastAsia="Arial Unicode MS" w:cs="Arial"/>
                <w:sz w:val="18"/>
                <w:szCs w:val="24"/>
              </w:rPr>
            </w:pPr>
            <w:r>
              <w:rPr>
                <w:rFonts w:cs="Arial"/>
                <w:sz w:val="18"/>
                <w:szCs w:val="15"/>
                <w:vertAlign w:val="superscript"/>
              </w:rPr>
              <w:t>1</w:t>
            </w:r>
            <w:r>
              <w:rPr>
                <w:rFonts w:cs="Arial"/>
                <w:sz w:val="18"/>
                <w:szCs w:val="15"/>
              </w:rPr>
              <w:t xml:space="preserve"> Analyseergebnisse eines Jahres von 40 Kompostierungsanlagen</w:t>
            </w:r>
            <w:r>
              <w:rPr>
                <w:rFonts w:cs="Arial"/>
                <w:sz w:val="18"/>
                <w:szCs w:val="15"/>
              </w:rPr>
              <w:br/>
            </w:r>
            <w:r>
              <w:rPr>
                <w:rFonts w:cs="Arial"/>
                <w:sz w:val="18"/>
                <w:szCs w:val="15"/>
                <w:vertAlign w:val="superscript"/>
              </w:rPr>
              <w:t>2</w:t>
            </w:r>
            <w:r>
              <w:rPr>
                <w:rFonts w:cs="Arial"/>
                <w:sz w:val="18"/>
                <w:szCs w:val="15"/>
              </w:rPr>
              <w:t xml:space="preserve"> in den Gütebestimmungen Substratkomposte teilweise detailliertere Angaben</w:t>
            </w:r>
            <w:r>
              <w:rPr>
                <w:rFonts w:cs="Arial"/>
                <w:sz w:val="18"/>
                <w:szCs w:val="15"/>
              </w:rPr>
              <w:br/>
            </w:r>
            <w:r>
              <w:rPr>
                <w:rFonts w:cs="Arial"/>
                <w:sz w:val="18"/>
                <w:szCs w:val="15"/>
                <w:vertAlign w:val="superscript"/>
              </w:rPr>
              <w:t>3</w:t>
            </w:r>
            <w:r>
              <w:rPr>
                <w:rFonts w:cs="Arial"/>
                <w:sz w:val="18"/>
                <w:szCs w:val="15"/>
              </w:rPr>
              <w:t xml:space="preserve"> je nach Zumischung von 40 %/20 % Kompost</w:t>
            </w:r>
            <w:r>
              <w:rPr>
                <w:rFonts w:cs="Arial"/>
                <w:sz w:val="18"/>
                <w:szCs w:val="15"/>
              </w:rPr>
              <w:br/>
            </w:r>
            <w:r>
              <w:rPr>
                <w:rFonts w:cs="Arial"/>
                <w:sz w:val="18"/>
                <w:szCs w:val="15"/>
                <w:vertAlign w:val="superscript"/>
              </w:rPr>
              <w:t>4</w:t>
            </w:r>
            <w:r>
              <w:rPr>
                <w:rFonts w:cs="Arial"/>
                <w:sz w:val="18"/>
                <w:szCs w:val="15"/>
              </w:rPr>
              <w:t xml:space="preserve"> Gesamtgehalte</w:t>
            </w:r>
            <w:r>
              <w:rPr>
                <w:rFonts w:cs="Arial"/>
                <w:sz w:val="18"/>
                <w:szCs w:val="15"/>
              </w:rPr>
              <w:br/>
            </w:r>
            <w:r>
              <w:rPr>
                <w:rFonts w:cs="Arial"/>
                <w:sz w:val="18"/>
                <w:szCs w:val="15"/>
                <w:vertAlign w:val="superscript"/>
              </w:rPr>
              <w:t>5</w:t>
            </w:r>
            <w:r>
              <w:rPr>
                <w:rFonts w:cs="Arial"/>
                <w:sz w:val="18"/>
                <w:szCs w:val="15"/>
              </w:rPr>
              <w:t xml:space="preserve"> löslich</w:t>
            </w:r>
            <w:r>
              <w:rPr>
                <w:rFonts w:cs="Arial"/>
                <w:sz w:val="18"/>
                <w:szCs w:val="15"/>
              </w:rPr>
              <w:br/>
              <w:t>* bei einer Aufbringung von 20 Mg TS/ha Kompost in 3 Jahren/30 Mg TS/ha Kompost in 3 Jahren</w:t>
            </w:r>
          </w:p>
        </w:tc>
      </w:tr>
    </w:tbl>
    <w:p>
      <w:pPr>
        <w:pStyle w:val="GesAbsatz"/>
        <w:rPr>
          <w:rFonts w:eastAsia="Arial Unicode MS" w:cs="Arial"/>
        </w:rPr>
      </w:pPr>
    </w:p>
    <w:p>
      <w:pPr>
        <w:pStyle w:val="GesAbsatz"/>
        <w:rPr>
          <w:rFonts w:cs="Arial"/>
        </w:rPr>
      </w:pPr>
      <w:r>
        <w:rPr>
          <w:rFonts w:cs="Arial"/>
          <w:b/>
          <w:bCs/>
        </w:rPr>
        <w:t>Tabelle 29: Produktion und Absatz von Torf sowie Schätzung des Substitutionspotenzials durch Bio- und Grünkomposte in Deutschland</w:t>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6"/>
        <w:gridCol w:w="975"/>
        <w:gridCol w:w="1441"/>
        <w:gridCol w:w="993"/>
        <w:gridCol w:w="1290"/>
        <w:gridCol w:w="2014"/>
        <w:gridCol w:w="1289"/>
      </w:tblGrid>
      <w:tr>
        <w:tc>
          <w:tcPr>
            <w:tcW w:w="1776" w:type="dxa"/>
          </w:tcPr>
          <w:p>
            <w:pPr>
              <w:pStyle w:val="GesAbsatz"/>
              <w:jc w:val="center"/>
              <w:rPr>
                <w:rFonts w:eastAsia="Arial Unicode MS" w:cs="Arial"/>
                <w:sz w:val="18"/>
                <w:szCs w:val="24"/>
              </w:rPr>
            </w:pPr>
          </w:p>
        </w:tc>
        <w:tc>
          <w:tcPr>
            <w:tcW w:w="975" w:type="dxa"/>
          </w:tcPr>
          <w:p>
            <w:pPr>
              <w:pStyle w:val="GesAbsatz"/>
              <w:jc w:val="center"/>
              <w:rPr>
                <w:rFonts w:eastAsia="Arial Unicode MS" w:cs="Arial"/>
                <w:sz w:val="18"/>
                <w:szCs w:val="24"/>
                <w:lang w:val="it-IT"/>
              </w:rPr>
            </w:pPr>
            <w:r>
              <w:rPr>
                <w:rFonts w:cs="Arial"/>
                <w:b/>
                <w:bCs/>
                <w:sz w:val="18"/>
                <w:lang w:val="it-IT"/>
              </w:rPr>
              <w:t>1992</w:t>
            </w:r>
            <w:r>
              <w:rPr>
                <w:rFonts w:cs="Arial"/>
                <w:b/>
                <w:bCs/>
                <w:sz w:val="18"/>
                <w:lang w:val="it-IT"/>
              </w:rPr>
              <w:br/>
            </w:r>
            <w:r>
              <w:rPr>
                <w:rFonts w:cs="Arial"/>
                <w:sz w:val="18"/>
                <w:szCs w:val="15"/>
                <w:lang w:val="it-IT"/>
              </w:rPr>
              <w:t>ca. Mio m</w:t>
            </w:r>
            <w:r>
              <w:rPr>
                <w:rFonts w:cs="Arial"/>
                <w:sz w:val="18"/>
                <w:szCs w:val="15"/>
                <w:vertAlign w:val="superscript"/>
                <w:lang w:val="it-IT"/>
              </w:rPr>
              <w:t>3</w:t>
            </w:r>
          </w:p>
        </w:tc>
        <w:tc>
          <w:tcPr>
            <w:tcW w:w="1441" w:type="dxa"/>
          </w:tcPr>
          <w:p>
            <w:pPr>
              <w:pStyle w:val="GesAbsatz"/>
              <w:jc w:val="center"/>
              <w:rPr>
                <w:rFonts w:eastAsia="Arial Unicode MS" w:cs="Arial"/>
                <w:sz w:val="18"/>
                <w:szCs w:val="24"/>
                <w:lang w:val="it-IT"/>
              </w:rPr>
            </w:pPr>
            <w:r>
              <w:rPr>
                <w:rFonts w:cs="Arial"/>
                <w:b/>
                <w:bCs/>
                <w:sz w:val="18"/>
                <w:lang w:val="it-IT"/>
              </w:rPr>
              <w:t>1994</w:t>
            </w:r>
            <w:r>
              <w:rPr>
                <w:rFonts w:cs="Arial"/>
                <w:b/>
                <w:bCs/>
                <w:sz w:val="18"/>
                <w:lang w:val="it-IT"/>
              </w:rPr>
              <w:br/>
            </w:r>
            <w:r>
              <w:rPr>
                <w:rFonts w:cs="Arial"/>
                <w:sz w:val="18"/>
                <w:szCs w:val="15"/>
                <w:lang w:val="it-IT"/>
              </w:rPr>
              <w:t>ca. Mio m</w:t>
            </w:r>
            <w:r>
              <w:rPr>
                <w:rFonts w:cs="Arial"/>
                <w:sz w:val="18"/>
                <w:szCs w:val="15"/>
                <w:vertAlign w:val="superscript"/>
                <w:lang w:val="it-IT"/>
              </w:rPr>
              <w:t>3</w:t>
            </w:r>
          </w:p>
        </w:tc>
        <w:tc>
          <w:tcPr>
            <w:tcW w:w="993" w:type="dxa"/>
          </w:tcPr>
          <w:p>
            <w:pPr>
              <w:pStyle w:val="GesAbsatz"/>
              <w:jc w:val="center"/>
              <w:rPr>
                <w:rFonts w:eastAsia="Arial Unicode MS" w:cs="Arial"/>
                <w:sz w:val="18"/>
                <w:szCs w:val="24"/>
                <w:lang w:val="it-IT"/>
              </w:rPr>
            </w:pPr>
            <w:r>
              <w:rPr>
                <w:rFonts w:cs="Arial"/>
                <w:b/>
                <w:bCs/>
                <w:sz w:val="18"/>
                <w:lang w:val="it-IT"/>
              </w:rPr>
              <w:t>1995</w:t>
            </w:r>
            <w:r>
              <w:rPr>
                <w:rFonts w:cs="Arial"/>
                <w:b/>
                <w:bCs/>
                <w:sz w:val="18"/>
                <w:lang w:val="it-IT"/>
              </w:rPr>
              <w:br/>
            </w:r>
            <w:r>
              <w:rPr>
                <w:rFonts w:cs="Arial"/>
                <w:sz w:val="18"/>
                <w:szCs w:val="15"/>
                <w:lang w:val="it-IT"/>
              </w:rPr>
              <w:t>ca. Mio m</w:t>
            </w:r>
            <w:r>
              <w:rPr>
                <w:rFonts w:cs="Arial"/>
                <w:sz w:val="18"/>
                <w:szCs w:val="15"/>
                <w:vertAlign w:val="superscript"/>
                <w:lang w:val="it-IT"/>
              </w:rPr>
              <w:t>3</w:t>
            </w:r>
          </w:p>
        </w:tc>
        <w:tc>
          <w:tcPr>
            <w:tcW w:w="1290" w:type="dxa"/>
          </w:tcPr>
          <w:p>
            <w:pPr>
              <w:pStyle w:val="GesAbsatz"/>
              <w:jc w:val="center"/>
              <w:rPr>
                <w:rFonts w:eastAsia="Arial Unicode MS" w:cs="Arial"/>
                <w:sz w:val="18"/>
                <w:szCs w:val="24"/>
                <w:lang w:val="it-IT"/>
              </w:rPr>
            </w:pPr>
            <w:r>
              <w:rPr>
                <w:rFonts w:cs="Arial"/>
                <w:b/>
                <w:bCs/>
                <w:sz w:val="18"/>
                <w:lang w:val="it-IT"/>
              </w:rPr>
              <w:t>1996/1997</w:t>
            </w:r>
            <w:r>
              <w:rPr>
                <w:rFonts w:cs="Arial"/>
                <w:b/>
                <w:bCs/>
                <w:sz w:val="18"/>
                <w:lang w:val="it-IT"/>
              </w:rPr>
              <w:br/>
            </w:r>
            <w:r>
              <w:rPr>
                <w:rFonts w:cs="Arial"/>
                <w:sz w:val="18"/>
                <w:szCs w:val="15"/>
                <w:lang w:val="it-IT"/>
              </w:rPr>
              <w:t>ca. Mio m</w:t>
            </w:r>
            <w:r>
              <w:rPr>
                <w:rFonts w:cs="Arial"/>
                <w:sz w:val="18"/>
                <w:szCs w:val="15"/>
                <w:vertAlign w:val="superscript"/>
                <w:lang w:val="it-IT"/>
              </w:rPr>
              <w:t>3</w:t>
            </w:r>
          </w:p>
        </w:tc>
        <w:tc>
          <w:tcPr>
            <w:tcW w:w="3303" w:type="dxa"/>
            <w:gridSpan w:val="2"/>
          </w:tcPr>
          <w:p>
            <w:pPr>
              <w:pStyle w:val="GesAbsatz"/>
              <w:jc w:val="center"/>
              <w:rPr>
                <w:rFonts w:cs="Arial"/>
                <w:b/>
                <w:bCs/>
                <w:sz w:val="18"/>
              </w:rPr>
            </w:pPr>
            <w:r>
              <w:rPr>
                <w:rFonts w:cs="Arial"/>
                <w:b/>
                <w:bCs/>
                <w:sz w:val="18"/>
              </w:rPr>
              <w:t>Substitutionspotenzial</w:t>
            </w:r>
            <w:r>
              <w:rPr>
                <w:rFonts w:cs="Arial"/>
                <w:b/>
                <w:bCs/>
                <w:sz w:val="18"/>
              </w:rPr>
              <w:br/>
              <w:t>durch Komposte</w:t>
            </w:r>
            <w:r>
              <w:rPr>
                <w:rFonts w:cs="Arial"/>
                <w:b/>
                <w:bCs/>
                <w:sz w:val="18"/>
              </w:rPr>
              <w:br/>
            </w:r>
            <w:r>
              <w:rPr>
                <w:rFonts w:cs="Arial"/>
                <w:sz w:val="18"/>
                <w:szCs w:val="15"/>
              </w:rPr>
              <w:t>% ca. Mio m</w:t>
            </w:r>
            <w:r>
              <w:rPr>
                <w:rFonts w:cs="Arial"/>
                <w:sz w:val="18"/>
                <w:szCs w:val="15"/>
                <w:vertAlign w:val="superscript"/>
              </w:rPr>
              <w:t>3</w:t>
            </w:r>
          </w:p>
        </w:tc>
      </w:tr>
      <w:tr>
        <w:tc>
          <w:tcPr>
            <w:tcW w:w="1776" w:type="dxa"/>
          </w:tcPr>
          <w:p>
            <w:pPr>
              <w:pStyle w:val="GesAbsatz"/>
              <w:rPr>
                <w:rFonts w:eastAsia="Arial Unicode MS" w:cs="Arial"/>
                <w:sz w:val="18"/>
                <w:szCs w:val="24"/>
              </w:rPr>
            </w:pPr>
            <w:r>
              <w:rPr>
                <w:rFonts w:cs="Arial"/>
                <w:sz w:val="18"/>
              </w:rPr>
              <w:t>Torfproduktion pro Jahr</w:t>
            </w:r>
          </w:p>
        </w:tc>
        <w:tc>
          <w:tcPr>
            <w:tcW w:w="975" w:type="dxa"/>
          </w:tcPr>
          <w:p>
            <w:pPr>
              <w:pStyle w:val="GesAbsatz"/>
              <w:rPr>
                <w:rFonts w:eastAsia="Arial Unicode MS" w:cs="Arial"/>
                <w:sz w:val="18"/>
                <w:szCs w:val="24"/>
              </w:rPr>
            </w:pPr>
            <w:r>
              <w:rPr>
                <w:rFonts w:cs="Arial"/>
                <w:sz w:val="18"/>
              </w:rPr>
              <w:t xml:space="preserve">12 </w:t>
            </w:r>
          </w:p>
        </w:tc>
        <w:tc>
          <w:tcPr>
            <w:tcW w:w="1441" w:type="dxa"/>
          </w:tcPr>
          <w:p>
            <w:pPr>
              <w:pStyle w:val="GesAbsatz"/>
              <w:rPr>
                <w:rFonts w:eastAsia="Arial Unicode MS" w:cs="Arial"/>
                <w:sz w:val="18"/>
                <w:szCs w:val="24"/>
              </w:rPr>
            </w:pPr>
            <w:r>
              <w:rPr>
                <w:rFonts w:cs="Arial"/>
                <w:sz w:val="18"/>
              </w:rPr>
              <w:t>10,5</w:t>
            </w:r>
          </w:p>
        </w:tc>
        <w:tc>
          <w:tcPr>
            <w:tcW w:w="993" w:type="dxa"/>
          </w:tcPr>
          <w:p>
            <w:pPr>
              <w:pStyle w:val="GesAbsatz"/>
              <w:rPr>
                <w:rFonts w:eastAsia="Arial Unicode MS" w:cs="Arial"/>
                <w:sz w:val="18"/>
                <w:szCs w:val="24"/>
              </w:rPr>
            </w:pPr>
            <w:r>
              <w:rPr>
                <w:rFonts w:cs="Arial"/>
                <w:sz w:val="18"/>
              </w:rPr>
              <w:t>10</w:t>
            </w:r>
            <w:r>
              <w:rPr>
                <w:rFonts w:cs="Arial"/>
                <w:sz w:val="18"/>
              </w:rPr>
              <w:br/>
            </w:r>
            <w:r>
              <w:rPr>
                <w:rFonts w:cs="Arial"/>
                <w:sz w:val="18"/>
                <w:szCs w:val="15"/>
              </w:rPr>
              <w:t>davon 1 Import</w:t>
            </w:r>
          </w:p>
        </w:tc>
        <w:tc>
          <w:tcPr>
            <w:tcW w:w="1290" w:type="dxa"/>
          </w:tcPr>
          <w:p>
            <w:pPr>
              <w:pStyle w:val="GesAbsatz"/>
              <w:rPr>
                <w:rFonts w:eastAsia="Arial Unicode MS" w:cs="Arial"/>
                <w:sz w:val="18"/>
                <w:szCs w:val="24"/>
              </w:rPr>
            </w:pPr>
            <w:r>
              <w:rPr>
                <w:rFonts w:cs="Arial"/>
                <w:sz w:val="18"/>
              </w:rPr>
              <w:t>10</w:t>
            </w:r>
            <w:r>
              <w:rPr>
                <w:rFonts w:cs="Arial"/>
                <w:sz w:val="18"/>
              </w:rPr>
              <w:br/>
            </w:r>
            <w:r>
              <w:rPr>
                <w:rFonts w:cs="Arial"/>
                <w:sz w:val="18"/>
                <w:szCs w:val="15"/>
              </w:rPr>
              <w:t xml:space="preserve">davon 1 Import </w:t>
            </w:r>
          </w:p>
        </w:tc>
        <w:tc>
          <w:tcPr>
            <w:tcW w:w="2014" w:type="dxa"/>
          </w:tcPr>
          <w:p>
            <w:pPr>
              <w:pStyle w:val="GesAbsatz"/>
              <w:rPr>
                <w:rFonts w:eastAsia="Arial Unicode MS" w:cs="Arial"/>
                <w:sz w:val="18"/>
                <w:szCs w:val="24"/>
              </w:rPr>
            </w:pPr>
          </w:p>
        </w:tc>
        <w:tc>
          <w:tcPr>
            <w:tcW w:w="1289" w:type="dxa"/>
          </w:tcPr>
          <w:p>
            <w:pPr>
              <w:pStyle w:val="GesAbsatz"/>
              <w:rPr>
                <w:rFonts w:eastAsia="Arial Unicode MS" w:cs="Arial"/>
                <w:sz w:val="18"/>
                <w:szCs w:val="24"/>
              </w:rPr>
            </w:pPr>
          </w:p>
        </w:tc>
      </w:tr>
      <w:tr>
        <w:tc>
          <w:tcPr>
            <w:tcW w:w="1776" w:type="dxa"/>
          </w:tcPr>
          <w:p>
            <w:pPr>
              <w:pStyle w:val="GesAbsatz"/>
              <w:rPr>
                <w:rFonts w:eastAsia="Arial Unicode MS" w:cs="Arial"/>
                <w:sz w:val="18"/>
                <w:szCs w:val="24"/>
              </w:rPr>
            </w:pPr>
            <w:r>
              <w:rPr>
                <w:rFonts w:cs="Arial"/>
                <w:sz w:val="18"/>
              </w:rPr>
              <w:t>Erwerbsgartenbau</w:t>
            </w:r>
          </w:p>
        </w:tc>
        <w:tc>
          <w:tcPr>
            <w:tcW w:w="975" w:type="dxa"/>
          </w:tcPr>
          <w:p>
            <w:pPr>
              <w:pStyle w:val="GesAbsatz"/>
              <w:rPr>
                <w:rFonts w:eastAsia="Arial Unicode MS" w:cs="Arial"/>
                <w:sz w:val="18"/>
                <w:szCs w:val="24"/>
              </w:rPr>
            </w:pPr>
            <w:r>
              <w:rPr>
                <w:rFonts w:cs="Arial"/>
                <w:sz w:val="18"/>
              </w:rPr>
              <w:t>7,2</w:t>
            </w:r>
          </w:p>
        </w:tc>
        <w:tc>
          <w:tcPr>
            <w:tcW w:w="1441" w:type="dxa"/>
          </w:tcPr>
          <w:p>
            <w:pPr>
              <w:pStyle w:val="GesAbsatz"/>
              <w:rPr>
                <w:rFonts w:eastAsia="Arial Unicode MS" w:cs="Arial"/>
                <w:sz w:val="18"/>
                <w:szCs w:val="24"/>
              </w:rPr>
            </w:pPr>
            <w:r>
              <w:rPr>
                <w:rFonts w:cs="Arial"/>
                <w:sz w:val="18"/>
              </w:rPr>
              <w:t xml:space="preserve">6,8 </w:t>
            </w:r>
          </w:p>
        </w:tc>
        <w:tc>
          <w:tcPr>
            <w:tcW w:w="993" w:type="dxa"/>
          </w:tcPr>
          <w:p>
            <w:pPr>
              <w:pStyle w:val="GesAbsatz"/>
              <w:rPr>
                <w:rFonts w:eastAsia="Arial Unicode MS" w:cs="Arial"/>
                <w:sz w:val="18"/>
                <w:szCs w:val="24"/>
              </w:rPr>
            </w:pPr>
            <w:r>
              <w:rPr>
                <w:rFonts w:cs="Arial"/>
                <w:sz w:val="18"/>
              </w:rPr>
              <w:t>k. A.</w:t>
            </w:r>
          </w:p>
        </w:tc>
        <w:tc>
          <w:tcPr>
            <w:tcW w:w="1290" w:type="dxa"/>
          </w:tcPr>
          <w:p>
            <w:pPr>
              <w:pStyle w:val="GesAbsatz"/>
              <w:rPr>
                <w:rFonts w:eastAsia="Arial Unicode MS" w:cs="Arial"/>
                <w:sz w:val="18"/>
                <w:szCs w:val="24"/>
              </w:rPr>
            </w:pPr>
            <w:r>
              <w:rPr>
                <w:rFonts w:cs="Arial"/>
                <w:sz w:val="18"/>
              </w:rPr>
              <w:t xml:space="preserve">k. A. </w:t>
            </w:r>
          </w:p>
        </w:tc>
        <w:tc>
          <w:tcPr>
            <w:tcW w:w="2014" w:type="dxa"/>
          </w:tcPr>
          <w:p>
            <w:pPr>
              <w:pStyle w:val="GesAbsatz"/>
              <w:rPr>
                <w:rFonts w:eastAsia="Arial Unicode MS" w:cs="Arial"/>
                <w:sz w:val="18"/>
                <w:szCs w:val="24"/>
              </w:rPr>
            </w:pPr>
            <w:r>
              <w:rPr>
                <w:rFonts w:cs="Arial"/>
                <w:sz w:val="18"/>
              </w:rPr>
              <w:t>10-15</w:t>
            </w:r>
          </w:p>
        </w:tc>
        <w:tc>
          <w:tcPr>
            <w:tcW w:w="1289" w:type="dxa"/>
          </w:tcPr>
          <w:p>
            <w:pPr>
              <w:pStyle w:val="GesAbsatz"/>
              <w:rPr>
                <w:rFonts w:eastAsia="Arial Unicode MS" w:cs="Arial"/>
                <w:sz w:val="18"/>
                <w:szCs w:val="24"/>
              </w:rPr>
            </w:pPr>
            <w:r>
              <w:rPr>
                <w:rFonts w:cs="Arial"/>
                <w:sz w:val="18"/>
              </w:rPr>
              <w:t>1</w:t>
            </w:r>
          </w:p>
        </w:tc>
      </w:tr>
      <w:tr>
        <w:tc>
          <w:tcPr>
            <w:tcW w:w="1776" w:type="dxa"/>
          </w:tcPr>
          <w:p>
            <w:pPr>
              <w:pStyle w:val="GesAbsatz"/>
              <w:rPr>
                <w:rFonts w:eastAsia="Arial Unicode MS" w:cs="Arial"/>
                <w:sz w:val="18"/>
                <w:szCs w:val="24"/>
              </w:rPr>
            </w:pPr>
            <w:r>
              <w:rPr>
                <w:rFonts w:cs="Arial"/>
                <w:sz w:val="18"/>
              </w:rPr>
              <w:t xml:space="preserve">Hobbygartenbau </w:t>
            </w:r>
          </w:p>
        </w:tc>
        <w:tc>
          <w:tcPr>
            <w:tcW w:w="975" w:type="dxa"/>
          </w:tcPr>
          <w:p>
            <w:pPr>
              <w:pStyle w:val="GesAbsatz"/>
              <w:rPr>
                <w:rFonts w:eastAsia="Arial Unicode MS" w:cs="Arial"/>
                <w:sz w:val="18"/>
                <w:szCs w:val="24"/>
              </w:rPr>
            </w:pPr>
            <w:r>
              <w:rPr>
                <w:rFonts w:cs="Arial"/>
                <w:sz w:val="18"/>
              </w:rPr>
              <w:t>2,4</w:t>
            </w:r>
          </w:p>
        </w:tc>
        <w:tc>
          <w:tcPr>
            <w:tcW w:w="1441" w:type="dxa"/>
          </w:tcPr>
          <w:p>
            <w:pPr>
              <w:pStyle w:val="GesAbsatz"/>
              <w:rPr>
                <w:rFonts w:eastAsia="Arial Unicode MS" w:cs="Arial"/>
                <w:sz w:val="18"/>
                <w:szCs w:val="24"/>
              </w:rPr>
            </w:pPr>
            <w:r>
              <w:rPr>
                <w:rFonts w:cs="Arial"/>
                <w:sz w:val="18"/>
              </w:rPr>
              <w:t>1,6</w:t>
            </w:r>
          </w:p>
        </w:tc>
        <w:tc>
          <w:tcPr>
            <w:tcW w:w="993" w:type="dxa"/>
          </w:tcPr>
          <w:p>
            <w:pPr>
              <w:pStyle w:val="GesAbsatz"/>
              <w:rPr>
                <w:rFonts w:eastAsia="Arial Unicode MS" w:cs="Arial"/>
                <w:sz w:val="18"/>
                <w:szCs w:val="24"/>
              </w:rPr>
            </w:pPr>
            <w:r>
              <w:rPr>
                <w:rFonts w:cs="Arial"/>
                <w:sz w:val="18"/>
              </w:rPr>
              <w:t>2,3</w:t>
            </w:r>
          </w:p>
        </w:tc>
        <w:tc>
          <w:tcPr>
            <w:tcW w:w="1290" w:type="dxa"/>
          </w:tcPr>
          <w:p>
            <w:pPr>
              <w:pStyle w:val="GesAbsatz"/>
              <w:rPr>
                <w:rFonts w:eastAsia="Arial Unicode MS" w:cs="Arial"/>
                <w:sz w:val="18"/>
                <w:szCs w:val="24"/>
              </w:rPr>
            </w:pPr>
            <w:r>
              <w:rPr>
                <w:rFonts w:cs="Arial"/>
                <w:sz w:val="18"/>
              </w:rPr>
              <w:t xml:space="preserve">2,5/2,8 </w:t>
            </w:r>
          </w:p>
        </w:tc>
        <w:tc>
          <w:tcPr>
            <w:tcW w:w="2014" w:type="dxa"/>
          </w:tcPr>
          <w:p>
            <w:pPr>
              <w:pStyle w:val="GesAbsatz"/>
              <w:rPr>
                <w:rFonts w:eastAsia="Arial Unicode MS" w:cs="Arial"/>
                <w:sz w:val="18"/>
                <w:szCs w:val="24"/>
              </w:rPr>
            </w:pPr>
            <w:r>
              <w:rPr>
                <w:rFonts w:cs="Arial"/>
                <w:sz w:val="18"/>
              </w:rPr>
              <w:t>20-30</w:t>
            </w:r>
            <w:r>
              <w:rPr>
                <w:rFonts w:cs="Arial"/>
                <w:sz w:val="18"/>
              </w:rPr>
              <w:br/>
            </w:r>
            <w:r>
              <w:rPr>
                <w:rFonts w:cs="Arial"/>
                <w:sz w:val="18"/>
                <w:szCs w:val="15"/>
              </w:rPr>
              <w:t>(Substrate)</w:t>
            </w:r>
            <w:r>
              <w:rPr>
                <w:rFonts w:cs="Arial"/>
                <w:sz w:val="18"/>
                <w:szCs w:val="15"/>
              </w:rPr>
              <w:br/>
            </w:r>
            <w:r>
              <w:rPr>
                <w:rFonts w:cs="Arial"/>
                <w:sz w:val="18"/>
              </w:rPr>
              <w:t>50-100</w:t>
            </w:r>
            <w:r>
              <w:rPr>
                <w:rFonts w:cs="Arial"/>
                <w:sz w:val="18"/>
              </w:rPr>
              <w:br/>
            </w:r>
            <w:r>
              <w:rPr>
                <w:rFonts w:cs="Arial"/>
                <w:sz w:val="18"/>
                <w:szCs w:val="15"/>
              </w:rPr>
              <w:t>(Bodenverb.)</w:t>
            </w:r>
          </w:p>
        </w:tc>
        <w:tc>
          <w:tcPr>
            <w:tcW w:w="1289" w:type="dxa"/>
          </w:tcPr>
          <w:p>
            <w:pPr>
              <w:pStyle w:val="GesAbsatz"/>
              <w:rPr>
                <w:rFonts w:eastAsia="Arial Unicode MS" w:cs="Arial"/>
                <w:sz w:val="18"/>
                <w:szCs w:val="24"/>
              </w:rPr>
            </w:pPr>
            <w:r>
              <w:rPr>
                <w:rFonts w:cs="Arial"/>
                <w:sz w:val="18"/>
              </w:rPr>
              <w:t>1,5</w:t>
            </w:r>
          </w:p>
        </w:tc>
      </w:tr>
      <w:tr>
        <w:tc>
          <w:tcPr>
            <w:tcW w:w="1776" w:type="dxa"/>
          </w:tcPr>
          <w:p>
            <w:pPr>
              <w:pStyle w:val="GesAbsatz"/>
              <w:rPr>
                <w:rFonts w:eastAsia="Arial Unicode MS" w:cs="Arial"/>
                <w:sz w:val="18"/>
                <w:szCs w:val="24"/>
              </w:rPr>
            </w:pPr>
            <w:r>
              <w:rPr>
                <w:rFonts w:cs="Arial"/>
                <w:sz w:val="18"/>
              </w:rPr>
              <w:t>Industrie</w:t>
            </w:r>
          </w:p>
        </w:tc>
        <w:tc>
          <w:tcPr>
            <w:tcW w:w="975" w:type="dxa"/>
          </w:tcPr>
          <w:p>
            <w:pPr>
              <w:pStyle w:val="GesAbsatz"/>
              <w:rPr>
                <w:rFonts w:eastAsia="Arial Unicode MS" w:cs="Arial"/>
                <w:sz w:val="18"/>
                <w:szCs w:val="24"/>
              </w:rPr>
            </w:pPr>
            <w:r>
              <w:rPr>
                <w:rFonts w:cs="Arial"/>
                <w:sz w:val="18"/>
              </w:rPr>
              <w:t>2,4</w:t>
            </w:r>
          </w:p>
        </w:tc>
        <w:tc>
          <w:tcPr>
            <w:tcW w:w="1441" w:type="dxa"/>
          </w:tcPr>
          <w:p>
            <w:pPr>
              <w:pStyle w:val="GesAbsatz"/>
              <w:rPr>
                <w:rFonts w:eastAsia="Arial Unicode MS" w:cs="Arial"/>
                <w:sz w:val="18"/>
                <w:szCs w:val="24"/>
              </w:rPr>
            </w:pPr>
            <w:r>
              <w:rPr>
                <w:rFonts w:cs="Arial"/>
                <w:sz w:val="18"/>
              </w:rPr>
              <w:t>2,1</w:t>
            </w:r>
          </w:p>
        </w:tc>
        <w:tc>
          <w:tcPr>
            <w:tcW w:w="993" w:type="dxa"/>
          </w:tcPr>
          <w:p>
            <w:pPr>
              <w:pStyle w:val="GesAbsatz"/>
              <w:rPr>
                <w:rFonts w:eastAsia="Arial Unicode MS" w:cs="Arial"/>
                <w:sz w:val="18"/>
                <w:szCs w:val="24"/>
              </w:rPr>
            </w:pPr>
            <w:r>
              <w:rPr>
                <w:rFonts w:cs="Arial"/>
                <w:sz w:val="18"/>
              </w:rPr>
              <w:t>1</w:t>
            </w:r>
          </w:p>
        </w:tc>
        <w:tc>
          <w:tcPr>
            <w:tcW w:w="1290" w:type="dxa"/>
          </w:tcPr>
          <w:p>
            <w:pPr>
              <w:pStyle w:val="GesAbsatz"/>
              <w:rPr>
                <w:rFonts w:eastAsia="Arial Unicode MS" w:cs="Arial"/>
                <w:sz w:val="18"/>
                <w:szCs w:val="24"/>
              </w:rPr>
            </w:pPr>
            <w:r>
              <w:rPr>
                <w:rFonts w:cs="Arial"/>
                <w:sz w:val="18"/>
              </w:rPr>
              <w:t xml:space="preserve">k. A. </w:t>
            </w:r>
          </w:p>
        </w:tc>
        <w:tc>
          <w:tcPr>
            <w:tcW w:w="2014" w:type="dxa"/>
          </w:tcPr>
          <w:p>
            <w:pPr>
              <w:pStyle w:val="GesAbsatz"/>
              <w:rPr>
                <w:rFonts w:eastAsia="Arial Unicode MS" w:cs="Arial"/>
                <w:sz w:val="18"/>
                <w:szCs w:val="24"/>
              </w:rPr>
            </w:pPr>
            <w:r>
              <w:rPr>
                <w:rFonts w:cs="Arial"/>
                <w:sz w:val="18"/>
              </w:rPr>
              <w:t>0</w:t>
            </w:r>
          </w:p>
        </w:tc>
        <w:tc>
          <w:tcPr>
            <w:tcW w:w="1289" w:type="dxa"/>
          </w:tcPr>
          <w:p>
            <w:pPr>
              <w:pStyle w:val="GesAbsatz"/>
              <w:rPr>
                <w:rFonts w:eastAsia="Arial Unicode MS" w:cs="Arial"/>
                <w:sz w:val="18"/>
                <w:szCs w:val="24"/>
              </w:rPr>
            </w:pPr>
            <w:r>
              <w:rPr>
                <w:rFonts w:cs="Arial"/>
                <w:sz w:val="18"/>
              </w:rPr>
              <w:t>0</w:t>
            </w:r>
          </w:p>
        </w:tc>
      </w:tr>
      <w:tr>
        <w:tc>
          <w:tcPr>
            <w:tcW w:w="1776" w:type="dxa"/>
          </w:tcPr>
          <w:p>
            <w:pPr>
              <w:pStyle w:val="GesAbsatz"/>
              <w:rPr>
                <w:rFonts w:eastAsia="Arial Unicode MS" w:cs="Arial"/>
                <w:sz w:val="18"/>
                <w:szCs w:val="24"/>
              </w:rPr>
            </w:pPr>
            <w:r>
              <w:rPr>
                <w:rFonts w:cs="Arial"/>
                <w:sz w:val="18"/>
              </w:rPr>
              <w:t>Medizin</w:t>
            </w:r>
          </w:p>
        </w:tc>
        <w:tc>
          <w:tcPr>
            <w:tcW w:w="975" w:type="dxa"/>
          </w:tcPr>
          <w:p>
            <w:pPr>
              <w:pStyle w:val="GesAbsatz"/>
              <w:rPr>
                <w:rFonts w:eastAsia="Arial Unicode MS" w:cs="Arial"/>
                <w:sz w:val="18"/>
                <w:szCs w:val="24"/>
              </w:rPr>
            </w:pPr>
            <w:r>
              <w:rPr>
                <w:rFonts w:cs="Arial"/>
                <w:sz w:val="18"/>
              </w:rPr>
              <w:t>0,2</w:t>
            </w:r>
          </w:p>
        </w:tc>
        <w:tc>
          <w:tcPr>
            <w:tcW w:w="1441" w:type="dxa"/>
          </w:tcPr>
          <w:p>
            <w:pPr>
              <w:pStyle w:val="GesAbsatz"/>
              <w:rPr>
                <w:rFonts w:eastAsia="Arial Unicode MS" w:cs="Arial"/>
                <w:sz w:val="18"/>
                <w:szCs w:val="24"/>
              </w:rPr>
            </w:pPr>
            <w:r>
              <w:rPr>
                <w:rFonts w:cs="Arial"/>
                <w:sz w:val="18"/>
                <w:szCs w:val="15"/>
              </w:rPr>
              <w:t>leicht höher als 1992</w:t>
            </w:r>
          </w:p>
        </w:tc>
        <w:tc>
          <w:tcPr>
            <w:tcW w:w="993" w:type="dxa"/>
          </w:tcPr>
          <w:p>
            <w:pPr>
              <w:pStyle w:val="GesAbsatz"/>
              <w:rPr>
                <w:rFonts w:eastAsia="Arial Unicode MS" w:cs="Arial"/>
                <w:sz w:val="18"/>
                <w:szCs w:val="24"/>
              </w:rPr>
            </w:pPr>
            <w:r>
              <w:rPr>
                <w:rFonts w:cs="Arial"/>
                <w:sz w:val="18"/>
              </w:rPr>
              <w:t>k. A.</w:t>
            </w:r>
          </w:p>
        </w:tc>
        <w:tc>
          <w:tcPr>
            <w:tcW w:w="1290" w:type="dxa"/>
          </w:tcPr>
          <w:p>
            <w:pPr>
              <w:pStyle w:val="GesAbsatz"/>
              <w:rPr>
                <w:rFonts w:eastAsia="Arial Unicode MS" w:cs="Arial"/>
                <w:sz w:val="18"/>
                <w:szCs w:val="24"/>
              </w:rPr>
            </w:pPr>
            <w:r>
              <w:rPr>
                <w:rFonts w:cs="Arial"/>
                <w:sz w:val="18"/>
              </w:rPr>
              <w:t>k. A.</w:t>
            </w:r>
          </w:p>
        </w:tc>
        <w:tc>
          <w:tcPr>
            <w:tcW w:w="2014" w:type="dxa"/>
          </w:tcPr>
          <w:p>
            <w:pPr>
              <w:pStyle w:val="GesAbsatz"/>
              <w:rPr>
                <w:rFonts w:eastAsia="Arial Unicode MS" w:cs="Arial"/>
                <w:sz w:val="18"/>
                <w:szCs w:val="24"/>
              </w:rPr>
            </w:pPr>
            <w:r>
              <w:rPr>
                <w:rFonts w:cs="Arial"/>
                <w:sz w:val="18"/>
              </w:rPr>
              <w:t xml:space="preserve">0 </w:t>
            </w:r>
          </w:p>
        </w:tc>
        <w:tc>
          <w:tcPr>
            <w:tcW w:w="1289" w:type="dxa"/>
          </w:tcPr>
          <w:p>
            <w:pPr>
              <w:pStyle w:val="GesAbsatz"/>
              <w:rPr>
                <w:rFonts w:eastAsia="Arial Unicode MS" w:cs="Arial"/>
                <w:sz w:val="18"/>
                <w:szCs w:val="24"/>
              </w:rPr>
            </w:pPr>
            <w:r>
              <w:rPr>
                <w:rFonts w:cs="Arial"/>
                <w:sz w:val="18"/>
              </w:rPr>
              <w:t>0</w:t>
            </w:r>
          </w:p>
        </w:tc>
      </w:tr>
      <w:tr>
        <w:tc>
          <w:tcPr>
            <w:tcW w:w="1776" w:type="dxa"/>
          </w:tcPr>
          <w:p>
            <w:pPr>
              <w:pStyle w:val="GesAbsatz"/>
              <w:rPr>
                <w:rFonts w:eastAsia="Arial Unicode MS" w:cs="Arial"/>
                <w:sz w:val="18"/>
                <w:szCs w:val="24"/>
              </w:rPr>
            </w:pPr>
            <w:r>
              <w:rPr>
                <w:rFonts w:cs="Arial"/>
                <w:sz w:val="18"/>
              </w:rPr>
              <w:t>Garten- u. Landschaftsbau</w:t>
            </w:r>
            <w:r>
              <w:rPr>
                <w:rFonts w:cs="Arial"/>
                <w:sz w:val="18"/>
              </w:rPr>
              <w:br/>
              <w:t xml:space="preserve">Öffentliche Hand </w:t>
            </w:r>
          </w:p>
        </w:tc>
        <w:tc>
          <w:tcPr>
            <w:tcW w:w="975" w:type="dxa"/>
          </w:tcPr>
          <w:p>
            <w:pPr>
              <w:pStyle w:val="GesAbsatz"/>
              <w:rPr>
                <w:rFonts w:eastAsia="Arial Unicode MS" w:cs="Arial"/>
                <w:sz w:val="18"/>
                <w:szCs w:val="24"/>
              </w:rPr>
            </w:pPr>
          </w:p>
        </w:tc>
        <w:tc>
          <w:tcPr>
            <w:tcW w:w="1441" w:type="dxa"/>
          </w:tcPr>
          <w:p>
            <w:pPr>
              <w:pStyle w:val="GesAbsatz"/>
              <w:rPr>
                <w:rFonts w:eastAsia="Arial Unicode MS" w:cs="Arial"/>
                <w:sz w:val="18"/>
                <w:szCs w:val="24"/>
              </w:rPr>
            </w:pPr>
            <w:r>
              <w:rPr>
                <w:rFonts w:cs="Arial"/>
                <w:sz w:val="18"/>
                <w:szCs w:val="15"/>
              </w:rPr>
              <w:t>vor den 80er Jahren hoher Torfverbrauch, danach Rindenprodukte, danach Komposteinsatz; Torfverbrauch sank stetig; heute hat er keine große Bedeutung mehr</w:t>
            </w:r>
          </w:p>
        </w:tc>
        <w:tc>
          <w:tcPr>
            <w:tcW w:w="993" w:type="dxa"/>
          </w:tcPr>
          <w:p>
            <w:pPr>
              <w:pStyle w:val="GesAbsatz"/>
              <w:rPr>
                <w:rFonts w:cs="Arial"/>
                <w:b/>
                <w:bCs/>
                <w:sz w:val="18"/>
              </w:rPr>
            </w:pPr>
          </w:p>
        </w:tc>
        <w:tc>
          <w:tcPr>
            <w:tcW w:w="1290" w:type="dxa"/>
          </w:tcPr>
          <w:p>
            <w:pPr>
              <w:pStyle w:val="GesAbsatz"/>
              <w:rPr>
                <w:rFonts w:cs="Arial"/>
                <w:b/>
                <w:bCs/>
                <w:sz w:val="18"/>
              </w:rPr>
            </w:pPr>
          </w:p>
        </w:tc>
        <w:tc>
          <w:tcPr>
            <w:tcW w:w="2014" w:type="dxa"/>
          </w:tcPr>
          <w:p>
            <w:pPr>
              <w:pStyle w:val="GesAbsatz"/>
              <w:rPr>
                <w:rFonts w:cs="Arial"/>
                <w:b/>
                <w:bCs/>
                <w:sz w:val="18"/>
              </w:rPr>
            </w:pPr>
          </w:p>
        </w:tc>
        <w:tc>
          <w:tcPr>
            <w:tcW w:w="1289" w:type="dxa"/>
          </w:tcPr>
          <w:p>
            <w:pPr>
              <w:pStyle w:val="GesAbsatz"/>
              <w:rPr>
                <w:rFonts w:cs="Arial"/>
                <w:b/>
                <w:bCs/>
                <w:sz w:val="18"/>
              </w:rPr>
            </w:pPr>
          </w:p>
        </w:tc>
      </w:tr>
      <w:tr>
        <w:tc>
          <w:tcPr>
            <w:tcW w:w="9778" w:type="dxa"/>
            <w:gridSpan w:val="7"/>
          </w:tcPr>
          <w:p>
            <w:pPr>
              <w:pStyle w:val="GesAbsatz"/>
              <w:rPr>
                <w:rFonts w:cs="Arial"/>
                <w:b/>
                <w:bCs/>
                <w:sz w:val="18"/>
              </w:rPr>
            </w:pPr>
            <w:r>
              <w:rPr>
                <w:rFonts w:cs="Arial"/>
                <w:sz w:val="18"/>
                <w:szCs w:val="15"/>
                <w:lang w:val="fr-FR"/>
              </w:rPr>
              <w:t>Quelle 1992: ZIT (1992)</w:t>
            </w:r>
            <w:r>
              <w:rPr>
                <w:rFonts w:cs="Arial"/>
                <w:sz w:val="18"/>
                <w:szCs w:val="15"/>
                <w:lang w:val="fr-FR"/>
              </w:rPr>
              <w:br/>
              <w:t xml:space="preserve">Quelle 1994: Terkamp, TPS (1998, pers. </w:t>
            </w:r>
            <w:r>
              <w:rPr>
                <w:rFonts w:cs="Arial"/>
                <w:sz w:val="18"/>
                <w:szCs w:val="15"/>
              </w:rPr>
              <w:t>Mitt.)</w:t>
            </w:r>
            <w:r>
              <w:rPr>
                <w:rFonts w:cs="Arial"/>
                <w:sz w:val="18"/>
                <w:szCs w:val="15"/>
              </w:rPr>
              <w:br/>
              <w:t>Quelle 1995: Günther, ITH; Studie ITH/PlanCoTec (NLfB, Hannover, 1995); Statistisches Bundesamt Wiesbaden</w:t>
            </w:r>
            <w:r>
              <w:rPr>
                <w:rFonts w:cs="Arial"/>
                <w:sz w:val="18"/>
                <w:szCs w:val="15"/>
              </w:rPr>
              <w:br/>
              <w:t>Quelle 1996/97: Günther, BTH (1998, pers. Mitt.); Statistisches Bundesamt Wiesbaden</w:t>
            </w:r>
            <w:r>
              <w:rPr>
                <w:rFonts w:cs="Arial"/>
                <w:sz w:val="18"/>
                <w:szCs w:val="15"/>
              </w:rPr>
              <w:br/>
              <w:t>Quelle Schätzung: Studie ITH/PlanCoTec (NLfB, Hannover, 1995) und PlanCoTec (1998)</w:t>
            </w:r>
          </w:p>
        </w:tc>
      </w:tr>
    </w:tbl>
    <w:p>
      <w:pPr>
        <w:pStyle w:val="GesAbsatz"/>
        <w:rPr>
          <w:rFonts w:eastAsia="Arial Unicode MS" w:cs="Arial"/>
        </w:rPr>
      </w:pPr>
    </w:p>
    <w:p>
      <w:pPr>
        <w:pStyle w:val="GesAbsatz"/>
        <w:rPr>
          <w:rFonts w:cs="Arial"/>
          <w:b/>
          <w:bCs/>
        </w:rPr>
      </w:pPr>
      <w:r>
        <w:rPr>
          <w:rFonts w:cs="Arial"/>
          <w:b/>
          <w:bCs/>
        </w:rPr>
        <w:t>Mineraldünger</w:t>
      </w:r>
    </w:p>
    <w:p>
      <w:pPr>
        <w:pStyle w:val="GesAbsatz"/>
        <w:rPr>
          <w:rFonts w:eastAsia="Arial Unicode MS" w:cs="Arial"/>
          <w:szCs w:val="24"/>
        </w:rPr>
      </w:pPr>
      <w:r>
        <w:rPr>
          <w:rFonts w:cs="Arial"/>
        </w:rPr>
        <w:t xml:space="preserve">Da der Nährstoffeintrag mit Komposten nicht unerheblich ist, ergäbe sich hier eine gute Möglichkeit, Kosten für Handelsdünger einzusparen, zumal Komposte häufig kostenlos an die Landwirte abgegeben werden. Dies könnte vor allem in den Regionen zum Tragen kommen, in denen der Phosphatanfall aus Wirtschaftsdüngern zum Teil erheblich unterhalb des Pflanzenentzugs liegt und in denen nach gegebener Nährstoffversorgung der Böden eine Düngung entsprechend dem vollen Entzug erfolgen dürfte. Eine Grunddüngung für Phosphat, Kalium und Magnesium sowie der Ersatz der Kalkung ist mit Kompost möglich, da sie auf 2 bis 3 Jahre im Voraus gedüngt werden können. In einer dreijährigen Fruchtfolge ist Stickstoff mit bis zu 40 % und andere </w:t>
      </w:r>
      <w:r>
        <w:rPr>
          <w:rFonts w:cs="Arial"/>
        </w:rPr>
        <w:lastRenderedPageBreak/>
        <w:t>Nährstoffe mit bis zu 100 % anzurechnen. Der Wert für Stickstoff beruht auf älteren Zahlen; neuere Untersuchungen gehen von einer sehr viel geringeren Verfügbarkeit aus, konkrete Werte sind jedoch noch nicht festgesetzt. Bei den gegebenen durchschnittlichen Nährstoffgehalten würden mit einer Gabe von 20 Mg Kompost 72 kg P</w:t>
      </w:r>
      <w:r>
        <w:rPr>
          <w:rFonts w:cs="Arial"/>
          <w:vertAlign w:val="subscript"/>
        </w:rPr>
        <w:t>2</w:t>
      </w:r>
      <w:r>
        <w:rPr>
          <w:rFonts w:cs="Arial"/>
        </w:rPr>
        <w:t>O</w:t>
      </w:r>
      <w:r>
        <w:rPr>
          <w:rFonts w:cs="Arial"/>
          <w:vertAlign w:val="subscript"/>
        </w:rPr>
        <w:t>5</w:t>
      </w:r>
      <w:r>
        <w:rPr>
          <w:rFonts w:cs="Arial"/>
        </w:rPr>
        <w:t xml:space="preserve"> pro ha ausgebracht. Bei durchschnittlichen Analysewerten beträgt der Düngewert von 30 Mg Kompost pro ha DM 1075.- (Nährstoffwert DM 550.-, Wert der organischen Substanz DM 525.-). Abzüglich der Kosten für Transport und Ausbringung von ca. DM 315.- beträgt der Nettowert „frei Wurzel“ DM 760.- je ha (VHE, 1999).</w:t>
      </w:r>
    </w:p>
    <w:p>
      <w:pPr>
        <w:pStyle w:val="GesAbsatz"/>
        <w:rPr>
          <w:rFonts w:cs="Arial"/>
          <w:b/>
          <w:bCs/>
        </w:rPr>
      </w:pPr>
      <w:r>
        <w:rPr>
          <w:rFonts w:cs="Arial"/>
          <w:b/>
          <w:bCs/>
        </w:rPr>
        <w:br w:type="page"/>
      </w:r>
      <w:r>
        <w:rPr>
          <w:rFonts w:cs="Arial"/>
          <w:b/>
          <w:bCs/>
        </w:rPr>
        <w:lastRenderedPageBreak/>
        <w:t>Torf</w:t>
      </w:r>
    </w:p>
    <w:p>
      <w:pPr>
        <w:pStyle w:val="GesAbsatz"/>
        <w:rPr>
          <w:rFonts w:cs="Arial"/>
        </w:rPr>
      </w:pPr>
      <w:r>
        <w:rPr>
          <w:rFonts w:cs="Arial"/>
        </w:rPr>
        <w:t>Im Bereich der Bodenverbesserung beim Hobbygärtner ist eine Substitution von Torf durch Kompost möglich und bereits zu einem erheblichen Teil vollzogen. Im Bereich der Blumenerden für Hobbygärtner ist ein gewisser Torfanteil durch hochwertige Substratkomposte zu ersetzen. Hier ist der Kompost in Konkurrenz zum Rindenhumus (kompostierte Rinde) getreten und hat diesen zum Teil verdrängt. Ausschlaggebend war der niedrigere Preis für Substratkompost gegenüber Rindenhumus. Bei den Kultursubstraten für den Erwerbsgartenbau ist bisher kaum eine Neigung des Gartenbaus zu erkennen, Komposte in Kultursubstraten zu akzeptieren. Biologisch belebte Substrate werden noch weitgehend abgelehnt, weil ihre physikalischen und chemischen Eigenschaften variieren und bei der Lagerung gewissen Veränderungen unterliegen können. Der größte Teil der heute im Erwerbsgartenbau eingesetzten Substratkomposte findet im Produktionszweig Baumschulen Verwendung (grobstrukturierte Komposte in Volumenanteilen bis 30 % in Pflanzcontainern). Bei der Bodenverbesserung im Bereich Garten- und Landschaftsbau ist Torf bereits weitgehend ersetzt. Als Mischkomponente in Erden und Substraten werden Komposte im Garten- und Landschaftsbau zunehmend eingesetzt. Einer Ausweitung des Absatzes sind aber auch hier, nicht zuletzt durch die entsprechenden Regelwerke, Grenzen gesetzt (Arbeitsgemeinschaft PlanCoTec, ITH und BGK, 1995). Zudem herrscht eine starke Abhängigkeit von Ausschreibungen. Einen Überblick gibt Tabelle 29.</w:t>
      </w:r>
    </w:p>
    <w:p>
      <w:pPr>
        <w:pStyle w:val="GesAbsatz"/>
        <w:rPr>
          <w:rFonts w:cs="Arial"/>
          <w:b/>
          <w:bCs/>
        </w:rPr>
      </w:pPr>
      <w:r>
        <w:rPr>
          <w:rFonts w:cs="Arial"/>
          <w:b/>
          <w:bCs/>
        </w:rPr>
        <w:t>Rinde</w:t>
      </w:r>
    </w:p>
    <w:p>
      <w:pPr>
        <w:pStyle w:val="GesAbsatz"/>
        <w:rPr>
          <w:rFonts w:cs="Arial"/>
        </w:rPr>
      </w:pPr>
      <w:r>
        <w:rPr>
          <w:rFonts w:cs="Arial"/>
        </w:rPr>
        <w:t>Grundsätzlich ist die Datenlage im Bereich Rindenverbrauch unzureichend und eine Substitutionsanalyse deshalb schwierig. Rindenprodukte sind, wo es möglich ist, schon durch Kompost ersetzt worden (s.o. im Abschnitt „Torf“). Eine Verdrängung findet vor allem in den Bereichen Hobbygartenbau und Garten- und Landschaftsbau statt (zur Bodenverbesserung sowie zum Abdecken von Flächen mit Mulchmaterial). In einzelnen Bereichen wie z. B. dem Wege- und Spielplatzbau gibt es zu Rindenmulch dagegen wegen der mechanischen Anforderungen keine Alternativen.</w:t>
      </w:r>
    </w:p>
    <w:p>
      <w:pPr>
        <w:pStyle w:val="berschrift3"/>
        <w:jc w:val="left"/>
      </w:pPr>
      <w:bookmarkStart w:id="17" w:name="_Toc45599505"/>
      <w:r>
        <w:t>4.5 Einschätzung der Marktsegmente</w:t>
      </w:r>
      <w:bookmarkEnd w:id="17"/>
    </w:p>
    <w:p>
      <w:pPr>
        <w:pStyle w:val="GesAbsatz"/>
      </w:pPr>
      <w:r>
        <w:t>Insgesamt sind vielfältige Einsatzbereiche für Bio- und Grünkomposte vorhanden:</w:t>
      </w:r>
    </w:p>
    <w:p>
      <w:pPr>
        <w:pStyle w:val="GesAbsatz"/>
        <w:rPr>
          <w:rFonts w:cs="Arial"/>
        </w:rPr>
      </w:pPr>
      <w:r>
        <w:rPr>
          <w:rFonts w:cs="Arial"/>
        </w:rPr>
        <w:t>-</w:t>
      </w:r>
      <w:r>
        <w:rPr>
          <w:rFonts w:cs="Arial"/>
        </w:rPr>
        <w:tab/>
        <w:t>Einsatzbereiche für Bio- und Grünkomposte im Pflanzenbau</w:t>
      </w:r>
    </w:p>
    <w:p>
      <w:pPr>
        <w:pStyle w:val="GesAbsatz"/>
        <w:rPr>
          <w:rFonts w:cs="Arial"/>
        </w:rPr>
      </w:pPr>
      <w:r>
        <w:rPr>
          <w:rFonts w:cs="Arial"/>
        </w:rPr>
        <w:t>Verwertung unveredelter, konfektionierter Bio- und Grünkomposte:</w:t>
      </w:r>
    </w:p>
    <w:p>
      <w:pPr>
        <w:pStyle w:val="GesAbsatz"/>
        <w:rPr>
          <w:rFonts w:cs="Arial"/>
        </w:rPr>
      </w:pPr>
      <w:r>
        <w:rPr>
          <w:rFonts w:cs="Arial"/>
        </w:rPr>
        <w:t>-</w:t>
      </w:r>
      <w:r>
        <w:rPr>
          <w:rFonts w:cs="Arial"/>
        </w:rPr>
        <w:tab/>
        <w:t>Erwerbsgartenbau – Bodenkultur (Gemüse, Zierpflanzen, Baumschulen)</w:t>
      </w:r>
    </w:p>
    <w:p>
      <w:pPr>
        <w:pStyle w:val="GesAbsatz"/>
        <w:rPr>
          <w:rFonts w:cs="Arial"/>
        </w:rPr>
      </w:pPr>
      <w:r>
        <w:rPr>
          <w:rFonts w:cs="Arial"/>
        </w:rPr>
        <w:t>-</w:t>
      </w:r>
      <w:r>
        <w:rPr>
          <w:rFonts w:cs="Arial"/>
        </w:rPr>
        <w:tab/>
        <w:t>Hobbygartenbau (Bodenverbesserung, Düngung, Mulch)</w:t>
      </w:r>
    </w:p>
    <w:p>
      <w:pPr>
        <w:pStyle w:val="GesAbsatz"/>
        <w:ind w:left="426" w:hanging="426"/>
        <w:rPr>
          <w:rFonts w:cs="Arial"/>
        </w:rPr>
      </w:pPr>
      <w:r>
        <w:rPr>
          <w:rFonts w:cs="Arial"/>
        </w:rPr>
        <w:t>-</w:t>
      </w:r>
      <w:r>
        <w:rPr>
          <w:rFonts w:cs="Arial"/>
        </w:rPr>
        <w:tab/>
        <w:t>Landschaftsbau inklusive Sportplatzbau und Neuanlagen (Städtebau, Straßenbau, Industriebereiche, Naturschutz usw.)</w:t>
      </w:r>
    </w:p>
    <w:p>
      <w:pPr>
        <w:pStyle w:val="GesAbsatz"/>
        <w:rPr>
          <w:rFonts w:cs="Arial"/>
        </w:rPr>
      </w:pPr>
      <w:r>
        <w:rPr>
          <w:rFonts w:cs="Arial"/>
        </w:rPr>
        <w:t>-</w:t>
      </w:r>
      <w:r>
        <w:rPr>
          <w:rFonts w:cs="Arial"/>
        </w:rPr>
        <w:tab/>
        <w:t>Öffentliche Grünanlagen (durch Öffentliche Hand)</w:t>
      </w:r>
    </w:p>
    <w:p>
      <w:pPr>
        <w:pStyle w:val="GesAbsatz"/>
        <w:rPr>
          <w:rFonts w:cs="Arial"/>
        </w:rPr>
      </w:pPr>
      <w:r>
        <w:rPr>
          <w:rFonts w:cs="Arial"/>
        </w:rPr>
        <w:t>-</w:t>
      </w:r>
      <w:r>
        <w:rPr>
          <w:rFonts w:cs="Arial"/>
        </w:rPr>
        <w:tab/>
        <w:t>Straßenbegleitgrün (durch Straßenmeistereien usw.)</w:t>
      </w:r>
    </w:p>
    <w:p>
      <w:pPr>
        <w:pStyle w:val="GesAbsatz"/>
        <w:rPr>
          <w:rFonts w:cs="Arial"/>
        </w:rPr>
      </w:pPr>
      <w:r>
        <w:rPr>
          <w:rFonts w:cs="Arial"/>
        </w:rPr>
        <w:t>-</w:t>
      </w:r>
      <w:r>
        <w:rPr>
          <w:rFonts w:cs="Arial"/>
        </w:rPr>
        <w:tab/>
        <w:t>Rekultivierungsmaßnahmen (Halden, Tagebau, Industriebrachen usw.)</w:t>
      </w:r>
    </w:p>
    <w:p>
      <w:pPr>
        <w:pStyle w:val="GesAbsatz"/>
        <w:rPr>
          <w:rFonts w:cs="Arial"/>
        </w:rPr>
      </w:pPr>
      <w:r>
        <w:rPr>
          <w:rFonts w:cs="Arial"/>
        </w:rPr>
        <w:t>-</w:t>
      </w:r>
      <w:r>
        <w:rPr>
          <w:rFonts w:cs="Arial"/>
        </w:rPr>
        <w:tab/>
        <w:t>Landwirtschaft (Ackerbau, Grünland)</w:t>
      </w:r>
    </w:p>
    <w:p>
      <w:pPr>
        <w:pStyle w:val="GesAbsatz"/>
        <w:rPr>
          <w:rFonts w:cs="Arial"/>
        </w:rPr>
      </w:pPr>
      <w:r>
        <w:rPr>
          <w:rFonts w:cs="Arial"/>
        </w:rPr>
        <w:t>-</w:t>
      </w:r>
      <w:r>
        <w:rPr>
          <w:rFonts w:cs="Arial"/>
        </w:rPr>
        <w:tab/>
        <w:t>Landwirtschaftliche Sonderkulturen (Wein- und Obstbau)</w:t>
      </w:r>
    </w:p>
    <w:p>
      <w:pPr>
        <w:pStyle w:val="GesAbsatz"/>
        <w:rPr>
          <w:rFonts w:cs="Arial"/>
        </w:rPr>
      </w:pPr>
      <w:r>
        <w:rPr>
          <w:rFonts w:cs="Arial"/>
        </w:rPr>
        <w:t>-</w:t>
      </w:r>
      <w:r>
        <w:rPr>
          <w:rFonts w:cs="Arial"/>
        </w:rPr>
        <w:tab/>
        <w:t>Landwirtschaftliche Spezialkulturen (Spargel usw.)</w:t>
      </w:r>
    </w:p>
    <w:p>
      <w:pPr>
        <w:pStyle w:val="GesAbsatz"/>
        <w:rPr>
          <w:rFonts w:cs="Arial"/>
        </w:rPr>
      </w:pPr>
      <w:r>
        <w:rPr>
          <w:rFonts w:cs="Arial"/>
        </w:rPr>
        <w:t>-</w:t>
      </w:r>
      <w:r>
        <w:rPr>
          <w:rFonts w:cs="Arial"/>
        </w:rPr>
        <w:tab/>
        <w:t>Forstwirtschaft</w:t>
      </w:r>
    </w:p>
    <w:p>
      <w:pPr>
        <w:pStyle w:val="GesAbsatz"/>
        <w:rPr>
          <w:rFonts w:cs="Arial"/>
        </w:rPr>
      </w:pPr>
      <w:r>
        <w:rPr>
          <w:rFonts w:cs="Arial"/>
        </w:rPr>
        <w:t>Verwertung über Veredelung durch Erden und Substrat herstellende Industrie:</w:t>
      </w:r>
    </w:p>
    <w:p>
      <w:pPr>
        <w:pStyle w:val="GesAbsatz"/>
        <w:rPr>
          <w:rFonts w:cs="Arial"/>
        </w:rPr>
      </w:pPr>
      <w:r>
        <w:rPr>
          <w:rFonts w:cs="Arial"/>
        </w:rPr>
        <w:t>-</w:t>
      </w:r>
      <w:r>
        <w:rPr>
          <w:rFonts w:cs="Arial"/>
        </w:rPr>
        <w:tab/>
        <w:t>Blumen- und Graberden für private Käufer</w:t>
      </w:r>
    </w:p>
    <w:p>
      <w:pPr>
        <w:pStyle w:val="GesAbsatz"/>
        <w:rPr>
          <w:rFonts w:cs="Arial"/>
        </w:rPr>
      </w:pPr>
      <w:r>
        <w:rPr>
          <w:rFonts w:cs="Arial"/>
        </w:rPr>
        <w:t>-</w:t>
      </w:r>
      <w:r>
        <w:rPr>
          <w:rFonts w:cs="Arial"/>
        </w:rPr>
        <w:tab/>
        <w:t>Erden zur Anzucht und Weiterkultur (Kultursubstrate) für den Erwerbsgartenbau</w:t>
      </w:r>
    </w:p>
    <w:p>
      <w:pPr>
        <w:pStyle w:val="GesAbsatz"/>
        <w:rPr>
          <w:rFonts w:cs="Arial"/>
        </w:rPr>
      </w:pPr>
      <w:r>
        <w:rPr>
          <w:rFonts w:cs="Arial"/>
        </w:rPr>
        <w:t>-</w:t>
      </w:r>
      <w:r>
        <w:rPr>
          <w:rFonts w:cs="Arial"/>
        </w:rPr>
        <w:tab/>
        <w:t>Vegetationsschichten, Auffüllsubstrate u. ä. für den Landschaftsbau</w:t>
      </w:r>
    </w:p>
    <w:p>
      <w:pPr>
        <w:pStyle w:val="GesAbsatz"/>
        <w:rPr>
          <w:rFonts w:cs="Arial"/>
        </w:rPr>
      </w:pPr>
      <w:r>
        <w:rPr>
          <w:rFonts w:cs="Arial"/>
        </w:rPr>
        <w:t>-</w:t>
      </w:r>
      <w:r>
        <w:rPr>
          <w:rFonts w:cs="Arial"/>
        </w:rPr>
        <w:tab/>
        <w:t>Sonstige Substrate für den Landschaftsbau (Dachgarten, Lärmschutzwälle usw.)</w:t>
      </w:r>
    </w:p>
    <w:p>
      <w:pPr>
        <w:pStyle w:val="GesAbsatz"/>
        <w:rPr>
          <w:rFonts w:cs="Arial"/>
        </w:rPr>
      </w:pPr>
      <w:r>
        <w:rPr>
          <w:rFonts w:cs="Arial"/>
        </w:rPr>
        <w:t xml:space="preserve">Grundsätzlich sind pflanzenbauliche Verwertungsbereiche (einschließlich der Veredelungsstufe Erden/Substrate/Humusprodukte) mit originärem Bedarf an Humusstoffen abzugrenzen von Bereichen, die Kompost zwar nutzen können (vor allem wegen der Gehalte an Haupt- und Spurennährstoffen, aber auch wegen des Gehaltes an organischer Substanz), die aber Humusstoffe aus dem Zukauf nicht direkt benötigen. Zu den ersteren gehören, wenn sie auch in sehr unterschiedlichem Maß Humusprodukte benötigen, die erden- und substratherstellende Industrie, der Garten-, Landschafts- und Sportplatzbau, die Baumschulen, das „Öffentliche Grün“ (einschließlich Straßenbegleitgrün) und die Rekultivierungen sowie teilweise der Erwerbsgartenbau (Gemüse und Zierpflanzen), bestimmte landwirtschaftliche Spezialkulturen (z. B. Spargel), der Wein- und </w:t>
      </w:r>
      <w:r>
        <w:rPr>
          <w:rFonts w:cs="Arial"/>
        </w:rPr>
        <w:lastRenderedPageBreak/>
        <w:t>Obstbau und der Hobbygartenbau. Die Bereiche Ackerbau und Forstwirtschaft benötigen dagegen nur in wenigen Teilbereichen über die selbst erzeugten Humusprodukte hinaus organische Substanz aus Zukauf.</w:t>
      </w:r>
    </w:p>
    <w:p>
      <w:pPr>
        <w:pStyle w:val="GesAbsatz"/>
        <w:rPr>
          <w:rFonts w:cs="Arial"/>
        </w:rPr>
      </w:pPr>
      <w:r>
        <w:rPr>
          <w:rFonts w:cs="Arial"/>
        </w:rPr>
        <w:t>Während unveredelte Komposte im Landschaftsbau verbreitet angewendet werden, werden Vegetationsschichten, Dachgarten- und Pflanzlochsubstrate auf Kompostbasis usw. erst allmählich eingeführt. Die Herstellung von Pflanzerden und Kultursubstraten auf Kompostbasis weist insgesamt große Chancen für den Kompostabsatz auf.</w:t>
      </w:r>
    </w:p>
    <w:p>
      <w:pPr>
        <w:pStyle w:val="GesAbsatz"/>
        <w:rPr>
          <w:rFonts w:cs="Arial"/>
        </w:rPr>
      </w:pPr>
      <w:r>
        <w:rPr>
          <w:rFonts w:cs="Arial"/>
        </w:rPr>
        <w:t>Beim Vergleich der Anteile der verschiedenen Marktsegmente am Kompostabsatz in Nordrhein-Westfalen mit den bundesweiten Zahlen (BGK, 1998) ist festzustellen, dass in Nordrhein-Westfalen in die Landwirtschaft rund doppelt so viel, in die Bereiche Hobbygartenbau, Sonderkulturen, Rekultivierung und Landschaftsbau anteilsmäßig jedoch deutlich weniger Kompost abgesetzt wird als im bundesdeutschen Schnitt.</w:t>
      </w:r>
    </w:p>
    <w:p>
      <w:pPr>
        <w:pStyle w:val="GesAbsatz"/>
        <w:rPr>
          <w:rFonts w:cs="Arial"/>
        </w:rPr>
      </w:pPr>
    </w:p>
    <w:p>
      <w:pPr>
        <w:pStyle w:val="GesAbsatz"/>
        <w:rPr>
          <w:rFonts w:cs="Arial"/>
          <w:b/>
          <w:color w:val="auto"/>
        </w:rPr>
      </w:pPr>
      <w:r>
        <w:rPr>
          <w:rFonts w:cs="Arial"/>
          <w:b/>
          <w:color w:val="auto"/>
        </w:rPr>
        <w:t>Abbildung 10:</w:t>
      </w:r>
    </w:p>
    <w:p>
      <w:pPr>
        <w:pStyle w:val="GesAbsatz"/>
        <w:jc w:val="center"/>
        <w:rPr>
          <w:rFonts w:cs="Arial"/>
          <w:color w:val="auto"/>
        </w:rPr>
      </w:pPr>
      <w:r>
        <w:object w:dxaOrig="5746" w:dyaOrig="4364">
          <v:shape id="_x0000_i1034" type="#_x0000_t75" style="width:287.35pt;height:218.5pt" o:ole="">
            <v:imagedata r:id="rId39" o:title=""/>
          </v:shape>
          <o:OLEObject Type="Embed" ProgID="PBrush" ShapeID="_x0000_i1034" DrawAspect="Content" ObjectID="_1698664226" r:id="rId40"/>
        </w:object>
      </w:r>
    </w:p>
    <w:p>
      <w:pPr>
        <w:pStyle w:val="GesAbsatz"/>
        <w:rPr>
          <w:rFonts w:cs="Arial"/>
          <w:b/>
          <w:bCs/>
        </w:rPr>
      </w:pPr>
    </w:p>
    <w:p>
      <w:pPr>
        <w:pStyle w:val="GesAbsatz"/>
        <w:rPr>
          <w:rFonts w:cs="Arial"/>
        </w:rPr>
      </w:pPr>
      <w:r>
        <w:rPr>
          <w:rFonts w:cs="Arial"/>
          <w:b/>
          <w:bCs/>
        </w:rPr>
        <w:t>Überblick über den Stellenwert der möglichen Absatzbereiche für die Kompostvermarktung in NRW ohne Berücksichtigung regionaler Differenzierung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491"/>
        <w:gridCol w:w="1491"/>
        <w:gridCol w:w="1546"/>
        <w:gridCol w:w="1519"/>
        <w:gridCol w:w="1501"/>
      </w:tblGrid>
      <w:tr>
        <w:trPr>
          <w:tblHeader/>
        </w:trPr>
        <w:tc>
          <w:tcPr>
            <w:tcW w:w="2230" w:type="dxa"/>
          </w:tcPr>
          <w:p>
            <w:pPr>
              <w:pStyle w:val="GesAbsatz"/>
              <w:jc w:val="center"/>
              <w:rPr>
                <w:rFonts w:eastAsia="Arial Unicode MS" w:cs="Arial"/>
                <w:sz w:val="18"/>
                <w:szCs w:val="24"/>
              </w:rPr>
            </w:pPr>
            <w:r>
              <w:rPr>
                <w:rFonts w:cs="Arial"/>
                <w:b/>
                <w:bCs/>
                <w:sz w:val="18"/>
              </w:rPr>
              <w:t>Bereich</w:t>
            </w:r>
          </w:p>
        </w:tc>
        <w:tc>
          <w:tcPr>
            <w:tcW w:w="1491" w:type="dxa"/>
          </w:tcPr>
          <w:p>
            <w:pPr>
              <w:pStyle w:val="GesAbsatz"/>
              <w:jc w:val="center"/>
              <w:rPr>
                <w:rFonts w:eastAsia="Arial Unicode MS" w:cs="Arial"/>
                <w:sz w:val="18"/>
                <w:szCs w:val="24"/>
              </w:rPr>
            </w:pPr>
            <w:r>
              <w:rPr>
                <w:rFonts w:cs="Arial"/>
                <w:b/>
                <w:bCs/>
                <w:sz w:val="18"/>
              </w:rPr>
              <w:t>Absatz-potenzial</w:t>
            </w:r>
          </w:p>
        </w:tc>
        <w:tc>
          <w:tcPr>
            <w:tcW w:w="1491" w:type="dxa"/>
          </w:tcPr>
          <w:p>
            <w:pPr>
              <w:pStyle w:val="GesAbsatz"/>
              <w:jc w:val="center"/>
              <w:rPr>
                <w:rFonts w:eastAsia="Arial Unicode MS" w:cs="Arial"/>
                <w:sz w:val="18"/>
                <w:szCs w:val="24"/>
              </w:rPr>
            </w:pPr>
            <w:r>
              <w:rPr>
                <w:rFonts w:cs="Arial"/>
                <w:b/>
                <w:bCs/>
                <w:sz w:val="18"/>
              </w:rPr>
              <w:t>Absatz-sicherheit</w:t>
            </w:r>
          </w:p>
        </w:tc>
        <w:tc>
          <w:tcPr>
            <w:tcW w:w="1546" w:type="dxa"/>
          </w:tcPr>
          <w:p>
            <w:pPr>
              <w:pStyle w:val="GesAbsatz"/>
              <w:jc w:val="center"/>
              <w:rPr>
                <w:rFonts w:eastAsia="Arial Unicode MS" w:cs="Arial"/>
                <w:sz w:val="18"/>
                <w:szCs w:val="24"/>
              </w:rPr>
            </w:pPr>
            <w:r>
              <w:rPr>
                <w:rFonts w:cs="Arial"/>
                <w:b/>
                <w:bCs/>
                <w:sz w:val="18"/>
              </w:rPr>
              <w:t>Qualitäts-anforderungen1</w:t>
            </w:r>
          </w:p>
        </w:tc>
        <w:tc>
          <w:tcPr>
            <w:tcW w:w="1519" w:type="dxa"/>
          </w:tcPr>
          <w:p>
            <w:pPr>
              <w:pStyle w:val="GesAbsatz"/>
              <w:jc w:val="center"/>
              <w:rPr>
                <w:rFonts w:eastAsia="Arial Unicode MS" w:cs="Arial"/>
                <w:sz w:val="18"/>
                <w:szCs w:val="24"/>
              </w:rPr>
            </w:pPr>
            <w:r>
              <w:rPr>
                <w:rFonts w:cs="Arial"/>
                <w:b/>
                <w:bCs/>
                <w:sz w:val="18"/>
              </w:rPr>
              <w:t>mögliche Erlöse</w:t>
            </w:r>
          </w:p>
        </w:tc>
        <w:tc>
          <w:tcPr>
            <w:tcW w:w="1501" w:type="dxa"/>
          </w:tcPr>
          <w:p>
            <w:pPr>
              <w:pStyle w:val="GesAbsatz"/>
              <w:jc w:val="center"/>
              <w:rPr>
                <w:rFonts w:eastAsia="Arial Unicode MS" w:cs="Arial"/>
                <w:sz w:val="18"/>
                <w:szCs w:val="24"/>
              </w:rPr>
            </w:pPr>
            <w:r>
              <w:rPr>
                <w:rFonts w:cs="Arial"/>
                <w:b/>
                <w:bCs/>
                <w:sz w:val="18"/>
              </w:rPr>
              <w:t>Umsetz-</w:t>
            </w:r>
            <w:r>
              <w:rPr>
                <w:rFonts w:cs="Arial"/>
                <w:b/>
                <w:bCs/>
                <w:sz w:val="18"/>
              </w:rPr>
              <w:br/>
              <w:t>chancen</w:t>
            </w:r>
          </w:p>
        </w:tc>
      </w:tr>
      <w:tr>
        <w:tc>
          <w:tcPr>
            <w:tcW w:w="2230" w:type="dxa"/>
            <w:vAlign w:val="center"/>
          </w:tcPr>
          <w:p>
            <w:pPr>
              <w:pStyle w:val="GesAbsatz"/>
              <w:rPr>
                <w:rFonts w:eastAsia="Arial Unicode MS" w:cs="Arial"/>
                <w:sz w:val="18"/>
                <w:szCs w:val="24"/>
              </w:rPr>
            </w:pPr>
            <w:r>
              <w:rPr>
                <w:rFonts w:cs="Arial"/>
                <w:sz w:val="18"/>
              </w:rPr>
              <w:t xml:space="preserve">Erden- und Substrate </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2230" w:type="dxa"/>
            <w:vAlign w:val="center"/>
          </w:tcPr>
          <w:p>
            <w:pPr>
              <w:pStyle w:val="GesAbsatz"/>
              <w:rPr>
                <w:rFonts w:eastAsia="Arial Unicode MS" w:cs="Arial"/>
                <w:sz w:val="18"/>
                <w:szCs w:val="24"/>
              </w:rPr>
            </w:pPr>
            <w:r>
              <w:rPr>
                <w:rFonts w:cs="Arial"/>
                <w:sz w:val="18"/>
              </w:rPr>
              <w:t xml:space="preserve">Garten-, Landschafts- </w:t>
            </w:r>
            <w:r>
              <w:rPr>
                <w:rFonts w:cs="Arial"/>
                <w:sz w:val="18"/>
              </w:rPr>
              <w:br/>
              <w:t xml:space="preserve">und Sportplatzbau </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2230" w:type="dxa"/>
            <w:vAlign w:val="center"/>
          </w:tcPr>
          <w:p>
            <w:pPr>
              <w:pStyle w:val="GesAbsatz"/>
              <w:rPr>
                <w:rFonts w:eastAsia="Arial Unicode MS" w:cs="Arial"/>
                <w:sz w:val="18"/>
                <w:szCs w:val="24"/>
              </w:rPr>
            </w:pPr>
            <w:r>
              <w:rPr>
                <w:rFonts w:cs="Arial"/>
                <w:sz w:val="18"/>
              </w:rPr>
              <w:t>Bodenkultur im Erwerbsgartenbau (Baumschulen, Gemüse und Zierpflanzen)</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2230" w:type="dxa"/>
            <w:vAlign w:val="center"/>
          </w:tcPr>
          <w:p>
            <w:pPr>
              <w:pStyle w:val="GesAbsatz"/>
              <w:rPr>
                <w:rFonts w:eastAsia="Arial Unicode MS" w:cs="Arial"/>
                <w:sz w:val="18"/>
                <w:szCs w:val="24"/>
              </w:rPr>
            </w:pPr>
            <w:r>
              <w:rPr>
                <w:rFonts w:cs="Arial"/>
                <w:sz w:val="18"/>
              </w:rPr>
              <w:t>Hobbygartenbau</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2230" w:type="dxa"/>
            <w:vAlign w:val="center"/>
          </w:tcPr>
          <w:p>
            <w:pPr>
              <w:pStyle w:val="GesAbsatz"/>
              <w:rPr>
                <w:rFonts w:eastAsia="Arial Unicode MS" w:cs="Arial"/>
                <w:sz w:val="18"/>
                <w:szCs w:val="24"/>
              </w:rPr>
            </w:pPr>
            <w:r>
              <w:rPr>
                <w:rFonts w:cs="Arial"/>
                <w:sz w:val="18"/>
              </w:rPr>
              <w:t>Öffentliche Grünanlagen</w:t>
            </w:r>
            <w:r>
              <w:rPr>
                <w:rFonts w:cs="Arial"/>
                <w:sz w:val="18"/>
              </w:rPr>
              <w:br/>
              <w:t>in Öffentl. Hand</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2230" w:type="dxa"/>
            <w:vAlign w:val="center"/>
          </w:tcPr>
          <w:p>
            <w:pPr>
              <w:pStyle w:val="GesAbsatz"/>
              <w:rPr>
                <w:rFonts w:eastAsia="Arial Unicode MS" w:cs="Arial"/>
                <w:sz w:val="18"/>
                <w:szCs w:val="24"/>
              </w:rPr>
            </w:pPr>
            <w:r>
              <w:rPr>
                <w:rFonts w:cs="Arial"/>
                <w:sz w:val="18"/>
              </w:rPr>
              <w:t>Rekultivierung</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2230" w:type="dxa"/>
            <w:vAlign w:val="center"/>
          </w:tcPr>
          <w:p>
            <w:pPr>
              <w:pStyle w:val="GesAbsatz"/>
              <w:rPr>
                <w:rFonts w:eastAsia="Arial Unicode MS" w:cs="Arial"/>
                <w:sz w:val="18"/>
                <w:szCs w:val="24"/>
              </w:rPr>
            </w:pPr>
            <w:r>
              <w:rPr>
                <w:rFonts w:cs="Arial"/>
                <w:sz w:val="18"/>
              </w:rPr>
              <w:t>Weinbau</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2230" w:type="dxa"/>
            <w:vAlign w:val="center"/>
          </w:tcPr>
          <w:p>
            <w:pPr>
              <w:pStyle w:val="GesAbsatz"/>
              <w:rPr>
                <w:rFonts w:eastAsia="Arial Unicode MS" w:cs="Arial"/>
                <w:sz w:val="18"/>
                <w:szCs w:val="24"/>
              </w:rPr>
            </w:pPr>
            <w:r>
              <w:rPr>
                <w:rFonts w:cs="Arial"/>
                <w:sz w:val="18"/>
              </w:rPr>
              <w:t>Obstbau</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2230" w:type="dxa"/>
            <w:vAlign w:val="center"/>
          </w:tcPr>
          <w:p>
            <w:pPr>
              <w:pStyle w:val="GesAbsatz"/>
              <w:rPr>
                <w:rFonts w:eastAsia="Arial Unicode MS" w:cs="Arial"/>
                <w:sz w:val="18"/>
                <w:szCs w:val="24"/>
              </w:rPr>
            </w:pPr>
            <w:r>
              <w:rPr>
                <w:rFonts w:cs="Arial"/>
                <w:sz w:val="18"/>
              </w:rPr>
              <w:t>landwirtschaftliche Spezialkulturen wie Spargel</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2230" w:type="dxa"/>
            <w:vAlign w:val="center"/>
          </w:tcPr>
          <w:p>
            <w:pPr>
              <w:pStyle w:val="GesAbsatz"/>
              <w:rPr>
                <w:rFonts w:eastAsia="Arial Unicode MS" w:cs="Arial"/>
                <w:sz w:val="18"/>
                <w:szCs w:val="24"/>
              </w:rPr>
            </w:pPr>
            <w:r>
              <w:rPr>
                <w:rFonts w:cs="Arial"/>
                <w:sz w:val="18"/>
              </w:rPr>
              <w:t>Landwirtschaft (Ackerbau)</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2230" w:type="dxa"/>
          </w:tcPr>
          <w:p>
            <w:pPr>
              <w:pStyle w:val="GesAbsatz"/>
              <w:rPr>
                <w:rFonts w:eastAsia="Arial Unicode MS" w:cs="Arial"/>
                <w:sz w:val="18"/>
                <w:szCs w:val="24"/>
              </w:rPr>
            </w:pPr>
            <w:r>
              <w:rPr>
                <w:rFonts w:cs="Arial"/>
                <w:sz w:val="18"/>
              </w:rPr>
              <w:lastRenderedPageBreak/>
              <w:t>Forstwirtschaft</w:t>
            </w:r>
          </w:p>
        </w:tc>
        <w:tc>
          <w:tcPr>
            <w:tcW w:w="1491" w:type="dxa"/>
          </w:tcPr>
          <w:p>
            <w:pPr>
              <w:pStyle w:val="GesAbsatz"/>
              <w:jc w:val="center"/>
              <w:rPr>
                <w:rFonts w:eastAsia="Arial Unicode MS" w:cs="Arial"/>
                <w:sz w:val="18"/>
                <w:szCs w:val="24"/>
              </w:rPr>
            </w:pPr>
            <w:r>
              <w:rPr>
                <w:rFonts w:cs="Arial"/>
                <w:sz w:val="18"/>
              </w:rPr>
              <w:t>-</w:t>
            </w:r>
          </w:p>
        </w:tc>
        <w:tc>
          <w:tcPr>
            <w:tcW w:w="1491" w:type="dxa"/>
          </w:tcPr>
          <w:p>
            <w:pPr>
              <w:pStyle w:val="GesAbsatz"/>
              <w:jc w:val="center"/>
              <w:rPr>
                <w:rFonts w:eastAsia="Arial Unicode MS" w:cs="Arial"/>
                <w:sz w:val="18"/>
                <w:szCs w:val="24"/>
              </w:rPr>
            </w:pPr>
            <w:r>
              <w:rPr>
                <w:rFonts w:cs="Arial"/>
                <w:sz w:val="18"/>
              </w:rPr>
              <w:t>-</w:t>
            </w:r>
          </w:p>
        </w:tc>
        <w:tc>
          <w:tcPr>
            <w:tcW w:w="1546" w:type="dxa"/>
          </w:tcPr>
          <w:p>
            <w:pPr>
              <w:pStyle w:val="GesAbsatz"/>
              <w:jc w:val="center"/>
              <w:rPr>
                <w:rFonts w:eastAsia="Arial Unicode MS" w:cs="Arial"/>
                <w:sz w:val="18"/>
                <w:szCs w:val="24"/>
              </w:rPr>
            </w:pPr>
            <w:r>
              <w:rPr>
                <w:rFonts w:cs="Arial"/>
                <w:sz w:val="18"/>
              </w:rPr>
              <w:t>+</w:t>
            </w:r>
          </w:p>
        </w:tc>
        <w:tc>
          <w:tcPr>
            <w:tcW w:w="1519" w:type="dxa"/>
          </w:tcPr>
          <w:p>
            <w:pPr>
              <w:pStyle w:val="GesAbsatz"/>
              <w:jc w:val="center"/>
              <w:rPr>
                <w:rFonts w:eastAsia="Arial Unicode MS" w:cs="Arial"/>
                <w:sz w:val="18"/>
                <w:szCs w:val="24"/>
              </w:rPr>
            </w:pPr>
            <w:r>
              <w:rPr>
                <w:rFonts w:cs="Arial"/>
                <w:sz w:val="18"/>
              </w:rPr>
              <w:t>-</w:t>
            </w:r>
          </w:p>
        </w:tc>
        <w:tc>
          <w:tcPr>
            <w:tcW w:w="1501" w:type="dxa"/>
          </w:tcPr>
          <w:p>
            <w:pPr>
              <w:pStyle w:val="GesAbsatz"/>
              <w:jc w:val="center"/>
              <w:rPr>
                <w:rFonts w:eastAsia="Arial Unicode MS" w:cs="Arial"/>
                <w:sz w:val="18"/>
                <w:szCs w:val="24"/>
              </w:rPr>
            </w:pPr>
            <w:r>
              <w:rPr>
                <w:rFonts w:cs="Arial"/>
                <w:sz w:val="18"/>
              </w:rPr>
              <w:t>-</w:t>
            </w:r>
          </w:p>
        </w:tc>
      </w:tr>
      <w:tr>
        <w:tc>
          <w:tcPr>
            <w:tcW w:w="9778" w:type="dxa"/>
            <w:gridSpan w:val="6"/>
            <w:vAlign w:val="center"/>
          </w:tcPr>
          <w:p>
            <w:pPr>
              <w:pStyle w:val="GesAbsatz"/>
              <w:rPr>
                <w:rFonts w:eastAsia="Arial Unicode MS" w:cs="Arial"/>
                <w:sz w:val="18"/>
                <w:szCs w:val="24"/>
              </w:rPr>
            </w:pPr>
            <w:r>
              <w:rPr>
                <w:rFonts w:cs="Arial"/>
                <w:sz w:val="18"/>
                <w:szCs w:val="15"/>
              </w:rPr>
              <w:t>++ sehr hoch/sehr gut, + hoch/gut, +/- mittel oder uneinheitlich, - weniger hoch/weniger gut, -- schlecht</w:t>
            </w:r>
            <w:r>
              <w:rPr>
                <w:rFonts w:cs="Arial"/>
                <w:sz w:val="18"/>
                <w:szCs w:val="15"/>
              </w:rPr>
              <w:br/>
            </w:r>
            <w:r>
              <w:rPr>
                <w:rFonts w:cs="Arial"/>
                <w:sz w:val="18"/>
                <w:szCs w:val="15"/>
                <w:vertAlign w:val="superscript"/>
              </w:rPr>
              <w:t>1</w:t>
            </w:r>
            <w:r>
              <w:rPr>
                <w:rFonts w:cs="Arial"/>
                <w:sz w:val="18"/>
                <w:szCs w:val="15"/>
              </w:rPr>
              <w:t xml:space="preserve"> Die Qualitätsanforderungen an Komposte sind grundsätzlich hoch, die Differenzierung ist nur in diesem Rahmen zu sehen.</w:t>
            </w:r>
          </w:p>
        </w:tc>
      </w:tr>
    </w:tbl>
    <w:p>
      <w:pPr>
        <w:pStyle w:val="GesAbsatz"/>
        <w:rPr>
          <w:rFonts w:cs="Arial"/>
        </w:rPr>
      </w:pPr>
    </w:p>
    <w:p>
      <w:pPr>
        <w:pStyle w:val="GesAbsatz"/>
        <w:rPr>
          <w:rFonts w:cs="Arial"/>
        </w:rPr>
      </w:pPr>
      <w:r>
        <w:rPr>
          <w:rFonts w:cs="Arial"/>
          <w:b/>
          <w:bCs/>
        </w:rPr>
        <w:t>4.6 Einschätzung der Absatzstrukturen</w:t>
      </w:r>
    </w:p>
    <w:p>
      <w:pPr>
        <w:pStyle w:val="GesAbsatz"/>
        <w:rPr>
          <w:rFonts w:eastAsia="Arial Unicode MS" w:cs="Arial"/>
          <w:szCs w:val="24"/>
        </w:rPr>
      </w:pPr>
      <w:r>
        <w:rPr>
          <w:rFonts w:cs="Arial"/>
        </w:rPr>
        <w:t>In Nordrhein-Westfalen ist eine relativ starke Professionalisierung des Kompostabsatzes zu beobachten. Dies ist bedingt durch die Strukturen der Entsorgungswirtschaft selbst (relativ größere und sehr große Unternehmen), die sowohl mehr finanzielle Substanz als auch mehr Erfahrungen mitbringt. Hinsichtlich der Innovationsleistungen ist das Bild (wie überall) durchwachsen, einige Unternehmen jedoch sind auch hier Vorreiter und haben eine Multiplikatorwirkung in Bezug auf das Vordringen in noch nicht erschlossene Märkte. Letztlich bringt die fortschreitende Dauer der Produktion von Komposten einen Fortschritt in den Vertriebsstrukturen mit sich.</w:t>
      </w:r>
    </w:p>
    <w:p>
      <w:pPr>
        <w:pStyle w:val="GesAbsatz"/>
        <w:rPr>
          <w:rFonts w:cs="Arial"/>
        </w:rPr>
      </w:pPr>
      <w:r>
        <w:rPr>
          <w:rFonts w:cs="Arial"/>
        </w:rPr>
        <w:t>Im Vergleich zu einer Studie, die von der PlanCoTec für die Gütegemeinschaft Kompost Region Südwest durchgeführt wurde und die die Vermarktungsstrukturen in den Ländern Hessen, Rheinland-Pfalz und Saarland untersucht (Stöppler-Zimmer und Petersen, 1996), zeigt sich in Nordrhein-Westfalen mit 40 % vorhandener und 23 % geplanter Veredelung (gemessen an der Zahl der Betriebe) ein viel ausgeprägterer Trend zur Veredelung und eine viel weitergehende Differenzierung der Produkte. Im Vermarktungsgebiet Südwest war im Jahr 1995 bei 20 % der Antwortenden (n=47) die Produktion vorhanden und bei weiteren 18 % geplant. Knapp 2/3 der Antwortenden hatten keine Produktion von Erden und Substraten.</w:t>
      </w:r>
    </w:p>
    <w:p>
      <w:pPr>
        <w:pStyle w:val="GesAbsatz"/>
        <w:rPr>
          <w:rFonts w:cs="Arial"/>
        </w:rPr>
      </w:pPr>
      <w:r>
        <w:rPr>
          <w:rFonts w:cs="Arial"/>
        </w:rPr>
        <w:t>Auch bei dem Vorhandensein „spezieller Vertriebsbeauftragter“ (vgl. Kap. 4.1.2) zeigt der Vergleich mit der Studie für die Gütegemeinschaft Kompost Region Südwest eine deutlich stärkere Professionalisierung des Vertriebs in Nordrhein-Westfalen. Im Vermarktungsgebiet Südwest (Hessen, Rheinland-Pfalz, Saarland) waren 1995 für den Kompostabsatz bei 15 % der Antwortenden (n=47) Vollzeitkräfte beschäftigt, bei weiteren 13 % Teilzeitkräfte. Einen zusätzlichen Außendienst unterhielten 2 %, während 70 % keine speziellen Vertriebsbeauftragten hatten (Stöppler-Zimmer und Petersen, 1996). In Nordrhein-Westfalen hingegen haben über 50 % der Betriebe einen oder mehrere spezielle Vertriebsbeauftragte.</w:t>
      </w:r>
    </w:p>
    <w:p>
      <w:pPr>
        <w:pStyle w:val="GesAbsatz"/>
        <w:rPr>
          <w:rFonts w:cs="Arial"/>
        </w:rPr>
      </w:pPr>
      <w:r>
        <w:rPr>
          <w:rFonts w:cs="Arial"/>
        </w:rPr>
        <w:t>Hinsichtlich der Zahl der Verkaufsstellen sind einige Unternehmen relativ weit, bei der großen Mehrheit ist jedoch noch ein Potenzial zu stärkerer Marktdurchdringung zu sehen. Ähnliches gilt auch für andere Bereiche des Kompostabsatzes.</w:t>
      </w:r>
    </w:p>
    <w:p>
      <w:pPr>
        <w:pStyle w:val="GesAbsatz"/>
        <w:rPr>
          <w:rFonts w:cs="Arial"/>
        </w:rPr>
      </w:pPr>
      <w:r>
        <w:rPr>
          <w:rFonts w:cs="Arial"/>
        </w:rPr>
        <w:t>Es ist jedoch zu beachten, dass die Marketingkonzepte der Unternehmen nicht immer eine diversifizierte Absatzstruktur aufweisen, was auch durchaus hinsichtlich Ökonomie und Ökologie legitim sein kann.</w:t>
      </w:r>
    </w:p>
    <w:p>
      <w:pPr>
        <w:pStyle w:val="berschrift2"/>
        <w:jc w:val="left"/>
        <w:rPr>
          <w:rFonts w:eastAsia="Arial Unicode MS"/>
        </w:rPr>
      </w:pPr>
      <w:bookmarkStart w:id="18" w:name="_Toc45599506"/>
      <w:r>
        <w:rPr>
          <w:rFonts w:eastAsia="Arial Unicode MS"/>
        </w:rPr>
        <w:t>5 Prognose der zukünftigen Kompostverwertung</w:t>
      </w:r>
      <w:bookmarkEnd w:id="18"/>
    </w:p>
    <w:p>
      <w:pPr>
        <w:pStyle w:val="berschrift3"/>
        <w:jc w:val="left"/>
      </w:pPr>
      <w:bookmarkStart w:id="19" w:name="_Toc45599507"/>
      <w:r>
        <w:t>5.1 Varianten</w:t>
      </w:r>
      <w:bookmarkEnd w:id="19"/>
    </w:p>
    <w:p>
      <w:pPr>
        <w:pStyle w:val="GesAbsatz"/>
        <w:rPr>
          <w:rFonts w:cs="Arial"/>
        </w:rPr>
      </w:pPr>
      <w:r>
        <w:rPr>
          <w:rFonts w:cs="Arial"/>
        </w:rPr>
        <w:t>Die prognostizierten Kompostmengen in Nordrhein-Westfalen basieren auf den im Abschnitt „Getrennte Sammlung und Behandlung von Bio- und Grünabfällen“ getroffenen Mengenprognosen – Minimalszenario und Maximalszenario – für Bio- und Grünabfälle, abzüglich eines durchschnittlichen Rotteverlustes von 50 %.</w:t>
      </w:r>
    </w:p>
    <w:p>
      <w:pPr>
        <w:pStyle w:val="GesAbsatz"/>
        <w:ind w:left="426" w:hanging="426"/>
        <w:rPr>
          <w:rFonts w:cs="Arial"/>
        </w:rPr>
      </w:pPr>
      <w:r>
        <w:rPr>
          <w:rFonts w:cs="Arial"/>
        </w:rPr>
        <w:t>-</w:t>
      </w:r>
      <w:r>
        <w:rPr>
          <w:rFonts w:cs="Arial"/>
        </w:rPr>
        <w:tab/>
        <w:t>Nach Minimalszenario „Bio- und Grünabfallmengen“ beträgt die zukünftig mindestens erzeugte Kompostmenge 780.000 Mg/a.</w:t>
      </w:r>
    </w:p>
    <w:p>
      <w:pPr>
        <w:pStyle w:val="GesAbsatz"/>
        <w:ind w:left="426" w:hanging="426"/>
        <w:rPr>
          <w:rFonts w:cs="Arial"/>
        </w:rPr>
      </w:pPr>
      <w:r>
        <w:rPr>
          <w:rFonts w:cs="Arial"/>
        </w:rPr>
        <w:t>-</w:t>
      </w:r>
      <w:r>
        <w:rPr>
          <w:rFonts w:cs="Arial"/>
        </w:rPr>
        <w:tab/>
        <w:t>Nach dem Maximalszenario „Bio- und Grünabfallmengen“ beträgt die zukünftig höchstens erzeugte Kompostmenge 1.100.000 Mg/a.</w:t>
      </w:r>
    </w:p>
    <w:p>
      <w:pPr>
        <w:pStyle w:val="GesAbsatz"/>
        <w:rPr>
          <w:rFonts w:cs="Arial"/>
        </w:rPr>
      </w:pPr>
      <w:r>
        <w:rPr>
          <w:rFonts w:cs="Arial"/>
        </w:rPr>
        <w:t>-</w:t>
      </w:r>
      <w:r>
        <w:rPr>
          <w:rFonts w:cs="Arial"/>
        </w:rPr>
        <w:tab/>
        <w:t>Unter Kompost sind sowohl die aerob als auch die anaerob behandelten biogenen Abfälle zu verstehen.</w:t>
      </w:r>
    </w:p>
    <w:p>
      <w:pPr>
        <w:pStyle w:val="GesAbsatz"/>
        <w:rPr>
          <w:rFonts w:cs="Arial"/>
        </w:rPr>
      </w:pPr>
      <w:r>
        <w:rPr>
          <w:rFonts w:cs="Arial"/>
        </w:rPr>
        <w:t xml:space="preserve">Für die Verwertung der prognostizierten Kompostmengen ergeben sich je nach Verteilung in die diversen Absatz- und Anwendungsbereiche verschiedene Möglichkeiten. Für die Abschätzung der zukünftigen Verwertungswege für Kompost wurden drei mögliche Varianten mit jeweils unterschiedlichen Rahmenbedingungen </w:t>
      </w:r>
      <w:r>
        <w:rPr>
          <w:rFonts w:cs="Arial"/>
        </w:rPr>
        <w:lastRenderedPageBreak/>
        <w:t>herausgearbeitet, wobei innerhalb der dritten Variante die verschiedenen Marktsegmente am differenziertesten betrachtet wurden</w:t>
      </w:r>
      <w:r>
        <w:rPr>
          <w:rStyle w:val="Funotenzeichen"/>
          <w:rFonts w:cs="Arial"/>
        </w:rPr>
        <w:footnoteReference w:id="2"/>
      </w:r>
      <w:r>
        <w:rPr>
          <w:rFonts w:cs="Arial"/>
        </w:rPr>
        <w:t>. Die Varianten 1 und 2 basieren auf eher ungünstigen Annahmen. Auf den nachfolgend erläuterten Varianten basieren dann die im Kap. 5.2 dargestellten Berechnungen zu den Nährstoff- und Schwermetallfrachten.</w:t>
      </w:r>
    </w:p>
    <w:p>
      <w:pPr>
        <w:pStyle w:val="GesAbsatz"/>
        <w:rPr>
          <w:rFonts w:cs="Arial"/>
          <w:b/>
          <w:bCs/>
        </w:rPr>
      </w:pPr>
      <w:r>
        <w:rPr>
          <w:rFonts w:cs="Arial"/>
          <w:b/>
          <w:bCs/>
        </w:rPr>
        <w:t>•</w:t>
      </w:r>
      <w:r>
        <w:rPr>
          <w:rFonts w:cs="Arial"/>
          <w:b/>
          <w:bCs/>
        </w:rPr>
        <w:tab/>
        <w:t>Variante 1</w:t>
      </w:r>
    </w:p>
    <w:p>
      <w:pPr>
        <w:pStyle w:val="GesAbsatz"/>
        <w:tabs>
          <w:tab w:val="clear" w:pos="425"/>
        </w:tabs>
        <w:rPr>
          <w:rFonts w:cs="Arial"/>
        </w:rPr>
      </w:pPr>
      <w:r>
        <w:rPr>
          <w:rFonts w:cs="Arial"/>
        </w:rPr>
        <w:t>Als Ausgangssituation für Variante 1 wurde die Annahme getroffen, dass ein Zusammenbruch aller anderen Märkte einen Absatz der gesamten Kompostmengen in der Landwirtschaft nötig macht. Variante 1 basiert also auf einem „worst-case-Fall“ für die außerlandwirtschaftliche Vermarktung und stellt eine Prüfung der ausschließlich landwirtschaftlichen Flächenressourcen in Nordrhein-Westfalen dar.</w:t>
      </w:r>
    </w:p>
    <w:p>
      <w:pPr>
        <w:pStyle w:val="GesAbsatz"/>
        <w:rPr>
          <w:rFonts w:cs="Arial"/>
          <w:b/>
          <w:bCs/>
        </w:rPr>
      </w:pPr>
      <w:r>
        <w:rPr>
          <w:rFonts w:cs="Arial"/>
          <w:b/>
          <w:bCs/>
        </w:rPr>
        <w:t>•</w:t>
      </w:r>
      <w:r>
        <w:rPr>
          <w:rFonts w:cs="Arial"/>
          <w:b/>
          <w:bCs/>
        </w:rPr>
        <w:tab/>
        <w:t>Variante 2</w:t>
      </w:r>
    </w:p>
    <w:p>
      <w:pPr>
        <w:pStyle w:val="GesAbsatz"/>
        <w:tabs>
          <w:tab w:val="clear" w:pos="425"/>
        </w:tabs>
        <w:rPr>
          <w:rFonts w:cs="Arial"/>
        </w:rPr>
      </w:pPr>
      <w:r>
        <w:rPr>
          <w:rFonts w:cs="Arial"/>
        </w:rPr>
        <w:t>Die Variante 2 geht davon aus, dass die bestehende Situation der Kompostverwertung in Anwendungsbereichen außerhalb der Landwirtschaft im gleichen Umfang wie bisher bestehen bleibt. Das bedeutet, dass die gegenüber der heutigen Situation zukünftig höheren Kompostmengen ausschließlich in der Landwirtschaft verwertet werden. Dies bedeutet wiederum, dass mit Variante 2 ein abgeschwächter „worst-case-Fall“ modelliert wurde.</w:t>
      </w:r>
    </w:p>
    <w:p>
      <w:pPr>
        <w:pStyle w:val="GesAbsatz"/>
        <w:ind w:left="426" w:hanging="426"/>
        <w:rPr>
          <w:rFonts w:cs="Arial"/>
          <w:b/>
          <w:bCs/>
        </w:rPr>
      </w:pPr>
      <w:r>
        <w:rPr>
          <w:rFonts w:cs="Arial"/>
          <w:b/>
          <w:bCs/>
        </w:rPr>
        <w:t>•</w:t>
      </w:r>
      <w:r>
        <w:rPr>
          <w:rFonts w:cs="Arial"/>
          <w:b/>
          <w:bCs/>
        </w:rPr>
        <w:tab/>
        <w:t>Variante 3</w:t>
      </w:r>
    </w:p>
    <w:p>
      <w:pPr>
        <w:pStyle w:val="GesAbsatz"/>
        <w:tabs>
          <w:tab w:val="clear" w:pos="425"/>
        </w:tabs>
        <w:rPr>
          <w:rFonts w:cs="Arial"/>
        </w:rPr>
      </w:pPr>
      <w:r>
        <w:rPr>
          <w:rFonts w:cs="Arial"/>
        </w:rPr>
        <w:t>Die dritte Variante berücksichtigt Veränderungen der Verwertungswege in allen Marktsegmenten. Bei den jeweils nach dem Minimal- und dem Maximalszenario zu verwertenden Kompostmengen sind diese Veränderungen unterschiedlich ausgeprägt.</w:t>
      </w:r>
    </w:p>
    <w:p>
      <w:pPr>
        <w:pStyle w:val="GesAbsatz"/>
        <w:rPr>
          <w:rFonts w:cs="Arial"/>
          <w:b/>
          <w:bCs/>
        </w:rPr>
      </w:pPr>
      <w:r>
        <w:rPr>
          <w:rFonts w:cs="Arial"/>
          <w:b/>
          <w:bCs/>
        </w:rPr>
        <w:t>•</w:t>
      </w:r>
      <w:r>
        <w:rPr>
          <w:rFonts w:cs="Arial"/>
          <w:b/>
          <w:bCs/>
        </w:rPr>
        <w:tab/>
        <w:t>Variante 3a</w:t>
      </w:r>
    </w:p>
    <w:p>
      <w:pPr>
        <w:pStyle w:val="GesAbsatz"/>
        <w:ind w:left="426" w:hanging="426"/>
        <w:rPr>
          <w:rFonts w:cs="Arial"/>
        </w:rPr>
      </w:pPr>
      <w:r>
        <w:rPr>
          <w:rFonts w:cs="Arial"/>
        </w:rPr>
        <w:t>Kompostmengen nach dem Minimalszenario</w:t>
      </w:r>
    </w:p>
    <w:p>
      <w:pPr>
        <w:pStyle w:val="GesAbsatz"/>
        <w:tabs>
          <w:tab w:val="clear" w:pos="425"/>
        </w:tabs>
        <w:rPr>
          <w:rFonts w:cs="Arial"/>
        </w:rPr>
      </w:pPr>
      <w:r>
        <w:rPr>
          <w:rFonts w:cs="Arial"/>
        </w:rPr>
        <w:t>In Nordrhein-Westfalen besteht eine andere Verwertungsstruktur als im Bundesdurchschnitt. Die Variante 3a greift die Unterschiede auf und postuliert, dass eine Anpassung an den jetzigen Bundesdurchschnitt unter Einbeziehung der konkreten nordrhein-westfälischen Randbedingungen erfolgen wird. Da Variante 3a bei den nach dem Minimalszenario anfallenden Kompostmengen ansetzt, liegt die Mengensteigerung gegenüber der Situation 1997 insgesamt nur bei rd. 180.000 Mg/a. Entsprechend bezieht die Variante 3a ein, dass diese höheren Kompostmengen durch eine Intensivierung und Optimierung der Vermarktungsanstrengungen der Anlagenbetreiber abgesetzt werden können, wobei anzumerken ist, dass die Aufnahmefähigkeit der verschiedenen Einsatzbereiche damit nicht voll ausgeschöpft wird.</w:t>
      </w:r>
    </w:p>
    <w:p>
      <w:pPr>
        <w:pStyle w:val="GesAbsatz"/>
        <w:rPr>
          <w:rFonts w:cs="Arial"/>
          <w:b/>
          <w:bCs/>
        </w:rPr>
      </w:pPr>
      <w:r>
        <w:rPr>
          <w:rFonts w:cs="Arial"/>
          <w:b/>
          <w:bCs/>
        </w:rPr>
        <w:t>•</w:t>
      </w:r>
      <w:r>
        <w:rPr>
          <w:rFonts w:cs="Arial"/>
          <w:b/>
          <w:bCs/>
        </w:rPr>
        <w:tab/>
        <w:t>Variante 3b</w:t>
      </w:r>
    </w:p>
    <w:p>
      <w:pPr>
        <w:pStyle w:val="GesAbsatz"/>
        <w:rPr>
          <w:rFonts w:cs="Arial"/>
        </w:rPr>
      </w:pPr>
      <w:r>
        <w:rPr>
          <w:rFonts w:cs="Arial"/>
        </w:rPr>
        <w:t>Kompostmengen nach dem Maximalszenario</w:t>
      </w:r>
    </w:p>
    <w:p>
      <w:pPr>
        <w:pStyle w:val="GesAbsatz"/>
        <w:tabs>
          <w:tab w:val="clear" w:pos="425"/>
        </w:tabs>
        <w:rPr>
          <w:rFonts w:cs="Arial"/>
        </w:rPr>
      </w:pPr>
      <w:r>
        <w:rPr>
          <w:rFonts w:cs="Arial"/>
        </w:rPr>
        <w:t>Bei der Variante 3b kommt hinzu, dass neben einer Verlagerung der Schwerpunkte der Kompostanwendungsbereiche zusätzliche Kompostmengen von nichtlandwirtschaftlichen Absatzbereichen aufgenommen werden. Die Variante 3b schöpft damit die Aufnahmefähigkeit der verschiedenen Absatzsegmente voraussichtlich weitgehend aus. Sie berücksichtigt allerdings noch nicht die möglichen Restriktionen aus der BBodSchV für die Einsatzbereiche Landschaftsbau/Rekultivierung.</w:t>
      </w:r>
    </w:p>
    <w:p>
      <w:pPr>
        <w:pStyle w:val="GesAbsatz"/>
        <w:rPr>
          <w:rFonts w:cs="Arial"/>
        </w:rPr>
      </w:pPr>
      <w:r>
        <w:rPr>
          <w:rFonts w:cs="Arial"/>
        </w:rPr>
        <w:t>Natürlich sind auch weitere positive Entwicklungen in den nichtlandwirtschaftlichen Bereichen denkbar. Vorsichtige Schätzungen, in denen Spielraum für den Ausgleich eines Marktsegments durch ein anderes gegeben ist, wären angeraten, um verträgliche Größen für den Hauptproblembereich Landwirtschaft zu erhalten.</w:t>
      </w:r>
    </w:p>
    <w:p>
      <w:pPr>
        <w:pStyle w:val="GesAbsatz"/>
        <w:rPr>
          <w:rFonts w:cs="Arial"/>
        </w:rPr>
      </w:pPr>
      <w:r>
        <w:rPr>
          <w:rFonts w:cs="Arial"/>
        </w:rPr>
        <w:t>Landesweit gehen in die Landwirtschaft nach den drei Varianten die in Tabelle 32 aufgeführten Kompostmengen. In Bezug auf die landwirtschaftliche Verwertung bezieht sich die Variante 3a auf die Kompostmengen des Minimalszenarios und die Variante 3b auf die Kompostmengen des Maximalszenarios. Die nach den Varianten ermittelten Kompostmengen ergeben eine ausgezeichnete Bandbreite für die Beurteilung der landwirtschaftlichen Kompostverwertung in Nordrhein-Westfalen.</w:t>
      </w:r>
    </w:p>
    <w:p>
      <w:pPr>
        <w:pStyle w:val="GesAbsatz"/>
        <w:rPr>
          <w:rFonts w:cs="Arial"/>
          <w:b/>
          <w:bCs/>
        </w:rPr>
      </w:pPr>
      <w:r>
        <w:rPr>
          <w:rFonts w:cs="Arial"/>
        </w:rPr>
        <w:t>In dieser Studie wurden keine Mengenströme zwischen den verschiedenen Kreisen und kreisfreien Städte betrachtet. Deshalb wurde bei allen Varianten die Annahme getroffen, dass die in einem Kreis anfallenden Bio- und Grünabfälle in Zukunft auch dort verarbeitet werden und der produzierte Kompost in der Region, d.h. im Kreis oder dem definierten Aggregat, verwertet wird.</w:t>
      </w:r>
    </w:p>
    <w:p>
      <w:pPr>
        <w:pStyle w:val="GesAbsatz"/>
        <w:rPr>
          <w:rFonts w:cs="Arial"/>
        </w:rPr>
      </w:pPr>
      <w:r>
        <w:rPr>
          <w:rFonts w:cs="Arial"/>
        </w:rPr>
        <w:t xml:space="preserve">Gegenüber der jetzigen Situation, in der in einigen Kreisen keine Kompostierung stattfindet und gesammelte Bio- und Grünabfallmengen in andere Kreise (auch Kreise mit hoher Viehdichte) zur Behandlung verbracht werden, ergibt sich demnach ein anderes Bild. So tritt der Fall ein, dass in einigen Regionen erstmals Kompost </w:t>
      </w:r>
      <w:r>
        <w:rPr>
          <w:rFonts w:cs="Arial"/>
        </w:rPr>
        <w:lastRenderedPageBreak/>
        <w:t>erzeugt wird, während in anderen Regionen des Landes die Kompostmenge (selbst bei einer maximalen Teilnahmequote der Bevölkerung an der Bioabfallsammlung) verglichen mit der heutigen Situation abnehmen wird. Dies betrifft insbesondere die Kreise Coesfeld, Unna und den Erftkreis (s. Tab. XIII im Anhang) und kommt vor allem bei Variante 2 (Aufrechterhaltung der außerlandwirtschaftlichen Absatzbereiche, darüber hinaus produzierte Kompostmengen werden in der Landwirtschaft eingesetzt) zum Tragen. In diesen Kreisen wird schon jetzt mehr Kompost in anderen Bereichen verwertet als nach den Prognoseszenarien überhaupt anfällt. Ein Absatz in die Landwirtschaft erübrigt sich daher.</w:t>
      </w:r>
    </w:p>
    <w:p>
      <w:pPr>
        <w:pStyle w:val="GesAbsatz"/>
        <w:rPr>
          <w:rFonts w:cs="Arial"/>
          <w:b/>
        </w:rPr>
      </w:pPr>
      <w:r>
        <w:rPr>
          <w:rFonts w:cs="Arial"/>
          <w:b/>
        </w:rPr>
        <w:t>Tabelle 30: Erläuterung der Annahmen zu Variante 3a (Verwertung der nach dem Minimalszenario zukünftig zu verwertenden Kompostmengen)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9"/>
        <w:gridCol w:w="1594"/>
        <w:gridCol w:w="1590"/>
        <w:gridCol w:w="1577"/>
        <w:gridCol w:w="1591"/>
        <w:gridCol w:w="1797"/>
      </w:tblGrid>
      <w:tr>
        <w:tc>
          <w:tcPr>
            <w:tcW w:w="1629" w:type="dxa"/>
          </w:tcPr>
          <w:p>
            <w:pPr>
              <w:pStyle w:val="GesAbsatz"/>
              <w:jc w:val="center"/>
              <w:rPr>
                <w:rFonts w:eastAsia="Arial Unicode MS" w:cs="Arial"/>
                <w:sz w:val="18"/>
                <w:szCs w:val="24"/>
              </w:rPr>
            </w:pPr>
            <w:r>
              <w:rPr>
                <w:rFonts w:cs="Arial"/>
                <w:b/>
                <w:bCs/>
                <w:sz w:val="18"/>
              </w:rPr>
              <w:t>Marktsegment</w:t>
            </w:r>
          </w:p>
        </w:tc>
        <w:tc>
          <w:tcPr>
            <w:tcW w:w="1594" w:type="dxa"/>
          </w:tcPr>
          <w:p>
            <w:pPr>
              <w:pStyle w:val="GesAbsatz"/>
              <w:jc w:val="center"/>
              <w:rPr>
                <w:rFonts w:eastAsia="Arial Unicode MS" w:cs="Arial"/>
                <w:sz w:val="18"/>
                <w:szCs w:val="24"/>
              </w:rPr>
            </w:pPr>
            <w:r>
              <w:rPr>
                <w:rFonts w:cs="Arial"/>
                <w:b/>
                <w:bCs/>
                <w:sz w:val="18"/>
              </w:rPr>
              <w:t>Anteile %</w:t>
            </w:r>
          </w:p>
        </w:tc>
        <w:tc>
          <w:tcPr>
            <w:tcW w:w="6555" w:type="dxa"/>
            <w:gridSpan w:val="4"/>
          </w:tcPr>
          <w:p>
            <w:pPr>
              <w:pStyle w:val="GesAbsatz"/>
              <w:jc w:val="center"/>
              <w:rPr>
                <w:rFonts w:cs="Arial"/>
                <w:sz w:val="18"/>
              </w:rPr>
            </w:pPr>
            <w:r>
              <w:rPr>
                <w:rFonts w:cs="Arial"/>
                <w:b/>
                <w:bCs/>
                <w:sz w:val="18"/>
              </w:rPr>
              <w:t>Variante 3a</w:t>
            </w:r>
          </w:p>
        </w:tc>
      </w:tr>
      <w:tr>
        <w:tc>
          <w:tcPr>
            <w:tcW w:w="1629" w:type="dxa"/>
          </w:tcPr>
          <w:p>
            <w:pPr>
              <w:pStyle w:val="GesAbsatz"/>
              <w:jc w:val="center"/>
              <w:rPr>
                <w:rFonts w:cs="Arial"/>
                <w:sz w:val="18"/>
              </w:rPr>
            </w:pPr>
          </w:p>
        </w:tc>
        <w:tc>
          <w:tcPr>
            <w:tcW w:w="1594" w:type="dxa"/>
          </w:tcPr>
          <w:p>
            <w:pPr>
              <w:pStyle w:val="GesAbsatz"/>
              <w:jc w:val="center"/>
              <w:rPr>
                <w:rFonts w:eastAsia="Arial Unicode MS" w:cs="Arial"/>
                <w:sz w:val="18"/>
                <w:szCs w:val="24"/>
              </w:rPr>
            </w:pPr>
            <w:r>
              <w:rPr>
                <w:rFonts w:cs="Arial"/>
                <w:sz w:val="18"/>
                <w:szCs w:val="15"/>
              </w:rPr>
              <w:t>Bundesdurchschnitt</w:t>
            </w:r>
          </w:p>
        </w:tc>
        <w:tc>
          <w:tcPr>
            <w:tcW w:w="1590" w:type="dxa"/>
          </w:tcPr>
          <w:p>
            <w:pPr>
              <w:pStyle w:val="GesAbsatz"/>
              <w:jc w:val="center"/>
              <w:rPr>
                <w:rFonts w:eastAsia="Arial Unicode MS" w:cs="Arial"/>
                <w:sz w:val="18"/>
                <w:szCs w:val="24"/>
              </w:rPr>
            </w:pPr>
            <w:r>
              <w:rPr>
                <w:rFonts w:cs="Arial"/>
                <w:sz w:val="18"/>
                <w:szCs w:val="15"/>
              </w:rPr>
              <w:t>Nordrhein-Westfalen</w:t>
            </w:r>
          </w:p>
        </w:tc>
        <w:tc>
          <w:tcPr>
            <w:tcW w:w="1577" w:type="dxa"/>
          </w:tcPr>
          <w:p>
            <w:pPr>
              <w:pStyle w:val="GesAbsatz"/>
              <w:jc w:val="center"/>
              <w:rPr>
                <w:rFonts w:eastAsia="Arial Unicode MS" w:cs="Arial"/>
                <w:sz w:val="18"/>
                <w:szCs w:val="24"/>
              </w:rPr>
            </w:pPr>
            <w:r>
              <w:rPr>
                <w:rFonts w:cs="Arial"/>
                <w:sz w:val="18"/>
                <w:szCs w:val="15"/>
              </w:rPr>
              <w:t>Anteile</w:t>
            </w:r>
            <w:r>
              <w:rPr>
                <w:rFonts w:cs="Arial"/>
                <w:sz w:val="18"/>
                <w:szCs w:val="15"/>
              </w:rPr>
              <w:br/>
              <w:t>%</w:t>
            </w:r>
          </w:p>
        </w:tc>
        <w:tc>
          <w:tcPr>
            <w:tcW w:w="1591" w:type="dxa"/>
          </w:tcPr>
          <w:p>
            <w:pPr>
              <w:pStyle w:val="GesAbsatz"/>
              <w:jc w:val="center"/>
              <w:rPr>
                <w:rFonts w:eastAsia="Arial Unicode MS" w:cs="Arial"/>
                <w:sz w:val="18"/>
                <w:szCs w:val="24"/>
              </w:rPr>
            </w:pPr>
            <w:r>
              <w:rPr>
                <w:rFonts w:cs="Arial"/>
                <w:sz w:val="18"/>
                <w:szCs w:val="15"/>
              </w:rPr>
              <w:t>Menge</w:t>
            </w:r>
            <w:r>
              <w:rPr>
                <w:rFonts w:cs="Arial"/>
                <w:sz w:val="18"/>
                <w:szCs w:val="15"/>
              </w:rPr>
              <w:br/>
              <w:t>Mg/a</w:t>
            </w:r>
          </w:p>
        </w:tc>
        <w:tc>
          <w:tcPr>
            <w:tcW w:w="1797" w:type="dxa"/>
          </w:tcPr>
          <w:p>
            <w:pPr>
              <w:pStyle w:val="GesAbsatz"/>
              <w:jc w:val="center"/>
              <w:rPr>
                <w:rFonts w:eastAsia="Arial Unicode MS" w:cs="Arial"/>
                <w:sz w:val="18"/>
                <w:szCs w:val="24"/>
              </w:rPr>
            </w:pPr>
            <w:r>
              <w:rPr>
                <w:rFonts w:cs="Arial"/>
                <w:sz w:val="18"/>
                <w:szCs w:val="15"/>
              </w:rPr>
              <w:t>Annahmen</w:t>
            </w:r>
          </w:p>
        </w:tc>
      </w:tr>
      <w:tr>
        <w:tc>
          <w:tcPr>
            <w:tcW w:w="1629" w:type="dxa"/>
          </w:tcPr>
          <w:p>
            <w:pPr>
              <w:pStyle w:val="GesAbsatz"/>
              <w:rPr>
                <w:rFonts w:eastAsia="Arial Unicode MS" w:cs="Arial"/>
                <w:sz w:val="18"/>
                <w:szCs w:val="24"/>
              </w:rPr>
            </w:pPr>
            <w:r>
              <w:rPr>
                <w:rFonts w:cs="Arial"/>
                <w:sz w:val="18"/>
              </w:rPr>
              <w:t xml:space="preserve">Hobbygartenbau </w:t>
            </w:r>
          </w:p>
        </w:tc>
        <w:tc>
          <w:tcPr>
            <w:tcW w:w="1594" w:type="dxa"/>
          </w:tcPr>
          <w:p>
            <w:pPr>
              <w:pStyle w:val="GesAbsatz"/>
              <w:tabs>
                <w:tab w:val="clear" w:pos="425"/>
                <w:tab w:val="decimal" w:pos="923"/>
              </w:tabs>
              <w:rPr>
                <w:rFonts w:eastAsia="Arial Unicode MS" w:cs="Arial"/>
                <w:sz w:val="18"/>
                <w:szCs w:val="24"/>
              </w:rPr>
            </w:pPr>
            <w:r>
              <w:rPr>
                <w:rFonts w:cs="Arial"/>
                <w:sz w:val="18"/>
              </w:rPr>
              <w:t>16,1</w:t>
            </w:r>
          </w:p>
        </w:tc>
        <w:tc>
          <w:tcPr>
            <w:tcW w:w="1590" w:type="dxa"/>
          </w:tcPr>
          <w:p>
            <w:pPr>
              <w:pStyle w:val="GesAbsatz"/>
              <w:tabs>
                <w:tab w:val="clear" w:pos="425"/>
                <w:tab w:val="decimal" w:pos="923"/>
              </w:tabs>
              <w:rPr>
                <w:rFonts w:eastAsia="Arial Unicode MS" w:cs="Arial"/>
                <w:sz w:val="18"/>
                <w:szCs w:val="24"/>
              </w:rPr>
            </w:pPr>
            <w:r>
              <w:rPr>
                <w:rFonts w:cs="Arial"/>
                <w:sz w:val="18"/>
              </w:rPr>
              <w:t>9</w:t>
            </w:r>
          </w:p>
        </w:tc>
        <w:tc>
          <w:tcPr>
            <w:tcW w:w="1577" w:type="dxa"/>
          </w:tcPr>
          <w:p>
            <w:pPr>
              <w:pStyle w:val="GesAbsatz"/>
              <w:tabs>
                <w:tab w:val="clear" w:pos="425"/>
                <w:tab w:val="decimal" w:pos="923"/>
              </w:tabs>
              <w:rPr>
                <w:rFonts w:eastAsia="Arial Unicode MS" w:cs="Arial"/>
                <w:sz w:val="18"/>
                <w:szCs w:val="24"/>
              </w:rPr>
            </w:pPr>
            <w:r>
              <w:rPr>
                <w:rFonts w:cs="Arial"/>
                <w:sz w:val="18"/>
              </w:rPr>
              <w:t>15</w:t>
            </w:r>
          </w:p>
        </w:tc>
        <w:tc>
          <w:tcPr>
            <w:tcW w:w="1591" w:type="dxa"/>
          </w:tcPr>
          <w:p>
            <w:pPr>
              <w:pStyle w:val="GesAbsatz"/>
              <w:tabs>
                <w:tab w:val="clear" w:pos="425"/>
                <w:tab w:val="decimal" w:pos="923"/>
              </w:tabs>
              <w:rPr>
                <w:rFonts w:eastAsia="Arial Unicode MS" w:cs="Arial"/>
                <w:sz w:val="18"/>
                <w:szCs w:val="24"/>
              </w:rPr>
            </w:pPr>
            <w:r>
              <w:rPr>
                <w:rFonts w:cs="Arial"/>
                <w:sz w:val="18"/>
              </w:rPr>
              <w:t>117.000</w:t>
            </w:r>
          </w:p>
        </w:tc>
        <w:tc>
          <w:tcPr>
            <w:tcW w:w="1797" w:type="dxa"/>
          </w:tcPr>
          <w:p>
            <w:pPr>
              <w:pStyle w:val="GesAbsatz"/>
              <w:rPr>
                <w:rFonts w:eastAsia="Arial Unicode MS" w:cs="Arial"/>
                <w:sz w:val="18"/>
                <w:szCs w:val="24"/>
              </w:rPr>
            </w:pPr>
            <w:r>
              <w:rPr>
                <w:rFonts w:cs="Arial"/>
                <w:sz w:val="18"/>
              </w:rPr>
              <w:t>Anpassung an Bundesschnitt durch Optimierung der Vertriebsstruktur, Steigerung durch Einsatz im Substratbereich</w:t>
            </w:r>
          </w:p>
        </w:tc>
      </w:tr>
      <w:tr>
        <w:tc>
          <w:tcPr>
            <w:tcW w:w="1629" w:type="dxa"/>
          </w:tcPr>
          <w:p>
            <w:pPr>
              <w:pStyle w:val="GesAbsatz"/>
              <w:rPr>
                <w:rFonts w:eastAsia="Arial Unicode MS" w:cs="Arial"/>
                <w:sz w:val="18"/>
                <w:szCs w:val="24"/>
              </w:rPr>
            </w:pPr>
            <w:r>
              <w:rPr>
                <w:rFonts w:cs="Arial"/>
                <w:sz w:val="18"/>
              </w:rPr>
              <w:t xml:space="preserve">Landschaftsbau </w:t>
            </w:r>
          </w:p>
        </w:tc>
        <w:tc>
          <w:tcPr>
            <w:tcW w:w="1594" w:type="dxa"/>
          </w:tcPr>
          <w:p>
            <w:pPr>
              <w:pStyle w:val="GesAbsatz"/>
              <w:tabs>
                <w:tab w:val="clear" w:pos="425"/>
                <w:tab w:val="decimal" w:pos="923"/>
              </w:tabs>
              <w:rPr>
                <w:rFonts w:eastAsia="Arial Unicode MS" w:cs="Arial"/>
                <w:sz w:val="18"/>
                <w:szCs w:val="24"/>
              </w:rPr>
            </w:pPr>
            <w:r>
              <w:rPr>
                <w:rFonts w:cs="Arial"/>
                <w:sz w:val="18"/>
              </w:rPr>
              <w:t>25,3</w:t>
            </w:r>
          </w:p>
        </w:tc>
        <w:tc>
          <w:tcPr>
            <w:tcW w:w="1590" w:type="dxa"/>
          </w:tcPr>
          <w:p>
            <w:pPr>
              <w:pStyle w:val="GesAbsatz"/>
              <w:tabs>
                <w:tab w:val="clear" w:pos="425"/>
                <w:tab w:val="decimal" w:pos="923"/>
              </w:tabs>
              <w:rPr>
                <w:rFonts w:eastAsia="Arial Unicode MS" w:cs="Arial"/>
                <w:sz w:val="18"/>
                <w:szCs w:val="24"/>
              </w:rPr>
            </w:pPr>
            <w:r>
              <w:rPr>
                <w:rFonts w:cs="Arial"/>
                <w:sz w:val="18"/>
              </w:rPr>
              <w:t xml:space="preserve">19 </w:t>
            </w:r>
          </w:p>
        </w:tc>
        <w:tc>
          <w:tcPr>
            <w:tcW w:w="1577" w:type="dxa"/>
          </w:tcPr>
          <w:p>
            <w:pPr>
              <w:pStyle w:val="GesAbsatz"/>
              <w:tabs>
                <w:tab w:val="clear" w:pos="425"/>
                <w:tab w:val="decimal" w:pos="923"/>
              </w:tabs>
              <w:rPr>
                <w:rFonts w:eastAsia="Arial Unicode MS" w:cs="Arial"/>
                <w:sz w:val="18"/>
                <w:szCs w:val="24"/>
              </w:rPr>
            </w:pPr>
            <w:r>
              <w:rPr>
                <w:rFonts w:cs="Arial"/>
                <w:sz w:val="18"/>
              </w:rPr>
              <w:t>25</w:t>
            </w:r>
          </w:p>
        </w:tc>
        <w:tc>
          <w:tcPr>
            <w:tcW w:w="1591" w:type="dxa"/>
          </w:tcPr>
          <w:p>
            <w:pPr>
              <w:pStyle w:val="GesAbsatz"/>
              <w:tabs>
                <w:tab w:val="clear" w:pos="425"/>
                <w:tab w:val="decimal" w:pos="923"/>
              </w:tabs>
              <w:rPr>
                <w:rFonts w:eastAsia="Arial Unicode MS" w:cs="Arial"/>
                <w:sz w:val="18"/>
                <w:szCs w:val="24"/>
              </w:rPr>
            </w:pPr>
            <w:r>
              <w:rPr>
                <w:rFonts w:cs="Arial"/>
                <w:sz w:val="18"/>
              </w:rPr>
              <w:t>195.000</w:t>
            </w:r>
          </w:p>
        </w:tc>
        <w:tc>
          <w:tcPr>
            <w:tcW w:w="1797" w:type="dxa"/>
          </w:tcPr>
          <w:p>
            <w:pPr>
              <w:pStyle w:val="GesAbsatz"/>
              <w:rPr>
                <w:rFonts w:eastAsia="Arial Unicode MS" w:cs="Arial"/>
                <w:sz w:val="18"/>
                <w:szCs w:val="24"/>
              </w:rPr>
            </w:pPr>
            <w:r>
              <w:rPr>
                <w:rFonts w:cs="Arial"/>
                <w:sz w:val="18"/>
              </w:rPr>
              <w:t>Anpassung an Bundesschnitt, Steigerung durch Einsatz im Bereich Erden und Substrate</w:t>
            </w:r>
          </w:p>
        </w:tc>
      </w:tr>
      <w:tr>
        <w:tc>
          <w:tcPr>
            <w:tcW w:w="1629" w:type="dxa"/>
          </w:tcPr>
          <w:p>
            <w:pPr>
              <w:pStyle w:val="GesAbsatz"/>
              <w:rPr>
                <w:rFonts w:eastAsia="Arial Unicode MS" w:cs="Arial"/>
                <w:sz w:val="18"/>
                <w:szCs w:val="24"/>
              </w:rPr>
            </w:pPr>
            <w:r>
              <w:rPr>
                <w:rFonts w:cs="Arial"/>
                <w:sz w:val="18"/>
              </w:rPr>
              <w:t>Erwerbsgartenbau</w:t>
            </w:r>
          </w:p>
        </w:tc>
        <w:tc>
          <w:tcPr>
            <w:tcW w:w="1594" w:type="dxa"/>
          </w:tcPr>
          <w:p>
            <w:pPr>
              <w:pStyle w:val="GesAbsatz"/>
              <w:tabs>
                <w:tab w:val="clear" w:pos="425"/>
                <w:tab w:val="decimal" w:pos="923"/>
              </w:tabs>
              <w:rPr>
                <w:rFonts w:eastAsia="Arial Unicode MS" w:cs="Arial"/>
                <w:sz w:val="18"/>
                <w:szCs w:val="24"/>
              </w:rPr>
            </w:pPr>
            <w:r>
              <w:rPr>
                <w:rFonts w:cs="Arial"/>
                <w:sz w:val="18"/>
              </w:rPr>
              <w:t>6,4</w:t>
            </w:r>
          </w:p>
        </w:tc>
        <w:tc>
          <w:tcPr>
            <w:tcW w:w="1590" w:type="dxa"/>
          </w:tcPr>
          <w:p>
            <w:pPr>
              <w:pStyle w:val="GesAbsatz"/>
              <w:tabs>
                <w:tab w:val="clear" w:pos="425"/>
                <w:tab w:val="decimal" w:pos="923"/>
              </w:tabs>
              <w:rPr>
                <w:rFonts w:eastAsia="Arial Unicode MS" w:cs="Arial"/>
                <w:sz w:val="18"/>
                <w:szCs w:val="24"/>
              </w:rPr>
            </w:pPr>
            <w:r>
              <w:rPr>
                <w:rFonts w:cs="Arial"/>
                <w:sz w:val="18"/>
              </w:rPr>
              <w:t xml:space="preserve">7 </w:t>
            </w:r>
          </w:p>
        </w:tc>
        <w:tc>
          <w:tcPr>
            <w:tcW w:w="1577" w:type="dxa"/>
          </w:tcPr>
          <w:p>
            <w:pPr>
              <w:pStyle w:val="GesAbsatz"/>
              <w:tabs>
                <w:tab w:val="clear" w:pos="425"/>
                <w:tab w:val="decimal" w:pos="923"/>
              </w:tabs>
              <w:rPr>
                <w:rFonts w:eastAsia="Arial Unicode MS" w:cs="Arial"/>
                <w:sz w:val="18"/>
                <w:szCs w:val="24"/>
              </w:rPr>
            </w:pPr>
            <w:r>
              <w:rPr>
                <w:rFonts w:cs="Arial"/>
                <w:sz w:val="18"/>
              </w:rPr>
              <w:t>10</w:t>
            </w:r>
          </w:p>
        </w:tc>
        <w:tc>
          <w:tcPr>
            <w:tcW w:w="1591" w:type="dxa"/>
          </w:tcPr>
          <w:p>
            <w:pPr>
              <w:pStyle w:val="GesAbsatz"/>
              <w:tabs>
                <w:tab w:val="clear" w:pos="425"/>
                <w:tab w:val="decimal" w:pos="923"/>
              </w:tabs>
              <w:rPr>
                <w:rFonts w:eastAsia="Arial Unicode MS" w:cs="Arial"/>
                <w:sz w:val="18"/>
                <w:szCs w:val="24"/>
              </w:rPr>
            </w:pPr>
            <w:r>
              <w:rPr>
                <w:rFonts w:cs="Arial"/>
                <w:sz w:val="18"/>
              </w:rPr>
              <w:t>78.000</w:t>
            </w:r>
          </w:p>
        </w:tc>
        <w:tc>
          <w:tcPr>
            <w:tcW w:w="1797" w:type="dxa"/>
          </w:tcPr>
          <w:p>
            <w:pPr>
              <w:pStyle w:val="GesAbsatz"/>
              <w:rPr>
                <w:rFonts w:eastAsia="Arial Unicode MS" w:cs="Arial"/>
                <w:sz w:val="18"/>
                <w:szCs w:val="24"/>
              </w:rPr>
            </w:pPr>
            <w:r>
              <w:rPr>
                <w:rFonts w:cs="Arial"/>
                <w:sz w:val="18"/>
              </w:rPr>
              <w:t xml:space="preserve">Allgemeine Steigerung im </w:t>
            </w:r>
            <w:r>
              <w:rPr>
                <w:rFonts w:cs="Arial"/>
                <w:sz w:val="18"/>
              </w:rPr>
              <w:br/>
              <w:t>Freiland und im Substratbereich</w:t>
            </w:r>
          </w:p>
        </w:tc>
      </w:tr>
      <w:tr>
        <w:tc>
          <w:tcPr>
            <w:tcW w:w="1629" w:type="dxa"/>
          </w:tcPr>
          <w:p>
            <w:pPr>
              <w:pStyle w:val="GesAbsatz"/>
              <w:rPr>
                <w:rFonts w:eastAsia="Arial Unicode MS" w:cs="Arial"/>
                <w:sz w:val="18"/>
                <w:szCs w:val="24"/>
              </w:rPr>
            </w:pPr>
            <w:r>
              <w:rPr>
                <w:rFonts w:cs="Arial"/>
                <w:sz w:val="18"/>
              </w:rPr>
              <w:t xml:space="preserve">Landwirtschaftliche Sonderkulturen </w:t>
            </w:r>
          </w:p>
        </w:tc>
        <w:tc>
          <w:tcPr>
            <w:tcW w:w="1594" w:type="dxa"/>
          </w:tcPr>
          <w:p>
            <w:pPr>
              <w:pStyle w:val="GesAbsatz"/>
              <w:tabs>
                <w:tab w:val="clear" w:pos="425"/>
                <w:tab w:val="decimal" w:pos="923"/>
              </w:tabs>
              <w:rPr>
                <w:rFonts w:eastAsia="Arial Unicode MS" w:cs="Arial"/>
                <w:sz w:val="18"/>
                <w:szCs w:val="24"/>
              </w:rPr>
            </w:pPr>
            <w:r>
              <w:rPr>
                <w:rFonts w:cs="Arial"/>
                <w:sz w:val="18"/>
              </w:rPr>
              <w:t>9,9</w:t>
            </w:r>
          </w:p>
        </w:tc>
        <w:tc>
          <w:tcPr>
            <w:tcW w:w="1590" w:type="dxa"/>
          </w:tcPr>
          <w:p>
            <w:pPr>
              <w:pStyle w:val="GesAbsatz"/>
              <w:tabs>
                <w:tab w:val="clear" w:pos="425"/>
                <w:tab w:val="decimal" w:pos="923"/>
              </w:tabs>
              <w:rPr>
                <w:rFonts w:eastAsia="Arial Unicode MS" w:cs="Arial"/>
                <w:sz w:val="18"/>
                <w:szCs w:val="24"/>
              </w:rPr>
            </w:pPr>
            <w:r>
              <w:rPr>
                <w:rFonts w:cs="Arial"/>
                <w:sz w:val="18"/>
              </w:rPr>
              <w:t>2</w:t>
            </w:r>
          </w:p>
        </w:tc>
        <w:tc>
          <w:tcPr>
            <w:tcW w:w="1577" w:type="dxa"/>
          </w:tcPr>
          <w:p>
            <w:pPr>
              <w:pStyle w:val="GesAbsatz"/>
              <w:tabs>
                <w:tab w:val="clear" w:pos="425"/>
                <w:tab w:val="decimal" w:pos="923"/>
              </w:tabs>
              <w:rPr>
                <w:rFonts w:eastAsia="Arial Unicode MS" w:cs="Arial"/>
                <w:sz w:val="18"/>
                <w:szCs w:val="24"/>
              </w:rPr>
            </w:pPr>
            <w:r>
              <w:rPr>
                <w:rFonts w:cs="Arial"/>
                <w:sz w:val="18"/>
              </w:rPr>
              <w:t>3</w:t>
            </w:r>
          </w:p>
        </w:tc>
        <w:tc>
          <w:tcPr>
            <w:tcW w:w="1591" w:type="dxa"/>
          </w:tcPr>
          <w:p>
            <w:pPr>
              <w:pStyle w:val="GesAbsatz"/>
              <w:tabs>
                <w:tab w:val="clear" w:pos="425"/>
                <w:tab w:val="decimal" w:pos="923"/>
              </w:tabs>
              <w:rPr>
                <w:rFonts w:eastAsia="Arial Unicode MS" w:cs="Arial"/>
                <w:sz w:val="18"/>
                <w:szCs w:val="24"/>
              </w:rPr>
            </w:pPr>
            <w:r>
              <w:rPr>
                <w:rFonts w:cs="Arial"/>
                <w:sz w:val="18"/>
              </w:rPr>
              <w:t>23.000</w:t>
            </w:r>
          </w:p>
        </w:tc>
        <w:tc>
          <w:tcPr>
            <w:tcW w:w="1797" w:type="dxa"/>
          </w:tcPr>
          <w:p>
            <w:pPr>
              <w:pStyle w:val="GesAbsatz"/>
              <w:rPr>
                <w:rFonts w:eastAsia="Arial Unicode MS" w:cs="Arial"/>
                <w:sz w:val="18"/>
                <w:szCs w:val="24"/>
              </w:rPr>
            </w:pPr>
            <w:r>
              <w:rPr>
                <w:rFonts w:cs="Arial"/>
                <w:sz w:val="18"/>
              </w:rPr>
              <w:t xml:space="preserve">Nur relativ wenig </w:t>
            </w:r>
            <w:r>
              <w:rPr>
                <w:rFonts w:cs="Arial"/>
                <w:sz w:val="18"/>
              </w:rPr>
              <w:br/>
              <w:t>Sonderkulturen vorhanden, geringe Steigerung möglich</w:t>
            </w:r>
          </w:p>
        </w:tc>
      </w:tr>
      <w:tr>
        <w:tc>
          <w:tcPr>
            <w:tcW w:w="1629" w:type="dxa"/>
          </w:tcPr>
          <w:p>
            <w:pPr>
              <w:pStyle w:val="GesAbsatz"/>
              <w:rPr>
                <w:rFonts w:eastAsia="Arial Unicode MS" w:cs="Arial"/>
                <w:sz w:val="18"/>
                <w:szCs w:val="24"/>
              </w:rPr>
            </w:pPr>
            <w:r>
              <w:rPr>
                <w:rFonts w:cs="Arial"/>
                <w:sz w:val="18"/>
              </w:rPr>
              <w:t>Allgemeine Landwirtschaft</w:t>
            </w:r>
          </w:p>
        </w:tc>
        <w:tc>
          <w:tcPr>
            <w:tcW w:w="1594" w:type="dxa"/>
          </w:tcPr>
          <w:p>
            <w:pPr>
              <w:pStyle w:val="GesAbsatz"/>
              <w:tabs>
                <w:tab w:val="clear" w:pos="425"/>
                <w:tab w:val="decimal" w:pos="923"/>
              </w:tabs>
              <w:rPr>
                <w:rFonts w:eastAsia="Arial Unicode MS" w:cs="Arial"/>
                <w:sz w:val="18"/>
                <w:szCs w:val="24"/>
              </w:rPr>
            </w:pPr>
            <w:r>
              <w:rPr>
                <w:rFonts w:cs="Arial"/>
                <w:sz w:val="18"/>
              </w:rPr>
              <w:t>19</w:t>
            </w:r>
          </w:p>
        </w:tc>
        <w:tc>
          <w:tcPr>
            <w:tcW w:w="1590" w:type="dxa"/>
          </w:tcPr>
          <w:p>
            <w:pPr>
              <w:pStyle w:val="GesAbsatz"/>
              <w:tabs>
                <w:tab w:val="clear" w:pos="425"/>
                <w:tab w:val="decimal" w:pos="923"/>
              </w:tabs>
              <w:rPr>
                <w:rFonts w:eastAsia="Arial Unicode MS" w:cs="Arial"/>
                <w:sz w:val="18"/>
                <w:szCs w:val="24"/>
              </w:rPr>
            </w:pPr>
            <w:r>
              <w:rPr>
                <w:rFonts w:cs="Arial"/>
                <w:sz w:val="18"/>
              </w:rPr>
              <w:t>44</w:t>
            </w:r>
          </w:p>
        </w:tc>
        <w:tc>
          <w:tcPr>
            <w:tcW w:w="1577" w:type="dxa"/>
          </w:tcPr>
          <w:p>
            <w:pPr>
              <w:pStyle w:val="GesAbsatz"/>
              <w:tabs>
                <w:tab w:val="clear" w:pos="425"/>
                <w:tab w:val="decimal" w:pos="923"/>
              </w:tabs>
              <w:rPr>
                <w:rFonts w:eastAsia="Arial Unicode MS" w:cs="Arial"/>
                <w:sz w:val="18"/>
                <w:szCs w:val="24"/>
              </w:rPr>
            </w:pPr>
            <w:r>
              <w:rPr>
                <w:rFonts w:cs="Arial"/>
                <w:sz w:val="18"/>
              </w:rPr>
              <w:t>25</w:t>
            </w:r>
          </w:p>
        </w:tc>
        <w:tc>
          <w:tcPr>
            <w:tcW w:w="1591" w:type="dxa"/>
          </w:tcPr>
          <w:p>
            <w:pPr>
              <w:pStyle w:val="GesAbsatz"/>
              <w:tabs>
                <w:tab w:val="clear" w:pos="425"/>
                <w:tab w:val="decimal" w:pos="923"/>
              </w:tabs>
              <w:rPr>
                <w:rFonts w:eastAsia="Arial Unicode MS" w:cs="Arial"/>
                <w:sz w:val="18"/>
                <w:szCs w:val="24"/>
              </w:rPr>
            </w:pPr>
            <w:r>
              <w:rPr>
                <w:rFonts w:cs="Arial"/>
                <w:sz w:val="18"/>
              </w:rPr>
              <w:t>195.000</w:t>
            </w:r>
          </w:p>
        </w:tc>
        <w:tc>
          <w:tcPr>
            <w:tcW w:w="1797" w:type="dxa"/>
          </w:tcPr>
          <w:p>
            <w:pPr>
              <w:pStyle w:val="GesAbsatz"/>
              <w:rPr>
                <w:rFonts w:eastAsia="Arial Unicode MS" w:cs="Arial"/>
                <w:sz w:val="18"/>
                <w:szCs w:val="24"/>
              </w:rPr>
            </w:pPr>
            <w:r>
              <w:rPr>
                <w:rFonts w:cs="Arial"/>
                <w:sz w:val="18"/>
              </w:rPr>
              <w:t>Anteil sinkt in Richtung Bundesschnitt</w:t>
            </w:r>
          </w:p>
        </w:tc>
      </w:tr>
      <w:tr>
        <w:tc>
          <w:tcPr>
            <w:tcW w:w="1629" w:type="dxa"/>
          </w:tcPr>
          <w:p>
            <w:pPr>
              <w:pStyle w:val="GesAbsatz"/>
              <w:rPr>
                <w:rFonts w:eastAsia="Arial Unicode MS" w:cs="Arial"/>
                <w:sz w:val="18"/>
                <w:szCs w:val="24"/>
              </w:rPr>
            </w:pPr>
            <w:r>
              <w:rPr>
                <w:rFonts w:cs="Arial"/>
                <w:sz w:val="18"/>
              </w:rPr>
              <w:t>Rekultivierung</w:t>
            </w:r>
          </w:p>
        </w:tc>
        <w:tc>
          <w:tcPr>
            <w:tcW w:w="1594" w:type="dxa"/>
          </w:tcPr>
          <w:p>
            <w:pPr>
              <w:pStyle w:val="GesAbsatz"/>
              <w:tabs>
                <w:tab w:val="clear" w:pos="425"/>
                <w:tab w:val="decimal" w:pos="923"/>
              </w:tabs>
              <w:rPr>
                <w:rFonts w:eastAsia="Arial Unicode MS" w:cs="Arial"/>
                <w:sz w:val="18"/>
                <w:szCs w:val="24"/>
              </w:rPr>
            </w:pPr>
            <w:r>
              <w:rPr>
                <w:rFonts w:cs="Arial"/>
                <w:sz w:val="18"/>
              </w:rPr>
              <w:t>11,6</w:t>
            </w:r>
          </w:p>
        </w:tc>
        <w:tc>
          <w:tcPr>
            <w:tcW w:w="1590" w:type="dxa"/>
          </w:tcPr>
          <w:p>
            <w:pPr>
              <w:pStyle w:val="GesAbsatz"/>
              <w:tabs>
                <w:tab w:val="clear" w:pos="425"/>
                <w:tab w:val="decimal" w:pos="923"/>
              </w:tabs>
              <w:rPr>
                <w:rFonts w:eastAsia="Arial Unicode MS" w:cs="Arial"/>
                <w:sz w:val="18"/>
                <w:szCs w:val="24"/>
              </w:rPr>
            </w:pPr>
            <w:r>
              <w:rPr>
                <w:rFonts w:cs="Arial"/>
                <w:sz w:val="18"/>
              </w:rPr>
              <w:t>7</w:t>
            </w:r>
          </w:p>
        </w:tc>
        <w:tc>
          <w:tcPr>
            <w:tcW w:w="1577" w:type="dxa"/>
          </w:tcPr>
          <w:p>
            <w:pPr>
              <w:pStyle w:val="GesAbsatz"/>
              <w:tabs>
                <w:tab w:val="clear" w:pos="425"/>
                <w:tab w:val="decimal" w:pos="923"/>
              </w:tabs>
              <w:rPr>
                <w:rFonts w:eastAsia="Arial Unicode MS" w:cs="Arial"/>
                <w:sz w:val="18"/>
                <w:szCs w:val="24"/>
              </w:rPr>
            </w:pPr>
            <w:r>
              <w:rPr>
                <w:rFonts w:cs="Arial"/>
                <w:sz w:val="18"/>
              </w:rPr>
              <w:t>10</w:t>
            </w:r>
          </w:p>
        </w:tc>
        <w:tc>
          <w:tcPr>
            <w:tcW w:w="1591" w:type="dxa"/>
          </w:tcPr>
          <w:p>
            <w:pPr>
              <w:pStyle w:val="GesAbsatz"/>
              <w:tabs>
                <w:tab w:val="clear" w:pos="425"/>
                <w:tab w:val="decimal" w:pos="923"/>
              </w:tabs>
              <w:rPr>
                <w:rFonts w:eastAsia="Arial Unicode MS" w:cs="Arial"/>
                <w:sz w:val="18"/>
                <w:szCs w:val="24"/>
              </w:rPr>
            </w:pPr>
            <w:r>
              <w:rPr>
                <w:rFonts w:cs="Arial"/>
                <w:sz w:val="18"/>
              </w:rPr>
              <w:t>78.000</w:t>
            </w:r>
          </w:p>
        </w:tc>
        <w:tc>
          <w:tcPr>
            <w:tcW w:w="1797" w:type="dxa"/>
          </w:tcPr>
          <w:p>
            <w:pPr>
              <w:pStyle w:val="GesAbsatz"/>
              <w:rPr>
                <w:rFonts w:eastAsia="Arial Unicode MS" w:cs="Arial"/>
                <w:sz w:val="18"/>
                <w:szCs w:val="24"/>
              </w:rPr>
            </w:pPr>
            <w:r>
              <w:rPr>
                <w:rFonts w:cs="Arial"/>
                <w:sz w:val="18"/>
              </w:rPr>
              <w:t>Anpassung an Potenzial NRW und an Bundesschnitt</w:t>
            </w:r>
          </w:p>
        </w:tc>
      </w:tr>
      <w:tr>
        <w:tc>
          <w:tcPr>
            <w:tcW w:w="1629" w:type="dxa"/>
          </w:tcPr>
          <w:p>
            <w:pPr>
              <w:pStyle w:val="GesAbsatz"/>
              <w:rPr>
                <w:rFonts w:eastAsia="Arial Unicode MS" w:cs="Arial"/>
                <w:sz w:val="18"/>
                <w:szCs w:val="24"/>
              </w:rPr>
            </w:pPr>
            <w:r>
              <w:rPr>
                <w:rFonts w:cs="Arial"/>
                <w:sz w:val="18"/>
              </w:rPr>
              <w:t>Öffentliches Grün</w:t>
            </w:r>
          </w:p>
        </w:tc>
        <w:tc>
          <w:tcPr>
            <w:tcW w:w="1594" w:type="dxa"/>
          </w:tcPr>
          <w:p>
            <w:pPr>
              <w:pStyle w:val="GesAbsatz"/>
              <w:tabs>
                <w:tab w:val="clear" w:pos="425"/>
                <w:tab w:val="decimal" w:pos="923"/>
              </w:tabs>
              <w:rPr>
                <w:rFonts w:eastAsia="Arial Unicode MS" w:cs="Arial"/>
                <w:sz w:val="18"/>
                <w:szCs w:val="24"/>
              </w:rPr>
            </w:pPr>
            <w:r>
              <w:rPr>
                <w:rFonts w:cs="Arial"/>
                <w:sz w:val="18"/>
              </w:rPr>
              <w:t>5</w:t>
            </w:r>
          </w:p>
        </w:tc>
        <w:tc>
          <w:tcPr>
            <w:tcW w:w="1590" w:type="dxa"/>
          </w:tcPr>
          <w:p>
            <w:pPr>
              <w:pStyle w:val="GesAbsatz"/>
              <w:tabs>
                <w:tab w:val="clear" w:pos="425"/>
                <w:tab w:val="decimal" w:pos="923"/>
              </w:tabs>
              <w:rPr>
                <w:rFonts w:eastAsia="Arial Unicode MS" w:cs="Arial"/>
                <w:sz w:val="18"/>
                <w:szCs w:val="24"/>
              </w:rPr>
            </w:pPr>
            <w:r>
              <w:rPr>
                <w:rFonts w:cs="Arial"/>
                <w:sz w:val="18"/>
              </w:rPr>
              <w:t>5</w:t>
            </w:r>
          </w:p>
        </w:tc>
        <w:tc>
          <w:tcPr>
            <w:tcW w:w="1577" w:type="dxa"/>
          </w:tcPr>
          <w:p>
            <w:pPr>
              <w:pStyle w:val="GesAbsatz"/>
              <w:tabs>
                <w:tab w:val="clear" w:pos="425"/>
                <w:tab w:val="decimal" w:pos="923"/>
              </w:tabs>
              <w:rPr>
                <w:rFonts w:eastAsia="Arial Unicode MS" w:cs="Arial"/>
                <w:sz w:val="18"/>
                <w:szCs w:val="24"/>
              </w:rPr>
            </w:pPr>
            <w:r>
              <w:rPr>
                <w:rFonts w:cs="Arial"/>
                <w:sz w:val="18"/>
              </w:rPr>
              <w:t xml:space="preserve">5 </w:t>
            </w:r>
          </w:p>
        </w:tc>
        <w:tc>
          <w:tcPr>
            <w:tcW w:w="1591" w:type="dxa"/>
          </w:tcPr>
          <w:p>
            <w:pPr>
              <w:pStyle w:val="GesAbsatz"/>
              <w:tabs>
                <w:tab w:val="clear" w:pos="425"/>
                <w:tab w:val="decimal" w:pos="923"/>
              </w:tabs>
              <w:rPr>
                <w:rFonts w:eastAsia="Arial Unicode MS" w:cs="Arial"/>
                <w:sz w:val="18"/>
                <w:szCs w:val="24"/>
              </w:rPr>
            </w:pPr>
            <w:r>
              <w:rPr>
                <w:rFonts w:cs="Arial"/>
                <w:sz w:val="18"/>
              </w:rPr>
              <w:t>39.000</w:t>
            </w:r>
          </w:p>
        </w:tc>
        <w:tc>
          <w:tcPr>
            <w:tcW w:w="1797" w:type="dxa"/>
          </w:tcPr>
          <w:p>
            <w:pPr>
              <w:pStyle w:val="GesAbsatz"/>
              <w:rPr>
                <w:rFonts w:eastAsia="Arial Unicode MS" w:cs="Arial"/>
                <w:sz w:val="18"/>
                <w:szCs w:val="24"/>
              </w:rPr>
            </w:pPr>
            <w:r>
              <w:rPr>
                <w:rFonts w:cs="Arial"/>
                <w:sz w:val="18"/>
              </w:rPr>
              <w:t xml:space="preserve">Keine weitere prozentuale Steigerung, leichte </w:t>
            </w:r>
            <w:r>
              <w:rPr>
                <w:rFonts w:cs="Arial"/>
                <w:sz w:val="18"/>
              </w:rPr>
              <w:br/>
              <w:t>Mengensteigerung</w:t>
            </w:r>
          </w:p>
        </w:tc>
      </w:tr>
      <w:tr>
        <w:tc>
          <w:tcPr>
            <w:tcW w:w="1629" w:type="dxa"/>
          </w:tcPr>
          <w:p>
            <w:pPr>
              <w:pStyle w:val="GesAbsatz"/>
              <w:rPr>
                <w:rFonts w:eastAsia="Arial Unicode MS" w:cs="Arial"/>
                <w:sz w:val="18"/>
                <w:szCs w:val="24"/>
              </w:rPr>
            </w:pPr>
            <w:r>
              <w:rPr>
                <w:rFonts w:cs="Arial"/>
                <w:sz w:val="18"/>
              </w:rPr>
              <w:t xml:space="preserve">Andere </w:t>
            </w:r>
          </w:p>
        </w:tc>
        <w:tc>
          <w:tcPr>
            <w:tcW w:w="1594" w:type="dxa"/>
          </w:tcPr>
          <w:p>
            <w:pPr>
              <w:pStyle w:val="GesAbsatz"/>
              <w:tabs>
                <w:tab w:val="clear" w:pos="425"/>
                <w:tab w:val="decimal" w:pos="923"/>
              </w:tabs>
              <w:rPr>
                <w:rFonts w:eastAsia="Arial Unicode MS" w:cs="Arial"/>
                <w:sz w:val="18"/>
                <w:szCs w:val="24"/>
              </w:rPr>
            </w:pPr>
            <w:r>
              <w:rPr>
                <w:rFonts w:cs="Arial"/>
                <w:sz w:val="18"/>
              </w:rPr>
              <w:t>6,7</w:t>
            </w:r>
          </w:p>
        </w:tc>
        <w:tc>
          <w:tcPr>
            <w:tcW w:w="1590" w:type="dxa"/>
          </w:tcPr>
          <w:p>
            <w:pPr>
              <w:pStyle w:val="GesAbsatz"/>
              <w:tabs>
                <w:tab w:val="clear" w:pos="425"/>
                <w:tab w:val="decimal" w:pos="923"/>
              </w:tabs>
              <w:rPr>
                <w:rFonts w:eastAsia="Arial Unicode MS" w:cs="Arial"/>
                <w:sz w:val="18"/>
                <w:szCs w:val="24"/>
              </w:rPr>
            </w:pPr>
            <w:r>
              <w:rPr>
                <w:rFonts w:cs="Arial"/>
                <w:sz w:val="18"/>
              </w:rPr>
              <w:t>7</w:t>
            </w:r>
          </w:p>
        </w:tc>
        <w:tc>
          <w:tcPr>
            <w:tcW w:w="1577" w:type="dxa"/>
          </w:tcPr>
          <w:p>
            <w:pPr>
              <w:pStyle w:val="GesAbsatz"/>
              <w:tabs>
                <w:tab w:val="clear" w:pos="425"/>
                <w:tab w:val="decimal" w:pos="923"/>
              </w:tabs>
              <w:rPr>
                <w:rFonts w:eastAsia="Arial Unicode MS" w:cs="Arial"/>
                <w:sz w:val="18"/>
                <w:szCs w:val="24"/>
              </w:rPr>
            </w:pPr>
            <w:r>
              <w:rPr>
                <w:rFonts w:cs="Arial"/>
                <w:sz w:val="18"/>
              </w:rPr>
              <w:t>7</w:t>
            </w:r>
          </w:p>
        </w:tc>
        <w:tc>
          <w:tcPr>
            <w:tcW w:w="1591" w:type="dxa"/>
          </w:tcPr>
          <w:p>
            <w:pPr>
              <w:pStyle w:val="GesAbsatz"/>
              <w:tabs>
                <w:tab w:val="clear" w:pos="425"/>
                <w:tab w:val="decimal" w:pos="923"/>
              </w:tabs>
              <w:rPr>
                <w:rFonts w:eastAsia="Arial Unicode MS" w:cs="Arial"/>
                <w:sz w:val="18"/>
                <w:szCs w:val="24"/>
              </w:rPr>
            </w:pPr>
            <w:r>
              <w:rPr>
                <w:rFonts w:cs="Arial"/>
                <w:sz w:val="18"/>
              </w:rPr>
              <w:t xml:space="preserve">55.000 </w:t>
            </w:r>
          </w:p>
        </w:tc>
        <w:tc>
          <w:tcPr>
            <w:tcW w:w="1797" w:type="dxa"/>
          </w:tcPr>
          <w:p>
            <w:pPr>
              <w:pStyle w:val="GesAbsatz"/>
              <w:rPr>
                <w:rFonts w:eastAsia="Arial Unicode MS" w:cs="Arial"/>
                <w:sz w:val="18"/>
                <w:szCs w:val="24"/>
              </w:rPr>
            </w:pPr>
            <w:r>
              <w:rPr>
                <w:rFonts w:cs="Arial"/>
                <w:sz w:val="18"/>
              </w:rPr>
              <w:t>Keine weitere prozentuale Steigerung, leichte Mengensteigerung</w:t>
            </w:r>
          </w:p>
        </w:tc>
      </w:tr>
      <w:tr>
        <w:tc>
          <w:tcPr>
            <w:tcW w:w="9778" w:type="dxa"/>
            <w:gridSpan w:val="6"/>
          </w:tcPr>
          <w:p>
            <w:pPr>
              <w:pStyle w:val="GesAbsatz"/>
              <w:rPr>
                <w:rFonts w:cs="Arial"/>
                <w:sz w:val="18"/>
                <w:szCs w:val="15"/>
              </w:rPr>
            </w:pPr>
            <w:r>
              <w:rPr>
                <w:rFonts w:cs="Arial"/>
                <w:sz w:val="18"/>
                <w:szCs w:val="15"/>
              </w:rPr>
              <w:t>Bezüglich der Kompostmengen basiert Variante 3a auf der prognostizierten Steigerung der Kompostmengen von rd. 599.000 Mg im Jahr 1997 auf 780.000 Mg/a, die bei der landesweiten Umsetzung der flächendeckenden Bioabfall- und Grünabfallsammlung und -verwertung zukünftig mindestens anfallen werden.</w:t>
            </w:r>
          </w:p>
        </w:tc>
      </w:tr>
    </w:tbl>
    <w:p>
      <w:pPr>
        <w:pStyle w:val="GesAbsatz"/>
        <w:rPr>
          <w:rFonts w:cs="Arial"/>
        </w:rPr>
      </w:pPr>
    </w:p>
    <w:p>
      <w:pPr>
        <w:pStyle w:val="GesAbsatz"/>
        <w:rPr>
          <w:rFonts w:cs="Arial"/>
        </w:rPr>
      </w:pPr>
      <w:r>
        <w:rPr>
          <w:rFonts w:cs="Arial"/>
          <w:b/>
          <w:bCs/>
        </w:rPr>
        <w:t>Tabelle 31: Erläuterung der Annahmen zu Variante 3b (Verwertung der nach dem Maximalszenario zukünftig zu verwertenden Kompostmengen)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701"/>
        <w:gridCol w:w="1843"/>
        <w:gridCol w:w="4179"/>
      </w:tblGrid>
      <w:tr>
        <w:trPr>
          <w:tblHeader/>
        </w:trPr>
        <w:tc>
          <w:tcPr>
            <w:tcW w:w="2055" w:type="dxa"/>
          </w:tcPr>
          <w:p>
            <w:pPr>
              <w:pStyle w:val="GesAbsatz"/>
              <w:jc w:val="center"/>
              <w:rPr>
                <w:rFonts w:eastAsia="Arial Unicode MS" w:cs="Arial"/>
                <w:sz w:val="18"/>
                <w:szCs w:val="24"/>
              </w:rPr>
            </w:pPr>
            <w:r>
              <w:rPr>
                <w:rFonts w:cs="Arial"/>
                <w:b/>
                <w:bCs/>
                <w:sz w:val="18"/>
              </w:rPr>
              <w:lastRenderedPageBreak/>
              <w:t>Marktsegment</w:t>
            </w:r>
          </w:p>
        </w:tc>
        <w:tc>
          <w:tcPr>
            <w:tcW w:w="7723" w:type="dxa"/>
            <w:gridSpan w:val="3"/>
          </w:tcPr>
          <w:p>
            <w:pPr>
              <w:pStyle w:val="GesAbsatz"/>
              <w:jc w:val="center"/>
              <w:rPr>
                <w:rFonts w:eastAsia="Arial Unicode MS" w:cs="Arial"/>
                <w:sz w:val="18"/>
                <w:szCs w:val="24"/>
              </w:rPr>
            </w:pPr>
            <w:r>
              <w:rPr>
                <w:rFonts w:cs="Arial"/>
                <w:b/>
                <w:bCs/>
                <w:sz w:val="18"/>
              </w:rPr>
              <w:t>Absatzbereiche Variante 3b</w:t>
            </w:r>
          </w:p>
        </w:tc>
      </w:tr>
      <w:tr>
        <w:trPr>
          <w:tblHeader/>
        </w:trPr>
        <w:tc>
          <w:tcPr>
            <w:tcW w:w="2055" w:type="dxa"/>
          </w:tcPr>
          <w:p>
            <w:pPr>
              <w:pStyle w:val="GesAbsatz"/>
              <w:jc w:val="center"/>
              <w:rPr>
                <w:rFonts w:eastAsia="Arial Unicode MS" w:cs="Arial"/>
                <w:sz w:val="18"/>
                <w:szCs w:val="24"/>
              </w:rPr>
            </w:pPr>
          </w:p>
        </w:tc>
        <w:tc>
          <w:tcPr>
            <w:tcW w:w="1701" w:type="dxa"/>
          </w:tcPr>
          <w:p>
            <w:pPr>
              <w:pStyle w:val="GesAbsatz"/>
              <w:jc w:val="center"/>
              <w:rPr>
                <w:rFonts w:eastAsia="Arial Unicode MS" w:cs="Arial"/>
                <w:sz w:val="18"/>
                <w:szCs w:val="24"/>
              </w:rPr>
            </w:pPr>
            <w:r>
              <w:rPr>
                <w:rFonts w:cs="Arial"/>
                <w:sz w:val="18"/>
                <w:szCs w:val="15"/>
              </w:rPr>
              <w:t>Anteile</w:t>
            </w:r>
            <w:r>
              <w:rPr>
                <w:rFonts w:cs="Arial"/>
                <w:sz w:val="18"/>
                <w:szCs w:val="15"/>
              </w:rPr>
              <w:br/>
              <w:t>%</w:t>
            </w:r>
          </w:p>
        </w:tc>
        <w:tc>
          <w:tcPr>
            <w:tcW w:w="1843" w:type="dxa"/>
          </w:tcPr>
          <w:p>
            <w:pPr>
              <w:pStyle w:val="GesAbsatz"/>
              <w:jc w:val="center"/>
              <w:rPr>
                <w:rFonts w:eastAsia="Arial Unicode MS" w:cs="Arial"/>
                <w:sz w:val="18"/>
                <w:szCs w:val="24"/>
              </w:rPr>
            </w:pPr>
            <w:r>
              <w:rPr>
                <w:rFonts w:cs="Arial"/>
                <w:sz w:val="18"/>
                <w:szCs w:val="15"/>
              </w:rPr>
              <w:t>Menge</w:t>
            </w:r>
            <w:r>
              <w:rPr>
                <w:rFonts w:cs="Arial"/>
                <w:sz w:val="18"/>
                <w:szCs w:val="15"/>
              </w:rPr>
              <w:br/>
              <w:t>Mg/a</w:t>
            </w:r>
          </w:p>
        </w:tc>
        <w:tc>
          <w:tcPr>
            <w:tcW w:w="4179" w:type="dxa"/>
          </w:tcPr>
          <w:p>
            <w:pPr>
              <w:pStyle w:val="GesAbsatz"/>
              <w:jc w:val="center"/>
              <w:rPr>
                <w:rFonts w:eastAsia="Arial Unicode MS" w:cs="Arial"/>
                <w:sz w:val="18"/>
                <w:szCs w:val="24"/>
              </w:rPr>
            </w:pPr>
            <w:r>
              <w:rPr>
                <w:rFonts w:cs="Arial"/>
                <w:sz w:val="18"/>
                <w:szCs w:val="15"/>
              </w:rPr>
              <w:t>Annahmen</w:t>
            </w:r>
          </w:p>
        </w:tc>
      </w:tr>
      <w:tr>
        <w:tc>
          <w:tcPr>
            <w:tcW w:w="2055" w:type="dxa"/>
          </w:tcPr>
          <w:p>
            <w:pPr>
              <w:pStyle w:val="GesAbsatz"/>
              <w:rPr>
                <w:rFonts w:eastAsia="Arial Unicode MS" w:cs="Arial"/>
                <w:sz w:val="18"/>
                <w:szCs w:val="24"/>
              </w:rPr>
            </w:pPr>
            <w:r>
              <w:rPr>
                <w:rFonts w:cs="Arial"/>
                <w:sz w:val="18"/>
              </w:rPr>
              <w:t xml:space="preserve">Hobbygartenbau </w:t>
            </w:r>
          </w:p>
        </w:tc>
        <w:tc>
          <w:tcPr>
            <w:tcW w:w="1701" w:type="dxa"/>
          </w:tcPr>
          <w:p>
            <w:pPr>
              <w:pStyle w:val="GesAbsatz"/>
              <w:tabs>
                <w:tab w:val="clear" w:pos="425"/>
                <w:tab w:val="decimal" w:pos="1064"/>
              </w:tabs>
              <w:rPr>
                <w:rFonts w:eastAsia="Arial Unicode MS" w:cs="Arial"/>
                <w:sz w:val="18"/>
                <w:szCs w:val="24"/>
              </w:rPr>
            </w:pPr>
            <w:r>
              <w:rPr>
                <w:rFonts w:cs="Arial"/>
                <w:sz w:val="18"/>
              </w:rPr>
              <w:t>12</w:t>
            </w:r>
          </w:p>
        </w:tc>
        <w:tc>
          <w:tcPr>
            <w:tcW w:w="1843" w:type="dxa"/>
          </w:tcPr>
          <w:p>
            <w:pPr>
              <w:pStyle w:val="GesAbsatz"/>
              <w:tabs>
                <w:tab w:val="clear" w:pos="425"/>
                <w:tab w:val="decimal" w:pos="1064"/>
              </w:tabs>
              <w:rPr>
                <w:rFonts w:eastAsia="Arial Unicode MS" w:cs="Arial"/>
                <w:sz w:val="18"/>
                <w:szCs w:val="24"/>
              </w:rPr>
            </w:pPr>
            <w:r>
              <w:rPr>
                <w:rFonts w:cs="Arial"/>
                <w:sz w:val="18"/>
              </w:rPr>
              <w:t>130.000</w:t>
            </w:r>
          </w:p>
        </w:tc>
        <w:tc>
          <w:tcPr>
            <w:tcW w:w="4179" w:type="dxa"/>
          </w:tcPr>
          <w:p>
            <w:pPr>
              <w:pStyle w:val="GesAbsatz"/>
              <w:rPr>
                <w:rFonts w:eastAsia="Arial Unicode MS" w:cs="Arial"/>
                <w:sz w:val="18"/>
                <w:szCs w:val="24"/>
              </w:rPr>
            </w:pPr>
            <w:r>
              <w:rPr>
                <w:rFonts w:cs="Arial"/>
                <w:sz w:val="18"/>
              </w:rPr>
              <w:t>Nur noch relativ geringe Steigerung gegenüber  der Variante 3a durch Optimierung der Vertriebsstruktur und Einsatz im Substratbereich (z.B. wegen Überdüngungs- und Distributionsproblematik); grundsätzlich mehr möglich</w:t>
            </w:r>
          </w:p>
        </w:tc>
      </w:tr>
      <w:tr>
        <w:tc>
          <w:tcPr>
            <w:tcW w:w="2055" w:type="dxa"/>
          </w:tcPr>
          <w:p>
            <w:pPr>
              <w:pStyle w:val="GesAbsatz"/>
              <w:rPr>
                <w:rFonts w:eastAsia="Arial Unicode MS" w:cs="Arial"/>
                <w:sz w:val="18"/>
                <w:szCs w:val="24"/>
              </w:rPr>
            </w:pPr>
            <w:r>
              <w:rPr>
                <w:rFonts w:cs="Arial"/>
                <w:sz w:val="18"/>
              </w:rPr>
              <w:t xml:space="preserve">Landschaftsbau </w:t>
            </w:r>
          </w:p>
        </w:tc>
        <w:tc>
          <w:tcPr>
            <w:tcW w:w="1701" w:type="dxa"/>
          </w:tcPr>
          <w:p>
            <w:pPr>
              <w:pStyle w:val="GesAbsatz"/>
              <w:tabs>
                <w:tab w:val="clear" w:pos="425"/>
                <w:tab w:val="decimal" w:pos="1064"/>
              </w:tabs>
              <w:rPr>
                <w:rFonts w:eastAsia="Arial Unicode MS" w:cs="Arial"/>
                <w:sz w:val="18"/>
                <w:szCs w:val="24"/>
              </w:rPr>
            </w:pPr>
            <w:r>
              <w:rPr>
                <w:rFonts w:cs="Arial"/>
                <w:sz w:val="18"/>
              </w:rPr>
              <w:t>20</w:t>
            </w:r>
          </w:p>
        </w:tc>
        <w:tc>
          <w:tcPr>
            <w:tcW w:w="1843" w:type="dxa"/>
          </w:tcPr>
          <w:p>
            <w:pPr>
              <w:pStyle w:val="GesAbsatz"/>
              <w:tabs>
                <w:tab w:val="clear" w:pos="425"/>
                <w:tab w:val="decimal" w:pos="1064"/>
              </w:tabs>
              <w:rPr>
                <w:rFonts w:eastAsia="Arial Unicode MS" w:cs="Arial"/>
                <w:sz w:val="18"/>
                <w:szCs w:val="24"/>
              </w:rPr>
            </w:pPr>
            <w:r>
              <w:rPr>
                <w:rFonts w:cs="Arial"/>
                <w:sz w:val="18"/>
              </w:rPr>
              <w:t>220.000</w:t>
            </w:r>
          </w:p>
        </w:tc>
        <w:tc>
          <w:tcPr>
            <w:tcW w:w="4179" w:type="dxa"/>
          </w:tcPr>
          <w:p>
            <w:pPr>
              <w:pStyle w:val="GesAbsatz"/>
              <w:rPr>
                <w:rFonts w:eastAsia="Arial Unicode MS" w:cs="Arial"/>
                <w:sz w:val="18"/>
                <w:szCs w:val="24"/>
              </w:rPr>
            </w:pPr>
            <w:r>
              <w:rPr>
                <w:rFonts w:cs="Arial"/>
                <w:sz w:val="18"/>
              </w:rPr>
              <w:t>Steigerungen durch weiter steigenden Einsatz im Bereich Erden und Substrate; aber nicht mehr so positive Entwicklungen wie in den letzten Jahren (Erfahrungen PlanCoTec, Fachgespräche)</w:t>
            </w:r>
          </w:p>
        </w:tc>
      </w:tr>
      <w:tr>
        <w:tc>
          <w:tcPr>
            <w:tcW w:w="2055" w:type="dxa"/>
          </w:tcPr>
          <w:p>
            <w:pPr>
              <w:pStyle w:val="GesAbsatz"/>
              <w:rPr>
                <w:rFonts w:eastAsia="Arial Unicode MS" w:cs="Arial"/>
                <w:sz w:val="18"/>
                <w:szCs w:val="24"/>
              </w:rPr>
            </w:pPr>
            <w:r>
              <w:rPr>
                <w:rFonts w:cs="Arial"/>
                <w:sz w:val="18"/>
              </w:rPr>
              <w:t>Erwerbsgartenbau</w:t>
            </w:r>
          </w:p>
        </w:tc>
        <w:tc>
          <w:tcPr>
            <w:tcW w:w="1701" w:type="dxa"/>
          </w:tcPr>
          <w:p>
            <w:pPr>
              <w:pStyle w:val="GesAbsatz"/>
              <w:tabs>
                <w:tab w:val="clear" w:pos="425"/>
                <w:tab w:val="decimal" w:pos="1064"/>
              </w:tabs>
              <w:rPr>
                <w:rFonts w:eastAsia="Arial Unicode MS" w:cs="Arial"/>
                <w:sz w:val="18"/>
                <w:szCs w:val="24"/>
              </w:rPr>
            </w:pPr>
            <w:r>
              <w:rPr>
                <w:rFonts w:cs="Arial"/>
                <w:sz w:val="18"/>
              </w:rPr>
              <w:t>8</w:t>
            </w:r>
          </w:p>
        </w:tc>
        <w:tc>
          <w:tcPr>
            <w:tcW w:w="1843" w:type="dxa"/>
          </w:tcPr>
          <w:p>
            <w:pPr>
              <w:pStyle w:val="GesAbsatz"/>
              <w:tabs>
                <w:tab w:val="clear" w:pos="425"/>
                <w:tab w:val="decimal" w:pos="1064"/>
              </w:tabs>
              <w:rPr>
                <w:rFonts w:eastAsia="Arial Unicode MS" w:cs="Arial"/>
                <w:sz w:val="18"/>
                <w:szCs w:val="24"/>
              </w:rPr>
            </w:pPr>
            <w:r>
              <w:rPr>
                <w:rFonts w:cs="Arial"/>
                <w:sz w:val="18"/>
              </w:rPr>
              <w:t>88.000</w:t>
            </w:r>
          </w:p>
        </w:tc>
        <w:tc>
          <w:tcPr>
            <w:tcW w:w="4179" w:type="dxa"/>
          </w:tcPr>
          <w:p>
            <w:pPr>
              <w:pStyle w:val="GesAbsatz"/>
              <w:rPr>
                <w:rFonts w:eastAsia="Arial Unicode MS" w:cs="Arial"/>
                <w:sz w:val="18"/>
                <w:szCs w:val="24"/>
              </w:rPr>
            </w:pPr>
            <w:r>
              <w:rPr>
                <w:rFonts w:cs="Arial"/>
                <w:sz w:val="18"/>
              </w:rPr>
              <w:t>Konkurrenz Wirtschaftsdünger; geringe Steigerung durch Einsatz im Substratbereich</w:t>
            </w:r>
          </w:p>
        </w:tc>
      </w:tr>
      <w:tr>
        <w:tc>
          <w:tcPr>
            <w:tcW w:w="2055" w:type="dxa"/>
          </w:tcPr>
          <w:p>
            <w:pPr>
              <w:pStyle w:val="GesAbsatz"/>
              <w:rPr>
                <w:rFonts w:eastAsia="Arial Unicode MS" w:cs="Arial"/>
                <w:sz w:val="18"/>
                <w:szCs w:val="24"/>
              </w:rPr>
            </w:pPr>
            <w:r>
              <w:rPr>
                <w:rFonts w:cs="Arial"/>
                <w:sz w:val="18"/>
              </w:rPr>
              <w:t xml:space="preserve">Landwirtschaftliche Sonderkulturen </w:t>
            </w:r>
          </w:p>
        </w:tc>
        <w:tc>
          <w:tcPr>
            <w:tcW w:w="1701" w:type="dxa"/>
          </w:tcPr>
          <w:p>
            <w:pPr>
              <w:pStyle w:val="GesAbsatz"/>
              <w:tabs>
                <w:tab w:val="clear" w:pos="425"/>
                <w:tab w:val="decimal" w:pos="1064"/>
              </w:tabs>
              <w:rPr>
                <w:rFonts w:eastAsia="Arial Unicode MS" w:cs="Arial"/>
                <w:sz w:val="18"/>
                <w:szCs w:val="24"/>
              </w:rPr>
            </w:pPr>
            <w:r>
              <w:rPr>
                <w:rFonts w:cs="Arial"/>
                <w:sz w:val="18"/>
              </w:rPr>
              <w:t>2,5</w:t>
            </w:r>
          </w:p>
        </w:tc>
        <w:tc>
          <w:tcPr>
            <w:tcW w:w="1843" w:type="dxa"/>
          </w:tcPr>
          <w:p>
            <w:pPr>
              <w:pStyle w:val="GesAbsatz"/>
              <w:tabs>
                <w:tab w:val="clear" w:pos="425"/>
                <w:tab w:val="decimal" w:pos="1064"/>
              </w:tabs>
              <w:rPr>
                <w:rFonts w:eastAsia="Arial Unicode MS" w:cs="Arial"/>
                <w:sz w:val="18"/>
                <w:szCs w:val="24"/>
              </w:rPr>
            </w:pPr>
            <w:r>
              <w:rPr>
                <w:rFonts w:cs="Arial"/>
                <w:sz w:val="18"/>
              </w:rPr>
              <w:t>27.500</w:t>
            </w:r>
          </w:p>
        </w:tc>
        <w:tc>
          <w:tcPr>
            <w:tcW w:w="4179" w:type="dxa"/>
          </w:tcPr>
          <w:p>
            <w:pPr>
              <w:pStyle w:val="GesAbsatz"/>
              <w:rPr>
                <w:rFonts w:eastAsia="Arial Unicode MS" w:cs="Arial"/>
                <w:sz w:val="18"/>
                <w:szCs w:val="24"/>
              </w:rPr>
            </w:pPr>
            <w:r>
              <w:rPr>
                <w:rFonts w:cs="Arial"/>
                <w:sz w:val="18"/>
              </w:rPr>
              <w:t>Nur relativ wenig Sonderkulturen vorhanden, geringe weitere Steigerung möglich</w:t>
            </w:r>
          </w:p>
        </w:tc>
      </w:tr>
      <w:tr>
        <w:tc>
          <w:tcPr>
            <w:tcW w:w="2055" w:type="dxa"/>
          </w:tcPr>
          <w:p>
            <w:pPr>
              <w:pStyle w:val="GesAbsatz"/>
              <w:rPr>
                <w:rFonts w:eastAsia="Arial Unicode MS" w:cs="Arial"/>
                <w:sz w:val="18"/>
                <w:szCs w:val="24"/>
              </w:rPr>
            </w:pPr>
            <w:r>
              <w:rPr>
                <w:rFonts w:cs="Arial"/>
                <w:sz w:val="18"/>
              </w:rPr>
              <w:t>Allgemeine Landwirtschaft</w:t>
            </w:r>
          </w:p>
        </w:tc>
        <w:tc>
          <w:tcPr>
            <w:tcW w:w="1701" w:type="dxa"/>
          </w:tcPr>
          <w:p>
            <w:pPr>
              <w:pStyle w:val="GesAbsatz"/>
              <w:tabs>
                <w:tab w:val="clear" w:pos="425"/>
                <w:tab w:val="decimal" w:pos="1064"/>
              </w:tabs>
              <w:rPr>
                <w:rFonts w:eastAsia="Arial Unicode MS" w:cs="Arial"/>
                <w:sz w:val="18"/>
                <w:szCs w:val="24"/>
              </w:rPr>
            </w:pPr>
            <w:r>
              <w:rPr>
                <w:rFonts w:cs="Arial"/>
                <w:sz w:val="18"/>
              </w:rPr>
              <w:t>36,5</w:t>
            </w:r>
          </w:p>
        </w:tc>
        <w:tc>
          <w:tcPr>
            <w:tcW w:w="1843" w:type="dxa"/>
          </w:tcPr>
          <w:p>
            <w:pPr>
              <w:pStyle w:val="GesAbsatz"/>
              <w:tabs>
                <w:tab w:val="clear" w:pos="425"/>
                <w:tab w:val="decimal" w:pos="1064"/>
              </w:tabs>
              <w:rPr>
                <w:rFonts w:eastAsia="Arial Unicode MS" w:cs="Arial"/>
                <w:sz w:val="18"/>
                <w:szCs w:val="24"/>
              </w:rPr>
            </w:pPr>
            <w:r>
              <w:rPr>
                <w:rFonts w:cs="Arial"/>
                <w:sz w:val="18"/>
              </w:rPr>
              <w:t>400.000</w:t>
            </w:r>
          </w:p>
        </w:tc>
        <w:tc>
          <w:tcPr>
            <w:tcW w:w="4179" w:type="dxa"/>
          </w:tcPr>
          <w:p>
            <w:pPr>
              <w:pStyle w:val="GesAbsatz"/>
              <w:rPr>
                <w:rFonts w:eastAsia="Arial Unicode MS" w:cs="Arial"/>
                <w:sz w:val="18"/>
                <w:szCs w:val="24"/>
              </w:rPr>
            </w:pPr>
            <w:r>
              <w:rPr>
                <w:rFonts w:cs="Arial"/>
                <w:sz w:val="18"/>
              </w:rPr>
              <w:t>Aufnahme des nicht in andere Bereiche abgesetzten Kompostes</w:t>
            </w:r>
          </w:p>
        </w:tc>
      </w:tr>
      <w:tr>
        <w:tc>
          <w:tcPr>
            <w:tcW w:w="2055" w:type="dxa"/>
          </w:tcPr>
          <w:p>
            <w:pPr>
              <w:pStyle w:val="GesAbsatz"/>
              <w:rPr>
                <w:rFonts w:eastAsia="Arial Unicode MS" w:cs="Arial"/>
                <w:sz w:val="18"/>
                <w:szCs w:val="24"/>
              </w:rPr>
            </w:pPr>
            <w:r>
              <w:rPr>
                <w:rFonts w:cs="Arial"/>
                <w:sz w:val="18"/>
              </w:rPr>
              <w:t>Rekultivierung</w:t>
            </w:r>
          </w:p>
        </w:tc>
        <w:tc>
          <w:tcPr>
            <w:tcW w:w="1701" w:type="dxa"/>
          </w:tcPr>
          <w:p>
            <w:pPr>
              <w:pStyle w:val="GesAbsatz"/>
              <w:tabs>
                <w:tab w:val="clear" w:pos="425"/>
                <w:tab w:val="decimal" w:pos="1064"/>
              </w:tabs>
              <w:rPr>
                <w:rFonts w:eastAsia="Arial Unicode MS" w:cs="Arial"/>
                <w:sz w:val="18"/>
                <w:szCs w:val="24"/>
              </w:rPr>
            </w:pPr>
            <w:r>
              <w:rPr>
                <w:rFonts w:cs="Arial"/>
                <w:sz w:val="18"/>
              </w:rPr>
              <w:t>12</w:t>
            </w:r>
          </w:p>
        </w:tc>
        <w:tc>
          <w:tcPr>
            <w:tcW w:w="1843" w:type="dxa"/>
          </w:tcPr>
          <w:p>
            <w:pPr>
              <w:pStyle w:val="GesAbsatz"/>
              <w:tabs>
                <w:tab w:val="clear" w:pos="425"/>
                <w:tab w:val="decimal" w:pos="1064"/>
              </w:tabs>
              <w:rPr>
                <w:rFonts w:eastAsia="Arial Unicode MS" w:cs="Arial"/>
                <w:sz w:val="18"/>
                <w:szCs w:val="24"/>
              </w:rPr>
            </w:pPr>
            <w:r>
              <w:rPr>
                <w:rFonts w:cs="Arial"/>
                <w:sz w:val="18"/>
              </w:rPr>
              <w:t>130.000</w:t>
            </w:r>
          </w:p>
        </w:tc>
        <w:tc>
          <w:tcPr>
            <w:tcW w:w="4179" w:type="dxa"/>
          </w:tcPr>
          <w:p>
            <w:pPr>
              <w:pStyle w:val="GesAbsatz"/>
              <w:rPr>
                <w:rFonts w:eastAsia="Arial Unicode MS" w:cs="Arial"/>
                <w:sz w:val="18"/>
                <w:szCs w:val="24"/>
              </w:rPr>
            </w:pPr>
            <w:r>
              <w:rPr>
                <w:rFonts w:cs="Arial"/>
                <w:sz w:val="18"/>
              </w:rPr>
              <w:t>Großes Mengenpotenzial (siehe Kapitel 3); Anpassung an Bundesschnitt</w:t>
            </w:r>
          </w:p>
        </w:tc>
      </w:tr>
      <w:tr>
        <w:tc>
          <w:tcPr>
            <w:tcW w:w="2055" w:type="dxa"/>
          </w:tcPr>
          <w:p>
            <w:pPr>
              <w:pStyle w:val="GesAbsatz"/>
              <w:rPr>
                <w:rFonts w:eastAsia="Arial Unicode MS" w:cs="Arial"/>
                <w:sz w:val="18"/>
                <w:szCs w:val="24"/>
              </w:rPr>
            </w:pPr>
            <w:r>
              <w:rPr>
                <w:rFonts w:cs="Arial"/>
                <w:sz w:val="18"/>
              </w:rPr>
              <w:t>Öffentliches Grün</w:t>
            </w:r>
          </w:p>
        </w:tc>
        <w:tc>
          <w:tcPr>
            <w:tcW w:w="1701" w:type="dxa"/>
          </w:tcPr>
          <w:p>
            <w:pPr>
              <w:pStyle w:val="GesAbsatz"/>
              <w:tabs>
                <w:tab w:val="clear" w:pos="425"/>
                <w:tab w:val="decimal" w:pos="1064"/>
              </w:tabs>
              <w:rPr>
                <w:rFonts w:eastAsia="Arial Unicode MS" w:cs="Arial"/>
                <w:sz w:val="18"/>
                <w:szCs w:val="24"/>
              </w:rPr>
            </w:pPr>
            <w:r>
              <w:rPr>
                <w:rFonts w:cs="Arial"/>
                <w:sz w:val="18"/>
              </w:rPr>
              <w:t>3,5</w:t>
            </w:r>
          </w:p>
        </w:tc>
        <w:tc>
          <w:tcPr>
            <w:tcW w:w="1843" w:type="dxa"/>
          </w:tcPr>
          <w:p>
            <w:pPr>
              <w:pStyle w:val="GesAbsatz"/>
              <w:tabs>
                <w:tab w:val="clear" w:pos="425"/>
                <w:tab w:val="decimal" w:pos="1064"/>
              </w:tabs>
              <w:rPr>
                <w:rFonts w:eastAsia="Arial Unicode MS" w:cs="Arial"/>
                <w:sz w:val="18"/>
                <w:szCs w:val="24"/>
              </w:rPr>
            </w:pPr>
            <w:r>
              <w:rPr>
                <w:rFonts w:cs="Arial"/>
                <w:sz w:val="18"/>
              </w:rPr>
              <w:t>40.000</w:t>
            </w:r>
          </w:p>
        </w:tc>
        <w:tc>
          <w:tcPr>
            <w:tcW w:w="4179" w:type="dxa"/>
          </w:tcPr>
          <w:p>
            <w:pPr>
              <w:pStyle w:val="GesAbsatz"/>
              <w:rPr>
                <w:rFonts w:eastAsia="Arial Unicode MS" w:cs="Arial"/>
                <w:sz w:val="18"/>
                <w:szCs w:val="24"/>
              </w:rPr>
            </w:pPr>
            <w:r>
              <w:rPr>
                <w:rFonts w:cs="Arial"/>
                <w:sz w:val="18"/>
              </w:rPr>
              <w:t>Keine weitere Steigerung gegenüber der Variante 3a möglich</w:t>
            </w:r>
          </w:p>
        </w:tc>
      </w:tr>
      <w:tr>
        <w:tc>
          <w:tcPr>
            <w:tcW w:w="2055" w:type="dxa"/>
          </w:tcPr>
          <w:p>
            <w:pPr>
              <w:pStyle w:val="GesAbsatz"/>
              <w:rPr>
                <w:rFonts w:eastAsia="Arial Unicode MS" w:cs="Arial"/>
                <w:sz w:val="18"/>
                <w:szCs w:val="24"/>
              </w:rPr>
            </w:pPr>
            <w:r>
              <w:rPr>
                <w:rFonts w:cs="Arial"/>
                <w:sz w:val="18"/>
              </w:rPr>
              <w:t xml:space="preserve">Andere </w:t>
            </w:r>
          </w:p>
        </w:tc>
        <w:tc>
          <w:tcPr>
            <w:tcW w:w="1701" w:type="dxa"/>
          </w:tcPr>
          <w:p>
            <w:pPr>
              <w:pStyle w:val="GesAbsatz"/>
              <w:tabs>
                <w:tab w:val="clear" w:pos="425"/>
                <w:tab w:val="decimal" w:pos="1064"/>
              </w:tabs>
              <w:rPr>
                <w:rFonts w:eastAsia="Arial Unicode MS" w:cs="Arial"/>
                <w:sz w:val="18"/>
                <w:szCs w:val="24"/>
              </w:rPr>
            </w:pPr>
            <w:r>
              <w:rPr>
                <w:rFonts w:cs="Arial"/>
                <w:sz w:val="18"/>
              </w:rPr>
              <w:t>5,5</w:t>
            </w:r>
          </w:p>
        </w:tc>
        <w:tc>
          <w:tcPr>
            <w:tcW w:w="1843" w:type="dxa"/>
          </w:tcPr>
          <w:p>
            <w:pPr>
              <w:pStyle w:val="GesAbsatz"/>
              <w:tabs>
                <w:tab w:val="clear" w:pos="425"/>
                <w:tab w:val="decimal" w:pos="1064"/>
              </w:tabs>
              <w:rPr>
                <w:rFonts w:eastAsia="Arial Unicode MS" w:cs="Arial"/>
                <w:sz w:val="18"/>
                <w:szCs w:val="24"/>
              </w:rPr>
            </w:pPr>
            <w:r>
              <w:rPr>
                <w:rFonts w:cs="Arial"/>
                <w:sz w:val="18"/>
              </w:rPr>
              <w:t xml:space="preserve">60.000 </w:t>
            </w:r>
          </w:p>
        </w:tc>
        <w:tc>
          <w:tcPr>
            <w:tcW w:w="4179" w:type="dxa"/>
          </w:tcPr>
          <w:p>
            <w:pPr>
              <w:pStyle w:val="GesAbsatz"/>
              <w:rPr>
                <w:rFonts w:eastAsia="Arial Unicode MS" w:cs="Arial"/>
                <w:sz w:val="18"/>
                <w:szCs w:val="24"/>
              </w:rPr>
            </w:pPr>
            <w:r>
              <w:rPr>
                <w:rFonts w:cs="Arial"/>
                <w:sz w:val="18"/>
              </w:rPr>
              <w:t>Leichte Mengensteigerung</w:t>
            </w:r>
          </w:p>
        </w:tc>
      </w:tr>
      <w:tr>
        <w:tc>
          <w:tcPr>
            <w:tcW w:w="9778" w:type="dxa"/>
            <w:gridSpan w:val="4"/>
          </w:tcPr>
          <w:p>
            <w:pPr>
              <w:pStyle w:val="GesAbsatz"/>
              <w:rPr>
                <w:rFonts w:cs="Arial"/>
                <w:sz w:val="18"/>
                <w:szCs w:val="15"/>
              </w:rPr>
            </w:pPr>
            <w:r>
              <w:rPr>
                <w:rFonts w:cs="Arial"/>
                <w:sz w:val="18"/>
                <w:szCs w:val="15"/>
              </w:rPr>
              <w:t>Bezüglich der Kompostmengen basiert Variante 3b auf der prognostizierten Steigerung der Kompostmengen von rd. 599.000 Mg im Jahr 1997 auf 1.100.000 Mg/a, die bei der landesweiten vollständigen Umsetzung der flächendeckenden Bioabfall- und Grünabfallsammlung und -verwertung zukünftig maximal anfallen werden.</w:t>
            </w:r>
          </w:p>
        </w:tc>
      </w:tr>
    </w:tbl>
    <w:p>
      <w:pPr>
        <w:pStyle w:val="GesAbsatz"/>
        <w:rPr>
          <w:rFonts w:eastAsia="Arial Unicode MS" w:cs="Arial"/>
          <w:szCs w:val="24"/>
        </w:rPr>
      </w:pPr>
    </w:p>
    <w:p>
      <w:pPr>
        <w:pStyle w:val="GesAbsatz"/>
        <w:rPr>
          <w:rFonts w:cs="Arial"/>
        </w:rPr>
      </w:pPr>
      <w:r>
        <w:rPr>
          <w:rFonts w:cs="Arial"/>
          <w:b/>
          <w:bCs/>
        </w:rPr>
        <w:t>Tabelle 32: Kompostmengen für den Verwertungsweg Landwirtschaft entsprechend der Varianten 1 bis 3</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59"/>
      </w:tblGrid>
      <w:tr>
        <w:tc>
          <w:tcPr>
            <w:tcW w:w="3259" w:type="dxa"/>
          </w:tcPr>
          <w:p>
            <w:pPr>
              <w:pStyle w:val="GesAbsatz"/>
              <w:jc w:val="center"/>
              <w:rPr>
                <w:rFonts w:eastAsia="Arial Unicode MS" w:cs="Arial"/>
                <w:sz w:val="18"/>
                <w:szCs w:val="24"/>
              </w:rPr>
            </w:pPr>
          </w:p>
        </w:tc>
        <w:tc>
          <w:tcPr>
            <w:tcW w:w="3259" w:type="dxa"/>
          </w:tcPr>
          <w:p>
            <w:pPr>
              <w:pStyle w:val="GesAbsatz"/>
              <w:jc w:val="center"/>
              <w:rPr>
                <w:rFonts w:eastAsia="Arial Unicode MS" w:cs="Arial"/>
                <w:sz w:val="18"/>
                <w:szCs w:val="24"/>
              </w:rPr>
            </w:pPr>
            <w:r>
              <w:rPr>
                <w:rFonts w:cs="Arial"/>
                <w:b/>
                <w:bCs/>
                <w:sz w:val="18"/>
              </w:rPr>
              <w:t>bei zukünftig mindestens</w:t>
            </w:r>
            <w:r>
              <w:rPr>
                <w:rFonts w:cs="Arial"/>
                <w:b/>
                <w:bCs/>
                <w:sz w:val="18"/>
              </w:rPr>
              <w:br/>
              <w:t>erzeugter Kompostmenge</w:t>
            </w:r>
          </w:p>
        </w:tc>
        <w:tc>
          <w:tcPr>
            <w:tcW w:w="3259" w:type="dxa"/>
          </w:tcPr>
          <w:p>
            <w:pPr>
              <w:pStyle w:val="GesAbsatz"/>
              <w:jc w:val="center"/>
              <w:rPr>
                <w:rFonts w:eastAsia="Arial Unicode MS" w:cs="Arial"/>
                <w:sz w:val="18"/>
                <w:szCs w:val="24"/>
              </w:rPr>
            </w:pPr>
            <w:r>
              <w:rPr>
                <w:rFonts w:cs="Arial"/>
                <w:b/>
                <w:bCs/>
                <w:sz w:val="18"/>
              </w:rPr>
              <w:t>bei zukünftig maximal</w:t>
            </w:r>
            <w:r>
              <w:rPr>
                <w:rFonts w:cs="Arial"/>
                <w:b/>
                <w:bCs/>
                <w:sz w:val="18"/>
              </w:rPr>
              <w:br/>
              <w:t>erzeugter Kompostmenge</w:t>
            </w:r>
          </w:p>
        </w:tc>
      </w:tr>
      <w:tr>
        <w:tc>
          <w:tcPr>
            <w:tcW w:w="3259" w:type="dxa"/>
          </w:tcPr>
          <w:p>
            <w:pPr>
              <w:pStyle w:val="GesAbsatz"/>
              <w:rPr>
                <w:rFonts w:eastAsia="Arial Unicode MS" w:cs="Arial"/>
                <w:sz w:val="18"/>
                <w:szCs w:val="24"/>
                <w:lang w:val="it-IT"/>
              </w:rPr>
            </w:pPr>
            <w:r>
              <w:rPr>
                <w:rFonts w:cs="Arial"/>
                <w:sz w:val="18"/>
                <w:lang w:val="it-IT"/>
              </w:rPr>
              <w:t>Variante 1</w:t>
            </w:r>
          </w:p>
        </w:tc>
        <w:tc>
          <w:tcPr>
            <w:tcW w:w="3259" w:type="dxa"/>
          </w:tcPr>
          <w:p>
            <w:pPr>
              <w:pStyle w:val="GesAbsatz"/>
              <w:tabs>
                <w:tab w:val="clear" w:pos="425"/>
                <w:tab w:val="decimal" w:pos="1419"/>
              </w:tabs>
              <w:rPr>
                <w:rFonts w:eastAsia="Arial Unicode MS" w:cs="Arial"/>
                <w:sz w:val="18"/>
                <w:szCs w:val="24"/>
                <w:lang w:val="it-IT"/>
              </w:rPr>
            </w:pPr>
            <w:r>
              <w:rPr>
                <w:rFonts w:cs="Arial"/>
                <w:sz w:val="18"/>
                <w:lang w:val="it-IT"/>
              </w:rPr>
              <w:t>780.000 Mg/a</w:t>
            </w:r>
          </w:p>
        </w:tc>
        <w:tc>
          <w:tcPr>
            <w:tcW w:w="3259" w:type="dxa"/>
          </w:tcPr>
          <w:p>
            <w:pPr>
              <w:pStyle w:val="GesAbsatz"/>
              <w:tabs>
                <w:tab w:val="clear" w:pos="425"/>
                <w:tab w:val="decimal" w:pos="1419"/>
              </w:tabs>
              <w:rPr>
                <w:rFonts w:eastAsia="Arial Unicode MS" w:cs="Arial"/>
                <w:sz w:val="18"/>
                <w:szCs w:val="24"/>
                <w:lang w:val="it-IT"/>
              </w:rPr>
            </w:pPr>
            <w:r>
              <w:rPr>
                <w:rFonts w:cs="Arial"/>
                <w:sz w:val="18"/>
                <w:lang w:val="it-IT"/>
              </w:rPr>
              <w:t>1.100.000 Mg/a</w:t>
            </w:r>
          </w:p>
        </w:tc>
      </w:tr>
      <w:tr>
        <w:tc>
          <w:tcPr>
            <w:tcW w:w="3259" w:type="dxa"/>
          </w:tcPr>
          <w:p>
            <w:pPr>
              <w:pStyle w:val="GesAbsatz"/>
              <w:rPr>
                <w:rFonts w:eastAsia="Arial Unicode MS" w:cs="Arial"/>
                <w:sz w:val="18"/>
                <w:szCs w:val="24"/>
                <w:lang w:val="it-IT"/>
              </w:rPr>
            </w:pPr>
            <w:r>
              <w:rPr>
                <w:rFonts w:cs="Arial"/>
                <w:sz w:val="18"/>
                <w:lang w:val="it-IT"/>
              </w:rPr>
              <w:t>Variante 2</w:t>
            </w:r>
          </w:p>
        </w:tc>
        <w:tc>
          <w:tcPr>
            <w:tcW w:w="3259" w:type="dxa"/>
          </w:tcPr>
          <w:p>
            <w:pPr>
              <w:pStyle w:val="GesAbsatz"/>
              <w:tabs>
                <w:tab w:val="clear" w:pos="425"/>
                <w:tab w:val="decimal" w:pos="1419"/>
              </w:tabs>
              <w:rPr>
                <w:rFonts w:eastAsia="Arial Unicode MS" w:cs="Arial"/>
                <w:sz w:val="18"/>
                <w:szCs w:val="24"/>
                <w:lang w:val="en-US"/>
              </w:rPr>
            </w:pPr>
            <w:r>
              <w:rPr>
                <w:rFonts w:cs="Arial"/>
                <w:sz w:val="18"/>
                <w:lang w:val="en-US"/>
              </w:rPr>
              <w:t>440.000 Mg/a</w:t>
            </w:r>
          </w:p>
        </w:tc>
        <w:tc>
          <w:tcPr>
            <w:tcW w:w="3259" w:type="dxa"/>
          </w:tcPr>
          <w:p>
            <w:pPr>
              <w:pStyle w:val="GesAbsatz"/>
              <w:tabs>
                <w:tab w:val="clear" w:pos="425"/>
                <w:tab w:val="decimal" w:pos="1419"/>
              </w:tabs>
              <w:rPr>
                <w:rFonts w:eastAsia="Arial Unicode MS" w:cs="Arial"/>
                <w:sz w:val="18"/>
                <w:szCs w:val="24"/>
                <w:lang w:val="en-US"/>
              </w:rPr>
            </w:pPr>
            <w:r>
              <w:rPr>
                <w:rFonts w:cs="Arial"/>
                <w:sz w:val="18"/>
                <w:lang w:val="en-US"/>
              </w:rPr>
              <w:t>760.000 Mg/a</w:t>
            </w:r>
          </w:p>
        </w:tc>
      </w:tr>
      <w:tr>
        <w:tc>
          <w:tcPr>
            <w:tcW w:w="3259" w:type="dxa"/>
          </w:tcPr>
          <w:p>
            <w:pPr>
              <w:pStyle w:val="GesAbsatz"/>
              <w:rPr>
                <w:rFonts w:eastAsia="Arial Unicode MS" w:cs="Arial"/>
                <w:sz w:val="18"/>
                <w:szCs w:val="24"/>
                <w:lang w:val="it-IT"/>
              </w:rPr>
            </w:pPr>
            <w:r>
              <w:rPr>
                <w:rFonts w:cs="Arial"/>
                <w:sz w:val="18"/>
                <w:lang w:val="it-IT"/>
              </w:rPr>
              <w:t>Variante 3</w:t>
            </w:r>
          </w:p>
        </w:tc>
        <w:tc>
          <w:tcPr>
            <w:tcW w:w="3259" w:type="dxa"/>
          </w:tcPr>
          <w:p>
            <w:pPr>
              <w:pStyle w:val="GesAbsatz"/>
              <w:tabs>
                <w:tab w:val="clear" w:pos="425"/>
                <w:tab w:val="decimal" w:pos="1419"/>
              </w:tabs>
              <w:rPr>
                <w:rFonts w:eastAsia="Arial Unicode MS" w:cs="Arial"/>
                <w:sz w:val="18"/>
                <w:szCs w:val="24"/>
                <w:lang w:val="it-IT"/>
              </w:rPr>
            </w:pPr>
            <w:r>
              <w:rPr>
                <w:rFonts w:cs="Arial"/>
                <w:sz w:val="18"/>
                <w:lang w:val="it-IT"/>
              </w:rPr>
              <w:t>195.000 Mg/a</w:t>
            </w:r>
          </w:p>
        </w:tc>
        <w:tc>
          <w:tcPr>
            <w:tcW w:w="3259" w:type="dxa"/>
          </w:tcPr>
          <w:p>
            <w:pPr>
              <w:pStyle w:val="GesAbsatz"/>
              <w:tabs>
                <w:tab w:val="clear" w:pos="425"/>
                <w:tab w:val="decimal" w:pos="1419"/>
              </w:tabs>
              <w:rPr>
                <w:rFonts w:eastAsia="Arial Unicode MS" w:cs="Arial"/>
                <w:sz w:val="18"/>
                <w:szCs w:val="24"/>
              </w:rPr>
            </w:pPr>
            <w:r>
              <w:rPr>
                <w:rFonts w:cs="Arial"/>
                <w:sz w:val="18"/>
              </w:rPr>
              <w:t>400.000 Mg/a</w:t>
            </w:r>
          </w:p>
        </w:tc>
      </w:tr>
      <w:tr>
        <w:trPr>
          <w:cantSplit/>
        </w:trPr>
        <w:tc>
          <w:tcPr>
            <w:tcW w:w="9777" w:type="dxa"/>
            <w:gridSpan w:val="3"/>
            <w:vAlign w:val="center"/>
          </w:tcPr>
          <w:p>
            <w:pPr>
              <w:pStyle w:val="GesAbsatz"/>
              <w:rPr>
                <w:rFonts w:eastAsia="Arial Unicode MS" w:cs="Arial"/>
                <w:sz w:val="18"/>
                <w:szCs w:val="24"/>
              </w:rPr>
            </w:pPr>
            <w:r>
              <w:rPr>
                <w:rFonts w:cs="Arial"/>
                <w:sz w:val="18"/>
              </w:rPr>
              <w:t xml:space="preserve">1997 betrug die landwirtschaftlich verwertete Kompostmenge </w:t>
            </w:r>
            <w:r>
              <w:rPr>
                <w:rFonts w:cs="Arial"/>
                <w:b/>
                <w:bCs/>
                <w:sz w:val="18"/>
              </w:rPr>
              <w:t>260.000 Mg/a</w:t>
            </w:r>
          </w:p>
        </w:tc>
      </w:tr>
    </w:tbl>
    <w:p>
      <w:pPr>
        <w:pStyle w:val="GesAbsatz"/>
        <w:rPr>
          <w:rFonts w:eastAsia="Arial Unicode MS" w:cs="Arial"/>
          <w:szCs w:val="24"/>
        </w:rPr>
      </w:pPr>
    </w:p>
    <w:p>
      <w:pPr>
        <w:pStyle w:val="GesAbsatz"/>
        <w:rPr>
          <w:rFonts w:cs="Arial"/>
        </w:rPr>
      </w:pPr>
      <w:r>
        <w:rPr>
          <w:rFonts w:cs="Arial"/>
          <w:b/>
          <w:bCs/>
        </w:rPr>
        <w:t>5.2 Prognose</w:t>
      </w:r>
    </w:p>
    <w:p>
      <w:pPr>
        <w:pStyle w:val="GesAbsatz"/>
        <w:rPr>
          <w:rFonts w:eastAsia="Arial Unicode MS" w:cs="Arial"/>
        </w:rPr>
      </w:pPr>
      <w:r>
        <w:rPr>
          <w:rFonts w:cs="Arial"/>
        </w:rPr>
        <w:t>Die Verwertung von Kompost in der Landwirtschaft hat Auswirkungen sowohl im Hinblick auf den Eintrag von Nährstoffen als auch auf den Eintrag von Schwermetallen. Um abschätzen zu können, ob der Kompost umweltverträglich verwertet werden kann, wurden die Nährstoff- und Schwermetalleinträge berechnet. In die Berechnungen wurden die Nährstoff- und Schwermetalleinträge aus Wirtschaftsdüngern, Klärschlamm und Kompost einbezogen. Beim Kompost wurde von der jetzigen Kompostqualität ausgegangen, obwohl für die zukünftig produzierten Komposte von eher sinkenden Schwermetallgehalten auszugehen ist.</w:t>
      </w:r>
    </w:p>
    <w:p>
      <w:pPr>
        <w:pStyle w:val="GesAbsatz"/>
        <w:rPr>
          <w:rFonts w:cs="Arial"/>
        </w:rPr>
      </w:pPr>
      <w:r>
        <w:rPr>
          <w:rFonts w:cs="Arial"/>
        </w:rPr>
        <w:t>In den Karten 13 bis 18 sind ausschließlich die Einträge von Nährstoffen und Schwermetallen auf Ackerflächen dargestellt, so dass sich für das Grünland gemäß der in Kapitel 4.2.2 festgelegten Verteilung der Dünger (nur Wirtschaftsdünger werden sowohl auf Ackerland als auch auf Grünland aufgebracht) keine Veränderungen gegenüber der bestehenden Situation ergeben. Die Situation beim Grünland ist dem Kapitel 4.2.2 zu entnehmen.</w:t>
      </w:r>
    </w:p>
    <w:p>
      <w:pPr>
        <w:pStyle w:val="GesAbsatz"/>
        <w:rPr>
          <w:rFonts w:eastAsia="Arial Unicode MS" w:cs="Arial"/>
        </w:rPr>
      </w:pPr>
      <w:r>
        <w:rPr>
          <w:rFonts w:cs="Arial"/>
        </w:rPr>
        <w:t xml:space="preserve">Die Überschreitungen von Grenzwerten oder Vorschriften sind jeweils in der untersten Kategorie der Kartenlegende dargestellt. Nur bei Phosphat stellt bereits die Kategorie „100 bis unter 125 % der zulässigen Zufuhr“ </w:t>
      </w:r>
      <w:r>
        <w:rPr>
          <w:rFonts w:cs="Arial"/>
        </w:rPr>
        <w:lastRenderedPageBreak/>
        <w:t>die erste Überschreitungsstufe dar, die sich bis zur untersten Kategorie noch vergrößert. Die Schlussfolgerungen aus den berechneten Ergebnissen sind in Kapitel 6 dargestellt.</w:t>
      </w:r>
    </w:p>
    <w:p>
      <w:pPr>
        <w:pStyle w:val="GesAbsatz"/>
        <w:rPr>
          <w:rFonts w:eastAsia="Arial Unicode MS" w:cs="Arial"/>
          <w:color w:val="auto"/>
        </w:rPr>
      </w:pPr>
      <w:r>
        <w:rPr>
          <w:rFonts w:eastAsia="Arial Unicode MS" w:cs="Arial"/>
          <w:color w:val="auto"/>
        </w:rPr>
        <w:t xml:space="preserve">Karte 13 </w:t>
      </w:r>
    </w:p>
    <w:p>
      <w:pPr>
        <w:pStyle w:val="GesAbsatz"/>
        <w:rPr>
          <w:rFonts w:eastAsia="Arial Unicode MS" w:cs="Arial"/>
          <w:i/>
          <w:iCs/>
          <w:color w:val="FF0000"/>
        </w:rPr>
      </w:pPr>
      <w:r>
        <w:rPr>
          <w:rFonts w:eastAsia="Arial Unicode MS" w:cs="Arial"/>
          <w:i/>
          <w:iCs/>
          <w:color w:val="FF0000"/>
        </w:rPr>
        <w:t>[Wird zu einem späteren Zeitpunkt eingefügt.]</w:t>
      </w:r>
    </w:p>
    <w:p>
      <w:pPr>
        <w:pStyle w:val="GesAbsatz"/>
        <w:rPr>
          <w:rFonts w:eastAsia="Arial Unicode MS" w:cs="Arial"/>
          <w:color w:val="auto"/>
        </w:rPr>
      </w:pPr>
      <w:r>
        <w:rPr>
          <w:rFonts w:eastAsia="Arial Unicode MS" w:cs="Arial"/>
          <w:noProof/>
        </w:rPr>
        <w:drawing>
          <wp:inline distT="0" distB="0" distL="0" distR="0">
            <wp:extent cx="6118860" cy="444246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8860" cy="4442460"/>
                    </a:xfrm>
                    <a:prstGeom prst="rect">
                      <a:avLst/>
                    </a:prstGeom>
                    <a:noFill/>
                    <a:ln>
                      <a:noFill/>
                    </a:ln>
                  </pic:spPr>
                </pic:pic>
              </a:graphicData>
            </a:graphic>
          </wp:inline>
        </w:drawing>
      </w:r>
    </w:p>
    <w:p>
      <w:pPr>
        <w:pStyle w:val="GesAbsatz"/>
        <w:rPr>
          <w:rFonts w:eastAsia="Arial Unicode MS" w:cs="Arial"/>
          <w:color w:val="auto"/>
        </w:rPr>
      </w:pPr>
    </w:p>
    <w:p>
      <w:pPr>
        <w:pStyle w:val="GesAbsatz"/>
        <w:rPr>
          <w:rFonts w:eastAsia="Arial Unicode MS" w:cs="Arial"/>
          <w:color w:val="auto"/>
        </w:rPr>
      </w:pPr>
      <w:r>
        <w:rPr>
          <w:rFonts w:eastAsia="Arial Unicode MS" w:cs="Arial"/>
          <w:noProof/>
        </w:rPr>
        <w:lastRenderedPageBreak/>
        <w:drawing>
          <wp:inline distT="0" distB="0" distL="0" distR="0">
            <wp:extent cx="6118860" cy="44577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8860" cy="4457700"/>
                    </a:xfrm>
                    <a:prstGeom prst="rect">
                      <a:avLst/>
                    </a:prstGeom>
                    <a:noFill/>
                    <a:ln>
                      <a:noFill/>
                    </a:ln>
                  </pic:spPr>
                </pic:pic>
              </a:graphicData>
            </a:graphic>
          </wp:inline>
        </w:drawing>
      </w:r>
    </w:p>
    <w:p>
      <w:pPr>
        <w:pStyle w:val="GesAbsatz"/>
        <w:rPr>
          <w:rFonts w:eastAsia="Arial Unicode MS" w:cs="Arial"/>
          <w:color w:val="auto"/>
        </w:rPr>
      </w:pPr>
      <w:r>
        <w:rPr>
          <w:rFonts w:eastAsia="Arial Unicode MS" w:cs="Arial"/>
          <w:noProof/>
        </w:rPr>
        <w:drawing>
          <wp:inline distT="0" distB="0" distL="0" distR="0">
            <wp:extent cx="6118860" cy="452628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8860" cy="4526280"/>
                    </a:xfrm>
                    <a:prstGeom prst="rect">
                      <a:avLst/>
                    </a:prstGeom>
                    <a:noFill/>
                    <a:ln>
                      <a:noFill/>
                    </a:ln>
                  </pic:spPr>
                </pic:pic>
              </a:graphicData>
            </a:graphic>
          </wp:inline>
        </w:drawing>
      </w:r>
    </w:p>
    <w:p>
      <w:pPr>
        <w:pStyle w:val="GesAbsatz"/>
        <w:rPr>
          <w:rFonts w:eastAsia="Arial Unicode MS" w:cs="Arial"/>
          <w:color w:val="auto"/>
        </w:rPr>
      </w:pPr>
      <w:r>
        <w:rPr>
          <w:rFonts w:eastAsia="Arial Unicode MS" w:cs="Arial"/>
          <w:noProof/>
        </w:rPr>
        <w:lastRenderedPageBreak/>
        <w:drawing>
          <wp:inline distT="0" distB="0" distL="0" distR="0">
            <wp:extent cx="6111240" cy="450342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1240" cy="4503420"/>
                    </a:xfrm>
                    <a:prstGeom prst="rect">
                      <a:avLst/>
                    </a:prstGeom>
                    <a:noFill/>
                    <a:ln>
                      <a:noFill/>
                    </a:ln>
                  </pic:spPr>
                </pic:pic>
              </a:graphicData>
            </a:graphic>
          </wp:inline>
        </w:drawing>
      </w:r>
    </w:p>
    <w:p>
      <w:pPr>
        <w:pStyle w:val="GesAbsatz"/>
        <w:rPr>
          <w:rFonts w:eastAsia="Arial Unicode MS" w:cs="Arial"/>
          <w:color w:val="auto"/>
        </w:rPr>
      </w:pPr>
      <w:r>
        <w:rPr>
          <w:rFonts w:eastAsia="Arial Unicode MS" w:cs="Arial"/>
          <w:noProof/>
        </w:rPr>
        <w:drawing>
          <wp:inline distT="0" distB="0" distL="0" distR="0">
            <wp:extent cx="6118860" cy="459486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8860" cy="4594860"/>
                    </a:xfrm>
                    <a:prstGeom prst="rect">
                      <a:avLst/>
                    </a:prstGeom>
                    <a:noFill/>
                    <a:ln>
                      <a:noFill/>
                    </a:ln>
                  </pic:spPr>
                </pic:pic>
              </a:graphicData>
            </a:graphic>
          </wp:inline>
        </w:drawing>
      </w:r>
    </w:p>
    <w:p>
      <w:pPr>
        <w:pStyle w:val="berschrift2"/>
        <w:jc w:val="left"/>
        <w:rPr>
          <w:rFonts w:eastAsia="Arial Unicode MS"/>
        </w:rPr>
      </w:pPr>
      <w:bookmarkStart w:id="20" w:name="_Toc45599508"/>
      <w:r>
        <w:rPr>
          <w:rFonts w:eastAsia="Arial Unicode MS"/>
        </w:rPr>
        <w:lastRenderedPageBreak/>
        <w:t>6 Beurteilung der Verwertungssituation der heutigen und zukünftigen Kompostmengen</w:t>
      </w:r>
      <w:bookmarkEnd w:id="20"/>
    </w:p>
    <w:p>
      <w:pPr>
        <w:pStyle w:val="berschrift3"/>
        <w:jc w:val="left"/>
        <w:rPr>
          <w:rFonts w:eastAsia="Arial Unicode MS"/>
        </w:rPr>
      </w:pPr>
      <w:bookmarkStart w:id="21" w:name="_Toc45599509"/>
      <w:r>
        <w:t>6.1 Beurteilung der Ist-Situation</w:t>
      </w:r>
      <w:bookmarkEnd w:id="21"/>
    </w:p>
    <w:p>
      <w:pPr>
        <w:pStyle w:val="GesAbsatz"/>
        <w:rPr>
          <w:rFonts w:cs="Arial"/>
        </w:rPr>
      </w:pPr>
      <w:r>
        <w:rPr>
          <w:rFonts w:cs="Arial"/>
        </w:rPr>
        <w:t>Die Voraussetzungen für die Verwertung von Komposten sind in den einzelnen Regionen Nordrhein-Westfalens sehr unterschiedlich und stärker differenziert als zum Beispiel in den Nachbarländern Hessen und Rheinland-Pfalz. In Nordrhein-Westfalen gibt es sowohl Regionen mit ungünstigen Randbedingungen (vor allem die hohe Viehdichte, das ungünstigste Verhältnis von hohem Bioabfallanfall und potenzieller Aufbringungsfläche in den Ballungsräumen sowie ein hoher Wald- und Grünlandanteil) als auch Regionen mit günstigen Randbedingungen (Erwerbsgartenbau, Rekultivierungsflächen, Landschaftsbau sowie ein hoher Anteil an Ackerflächen bei teilweise geringer Viehdichte).</w:t>
      </w:r>
    </w:p>
    <w:p>
      <w:pPr>
        <w:pStyle w:val="GesAbsatz"/>
        <w:rPr>
          <w:rFonts w:cs="Arial"/>
        </w:rPr>
      </w:pPr>
      <w:r>
        <w:rPr>
          <w:rFonts w:cs="Arial"/>
        </w:rPr>
        <w:t>Eine weitere günstige Voraussetzung ist die bestehende Vertriebsstruktur (Beschäftigung von speziellem Vertriebspersonal oder Produktdiversifizierung) bei einer großen Anzahl der auf diesem Sektor in Nordrhein-Westfalen tätigen Unternehmen. Hierzu kommt, dass 72 % der erzeugten Komposte die Anforderungen der höchsten Qualitätsstufe der BioAbfV erfüllen.</w:t>
      </w:r>
    </w:p>
    <w:p>
      <w:pPr>
        <w:pStyle w:val="GesAbsatz"/>
        <w:rPr>
          <w:rFonts w:cs="Arial"/>
        </w:rPr>
      </w:pPr>
      <w:r>
        <w:rPr>
          <w:rFonts w:cs="Arial"/>
        </w:rPr>
        <w:t>Der Anteil der Landwirtschaft am Kompostabsatz ist schon derzeit überdurchschnittlich. Während in Nordrhein-Westfalen ca. 44 % der erzeugten Komposte in der Landwirtschaft verwertet werden, lag dieser Anteil im Bundesdurchschnitt 1997 nur bei ca. 18 %. Die Probleme, die bei der Analyse der bestehenden Situation der Kompostverwertung in der Landwirtschaft zu Tage treten und die sich noch verstärken werden, wenn noch größere Kompostmengen produziert werden, werden jedoch fast ausschließlich durch Wirtschaftsdünger (z. B. Gülle) verursacht.</w:t>
      </w:r>
    </w:p>
    <w:p>
      <w:pPr>
        <w:pStyle w:val="GesAbsatz"/>
        <w:rPr>
          <w:rFonts w:cs="Arial"/>
        </w:rPr>
      </w:pPr>
      <w:r>
        <w:rPr>
          <w:rFonts w:cs="Arial"/>
        </w:rPr>
        <w:t>Die Nährstoff- und Schwermetallsituation ist zusammenfassend wie folgt zu charakterisieren:</w:t>
      </w:r>
    </w:p>
    <w:p>
      <w:pPr>
        <w:pStyle w:val="GesAbsatz"/>
        <w:rPr>
          <w:rFonts w:cs="Arial"/>
          <w:b/>
        </w:rPr>
      </w:pPr>
      <w:r>
        <w:rPr>
          <w:rFonts w:cs="Arial"/>
          <w:b/>
        </w:rPr>
        <w:t>•</w:t>
      </w:r>
      <w:r>
        <w:rPr>
          <w:rFonts w:cs="Arial"/>
          <w:b/>
        </w:rPr>
        <w:tab/>
        <w:t>Nährstoffe</w:t>
      </w:r>
    </w:p>
    <w:p>
      <w:pPr>
        <w:pStyle w:val="GesAbsatz"/>
        <w:rPr>
          <w:rFonts w:cs="Arial"/>
        </w:rPr>
      </w:pPr>
      <w:r>
        <w:rPr>
          <w:rFonts w:cs="Arial"/>
        </w:rPr>
        <w:t>Geringfügige Überschreitung der maximalen Stickstoffgaben für organischen Dünger im Kreis Borken und im Oberbergischen Kreis und starke Phosphatüberdüngung (bis über 150 % des Entzugs in Abhängigkeit der Bodenversorgung) in weiten Landesteilen, insbesondere im Norden und Westen von Nordrhein-Westfalen.</w:t>
      </w:r>
    </w:p>
    <w:p>
      <w:pPr>
        <w:pStyle w:val="GesAbsatz"/>
        <w:rPr>
          <w:rFonts w:cs="Arial"/>
          <w:b/>
        </w:rPr>
      </w:pPr>
      <w:r>
        <w:rPr>
          <w:rFonts w:cs="Arial"/>
          <w:b/>
        </w:rPr>
        <w:t>•</w:t>
      </w:r>
      <w:r>
        <w:rPr>
          <w:rFonts w:cs="Arial"/>
          <w:b/>
        </w:rPr>
        <w:tab/>
        <w:t>Schwermetalle</w:t>
      </w:r>
    </w:p>
    <w:p>
      <w:pPr>
        <w:pStyle w:val="GesAbsatz"/>
        <w:rPr>
          <w:rFonts w:cs="Arial"/>
        </w:rPr>
      </w:pPr>
      <w:r>
        <w:rPr>
          <w:rFonts w:cs="Arial"/>
        </w:rPr>
        <w:t>Relativ hohe Zinkeinträge. Auf etwa zwei Drittel der Landesfläche betragen die Einträge von Kupfer von 25 % bis zu über 50 % der zulässigen jährlichen Schwermetallfracht. In den Kreisen Borken, Coesfeld, Steinfurt und dem Aggregat der Stadt Münster mit dem Kreis Warendorf wird bei Kupfer bereits jetzt die Grenzfracht pro Hektar und Jahr überschritten</w:t>
      </w:r>
    </w:p>
    <w:p>
      <w:pPr>
        <w:pStyle w:val="berschrift3"/>
        <w:jc w:val="left"/>
      </w:pPr>
      <w:bookmarkStart w:id="22" w:name="_Toc45599510"/>
      <w:r>
        <w:t>6.2 Zukünftige Situation der Kompostverwertung</w:t>
      </w:r>
      <w:bookmarkEnd w:id="22"/>
    </w:p>
    <w:p>
      <w:pPr>
        <w:pStyle w:val="GesAbsatz"/>
        <w:rPr>
          <w:rFonts w:cs="Arial"/>
        </w:rPr>
      </w:pPr>
      <w:r>
        <w:rPr>
          <w:rFonts w:cs="Arial"/>
        </w:rPr>
        <w:t>Im Folgenden werden die Ergebnisse der drei Varianten in Wechselwirkung mit den prognostizierten Kompostmengen nach dem Minimal- und dem Maximalszenario dargestellt und bewertet.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9"/>
        <w:gridCol w:w="7619"/>
      </w:tblGrid>
      <w:tr>
        <w:trPr>
          <w:cantSplit/>
          <w:tblHeader/>
        </w:trPr>
        <w:tc>
          <w:tcPr>
            <w:tcW w:w="2055" w:type="dxa"/>
          </w:tcPr>
          <w:p>
            <w:pPr>
              <w:pStyle w:val="GesAbsatz"/>
              <w:rPr>
                <w:rFonts w:cs="Arial"/>
                <w:sz w:val="18"/>
              </w:rPr>
            </w:pPr>
            <w:r>
              <w:rPr>
                <w:rFonts w:cs="Arial"/>
                <w:b/>
                <w:bCs/>
                <w:sz w:val="18"/>
              </w:rPr>
              <w:t>Variante 1</w:t>
            </w:r>
          </w:p>
        </w:tc>
        <w:tc>
          <w:tcPr>
            <w:tcW w:w="7723" w:type="dxa"/>
          </w:tcPr>
          <w:p>
            <w:pPr>
              <w:pStyle w:val="GesAbsatz"/>
              <w:rPr>
                <w:rFonts w:cs="Arial"/>
                <w:sz w:val="18"/>
              </w:rPr>
            </w:pPr>
          </w:p>
        </w:tc>
      </w:tr>
      <w:tr>
        <w:trPr>
          <w:cantSplit/>
        </w:trPr>
        <w:tc>
          <w:tcPr>
            <w:tcW w:w="2055" w:type="dxa"/>
          </w:tcPr>
          <w:p>
            <w:pPr>
              <w:pStyle w:val="GesAbsatz"/>
              <w:rPr>
                <w:rFonts w:cs="Arial"/>
                <w:sz w:val="18"/>
              </w:rPr>
            </w:pPr>
            <w:r>
              <w:rPr>
                <w:rFonts w:cs="Arial"/>
                <w:sz w:val="18"/>
              </w:rPr>
              <w:t>Annahmen</w:t>
            </w:r>
          </w:p>
        </w:tc>
        <w:tc>
          <w:tcPr>
            <w:tcW w:w="7723" w:type="dxa"/>
          </w:tcPr>
          <w:p>
            <w:pPr>
              <w:pStyle w:val="GesAbsatz"/>
              <w:tabs>
                <w:tab w:val="clear" w:pos="425"/>
                <w:tab w:val="left" w:pos="2481"/>
              </w:tabs>
              <w:rPr>
                <w:rFonts w:cs="Arial"/>
                <w:sz w:val="18"/>
                <w:szCs w:val="15"/>
              </w:rPr>
            </w:pPr>
            <w:r>
              <w:rPr>
                <w:rFonts w:cs="Arial"/>
                <w:sz w:val="18"/>
                <w:szCs w:val="15"/>
              </w:rPr>
              <w:t>Sämtlicher Kompost wird in der Landwirtschaft verwertet</w:t>
            </w:r>
          </w:p>
          <w:p>
            <w:pPr>
              <w:pStyle w:val="GesAbsatz"/>
              <w:tabs>
                <w:tab w:val="clear" w:pos="425"/>
                <w:tab w:val="left" w:pos="2481"/>
              </w:tabs>
              <w:ind w:left="2481" w:hanging="2481"/>
              <w:rPr>
                <w:rFonts w:cs="Arial"/>
                <w:sz w:val="18"/>
                <w:szCs w:val="15"/>
              </w:rPr>
            </w:pPr>
            <w:r>
              <w:rPr>
                <w:rFonts w:cs="Arial"/>
                <w:sz w:val="18"/>
                <w:szCs w:val="15"/>
              </w:rPr>
              <w:t>Gesamtmenge 1997:</w:t>
            </w:r>
            <w:r>
              <w:rPr>
                <w:rFonts w:cs="Arial"/>
                <w:sz w:val="18"/>
                <w:szCs w:val="15"/>
              </w:rPr>
              <w:tab/>
              <w:t>rd. 599.000 Mg Kompost; davon wurden 260.000 Mg Kompost landwirtschaftlich verwertet.</w:t>
            </w:r>
          </w:p>
          <w:p>
            <w:pPr>
              <w:pStyle w:val="GesAbsatz"/>
              <w:tabs>
                <w:tab w:val="clear" w:pos="425"/>
                <w:tab w:val="left" w:pos="2481"/>
              </w:tabs>
              <w:ind w:left="2481" w:hanging="2481"/>
              <w:rPr>
                <w:rFonts w:cs="Arial"/>
                <w:sz w:val="18"/>
                <w:szCs w:val="15"/>
              </w:rPr>
            </w:pPr>
            <w:r>
              <w:rPr>
                <w:rFonts w:cs="Arial"/>
                <w:sz w:val="18"/>
                <w:szCs w:val="15"/>
              </w:rPr>
              <w:t>Minimalszenario:</w:t>
            </w:r>
            <w:r>
              <w:rPr>
                <w:rFonts w:cs="Arial"/>
                <w:sz w:val="18"/>
                <w:szCs w:val="15"/>
              </w:rPr>
              <w:tab/>
              <w:t>780.000 Mg Kompost pro Jahr</w:t>
            </w:r>
            <w:r>
              <w:rPr>
                <w:rFonts w:cs="Arial"/>
                <w:sz w:val="18"/>
                <w:szCs w:val="15"/>
              </w:rPr>
              <w:br/>
              <w:t>(entspricht der landwirtschaftlich verwerteten Kompostmenge)</w:t>
            </w:r>
          </w:p>
          <w:p>
            <w:pPr>
              <w:pStyle w:val="GesAbsatz"/>
              <w:tabs>
                <w:tab w:val="clear" w:pos="425"/>
                <w:tab w:val="left" w:pos="2481"/>
              </w:tabs>
              <w:ind w:left="2481" w:hanging="2481"/>
              <w:rPr>
                <w:rFonts w:cs="Arial"/>
                <w:sz w:val="18"/>
              </w:rPr>
            </w:pPr>
            <w:r>
              <w:rPr>
                <w:rFonts w:cs="Arial"/>
                <w:sz w:val="18"/>
                <w:szCs w:val="15"/>
              </w:rPr>
              <w:t>Maximalszenario:</w:t>
            </w:r>
            <w:r>
              <w:rPr>
                <w:rFonts w:cs="Arial"/>
                <w:sz w:val="18"/>
                <w:szCs w:val="15"/>
              </w:rPr>
              <w:tab/>
              <w:t xml:space="preserve">1.100.000 Mg Kompost pro Jahr </w:t>
            </w:r>
            <w:r>
              <w:rPr>
                <w:rFonts w:cs="Arial"/>
                <w:sz w:val="18"/>
                <w:szCs w:val="15"/>
              </w:rPr>
              <w:br/>
              <w:t>(entspricht der landwirtschaftlich verwerteten Kompostmenge)</w:t>
            </w:r>
          </w:p>
        </w:tc>
      </w:tr>
      <w:tr>
        <w:trPr>
          <w:cantSplit/>
        </w:trPr>
        <w:tc>
          <w:tcPr>
            <w:tcW w:w="2055" w:type="dxa"/>
          </w:tcPr>
          <w:p>
            <w:pPr>
              <w:pStyle w:val="GesAbsatz"/>
              <w:rPr>
                <w:rFonts w:eastAsia="Arial Unicode MS" w:cs="Arial"/>
                <w:sz w:val="18"/>
                <w:szCs w:val="24"/>
              </w:rPr>
            </w:pPr>
            <w:r>
              <w:rPr>
                <w:rFonts w:cs="Arial"/>
                <w:sz w:val="18"/>
              </w:rPr>
              <w:t xml:space="preserve">Stickstoff </w:t>
            </w:r>
          </w:p>
        </w:tc>
        <w:tc>
          <w:tcPr>
            <w:tcW w:w="7723" w:type="dxa"/>
          </w:tcPr>
          <w:p>
            <w:pPr>
              <w:pStyle w:val="GesAbsatz"/>
              <w:rPr>
                <w:rFonts w:cs="Arial"/>
                <w:sz w:val="18"/>
              </w:rPr>
            </w:pPr>
            <w:r>
              <w:rPr>
                <w:rFonts w:cs="Arial"/>
                <w:sz w:val="18"/>
                <w:szCs w:val="15"/>
              </w:rPr>
              <w:t>Der Kreis Borken und der Oberbergische Kreis liegen schon derzeit über der Schwelle von 170 kg/ha*a. Beim Minimalszenario wird sie zusätzlich im Kreis Siegen-Wittgenstein sowie im Aggregat Stadt und Kreis Aachen überschritten. Beim Maximalszenario wird sie darüber hinaus im Kreis Olpe und im Aggregat der Städte Bochum, Hagen, Herne mit dem Ennepe-Ruhr-Kreis überschritten.</w:t>
            </w:r>
          </w:p>
        </w:tc>
      </w:tr>
      <w:tr>
        <w:trPr>
          <w:cantSplit/>
        </w:trPr>
        <w:tc>
          <w:tcPr>
            <w:tcW w:w="2055" w:type="dxa"/>
          </w:tcPr>
          <w:p>
            <w:pPr>
              <w:pStyle w:val="GesAbsatz"/>
              <w:rPr>
                <w:rFonts w:eastAsia="Arial Unicode MS" w:cs="Arial"/>
                <w:sz w:val="18"/>
                <w:szCs w:val="24"/>
              </w:rPr>
            </w:pPr>
            <w:r>
              <w:rPr>
                <w:rFonts w:cs="Arial"/>
                <w:sz w:val="18"/>
              </w:rPr>
              <w:t xml:space="preserve">Phosphat </w:t>
            </w:r>
          </w:p>
        </w:tc>
        <w:tc>
          <w:tcPr>
            <w:tcW w:w="7723" w:type="dxa"/>
          </w:tcPr>
          <w:p>
            <w:pPr>
              <w:pStyle w:val="GesAbsatz"/>
              <w:rPr>
                <w:rFonts w:eastAsia="Arial Unicode MS" w:cs="Arial"/>
                <w:sz w:val="18"/>
                <w:szCs w:val="24"/>
              </w:rPr>
            </w:pPr>
            <w:r>
              <w:rPr>
                <w:rFonts w:cs="Arial"/>
                <w:sz w:val="18"/>
                <w:szCs w:val="15"/>
              </w:rPr>
              <w:t xml:space="preserve">In den meisten Kreisen liegen bereits derzeit Überschreitungen vor. </w:t>
            </w:r>
            <w:r>
              <w:rPr>
                <w:rFonts w:cs="Arial"/>
                <w:sz w:val="18"/>
                <w:szCs w:val="15"/>
              </w:rPr>
              <w:br/>
              <w:t>Bei der Kompostmenge des Minimalszenarios gibt es nur noch 7 Kreise bzw. Aggregate ohne Überschreitungen. Dies sind die Kreise Düren, Euskirchen, Höxter und Lippe, der Erftkreis sowie die Aggregate Stadt Bielefeld mit dem Kreis Herford und die Städte Köln und Leverkusen mit dem Rheinisch-Bergischen Kreis. Beim Maximalszenario der Kompostmengen tritt dann auch im Aggregat der Städte Köln und Leverkusen mit dem Rheinisch-Bergischen Kreis eine Überschreitung auf.</w:t>
            </w:r>
          </w:p>
        </w:tc>
      </w:tr>
      <w:tr>
        <w:trPr>
          <w:cantSplit/>
        </w:trPr>
        <w:tc>
          <w:tcPr>
            <w:tcW w:w="2055" w:type="dxa"/>
          </w:tcPr>
          <w:p>
            <w:pPr>
              <w:pStyle w:val="GesAbsatz"/>
              <w:rPr>
                <w:rFonts w:eastAsia="Arial Unicode MS" w:cs="Arial"/>
                <w:sz w:val="18"/>
                <w:szCs w:val="24"/>
              </w:rPr>
            </w:pPr>
            <w:r>
              <w:rPr>
                <w:rFonts w:cs="Arial"/>
                <w:sz w:val="18"/>
              </w:rPr>
              <w:lastRenderedPageBreak/>
              <w:t xml:space="preserve">Cadmium </w:t>
            </w:r>
          </w:p>
        </w:tc>
        <w:tc>
          <w:tcPr>
            <w:tcW w:w="7723" w:type="dxa"/>
          </w:tcPr>
          <w:p>
            <w:pPr>
              <w:pStyle w:val="GesAbsatz"/>
              <w:rPr>
                <w:rFonts w:eastAsia="Arial Unicode MS" w:cs="Arial"/>
                <w:sz w:val="18"/>
                <w:szCs w:val="24"/>
              </w:rPr>
            </w:pPr>
            <w:r>
              <w:rPr>
                <w:rFonts w:cs="Arial"/>
                <w:sz w:val="18"/>
                <w:szCs w:val="15"/>
              </w:rPr>
              <w:t>Die Verwertung der maximalen Kompostmenge in der Landwirtschaft führt in keinem Kreis bzw. Aggregat zu einer Überschreitung der Grenzfracht.</w:t>
            </w:r>
          </w:p>
        </w:tc>
      </w:tr>
      <w:tr>
        <w:trPr>
          <w:cantSplit/>
        </w:trPr>
        <w:tc>
          <w:tcPr>
            <w:tcW w:w="2055" w:type="dxa"/>
          </w:tcPr>
          <w:p>
            <w:pPr>
              <w:pStyle w:val="GesAbsatz"/>
              <w:rPr>
                <w:rFonts w:eastAsia="Arial Unicode MS" w:cs="Arial"/>
                <w:sz w:val="18"/>
                <w:szCs w:val="24"/>
              </w:rPr>
            </w:pPr>
            <w:r>
              <w:rPr>
                <w:rFonts w:cs="Arial"/>
                <w:sz w:val="18"/>
              </w:rPr>
              <w:t xml:space="preserve">Kupfer </w:t>
            </w:r>
          </w:p>
        </w:tc>
        <w:tc>
          <w:tcPr>
            <w:tcW w:w="7723" w:type="dxa"/>
          </w:tcPr>
          <w:p>
            <w:pPr>
              <w:pStyle w:val="GesAbsatz"/>
              <w:rPr>
                <w:rFonts w:eastAsia="Arial Unicode MS" w:cs="Arial"/>
                <w:sz w:val="18"/>
                <w:szCs w:val="24"/>
              </w:rPr>
            </w:pPr>
            <w:r>
              <w:rPr>
                <w:rFonts w:cs="Arial"/>
                <w:sz w:val="18"/>
                <w:szCs w:val="15"/>
              </w:rPr>
              <w:t>Die Grenzfracht von 700 g pro Hektar und Jahr ist schon derzeit in den Kreisen Borken, Coesfeld, Steinfurt und dem Aggregat Stadt Münster mit dem Kreis Warendorf überschritten.</w:t>
            </w:r>
            <w:r>
              <w:rPr>
                <w:rFonts w:cs="Arial"/>
                <w:sz w:val="18"/>
                <w:szCs w:val="15"/>
              </w:rPr>
              <w:br/>
              <w:t>Die Verwertung der Kompostmengen des Minimalszenarios führt dann zusätzlich im Oberbergischen Kreis zu einer Überschreitung der zulässigen Frachten. Beim Maximalszenario ergeben sich gegenüber dem Minimalszenario keine Veränderungen.</w:t>
            </w:r>
          </w:p>
        </w:tc>
      </w:tr>
      <w:tr>
        <w:trPr>
          <w:cantSplit/>
        </w:trPr>
        <w:tc>
          <w:tcPr>
            <w:tcW w:w="2055" w:type="dxa"/>
          </w:tcPr>
          <w:p>
            <w:pPr>
              <w:pStyle w:val="GesAbsatz"/>
              <w:rPr>
                <w:rFonts w:eastAsia="Arial Unicode MS" w:cs="Arial"/>
                <w:sz w:val="18"/>
                <w:szCs w:val="24"/>
              </w:rPr>
            </w:pPr>
            <w:r>
              <w:rPr>
                <w:rFonts w:cs="Arial"/>
                <w:sz w:val="18"/>
              </w:rPr>
              <w:t xml:space="preserve">Blei </w:t>
            </w:r>
          </w:p>
        </w:tc>
        <w:tc>
          <w:tcPr>
            <w:tcW w:w="7723" w:type="dxa"/>
            <w:vAlign w:val="bottom"/>
          </w:tcPr>
          <w:p>
            <w:pPr>
              <w:pStyle w:val="GesAbsatz"/>
              <w:rPr>
                <w:rFonts w:eastAsia="Arial Unicode MS" w:cs="Arial"/>
                <w:sz w:val="18"/>
                <w:szCs w:val="24"/>
              </w:rPr>
            </w:pPr>
            <w:r>
              <w:rPr>
                <w:rFonts w:cs="Arial"/>
                <w:sz w:val="18"/>
                <w:szCs w:val="15"/>
              </w:rPr>
              <w:t>Die Verwertung der maximalen Kompostmenge in der Landwirtschaft führt in keinem Kreis bzw. Aggregat zu einer Überschreitung der Grenzfracht.</w:t>
            </w:r>
          </w:p>
        </w:tc>
      </w:tr>
      <w:tr>
        <w:trPr>
          <w:cantSplit/>
        </w:trPr>
        <w:tc>
          <w:tcPr>
            <w:tcW w:w="2055" w:type="dxa"/>
          </w:tcPr>
          <w:p>
            <w:pPr>
              <w:pStyle w:val="GesAbsatz"/>
              <w:rPr>
                <w:rFonts w:eastAsia="Arial Unicode MS" w:cs="Arial"/>
                <w:sz w:val="18"/>
                <w:szCs w:val="24"/>
              </w:rPr>
            </w:pPr>
            <w:r>
              <w:rPr>
                <w:rFonts w:cs="Arial"/>
                <w:sz w:val="18"/>
              </w:rPr>
              <w:t xml:space="preserve">Zink </w:t>
            </w:r>
          </w:p>
        </w:tc>
        <w:tc>
          <w:tcPr>
            <w:tcW w:w="7723" w:type="dxa"/>
            <w:vAlign w:val="center"/>
          </w:tcPr>
          <w:p>
            <w:pPr>
              <w:pStyle w:val="GesAbsatz"/>
              <w:rPr>
                <w:rFonts w:eastAsia="Arial Unicode MS" w:cs="Arial"/>
                <w:sz w:val="18"/>
                <w:szCs w:val="24"/>
              </w:rPr>
            </w:pPr>
            <w:r>
              <w:rPr>
                <w:rFonts w:cs="Arial"/>
                <w:sz w:val="18"/>
                <w:szCs w:val="15"/>
              </w:rPr>
              <w:t>Bei den Kompostmengen des Minimalszenarios wird die Grenzfracht von 3.000 g pro Hektar und Jahr in keinem Kreis und Aggregat überschritten. Bei den Kompostmengen des Maximalszenarios tritt eine Überschreitung im Oberbergischen Kreis ein.</w:t>
            </w:r>
          </w:p>
        </w:tc>
      </w:tr>
    </w:tbl>
    <w:p>
      <w:pPr>
        <w:pStyle w:val="GesAbsatz"/>
        <w:rPr>
          <w:rFonts w:cs="Arial"/>
        </w:rPr>
      </w:pPr>
    </w:p>
    <w:p>
      <w:pPr>
        <w:pStyle w:val="GesAbsatz"/>
        <w:rPr>
          <w:rFonts w:eastAsia="Arial Unicode MS" w:cs="Arial"/>
        </w:rPr>
      </w:pPr>
      <w:r>
        <w:rPr>
          <w:rFonts w:cs="Arial"/>
        </w:rPr>
        <w:t>Die Nährstoffe Stickstoff und Phosphat sowie die Schwermetalle Kupfer und Zink werden bis auf wenige Gebiete (Gebiete mit geringen Ackerflächen, viel Grünland, Wald, Siedlungsfläche, teilweise zusätzlich hohe Klärschlammverwertung) durch die Wirtschaftsdünger zum Problem. Wenn die Viehhaltung im bisherigen Umfang und mit der derzeitigen Belastung beibehalten wird, stellt die vollständige Verwertung von Bioabfallkomposten in die Landwirtschaft keinen gangbaren Weg dar. Ausgenommen sind lediglich die Köln-Aachener Bucht und die Region Ost-Westfalen.</w:t>
      </w:r>
    </w:p>
    <w:p>
      <w:pPr>
        <w:pStyle w:val="GesAbsatz"/>
        <w:rPr>
          <w:rFonts w:eastAsia="Arial Unicode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0"/>
        <w:gridCol w:w="7618"/>
      </w:tblGrid>
      <w:tr>
        <w:trPr>
          <w:tblHeader/>
        </w:trPr>
        <w:tc>
          <w:tcPr>
            <w:tcW w:w="2055" w:type="dxa"/>
          </w:tcPr>
          <w:p>
            <w:pPr>
              <w:pStyle w:val="GesAbsatz"/>
              <w:rPr>
                <w:rFonts w:eastAsia="Arial Unicode MS" w:cs="Arial"/>
                <w:sz w:val="18"/>
              </w:rPr>
            </w:pPr>
            <w:r>
              <w:rPr>
                <w:rFonts w:cs="Arial"/>
                <w:b/>
                <w:bCs/>
                <w:sz w:val="18"/>
              </w:rPr>
              <w:t>Variante 2</w:t>
            </w:r>
          </w:p>
        </w:tc>
        <w:tc>
          <w:tcPr>
            <w:tcW w:w="7723" w:type="dxa"/>
          </w:tcPr>
          <w:p>
            <w:pPr>
              <w:pStyle w:val="GesAbsatz"/>
              <w:rPr>
                <w:rFonts w:eastAsia="Arial Unicode MS" w:cs="Arial"/>
                <w:sz w:val="18"/>
              </w:rPr>
            </w:pPr>
          </w:p>
        </w:tc>
      </w:tr>
      <w:tr>
        <w:tc>
          <w:tcPr>
            <w:tcW w:w="2055" w:type="dxa"/>
          </w:tcPr>
          <w:p>
            <w:pPr>
              <w:pStyle w:val="GesAbsatz"/>
              <w:rPr>
                <w:rFonts w:eastAsia="Arial Unicode MS" w:cs="Arial"/>
                <w:sz w:val="18"/>
                <w:szCs w:val="24"/>
              </w:rPr>
            </w:pPr>
            <w:r>
              <w:rPr>
                <w:rFonts w:cs="Arial"/>
                <w:sz w:val="18"/>
              </w:rPr>
              <w:t>Annahmen</w:t>
            </w:r>
          </w:p>
        </w:tc>
        <w:tc>
          <w:tcPr>
            <w:tcW w:w="7723" w:type="dxa"/>
          </w:tcPr>
          <w:p>
            <w:pPr>
              <w:pStyle w:val="GesAbsatz"/>
              <w:rPr>
                <w:rFonts w:cs="Arial"/>
                <w:sz w:val="18"/>
                <w:szCs w:val="15"/>
              </w:rPr>
            </w:pPr>
            <w:r>
              <w:rPr>
                <w:rFonts w:cs="Arial"/>
                <w:sz w:val="18"/>
                <w:szCs w:val="15"/>
              </w:rPr>
              <w:t>Beibehaltung der Kompostmengen, die derzeit außerhalb der Landwirtschaft verwertet werden.</w:t>
            </w:r>
          </w:p>
          <w:p>
            <w:pPr>
              <w:pStyle w:val="GesAbsatz"/>
              <w:tabs>
                <w:tab w:val="clear" w:pos="425"/>
                <w:tab w:val="left" w:pos="2481"/>
              </w:tabs>
              <w:ind w:left="2481" w:hanging="2481"/>
              <w:rPr>
                <w:rFonts w:cs="Arial"/>
                <w:sz w:val="18"/>
                <w:szCs w:val="15"/>
              </w:rPr>
            </w:pPr>
            <w:r>
              <w:rPr>
                <w:rFonts w:cs="Arial"/>
                <w:sz w:val="18"/>
                <w:szCs w:val="15"/>
              </w:rPr>
              <w:t>Gesamtmenge 1997:</w:t>
            </w:r>
            <w:r>
              <w:rPr>
                <w:rFonts w:cs="Arial"/>
                <w:sz w:val="18"/>
                <w:szCs w:val="15"/>
              </w:rPr>
              <w:tab/>
              <w:t>rd. 599.000 Mg Kompost; davon wurden 260.000 Mg Kompost landwirtschaftlich verwertet.</w:t>
            </w:r>
          </w:p>
          <w:p>
            <w:pPr>
              <w:pStyle w:val="GesAbsatz"/>
              <w:tabs>
                <w:tab w:val="clear" w:pos="425"/>
                <w:tab w:val="left" w:pos="2481"/>
              </w:tabs>
              <w:ind w:left="2481" w:hanging="2481"/>
              <w:rPr>
                <w:rFonts w:cs="Arial"/>
                <w:sz w:val="18"/>
                <w:szCs w:val="15"/>
              </w:rPr>
            </w:pPr>
            <w:r>
              <w:rPr>
                <w:rFonts w:cs="Arial"/>
                <w:sz w:val="18"/>
                <w:szCs w:val="15"/>
              </w:rPr>
              <w:t>Minimalszenario:</w:t>
            </w:r>
            <w:r>
              <w:rPr>
                <w:rFonts w:cs="Arial"/>
                <w:sz w:val="18"/>
                <w:szCs w:val="15"/>
              </w:rPr>
              <w:tab/>
              <w:t>440.000 Mg Kompost pro Jahr (entspricht der landwirtschaftlich verwerteten Kompostmenge)</w:t>
            </w:r>
          </w:p>
          <w:p>
            <w:pPr>
              <w:pStyle w:val="GesAbsatz"/>
              <w:tabs>
                <w:tab w:val="clear" w:pos="425"/>
                <w:tab w:val="left" w:pos="2481"/>
              </w:tabs>
              <w:ind w:left="2481" w:hanging="2481"/>
              <w:rPr>
                <w:rFonts w:eastAsia="Arial Unicode MS" w:cs="Arial"/>
                <w:sz w:val="18"/>
              </w:rPr>
            </w:pPr>
            <w:r>
              <w:rPr>
                <w:rFonts w:cs="Arial"/>
                <w:sz w:val="18"/>
                <w:szCs w:val="15"/>
              </w:rPr>
              <w:t>Maximalszenario:</w:t>
            </w:r>
            <w:r>
              <w:rPr>
                <w:rFonts w:cs="Arial"/>
                <w:sz w:val="18"/>
                <w:szCs w:val="15"/>
              </w:rPr>
              <w:tab/>
              <w:t>760.000 Mg Kompost pro Jahr (entspricht der landwirtschaftlich verwerteten Kompostmenge)</w:t>
            </w:r>
          </w:p>
        </w:tc>
      </w:tr>
      <w:tr>
        <w:tc>
          <w:tcPr>
            <w:tcW w:w="2055" w:type="dxa"/>
          </w:tcPr>
          <w:p>
            <w:pPr>
              <w:pStyle w:val="GesAbsatz"/>
              <w:rPr>
                <w:rFonts w:eastAsia="Arial Unicode MS" w:cs="Arial"/>
                <w:sz w:val="18"/>
                <w:szCs w:val="24"/>
              </w:rPr>
            </w:pPr>
            <w:r>
              <w:rPr>
                <w:rFonts w:cs="Arial"/>
                <w:sz w:val="18"/>
              </w:rPr>
              <w:t xml:space="preserve">Stickstoff </w:t>
            </w:r>
          </w:p>
        </w:tc>
        <w:tc>
          <w:tcPr>
            <w:tcW w:w="7723" w:type="dxa"/>
          </w:tcPr>
          <w:p>
            <w:pPr>
              <w:pStyle w:val="GesAbsatz"/>
              <w:rPr>
                <w:rFonts w:eastAsia="Arial Unicode MS" w:cs="Arial"/>
                <w:sz w:val="18"/>
                <w:szCs w:val="24"/>
              </w:rPr>
            </w:pPr>
            <w:r>
              <w:rPr>
                <w:rFonts w:cs="Arial"/>
                <w:sz w:val="18"/>
                <w:szCs w:val="15"/>
              </w:rPr>
              <w:t>Bei den Kompostmengen des Minimalszenarios treten Überschreitungen im Aggregat Stadt und Kreis Aachen sowie im Kreis Borken, dem Oberbergischen Kreis und dem Kreis Siegen- Wittgenstein auf. Bei den Kompostmengen des Maximalszenarios tritt zusätzlich eine Überschreitung beim Aggregat der Städte Bochum, Hagen, Herne mit dem Ennepe-Ruhr-Kreis auf. Insgesamt sind die Unterschiede unterhalb der Grenzfracht von 170 kg/ha*a allerdings nur graduell.</w:t>
            </w:r>
          </w:p>
        </w:tc>
      </w:tr>
      <w:tr>
        <w:tc>
          <w:tcPr>
            <w:tcW w:w="2055" w:type="dxa"/>
          </w:tcPr>
          <w:p>
            <w:pPr>
              <w:pStyle w:val="GesAbsatz"/>
              <w:rPr>
                <w:rFonts w:eastAsia="Arial Unicode MS" w:cs="Arial"/>
                <w:sz w:val="18"/>
                <w:szCs w:val="24"/>
              </w:rPr>
            </w:pPr>
            <w:r>
              <w:rPr>
                <w:rFonts w:cs="Arial"/>
                <w:sz w:val="18"/>
              </w:rPr>
              <w:t xml:space="preserve">Phosphat </w:t>
            </w:r>
          </w:p>
        </w:tc>
        <w:tc>
          <w:tcPr>
            <w:tcW w:w="7723" w:type="dxa"/>
          </w:tcPr>
          <w:p>
            <w:pPr>
              <w:pStyle w:val="GesAbsatz"/>
              <w:rPr>
                <w:rFonts w:eastAsia="Arial Unicode MS" w:cs="Arial"/>
                <w:sz w:val="18"/>
                <w:szCs w:val="24"/>
              </w:rPr>
            </w:pPr>
            <w:r>
              <w:rPr>
                <w:rFonts w:cs="Arial"/>
                <w:sz w:val="18"/>
                <w:szCs w:val="15"/>
              </w:rPr>
              <w:t>In den meisten Kreisen liegen bereits derzeit Überschreitungen vor. Bei der Kompostmenge des Minimalszenarios gibt es 8 Kreise bzw. Aggregate ohne Überschreitungen. Dies sind die Kreise Düren, Euskirchen, Höxter, Lippe und Neuss, der Erftkreis sowie das Aggregat Stadt Bielefeld mit dem Kreis Herford und das Aggregat der Städte Köln und Leverkusen mit dem Rheinisch-Bergischen Kreis. Beim Maximalszenario der Kompostmengen treten dann auch im Aggregat der Städte Köln, Stadt Leverkusen mit dem Rheinisch-Bergischen Kreis und dem Kreis Neuss Überschreitungen auf, so dass bei diesem Mengenszenario nur 5 Kreise und 1 Aggregat die Grenzfracht nicht überschreiten.</w:t>
            </w:r>
          </w:p>
        </w:tc>
      </w:tr>
      <w:tr>
        <w:tc>
          <w:tcPr>
            <w:tcW w:w="2055" w:type="dxa"/>
          </w:tcPr>
          <w:p>
            <w:pPr>
              <w:pStyle w:val="GesAbsatz"/>
              <w:rPr>
                <w:rFonts w:eastAsia="Arial Unicode MS" w:cs="Arial"/>
                <w:sz w:val="18"/>
                <w:szCs w:val="24"/>
              </w:rPr>
            </w:pPr>
            <w:r>
              <w:rPr>
                <w:rFonts w:cs="Arial"/>
                <w:sz w:val="18"/>
              </w:rPr>
              <w:t xml:space="preserve">Cadmium </w:t>
            </w:r>
          </w:p>
        </w:tc>
        <w:tc>
          <w:tcPr>
            <w:tcW w:w="7723" w:type="dxa"/>
          </w:tcPr>
          <w:p>
            <w:pPr>
              <w:pStyle w:val="GesAbsatz"/>
              <w:rPr>
                <w:rFonts w:eastAsia="Arial Unicode MS" w:cs="Arial"/>
                <w:sz w:val="18"/>
                <w:szCs w:val="24"/>
              </w:rPr>
            </w:pPr>
            <w:r>
              <w:rPr>
                <w:rFonts w:cs="Arial"/>
                <w:sz w:val="18"/>
                <w:szCs w:val="15"/>
              </w:rPr>
              <w:t>Die Verwertung der maximalen Kompostmenge in der Landwirtschaft führt in keinem Kreis bzw. Aggregat zu einer Überschreitung der Grenzfracht.</w:t>
            </w:r>
          </w:p>
        </w:tc>
      </w:tr>
      <w:tr>
        <w:tc>
          <w:tcPr>
            <w:tcW w:w="2055" w:type="dxa"/>
          </w:tcPr>
          <w:p>
            <w:pPr>
              <w:pStyle w:val="GesAbsatz"/>
              <w:rPr>
                <w:rFonts w:eastAsia="Arial Unicode MS" w:cs="Arial"/>
                <w:sz w:val="18"/>
                <w:szCs w:val="24"/>
              </w:rPr>
            </w:pPr>
            <w:r>
              <w:rPr>
                <w:rFonts w:cs="Arial"/>
                <w:sz w:val="18"/>
              </w:rPr>
              <w:t xml:space="preserve">Kupfer </w:t>
            </w:r>
          </w:p>
        </w:tc>
        <w:tc>
          <w:tcPr>
            <w:tcW w:w="7723" w:type="dxa"/>
          </w:tcPr>
          <w:p>
            <w:pPr>
              <w:pStyle w:val="GesAbsatz"/>
              <w:rPr>
                <w:rFonts w:eastAsia="Arial Unicode MS" w:cs="Arial"/>
                <w:sz w:val="18"/>
                <w:szCs w:val="24"/>
              </w:rPr>
            </w:pPr>
            <w:r>
              <w:rPr>
                <w:rFonts w:cs="Arial"/>
                <w:sz w:val="18"/>
                <w:szCs w:val="15"/>
              </w:rPr>
              <w:t>Die Grenzfracht von 700 g pro Hektar und Jahr ist schon derzeit in den Kreisen Borken, Coesfeld, Steinfurt und dem Aggregat Stadt Münster mit dem Kreis Warendorf überschritten. Die Verwertung der Kompostmengen des Minimalszenarios führt dann zusätzlich im Oberbergischen Kreis zu einer Überschreitung der zulässigen Frachten. Beim Maximalszenario ergeben sich gegenüber dem Minimalszenario keine Veränderungen.</w:t>
            </w:r>
          </w:p>
        </w:tc>
      </w:tr>
      <w:tr>
        <w:tc>
          <w:tcPr>
            <w:tcW w:w="2055" w:type="dxa"/>
          </w:tcPr>
          <w:p>
            <w:pPr>
              <w:pStyle w:val="GesAbsatz"/>
              <w:rPr>
                <w:rFonts w:eastAsia="Arial Unicode MS" w:cs="Arial"/>
                <w:sz w:val="18"/>
                <w:szCs w:val="24"/>
              </w:rPr>
            </w:pPr>
            <w:r>
              <w:rPr>
                <w:rFonts w:cs="Arial"/>
                <w:sz w:val="18"/>
              </w:rPr>
              <w:t xml:space="preserve">Blei </w:t>
            </w:r>
          </w:p>
        </w:tc>
        <w:tc>
          <w:tcPr>
            <w:tcW w:w="7723" w:type="dxa"/>
            <w:vAlign w:val="bottom"/>
          </w:tcPr>
          <w:p>
            <w:pPr>
              <w:pStyle w:val="GesAbsatz"/>
              <w:rPr>
                <w:rFonts w:eastAsia="Arial Unicode MS" w:cs="Arial"/>
                <w:sz w:val="18"/>
                <w:szCs w:val="24"/>
              </w:rPr>
            </w:pPr>
            <w:r>
              <w:rPr>
                <w:rFonts w:cs="Arial"/>
                <w:sz w:val="18"/>
                <w:szCs w:val="15"/>
              </w:rPr>
              <w:t>Die Verwertung der maximalen Kompostmenge in der Landwirtschaft führt in keinem Kreis bzw. Aggregat zu einer Überschreitung der Grenzfracht.</w:t>
            </w:r>
          </w:p>
        </w:tc>
      </w:tr>
      <w:tr>
        <w:tc>
          <w:tcPr>
            <w:tcW w:w="2055" w:type="dxa"/>
          </w:tcPr>
          <w:p>
            <w:pPr>
              <w:pStyle w:val="GesAbsatz"/>
              <w:rPr>
                <w:rFonts w:eastAsia="Arial Unicode MS" w:cs="Arial"/>
                <w:sz w:val="18"/>
                <w:szCs w:val="24"/>
              </w:rPr>
            </w:pPr>
            <w:r>
              <w:rPr>
                <w:rFonts w:cs="Arial"/>
                <w:sz w:val="18"/>
              </w:rPr>
              <w:t xml:space="preserve">Zink </w:t>
            </w:r>
          </w:p>
        </w:tc>
        <w:tc>
          <w:tcPr>
            <w:tcW w:w="7723" w:type="dxa"/>
            <w:vAlign w:val="center"/>
          </w:tcPr>
          <w:p>
            <w:pPr>
              <w:pStyle w:val="GesAbsatz"/>
              <w:rPr>
                <w:rFonts w:eastAsia="Arial Unicode MS" w:cs="Arial"/>
                <w:sz w:val="18"/>
                <w:szCs w:val="24"/>
              </w:rPr>
            </w:pPr>
            <w:r>
              <w:rPr>
                <w:rFonts w:cs="Arial"/>
                <w:sz w:val="18"/>
                <w:szCs w:val="15"/>
              </w:rPr>
              <w:t>Bei den Kompostmengen des Minimalszenarios wird die Grenzfracht von 3.000 g pro Hektar und Jahr in keinem Kreis und Aggregat überschritten. Bei den Kompostmengen des Maximalszenarios tritt eine Überschreitung im Oberbergischen Kreis ein.</w:t>
            </w:r>
          </w:p>
        </w:tc>
      </w:tr>
    </w:tbl>
    <w:p>
      <w:pPr>
        <w:pStyle w:val="GesAbsatz"/>
        <w:rPr>
          <w:rFonts w:eastAsia="Arial Unicode MS" w:cs="Arial"/>
        </w:rPr>
      </w:pPr>
    </w:p>
    <w:p>
      <w:pPr>
        <w:pStyle w:val="GesAbsatz"/>
        <w:rPr>
          <w:rFonts w:eastAsia="Arial Unicode MS" w:cs="Arial"/>
        </w:rPr>
      </w:pPr>
      <w:r>
        <w:rPr>
          <w:rFonts w:cs="Arial"/>
        </w:rPr>
        <w:t>Die Annahme des stagnierenden Absatzes in nicht-landwirtschaftliche Bereiche auf dem derzeitigen Niveau bewirkt trotz nennenswert sinkender Kompostmengen in der Landwirtschaft kaum Unterschiede im Vergleich zu Variante 1. Der Einfluss der Wirtschaftsdünger überlagert den Unterschied der zusätzlich landwirtschaftlich verwerteten Kompostmengen.</w:t>
      </w:r>
    </w:p>
    <w:p>
      <w:pPr>
        <w:pStyle w:val="GesAbsatz"/>
        <w:rPr>
          <w:rFonts w:eastAsia="Arial Unicode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6"/>
        <w:gridCol w:w="7612"/>
      </w:tblGrid>
      <w:tr>
        <w:tc>
          <w:tcPr>
            <w:tcW w:w="2055" w:type="dxa"/>
          </w:tcPr>
          <w:p>
            <w:pPr>
              <w:pStyle w:val="GesAbsatz"/>
              <w:rPr>
                <w:rFonts w:eastAsia="Arial Unicode MS" w:cs="Arial"/>
                <w:sz w:val="18"/>
                <w:szCs w:val="24"/>
                <w:lang w:val="it-IT"/>
              </w:rPr>
            </w:pPr>
            <w:r>
              <w:rPr>
                <w:rFonts w:cs="Arial"/>
                <w:b/>
                <w:bCs/>
                <w:sz w:val="18"/>
                <w:lang w:val="it-IT"/>
              </w:rPr>
              <w:t xml:space="preserve">Variante 3a </w:t>
            </w:r>
          </w:p>
        </w:tc>
        <w:tc>
          <w:tcPr>
            <w:tcW w:w="7723" w:type="dxa"/>
          </w:tcPr>
          <w:p>
            <w:pPr>
              <w:pStyle w:val="GesAbsatz"/>
              <w:rPr>
                <w:rFonts w:eastAsia="Arial Unicode MS" w:cs="Arial"/>
                <w:sz w:val="18"/>
                <w:szCs w:val="24"/>
                <w:lang w:val="it-IT"/>
              </w:rPr>
            </w:pPr>
            <w:r>
              <w:rPr>
                <w:rFonts w:cs="Arial"/>
                <w:b/>
                <w:bCs/>
                <w:sz w:val="18"/>
                <w:lang w:val="it-IT"/>
              </w:rPr>
              <w:t>Minimalszenario Kompostmengen</w:t>
            </w:r>
          </w:p>
        </w:tc>
      </w:tr>
      <w:tr>
        <w:tc>
          <w:tcPr>
            <w:tcW w:w="2055" w:type="dxa"/>
          </w:tcPr>
          <w:p>
            <w:pPr>
              <w:pStyle w:val="GesAbsatz"/>
              <w:rPr>
                <w:rFonts w:cs="Arial"/>
                <w:b/>
                <w:bCs/>
                <w:sz w:val="18"/>
              </w:rPr>
            </w:pPr>
            <w:r>
              <w:rPr>
                <w:rFonts w:cs="Arial"/>
                <w:sz w:val="18"/>
              </w:rPr>
              <w:t>Annahmen</w:t>
            </w:r>
          </w:p>
        </w:tc>
        <w:tc>
          <w:tcPr>
            <w:tcW w:w="7723" w:type="dxa"/>
          </w:tcPr>
          <w:p>
            <w:pPr>
              <w:pStyle w:val="GesAbsatz"/>
              <w:rPr>
                <w:rFonts w:cs="Arial"/>
                <w:sz w:val="18"/>
                <w:szCs w:val="15"/>
              </w:rPr>
            </w:pPr>
            <w:r>
              <w:rPr>
                <w:rFonts w:cs="Arial"/>
                <w:sz w:val="18"/>
                <w:szCs w:val="15"/>
              </w:rPr>
              <w:t>Moderate Steigerung der Kompostmengen, die in außerlandwirtschaftlichen Anwendungsbereichen verwertet werden.</w:t>
            </w:r>
          </w:p>
          <w:p>
            <w:pPr>
              <w:pStyle w:val="GesAbsatz"/>
              <w:tabs>
                <w:tab w:val="clear" w:pos="425"/>
                <w:tab w:val="left" w:pos="2481"/>
              </w:tabs>
              <w:ind w:left="2481" w:hanging="2481"/>
              <w:rPr>
                <w:rFonts w:cs="Arial"/>
                <w:b/>
                <w:bCs/>
                <w:sz w:val="18"/>
              </w:rPr>
            </w:pPr>
            <w:r>
              <w:rPr>
                <w:rFonts w:cs="Arial"/>
                <w:sz w:val="18"/>
                <w:szCs w:val="15"/>
              </w:rPr>
              <w:t>Gesamtmenge 1997:</w:t>
            </w:r>
            <w:r>
              <w:rPr>
                <w:rFonts w:cs="Arial"/>
                <w:sz w:val="18"/>
                <w:szCs w:val="15"/>
              </w:rPr>
              <w:tab/>
              <w:t>rd. 599.000 Mg Kompost; davon wurden 260.000 Mg Kompost landwirtschaftlich verwertet.</w:t>
            </w:r>
          </w:p>
        </w:tc>
      </w:tr>
      <w:tr>
        <w:tc>
          <w:tcPr>
            <w:tcW w:w="2055" w:type="dxa"/>
          </w:tcPr>
          <w:p>
            <w:pPr>
              <w:pStyle w:val="GesAbsatz"/>
              <w:rPr>
                <w:rFonts w:eastAsia="Arial Unicode MS" w:cs="Arial"/>
                <w:sz w:val="18"/>
                <w:szCs w:val="24"/>
              </w:rPr>
            </w:pPr>
            <w:r>
              <w:rPr>
                <w:rFonts w:cs="Arial"/>
                <w:sz w:val="18"/>
              </w:rPr>
              <w:t xml:space="preserve">Stickstoff </w:t>
            </w:r>
          </w:p>
        </w:tc>
        <w:tc>
          <w:tcPr>
            <w:tcW w:w="7723" w:type="dxa"/>
          </w:tcPr>
          <w:p>
            <w:pPr>
              <w:pStyle w:val="GesAbsatz"/>
              <w:rPr>
                <w:rFonts w:eastAsia="Arial Unicode MS" w:cs="Arial"/>
                <w:sz w:val="18"/>
                <w:szCs w:val="24"/>
              </w:rPr>
            </w:pPr>
            <w:r>
              <w:rPr>
                <w:rFonts w:cs="Arial"/>
                <w:sz w:val="18"/>
                <w:szCs w:val="15"/>
              </w:rPr>
              <w:t>Bei der Ist-Situation gibt es bereits Überschreitungen im Kreis Borken und dem Oberbergischen Kreis. Gegenüber der bestehenden Situation ergeben sich keine Überschreitungen.</w:t>
            </w:r>
          </w:p>
        </w:tc>
      </w:tr>
      <w:tr>
        <w:tc>
          <w:tcPr>
            <w:tcW w:w="2055" w:type="dxa"/>
          </w:tcPr>
          <w:p>
            <w:pPr>
              <w:pStyle w:val="GesAbsatz"/>
              <w:rPr>
                <w:rFonts w:eastAsia="Arial Unicode MS" w:cs="Arial"/>
                <w:sz w:val="18"/>
                <w:szCs w:val="24"/>
              </w:rPr>
            </w:pPr>
            <w:r>
              <w:rPr>
                <w:rFonts w:cs="Arial"/>
                <w:sz w:val="18"/>
              </w:rPr>
              <w:t xml:space="preserve">Phosphat </w:t>
            </w:r>
          </w:p>
        </w:tc>
        <w:tc>
          <w:tcPr>
            <w:tcW w:w="7723" w:type="dxa"/>
          </w:tcPr>
          <w:p>
            <w:pPr>
              <w:pStyle w:val="GesAbsatz"/>
              <w:rPr>
                <w:rFonts w:eastAsia="Arial Unicode MS" w:cs="Arial"/>
                <w:sz w:val="18"/>
                <w:szCs w:val="24"/>
              </w:rPr>
            </w:pPr>
            <w:r>
              <w:rPr>
                <w:rFonts w:cs="Arial"/>
                <w:sz w:val="18"/>
                <w:szCs w:val="15"/>
              </w:rPr>
              <w:t xml:space="preserve">In den meisten Kreisen liegen bereits derzeit Überschreitungen vor. </w:t>
            </w:r>
            <w:r>
              <w:rPr>
                <w:rFonts w:cs="Arial"/>
                <w:sz w:val="18"/>
                <w:szCs w:val="15"/>
              </w:rPr>
              <w:br/>
              <w:t xml:space="preserve">Bei der Kompostmenge des Minimalszenarios wird es 8 Kreise bzw. Aggregate ohne Überschreitungen geben. Dies sind die Kreise Düren, Euskirchen, Höxter, Lippe und Neuss, der Erftkreis sowie das Aggregat Stadt Bielefeld mit dem Kreis Herford und das Aggregat der Städte Köln und Leverkusen mit dem Rheinisch-Bergischen Kreis. </w:t>
            </w:r>
          </w:p>
        </w:tc>
      </w:tr>
      <w:tr>
        <w:tc>
          <w:tcPr>
            <w:tcW w:w="2055" w:type="dxa"/>
          </w:tcPr>
          <w:p>
            <w:pPr>
              <w:pStyle w:val="GesAbsatz"/>
              <w:rPr>
                <w:rFonts w:eastAsia="Arial Unicode MS" w:cs="Arial"/>
                <w:sz w:val="18"/>
                <w:szCs w:val="24"/>
              </w:rPr>
            </w:pPr>
            <w:r>
              <w:rPr>
                <w:rFonts w:cs="Arial"/>
                <w:sz w:val="18"/>
              </w:rPr>
              <w:t xml:space="preserve">Cadmium </w:t>
            </w:r>
          </w:p>
        </w:tc>
        <w:tc>
          <w:tcPr>
            <w:tcW w:w="7723" w:type="dxa"/>
          </w:tcPr>
          <w:p>
            <w:pPr>
              <w:pStyle w:val="GesAbsatz"/>
              <w:rPr>
                <w:rFonts w:eastAsia="Arial Unicode MS" w:cs="Arial"/>
                <w:sz w:val="18"/>
                <w:szCs w:val="24"/>
              </w:rPr>
            </w:pPr>
            <w:r>
              <w:rPr>
                <w:rFonts w:cs="Arial"/>
                <w:sz w:val="18"/>
                <w:szCs w:val="15"/>
              </w:rPr>
              <w:t>Die Verwertung der Kompostmenge dieser Variante in der Landwirtschaft führt in keinem Kreis bzw. Aggregat zu einer Überschreitung der Grenzfracht.</w:t>
            </w:r>
          </w:p>
        </w:tc>
      </w:tr>
      <w:tr>
        <w:tc>
          <w:tcPr>
            <w:tcW w:w="2055" w:type="dxa"/>
          </w:tcPr>
          <w:p>
            <w:pPr>
              <w:pStyle w:val="GesAbsatz"/>
              <w:rPr>
                <w:rFonts w:eastAsia="Arial Unicode MS" w:cs="Arial"/>
                <w:sz w:val="18"/>
                <w:szCs w:val="24"/>
              </w:rPr>
            </w:pPr>
            <w:r>
              <w:rPr>
                <w:rFonts w:cs="Arial"/>
                <w:sz w:val="18"/>
              </w:rPr>
              <w:t xml:space="preserve">Kupfer </w:t>
            </w:r>
          </w:p>
        </w:tc>
        <w:tc>
          <w:tcPr>
            <w:tcW w:w="7723" w:type="dxa"/>
          </w:tcPr>
          <w:p>
            <w:pPr>
              <w:pStyle w:val="GesAbsatz"/>
              <w:rPr>
                <w:rFonts w:eastAsia="Arial Unicode MS" w:cs="Arial"/>
                <w:sz w:val="18"/>
                <w:szCs w:val="24"/>
              </w:rPr>
            </w:pPr>
            <w:r>
              <w:rPr>
                <w:rFonts w:cs="Arial"/>
                <w:sz w:val="18"/>
                <w:szCs w:val="15"/>
              </w:rPr>
              <w:t>Die Grenzfracht von 700 g pro Hektar und Jahr wird bereits heute in den Kreisen Borken, Coesfeld, Steinfurt und dem Aggregat Stadt Münster mit dem Kreis Warendorf überschritten. Gegenüber der bestehenden Situation ergeben sich keine Überschreitungen.</w:t>
            </w:r>
          </w:p>
        </w:tc>
      </w:tr>
      <w:tr>
        <w:tc>
          <w:tcPr>
            <w:tcW w:w="2055" w:type="dxa"/>
          </w:tcPr>
          <w:p>
            <w:pPr>
              <w:pStyle w:val="GesAbsatz"/>
              <w:rPr>
                <w:rFonts w:eastAsia="Arial Unicode MS" w:cs="Arial"/>
                <w:sz w:val="18"/>
                <w:szCs w:val="24"/>
              </w:rPr>
            </w:pPr>
            <w:r>
              <w:rPr>
                <w:rFonts w:cs="Arial"/>
                <w:sz w:val="18"/>
              </w:rPr>
              <w:t xml:space="preserve">Blei </w:t>
            </w:r>
          </w:p>
        </w:tc>
        <w:tc>
          <w:tcPr>
            <w:tcW w:w="7723" w:type="dxa"/>
            <w:vAlign w:val="bottom"/>
          </w:tcPr>
          <w:p>
            <w:pPr>
              <w:pStyle w:val="GesAbsatz"/>
              <w:rPr>
                <w:rFonts w:eastAsia="Arial Unicode MS" w:cs="Arial"/>
                <w:sz w:val="18"/>
                <w:szCs w:val="24"/>
              </w:rPr>
            </w:pPr>
            <w:r>
              <w:rPr>
                <w:rFonts w:cs="Arial"/>
                <w:sz w:val="18"/>
                <w:szCs w:val="15"/>
              </w:rPr>
              <w:t>Die Verwertung der Kompostmenge dieser Variante in der Landwirtschaft führt in keinem Kreis bzw. Aggregat zu einer Überschreitung der Grenzfracht.</w:t>
            </w:r>
          </w:p>
        </w:tc>
      </w:tr>
      <w:tr>
        <w:tc>
          <w:tcPr>
            <w:tcW w:w="2055" w:type="dxa"/>
          </w:tcPr>
          <w:p>
            <w:pPr>
              <w:pStyle w:val="GesAbsatz"/>
              <w:rPr>
                <w:rFonts w:eastAsia="Arial Unicode MS" w:cs="Arial"/>
                <w:sz w:val="18"/>
                <w:szCs w:val="24"/>
              </w:rPr>
            </w:pPr>
            <w:r>
              <w:rPr>
                <w:rFonts w:cs="Arial"/>
                <w:sz w:val="18"/>
              </w:rPr>
              <w:t xml:space="preserve">Zink </w:t>
            </w:r>
          </w:p>
        </w:tc>
        <w:tc>
          <w:tcPr>
            <w:tcW w:w="7723" w:type="dxa"/>
            <w:vAlign w:val="center"/>
          </w:tcPr>
          <w:p>
            <w:pPr>
              <w:pStyle w:val="GesAbsatz"/>
              <w:rPr>
                <w:rFonts w:eastAsia="Arial Unicode MS" w:cs="Arial"/>
                <w:sz w:val="18"/>
                <w:szCs w:val="24"/>
              </w:rPr>
            </w:pPr>
            <w:r>
              <w:rPr>
                <w:rFonts w:cs="Arial"/>
                <w:sz w:val="18"/>
                <w:szCs w:val="15"/>
              </w:rPr>
              <w:t>Bei der landwirtschaftlichen Verwertung der Kompostmenge dieser Variante wird die Grenzfracht von 3.000 g pro Hektar und Jahr in keinem Kreis und Aggregat überschritten.</w:t>
            </w:r>
          </w:p>
        </w:tc>
      </w:tr>
    </w:tbl>
    <w:p>
      <w:pPr>
        <w:pStyle w:val="GesAbsatz"/>
        <w:rPr>
          <w:rFonts w:eastAsia="Arial Unicode MS" w:cs="Arial"/>
        </w:rPr>
      </w:pPr>
    </w:p>
    <w:p>
      <w:pPr>
        <w:pStyle w:val="GesAbsatz"/>
        <w:rPr>
          <w:rFonts w:cs="Arial"/>
        </w:rPr>
      </w:pPr>
      <w:r>
        <w:rPr>
          <w:rFonts w:cs="Arial"/>
        </w:rPr>
        <w:t>Variante 3a ist die Variante, bei der der geringste Anteil der prognostizierten Kompostmengen landwirtschaftlich verwertet wird. Der Kompostabsatz in die nicht-landwirtschaftlichen Verwertungsbereiche könnte – gegenüber den zu Grunde gelegten Annahmen – noch gesteigert werden. Wenn dies der Fall ist, hat die landwirtschaftliche Verwertung von Kompost sowohl bei der Überdüngung als auch in Bezug auf den Eintrag von Schwermetallen gegenüber den Wirtschaftsdüngern praktisch überhaupt keinen Einfluss mehr. Jedoch ist auch in den nicht-landwirtschaftlichen Verwertungsbereichen eine überhöhte Zufuhr von Nährstoffen über den Pflanzenbedarf hinaus zu unterbinden.</w:t>
      </w:r>
    </w:p>
    <w:p>
      <w:pPr>
        <w:pStyle w:val="GesAbsatz"/>
        <w:rPr>
          <w:rFonts w:eastAsia="Arial Unicode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6"/>
        <w:gridCol w:w="7612"/>
      </w:tblGrid>
      <w:tr>
        <w:trPr>
          <w:tblHeader/>
        </w:trPr>
        <w:tc>
          <w:tcPr>
            <w:tcW w:w="2055" w:type="dxa"/>
          </w:tcPr>
          <w:p>
            <w:pPr>
              <w:pStyle w:val="GesAbsatz"/>
              <w:rPr>
                <w:rFonts w:eastAsia="Arial Unicode MS" w:cs="Arial"/>
                <w:sz w:val="18"/>
              </w:rPr>
            </w:pPr>
            <w:r>
              <w:rPr>
                <w:rFonts w:cs="Arial"/>
                <w:b/>
                <w:bCs/>
                <w:sz w:val="18"/>
              </w:rPr>
              <w:t>Variante 3b</w:t>
            </w:r>
          </w:p>
        </w:tc>
        <w:tc>
          <w:tcPr>
            <w:tcW w:w="7723" w:type="dxa"/>
          </w:tcPr>
          <w:p>
            <w:pPr>
              <w:pStyle w:val="GesAbsatz"/>
              <w:rPr>
                <w:rFonts w:eastAsia="Arial Unicode MS" w:cs="Arial"/>
                <w:sz w:val="18"/>
              </w:rPr>
            </w:pPr>
            <w:r>
              <w:rPr>
                <w:rFonts w:cs="Arial"/>
                <w:b/>
                <w:bCs/>
                <w:sz w:val="18"/>
              </w:rPr>
              <w:t>Maximalszenario Kompostmengen</w:t>
            </w:r>
          </w:p>
        </w:tc>
      </w:tr>
      <w:tr>
        <w:tc>
          <w:tcPr>
            <w:tcW w:w="2055" w:type="dxa"/>
          </w:tcPr>
          <w:p>
            <w:pPr>
              <w:pStyle w:val="GesAbsatz"/>
              <w:rPr>
                <w:rFonts w:eastAsia="Arial Unicode MS" w:cs="Arial"/>
                <w:sz w:val="18"/>
              </w:rPr>
            </w:pPr>
            <w:r>
              <w:rPr>
                <w:rFonts w:cs="Arial"/>
                <w:sz w:val="18"/>
              </w:rPr>
              <w:t>Annahmen</w:t>
            </w:r>
          </w:p>
        </w:tc>
        <w:tc>
          <w:tcPr>
            <w:tcW w:w="7723" w:type="dxa"/>
          </w:tcPr>
          <w:p>
            <w:pPr>
              <w:pStyle w:val="GesAbsatz"/>
              <w:rPr>
                <w:rFonts w:cs="Arial"/>
                <w:sz w:val="18"/>
                <w:szCs w:val="15"/>
              </w:rPr>
            </w:pPr>
            <w:r>
              <w:rPr>
                <w:rFonts w:cs="Arial"/>
                <w:sz w:val="18"/>
                <w:szCs w:val="15"/>
              </w:rPr>
              <w:t>Die Verwertung der Kompostmengen erfolgt unter Ausnutzung der maximalen Steigerung in den nicht-landwirtschaftlichen Bereichen.</w:t>
            </w:r>
          </w:p>
          <w:p>
            <w:pPr>
              <w:pStyle w:val="GesAbsatz"/>
              <w:tabs>
                <w:tab w:val="clear" w:pos="425"/>
                <w:tab w:val="left" w:pos="2481"/>
              </w:tabs>
              <w:ind w:left="2481" w:hanging="2481"/>
              <w:rPr>
                <w:rFonts w:cs="Arial"/>
                <w:sz w:val="18"/>
                <w:szCs w:val="15"/>
              </w:rPr>
            </w:pPr>
            <w:r>
              <w:rPr>
                <w:rFonts w:cs="Arial"/>
                <w:sz w:val="18"/>
                <w:szCs w:val="15"/>
              </w:rPr>
              <w:t>Gesamtmenge 1997:</w:t>
            </w:r>
            <w:r>
              <w:rPr>
                <w:rFonts w:cs="Arial"/>
                <w:sz w:val="18"/>
                <w:szCs w:val="15"/>
              </w:rPr>
              <w:tab/>
              <w:t>rd. 599.000 Mg Kompost; davon wurden 260.000 Mg Kompost landwirtschaftlich verwertet.</w:t>
            </w:r>
          </w:p>
          <w:p>
            <w:pPr>
              <w:pStyle w:val="GesAbsatz"/>
              <w:rPr>
                <w:rFonts w:eastAsia="Arial Unicode MS" w:cs="Arial"/>
                <w:sz w:val="18"/>
              </w:rPr>
            </w:pPr>
            <w:r>
              <w:rPr>
                <w:rFonts w:cs="Arial"/>
                <w:sz w:val="18"/>
                <w:szCs w:val="15"/>
              </w:rPr>
              <w:t>Kompostverwertung Landwirtschaft nach Variante 3b: 400.000 Mg/ha*a</w:t>
            </w:r>
          </w:p>
        </w:tc>
      </w:tr>
      <w:tr>
        <w:tc>
          <w:tcPr>
            <w:tcW w:w="2055" w:type="dxa"/>
          </w:tcPr>
          <w:p>
            <w:pPr>
              <w:pStyle w:val="GesAbsatz"/>
              <w:rPr>
                <w:rFonts w:eastAsia="Arial Unicode MS" w:cs="Arial"/>
                <w:sz w:val="18"/>
                <w:szCs w:val="24"/>
              </w:rPr>
            </w:pPr>
            <w:r>
              <w:rPr>
                <w:rFonts w:cs="Arial"/>
                <w:sz w:val="18"/>
              </w:rPr>
              <w:t xml:space="preserve">Stickstoff </w:t>
            </w:r>
          </w:p>
        </w:tc>
        <w:tc>
          <w:tcPr>
            <w:tcW w:w="7723" w:type="dxa"/>
          </w:tcPr>
          <w:p>
            <w:pPr>
              <w:pStyle w:val="GesAbsatz"/>
              <w:rPr>
                <w:rFonts w:eastAsia="Arial Unicode MS" w:cs="Arial"/>
                <w:sz w:val="18"/>
                <w:szCs w:val="24"/>
              </w:rPr>
            </w:pPr>
            <w:r>
              <w:rPr>
                <w:rFonts w:cs="Arial"/>
                <w:sz w:val="18"/>
                <w:szCs w:val="15"/>
              </w:rPr>
              <w:t>Bei der Ist-Situation gibt es Überschreitungen im Kreis Borken und im Oberbergischen Kreis. Gegenüber der bestehenden Situation gibt es keine weiteren Überschreitungen.</w:t>
            </w:r>
          </w:p>
        </w:tc>
      </w:tr>
      <w:tr>
        <w:tc>
          <w:tcPr>
            <w:tcW w:w="2055" w:type="dxa"/>
          </w:tcPr>
          <w:p>
            <w:pPr>
              <w:pStyle w:val="GesAbsatz"/>
              <w:rPr>
                <w:rFonts w:eastAsia="Arial Unicode MS" w:cs="Arial"/>
                <w:sz w:val="18"/>
                <w:szCs w:val="24"/>
              </w:rPr>
            </w:pPr>
            <w:r>
              <w:rPr>
                <w:rFonts w:cs="Arial"/>
                <w:sz w:val="18"/>
              </w:rPr>
              <w:t xml:space="preserve">Phosphat </w:t>
            </w:r>
          </w:p>
        </w:tc>
        <w:tc>
          <w:tcPr>
            <w:tcW w:w="7723" w:type="dxa"/>
          </w:tcPr>
          <w:p>
            <w:pPr>
              <w:pStyle w:val="GesAbsatz"/>
              <w:rPr>
                <w:rFonts w:eastAsia="Arial Unicode MS" w:cs="Arial"/>
                <w:sz w:val="18"/>
                <w:szCs w:val="24"/>
              </w:rPr>
            </w:pPr>
            <w:r>
              <w:rPr>
                <w:rFonts w:cs="Arial"/>
                <w:sz w:val="18"/>
                <w:szCs w:val="15"/>
              </w:rPr>
              <w:t xml:space="preserve">In den meisten Kreisen liegen bereits derzeit Überschreitungen vor. </w:t>
            </w:r>
            <w:r>
              <w:rPr>
                <w:rFonts w:cs="Arial"/>
                <w:sz w:val="18"/>
                <w:szCs w:val="15"/>
              </w:rPr>
              <w:br/>
              <w:t xml:space="preserve">Bei der Kompostmenge der Variante 3b, die auf dem Maximalszenario beruht, wird es noch 8 Kreise bzw. Aggregate ohne Überschreitungen geben. Dies sind die Kreise Düren, Euskirchen, Höxter, Lippe und Neuss, der Erftkreis sowie das Aggregat Stadt Bielefeld mit dem Kreis Herford und das Aggregat der Städte Köln und Leverkusen mit dem Rheinisch-Bergischen Kreis. </w:t>
            </w:r>
          </w:p>
        </w:tc>
      </w:tr>
      <w:tr>
        <w:tc>
          <w:tcPr>
            <w:tcW w:w="2055" w:type="dxa"/>
          </w:tcPr>
          <w:p>
            <w:pPr>
              <w:pStyle w:val="GesAbsatz"/>
              <w:rPr>
                <w:rFonts w:eastAsia="Arial Unicode MS" w:cs="Arial"/>
                <w:sz w:val="18"/>
                <w:szCs w:val="24"/>
              </w:rPr>
            </w:pPr>
            <w:r>
              <w:rPr>
                <w:rFonts w:cs="Arial"/>
                <w:sz w:val="18"/>
              </w:rPr>
              <w:t xml:space="preserve">Cadmium </w:t>
            </w:r>
          </w:p>
        </w:tc>
        <w:tc>
          <w:tcPr>
            <w:tcW w:w="7723" w:type="dxa"/>
          </w:tcPr>
          <w:p>
            <w:pPr>
              <w:pStyle w:val="GesAbsatz"/>
              <w:rPr>
                <w:rFonts w:eastAsia="Arial Unicode MS" w:cs="Arial"/>
                <w:sz w:val="18"/>
                <w:szCs w:val="24"/>
              </w:rPr>
            </w:pPr>
            <w:r>
              <w:rPr>
                <w:rFonts w:cs="Arial"/>
                <w:sz w:val="18"/>
                <w:szCs w:val="15"/>
              </w:rPr>
              <w:t>Die Verwertung der maximalen Kompostmenge in der Landwirtschaft führt in keinem Kreis bzw. Aggregat zu einer Überschreitung der Grenzfracht.</w:t>
            </w:r>
          </w:p>
        </w:tc>
      </w:tr>
      <w:tr>
        <w:tc>
          <w:tcPr>
            <w:tcW w:w="2055" w:type="dxa"/>
          </w:tcPr>
          <w:p>
            <w:pPr>
              <w:pStyle w:val="GesAbsatz"/>
              <w:rPr>
                <w:rFonts w:eastAsia="Arial Unicode MS" w:cs="Arial"/>
                <w:sz w:val="18"/>
                <w:szCs w:val="24"/>
              </w:rPr>
            </w:pPr>
            <w:r>
              <w:rPr>
                <w:rFonts w:cs="Arial"/>
                <w:sz w:val="18"/>
              </w:rPr>
              <w:lastRenderedPageBreak/>
              <w:t xml:space="preserve">Kupfer </w:t>
            </w:r>
          </w:p>
        </w:tc>
        <w:tc>
          <w:tcPr>
            <w:tcW w:w="7723" w:type="dxa"/>
          </w:tcPr>
          <w:p>
            <w:pPr>
              <w:pStyle w:val="GesAbsatz"/>
              <w:rPr>
                <w:rFonts w:eastAsia="Arial Unicode MS" w:cs="Arial"/>
                <w:sz w:val="18"/>
                <w:szCs w:val="24"/>
              </w:rPr>
            </w:pPr>
            <w:r>
              <w:rPr>
                <w:rFonts w:cs="Arial"/>
                <w:sz w:val="18"/>
                <w:szCs w:val="15"/>
              </w:rPr>
              <w:t>Die Grenzfracht von 700 g pro Hektar und Jahr wird schon derzeit in den Kreisen Borken, Coesfeld, Steinfurt und dem Aggregat Stadt Münster mit dem Kreis Warendorf überschritten. Gegenüber der bestehenden Situation ergeben sich keine Überschreitungen.</w:t>
            </w:r>
          </w:p>
        </w:tc>
      </w:tr>
      <w:tr>
        <w:tc>
          <w:tcPr>
            <w:tcW w:w="2055" w:type="dxa"/>
          </w:tcPr>
          <w:p>
            <w:pPr>
              <w:pStyle w:val="GesAbsatz"/>
              <w:rPr>
                <w:rFonts w:eastAsia="Arial Unicode MS" w:cs="Arial"/>
                <w:sz w:val="18"/>
                <w:szCs w:val="24"/>
              </w:rPr>
            </w:pPr>
            <w:r>
              <w:rPr>
                <w:rFonts w:cs="Arial"/>
                <w:sz w:val="18"/>
              </w:rPr>
              <w:t xml:space="preserve">Blei </w:t>
            </w:r>
          </w:p>
        </w:tc>
        <w:tc>
          <w:tcPr>
            <w:tcW w:w="7723" w:type="dxa"/>
            <w:vAlign w:val="bottom"/>
          </w:tcPr>
          <w:p>
            <w:pPr>
              <w:pStyle w:val="GesAbsatz"/>
              <w:rPr>
                <w:rFonts w:eastAsia="Arial Unicode MS" w:cs="Arial"/>
                <w:sz w:val="18"/>
                <w:szCs w:val="24"/>
              </w:rPr>
            </w:pPr>
            <w:r>
              <w:rPr>
                <w:rFonts w:cs="Arial"/>
                <w:sz w:val="18"/>
                <w:szCs w:val="15"/>
              </w:rPr>
              <w:t>Die Verwertung der maximalen Kompostmenge in der Landwirtschaft führt in keinem Kreis bzw. Aggregat zu einer Überschreitung der Grenzfracht.</w:t>
            </w:r>
          </w:p>
        </w:tc>
      </w:tr>
      <w:tr>
        <w:tc>
          <w:tcPr>
            <w:tcW w:w="2055" w:type="dxa"/>
          </w:tcPr>
          <w:p>
            <w:pPr>
              <w:pStyle w:val="GesAbsatz"/>
              <w:rPr>
                <w:rFonts w:eastAsia="Arial Unicode MS" w:cs="Arial"/>
                <w:sz w:val="18"/>
                <w:szCs w:val="24"/>
              </w:rPr>
            </w:pPr>
            <w:r>
              <w:rPr>
                <w:rFonts w:cs="Arial"/>
                <w:sz w:val="18"/>
              </w:rPr>
              <w:t xml:space="preserve">Zink </w:t>
            </w:r>
          </w:p>
        </w:tc>
        <w:tc>
          <w:tcPr>
            <w:tcW w:w="7723" w:type="dxa"/>
            <w:vAlign w:val="center"/>
          </w:tcPr>
          <w:p>
            <w:pPr>
              <w:pStyle w:val="GesAbsatz"/>
              <w:rPr>
                <w:rFonts w:eastAsia="Arial Unicode MS" w:cs="Arial"/>
                <w:sz w:val="18"/>
                <w:szCs w:val="24"/>
              </w:rPr>
            </w:pPr>
            <w:r>
              <w:rPr>
                <w:rFonts w:cs="Arial"/>
                <w:sz w:val="18"/>
                <w:szCs w:val="15"/>
              </w:rPr>
              <w:t>Bei der landwirtschaftlichen Verwertung der maximalen Kompostmengen kommt es in keinem Kreis und Aggregat zu einer Überschreitung der Grenzfracht von 3.000 g pro Hektar und Jahr.</w:t>
            </w:r>
          </w:p>
        </w:tc>
      </w:tr>
    </w:tbl>
    <w:p>
      <w:pPr>
        <w:pStyle w:val="GesAbsatz"/>
        <w:rPr>
          <w:rFonts w:eastAsia="Arial Unicode MS" w:cs="Arial"/>
        </w:rPr>
      </w:pPr>
    </w:p>
    <w:p>
      <w:pPr>
        <w:pStyle w:val="GesAbsatz"/>
        <w:rPr>
          <w:rFonts w:eastAsia="Arial Unicode MS" w:cs="Arial"/>
        </w:rPr>
      </w:pPr>
      <w:r>
        <w:rPr>
          <w:rFonts w:cs="Arial"/>
        </w:rPr>
        <w:t>In Variante 3b wurde die maximale Kompostmenge in nicht-landwirtschaftlichen Anwendungsbereichen berücksichtigt. Inwieweit eine solche Steigerung möglich ist, bedarf einer Überprüfung vor dem Hintergrund der Vorgaben der gerade in Kraft getretenen BBodSchV. Im Vergleich zu Variante 3a sind die Kompostmengen, die nach Variante 3b der landwirtschaftlichen Verwertung zugeführt werden, mehr als doppelt so groß. Trotzdem ist festzustellen, dass gegenüber der Variante 3a in Bezug auf die Nährstoff- und Schwermetalleinträge keine weiteren Überschreitungen hinzugekommen sind.</w:t>
      </w:r>
    </w:p>
    <w:p>
      <w:pPr>
        <w:pStyle w:val="berschrift3"/>
        <w:jc w:val="left"/>
        <w:rPr>
          <w:rFonts w:eastAsia="Arial Unicode MS"/>
        </w:rPr>
      </w:pPr>
      <w:bookmarkStart w:id="23" w:name="_Toc45599511"/>
      <w:r>
        <w:t>6.3 Schlussfolgerungen</w:t>
      </w:r>
      <w:bookmarkEnd w:id="23"/>
    </w:p>
    <w:p>
      <w:pPr>
        <w:pStyle w:val="GesAbsatz"/>
        <w:rPr>
          <w:rFonts w:eastAsia="Arial Unicode MS" w:cs="Arial"/>
        </w:rPr>
      </w:pPr>
      <w:r>
        <w:rPr>
          <w:rFonts w:cs="Arial"/>
        </w:rPr>
        <w:t>In Nordrhein-Westfalen wird die Situation der zukünftigen landwirtschaftlichen Verwertung von Bioabfallkomposten wesentlich durch die bestehende Situation der Aufbringung großer Mengen an Wirtschaftsdüngern auf die landwirtschaftlichen Flächen geprägt.</w:t>
      </w:r>
    </w:p>
    <w:p>
      <w:pPr>
        <w:pStyle w:val="GesAbsatz"/>
        <w:rPr>
          <w:rFonts w:cs="Arial"/>
        </w:rPr>
      </w:pPr>
      <w:r>
        <w:rPr>
          <w:rFonts w:cs="Arial"/>
        </w:rPr>
        <w:t>Die Definition der Düngung nach Bedarf der Pflanzen und dem Versorgungszustand der Böden als „Gute fachliche Praxis“ im Düngerecht restringiert vor allem die Aufbringung an Phosphat erheblich, da die Böden in der Vergangenheit aufgedüngt wurden. Diese Definition wird zunehmend in Beratung und Praxis angewandt und wurde deshalb auch in dieser Studie umgesetzt. Als Folge zeigt sich, dass die Phosphatfrachten und zum Teil auch die Kupferfrachten pro Hektar jetzt schon – und entsprechend ohne die Berücksichtigung der Kompostmengen – in den meisten Kreisen Nordrhein-Westfalens überschritten sind. Der wichtigste Grund für die bestehende Situation ist die Viehhaltung.</w:t>
      </w:r>
    </w:p>
    <w:p>
      <w:pPr>
        <w:pStyle w:val="GesAbsatz"/>
        <w:rPr>
          <w:rFonts w:eastAsia="Arial Unicode MS" w:cs="Arial"/>
        </w:rPr>
      </w:pPr>
      <w:r>
        <w:rPr>
          <w:rFonts w:cs="Arial"/>
        </w:rPr>
        <w:t>Ein wesentlicher Schwerpunkt dieser Untersuchung wurde deshalb auf die Betrachtung der landwirtschaftlichen Flächen gelegt, da diese Flächen in Nordrhein-Westfalen besonders sensibel gegenüber weiteren Einträgen von Phosphat, Kupfer und zum Teil auch Zink sind. Die Analyse der bestehenden Situation zeigte, dass weite Teile der landwirtschaftlichen Fläche Nordrhein-Westfalens schon jetzt keine weiteren organischen Dünger mehr aufnehmen können.</w:t>
      </w:r>
    </w:p>
    <w:p>
      <w:pPr>
        <w:pStyle w:val="GesAbsatz"/>
        <w:rPr>
          <w:rFonts w:eastAsia="Arial Unicode MS" w:cs="Arial"/>
        </w:rPr>
      </w:pPr>
      <w:r>
        <w:rPr>
          <w:rFonts w:cs="Arial"/>
        </w:rPr>
        <w:t>Bei den zuvor erläuterten Varianten der Verteilung der zukünftigen Kompostmengen auf den Verwertungsweg Landwirtschaft wurde von einer absoluten Gleichverteilung der organischen Dünger auf alle jeweils geeigneten Flächen eines Gebietes ausgegangen, da eine Einbeziehung der einzelnen landwirtschaftlichen Betriebe nicht möglich war. Die Belastungen der tatsächlich mit Wirtschaftsdüngern beaufschlagten Flächen sind also im konkreten Fall oft größer als es in dieser Studie dargestellt ist. Im Gegenzug besteht wiederum in den Kreisen, die eine durchschnittliche Phosphatüberschreitung aufweisen, die Möglichkeit, dass es auch dort Flächen gibt, auf denen Kompost nutzbringend und rechtskonform landwirtschaftlich verwertet werden kann. In der Praxis ist dies in einigen viehstarken Kreisen des Münsterlandes der Fall.</w:t>
      </w:r>
    </w:p>
    <w:p>
      <w:pPr>
        <w:pStyle w:val="GesAbsatz"/>
        <w:rPr>
          <w:rFonts w:cs="Arial"/>
        </w:rPr>
      </w:pPr>
      <w:r>
        <w:rPr>
          <w:rFonts w:cs="Arial"/>
        </w:rPr>
        <w:t>Bei den Schwermetallen Blei und Cadmium sind auf sorptionsschwachen Böden Überschreitungen der Bodenwerte zu befürchten. Bei Kupfer und zum Teil auch bei Zink ist der Eintrag durch die Wirtschaftsdünger jedoch so hoch, dass Überlegungen zur Problemlösung notwendig werden.</w:t>
      </w:r>
    </w:p>
    <w:p>
      <w:pPr>
        <w:pStyle w:val="GesAbsatz"/>
        <w:rPr>
          <w:rFonts w:eastAsia="Arial Unicode MS" w:cs="Arial"/>
        </w:rPr>
      </w:pPr>
      <w:r>
        <w:rPr>
          <w:rFonts w:cs="Arial"/>
        </w:rPr>
        <w:t>Trotz dieser teils schwierigen Randbedingungen ist die flächendeckende Sammlung und Verwertung von Bio- und Grünabfällen sinnvoll. Die Flächenressourcen sind ausreichend, um auch die nach dem Maximalszenario jährlich anfallenden 1,1 Millionen Mg an Kompost sachgerecht aufnehmen zu können.</w:t>
      </w:r>
    </w:p>
    <w:p>
      <w:pPr>
        <w:pStyle w:val="GesAbsatz"/>
        <w:rPr>
          <w:rFonts w:cs="Arial"/>
        </w:rPr>
      </w:pPr>
      <w:r>
        <w:rPr>
          <w:rFonts w:cs="Arial"/>
        </w:rPr>
        <w:t>Auch beim Kompost sind weitere Anstrengungen zur Reduzierung von Schadstoffeinträgen über die verschiedenen Inputmaterialien erforderlich. Soweit die Ursachen auf diffuse Einträge zurückzuführen sind, müssen ggf. auch bestimmte Ausgangsstoffe (z. B. Grünschnitt oder Straßenlaub aus immissionsbelasteten Gebieten) aus der Kompostierung ausgeschlossen werden.</w:t>
      </w:r>
    </w:p>
    <w:p>
      <w:pPr>
        <w:pStyle w:val="GesAbsatz"/>
        <w:rPr>
          <w:rFonts w:eastAsia="Arial Unicode MS" w:cs="Arial"/>
          <w:szCs w:val="24"/>
        </w:rPr>
      </w:pPr>
      <w:r>
        <w:rPr>
          <w:rFonts w:cs="Arial"/>
        </w:rPr>
        <w:t>In Tabelle 33 ist für die Verwertung von jährlich 400.000 Mg an Kompost in der Landwirtschaft dargestellt, wie sich die Aufbringung von Kompost im Verhältnis zur Aufbringung von Wirtschaftsdüngern und Klärschlamm bezogen auf die Phosphateinträge auswirkt.</w:t>
      </w:r>
    </w:p>
    <w:p>
      <w:pPr>
        <w:pStyle w:val="GesAbsatz"/>
        <w:rPr>
          <w:rFonts w:cs="Arial"/>
        </w:rPr>
      </w:pPr>
      <w:r>
        <w:rPr>
          <w:rFonts w:cs="Arial"/>
        </w:rPr>
        <w:t xml:space="preserve">Bei der landwirtschaftlichen Verwertung wurden in Tabelle 33 nur die Kreise berücksichtigt, die nach Aufbringen von Wirtschaftsdüngern und Klärschlamm noch keine Überschreitung der zulässigen Phosphatfrachten </w:t>
      </w:r>
      <w:r>
        <w:rPr>
          <w:rFonts w:cs="Arial"/>
        </w:rPr>
        <w:lastRenderedPageBreak/>
        <w:t>aufweisen. Bei diesen Kreisen wurden wiederum jeweils nur die Kompostmengen angesetzt, die nicht zu einer Gesamtüberschreitung führen. Die Vorgehensweise ist in Tabelle XIV im Anhang erläutert.</w:t>
      </w:r>
    </w:p>
    <w:p>
      <w:pPr>
        <w:pStyle w:val="GesAbsatz"/>
        <w:rPr>
          <w:rFonts w:eastAsia="Arial Unicode MS" w:cs="Arial"/>
          <w:szCs w:val="24"/>
        </w:rPr>
      </w:pPr>
      <w:r>
        <w:rPr>
          <w:rFonts w:cs="Arial"/>
        </w:rPr>
        <w:t>Von den Kreisen und Aggregaten, die noch Kompost aufnehmen können, wird das Aufnahmepotenzial in den Kreisen Höxter, Düren, Neuss, im Kreis Siegen-Wittgenstein sowie im Aggregat Stadt Bielefeld mit dem Kreis Herford und im Aggregat der Stadt Bonn mit dem Rhein-Sieg Kreis nahezu voll ausgeschöpft. In den Kreisen Euskirchen und Lippe, dem Erftkreis und im Aggregat der Städte Köln, Leverkusen mit dem Rheinisch-Bergischen Kreis sind noch deutliche Reserven zu verzeichnen.</w:t>
      </w:r>
    </w:p>
    <w:p>
      <w:pPr>
        <w:pStyle w:val="GesAbsatz"/>
        <w:rPr>
          <w:rFonts w:eastAsia="Arial Unicode MS" w:cs="Arial"/>
          <w:szCs w:val="24"/>
        </w:rPr>
      </w:pPr>
    </w:p>
    <w:p>
      <w:pPr>
        <w:pStyle w:val="GesAbsatz"/>
        <w:rPr>
          <w:rFonts w:eastAsia="Arial Unicode MS" w:cs="Arial"/>
          <w:szCs w:val="24"/>
        </w:rPr>
      </w:pPr>
      <w:r>
        <w:rPr>
          <w:rFonts w:cs="Arial"/>
          <w:b/>
          <w:bCs/>
        </w:rPr>
        <w:t>Tabelle 33: Übersicht über die Auswirkungen der Verwertung von Wirtschafts- und Sekundärrohstoffdüngern gemessen an den Phosphat-Einträgen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5"/>
        <w:gridCol w:w="1955"/>
        <w:gridCol w:w="1956"/>
        <w:gridCol w:w="2001"/>
        <w:gridCol w:w="1911"/>
      </w:tblGrid>
      <w:tr>
        <w:trPr>
          <w:cantSplit/>
          <w:tblHeader/>
        </w:trPr>
        <w:tc>
          <w:tcPr>
            <w:tcW w:w="1955" w:type="dxa"/>
          </w:tcPr>
          <w:p>
            <w:pPr>
              <w:pStyle w:val="GesAbsatz"/>
              <w:jc w:val="center"/>
              <w:rPr>
                <w:rFonts w:eastAsia="Arial Unicode MS" w:cs="Arial"/>
                <w:sz w:val="18"/>
                <w:szCs w:val="24"/>
              </w:rPr>
            </w:pPr>
            <w:r>
              <w:rPr>
                <w:rFonts w:cs="Arial"/>
                <w:b/>
                <w:bCs/>
                <w:sz w:val="18"/>
              </w:rPr>
              <w:t>Kreise/Aggregate</w:t>
            </w:r>
          </w:p>
        </w:tc>
        <w:tc>
          <w:tcPr>
            <w:tcW w:w="5912" w:type="dxa"/>
            <w:gridSpan w:val="3"/>
          </w:tcPr>
          <w:p>
            <w:pPr>
              <w:pStyle w:val="GesAbsatz"/>
              <w:jc w:val="center"/>
              <w:rPr>
                <w:rFonts w:eastAsia="Arial Unicode MS" w:cs="Arial"/>
                <w:sz w:val="18"/>
                <w:szCs w:val="24"/>
              </w:rPr>
            </w:pPr>
            <w:r>
              <w:rPr>
                <w:rFonts w:cs="Arial"/>
                <w:b/>
                <w:bCs/>
                <w:sz w:val="18"/>
              </w:rPr>
              <w:t>P</w:t>
            </w:r>
            <w:r>
              <w:rPr>
                <w:rFonts w:cs="Arial"/>
                <w:b/>
                <w:bCs/>
                <w:sz w:val="18"/>
                <w:vertAlign w:val="subscript"/>
              </w:rPr>
              <w:t>2</w:t>
            </w:r>
            <w:r>
              <w:rPr>
                <w:rFonts w:cs="Arial"/>
                <w:b/>
                <w:bCs/>
                <w:sz w:val="18"/>
              </w:rPr>
              <w:t>O</w:t>
            </w:r>
            <w:r>
              <w:rPr>
                <w:rFonts w:cs="Arial"/>
                <w:b/>
                <w:bCs/>
                <w:sz w:val="18"/>
                <w:vertAlign w:val="subscript"/>
              </w:rPr>
              <w:t>5</w:t>
            </w:r>
            <w:r>
              <w:rPr>
                <w:rFonts w:cs="Arial"/>
                <w:b/>
                <w:bCs/>
                <w:sz w:val="18"/>
              </w:rPr>
              <w:t>-Einträge (AF) in % der „zulässigen“ Düngung</w:t>
            </w:r>
            <w:r>
              <w:rPr>
                <w:rFonts w:cs="Arial"/>
                <w:b/>
                <w:bCs/>
                <w:sz w:val="18"/>
                <w:vertAlign w:val="superscript"/>
              </w:rPr>
              <w:t>1</w:t>
            </w:r>
          </w:p>
        </w:tc>
        <w:tc>
          <w:tcPr>
            <w:tcW w:w="1911" w:type="dxa"/>
            <w:vMerge w:val="restart"/>
          </w:tcPr>
          <w:p>
            <w:pPr>
              <w:pStyle w:val="GesAbsatz"/>
              <w:spacing w:before="240"/>
              <w:jc w:val="center"/>
              <w:rPr>
                <w:rFonts w:eastAsia="Arial Unicode MS" w:cs="Arial"/>
                <w:sz w:val="18"/>
                <w:szCs w:val="24"/>
              </w:rPr>
            </w:pPr>
            <w:r>
              <w:rPr>
                <w:rFonts w:cs="Arial"/>
                <w:b/>
                <w:bCs/>
                <w:sz w:val="18"/>
              </w:rPr>
              <w:t>Veränderung durch Kompost in Prozent</w:t>
            </w:r>
          </w:p>
        </w:tc>
      </w:tr>
      <w:tr>
        <w:trPr>
          <w:cantSplit/>
          <w:tblHeader/>
        </w:trPr>
        <w:tc>
          <w:tcPr>
            <w:tcW w:w="1955" w:type="dxa"/>
          </w:tcPr>
          <w:p>
            <w:pPr>
              <w:pStyle w:val="GesAbsatz"/>
              <w:rPr>
                <w:rFonts w:eastAsia="Arial Unicode MS" w:cs="Arial"/>
                <w:sz w:val="18"/>
                <w:szCs w:val="24"/>
              </w:rPr>
            </w:pPr>
          </w:p>
        </w:tc>
        <w:tc>
          <w:tcPr>
            <w:tcW w:w="1955" w:type="dxa"/>
          </w:tcPr>
          <w:p>
            <w:pPr>
              <w:pStyle w:val="GesAbsatz"/>
              <w:jc w:val="center"/>
              <w:rPr>
                <w:rFonts w:eastAsia="Arial Unicode MS" w:cs="Arial"/>
                <w:sz w:val="18"/>
                <w:szCs w:val="24"/>
              </w:rPr>
            </w:pPr>
            <w:r>
              <w:rPr>
                <w:rFonts w:cs="Arial"/>
                <w:b/>
                <w:bCs/>
                <w:sz w:val="18"/>
              </w:rPr>
              <w:t>aus Wirtschaftsdünger</w:t>
            </w:r>
          </w:p>
        </w:tc>
        <w:tc>
          <w:tcPr>
            <w:tcW w:w="1956" w:type="dxa"/>
          </w:tcPr>
          <w:p>
            <w:pPr>
              <w:pStyle w:val="GesAbsatz"/>
              <w:jc w:val="center"/>
              <w:rPr>
                <w:rFonts w:eastAsia="Arial Unicode MS" w:cs="Arial"/>
                <w:sz w:val="18"/>
                <w:szCs w:val="24"/>
              </w:rPr>
            </w:pPr>
            <w:r>
              <w:rPr>
                <w:rFonts w:cs="Arial"/>
                <w:b/>
                <w:bCs/>
                <w:sz w:val="18"/>
              </w:rPr>
              <w:t>aus Wirtschaftsdünger und Klärschlamm</w:t>
            </w:r>
          </w:p>
        </w:tc>
        <w:tc>
          <w:tcPr>
            <w:tcW w:w="2001" w:type="dxa"/>
          </w:tcPr>
          <w:p>
            <w:pPr>
              <w:pStyle w:val="GesAbsatz"/>
              <w:jc w:val="center"/>
              <w:rPr>
                <w:rFonts w:eastAsia="Arial Unicode MS" w:cs="Arial"/>
                <w:sz w:val="18"/>
                <w:szCs w:val="24"/>
              </w:rPr>
            </w:pPr>
            <w:r>
              <w:rPr>
                <w:rFonts w:cs="Arial"/>
                <w:b/>
                <w:bCs/>
                <w:sz w:val="18"/>
              </w:rPr>
              <w:t>aus Wirtschaftsdünger, Klärschlamm und Kompost</w:t>
            </w:r>
            <w:r>
              <w:rPr>
                <w:rFonts w:cs="Arial"/>
                <w:b/>
                <w:bCs/>
                <w:sz w:val="18"/>
                <w:vertAlign w:val="superscript"/>
              </w:rPr>
              <w:t>2</w:t>
            </w:r>
          </w:p>
        </w:tc>
        <w:tc>
          <w:tcPr>
            <w:tcW w:w="1911" w:type="dxa"/>
            <w:vMerge/>
          </w:tcPr>
          <w:p>
            <w:pPr>
              <w:pStyle w:val="GesAbsatz"/>
              <w:rPr>
                <w:rFonts w:eastAsia="Arial Unicode MS" w:cs="Arial"/>
                <w:sz w:val="18"/>
                <w:szCs w:val="24"/>
              </w:rPr>
            </w:pPr>
          </w:p>
        </w:tc>
      </w:tr>
      <w:tr>
        <w:trPr>
          <w:cantSplit/>
        </w:trPr>
        <w:tc>
          <w:tcPr>
            <w:tcW w:w="1955" w:type="dxa"/>
          </w:tcPr>
          <w:p>
            <w:pPr>
              <w:pStyle w:val="GesAbsatz"/>
              <w:rPr>
                <w:rFonts w:eastAsia="Arial Unicode MS" w:cs="Arial"/>
                <w:sz w:val="18"/>
                <w:szCs w:val="24"/>
              </w:rPr>
            </w:pPr>
            <w:r>
              <w:rPr>
                <w:rFonts w:cs="Arial"/>
                <w:b/>
                <w:bCs/>
                <w:sz w:val="18"/>
              </w:rPr>
              <w:t>Regierungsbezirk Arnsberg</w:t>
            </w:r>
          </w:p>
        </w:tc>
        <w:tc>
          <w:tcPr>
            <w:tcW w:w="1955" w:type="dxa"/>
          </w:tcPr>
          <w:p>
            <w:pPr>
              <w:pStyle w:val="GesAbsatz"/>
              <w:rPr>
                <w:rFonts w:cs="Arial"/>
                <w:b/>
                <w:bCs/>
                <w:sz w:val="18"/>
              </w:rPr>
            </w:pPr>
          </w:p>
        </w:tc>
        <w:tc>
          <w:tcPr>
            <w:tcW w:w="1956" w:type="dxa"/>
          </w:tcPr>
          <w:p>
            <w:pPr>
              <w:pStyle w:val="GesAbsatz"/>
              <w:rPr>
                <w:rFonts w:cs="Arial"/>
                <w:b/>
                <w:bCs/>
                <w:sz w:val="18"/>
              </w:rPr>
            </w:pPr>
          </w:p>
        </w:tc>
        <w:tc>
          <w:tcPr>
            <w:tcW w:w="2001" w:type="dxa"/>
          </w:tcPr>
          <w:p>
            <w:pPr>
              <w:pStyle w:val="GesAbsatz"/>
              <w:rPr>
                <w:rFonts w:cs="Arial"/>
                <w:b/>
                <w:bCs/>
                <w:sz w:val="18"/>
              </w:rPr>
            </w:pPr>
          </w:p>
        </w:tc>
        <w:tc>
          <w:tcPr>
            <w:tcW w:w="1911" w:type="dxa"/>
          </w:tcPr>
          <w:p>
            <w:pPr>
              <w:pStyle w:val="GesAbsatz"/>
              <w:rPr>
                <w:rFonts w:eastAsia="Arial Unicode MS" w:cs="Arial"/>
                <w:sz w:val="18"/>
                <w:szCs w:val="24"/>
              </w:rPr>
            </w:pPr>
          </w:p>
        </w:tc>
      </w:tr>
      <w:tr>
        <w:trPr>
          <w:cantSplit/>
        </w:trPr>
        <w:tc>
          <w:tcPr>
            <w:tcW w:w="1955" w:type="dxa"/>
            <w:vAlign w:val="center"/>
          </w:tcPr>
          <w:p>
            <w:pPr>
              <w:pStyle w:val="GesAbsatz"/>
              <w:rPr>
                <w:rFonts w:eastAsia="Arial Unicode MS" w:cs="Arial"/>
                <w:sz w:val="18"/>
                <w:szCs w:val="24"/>
              </w:rPr>
            </w:pPr>
            <w:r>
              <w:rPr>
                <w:rFonts w:cs="Arial"/>
                <w:sz w:val="18"/>
                <w:szCs w:val="15"/>
              </w:rPr>
              <w:t>Aggregat der kreisfreien Städte Bochum, Hagen und Herne und des Ennepe-Ruhr-Kreises</w:t>
            </w:r>
          </w:p>
        </w:tc>
        <w:tc>
          <w:tcPr>
            <w:tcW w:w="1955" w:type="dxa"/>
          </w:tcPr>
          <w:p>
            <w:pPr>
              <w:pStyle w:val="GesAbsatz"/>
              <w:tabs>
                <w:tab w:val="clear" w:pos="425"/>
                <w:tab w:val="decimal" w:pos="1022"/>
              </w:tabs>
              <w:rPr>
                <w:rFonts w:eastAsia="Arial Unicode MS" w:cs="Arial"/>
                <w:sz w:val="18"/>
                <w:szCs w:val="24"/>
              </w:rPr>
            </w:pPr>
            <w:r>
              <w:rPr>
                <w:rFonts w:cs="Arial"/>
                <w:sz w:val="18"/>
              </w:rPr>
              <w:t>102,6</w:t>
            </w:r>
          </w:p>
        </w:tc>
        <w:tc>
          <w:tcPr>
            <w:tcW w:w="1956" w:type="dxa"/>
          </w:tcPr>
          <w:p>
            <w:pPr>
              <w:pStyle w:val="GesAbsatz"/>
              <w:tabs>
                <w:tab w:val="clear" w:pos="425"/>
                <w:tab w:val="decimal" w:pos="1022"/>
              </w:tabs>
              <w:rPr>
                <w:rFonts w:eastAsia="Arial Unicode MS" w:cs="Arial"/>
                <w:sz w:val="18"/>
                <w:szCs w:val="24"/>
              </w:rPr>
            </w:pPr>
            <w:r>
              <w:rPr>
                <w:rFonts w:cs="Arial"/>
                <w:sz w:val="18"/>
              </w:rPr>
              <w:t>104,5</w:t>
            </w:r>
          </w:p>
        </w:tc>
        <w:tc>
          <w:tcPr>
            <w:tcW w:w="2001" w:type="dxa"/>
          </w:tcPr>
          <w:p>
            <w:pPr>
              <w:pStyle w:val="GesAbsatz"/>
              <w:tabs>
                <w:tab w:val="clear" w:pos="425"/>
                <w:tab w:val="decimal" w:pos="1022"/>
              </w:tabs>
              <w:rPr>
                <w:rFonts w:eastAsia="Arial Unicode MS" w:cs="Arial"/>
                <w:sz w:val="18"/>
                <w:szCs w:val="24"/>
              </w:rPr>
            </w:pPr>
            <w:r>
              <w:rPr>
                <w:rFonts w:cs="Arial"/>
                <w:sz w:val="18"/>
              </w:rPr>
              <w:t>104,5</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Aggregat der kreisfreien Städte Dortmund und Hamm und des Kreises Unna</w:t>
            </w:r>
          </w:p>
        </w:tc>
        <w:tc>
          <w:tcPr>
            <w:tcW w:w="1955" w:type="dxa"/>
          </w:tcPr>
          <w:p>
            <w:pPr>
              <w:pStyle w:val="GesAbsatz"/>
              <w:tabs>
                <w:tab w:val="clear" w:pos="425"/>
                <w:tab w:val="decimal" w:pos="1022"/>
              </w:tabs>
              <w:rPr>
                <w:rFonts w:eastAsia="Arial Unicode MS" w:cs="Arial"/>
                <w:sz w:val="18"/>
                <w:szCs w:val="24"/>
              </w:rPr>
            </w:pPr>
            <w:r>
              <w:rPr>
                <w:rFonts w:cs="Arial"/>
                <w:sz w:val="18"/>
              </w:rPr>
              <w:t>195,4</w:t>
            </w:r>
          </w:p>
        </w:tc>
        <w:tc>
          <w:tcPr>
            <w:tcW w:w="1956" w:type="dxa"/>
          </w:tcPr>
          <w:p>
            <w:pPr>
              <w:pStyle w:val="GesAbsatz"/>
              <w:tabs>
                <w:tab w:val="clear" w:pos="425"/>
                <w:tab w:val="decimal" w:pos="1022"/>
              </w:tabs>
              <w:rPr>
                <w:rFonts w:eastAsia="Arial Unicode MS" w:cs="Arial"/>
                <w:sz w:val="18"/>
                <w:szCs w:val="24"/>
              </w:rPr>
            </w:pPr>
            <w:r>
              <w:rPr>
                <w:rFonts w:cs="Arial"/>
                <w:sz w:val="18"/>
              </w:rPr>
              <w:t>239,0</w:t>
            </w:r>
          </w:p>
        </w:tc>
        <w:tc>
          <w:tcPr>
            <w:tcW w:w="2001" w:type="dxa"/>
          </w:tcPr>
          <w:p>
            <w:pPr>
              <w:pStyle w:val="GesAbsatz"/>
              <w:tabs>
                <w:tab w:val="clear" w:pos="425"/>
                <w:tab w:val="decimal" w:pos="1022"/>
              </w:tabs>
              <w:rPr>
                <w:rFonts w:eastAsia="Arial Unicode MS" w:cs="Arial"/>
                <w:sz w:val="18"/>
                <w:szCs w:val="24"/>
              </w:rPr>
            </w:pPr>
            <w:r>
              <w:rPr>
                <w:rFonts w:cs="Arial"/>
                <w:sz w:val="18"/>
              </w:rPr>
              <w:t>239,0</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 xml:space="preserve">Hochsauerlandkreis </w:t>
            </w:r>
          </w:p>
        </w:tc>
        <w:tc>
          <w:tcPr>
            <w:tcW w:w="1955" w:type="dxa"/>
          </w:tcPr>
          <w:p>
            <w:pPr>
              <w:pStyle w:val="GesAbsatz"/>
              <w:tabs>
                <w:tab w:val="clear" w:pos="425"/>
                <w:tab w:val="decimal" w:pos="1022"/>
              </w:tabs>
              <w:rPr>
                <w:rFonts w:eastAsia="Arial Unicode MS" w:cs="Arial"/>
                <w:sz w:val="18"/>
                <w:szCs w:val="24"/>
              </w:rPr>
            </w:pPr>
            <w:r>
              <w:rPr>
                <w:rFonts w:cs="Arial"/>
                <w:sz w:val="18"/>
              </w:rPr>
              <w:t>105,8</w:t>
            </w:r>
          </w:p>
        </w:tc>
        <w:tc>
          <w:tcPr>
            <w:tcW w:w="1956" w:type="dxa"/>
          </w:tcPr>
          <w:p>
            <w:pPr>
              <w:pStyle w:val="GesAbsatz"/>
              <w:tabs>
                <w:tab w:val="clear" w:pos="425"/>
                <w:tab w:val="decimal" w:pos="1022"/>
              </w:tabs>
              <w:rPr>
                <w:rFonts w:eastAsia="Arial Unicode MS" w:cs="Arial"/>
                <w:sz w:val="18"/>
                <w:szCs w:val="24"/>
              </w:rPr>
            </w:pPr>
            <w:r>
              <w:rPr>
                <w:rFonts w:cs="Arial"/>
                <w:sz w:val="18"/>
              </w:rPr>
              <w:t>123,5</w:t>
            </w:r>
          </w:p>
        </w:tc>
        <w:tc>
          <w:tcPr>
            <w:tcW w:w="2001" w:type="dxa"/>
          </w:tcPr>
          <w:p>
            <w:pPr>
              <w:pStyle w:val="GesAbsatz"/>
              <w:tabs>
                <w:tab w:val="clear" w:pos="425"/>
                <w:tab w:val="decimal" w:pos="1022"/>
              </w:tabs>
              <w:rPr>
                <w:rFonts w:eastAsia="Arial Unicode MS" w:cs="Arial"/>
                <w:sz w:val="18"/>
                <w:szCs w:val="24"/>
              </w:rPr>
            </w:pPr>
            <w:r>
              <w:rPr>
                <w:rFonts w:cs="Arial"/>
                <w:sz w:val="18"/>
              </w:rPr>
              <w:t>123,5</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Märkischer Kreis</w:t>
            </w:r>
          </w:p>
        </w:tc>
        <w:tc>
          <w:tcPr>
            <w:tcW w:w="1955" w:type="dxa"/>
          </w:tcPr>
          <w:p>
            <w:pPr>
              <w:pStyle w:val="GesAbsatz"/>
              <w:tabs>
                <w:tab w:val="clear" w:pos="425"/>
                <w:tab w:val="decimal" w:pos="1022"/>
              </w:tabs>
              <w:rPr>
                <w:rFonts w:eastAsia="Arial Unicode MS" w:cs="Arial"/>
                <w:sz w:val="18"/>
                <w:szCs w:val="24"/>
              </w:rPr>
            </w:pPr>
            <w:r>
              <w:rPr>
                <w:rFonts w:cs="Arial"/>
                <w:sz w:val="18"/>
              </w:rPr>
              <w:t>113,8</w:t>
            </w:r>
          </w:p>
        </w:tc>
        <w:tc>
          <w:tcPr>
            <w:tcW w:w="1956" w:type="dxa"/>
          </w:tcPr>
          <w:p>
            <w:pPr>
              <w:pStyle w:val="GesAbsatz"/>
              <w:tabs>
                <w:tab w:val="clear" w:pos="425"/>
                <w:tab w:val="decimal" w:pos="1022"/>
              </w:tabs>
              <w:rPr>
                <w:rFonts w:eastAsia="Arial Unicode MS" w:cs="Arial"/>
                <w:sz w:val="18"/>
                <w:szCs w:val="24"/>
              </w:rPr>
            </w:pPr>
            <w:r>
              <w:rPr>
                <w:rFonts w:cs="Arial"/>
                <w:sz w:val="18"/>
              </w:rPr>
              <w:t>113,5</w:t>
            </w:r>
          </w:p>
        </w:tc>
        <w:tc>
          <w:tcPr>
            <w:tcW w:w="2001" w:type="dxa"/>
          </w:tcPr>
          <w:p>
            <w:pPr>
              <w:pStyle w:val="GesAbsatz"/>
              <w:tabs>
                <w:tab w:val="clear" w:pos="425"/>
                <w:tab w:val="decimal" w:pos="1022"/>
              </w:tabs>
              <w:rPr>
                <w:rFonts w:eastAsia="Arial Unicode MS" w:cs="Arial"/>
                <w:sz w:val="18"/>
                <w:szCs w:val="24"/>
              </w:rPr>
            </w:pPr>
            <w:r>
              <w:rPr>
                <w:rFonts w:cs="Arial"/>
                <w:sz w:val="18"/>
              </w:rPr>
              <w:t>113,5</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Kreis Olpe</w:t>
            </w:r>
          </w:p>
        </w:tc>
        <w:tc>
          <w:tcPr>
            <w:tcW w:w="1955" w:type="dxa"/>
          </w:tcPr>
          <w:p>
            <w:pPr>
              <w:pStyle w:val="GesAbsatz"/>
              <w:tabs>
                <w:tab w:val="clear" w:pos="425"/>
                <w:tab w:val="decimal" w:pos="1022"/>
              </w:tabs>
              <w:rPr>
                <w:rFonts w:eastAsia="Arial Unicode MS" w:cs="Arial"/>
                <w:sz w:val="18"/>
                <w:szCs w:val="24"/>
              </w:rPr>
            </w:pPr>
            <w:r>
              <w:rPr>
                <w:rFonts w:cs="Arial"/>
                <w:sz w:val="18"/>
              </w:rPr>
              <w:t>108,3</w:t>
            </w:r>
          </w:p>
        </w:tc>
        <w:tc>
          <w:tcPr>
            <w:tcW w:w="1956" w:type="dxa"/>
          </w:tcPr>
          <w:p>
            <w:pPr>
              <w:pStyle w:val="GesAbsatz"/>
              <w:tabs>
                <w:tab w:val="clear" w:pos="425"/>
                <w:tab w:val="decimal" w:pos="1022"/>
              </w:tabs>
              <w:rPr>
                <w:rFonts w:eastAsia="Arial Unicode MS" w:cs="Arial"/>
                <w:sz w:val="18"/>
                <w:szCs w:val="24"/>
              </w:rPr>
            </w:pPr>
            <w:r>
              <w:rPr>
                <w:rFonts w:cs="Arial"/>
                <w:sz w:val="18"/>
              </w:rPr>
              <w:t>108,3</w:t>
            </w:r>
          </w:p>
        </w:tc>
        <w:tc>
          <w:tcPr>
            <w:tcW w:w="2001" w:type="dxa"/>
          </w:tcPr>
          <w:p>
            <w:pPr>
              <w:pStyle w:val="GesAbsatz"/>
              <w:tabs>
                <w:tab w:val="clear" w:pos="425"/>
                <w:tab w:val="decimal" w:pos="1022"/>
              </w:tabs>
              <w:rPr>
                <w:rFonts w:eastAsia="Arial Unicode MS" w:cs="Arial"/>
                <w:sz w:val="18"/>
                <w:szCs w:val="24"/>
              </w:rPr>
            </w:pPr>
            <w:r>
              <w:rPr>
                <w:rFonts w:cs="Arial"/>
                <w:sz w:val="18"/>
              </w:rPr>
              <w:t>108,3</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Kreis Siegen-Wittgenstein</w:t>
            </w:r>
          </w:p>
        </w:tc>
        <w:tc>
          <w:tcPr>
            <w:tcW w:w="1955" w:type="dxa"/>
          </w:tcPr>
          <w:p>
            <w:pPr>
              <w:pStyle w:val="GesAbsatz"/>
              <w:tabs>
                <w:tab w:val="clear" w:pos="425"/>
                <w:tab w:val="decimal" w:pos="1022"/>
              </w:tabs>
              <w:rPr>
                <w:rFonts w:eastAsia="Arial Unicode MS" w:cs="Arial"/>
                <w:sz w:val="18"/>
                <w:szCs w:val="24"/>
              </w:rPr>
            </w:pPr>
            <w:r>
              <w:rPr>
                <w:rFonts w:cs="Arial"/>
                <w:sz w:val="18"/>
              </w:rPr>
              <w:t>98,7</w:t>
            </w:r>
          </w:p>
        </w:tc>
        <w:tc>
          <w:tcPr>
            <w:tcW w:w="1956" w:type="dxa"/>
          </w:tcPr>
          <w:p>
            <w:pPr>
              <w:pStyle w:val="GesAbsatz"/>
              <w:tabs>
                <w:tab w:val="clear" w:pos="425"/>
                <w:tab w:val="decimal" w:pos="1022"/>
              </w:tabs>
              <w:rPr>
                <w:rFonts w:eastAsia="Arial Unicode MS" w:cs="Arial"/>
                <w:sz w:val="18"/>
                <w:szCs w:val="24"/>
              </w:rPr>
            </w:pPr>
            <w:r>
              <w:rPr>
                <w:rFonts w:cs="Arial"/>
                <w:sz w:val="18"/>
              </w:rPr>
              <w:t>98,7</w:t>
            </w:r>
          </w:p>
        </w:tc>
        <w:tc>
          <w:tcPr>
            <w:tcW w:w="2001" w:type="dxa"/>
          </w:tcPr>
          <w:p>
            <w:pPr>
              <w:pStyle w:val="GesAbsatz"/>
              <w:tabs>
                <w:tab w:val="clear" w:pos="425"/>
                <w:tab w:val="decimal" w:pos="1022"/>
              </w:tabs>
              <w:rPr>
                <w:rFonts w:eastAsia="Arial Unicode MS" w:cs="Arial"/>
                <w:sz w:val="18"/>
                <w:szCs w:val="24"/>
              </w:rPr>
            </w:pPr>
            <w:r>
              <w:rPr>
                <w:rFonts w:cs="Arial"/>
                <w:sz w:val="18"/>
              </w:rPr>
              <w:t>99,8</w:t>
            </w:r>
          </w:p>
        </w:tc>
        <w:tc>
          <w:tcPr>
            <w:tcW w:w="1911" w:type="dxa"/>
          </w:tcPr>
          <w:p>
            <w:pPr>
              <w:pStyle w:val="GesAbsatz"/>
              <w:tabs>
                <w:tab w:val="clear" w:pos="425"/>
                <w:tab w:val="decimal" w:pos="1022"/>
              </w:tabs>
              <w:rPr>
                <w:rFonts w:eastAsia="Arial Unicode MS" w:cs="Arial"/>
                <w:sz w:val="18"/>
                <w:szCs w:val="24"/>
              </w:rPr>
            </w:pPr>
            <w:r>
              <w:rPr>
                <w:rFonts w:cs="Arial"/>
                <w:sz w:val="18"/>
              </w:rPr>
              <w:t>1,1</w:t>
            </w:r>
          </w:p>
        </w:tc>
      </w:tr>
      <w:tr>
        <w:trPr>
          <w:cantSplit/>
        </w:trPr>
        <w:tc>
          <w:tcPr>
            <w:tcW w:w="1955" w:type="dxa"/>
            <w:vAlign w:val="center"/>
          </w:tcPr>
          <w:p>
            <w:pPr>
              <w:pStyle w:val="GesAbsatz"/>
              <w:rPr>
                <w:rFonts w:eastAsia="Arial Unicode MS" w:cs="Arial"/>
                <w:sz w:val="18"/>
                <w:szCs w:val="24"/>
              </w:rPr>
            </w:pPr>
            <w:r>
              <w:rPr>
                <w:rFonts w:cs="Arial"/>
                <w:sz w:val="18"/>
                <w:szCs w:val="15"/>
              </w:rPr>
              <w:t>Kreis Soest</w:t>
            </w:r>
          </w:p>
        </w:tc>
        <w:tc>
          <w:tcPr>
            <w:tcW w:w="1955" w:type="dxa"/>
          </w:tcPr>
          <w:p>
            <w:pPr>
              <w:pStyle w:val="GesAbsatz"/>
              <w:tabs>
                <w:tab w:val="clear" w:pos="425"/>
                <w:tab w:val="decimal" w:pos="1022"/>
              </w:tabs>
              <w:rPr>
                <w:rFonts w:eastAsia="Arial Unicode MS" w:cs="Arial"/>
                <w:sz w:val="18"/>
                <w:szCs w:val="24"/>
              </w:rPr>
            </w:pPr>
            <w:r>
              <w:rPr>
                <w:rFonts w:cs="Arial"/>
                <w:sz w:val="18"/>
              </w:rPr>
              <w:t>97,4</w:t>
            </w:r>
          </w:p>
        </w:tc>
        <w:tc>
          <w:tcPr>
            <w:tcW w:w="1956" w:type="dxa"/>
          </w:tcPr>
          <w:p>
            <w:pPr>
              <w:pStyle w:val="GesAbsatz"/>
              <w:tabs>
                <w:tab w:val="clear" w:pos="425"/>
                <w:tab w:val="decimal" w:pos="1022"/>
              </w:tabs>
              <w:rPr>
                <w:rFonts w:eastAsia="Arial Unicode MS" w:cs="Arial"/>
                <w:sz w:val="18"/>
                <w:szCs w:val="24"/>
              </w:rPr>
            </w:pPr>
            <w:r>
              <w:rPr>
                <w:rFonts w:cs="Arial"/>
                <w:sz w:val="18"/>
              </w:rPr>
              <w:t>109,6</w:t>
            </w:r>
          </w:p>
        </w:tc>
        <w:tc>
          <w:tcPr>
            <w:tcW w:w="2001" w:type="dxa"/>
          </w:tcPr>
          <w:p>
            <w:pPr>
              <w:pStyle w:val="GesAbsatz"/>
              <w:tabs>
                <w:tab w:val="clear" w:pos="425"/>
                <w:tab w:val="decimal" w:pos="1022"/>
              </w:tabs>
              <w:rPr>
                <w:rFonts w:eastAsia="Arial Unicode MS" w:cs="Arial"/>
                <w:sz w:val="18"/>
                <w:szCs w:val="24"/>
              </w:rPr>
            </w:pPr>
            <w:r>
              <w:rPr>
                <w:rFonts w:cs="Arial"/>
                <w:sz w:val="18"/>
              </w:rPr>
              <w:t>109,6</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cs="Arial"/>
                <w:sz w:val="18"/>
                <w:szCs w:val="15"/>
              </w:rPr>
            </w:pPr>
            <w:r>
              <w:rPr>
                <w:rFonts w:cs="Arial"/>
                <w:b/>
                <w:bCs/>
                <w:sz w:val="18"/>
              </w:rPr>
              <w:t>Regierungsbezirk Detmold</w:t>
            </w:r>
          </w:p>
        </w:tc>
        <w:tc>
          <w:tcPr>
            <w:tcW w:w="1955" w:type="dxa"/>
          </w:tcPr>
          <w:p>
            <w:pPr>
              <w:pStyle w:val="GesAbsatz"/>
              <w:tabs>
                <w:tab w:val="clear" w:pos="425"/>
                <w:tab w:val="decimal" w:pos="1022"/>
              </w:tabs>
              <w:rPr>
                <w:rFonts w:cs="Arial"/>
                <w:sz w:val="18"/>
              </w:rPr>
            </w:pPr>
          </w:p>
        </w:tc>
        <w:tc>
          <w:tcPr>
            <w:tcW w:w="1956" w:type="dxa"/>
          </w:tcPr>
          <w:p>
            <w:pPr>
              <w:pStyle w:val="GesAbsatz"/>
              <w:tabs>
                <w:tab w:val="clear" w:pos="425"/>
                <w:tab w:val="decimal" w:pos="1022"/>
              </w:tabs>
              <w:rPr>
                <w:rFonts w:cs="Arial"/>
                <w:sz w:val="18"/>
              </w:rPr>
            </w:pPr>
          </w:p>
        </w:tc>
        <w:tc>
          <w:tcPr>
            <w:tcW w:w="2001" w:type="dxa"/>
          </w:tcPr>
          <w:p>
            <w:pPr>
              <w:pStyle w:val="GesAbsatz"/>
              <w:tabs>
                <w:tab w:val="clear" w:pos="425"/>
                <w:tab w:val="decimal" w:pos="1022"/>
              </w:tabs>
              <w:rPr>
                <w:rFonts w:cs="Arial"/>
                <w:sz w:val="18"/>
              </w:rPr>
            </w:pPr>
          </w:p>
        </w:tc>
        <w:tc>
          <w:tcPr>
            <w:tcW w:w="1911" w:type="dxa"/>
          </w:tcPr>
          <w:p>
            <w:pPr>
              <w:pStyle w:val="GesAbsatz"/>
              <w:tabs>
                <w:tab w:val="clear" w:pos="425"/>
                <w:tab w:val="decimal" w:pos="1022"/>
              </w:tabs>
              <w:rPr>
                <w:rFonts w:cs="Arial"/>
                <w:sz w:val="18"/>
              </w:rPr>
            </w:pPr>
          </w:p>
        </w:tc>
      </w:tr>
      <w:tr>
        <w:trPr>
          <w:cantSplit/>
        </w:trPr>
        <w:tc>
          <w:tcPr>
            <w:tcW w:w="1955" w:type="dxa"/>
            <w:vAlign w:val="center"/>
          </w:tcPr>
          <w:p>
            <w:pPr>
              <w:pStyle w:val="GesAbsatz"/>
              <w:rPr>
                <w:rFonts w:eastAsia="Arial Unicode MS" w:cs="Arial"/>
                <w:sz w:val="18"/>
                <w:szCs w:val="24"/>
              </w:rPr>
            </w:pPr>
            <w:r>
              <w:rPr>
                <w:rFonts w:cs="Arial"/>
                <w:sz w:val="18"/>
                <w:szCs w:val="15"/>
              </w:rPr>
              <w:t>Aggregat der kreisfreien Stadt Bielefeld und des Kreises Herford</w:t>
            </w:r>
          </w:p>
        </w:tc>
        <w:tc>
          <w:tcPr>
            <w:tcW w:w="1955" w:type="dxa"/>
          </w:tcPr>
          <w:p>
            <w:pPr>
              <w:pStyle w:val="GesAbsatz"/>
              <w:tabs>
                <w:tab w:val="clear" w:pos="425"/>
                <w:tab w:val="decimal" w:pos="1022"/>
              </w:tabs>
              <w:rPr>
                <w:rFonts w:eastAsia="Arial Unicode MS" w:cs="Arial"/>
                <w:sz w:val="18"/>
                <w:szCs w:val="24"/>
              </w:rPr>
            </w:pPr>
            <w:r>
              <w:rPr>
                <w:rFonts w:cs="Arial"/>
                <w:sz w:val="18"/>
              </w:rPr>
              <w:t>71,4</w:t>
            </w:r>
          </w:p>
        </w:tc>
        <w:tc>
          <w:tcPr>
            <w:tcW w:w="1956" w:type="dxa"/>
          </w:tcPr>
          <w:p>
            <w:pPr>
              <w:pStyle w:val="GesAbsatz"/>
              <w:tabs>
                <w:tab w:val="clear" w:pos="425"/>
                <w:tab w:val="decimal" w:pos="1022"/>
              </w:tabs>
              <w:rPr>
                <w:rFonts w:eastAsia="Arial Unicode MS" w:cs="Arial"/>
                <w:sz w:val="18"/>
                <w:szCs w:val="24"/>
              </w:rPr>
            </w:pPr>
            <w:r>
              <w:rPr>
                <w:rFonts w:cs="Arial"/>
                <w:sz w:val="18"/>
              </w:rPr>
              <w:t>86,8</w:t>
            </w:r>
          </w:p>
        </w:tc>
        <w:tc>
          <w:tcPr>
            <w:tcW w:w="2001" w:type="dxa"/>
          </w:tcPr>
          <w:p>
            <w:pPr>
              <w:pStyle w:val="GesAbsatz"/>
              <w:tabs>
                <w:tab w:val="clear" w:pos="425"/>
                <w:tab w:val="decimal" w:pos="1022"/>
              </w:tabs>
              <w:rPr>
                <w:rFonts w:eastAsia="Arial Unicode MS" w:cs="Arial"/>
                <w:sz w:val="18"/>
                <w:szCs w:val="24"/>
              </w:rPr>
            </w:pPr>
            <w:r>
              <w:rPr>
                <w:rFonts w:cs="Arial"/>
                <w:sz w:val="18"/>
              </w:rPr>
              <w:t>98,1</w:t>
            </w:r>
          </w:p>
        </w:tc>
        <w:tc>
          <w:tcPr>
            <w:tcW w:w="1911" w:type="dxa"/>
          </w:tcPr>
          <w:p>
            <w:pPr>
              <w:pStyle w:val="GesAbsatz"/>
              <w:tabs>
                <w:tab w:val="clear" w:pos="425"/>
                <w:tab w:val="decimal" w:pos="1022"/>
              </w:tabs>
              <w:rPr>
                <w:rFonts w:eastAsia="Arial Unicode MS" w:cs="Arial"/>
                <w:sz w:val="18"/>
                <w:szCs w:val="24"/>
              </w:rPr>
            </w:pPr>
            <w:r>
              <w:rPr>
                <w:rFonts w:cs="Arial"/>
                <w:sz w:val="18"/>
              </w:rPr>
              <w:t>11,3</w:t>
            </w:r>
          </w:p>
        </w:tc>
      </w:tr>
      <w:tr>
        <w:trPr>
          <w:cantSplit/>
        </w:trPr>
        <w:tc>
          <w:tcPr>
            <w:tcW w:w="1955" w:type="dxa"/>
            <w:vAlign w:val="center"/>
          </w:tcPr>
          <w:p>
            <w:pPr>
              <w:pStyle w:val="GesAbsatz"/>
              <w:rPr>
                <w:rFonts w:eastAsia="Arial Unicode MS" w:cs="Arial"/>
                <w:sz w:val="18"/>
                <w:szCs w:val="24"/>
              </w:rPr>
            </w:pPr>
            <w:r>
              <w:rPr>
                <w:rFonts w:cs="Arial"/>
                <w:sz w:val="18"/>
                <w:szCs w:val="15"/>
              </w:rPr>
              <w:t>Kreis Gütersloh</w:t>
            </w:r>
          </w:p>
        </w:tc>
        <w:tc>
          <w:tcPr>
            <w:tcW w:w="1955" w:type="dxa"/>
          </w:tcPr>
          <w:p>
            <w:pPr>
              <w:pStyle w:val="GesAbsatz"/>
              <w:tabs>
                <w:tab w:val="clear" w:pos="425"/>
                <w:tab w:val="decimal" w:pos="1022"/>
              </w:tabs>
              <w:rPr>
                <w:rFonts w:eastAsia="Arial Unicode MS" w:cs="Arial"/>
                <w:sz w:val="18"/>
                <w:szCs w:val="24"/>
              </w:rPr>
            </w:pPr>
            <w:r>
              <w:rPr>
                <w:rFonts w:cs="Arial"/>
                <w:sz w:val="18"/>
              </w:rPr>
              <w:t>251,3</w:t>
            </w:r>
          </w:p>
        </w:tc>
        <w:tc>
          <w:tcPr>
            <w:tcW w:w="1956" w:type="dxa"/>
          </w:tcPr>
          <w:p>
            <w:pPr>
              <w:pStyle w:val="GesAbsatz"/>
              <w:tabs>
                <w:tab w:val="clear" w:pos="425"/>
                <w:tab w:val="decimal" w:pos="1022"/>
              </w:tabs>
              <w:rPr>
                <w:rFonts w:eastAsia="Arial Unicode MS" w:cs="Arial"/>
                <w:sz w:val="18"/>
                <w:szCs w:val="24"/>
              </w:rPr>
            </w:pPr>
            <w:r>
              <w:rPr>
                <w:rFonts w:cs="Arial"/>
                <w:sz w:val="18"/>
              </w:rPr>
              <w:t>267,7</w:t>
            </w:r>
          </w:p>
        </w:tc>
        <w:tc>
          <w:tcPr>
            <w:tcW w:w="2001" w:type="dxa"/>
          </w:tcPr>
          <w:p>
            <w:pPr>
              <w:pStyle w:val="GesAbsatz"/>
              <w:tabs>
                <w:tab w:val="clear" w:pos="425"/>
                <w:tab w:val="decimal" w:pos="1022"/>
              </w:tabs>
              <w:rPr>
                <w:rFonts w:eastAsia="Arial Unicode MS" w:cs="Arial"/>
                <w:sz w:val="18"/>
                <w:szCs w:val="24"/>
              </w:rPr>
            </w:pPr>
            <w:r>
              <w:rPr>
                <w:rFonts w:cs="Arial"/>
                <w:sz w:val="18"/>
              </w:rPr>
              <w:t>267,7</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Kreis Höxter</w:t>
            </w:r>
          </w:p>
        </w:tc>
        <w:tc>
          <w:tcPr>
            <w:tcW w:w="1955" w:type="dxa"/>
          </w:tcPr>
          <w:p>
            <w:pPr>
              <w:pStyle w:val="GesAbsatz"/>
              <w:tabs>
                <w:tab w:val="clear" w:pos="425"/>
                <w:tab w:val="decimal" w:pos="1022"/>
              </w:tabs>
              <w:rPr>
                <w:rFonts w:eastAsia="Arial Unicode MS" w:cs="Arial"/>
                <w:sz w:val="18"/>
                <w:szCs w:val="24"/>
              </w:rPr>
            </w:pPr>
            <w:r>
              <w:rPr>
                <w:rFonts w:cs="Arial"/>
                <w:sz w:val="18"/>
              </w:rPr>
              <w:t>75,2</w:t>
            </w:r>
          </w:p>
        </w:tc>
        <w:tc>
          <w:tcPr>
            <w:tcW w:w="1956" w:type="dxa"/>
          </w:tcPr>
          <w:p>
            <w:pPr>
              <w:pStyle w:val="GesAbsatz"/>
              <w:tabs>
                <w:tab w:val="clear" w:pos="425"/>
                <w:tab w:val="decimal" w:pos="1022"/>
              </w:tabs>
              <w:rPr>
                <w:rFonts w:eastAsia="Arial Unicode MS" w:cs="Arial"/>
                <w:sz w:val="18"/>
                <w:szCs w:val="24"/>
              </w:rPr>
            </w:pPr>
            <w:r>
              <w:rPr>
                <w:rFonts w:cs="Arial"/>
                <w:sz w:val="18"/>
              </w:rPr>
              <w:t>82,9</w:t>
            </w:r>
          </w:p>
        </w:tc>
        <w:tc>
          <w:tcPr>
            <w:tcW w:w="2001" w:type="dxa"/>
          </w:tcPr>
          <w:p>
            <w:pPr>
              <w:pStyle w:val="GesAbsatz"/>
              <w:tabs>
                <w:tab w:val="clear" w:pos="425"/>
                <w:tab w:val="decimal" w:pos="1022"/>
              </w:tabs>
              <w:rPr>
                <w:rFonts w:eastAsia="Arial Unicode MS" w:cs="Arial"/>
                <w:sz w:val="18"/>
                <w:szCs w:val="24"/>
              </w:rPr>
            </w:pPr>
            <w:r>
              <w:rPr>
                <w:rFonts w:cs="Arial"/>
                <w:sz w:val="18"/>
              </w:rPr>
              <w:t>94,2</w:t>
            </w:r>
          </w:p>
        </w:tc>
        <w:tc>
          <w:tcPr>
            <w:tcW w:w="1911" w:type="dxa"/>
          </w:tcPr>
          <w:p>
            <w:pPr>
              <w:pStyle w:val="GesAbsatz"/>
              <w:tabs>
                <w:tab w:val="clear" w:pos="425"/>
                <w:tab w:val="decimal" w:pos="1022"/>
              </w:tabs>
              <w:rPr>
                <w:rFonts w:eastAsia="Arial Unicode MS" w:cs="Arial"/>
                <w:sz w:val="18"/>
                <w:szCs w:val="24"/>
              </w:rPr>
            </w:pPr>
            <w:r>
              <w:rPr>
                <w:rFonts w:cs="Arial"/>
                <w:sz w:val="18"/>
              </w:rPr>
              <w:t>11,3</w:t>
            </w:r>
          </w:p>
        </w:tc>
      </w:tr>
      <w:tr>
        <w:trPr>
          <w:cantSplit/>
        </w:trPr>
        <w:tc>
          <w:tcPr>
            <w:tcW w:w="1955" w:type="dxa"/>
            <w:vAlign w:val="center"/>
          </w:tcPr>
          <w:p>
            <w:pPr>
              <w:pStyle w:val="GesAbsatz"/>
              <w:rPr>
                <w:rFonts w:eastAsia="Arial Unicode MS" w:cs="Arial"/>
                <w:sz w:val="18"/>
                <w:szCs w:val="24"/>
              </w:rPr>
            </w:pPr>
            <w:r>
              <w:rPr>
                <w:rFonts w:cs="Arial"/>
                <w:sz w:val="18"/>
                <w:szCs w:val="15"/>
              </w:rPr>
              <w:t>Kreis Lippe</w:t>
            </w:r>
          </w:p>
        </w:tc>
        <w:tc>
          <w:tcPr>
            <w:tcW w:w="1955" w:type="dxa"/>
          </w:tcPr>
          <w:p>
            <w:pPr>
              <w:pStyle w:val="GesAbsatz"/>
              <w:tabs>
                <w:tab w:val="clear" w:pos="425"/>
                <w:tab w:val="decimal" w:pos="1022"/>
              </w:tabs>
              <w:rPr>
                <w:rFonts w:eastAsia="Arial Unicode MS" w:cs="Arial"/>
                <w:sz w:val="18"/>
                <w:szCs w:val="24"/>
              </w:rPr>
            </w:pPr>
            <w:r>
              <w:rPr>
                <w:rFonts w:cs="Arial"/>
                <w:sz w:val="18"/>
              </w:rPr>
              <w:t>48,0</w:t>
            </w:r>
          </w:p>
        </w:tc>
        <w:tc>
          <w:tcPr>
            <w:tcW w:w="1956" w:type="dxa"/>
          </w:tcPr>
          <w:p>
            <w:pPr>
              <w:pStyle w:val="GesAbsatz"/>
              <w:tabs>
                <w:tab w:val="clear" w:pos="425"/>
                <w:tab w:val="decimal" w:pos="1022"/>
              </w:tabs>
              <w:rPr>
                <w:rFonts w:eastAsia="Arial Unicode MS" w:cs="Arial"/>
                <w:sz w:val="18"/>
                <w:szCs w:val="24"/>
              </w:rPr>
            </w:pPr>
            <w:r>
              <w:rPr>
                <w:rFonts w:cs="Arial"/>
                <w:sz w:val="18"/>
              </w:rPr>
              <w:t>57,7</w:t>
            </w:r>
          </w:p>
        </w:tc>
        <w:tc>
          <w:tcPr>
            <w:tcW w:w="2001" w:type="dxa"/>
          </w:tcPr>
          <w:p>
            <w:pPr>
              <w:pStyle w:val="GesAbsatz"/>
              <w:tabs>
                <w:tab w:val="clear" w:pos="425"/>
                <w:tab w:val="decimal" w:pos="1022"/>
              </w:tabs>
              <w:rPr>
                <w:rFonts w:eastAsia="Arial Unicode MS" w:cs="Arial"/>
                <w:sz w:val="18"/>
                <w:szCs w:val="24"/>
              </w:rPr>
            </w:pPr>
            <w:r>
              <w:rPr>
                <w:rFonts w:cs="Arial"/>
                <w:sz w:val="18"/>
              </w:rPr>
              <w:t>74,9</w:t>
            </w:r>
          </w:p>
        </w:tc>
        <w:tc>
          <w:tcPr>
            <w:tcW w:w="1911" w:type="dxa"/>
          </w:tcPr>
          <w:p>
            <w:pPr>
              <w:pStyle w:val="GesAbsatz"/>
              <w:tabs>
                <w:tab w:val="clear" w:pos="425"/>
                <w:tab w:val="decimal" w:pos="1022"/>
              </w:tabs>
              <w:rPr>
                <w:rFonts w:eastAsia="Arial Unicode MS" w:cs="Arial"/>
                <w:sz w:val="18"/>
                <w:szCs w:val="24"/>
              </w:rPr>
            </w:pPr>
            <w:r>
              <w:rPr>
                <w:rFonts w:cs="Arial"/>
                <w:sz w:val="18"/>
              </w:rPr>
              <w:t>17,2</w:t>
            </w:r>
          </w:p>
        </w:tc>
      </w:tr>
      <w:tr>
        <w:trPr>
          <w:cantSplit/>
        </w:trPr>
        <w:tc>
          <w:tcPr>
            <w:tcW w:w="1955" w:type="dxa"/>
            <w:vAlign w:val="center"/>
          </w:tcPr>
          <w:p>
            <w:pPr>
              <w:pStyle w:val="GesAbsatz"/>
              <w:rPr>
                <w:rFonts w:eastAsia="Arial Unicode MS" w:cs="Arial"/>
                <w:sz w:val="18"/>
                <w:szCs w:val="24"/>
              </w:rPr>
            </w:pPr>
            <w:r>
              <w:rPr>
                <w:rFonts w:cs="Arial"/>
                <w:sz w:val="18"/>
                <w:szCs w:val="15"/>
              </w:rPr>
              <w:t>Kreis Minden-Lübbecke</w:t>
            </w:r>
          </w:p>
        </w:tc>
        <w:tc>
          <w:tcPr>
            <w:tcW w:w="1955" w:type="dxa"/>
          </w:tcPr>
          <w:p>
            <w:pPr>
              <w:pStyle w:val="GesAbsatz"/>
              <w:tabs>
                <w:tab w:val="clear" w:pos="425"/>
                <w:tab w:val="decimal" w:pos="1022"/>
              </w:tabs>
              <w:rPr>
                <w:rFonts w:eastAsia="Arial Unicode MS" w:cs="Arial"/>
                <w:sz w:val="18"/>
                <w:szCs w:val="24"/>
              </w:rPr>
            </w:pPr>
            <w:r>
              <w:rPr>
                <w:rFonts w:cs="Arial"/>
                <w:sz w:val="18"/>
              </w:rPr>
              <w:t>212,4</w:t>
            </w:r>
          </w:p>
        </w:tc>
        <w:tc>
          <w:tcPr>
            <w:tcW w:w="1956" w:type="dxa"/>
          </w:tcPr>
          <w:p>
            <w:pPr>
              <w:pStyle w:val="GesAbsatz"/>
              <w:tabs>
                <w:tab w:val="clear" w:pos="425"/>
                <w:tab w:val="decimal" w:pos="1022"/>
              </w:tabs>
              <w:rPr>
                <w:rFonts w:eastAsia="Arial Unicode MS" w:cs="Arial"/>
                <w:sz w:val="18"/>
                <w:szCs w:val="24"/>
              </w:rPr>
            </w:pPr>
            <w:r>
              <w:rPr>
                <w:rFonts w:cs="Arial"/>
                <w:sz w:val="18"/>
              </w:rPr>
              <w:t>214,4</w:t>
            </w:r>
          </w:p>
        </w:tc>
        <w:tc>
          <w:tcPr>
            <w:tcW w:w="2001" w:type="dxa"/>
          </w:tcPr>
          <w:p>
            <w:pPr>
              <w:pStyle w:val="GesAbsatz"/>
              <w:tabs>
                <w:tab w:val="clear" w:pos="425"/>
                <w:tab w:val="decimal" w:pos="1022"/>
              </w:tabs>
              <w:rPr>
                <w:rFonts w:eastAsia="Arial Unicode MS" w:cs="Arial"/>
                <w:sz w:val="18"/>
                <w:szCs w:val="24"/>
              </w:rPr>
            </w:pPr>
            <w:r>
              <w:rPr>
                <w:rFonts w:cs="Arial"/>
                <w:sz w:val="18"/>
              </w:rPr>
              <w:t>214,4</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Kreis Paderborn</w:t>
            </w:r>
          </w:p>
        </w:tc>
        <w:tc>
          <w:tcPr>
            <w:tcW w:w="1955" w:type="dxa"/>
          </w:tcPr>
          <w:p>
            <w:pPr>
              <w:pStyle w:val="GesAbsatz"/>
              <w:tabs>
                <w:tab w:val="clear" w:pos="425"/>
                <w:tab w:val="decimal" w:pos="1022"/>
              </w:tabs>
              <w:rPr>
                <w:rFonts w:eastAsia="Arial Unicode MS" w:cs="Arial"/>
                <w:sz w:val="18"/>
                <w:szCs w:val="24"/>
              </w:rPr>
            </w:pPr>
            <w:r>
              <w:rPr>
                <w:rFonts w:cs="Arial"/>
                <w:sz w:val="18"/>
              </w:rPr>
              <w:t>197,3</w:t>
            </w:r>
          </w:p>
        </w:tc>
        <w:tc>
          <w:tcPr>
            <w:tcW w:w="1956" w:type="dxa"/>
          </w:tcPr>
          <w:p>
            <w:pPr>
              <w:pStyle w:val="GesAbsatz"/>
              <w:tabs>
                <w:tab w:val="clear" w:pos="425"/>
                <w:tab w:val="decimal" w:pos="1022"/>
              </w:tabs>
              <w:rPr>
                <w:rFonts w:eastAsia="Arial Unicode MS" w:cs="Arial"/>
                <w:sz w:val="18"/>
                <w:szCs w:val="24"/>
              </w:rPr>
            </w:pPr>
            <w:r>
              <w:rPr>
                <w:rFonts w:cs="Arial"/>
                <w:sz w:val="18"/>
              </w:rPr>
              <w:t>211,8</w:t>
            </w:r>
          </w:p>
        </w:tc>
        <w:tc>
          <w:tcPr>
            <w:tcW w:w="2001" w:type="dxa"/>
          </w:tcPr>
          <w:p>
            <w:pPr>
              <w:pStyle w:val="GesAbsatz"/>
              <w:tabs>
                <w:tab w:val="clear" w:pos="425"/>
                <w:tab w:val="decimal" w:pos="1022"/>
              </w:tabs>
              <w:rPr>
                <w:rFonts w:eastAsia="Arial Unicode MS" w:cs="Arial"/>
                <w:sz w:val="18"/>
                <w:szCs w:val="24"/>
              </w:rPr>
            </w:pPr>
            <w:r>
              <w:rPr>
                <w:rFonts w:cs="Arial"/>
                <w:sz w:val="18"/>
              </w:rPr>
              <w:t>211,8</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bl>
    <w:p/>
    <w:p>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5"/>
        <w:gridCol w:w="1955"/>
        <w:gridCol w:w="1956"/>
        <w:gridCol w:w="2001"/>
        <w:gridCol w:w="1911"/>
      </w:tblGrid>
      <w:tr>
        <w:trPr>
          <w:cantSplit/>
          <w:tblHeader/>
        </w:trPr>
        <w:tc>
          <w:tcPr>
            <w:tcW w:w="1955" w:type="dxa"/>
          </w:tcPr>
          <w:p>
            <w:pPr>
              <w:pStyle w:val="GesAbsatz"/>
              <w:jc w:val="center"/>
              <w:rPr>
                <w:rFonts w:eastAsia="Arial Unicode MS" w:cs="Arial"/>
                <w:sz w:val="18"/>
                <w:szCs w:val="24"/>
              </w:rPr>
            </w:pPr>
            <w:r>
              <w:rPr>
                <w:rFonts w:cs="Arial"/>
                <w:b/>
                <w:bCs/>
                <w:sz w:val="18"/>
              </w:rPr>
              <w:lastRenderedPageBreak/>
              <w:t>Kreise/Aggregate</w:t>
            </w:r>
          </w:p>
        </w:tc>
        <w:tc>
          <w:tcPr>
            <w:tcW w:w="5912" w:type="dxa"/>
            <w:gridSpan w:val="3"/>
          </w:tcPr>
          <w:p>
            <w:pPr>
              <w:pStyle w:val="GesAbsatz"/>
              <w:jc w:val="center"/>
              <w:rPr>
                <w:rFonts w:eastAsia="Arial Unicode MS" w:cs="Arial"/>
                <w:sz w:val="18"/>
                <w:szCs w:val="24"/>
              </w:rPr>
            </w:pPr>
            <w:r>
              <w:rPr>
                <w:rFonts w:cs="Arial"/>
                <w:b/>
                <w:bCs/>
                <w:sz w:val="18"/>
              </w:rPr>
              <w:t>P</w:t>
            </w:r>
            <w:r>
              <w:rPr>
                <w:rFonts w:cs="Arial"/>
                <w:b/>
                <w:bCs/>
                <w:sz w:val="18"/>
                <w:vertAlign w:val="subscript"/>
              </w:rPr>
              <w:t>2</w:t>
            </w:r>
            <w:r>
              <w:rPr>
                <w:rFonts w:cs="Arial"/>
                <w:b/>
                <w:bCs/>
                <w:sz w:val="18"/>
              </w:rPr>
              <w:t>O</w:t>
            </w:r>
            <w:r>
              <w:rPr>
                <w:rFonts w:cs="Arial"/>
                <w:b/>
                <w:bCs/>
                <w:sz w:val="18"/>
                <w:vertAlign w:val="subscript"/>
              </w:rPr>
              <w:t>5</w:t>
            </w:r>
            <w:r>
              <w:rPr>
                <w:rFonts w:cs="Arial"/>
                <w:b/>
                <w:bCs/>
                <w:sz w:val="18"/>
              </w:rPr>
              <w:t>-Einträge (AF) in % der „zulässigen“ Düngung</w:t>
            </w:r>
            <w:r>
              <w:rPr>
                <w:rFonts w:cs="Arial"/>
                <w:b/>
                <w:bCs/>
                <w:sz w:val="18"/>
                <w:vertAlign w:val="superscript"/>
              </w:rPr>
              <w:t>1</w:t>
            </w:r>
          </w:p>
        </w:tc>
        <w:tc>
          <w:tcPr>
            <w:tcW w:w="1911" w:type="dxa"/>
            <w:vMerge w:val="restart"/>
          </w:tcPr>
          <w:p>
            <w:pPr>
              <w:pStyle w:val="GesAbsatz"/>
              <w:spacing w:before="240"/>
              <w:jc w:val="center"/>
              <w:rPr>
                <w:rFonts w:eastAsia="Arial Unicode MS" w:cs="Arial"/>
                <w:sz w:val="18"/>
                <w:szCs w:val="24"/>
              </w:rPr>
            </w:pPr>
            <w:r>
              <w:rPr>
                <w:rFonts w:cs="Arial"/>
                <w:b/>
                <w:bCs/>
                <w:sz w:val="18"/>
              </w:rPr>
              <w:t>Veränderung durch Kompost in Prozent</w:t>
            </w:r>
          </w:p>
        </w:tc>
      </w:tr>
      <w:tr>
        <w:trPr>
          <w:cantSplit/>
          <w:tblHeader/>
        </w:trPr>
        <w:tc>
          <w:tcPr>
            <w:tcW w:w="1955" w:type="dxa"/>
          </w:tcPr>
          <w:p>
            <w:pPr>
              <w:pStyle w:val="GesAbsatz"/>
              <w:rPr>
                <w:rFonts w:eastAsia="Arial Unicode MS" w:cs="Arial"/>
                <w:sz w:val="18"/>
                <w:szCs w:val="24"/>
              </w:rPr>
            </w:pPr>
          </w:p>
        </w:tc>
        <w:tc>
          <w:tcPr>
            <w:tcW w:w="1955" w:type="dxa"/>
          </w:tcPr>
          <w:p>
            <w:pPr>
              <w:pStyle w:val="GesAbsatz"/>
              <w:jc w:val="center"/>
              <w:rPr>
                <w:rFonts w:eastAsia="Arial Unicode MS" w:cs="Arial"/>
                <w:sz w:val="18"/>
                <w:szCs w:val="24"/>
              </w:rPr>
            </w:pPr>
            <w:r>
              <w:rPr>
                <w:rFonts w:cs="Arial"/>
                <w:b/>
                <w:bCs/>
                <w:sz w:val="18"/>
              </w:rPr>
              <w:t>aus Wirtschaftsdünger</w:t>
            </w:r>
          </w:p>
        </w:tc>
        <w:tc>
          <w:tcPr>
            <w:tcW w:w="1956" w:type="dxa"/>
          </w:tcPr>
          <w:p>
            <w:pPr>
              <w:pStyle w:val="GesAbsatz"/>
              <w:jc w:val="center"/>
              <w:rPr>
                <w:rFonts w:eastAsia="Arial Unicode MS" w:cs="Arial"/>
                <w:sz w:val="18"/>
                <w:szCs w:val="24"/>
              </w:rPr>
            </w:pPr>
            <w:r>
              <w:rPr>
                <w:rFonts w:cs="Arial"/>
                <w:b/>
                <w:bCs/>
                <w:sz w:val="18"/>
              </w:rPr>
              <w:t>aus Wirtschaftsdünger und Klärschlamm</w:t>
            </w:r>
          </w:p>
        </w:tc>
        <w:tc>
          <w:tcPr>
            <w:tcW w:w="2001" w:type="dxa"/>
          </w:tcPr>
          <w:p>
            <w:pPr>
              <w:pStyle w:val="GesAbsatz"/>
              <w:jc w:val="center"/>
              <w:rPr>
                <w:rFonts w:eastAsia="Arial Unicode MS" w:cs="Arial"/>
                <w:sz w:val="18"/>
                <w:szCs w:val="24"/>
              </w:rPr>
            </w:pPr>
            <w:r>
              <w:rPr>
                <w:rFonts w:cs="Arial"/>
                <w:b/>
                <w:bCs/>
                <w:sz w:val="18"/>
              </w:rPr>
              <w:t>aus Wirtschaftsdünger, Klärschlamm und Kompost</w:t>
            </w:r>
            <w:r>
              <w:rPr>
                <w:rFonts w:cs="Arial"/>
                <w:b/>
                <w:bCs/>
                <w:sz w:val="18"/>
                <w:vertAlign w:val="superscript"/>
              </w:rPr>
              <w:t>2</w:t>
            </w:r>
          </w:p>
        </w:tc>
        <w:tc>
          <w:tcPr>
            <w:tcW w:w="1911" w:type="dxa"/>
            <w:vMerge/>
          </w:tcPr>
          <w:p>
            <w:pPr>
              <w:pStyle w:val="GesAbsatz"/>
              <w:rPr>
                <w:rFonts w:eastAsia="Arial Unicode MS" w:cs="Arial"/>
                <w:sz w:val="18"/>
                <w:szCs w:val="24"/>
              </w:rPr>
            </w:pPr>
          </w:p>
        </w:tc>
      </w:tr>
      <w:tr>
        <w:trPr>
          <w:cantSplit/>
        </w:trPr>
        <w:tc>
          <w:tcPr>
            <w:tcW w:w="1955" w:type="dxa"/>
            <w:vAlign w:val="center"/>
          </w:tcPr>
          <w:p>
            <w:pPr>
              <w:pStyle w:val="GesAbsatz"/>
              <w:rPr>
                <w:rFonts w:eastAsia="Arial Unicode MS" w:cs="Arial"/>
                <w:sz w:val="18"/>
                <w:szCs w:val="24"/>
              </w:rPr>
            </w:pPr>
            <w:r>
              <w:rPr>
                <w:rFonts w:cs="Arial"/>
                <w:b/>
                <w:bCs/>
                <w:sz w:val="18"/>
              </w:rPr>
              <w:t>Regierungsbezirk Düsseldorf</w:t>
            </w:r>
          </w:p>
        </w:tc>
        <w:tc>
          <w:tcPr>
            <w:tcW w:w="1955" w:type="dxa"/>
          </w:tcPr>
          <w:p>
            <w:pPr>
              <w:pStyle w:val="GesAbsatz"/>
              <w:tabs>
                <w:tab w:val="clear" w:pos="425"/>
                <w:tab w:val="decimal" w:pos="1022"/>
              </w:tabs>
              <w:rPr>
                <w:rFonts w:cs="Arial"/>
                <w:sz w:val="18"/>
              </w:rPr>
            </w:pPr>
          </w:p>
        </w:tc>
        <w:tc>
          <w:tcPr>
            <w:tcW w:w="1956" w:type="dxa"/>
          </w:tcPr>
          <w:p>
            <w:pPr>
              <w:pStyle w:val="GesAbsatz"/>
              <w:tabs>
                <w:tab w:val="clear" w:pos="425"/>
                <w:tab w:val="decimal" w:pos="1022"/>
              </w:tabs>
              <w:rPr>
                <w:rFonts w:cs="Arial"/>
                <w:sz w:val="18"/>
              </w:rPr>
            </w:pPr>
          </w:p>
        </w:tc>
        <w:tc>
          <w:tcPr>
            <w:tcW w:w="2001" w:type="dxa"/>
          </w:tcPr>
          <w:p>
            <w:pPr>
              <w:pStyle w:val="GesAbsatz"/>
              <w:tabs>
                <w:tab w:val="clear" w:pos="425"/>
                <w:tab w:val="decimal" w:pos="1022"/>
              </w:tabs>
              <w:rPr>
                <w:rFonts w:cs="Arial"/>
                <w:sz w:val="18"/>
              </w:rPr>
            </w:pPr>
          </w:p>
        </w:tc>
        <w:tc>
          <w:tcPr>
            <w:tcW w:w="1911" w:type="dxa"/>
          </w:tcPr>
          <w:p>
            <w:pPr>
              <w:pStyle w:val="GesAbsatz"/>
              <w:tabs>
                <w:tab w:val="clear" w:pos="425"/>
                <w:tab w:val="decimal" w:pos="1022"/>
              </w:tabs>
              <w:rPr>
                <w:rFonts w:cs="Arial"/>
                <w:sz w:val="18"/>
              </w:rPr>
            </w:pPr>
          </w:p>
        </w:tc>
      </w:tr>
      <w:tr>
        <w:trPr>
          <w:cantSplit/>
        </w:trPr>
        <w:tc>
          <w:tcPr>
            <w:tcW w:w="1955" w:type="dxa"/>
            <w:vAlign w:val="center"/>
          </w:tcPr>
          <w:p>
            <w:pPr>
              <w:pStyle w:val="GesAbsatz"/>
              <w:rPr>
                <w:rFonts w:eastAsia="Arial Unicode MS" w:cs="Arial"/>
                <w:sz w:val="18"/>
                <w:szCs w:val="24"/>
              </w:rPr>
            </w:pPr>
            <w:r>
              <w:rPr>
                <w:rFonts w:cs="Arial"/>
                <w:sz w:val="18"/>
                <w:szCs w:val="15"/>
              </w:rPr>
              <w:t>Aggregat der kreisfreien Städte Duisburg, Düsseldorf, Essen, Mühlheim, Oberhausen, Remscheid, Solingen und Wuppertal und des Kreises Mettmann</w:t>
            </w:r>
          </w:p>
        </w:tc>
        <w:tc>
          <w:tcPr>
            <w:tcW w:w="1955" w:type="dxa"/>
          </w:tcPr>
          <w:p>
            <w:pPr>
              <w:pStyle w:val="GesAbsatz"/>
              <w:tabs>
                <w:tab w:val="clear" w:pos="425"/>
                <w:tab w:val="decimal" w:pos="1022"/>
              </w:tabs>
              <w:rPr>
                <w:rFonts w:eastAsia="Arial Unicode MS" w:cs="Arial"/>
                <w:sz w:val="18"/>
                <w:szCs w:val="24"/>
              </w:rPr>
            </w:pPr>
            <w:r>
              <w:rPr>
                <w:rFonts w:cs="Arial"/>
                <w:sz w:val="18"/>
              </w:rPr>
              <w:t xml:space="preserve">83,2 </w:t>
            </w:r>
          </w:p>
        </w:tc>
        <w:tc>
          <w:tcPr>
            <w:tcW w:w="1956" w:type="dxa"/>
          </w:tcPr>
          <w:p>
            <w:pPr>
              <w:pStyle w:val="GesAbsatz"/>
              <w:tabs>
                <w:tab w:val="clear" w:pos="425"/>
                <w:tab w:val="decimal" w:pos="1022"/>
              </w:tabs>
              <w:rPr>
                <w:rFonts w:eastAsia="Arial Unicode MS" w:cs="Arial"/>
                <w:sz w:val="18"/>
                <w:szCs w:val="24"/>
              </w:rPr>
            </w:pPr>
            <w:r>
              <w:rPr>
                <w:rFonts w:cs="Arial"/>
                <w:sz w:val="18"/>
              </w:rPr>
              <w:t>161,5</w:t>
            </w:r>
          </w:p>
        </w:tc>
        <w:tc>
          <w:tcPr>
            <w:tcW w:w="2001" w:type="dxa"/>
          </w:tcPr>
          <w:p>
            <w:pPr>
              <w:pStyle w:val="GesAbsatz"/>
              <w:tabs>
                <w:tab w:val="clear" w:pos="425"/>
                <w:tab w:val="decimal" w:pos="1022"/>
              </w:tabs>
              <w:rPr>
                <w:rFonts w:eastAsia="Arial Unicode MS" w:cs="Arial"/>
                <w:sz w:val="18"/>
                <w:szCs w:val="24"/>
              </w:rPr>
            </w:pPr>
            <w:r>
              <w:rPr>
                <w:rFonts w:cs="Arial"/>
                <w:sz w:val="18"/>
              </w:rPr>
              <w:t>161,5</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Aggregat der kreisfreien Städte Krefeld und Mönchengladbach und des Kreises Viersen</w:t>
            </w:r>
          </w:p>
        </w:tc>
        <w:tc>
          <w:tcPr>
            <w:tcW w:w="1955" w:type="dxa"/>
          </w:tcPr>
          <w:p>
            <w:pPr>
              <w:pStyle w:val="GesAbsatz"/>
              <w:tabs>
                <w:tab w:val="clear" w:pos="425"/>
                <w:tab w:val="decimal" w:pos="1022"/>
              </w:tabs>
              <w:rPr>
                <w:rFonts w:eastAsia="Arial Unicode MS" w:cs="Arial"/>
                <w:sz w:val="18"/>
                <w:szCs w:val="24"/>
              </w:rPr>
            </w:pPr>
            <w:r>
              <w:rPr>
                <w:rFonts w:cs="Arial"/>
                <w:sz w:val="18"/>
              </w:rPr>
              <w:t>182,9</w:t>
            </w:r>
          </w:p>
        </w:tc>
        <w:tc>
          <w:tcPr>
            <w:tcW w:w="1956" w:type="dxa"/>
          </w:tcPr>
          <w:p>
            <w:pPr>
              <w:pStyle w:val="GesAbsatz"/>
              <w:tabs>
                <w:tab w:val="clear" w:pos="425"/>
                <w:tab w:val="decimal" w:pos="1022"/>
              </w:tabs>
              <w:rPr>
                <w:rFonts w:eastAsia="Arial Unicode MS" w:cs="Arial"/>
                <w:sz w:val="18"/>
                <w:szCs w:val="24"/>
              </w:rPr>
            </w:pPr>
            <w:r>
              <w:rPr>
                <w:rFonts w:cs="Arial"/>
                <w:sz w:val="18"/>
              </w:rPr>
              <w:t>242,6</w:t>
            </w:r>
          </w:p>
        </w:tc>
        <w:tc>
          <w:tcPr>
            <w:tcW w:w="2001" w:type="dxa"/>
          </w:tcPr>
          <w:p>
            <w:pPr>
              <w:pStyle w:val="GesAbsatz"/>
              <w:tabs>
                <w:tab w:val="clear" w:pos="425"/>
                <w:tab w:val="decimal" w:pos="1022"/>
              </w:tabs>
              <w:rPr>
                <w:rFonts w:eastAsia="Arial Unicode MS" w:cs="Arial"/>
                <w:sz w:val="18"/>
                <w:szCs w:val="24"/>
              </w:rPr>
            </w:pPr>
            <w:r>
              <w:rPr>
                <w:rFonts w:cs="Arial"/>
                <w:sz w:val="18"/>
              </w:rPr>
              <w:t>242,6</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Kreis Kleve</w:t>
            </w:r>
          </w:p>
        </w:tc>
        <w:tc>
          <w:tcPr>
            <w:tcW w:w="1955" w:type="dxa"/>
          </w:tcPr>
          <w:p>
            <w:pPr>
              <w:pStyle w:val="GesAbsatz"/>
              <w:tabs>
                <w:tab w:val="clear" w:pos="425"/>
                <w:tab w:val="decimal" w:pos="1022"/>
              </w:tabs>
              <w:rPr>
                <w:rFonts w:eastAsia="Arial Unicode MS" w:cs="Arial"/>
                <w:sz w:val="18"/>
                <w:szCs w:val="24"/>
              </w:rPr>
            </w:pPr>
            <w:r>
              <w:rPr>
                <w:rFonts w:cs="Arial"/>
                <w:sz w:val="18"/>
              </w:rPr>
              <w:t>301,8</w:t>
            </w:r>
          </w:p>
        </w:tc>
        <w:tc>
          <w:tcPr>
            <w:tcW w:w="1956" w:type="dxa"/>
          </w:tcPr>
          <w:p>
            <w:pPr>
              <w:pStyle w:val="GesAbsatz"/>
              <w:tabs>
                <w:tab w:val="clear" w:pos="425"/>
                <w:tab w:val="decimal" w:pos="1022"/>
              </w:tabs>
              <w:rPr>
                <w:rFonts w:eastAsia="Arial Unicode MS" w:cs="Arial"/>
                <w:sz w:val="18"/>
                <w:szCs w:val="24"/>
              </w:rPr>
            </w:pPr>
            <w:r>
              <w:rPr>
                <w:rFonts w:cs="Arial"/>
                <w:sz w:val="18"/>
              </w:rPr>
              <w:t>314,3</w:t>
            </w:r>
          </w:p>
        </w:tc>
        <w:tc>
          <w:tcPr>
            <w:tcW w:w="2001" w:type="dxa"/>
          </w:tcPr>
          <w:p>
            <w:pPr>
              <w:pStyle w:val="GesAbsatz"/>
              <w:tabs>
                <w:tab w:val="clear" w:pos="425"/>
                <w:tab w:val="decimal" w:pos="1022"/>
              </w:tabs>
              <w:rPr>
                <w:rFonts w:eastAsia="Arial Unicode MS" w:cs="Arial"/>
                <w:sz w:val="18"/>
                <w:szCs w:val="24"/>
              </w:rPr>
            </w:pPr>
            <w:r>
              <w:rPr>
                <w:rFonts w:cs="Arial"/>
                <w:sz w:val="18"/>
              </w:rPr>
              <w:t>314,3</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Kreis Neuss</w:t>
            </w:r>
          </w:p>
        </w:tc>
        <w:tc>
          <w:tcPr>
            <w:tcW w:w="1955" w:type="dxa"/>
          </w:tcPr>
          <w:p>
            <w:pPr>
              <w:pStyle w:val="GesAbsatz"/>
              <w:tabs>
                <w:tab w:val="clear" w:pos="425"/>
                <w:tab w:val="decimal" w:pos="1022"/>
              </w:tabs>
              <w:rPr>
                <w:rFonts w:eastAsia="Arial Unicode MS" w:cs="Arial"/>
                <w:sz w:val="18"/>
                <w:szCs w:val="24"/>
              </w:rPr>
            </w:pPr>
            <w:r>
              <w:rPr>
                <w:rFonts w:cs="Arial"/>
                <w:sz w:val="18"/>
              </w:rPr>
              <w:t>74,1</w:t>
            </w:r>
          </w:p>
        </w:tc>
        <w:tc>
          <w:tcPr>
            <w:tcW w:w="1956" w:type="dxa"/>
          </w:tcPr>
          <w:p>
            <w:pPr>
              <w:pStyle w:val="GesAbsatz"/>
              <w:tabs>
                <w:tab w:val="clear" w:pos="425"/>
                <w:tab w:val="decimal" w:pos="1022"/>
              </w:tabs>
              <w:rPr>
                <w:rFonts w:eastAsia="Arial Unicode MS" w:cs="Arial"/>
                <w:sz w:val="18"/>
                <w:szCs w:val="24"/>
              </w:rPr>
            </w:pPr>
            <w:r>
              <w:rPr>
                <w:rFonts w:cs="Arial"/>
                <w:sz w:val="18"/>
              </w:rPr>
              <w:t>91,9</w:t>
            </w:r>
          </w:p>
        </w:tc>
        <w:tc>
          <w:tcPr>
            <w:tcW w:w="2001" w:type="dxa"/>
          </w:tcPr>
          <w:p>
            <w:pPr>
              <w:pStyle w:val="GesAbsatz"/>
              <w:tabs>
                <w:tab w:val="clear" w:pos="425"/>
                <w:tab w:val="decimal" w:pos="1022"/>
              </w:tabs>
              <w:rPr>
                <w:rFonts w:eastAsia="Arial Unicode MS" w:cs="Arial"/>
                <w:sz w:val="18"/>
                <w:szCs w:val="24"/>
              </w:rPr>
            </w:pPr>
            <w:r>
              <w:rPr>
                <w:rFonts w:cs="Arial"/>
                <w:sz w:val="18"/>
              </w:rPr>
              <w:t>99,4</w:t>
            </w:r>
          </w:p>
        </w:tc>
        <w:tc>
          <w:tcPr>
            <w:tcW w:w="1911" w:type="dxa"/>
          </w:tcPr>
          <w:p>
            <w:pPr>
              <w:pStyle w:val="GesAbsatz"/>
              <w:tabs>
                <w:tab w:val="clear" w:pos="425"/>
                <w:tab w:val="decimal" w:pos="1022"/>
              </w:tabs>
              <w:rPr>
                <w:rFonts w:eastAsia="Arial Unicode MS" w:cs="Arial"/>
                <w:sz w:val="18"/>
                <w:szCs w:val="24"/>
              </w:rPr>
            </w:pPr>
            <w:r>
              <w:rPr>
                <w:rFonts w:cs="Arial"/>
                <w:sz w:val="18"/>
              </w:rPr>
              <w:t>7,5</w:t>
            </w:r>
          </w:p>
        </w:tc>
      </w:tr>
      <w:tr>
        <w:trPr>
          <w:cantSplit/>
        </w:trPr>
        <w:tc>
          <w:tcPr>
            <w:tcW w:w="1955" w:type="dxa"/>
            <w:vAlign w:val="center"/>
          </w:tcPr>
          <w:p>
            <w:pPr>
              <w:pStyle w:val="GesAbsatz"/>
              <w:rPr>
                <w:rFonts w:eastAsia="Arial Unicode MS" w:cs="Arial"/>
                <w:sz w:val="18"/>
                <w:szCs w:val="24"/>
              </w:rPr>
            </w:pPr>
            <w:r>
              <w:rPr>
                <w:rFonts w:cs="Arial"/>
                <w:sz w:val="18"/>
                <w:szCs w:val="15"/>
              </w:rPr>
              <w:t>Kreis Wesel</w:t>
            </w:r>
          </w:p>
        </w:tc>
        <w:tc>
          <w:tcPr>
            <w:tcW w:w="1955" w:type="dxa"/>
          </w:tcPr>
          <w:p>
            <w:pPr>
              <w:pStyle w:val="GesAbsatz"/>
              <w:tabs>
                <w:tab w:val="clear" w:pos="425"/>
                <w:tab w:val="decimal" w:pos="1022"/>
              </w:tabs>
              <w:rPr>
                <w:rFonts w:eastAsia="Arial Unicode MS" w:cs="Arial"/>
                <w:sz w:val="18"/>
                <w:szCs w:val="24"/>
              </w:rPr>
            </w:pPr>
            <w:r>
              <w:rPr>
                <w:rFonts w:cs="Arial"/>
                <w:sz w:val="18"/>
              </w:rPr>
              <w:t>263,7</w:t>
            </w:r>
          </w:p>
        </w:tc>
        <w:tc>
          <w:tcPr>
            <w:tcW w:w="1956" w:type="dxa"/>
          </w:tcPr>
          <w:p>
            <w:pPr>
              <w:pStyle w:val="GesAbsatz"/>
              <w:tabs>
                <w:tab w:val="clear" w:pos="425"/>
                <w:tab w:val="decimal" w:pos="1022"/>
              </w:tabs>
              <w:rPr>
                <w:rFonts w:eastAsia="Arial Unicode MS" w:cs="Arial"/>
                <w:sz w:val="18"/>
                <w:szCs w:val="24"/>
              </w:rPr>
            </w:pPr>
            <w:r>
              <w:rPr>
                <w:rFonts w:cs="Arial"/>
                <w:sz w:val="18"/>
              </w:rPr>
              <w:t>298,2</w:t>
            </w:r>
          </w:p>
        </w:tc>
        <w:tc>
          <w:tcPr>
            <w:tcW w:w="2001" w:type="dxa"/>
          </w:tcPr>
          <w:p>
            <w:pPr>
              <w:pStyle w:val="GesAbsatz"/>
              <w:tabs>
                <w:tab w:val="clear" w:pos="425"/>
                <w:tab w:val="decimal" w:pos="1022"/>
              </w:tabs>
              <w:rPr>
                <w:rFonts w:eastAsia="Arial Unicode MS" w:cs="Arial"/>
                <w:sz w:val="18"/>
                <w:szCs w:val="24"/>
              </w:rPr>
            </w:pPr>
            <w:r>
              <w:rPr>
                <w:rFonts w:cs="Arial"/>
                <w:sz w:val="18"/>
              </w:rPr>
              <w:t>298,2</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b/>
                <w:bCs/>
                <w:sz w:val="18"/>
              </w:rPr>
              <w:t>Regierungsbezirk Köln</w:t>
            </w:r>
          </w:p>
        </w:tc>
        <w:tc>
          <w:tcPr>
            <w:tcW w:w="1955" w:type="dxa"/>
          </w:tcPr>
          <w:p>
            <w:pPr>
              <w:pStyle w:val="GesAbsatz"/>
              <w:tabs>
                <w:tab w:val="clear" w:pos="425"/>
                <w:tab w:val="decimal" w:pos="1022"/>
              </w:tabs>
              <w:rPr>
                <w:rFonts w:eastAsia="Arial Unicode MS" w:cs="Arial"/>
                <w:sz w:val="18"/>
                <w:szCs w:val="24"/>
              </w:rPr>
            </w:pPr>
          </w:p>
        </w:tc>
        <w:tc>
          <w:tcPr>
            <w:tcW w:w="1956" w:type="dxa"/>
          </w:tcPr>
          <w:p>
            <w:pPr>
              <w:pStyle w:val="GesAbsatz"/>
              <w:tabs>
                <w:tab w:val="clear" w:pos="425"/>
                <w:tab w:val="decimal" w:pos="1022"/>
              </w:tabs>
              <w:rPr>
                <w:rFonts w:eastAsia="Arial Unicode MS" w:cs="Arial"/>
                <w:sz w:val="18"/>
                <w:szCs w:val="24"/>
              </w:rPr>
            </w:pPr>
          </w:p>
        </w:tc>
        <w:tc>
          <w:tcPr>
            <w:tcW w:w="2001" w:type="dxa"/>
          </w:tcPr>
          <w:p>
            <w:pPr>
              <w:pStyle w:val="GesAbsatz"/>
              <w:tabs>
                <w:tab w:val="clear" w:pos="425"/>
                <w:tab w:val="decimal" w:pos="1022"/>
              </w:tabs>
              <w:rPr>
                <w:rFonts w:eastAsia="Arial Unicode MS" w:cs="Arial"/>
                <w:sz w:val="18"/>
                <w:szCs w:val="24"/>
              </w:rPr>
            </w:pPr>
          </w:p>
        </w:tc>
        <w:tc>
          <w:tcPr>
            <w:tcW w:w="1911" w:type="dxa"/>
          </w:tcPr>
          <w:p>
            <w:pPr>
              <w:pStyle w:val="GesAbsatz"/>
              <w:tabs>
                <w:tab w:val="clear" w:pos="425"/>
                <w:tab w:val="decimal" w:pos="1022"/>
              </w:tabs>
              <w:rPr>
                <w:rFonts w:eastAsia="Arial Unicode MS" w:cs="Arial"/>
                <w:sz w:val="18"/>
                <w:szCs w:val="24"/>
              </w:rPr>
            </w:pPr>
          </w:p>
        </w:tc>
      </w:tr>
      <w:tr>
        <w:trPr>
          <w:cantSplit/>
        </w:trPr>
        <w:tc>
          <w:tcPr>
            <w:tcW w:w="1955" w:type="dxa"/>
            <w:vAlign w:val="center"/>
          </w:tcPr>
          <w:p>
            <w:pPr>
              <w:pStyle w:val="GesAbsatz"/>
              <w:rPr>
                <w:rFonts w:eastAsia="Arial Unicode MS" w:cs="Arial"/>
                <w:sz w:val="18"/>
                <w:szCs w:val="24"/>
              </w:rPr>
            </w:pPr>
            <w:r>
              <w:rPr>
                <w:rFonts w:cs="Arial"/>
                <w:sz w:val="18"/>
                <w:szCs w:val="15"/>
              </w:rPr>
              <w:t>Aggregat der kreisfreien Stadt Aachen und des Kreis Aachen</w:t>
            </w:r>
          </w:p>
        </w:tc>
        <w:tc>
          <w:tcPr>
            <w:tcW w:w="1955" w:type="dxa"/>
          </w:tcPr>
          <w:p>
            <w:pPr>
              <w:pStyle w:val="GesAbsatz"/>
              <w:tabs>
                <w:tab w:val="clear" w:pos="425"/>
                <w:tab w:val="decimal" w:pos="1022"/>
              </w:tabs>
              <w:rPr>
                <w:rFonts w:eastAsia="Arial Unicode MS" w:cs="Arial"/>
                <w:sz w:val="18"/>
                <w:szCs w:val="24"/>
              </w:rPr>
            </w:pPr>
            <w:r>
              <w:rPr>
                <w:rFonts w:cs="Arial"/>
                <w:sz w:val="18"/>
              </w:rPr>
              <w:t>171,0</w:t>
            </w:r>
          </w:p>
        </w:tc>
        <w:tc>
          <w:tcPr>
            <w:tcW w:w="1956" w:type="dxa"/>
          </w:tcPr>
          <w:p>
            <w:pPr>
              <w:pStyle w:val="GesAbsatz"/>
              <w:tabs>
                <w:tab w:val="clear" w:pos="425"/>
                <w:tab w:val="decimal" w:pos="1022"/>
              </w:tabs>
              <w:rPr>
                <w:rFonts w:eastAsia="Arial Unicode MS" w:cs="Arial"/>
                <w:sz w:val="18"/>
                <w:szCs w:val="24"/>
              </w:rPr>
            </w:pPr>
            <w:r>
              <w:rPr>
                <w:rFonts w:cs="Arial"/>
                <w:sz w:val="18"/>
              </w:rPr>
              <w:t>287,8</w:t>
            </w:r>
          </w:p>
        </w:tc>
        <w:tc>
          <w:tcPr>
            <w:tcW w:w="2001" w:type="dxa"/>
          </w:tcPr>
          <w:p>
            <w:pPr>
              <w:pStyle w:val="GesAbsatz"/>
              <w:tabs>
                <w:tab w:val="clear" w:pos="425"/>
                <w:tab w:val="decimal" w:pos="1022"/>
              </w:tabs>
              <w:rPr>
                <w:rFonts w:eastAsia="Arial Unicode MS" w:cs="Arial"/>
                <w:sz w:val="18"/>
                <w:szCs w:val="24"/>
              </w:rPr>
            </w:pPr>
            <w:r>
              <w:rPr>
                <w:rFonts w:cs="Arial"/>
                <w:sz w:val="18"/>
              </w:rPr>
              <w:t>287,8</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Aggregat der kreisfreien Städte Köln und Leverkusen und des Rheinisch-Bergischen Kreises</w:t>
            </w:r>
          </w:p>
        </w:tc>
        <w:tc>
          <w:tcPr>
            <w:tcW w:w="1955" w:type="dxa"/>
          </w:tcPr>
          <w:p>
            <w:pPr>
              <w:pStyle w:val="GesAbsatz"/>
              <w:tabs>
                <w:tab w:val="clear" w:pos="425"/>
                <w:tab w:val="decimal" w:pos="1022"/>
              </w:tabs>
              <w:rPr>
                <w:rFonts w:eastAsia="Arial Unicode MS" w:cs="Arial"/>
                <w:sz w:val="18"/>
                <w:szCs w:val="24"/>
              </w:rPr>
            </w:pPr>
            <w:r>
              <w:rPr>
                <w:rFonts w:cs="Arial"/>
                <w:sz w:val="18"/>
              </w:rPr>
              <w:t>53,0</w:t>
            </w:r>
          </w:p>
        </w:tc>
        <w:tc>
          <w:tcPr>
            <w:tcW w:w="1956" w:type="dxa"/>
          </w:tcPr>
          <w:p>
            <w:pPr>
              <w:pStyle w:val="GesAbsatz"/>
              <w:tabs>
                <w:tab w:val="clear" w:pos="425"/>
                <w:tab w:val="decimal" w:pos="1022"/>
              </w:tabs>
              <w:rPr>
                <w:rFonts w:eastAsia="Arial Unicode MS" w:cs="Arial"/>
                <w:sz w:val="18"/>
                <w:szCs w:val="24"/>
              </w:rPr>
            </w:pPr>
            <w:r>
              <w:rPr>
                <w:rFonts w:cs="Arial"/>
                <w:sz w:val="18"/>
              </w:rPr>
              <w:t>53,0</w:t>
            </w:r>
          </w:p>
        </w:tc>
        <w:tc>
          <w:tcPr>
            <w:tcW w:w="2001" w:type="dxa"/>
          </w:tcPr>
          <w:p>
            <w:pPr>
              <w:pStyle w:val="GesAbsatz"/>
              <w:tabs>
                <w:tab w:val="clear" w:pos="425"/>
                <w:tab w:val="decimal" w:pos="1022"/>
              </w:tabs>
              <w:rPr>
                <w:rFonts w:eastAsia="Arial Unicode MS" w:cs="Arial"/>
                <w:sz w:val="18"/>
                <w:szCs w:val="24"/>
              </w:rPr>
            </w:pPr>
            <w:r>
              <w:rPr>
                <w:rFonts w:cs="Arial"/>
                <w:sz w:val="18"/>
              </w:rPr>
              <w:t>64,3</w:t>
            </w:r>
          </w:p>
        </w:tc>
        <w:tc>
          <w:tcPr>
            <w:tcW w:w="1911" w:type="dxa"/>
          </w:tcPr>
          <w:p>
            <w:pPr>
              <w:pStyle w:val="GesAbsatz"/>
              <w:tabs>
                <w:tab w:val="clear" w:pos="425"/>
                <w:tab w:val="decimal" w:pos="1022"/>
              </w:tabs>
              <w:rPr>
                <w:rFonts w:eastAsia="Arial Unicode MS" w:cs="Arial"/>
                <w:sz w:val="18"/>
                <w:szCs w:val="24"/>
              </w:rPr>
            </w:pPr>
            <w:r>
              <w:rPr>
                <w:rFonts w:cs="Arial"/>
                <w:sz w:val="18"/>
              </w:rPr>
              <w:t>11,3</w:t>
            </w:r>
          </w:p>
        </w:tc>
      </w:tr>
      <w:tr>
        <w:trPr>
          <w:cantSplit/>
        </w:trPr>
        <w:tc>
          <w:tcPr>
            <w:tcW w:w="1955" w:type="dxa"/>
            <w:vAlign w:val="center"/>
          </w:tcPr>
          <w:p>
            <w:pPr>
              <w:pStyle w:val="GesAbsatz"/>
              <w:rPr>
                <w:rFonts w:eastAsia="Arial Unicode MS" w:cs="Arial"/>
                <w:sz w:val="18"/>
                <w:szCs w:val="24"/>
              </w:rPr>
            </w:pPr>
            <w:r>
              <w:rPr>
                <w:rFonts w:cs="Arial"/>
                <w:sz w:val="18"/>
                <w:szCs w:val="15"/>
              </w:rPr>
              <w:t>Aggregat der kreisfreien Stadt Bonn und des Rhein-Sieg-Kreises</w:t>
            </w:r>
          </w:p>
        </w:tc>
        <w:tc>
          <w:tcPr>
            <w:tcW w:w="1955" w:type="dxa"/>
          </w:tcPr>
          <w:p>
            <w:pPr>
              <w:pStyle w:val="GesAbsatz"/>
              <w:tabs>
                <w:tab w:val="clear" w:pos="425"/>
                <w:tab w:val="decimal" w:pos="1022"/>
              </w:tabs>
              <w:rPr>
                <w:rFonts w:eastAsia="Arial Unicode MS" w:cs="Arial"/>
                <w:sz w:val="18"/>
                <w:szCs w:val="24"/>
              </w:rPr>
            </w:pPr>
            <w:r>
              <w:rPr>
                <w:rFonts w:cs="Arial"/>
                <w:sz w:val="18"/>
              </w:rPr>
              <w:t>71,0</w:t>
            </w:r>
          </w:p>
        </w:tc>
        <w:tc>
          <w:tcPr>
            <w:tcW w:w="1956" w:type="dxa"/>
          </w:tcPr>
          <w:p>
            <w:pPr>
              <w:pStyle w:val="GesAbsatz"/>
              <w:tabs>
                <w:tab w:val="clear" w:pos="425"/>
                <w:tab w:val="decimal" w:pos="1022"/>
              </w:tabs>
              <w:rPr>
                <w:rFonts w:eastAsia="Arial Unicode MS" w:cs="Arial"/>
                <w:sz w:val="18"/>
                <w:szCs w:val="24"/>
              </w:rPr>
            </w:pPr>
            <w:r>
              <w:rPr>
                <w:rFonts w:cs="Arial"/>
                <w:sz w:val="18"/>
              </w:rPr>
              <w:t>99,7</w:t>
            </w:r>
          </w:p>
        </w:tc>
        <w:tc>
          <w:tcPr>
            <w:tcW w:w="2001" w:type="dxa"/>
          </w:tcPr>
          <w:p>
            <w:pPr>
              <w:pStyle w:val="GesAbsatz"/>
              <w:tabs>
                <w:tab w:val="clear" w:pos="425"/>
                <w:tab w:val="decimal" w:pos="1022"/>
              </w:tabs>
              <w:rPr>
                <w:rFonts w:eastAsia="Arial Unicode MS" w:cs="Arial"/>
                <w:sz w:val="18"/>
                <w:szCs w:val="24"/>
              </w:rPr>
            </w:pPr>
            <w:r>
              <w:rPr>
                <w:rFonts w:cs="Arial"/>
                <w:sz w:val="18"/>
              </w:rPr>
              <w:t>99,8</w:t>
            </w:r>
          </w:p>
        </w:tc>
        <w:tc>
          <w:tcPr>
            <w:tcW w:w="1911" w:type="dxa"/>
          </w:tcPr>
          <w:p>
            <w:pPr>
              <w:pStyle w:val="GesAbsatz"/>
              <w:tabs>
                <w:tab w:val="clear" w:pos="425"/>
                <w:tab w:val="decimal" w:pos="1022"/>
              </w:tabs>
              <w:rPr>
                <w:rFonts w:eastAsia="Arial Unicode MS" w:cs="Arial"/>
                <w:sz w:val="18"/>
                <w:szCs w:val="24"/>
              </w:rPr>
            </w:pPr>
            <w:r>
              <w:rPr>
                <w:rFonts w:cs="Arial"/>
                <w:sz w:val="18"/>
              </w:rPr>
              <w:t>0,1</w:t>
            </w:r>
          </w:p>
        </w:tc>
      </w:tr>
      <w:tr>
        <w:trPr>
          <w:cantSplit/>
        </w:trPr>
        <w:tc>
          <w:tcPr>
            <w:tcW w:w="1955" w:type="dxa"/>
            <w:vAlign w:val="center"/>
          </w:tcPr>
          <w:p>
            <w:pPr>
              <w:pStyle w:val="GesAbsatz"/>
              <w:rPr>
                <w:rFonts w:eastAsia="Arial Unicode MS" w:cs="Arial"/>
                <w:sz w:val="18"/>
                <w:szCs w:val="24"/>
              </w:rPr>
            </w:pPr>
            <w:r>
              <w:rPr>
                <w:rFonts w:cs="Arial"/>
                <w:sz w:val="18"/>
                <w:szCs w:val="15"/>
              </w:rPr>
              <w:t>Kreis Düren</w:t>
            </w:r>
          </w:p>
        </w:tc>
        <w:tc>
          <w:tcPr>
            <w:tcW w:w="1955" w:type="dxa"/>
          </w:tcPr>
          <w:p>
            <w:pPr>
              <w:pStyle w:val="GesAbsatz"/>
              <w:tabs>
                <w:tab w:val="clear" w:pos="425"/>
                <w:tab w:val="decimal" w:pos="1022"/>
              </w:tabs>
              <w:rPr>
                <w:rFonts w:eastAsia="Arial Unicode MS" w:cs="Arial"/>
                <w:sz w:val="18"/>
                <w:szCs w:val="24"/>
              </w:rPr>
            </w:pPr>
            <w:r>
              <w:rPr>
                <w:rFonts w:cs="Arial"/>
                <w:sz w:val="18"/>
              </w:rPr>
              <w:t>72,5</w:t>
            </w:r>
          </w:p>
        </w:tc>
        <w:tc>
          <w:tcPr>
            <w:tcW w:w="1956" w:type="dxa"/>
          </w:tcPr>
          <w:p>
            <w:pPr>
              <w:pStyle w:val="GesAbsatz"/>
              <w:tabs>
                <w:tab w:val="clear" w:pos="425"/>
                <w:tab w:val="decimal" w:pos="1022"/>
              </w:tabs>
              <w:rPr>
                <w:rFonts w:eastAsia="Arial Unicode MS" w:cs="Arial"/>
                <w:sz w:val="18"/>
                <w:szCs w:val="24"/>
              </w:rPr>
            </w:pPr>
            <w:r>
              <w:rPr>
                <w:rFonts w:cs="Arial"/>
                <w:sz w:val="18"/>
              </w:rPr>
              <w:t>83,3</w:t>
            </w:r>
          </w:p>
        </w:tc>
        <w:tc>
          <w:tcPr>
            <w:tcW w:w="2001" w:type="dxa"/>
          </w:tcPr>
          <w:p>
            <w:pPr>
              <w:pStyle w:val="GesAbsatz"/>
              <w:tabs>
                <w:tab w:val="clear" w:pos="425"/>
                <w:tab w:val="decimal" w:pos="1022"/>
              </w:tabs>
              <w:rPr>
                <w:rFonts w:eastAsia="Arial Unicode MS" w:cs="Arial"/>
                <w:sz w:val="18"/>
                <w:szCs w:val="24"/>
              </w:rPr>
            </w:pPr>
            <w:r>
              <w:rPr>
                <w:rFonts w:cs="Arial"/>
                <w:sz w:val="18"/>
              </w:rPr>
              <w:t>99,4</w:t>
            </w:r>
          </w:p>
        </w:tc>
        <w:tc>
          <w:tcPr>
            <w:tcW w:w="1911" w:type="dxa"/>
          </w:tcPr>
          <w:p>
            <w:pPr>
              <w:pStyle w:val="GesAbsatz"/>
              <w:tabs>
                <w:tab w:val="clear" w:pos="425"/>
                <w:tab w:val="decimal" w:pos="1022"/>
              </w:tabs>
              <w:rPr>
                <w:rFonts w:eastAsia="Arial Unicode MS" w:cs="Arial"/>
                <w:sz w:val="18"/>
                <w:szCs w:val="24"/>
              </w:rPr>
            </w:pPr>
            <w:r>
              <w:rPr>
                <w:rFonts w:cs="Arial"/>
                <w:sz w:val="18"/>
              </w:rPr>
              <w:t>16,1</w:t>
            </w:r>
          </w:p>
        </w:tc>
      </w:tr>
      <w:tr>
        <w:trPr>
          <w:cantSplit/>
        </w:trPr>
        <w:tc>
          <w:tcPr>
            <w:tcW w:w="1955" w:type="dxa"/>
            <w:vAlign w:val="center"/>
          </w:tcPr>
          <w:p>
            <w:pPr>
              <w:pStyle w:val="GesAbsatz"/>
              <w:rPr>
                <w:rFonts w:eastAsia="Arial Unicode MS" w:cs="Arial"/>
                <w:sz w:val="18"/>
                <w:szCs w:val="24"/>
              </w:rPr>
            </w:pPr>
            <w:r>
              <w:rPr>
                <w:rFonts w:cs="Arial"/>
                <w:sz w:val="18"/>
                <w:szCs w:val="15"/>
              </w:rPr>
              <w:t>Erftkreis</w:t>
            </w:r>
          </w:p>
        </w:tc>
        <w:tc>
          <w:tcPr>
            <w:tcW w:w="1955" w:type="dxa"/>
          </w:tcPr>
          <w:p>
            <w:pPr>
              <w:pStyle w:val="GesAbsatz"/>
              <w:tabs>
                <w:tab w:val="clear" w:pos="425"/>
                <w:tab w:val="decimal" w:pos="1022"/>
              </w:tabs>
              <w:rPr>
                <w:rFonts w:eastAsia="Arial Unicode MS" w:cs="Arial"/>
                <w:sz w:val="18"/>
                <w:szCs w:val="24"/>
              </w:rPr>
            </w:pPr>
            <w:r>
              <w:rPr>
                <w:rFonts w:cs="Arial"/>
                <w:sz w:val="18"/>
              </w:rPr>
              <w:t>23,5</w:t>
            </w:r>
          </w:p>
        </w:tc>
        <w:tc>
          <w:tcPr>
            <w:tcW w:w="1956" w:type="dxa"/>
          </w:tcPr>
          <w:p>
            <w:pPr>
              <w:pStyle w:val="GesAbsatz"/>
              <w:tabs>
                <w:tab w:val="clear" w:pos="425"/>
                <w:tab w:val="decimal" w:pos="1022"/>
              </w:tabs>
              <w:rPr>
                <w:rFonts w:eastAsia="Arial Unicode MS" w:cs="Arial"/>
                <w:sz w:val="18"/>
                <w:szCs w:val="24"/>
              </w:rPr>
            </w:pPr>
            <w:r>
              <w:rPr>
                <w:rFonts w:cs="Arial"/>
                <w:sz w:val="18"/>
              </w:rPr>
              <w:t>51,5</w:t>
            </w:r>
          </w:p>
        </w:tc>
        <w:tc>
          <w:tcPr>
            <w:tcW w:w="2001" w:type="dxa"/>
          </w:tcPr>
          <w:p>
            <w:pPr>
              <w:pStyle w:val="GesAbsatz"/>
              <w:tabs>
                <w:tab w:val="clear" w:pos="425"/>
                <w:tab w:val="decimal" w:pos="1022"/>
              </w:tabs>
              <w:rPr>
                <w:rFonts w:eastAsia="Arial Unicode MS" w:cs="Arial"/>
                <w:sz w:val="18"/>
                <w:szCs w:val="24"/>
              </w:rPr>
            </w:pPr>
            <w:r>
              <w:rPr>
                <w:rFonts w:cs="Arial"/>
                <w:sz w:val="18"/>
              </w:rPr>
              <w:t>67,6</w:t>
            </w:r>
          </w:p>
        </w:tc>
        <w:tc>
          <w:tcPr>
            <w:tcW w:w="1911" w:type="dxa"/>
          </w:tcPr>
          <w:p>
            <w:pPr>
              <w:pStyle w:val="GesAbsatz"/>
              <w:tabs>
                <w:tab w:val="clear" w:pos="425"/>
                <w:tab w:val="decimal" w:pos="1022"/>
              </w:tabs>
              <w:rPr>
                <w:rFonts w:eastAsia="Arial Unicode MS" w:cs="Arial"/>
                <w:sz w:val="18"/>
                <w:szCs w:val="24"/>
              </w:rPr>
            </w:pPr>
            <w:r>
              <w:rPr>
                <w:rFonts w:cs="Arial"/>
                <w:sz w:val="18"/>
              </w:rPr>
              <w:t>16,1</w:t>
            </w:r>
          </w:p>
        </w:tc>
      </w:tr>
      <w:tr>
        <w:trPr>
          <w:cantSplit/>
        </w:trPr>
        <w:tc>
          <w:tcPr>
            <w:tcW w:w="1955" w:type="dxa"/>
            <w:vAlign w:val="center"/>
          </w:tcPr>
          <w:p>
            <w:pPr>
              <w:pStyle w:val="GesAbsatz"/>
              <w:rPr>
                <w:rFonts w:eastAsia="Arial Unicode MS" w:cs="Arial"/>
                <w:sz w:val="18"/>
                <w:szCs w:val="24"/>
              </w:rPr>
            </w:pPr>
            <w:r>
              <w:rPr>
                <w:rFonts w:cs="Arial"/>
                <w:sz w:val="18"/>
                <w:szCs w:val="15"/>
              </w:rPr>
              <w:t>Kreis Euskirchen</w:t>
            </w:r>
          </w:p>
        </w:tc>
        <w:tc>
          <w:tcPr>
            <w:tcW w:w="1955" w:type="dxa"/>
          </w:tcPr>
          <w:p>
            <w:pPr>
              <w:pStyle w:val="GesAbsatz"/>
              <w:tabs>
                <w:tab w:val="clear" w:pos="425"/>
                <w:tab w:val="decimal" w:pos="1022"/>
              </w:tabs>
              <w:rPr>
                <w:rFonts w:eastAsia="Arial Unicode MS" w:cs="Arial"/>
                <w:sz w:val="18"/>
                <w:szCs w:val="24"/>
              </w:rPr>
            </w:pPr>
            <w:r>
              <w:rPr>
                <w:rFonts w:cs="Arial"/>
                <w:sz w:val="18"/>
              </w:rPr>
              <w:t>66,3</w:t>
            </w:r>
          </w:p>
        </w:tc>
        <w:tc>
          <w:tcPr>
            <w:tcW w:w="1956" w:type="dxa"/>
          </w:tcPr>
          <w:p>
            <w:pPr>
              <w:pStyle w:val="GesAbsatz"/>
              <w:tabs>
                <w:tab w:val="clear" w:pos="425"/>
                <w:tab w:val="decimal" w:pos="1022"/>
              </w:tabs>
              <w:rPr>
                <w:rFonts w:eastAsia="Arial Unicode MS" w:cs="Arial"/>
                <w:sz w:val="18"/>
                <w:szCs w:val="24"/>
              </w:rPr>
            </w:pPr>
            <w:r>
              <w:rPr>
                <w:rFonts w:cs="Arial"/>
                <w:sz w:val="18"/>
              </w:rPr>
              <w:t>76,2</w:t>
            </w:r>
          </w:p>
        </w:tc>
        <w:tc>
          <w:tcPr>
            <w:tcW w:w="2001" w:type="dxa"/>
          </w:tcPr>
          <w:p>
            <w:pPr>
              <w:pStyle w:val="GesAbsatz"/>
              <w:tabs>
                <w:tab w:val="clear" w:pos="425"/>
                <w:tab w:val="decimal" w:pos="1022"/>
              </w:tabs>
              <w:rPr>
                <w:rFonts w:eastAsia="Arial Unicode MS" w:cs="Arial"/>
                <w:sz w:val="18"/>
                <w:szCs w:val="24"/>
              </w:rPr>
            </w:pPr>
            <w:r>
              <w:rPr>
                <w:rFonts w:cs="Arial"/>
                <w:sz w:val="18"/>
              </w:rPr>
              <w:t>86,2</w:t>
            </w:r>
          </w:p>
        </w:tc>
        <w:tc>
          <w:tcPr>
            <w:tcW w:w="1911" w:type="dxa"/>
          </w:tcPr>
          <w:p>
            <w:pPr>
              <w:pStyle w:val="GesAbsatz"/>
              <w:tabs>
                <w:tab w:val="clear" w:pos="425"/>
                <w:tab w:val="decimal" w:pos="1022"/>
              </w:tabs>
              <w:rPr>
                <w:rFonts w:eastAsia="Arial Unicode MS" w:cs="Arial"/>
                <w:sz w:val="18"/>
                <w:szCs w:val="24"/>
              </w:rPr>
            </w:pPr>
            <w:r>
              <w:rPr>
                <w:rFonts w:cs="Arial"/>
                <w:sz w:val="18"/>
              </w:rPr>
              <w:t>10,0</w:t>
            </w:r>
          </w:p>
        </w:tc>
      </w:tr>
      <w:tr>
        <w:trPr>
          <w:cantSplit/>
        </w:trPr>
        <w:tc>
          <w:tcPr>
            <w:tcW w:w="1955" w:type="dxa"/>
            <w:vAlign w:val="center"/>
          </w:tcPr>
          <w:p>
            <w:pPr>
              <w:pStyle w:val="GesAbsatz"/>
              <w:rPr>
                <w:rFonts w:eastAsia="Arial Unicode MS" w:cs="Arial"/>
                <w:sz w:val="18"/>
                <w:szCs w:val="24"/>
              </w:rPr>
            </w:pPr>
            <w:r>
              <w:rPr>
                <w:rFonts w:cs="Arial"/>
                <w:sz w:val="18"/>
                <w:szCs w:val="15"/>
              </w:rPr>
              <w:t xml:space="preserve">Kreis Heinsberg </w:t>
            </w:r>
          </w:p>
        </w:tc>
        <w:tc>
          <w:tcPr>
            <w:tcW w:w="1955" w:type="dxa"/>
          </w:tcPr>
          <w:p>
            <w:pPr>
              <w:pStyle w:val="GesAbsatz"/>
              <w:tabs>
                <w:tab w:val="clear" w:pos="425"/>
                <w:tab w:val="decimal" w:pos="1022"/>
              </w:tabs>
              <w:rPr>
                <w:rFonts w:eastAsia="Arial Unicode MS" w:cs="Arial"/>
                <w:sz w:val="18"/>
                <w:szCs w:val="24"/>
              </w:rPr>
            </w:pPr>
            <w:r>
              <w:rPr>
                <w:rFonts w:cs="Arial"/>
                <w:sz w:val="18"/>
              </w:rPr>
              <w:t>163,9</w:t>
            </w:r>
          </w:p>
        </w:tc>
        <w:tc>
          <w:tcPr>
            <w:tcW w:w="1956" w:type="dxa"/>
          </w:tcPr>
          <w:p>
            <w:pPr>
              <w:pStyle w:val="GesAbsatz"/>
              <w:tabs>
                <w:tab w:val="clear" w:pos="425"/>
                <w:tab w:val="decimal" w:pos="1022"/>
              </w:tabs>
              <w:rPr>
                <w:rFonts w:eastAsia="Arial Unicode MS" w:cs="Arial"/>
                <w:sz w:val="18"/>
                <w:szCs w:val="24"/>
              </w:rPr>
            </w:pPr>
            <w:r>
              <w:rPr>
                <w:rFonts w:cs="Arial"/>
                <w:sz w:val="18"/>
              </w:rPr>
              <w:t>188,5</w:t>
            </w:r>
          </w:p>
        </w:tc>
        <w:tc>
          <w:tcPr>
            <w:tcW w:w="2001" w:type="dxa"/>
          </w:tcPr>
          <w:p>
            <w:pPr>
              <w:pStyle w:val="GesAbsatz"/>
              <w:tabs>
                <w:tab w:val="clear" w:pos="425"/>
                <w:tab w:val="decimal" w:pos="1022"/>
              </w:tabs>
              <w:rPr>
                <w:rFonts w:eastAsia="Arial Unicode MS" w:cs="Arial"/>
                <w:sz w:val="18"/>
                <w:szCs w:val="24"/>
              </w:rPr>
            </w:pPr>
            <w:r>
              <w:rPr>
                <w:rFonts w:cs="Arial"/>
                <w:sz w:val="18"/>
              </w:rPr>
              <w:t>185,5</w:t>
            </w:r>
          </w:p>
        </w:tc>
        <w:tc>
          <w:tcPr>
            <w:tcW w:w="1911" w:type="dxa"/>
          </w:tcPr>
          <w:p>
            <w:pPr>
              <w:pStyle w:val="GesAbsatz"/>
              <w:tabs>
                <w:tab w:val="clear" w:pos="425"/>
                <w:tab w:val="decimal" w:pos="1022"/>
              </w:tabs>
              <w:rPr>
                <w:rFonts w:eastAsia="Arial Unicode MS" w:cs="Arial"/>
                <w:sz w:val="18"/>
                <w:szCs w:val="24"/>
              </w:rPr>
            </w:pPr>
          </w:p>
        </w:tc>
      </w:tr>
      <w:tr>
        <w:trPr>
          <w:cantSplit/>
        </w:trPr>
        <w:tc>
          <w:tcPr>
            <w:tcW w:w="1955" w:type="dxa"/>
            <w:vAlign w:val="center"/>
          </w:tcPr>
          <w:p>
            <w:pPr>
              <w:pStyle w:val="GesAbsatz"/>
              <w:rPr>
                <w:rFonts w:eastAsia="Arial Unicode MS" w:cs="Arial"/>
                <w:sz w:val="18"/>
                <w:szCs w:val="24"/>
              </w:rPr>
            </w:pPr>
            <w:r>
              <w:rPr>
                <w:rFonts w:cs="Arial"/>
                <w:sz w:val="18"/>
                <w:szCs w:val="15"/>
              </w:rPr>
              <w:t xml:space="preserve">Oberbergischer Kreis </w:t>
            </w:r>
          </w:p>
        </w:tc>
        <w:tc>
          <w:tcPr>
            <w:tcW w:w="1955" w:type="dxa"/>
          </w:tcPr>
          <w:p>
            <w:pPr>
              <w:pStyle w:val="GesAbsatz"/>
              <w:tabs>
                <w:tab w:val="clear" w:pos="425"/>
                <w:tab w:val="decimal" w:pos="1022"/>
              </w:tabs>
              <w:rPr>
                <w:rFonts w:eastAsia="Arial Unicode MS" w:cs="Arial"/>
                <w:sz w:val="18"/>
                <w:szCs w:val="24"/>
              </w:rPr>
            </w:pPr>
            <w:r>
              <w:rPr>
                <w:rFonts w:cs="Arial"/>
                <w:sz w:val="18"/>
              </w:rPr>
              <w:t>122,1</w:t>
            </w:r>
          </w:p>
        </w:tc>
        <w:tc>
          <w:tcPr>
            <w:tcW w:w="1956" w:type="dxa"/>
          </w:tcPr>
          <w:p>
            <w:pPr>
              <w:pStyle w:val="GesAbsatz"/>
              <w:tabs>
                <w:tab w:val="clear" w:pos="425"/>
                <w:tab w:val="decimal" w:pos="1022"/>
              </w:tabs>
              <w:rPr>
                <w:rFonts w:eastAsia="Arial Unicode MS" w:cs="Arial"/>
                <w:sz w:val="18"/>
                <w:szCs w:val="24"/>
              </w:rPr>
            </w:pPr>
            <w:r>
              <w:rPr>
                <w:rFonts w:cs="Arial"/>
                <w:sz w:val="18"/>
              </w:rPr>
              <w:t>252,5</w:t>
            </w:r>
          </w:p>
        </w:tc>
        <w:tc>
          <w:tcPr>
            <w:tcW w:w="2001" w:type="dxa"/>
          </w:tcPr>
          <w:p>
            <w:pPr>
              <w:pStyle w:val="GesAbsatz"/>
              <w:tabs>
                <w:tab w:val="clear" w:pos="425"/>
                <w:tab w:val="decimal" w:pos="1022"/>
              </w:tabs>
              <w:rPr>
                <w:rFonts w:eastAsia="Arial Unicode MS" w:cs="Arial"/>
                <w:sz w:val="18"/>
                <w:szCs w:val="24"/>
              </w:rPr>
            </w:pPr>
            <w:r>
              <w:rPr>
                <w:rFonts w:cs="Arial"/>
                <w:sz w:val="18"/>
              </w:rPr>
              <w:t>252,5</w:t>
            </w:r>
          </w:p>
        </w:tc>
        <w:tc>
          <w:tcPr>
            <w:tcW w:w="1911" w:type="dxa"/>
          </w:tcPr>
          <w:p>
            <w:pPr>
              <w:pStyle w:val="GesAbsatz"/>
              <w:tabs>
                <w:tab w:val="clear" w:pos="425"/>
                <w:tab w:val="decimal" w:pos="1022"/>
              </w:tabs>
              <w:rPr>
                <w:rFonts w:eastAsia="Arial Unicode MS" w:cs="Arial"/>
                <w:sz w:val="18"/>
                <w:szCs w:val="24"/>
              </w:rPr>
            </w:pPr>
          </w:p>
        </w:tc>
      </w:tr>
      <w:tr>
        <w:trPr>
          <w:cantSplit/>
        </w:trPr>
        <w:tc>
          <w:tcPr>
            <w:tcW w:w="1955" w:type="dxa"/>
            <w:vAlign w:val="center"/>
          </w:tcPr>
          <w:p>
            <w:pPr>
              <w:pStyle w:val="GesAbsatz"/>
              <w:rPr>
                <w:rFonts w:eastAsia="Arial Unicode MS" w:cs="Arial"/>
                <w:sz w:val="18"/>
                <w:szCs w:val="24"/>
              </w:rPr>
            </w:pPr>
            <w:r>
              <w:rPr>
                <w:rFonts w:cs="Arial"/>
                <w:b/>
                <w:bCs/>
                <w:sz w:val="18"/>
              </w:rPr>
              <w:t>Regierungsbezirk Münster</w:t>
            </w:r>
          </w:p>
        </w:tc>
        <w:tc>
          <w:tcPr>
            <w:tcW w:w="1955" w:type="dxa"/>
          </w:tcPr>
          <w:p>
            <w:pPr>
              <w:pStyle w:val="GesAbsatz"/>
              <w:tabs>
                <w:tab w:val="clear" w:pos="425"/>
                <w:tab w:val="decimal" w:pos="1022"/>
              </w:tabs>
              <w:rPr>
                <w:rFonts w:eastAsia="Arial Unicode MS" w:cs="Arial"/>
                <w:sz w:val="18"/>
                <w:szCs w:val="24"/>
              </w:rPr>
            </w:pPr>
          </w:p>
        </w:tc>
        <w:tc>
          <w:tcPr>
            <w:tcW w:w="1956" w:type="dxa"/>
          </w:tcPr>
          <w:p>
            <w:pPr>
              <w:pStyle w:val="GesAbsatz"/>
              <w:tabs>
                <w:tab w:val="clear" w:pos="425"/>
                <w:tab w:val="decimal" w:pos="1022"/>
              </w:tabs>
              <w:rPr>
                <w:rFonts w:eastAsia="Arial Unicode MS" w:cs="Arial"/>
                <w:sz w:val="18"/>
                <w:szCs w:val="24"/>
              </w:rPr>
            </w:pPr>
          </w:p>
        </w:tc>
        <w:tc>
          <w:tcPr>
            <w:tcW w:w="2001" w:type="dxa"/>
          </w:tcPr>
          <w:p>
            <w:pPr>
              <w:pStyle w:val="GesAbsatz"/>
              <w:tabs>
                <w:tab w:val="clear" w:pos="425"/>
                <w:tab w:val="decimal" w:pos="1022"/>
              </w:tabs>
              <w:rPr>
                <w:rFonts w:eastAsia="Arial Unicode MS" w:cs="Arial"/>
                <w:sz w:val="18"/>
                <w:szCs w:val="24"/>
              </w:rPr>
            </w:pPr>
          </w:p>
        </w:tc>
        <w:tc>
          <w:tcPr>
            <w:tcW w:w="1911" w:type="dxa"/>
            <w:vAlign w:val="center"/>
          </w:tcPr>
          <w:p>
            <w:pPr>
              <w:pStyle w:val="GesAbsatz"/>
              <w:tabs>
                <w:tab w:val="clear" w:pos="425"/>
                <w:tab w:val="decimal" w:pos="1022"/>
              </w:tabs>
              <w:rPr>
                <w:rFonts w:eastAsia="Arial Unicode MS" w:cs="Arial"/>
                <w:sz w:val="18"/>
                <w:szCs w:val="24"/>
              </w:rPr>
            </w:pPr>
          </w:p>
        </w:tc>
      </w:tr>
      <w:tr>
        <w:trPr>
          <w:cantSplit/>
        </w:trPr>
        <w:tc>
          <w:tcPr>
            <w:tcW w:w="1955" w:type="dxa"/>
            <w:vAlign w:val="center"/>
          </w:tcPr>
          <w:p>
            <w:pPr>
              <w:pStyle w:val="GesAbsatz"/>
              <w:rPr>
                <w:rFonts w:eastAsia="Arial Unicode MS" w:cs="Arial"/>
                <w:sz w:val="18"/>
                <w:szCs w:val="24"/>
              </w:rPr>
            </w:pPr>
            <w:r>
              <w:rPr>
                <w:rFonts w:cs="Arial"/>
                <w:sz w:val="18"/>
                <w:szCs w:val="15"/>
              </w:rPr>
              <w:t>Aggregat der kreisfreien Städte Bottrop und Gelsenkirchen und des Kreises Recklinghausen</w:t>
            </w:r>
          </w:p>
        </w:tc>
        <w:tc>
          <w:tcPr>
            <w:tcW w:w="1955" w:type="dxa"/>
          </w:tcPr>
          <w:p>
            <w:pPr>
              <w:pStyle w:val="GesAbsatz"/>
              <w:tabs>
                <w:tab w:val="clear" w:pos="425"/>
                <w:tab w:val="decimal" w:pos="1022"/>
              </w:tabs>
              <w:rPr>
                <w:rFonts w:eastAsia="Arial Unicode MS" w:cs="Arial"/>
                <w:sz w:val="18"/>
                <w:szCs w:val="24"/>
              </w:rPr>
            </w:pPr>
            <w:r>
              <w:rPr>
                <w:rFonts w:cs="Arial"/>
                <w:sz w:val="18"/>
              </w:rPr>
              <w:t>227,2</w:t>
            </w:r>
          </w:p>
        </w:tc>
        <w:tc>
          <w:tcPr>
            <w:tcW w:w="1956" w:type="dxa"/>
          </w:tcPr>
          <w:p>
            <w:pPr>
              <w:pStyle w:val="GesAbsatz"/>
              <w:tabs>
                <w:tab w:val="clear" w:pos="425"/>
                <w:tab w:val="decimal" w:pos="1022"/>
              </w:tabs>
              <w:rPr>
                <w:rFonts w:eastAsia="Arial Unicode MS" w:cs="Arial"/>
                <w:sz w:val="18"/>
                <w:szCs w:val="24"/>
              </w:rPr>
            </w:pPr>
            <w:r>
              <w:rPr>
                <w:rFonts w:cs="Arial"/>
                <w:sz w:val="18"/>
              </w:rPr>
              <w:t>246,6</w:t>
            </w:r>
          </w:p>
        </w:tc>
        <w:tc>
          <w:tcPr>
            <w:tcW w:w="2001" w:type="dxa"/>
          </w:tcPr>
          <w:p>
            <w:pPr>
              <w:pStyle w:val="GesAbsatz"/>
              <w:tabs>
                <w:tab w:val="clear" w:pos="425"/>
                <w:tab w:val="decimal" w:pos="1022"/>
              </w:tabs>
              <w:rPr>
                <w:rFonts w:eastAsia="Arial Unicode MS" w:cs="Arial"/>
                <w:sz w:val="18"/>
                <w:szCs w:val="24"/>
              </w:rPr>
            </w:pPr>
            <w:r>
              <w:rPr>
                <w:rFonts w:cs="Arial"/>
                <w:sz w:val="18"/>
              </w:rPr>
              <w:t>246,6</w:t>
            </w:r>
          </w:p>
        </w:tc>
        <w:tc>
          <w:tcPr>
            <w:tcW w:w="1911" w:type="dxa"/>
            <w:vAlign w:val="center"/>
          </w:tcPr>
          <w:p>
            <w:pPr>
              <w:pStyle w:val="GesAbsatz"/>
              <w:tabs>
                <w:tab w:val="clear" w:pos="425"/>
                <w:tab w:val="decimal" w:pos="1022"/>
              </w:tabs>
              <w:rPr>
                <w:rFonts w:eastAsia="Arial Unicode MS" w:cs="Arial"/>
                <w:sz w:val="18"/>
                <w:szCs w:val="24"/>
              </w:rPr>
            </w:pPr>
          </w:p>
        </w:tc>
      </w:tr>
      <w:tr>
        <w:trPr>
          <w:cantSplit/>
        </w:trPr>
        <w:tc>
          <w:tcPr>
            <w:tcW w:w="1955" w:type="dxa"/>
            <w:vAlign w:val="center"/>
          </w:tcPr>
          <w:p>
            <w:pPr>
              <w:pStyle w:val="GesAbsatz"/>
              <w:rPr>
                <w:rFonts w:eastAsia="Arial Unicode MS" w:cs="Arial"/>
                <w:sz w:val="18"/>
                <w:szCs w:val="24"/>
              </w:rPr>
            </w:pPr>
            <w:r>
              <w:rPr>
                <w:rFonts w:cs="Arial"/>
                <w:sz w:val="18"/>
                <w:szCs w:val="15"/>
              </w:rPr>
              <w:t>Aggregat der kreisfreien Stadt Münster und des Kreises Warendorf</w:t>
            </w:r>
          </w:p>
        </w:tc>
        <w:tc>
          <w:tcPr>
            <w:tcW w:w="1955" w:type="dxa"/>
          </w:tcPr>
          <w:p>
            <w:pPr>
              <w:pStyle w:val="GesAbsatz"/>
              <w:tabs>
                <w:tab w:val="clear" w:pos="425"/>
                <w:tab w:val="decimal" w:pos="1022"/>
              </w:tabs>
              <w:rPr>
                <w:rFonts w:eastAsia="Arial Unicode MS" w:cs="Arial"/>
                <w:sz w:val="18"/>
                <w:szCs w:val="24"/>
              </w:rPr>
            </w:pPr>
            <w:r>
              <w:rPr>
                <w:rFonts w:cs="Arial"/>
                <w:sz w:val="18"/>
              </w:rPr>
              <w:t>248,8</w:t>
            </w:r>
          </w:p>
        </w:tc>
        <w:tc>
          <w:tcPr>
            <w:tcW w:w="1956" w:type="dxa"/>
          </w:tcPr>
          <w:p>
            <w:pPr>
              <w:pStyle w:val="GesAbsatz"/>
              <w:tabs>
                <w:tab w:val="clear" w:pos="425"/>
                <w:tab w:val="decimal" w:pos="1022"/>
              </w:tabs>
              <w:rPr>
                <w:rFonts w:eastAsia="Arial Unicode MS" w:cs="Arial"/>
                <w:sz w:val="18"/>
                <w:szCs w:val="24"/>
              </w:rPr>
            </w:pPr>
            <w:r>
              <w:rPr>
                <w:rFonts w:cs="Arial"/>
                <w:sz w:val="18"/>
              </w:rPr>
              <w:t>249,7</w:t>
            </w:r>
          </w:p>
        </w:tc>
        <w:tc>
          <w:tcPr>
            <w:tcW w:w="2001" w:type="dxa"/>
          </w:tcPr>
          <w:p>
            <w:pPr>
              <w:pStyle w:val="GesAbsatz"/>
              <w:tabs>
                <w:tab w:val="clear" w:pos="425"/>
                <w:tab w:val="decimal" w:pos="1022"/>
              </w:tabs>
              <w:rPr>
                <w:rFonts w:eastAsia="Arial Unicode MS" w:cs="Arial"/>
                <w:sz w:val="18"/>
                <w:szCs w:val="24"/>
              </w:rPr>
            </w:pPr>
            <w:r>
              <w:rPr>
                <w:rFonts w:cs="Arial"/>
                <w:sz w:val="18"/>
              </w:rPr>
              <w:t>249,7</w:t>
            </w:r>
          </w:p>
        </w:tc>
        <w:tc>
          <w:tcPr>
            <w:tcW w:w="1911" w:type="dxa"/>
            <w:vAlign w:val="center"/>
          </w:tcPr>
          <w:p>
            <w:pPr>
              <w:pStyle w:val="GesAbsatz"/>
              <w:tabs>
                <w:tab w:val="clear" w:pos="425"/>
                <w:tab w:val="decimal" w:pos="1022"/>
              </w:tabs>
              <w:rPr>
                <w:rFonts w:eastAsia="Arial Unicode MS" w:cs="Arial"/>
                <w:sz w:val="18"/>
                <w:szCs w:val="24"/>
              </w:rPr>
            </w:pPr>
          </w:p>
        </w:tc>
      </w:tr>
      <w:tr>
        <w:trPr>
          <w:cantSplit/>
        </w:trPr>
        <w:tc>
          <w:tcPr>
            <w:tcW w:w="1955" w:type="dxa"/>
            <w:vAlign w:val="center"/>
          </w:tcPr>
          <w:p>
            <w:pPr>
              <w:pStyle w:val="GesAbsatz"/>
              <w:rPr>
                <w:rFonts w:eastAsia="Arial Unicode MS" w:cs="Arial"/>
                <w:sz w:val="18"/>
                <w:szCs w:val="24"/>
              </w:rPr>
            </w:pPr>
            <w:r>
              <w:rPr>
                <w:rFonts w:cs="Arial"/>
                <w:sz w:val="18"/>
                <w:szCs w:val="15"/>
              </w:rPr>
              <w:lastRenderedPageBreak/>
              <w:t>Kreis Borken</w:t>
            </w:r>
          </w:p>
        </w:tc>
        <w:tc>
          <w:tcPr>
            <w:tcW w:w="1955" w:type="dxa"/>
          </w:tcPr>
          <w:p>
            <w:pPr>
              <w:pStyle w:val="GesAbsatz"/>
              <w:tabs>
                <w:tab w:val="clear" w:pos="425"/>
                <w:tab w:val="decimal" w:pos="1022"/>
              </w:tabs>
              <w:rPr>
                <w:rFonts w:eastAsia="Arial Unicode MS" w:cs="Arial"/>
                <w:sz w:val="18"/>
                <w:szCs w:val="24"/>
              </w:rPr>
            </w:pPr>
            <w:r>
              <w:rPr>
                <w:rFonts w:cs="Arial"/>
                <w:sz w:val="18"/>
              </w:rPr>
              <w:t>345,1</w:t>
            </w:r>
          </w:p>
        </w:tc>
        <w:tc>
          <w:tcPr>
            <w:tcW w:w="1956" w:type="dxa"/>
          </w:tcPr>
          <w:p>
            <w:pPr>
              <w:pStyle w:val="GesAbsatz"/>
              <w:tabs>
                <w:tab w:val="clear" w:pos="425"/>
                <w:tab w:val="decimal" w:pos="1022"/>
              </w:tabs>
              <w:rPr>
                <w:rFonts w:eastAsia="Arial Unicode MS" w:cs="Arial"/>
                <w:sz w:val="18"/>
                <w:szCs w:val="24"/>
              </w:rPr>
            </w:pPr>
            <w:r>
              <w:rPr>
                <w:rFonts w:cs="Arial"/>
                <w:sz w:val="18"/>
              </w:rPr>
              <w:t>350,4</w:t>
            </w:r>
          </w:p>
        </w:tc>
        <w:tc>
          <w:tcPr>
            <w:tcW w:w="2001" w:type="dxa"/>
          </w:tcPr>
          <w:p>
            <w:pPr>
              <w:pStyle w:val="GesAbsatz"/>
              <w:tabs>
                <w:tab w:val="clear" w:pos="425"/>
                <w:tab w:val="decimal" w:pos="1022"/>
              </w:tabs>
              <w:rPr>
                <w:rFonts w:eastAsia="Arial Unicode MS" w:cs="Arial"/>
                <w:sz w:val="18"/>
                <w:szCs w:val="24"/>
              </w:rPr>
            </w:pPr>
            <w:r>
              <w:rPr>
                <w:rFonts w:cs="Arial"/>
                <w:sz w:val="18"/>
              </w:rPr>
              <w:t>350,4</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Kreis Coesfeld</w:t>
            </w:r>
          </w:p>
        </w:tc>
        <w:tc>
          <w:tcPr>
            <w:tcW w:w="1955" w:type="dxa"/>
          </w:tcPr>
          <w:p>
            <w:pPr>
              <w:pStyle w:val="GesAbsatz"/>
              <w:tabs>
                <w:tab w:val="clear" w:pos="425"/>
                <w:tab w:val="decimal" w:pos="1022"/>
              </w:tabs>
              <w:rPr>
                <w:rFonts w:eastAsia="Arial Unicode MS" w:cs="Arial"/>
                <w:sz w:val="18"/>
                <w:szCs w:val="24"/>
              </w:rPr>
            </w:pPr>
            <w:r>
              <w:rPr>
                <w:rFonts w:cs="Arial"/>
                <w:sz w:val="18"/>
              </w:rPr>
              <w:t>287,6</w:t>
            </w:r>
          </w:p>
        </w:tc>
        <w:tc>
          <w:tcPr>
            <w:tcW w:w="1956" w:type="dxa"/>
          </w:tcPr>
          <w:p>
            <w:pPr>
              <w:pStyle w:val="GesAbsatz"/>
              <w:tabs>
                <w:tab w:val="clear" w:pos="425"/>
                <w:tab w:val="decimal" w:pos="1022"/>
              </w:tabs>
              <w:rPr>
                <w:rFonts w:eastAsia="Arial Unicode MS" w:cs="Arial"/>
                <w:sz w:val="18"/>
                <w:szCs w:val="24"/>
              </w:rPr>
            </w:pPr>
            <w:r>
              <w:rPr>
                <w:rFonts w:cs="Arial"/>
                <w:sz w:val="18"/>
              </w:rPr>
              <w:t>295,4</w:t>
            </w:r>
          </w:p>
        </w:tc>
        <w:tc>
          <w:tcPr>
            <w:tcW w:w="2001" w:type="dxa"/>
          </w:tcPr>
          <w:p>
            <w:pPr>
              <w:pStyle w:val="GesAbsatz"/>
              <w:tabs>
                <w:tab w:val="clear" w:pos="425"/>
                <w:tab w:val="decimal" w:pos="1022"/>
              </w:tabs>
              <w:rPr>
                <w:rFonts w:eastAsia="Arial Unicode MS" w:cs="Arial"/>
                <w:sz w:val="18"/>
                <w:szCs w:val="24"/>
              </w:rPr>
            </w:pPr>
            <w:r>
              <w:rPr>
                <w:rFonts w:cs="Arial"/>
                <w:sz w:val="18"/>
              </w:rPr>
              <w:t>295,4</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1955" w:type="dxa"/>
            <w:vAlign w:val="center"/>
          </w:tcPr>
          <w:p>
            <w:pPr>
              <w:pStyle w:val="GesAbsatz"/>
              <w:rPr>
                <w:rFonts w:eastAsia="Arial Unicode MS" w:cs="Arial"/>
                <w:sz w:val="18"/>
                <w:szCs w:val="24"/>
              </w:rPr>
            </w:pPr>
            <w:r>
              <w:rPr>
                <w:rFonts w:cs="Arial"/>
                <w:sz w:val="18"/>
                <w:szCs w:val="15"/>
              </w:rPr>
              <w:t>Kreis Steinfurt</w:t>
            </w:r>
          </w:p>
        </w:tc>
        <w:tc>
          <w:tcPr>
            <w:tcW w:w="1955" w:type="dxa"/>
          </w:tcPr>
          <w:p>
            <w:pPr>
              <w:pStyle w:val="GesAbsatz"/>
              <w:tabs>
                <w:tab w:val="clear" w:pos="425"/>
                <w:tab w:val="decimal" w:pos="1022"/>
              </w:tabs>
              <w:rPr>
                <w:rFonts w:eastAsia="Arial Unicode MS" w:cs="Arial"/>
                <w:sz w:val="18"/>
                <w:szCs w:val="24"/>
              </w:rPr>
            </w:pPr>
            <w:r>
              <w:rPr>
                <w:rFonts w:cs="Arial"/>
                <w:sz w:val="18"/>
              </w:rPr>
              <w:t>272,6</w:t>
            </w:r>
          </w:p>
        </w:tc>
        <w:tc>
          <w:tcPr>
            <w:tcW w:w="1956" w:type="dxa"/>
          </w:tcPr>
          <w:p>
            <w:pPr>
              <w:pStyle w:val="GesAbsatz"/>
              <w:tabs>
                <w:tab w:val="clear" w:pos="425"/>
                <w:tab w:val="decimal" w:pos="1022"/>
              </w:tabs>
              <w:rPr>
                <w:rFonts w:eastAsia="Arial Unicode MS" w:cs="Arial"/>
                <w:sz w:val="18"/>
                <w:szCs w:val="24"/>
              </w:rPr>
            </w:pPr>
            <w:r>
              <w:rPr>
                <w:rFonts w:cs="Arial"/>
                <w:sz w:val="18"/>
              </w:rPr>
              <w:t>281,0</w:t>
            </w:r>
          </w:p>
        </w:tc>
        <w:tc>
          <w:tcPr>
            <w:tcW w:w="2001" w:type="dxa"/>
          </w:tcPr>
          <w:p>
            <w:pPr>
              <w:pStyle w:val="GesAbsatz"/>
              <w:tabs>
                <w:tab w:val="clear" w:pos="425"/>
                <w:tab w:val="decimal" w:pos="1022"/>
              </w:tabs>
              <w:rPr>
                <w:rFonts w:eastAsia="Arial Unicode MS" w:cs="Arial"/>
                <w:sz w:val="18"/>
                <w:szCs w:val="24"/>
              </w:rPr>
            </w:pPr>
            <w:r>
              <w:rPr>
                <w:rFonts w:cs="Arial"/>
                <w:sz w:val="18"/>
              </w:rPr>
              <w:t>281,0</w:t>
            </w:r>
          </w:p>
        </w:tc>
        <w:tc>
          <w:tcPr>
            <w:tcW w:w="1911" w:type="dxa"/>
          </w:tcPr>
          <w:p>
            <w:pPr>
              <w:pStyle w:val="GesAbsatz"/>
              <w:tabs>
                <w:tab w:val="clear" w:pos="425"/>
                <w:tab w:val="decimal" w:pos="1022"/>
              </w:tabs>
              <w:rPr>
                <w:rFonts w:eastAsia="Arial Unicode MS" w:cs="Arial"/>
                <w:sz w:val="18"/>
                <w:szCs w:val="24"/>
              </w:rPr>
            </w:pPr>
            <w:r>
              <w:rPr>
                <w:rFonts w:cs="Arial"/>
                <w:sz w:val="18"/>
              </w:rPr>
              <w:t>0,0</w:t>
            </w:r>
          </w:p>
        </w:tc>
      </w:tr>
      <w:tr>
        <w:trPr>
          <w:cantSplit/>
        </w:trPr>
        <w:tc>
          <w:tcPr>
            <w:tcW w:w="9778" w:type="dxa"/>
            <w:gridSpan w:val="5"/>
            <w:vAlign w:val="center"/>
          </w:tcPr>
          <w:p>
            <w:pPr>
              <w:pStyle w:val="GesAbsatz"/>
              <w:rPr>
                <w:rFonts w:eastAsia="Arial Unicode MS" w:cs="Arial"/>
                <w:sz w:val="18"/>
                <w:szCs w:val="24"/>
              </w:rPr>
            </w:pPr>
            <w:r>
              <w:rPr>
                <w:rFonts w:cs="Arial"/>
                <w:sz w:val="18"/>
                <w:szCs w:val="15"/>
                <w:vertAlign w:val="superscript"/>
              </w:rPr>
              <w:t>1</w:t>
            </w:r>
            <w:r>
              <w:rPr>
                <w:rFonts w:cs="Arial"/>
                <w:sz w:val="18"/>
                <w:szCs w:val="15"/>
              </w:rPr>
              <w:t xml:space="preserve"> Düngung nach „guter fachlicher Praxis“, d. h. nach Bodengehalt und Entzug</w:t>
            </w:r>
            <w:r>
              <w:rPr>
                <w:rFonts w:cs="Arial"/>
                <w:sz w:val="18"/>
                <w:szCs w:val="15"/>
              </w:rPr>
              <w:br/>
            </w:r>
            <w:r>
              <w:rPr>
                <w:rFonts w:cs="Arial"/>
                <w:sz w:val="18"/>
                <w:szCs w:val="15"/>
                <w:vertAlign w:val="superscript"/>
              </w:rPr>
              <w:t>2</w:t>
            </w:r>
            <w:r>
              <w:rPr>
                <w:rFonts w:cs="Arial"/>
                <w:sz w:val="18"/>
                <w:szCs w:val="15"/>
              </w:rPr>
              <w:t xml:space="preserve"> Maximale Kompostmenge nach Variante 3b: d. h. 400.000 Mg/a in die Landwirtschaft</w:t>
            </w:r>
          </w:p>
        </w:tc>
      </w:tr>
    </w:tbl>
    <w:p>
      <w:pPr>
        <w:pStyle w:val="GesAbsatz"/>
        <w:rPr>
          <w:rFonts w:eastAsia="Arial Unicode MS" w:cs="Arial"/>
          <w:szCs w:val="24"/>
        </w:rPr>
      </w:pPr>
    </w:p>
    <w:p>
      <w:pPr>
        <w:pStyle w:val="GesAbsatz"/>
        <w:rPr>
          <w:rFonts w:cs="Arial"/>
        </w:rPr>
      </w:pPr>
      <w:r>
        <w:rPr>
          <w:rFonts w:cs="Arial"/>
        </w:rPr>
        <w:t>Insgesamt sind aufgrund der konkreten Randbedingungen für die Verwertung der getrennt gesammelten Bio- und Grünabfälle folgende Möglichkeiten in Betracht zu ziehen:</w:t>
      </w:r>
    </w:p>
    <w:p>
      <w:pPr>
        <w:pStyle w:val="GesAbsatz"/>
        <w:ind w:left="426" w:hanging="426"/>
        <w:rPr>
          <w:rFonts w:cs="Arial"/>
        </w:rPr>
      </w:pPr>
      <w:r>
        <w:rPr>
          <w:rFonts w:cs="Arial"/>
        </w:rPr>
        <w:t>-</w:t>
      </w:r>
      <w:r>
        <w:rPr>
          <w:rFonts w:cs="Arial"/>
        </w:rPr>
        <w:tab/>
        <w:t>Die großen Ackerbauflächen der Köln-Aachener-Bucht und Ostwestfalens könnten theoretisch die prognostizierte maximale Kompostmenge aufnehmen (siehe hierzu Tabelle 33). Eine Umverteilung der tatsächlich sehr viel kleineren „Überhangmenge“ (Wirtschaftsdünger als konstant betrachtet) innerhalb Nordrhein-Westfalens ist denkbar, solange die Transportentfernungen optimiert werden.</w:t>
      </w:r>
    </w:p>
    <w:p>
      <w:pPr>
        <w:pStyle w:val="GesAbsatz"/>
        <w:ind w:left="426" w:hanging="426"/>
        <w:rPr>
          <w:rFonts w:cs="Arial"/>
        </w:rPr>
      </w:pPr>
      <w:r>
        <w:rPr>
          <w:rFonts w:cs="Arial"/>
        </w:rPr>
        <w:t>-</w:t>
      </w:r>
      <w:r>
        <w:rPr>
          <w:rFonts w:cs="Arial"/>
        </w:rPr>
        <w:tab/>
        <w:t>Die zusätzliche Verarbeitung und Verwertung von Bioabfällen aus anderen Kreisen und Städten in den viehstarken Regionen sollte mittel- bis langfristig überdacht bzw. geändert werden. Das heißt aber nicht, dass diese Kreise überhaupt keinen Kompost aufnehmen können. Die gegenwärtige Praxis, einen erheblichen Teil der Komposte auch in Kreisen mit hoher Viehdichte landwirtschaftlich zu verwerten, kann beibehalten werden, da es in diesen Kreisen auch „viehschwache“ Landwirtschaftsbetriebe gibt, die den Kompost nutzbringend einsetzen können.</w:t>
      </w:r>
    </w:p>
    <w:p>
      <w:pPr>
        <w:pStyle w:val="GesAbsatz"/>
        <w:ind w:left="426" w:hanging="426"/>
        <w:rPr>
          <w:rFonts w:cs="Arial"/>
        </w:rPr>
      </w:pPr>
      <w:r>
        <w:rPr>
          <w:rFonts w:cs="Arial"/>
        </w:rPr>
        <w:t>-</w:t>
      </w:r>
      <w:r>
        <w:rPr>
          <w:rFonts w:cs="Arial"/>
        </w:rPr>
        <w:tab/>
        <w:t>Bei den Varianten der Kompostverwertung in der Landwirtschaft wurden nur die Ackerflächen betrachtet. Insofern stellt das Grünland eine gewisse Reserve dar, die jedoch wegen der Verbindung von Grünland und Viehhaltung nicht überbewertet werden sollte. In manchen Gebieten Nordrhein-Westfalens könnte dieser Einsatzbereich jedoch für Kompost noch stärker erschlossen werden.</w:t>
      </w:r>
    </w:p>
    <w:p>
      <w:pPr>
        <w:pStyle w:val="GesAbsatz"/>
        <w:ind w:left="426" w:hanging="426"/>
        <w:rPr>
          <w:rFonts w:cs="Arial"/>
        </w:rPr>
      </w:pPr>
      <w:r>
        <w:rPr>
          <w:rFonts w:cs="Arial"/>
        </w:rPr>
        <w:t>-</w:t>
      </w:r>
      <w:r>
        <w:rPr>
          <w:rFonts w:cs="Arial"/>
        </w:rPr>
        <w:tab/>
        <w:t>Letztlich sollten noch mehr Anstrengungen darauf verwandt werden, die nicht-landwirtschaftlichen Marktsegmente für die Verwertung von Komposten in stärkerem Maße zu erschließen (z. B. Vorgaben bei Ausschreibungen der öffentlichen Hand, Rekultivierungsmaßnahmen). Dies kann auch zur Reduzierung von Transporten beitragen. Dabei dürfen aber auch in den außerlandwirtschaftlichen Verwertungsbereichen die Problemfelder – wie zum Beispiel die Überdüngung von Haus- und Kleingärten – nicht vernachlässigt werden und es sind die Vorgaben der BBodSchV zu beachten.</w:t>
      </w:r>
    </w:p>
    <w:p>
      <w:pPr>
        <w:pStyle w:val="GesAbsatz"/>
        <w:rPr>
          <w:rFonts w:eastAsia="Arial Unicode MS" w:cs="Arial"/>
          <w:szCs w:val="24"/>
        </w:rPr>
      </w:pPr>
      <w:r>
        <w:rPr>
          <w:rFonts w:cs="Arial"/>
        </w:rPr>
        <w:t>Auf Grund der gegebenen Situation der Nährstoffversorgung der landwirtschaftlichen Flächen und struktureller Merkmale – wie dem teils sehr hohen Viehbesatz – scheint ein gewisses Mindestmaß an Organisation der Verwertung notwendig. Optimal ist ein umfassendes Stoffstrommanagement aller organischen Abfälle einschließlich der Wirtschaftsdünger. Ein solches Organisationsmodell ist kooperativ mit dem Ziel eines eigenverantwortlichen Absatzes durch die Kompostproduzenten bei einem Mindestmaß an gleichzeitiger Überwachung und Steuerung zu erstellen.</w:t>
      </w:r>
    </w:p>
    <w:sectPr>
      <w:type w:val="evenPage"/>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ind w:right="-1"/>
    </w:pPr>
    <w:r>
      <w:tab/>
      <w:t xml:space="preserve">Stand </w:t>
    </w:r>
    <w:r>
      <w:tab/>
      <w:t xml:space="preserve">Seite </w:t>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Funotentext"/>
      </w:pPr>
      <w:r>
        <w:rPr>
          <w:rStyle w:val="Funotenzeichen"/>
        </w:rPr>
        <w:footnoteRef/>
      </w:r>
      <w:r>
        <w:rPr>
          <w:rFonts w:cs="Arial"/>
          <w:sz w:val="15"/>
          <w:szCs w:val="15"/>
        </w:rPr>
        <w:t xml:space="preserve"> </w:t>
      </w:r>
      <w:r>
        <w:rPr>
          <w:rFonts w:cs="Arial"/>
          <w:szCs w:val="15"/>
        </w:rPr>
        <w:t>Da es hier keine Flächenzuweisungen an die einzelnen Regierungsbezirke bzw. Kreise gab, wurde aus der Gesamtfläche und der Anzahl der Betriebe die durchschnittliche Betriebsgröße für das Gebiet der Kammer Rheinland errechnet; multipliziert mit der Anzahl der Betriebe ergab sich die Fläche im Regierungsbezirk. (Nach Zahlen der Gartenbauerhebung 1994 Landwirtschaftskammer Rheinland, 1996, Landwirtschaftskammer Westfalen-Lippe, 1995.)</w:t>
      </w:r>
    </w:p>
  </w:footnote>
  <w:footnote w:id="2">
    <w:p>
      <w:pPr>
        <w:pStyle w:val="Funotentext"/>
      </w:pPr>
      <w:r>
        <w:rPr>
          <w:rStyle w:val="Funotenzeichen"/>
        </w:rPr>
        <w:footnoteRef/>
      </w:r>
      <w:r>
        <w:t xml:space="preserve"> </w:t>
      </w:r>
      <w:r>
        <w:rPr>
          <w:rFonts w:cs="Arial"/>
          <w:sz w:val="15"/>
          <w:szCs w:val="15"/>
        </w:rPr>
        <w:t>Daten zu Ökologie und Ökonomie der unterschiedlichen Verwertungswege wären wünschenswert, um die Varianten noch präziser gestalten zu können. Diese werden zur Zeit im Rahmen eines F+E Vorhabens der Deutschen Bundesstiftung Umwelt erarbeitet und konnten für diese Untersuchung noch nicht herangezogen werden. (Untersuchung der Umweltverträglichkeit von Systemen der Verwertung von biologisch-organischen Abfällen; AZ 008848; Ifeu, IÖW, PlanCoTec, 1998 bis 2000).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40.2-25</w:t>
    </w:r>
  </w:p>
  <w:p>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36"/>
    <o:shapelayout v:ext="edit">
      <o:idmap v:ext="edit" data="1"/>
    </o:shapelayout>
  </w:shapeDefaults>
  <w:decimalSymbol w:val=","/>
  <w:listSeparator w:val=";"/>
  <w15:docId w15:val="{21D15926-14C9-4AAA-845A-828FEF9B8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rPr>
      <w:rFonts w:ascii="Arial" w:hAnsi="Arial"/>
      <w:sz w:val="16"/>
    </w:rPr>
  </w:style>
  <w:style w:type="paragraph" w:styleId="Verzeichnis2">
    <w:name w:val="toc 2"/>
    <w:basedOn w:val="Standard"/>
    <w:next w:val="Standard"/>
    <w:semiHidden/>
    <w:pPr>
      <w:tabs>
        <w:tab w:val="clear" w:pos="425"/>
        <w:tab w:val="right" w:leader="dot" w:pos="9638"/>
      </w:tabs>
      <w:spacing w:before="0" w:after="0"/>
      <w:jc w:val="left"/>
    </w:pPr>
    <w:rPr>
      <w:rFonts w:ascii="Times New Roman" w:hAnsi="Times New Roman"/>
      <w:smallCaps/>
    </w:rPr>
  </w:style>
  <w:style w:type="paragraph" w:styleId="Beschriftung">
    <w:name w:val="caption"/>
    <w:basedOn w:val="Standard"/>
    <w:next w:val="Standard"/>
    <w:qFormat/>
    <w:pPr>
      <w:spacing w:before="120"/>
    </w:pPr>
    <w:rPr>
      <w:b/>
    </w:rPr>
  </w:style>
  <w:style w:type="paragraph" w:styleId="Verzeichnis3">
    <w:name w:val="toc 3"/>
    <w:basedOn w:val="Standard"/>
    <w:next w:val="Standard"/>
    <w:semiHidden/>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semiHidden/>
    <w:pPr>
      <w:spacing w:before="120" w:after="120"/>
      <w:ind w:left="0"/>
    </w:pPr>
    <w:rPr>
      <w:b/>
      <w:i w:val="0"/>
      <w:caps/>
    </w:rPr>
  </w:style>
  <w:style w:type="paragraph" w:styleId="Aufzhlungszeichen">
    <w:name w:val="List Bullet"/>
    <w:basedOn w:val="Standard"/>
    <w:pPr>
      <w:ind w:left="283" w:hanging="283"/>
    </w:pPr>
  </w:style>
  <w:style w:type="paragraph" w:customStyle="1" w:styleId="GesAbsatz">
    <w:name w:val="GesAbsatz"/>
    <w:basedOn w:val="Standard"/>
    <w:qFormat/>
    <w:pPr>
      <w:spacing w:before="100"/>
    </w:pPr>
    <w:rPr>
      <w:color w:val="000000"/>
    </w:rPr>
  </w:style>
  <w:style w:type="paragraph" w:customStyle="1" w:styleId="GesNr">
    <w:name w:val="GesNr"/>
    <w:basedOn w:val="Standard"/>
    <w:pPr>
      <w:tabs>
        <w:tab w:val="left" w:pos="578"/>
      </w:tabs>
      <w:ind w:left="284" w:hanging="284"/>
    </w:pPr>
    <w:rPr>
      <w:color w:val="000000"/>
    </w:rPr>
  </w:style>
  <w:style w:type="paragraph" w:customStyle="1" w:styleId="Einzug1">
    <w:name w:val="Einzug1"/>
    <w:basedOn w:val="Standard"/>
    <w:next w:val="Standard"/>
    <w:pPr>
      <w:tabs>
        <w:tab w:val="clear" w:pos="425"/>
        <w:tab w:val="left" w:pos="576"/>
      </w:tabs>
      <w:ind w:left="567" w:hanging="567"/>
    </w:pPr>
    <w:rPr>
      <w:color w:val="000000"/>
    </w:rPr>
  </w:style>
  <w:style w:type="paragraph" w:customStyle="1" w:styleId="Einzug3">
    <w:name w:val="Einzug3"/>
    <w:basedOn w:val="Standard"/>
    <w:pPr>
      <w:tabs>
        <w:tab w:val="clear" w:pos="425"/>
      </w:tabs>
      <w:ind w:left="993" w:hanging="284"/>
    </w:pPr>
    <w:rPr>
      <w:color w:val="000000"/>
    </w:rPr>
  </w:style>
  <w:style w:type="paragraph" w:customStyle="1" w:styleId="GesBs">
    <w:name w:val="GesBs"/>
    <w:basedOn w:val="Standard"/>
    <w:pPr>
      <w:tabs>
        <w:tab w:val="left" w:pos="935"/>
      </w:tabs>
      <w:ind w:left="568" w:hanging="284"/>
    </w:pPr>
    <w:rPr>
      <w:color w:val="000000"/>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paragraph" w:customStyle="1" w:styleId="Einzug2">
    <w:name w:val="Einzug2"/>
    <w:basedOn w:val="Standard"/>
    <w:pPr>
      <w:tabs>
        <w:tab w:val="left" w:pos="937"/>
      </w:tabs>
      <w:ind w:left="709" w:hanging="284"/>
    </w:pPr>
    <w:rPr>
      <w:color w:val="000000"/>
    </w:rPr>
  </w:style>
  <w:style w:type="paragraph" w:customStyle="1" w:styleId="EinzugNR">
    <w:name w:val="EinzugNR"/>
    <w:basedOn w:val="Standard"/>
    <w:pPr>
      <w:tabs>
        <w:tab w:val="clear" w:pos="425"/>
        <w:tab w:val="left" w:pos="1298"/>
      </w:tabs>
      <w:ind w:left="567" w:hanging="567"/>
    </w:pPr>
    <w:rPr>
      <w:color w:val="000000"/>
    </w:rPr>
  </w:style>
  <w:style w:type="paragraph" w:customStyle="1" w:styleId="GesetzAbsatz">
    <w:name w:val="GesetzAbsatz"/>
    <w:pPr>
      <w:tabs>
        <w:tab w:val="left" w:pos="425"/>
        <w:tab w:val="left" w:pos="567"/>
      </w:tabs>
      <w:spacing w:before="60" w:after="60"/>
      <w:jc w:val="both"/>
    </w:pPr>
    <w:rPr>
      <w:rFonts w:ascii="Arial" w:hAnsi="Arial"/>
      <w:noProof/>
      <w:color w:val="000000"/>
    </w:rPr>
  </w:style>
  <w:style w:type="paragraph" w:customStyle="1" w:styleId="Einzug075Nr">
    <w:name w:val="Einzug075Nr"/>
    <w:pPr>
      <w:tabs>
        <w:tab w:val="left" w:pos="578"/>
      </w:tabs>
      <w:spacing w:before="60" w:after="60"/>
      <w:ind w:left="425" w:hanging="425"/>
      <w:jc w:val="both"/>
    </w:pPr>
    <w:rPr>
      <w:rFonts w:ascii="Arial" w:hAnsi="Arial"/>
      <w:noProof/>
      <w:color w:val="000000"/>
    </w:rPr>
  </w:style>
  <w:style w:type="paragraph" w:customStyle="1" w:styleId="Einzug075050Bs">
    <w:name w:val="Einzug075_050Bs"/>
    <w:basedOn w:val="Standard"/>
    <w:pPr>
      <w:tabs>
        <w:tab w:val="left" w:pos="935"/>
      </w:tabs>
      <w:spacing w:before="120" w:after="0"/>
      <w:ind w:left="709" w:hanging="284"/>
    </w:pPr>
    <w:rPr>
      <w:color w:val="000000"/>
    </w:rPr>
  </w:style>
  <w:style w:type="paragraph" w:customStyle="1" w:styleId="Einzug100Nr">
    <w:name w:val="Einzug100Nr"/>
    <w:basedOn w:val="Einzug075Nr"/>
    <w:pPr>
      <w:ind w:left="567" w:hanging="567"/>
    </w:pPr>
  </w:style>
  <w:style w:type="paragraph" w:customStyle="1" w:styleId="Einzug125">
    <w:name w:val="Einzug125"/>
    <w:basedOn w:val="Standard"/>
    <w:pPr>
      <w:tabs>
        <w:tab w:val="clear" w:pos="425"/>
      </w:tabs>
      <w:ind w:left="709" w:hanging="709"/>
    </w:pPr>
  </w:style>
  <w:style w:type="paragraph" w:customStyle="1" w:styleId="Einzug1250">
    <w:name w:val="Einzug 125"/>
    <w:basedOn w:val="Standard"/>
    <w:pPr>
      <w:spacing w:before="0" w:after="120"/>
      <w:ind w:left="709" w:hanging="709"/>
    </w:pPr>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 w:val="24"/>
      <w:szCs w:val="24"/>
    </w:rPr>
  </w:style>
  <w:style w:type="character" w:styleId="BesuchterLink">
    <w:name w:val="FollowedHyperlink"/>
    <w:basedOn w:val="Absatz-Standardschriftart"/>
    <w:rPr>
      <w:color w:val="800080"/>
      <w:u w:val="single"/>
    </w:rPr>
  </w:style>
  <w:style w:type="character" w:styleId="Funotenzeichen">
    <w:name w:val="footnote reference"/>
    <w:qFormat/>
    <w:rPr>
      <w:sz w:val="20"/>
      <w:szCs w:val="20"/>
      <w:vertAlign w:val="superscript"/>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paragraph" w:customStyle="1" w:styleId="Kopfzeile0">
    <w:name w:val="Kopfzeile0"/>
    <w:basedOn w:val="Standard"/>
    <w:next w:val="Kopfzeile"/>
    <w:qFormat/>
    <w:pPr>
      <w:spacing w:before="0" w:after="0"/>
      <w:jc w:val="right"/>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oleObject" Target="embeddings/oleObject9.bin"/><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oleObject" Target="embeddings/oleObject10.bin"/><Relationship Id="rId45"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VTU.dotx</Template>
  <TotalTime>0</TotalTime>
  <Pages>64</Pages>
  <Words>17949</Words>
  <Characters>117827</Characters>
  <Application>Microsoft Office Word</Application>
  <DocSecurity>0</DocSecurity>
  <Lines>981</Lines>
  <Paragraphs>271</Paragraphs>
  <ScaleCrop>false</ScaleCrop>
  <HeadingPairs>
    <vt:vector size="2" baseType="variant">
      <vt:variant>
        <vt:lpstr>Titel</vt:lpstr>
      </vt:variant>
      <vt:variant>
        <vt:i4>1</vt:i4>
      </vt:variant>
    </vt:vector>
  </HeadingPairs>
  <TitlesOfParts>
    <vt:vector size="1" baseType="lpstr">
      <vt:lpstr>Bioabfallsammlung und Kompostverwertung in Nordrhein-Westfalen</vt:lpstr>
    </vt:vector>
  </TitlesOfParts>
  <Company>LUA</Company>
  <LinksUpToDate>false</LinksUpToDate>
  <CharactersWithSpaces>135505</CharactersWithSpaces>
  <SharedDoc>false</SharedDoc>
  <HLinks>
    <vt:vector size="138" baseType="variant">
      <vt:variant>
        <vt:i4>2031673</vt:i4>
      </vt:variant>
      <vt:variant>
        <vt:i4>134</vt:i4>
      </vt:variant>
      <vt:variant>
        <vt:i4>0</vt:i4>
      </vt:variant>
      <vt:variant>
        <vt:i4>5</vt:i4>
      </vt:variant>
      <vt:variant>
        <vt:lpwstr/>
      </vt:variant>
      <vt:variant>
        <vt:lpwstr>_Toc45599511</vt:lpwstr>
      </vt:variant>
      <vt:variant>
        <vt:i4>1966137</vt:i4>
      </vt:variant>
      <vt:variant>
        <vt:i4>128</vt:i4>
      </vt:variant>
      <vt:variant>
        <vt:i4>0</vt:i4>
      </vt:variant>
      <vt:variant>
        <vt:i4>5</vt:i4>
      </vt:variant>
      <vt:variant>
        <vt:lpwstr/>
      </vt:variant>
      <vt:variant>
        <vt:lpwstr>_Toc45599510</vt:lpwstr>
      </vt:variant>
      <vt:variant>
        <vt:i4>1507384</vt:i4>
      </vt:variant>
      <vt:variant>
        <vt:i4>122</vt:i4>
      </vt:variant>
      <vt:variant>
        <vt:i4>0</vt:i4>
      </vt:variant>
      <vt:variant>
        <vt:i4>5</vt:i4>
      </vt:variant>
      <vt:variant>
        <vt:lpwstr/>
      </vt:variant>
      <vt:variant>
        <vt:lpwstr>_Toc45599509</vt:lpwstr>
      </vt:variant>
      <vt:variant>
        <vt:i4>1441848</vt:i4>
      </vt:variant>
      <vt:variant>
        <vt:i4>116</vt:i4>
      </vt:variant>
      <vt:variant>
        <vt:i4>0</vt:i4>
      </vt:variant>
      <vt:variant>
        <vt:i4>5</vt:i4>
      </vt:variant>
      <vt:variant>
        <vt:lpwstr/>
      </vt:variant>
      <vt:variant>
        <vt:lpwstr>_Toc45599508</vt:lpwstr>
      </vt:variant>
      <vt:variant>
        <vt:i4>1638456</vt:i4>
      </vt:variant>
      <vt:variant>
        <vt:i4>110</vt:i4>
      </vt:variant>
      <vt:variant>
        <vt:i4>0</vt:i4>
      </vt:variant>
      <vt:variant>
        <vt:i4>5</vt:i4>
      </vt:variant>
      <vt:variant>
        <vt:lpwstr/>
      </vt:variant>
      <vt:variant>
        <vt:lpwstr>_Toc45599507</vt:lpwstr>
      </vt:variant>
      <vt:variant>
        <vt:i4>1572920</vt:i4>
      </vt:variant>
      <vt:variant>
        <vt:i4>104</vt:i4>
      </vt:variant>
      <vt:variant>
        <vt:i4>0</vt:i4>
      </vt:variant>
      <vt:variant>
        <vt:i4>5</vt:i4>
      </vt:variant>
      <vt:variant>
        <vt:lpwstr/>
      </vt:variant>
      <vt:variant>
        <vt:lpwstr>_Toc45599506</vt:lpwstr>
      </vt:variant>
      <vt:variant>
        <vt:i4>1769528</vt:i4>
      </vt:variant>
      <vt:variant>
        <vt:i4>98</vt:i4>
      </vt:variant>
      <vt:variant>
        <vt:i4>0</vt:i4>
      </vt:variant>
      <vt:variant>
        <vt:i4>5</vt:i4>
      </vt:variant>
      <vt:variant>
        <vt:lpwstr/>
      </vt:variant>
      <vt:variant>
        <vt:lpwstr>_Toc45599505</vt:lpwstr>
      </vt:variant>
      <vt:variant>
        <vt:i4>1703992</vt:i4>
      </vt:variant>
      <vt:variant>
        <vt:i4>92</vt:i4>
      </vt:variant>
      <vt:variant>
        <vt:i4>0</vt:i4>
      </vt:variant>
      <vt:variant>
        <vt:i4>5</vt:i4>
      </vt:variant>
      <vt:variant>
        <vt:lpwstr/>
      </vt:variant>
      <vt:variant>
        <vt:lpwstr>_Toc45599504</vt:lpwstr>
      </vt:variant>
      <vt:variant>
        <vt:i4>1900600</vt:i4>
      </vt:variant>
      <vt:variant>
        <vt:i4>86</vt:i4>
      </vt:variant>
      <vt:variant>
        <vt:i4>0</vt:i4>
      </vt:variant>
      <vt:variant>
        <vt:i4>5</vt:i4>
      </vt:variant>
      <vt:variant>
        <vt:lpwstr/>
      </vt:variant>
      <vt:variant>
        <vt:lpwstr>_Toc45599503</vt:lpwstr>
      </vt:variant>
      <vt:variant>
        <vt:i4>1835064</vt:i4>
      </vt:variant>
      <vt:variant>
        <vt:i4>80</vt:i4>
      </vt:variant>
      <vt:variant>
        <vt:i4>0</vt:i4>
      </vt:variant>
      <vt:variant>
        <vt:i4>5</vt:i4>
      </vt:variant>
      <vt:variant>
        <vt:lpwstr/>
      </vt:variant>
      <vt:variant>
        <vt:lpwstr>_Toc45599502</vt:lpwstr>
      </vt:variant>
      <vt:variant>
        <vt:i4>2031672</vt:i4>
      </vt:variant>
      <vt:variant>
        <vt:i4>74</vt:i4>
      </vt:variant>
      <vt:variant>
        <vt:i4>0</vt:i4>
      </vt:variant>
      <vt:variant>
        <vt:i4>5</vt:i4>
      </vt:variant>
      <vt:variant>
        <vt:lpwstr/>
      </vt:variant>
      <vt:variant>
        <vt:lpwstr>_Toc45599501</vt:lpwstr>
      </vt:variant>
      <vt:variant>
        <vt:i4>1966136</vt:i4>
      </vt:variant>
      <vt:variant>
        <vt:i4>68</vt:i4>
      </vt:variant>
      <vt:variant>
        <vt:i4>0</vt:i4>
      </vt:variant>
      <vt:variant>
        <vt:i4>5</vt:i4>
      </vt:variant>
      <vt:variant>
        <vt:lpwstr/>
      </vt:variant>
      <vt:variant>
        <vt:lpwstr>_Toc45599500</vt:lpwstr>
      </vt:variant>
      <vt:variant>
        <vt:i4>1441841</vt:i4>
      </vt:variant>
      <vt:variant>
        <vt:i4>62</vt:i4>
      </vt:variant>
      <vt:variant>
        <vt:i4>0</vt:i4>
      </vt:variant>
      <vt:variant>
        <vt:i4>5</vt:i4>
      </vt:variant>
      <vt:variant>
        <vt:lpwstr/>
      </vt:variant>
      <vt:variant>
        <vt:lpwstr>_Toc45599499</vt:lpwstr>
      </vt:variant>
      <vt:variant>
        <vt:i4>1507377</vt:i4>
      </vt:variant>
      <vt:variant>
        <vt:i4>56</vt:i4>
      </vt:variant>
      <vt:variant>
        <vt:i4>0</vt:i4>
      </vt:variant>
      <vt:variant>
        <vt:i4>5</vt:i4>
      </vt:variant>
      <vt:variant>
        <vt:lpwstr/>
      </vt:variant>
      <vt:variant>
        <vt:lpwstr>_Toc45599498</vt:lpwstr>
      </vt:variant>
      <vt:variant>
        <vt:i4>1572913</vt:i4>
      </vt:variant>
      <vt:variant>
        <vt:i4>50</vt:i4>
      </vt:variant>
      <vt:variant>
        <vt:i4>0</vt:i4>
      </vt:variant>
      <vt:variant>
        <vt:i4>5</vt:i4>
      </vt:variant>
      <vt:variant>
        <vt:lpwstr/>
      </vt:variant>
      <vt:variant>
        <vt:lpwstr>_Toc45599497</vt:lpwstr>
      </vt:variant>
      <vt:variant>
        <vt:i4>1638449</vt:i4>
      </vt:variant>
      <vt:variant>
        <vt:i4>44</vt:i4>
      </vt:variant>
      <vt:variant>
        <vt:i4>0</vt:i4>
      </vt:variant>
      <vt:variant>
        <vt:i4>5</vt:i4>
      </vt:variant>
      <vt:variant>
        <vt:lpwstr/>
      </vt:variant>
      <vt:variant>
        <vt:lpwstr>_Toc45599496</vt:lpwstr>
      </vt:variant>
      <vt:variant>
        <vt:i4>1703985</vt:i4>
      </vt:variant>
      <vt:variant>
        <vt:i4>38</vt:i4>
      </vt:variant>
      <vt:variant>
        <vt:i4>0</vt:i4>
      </vt:variant>
      <vt:variant>
        <vt:i4>5</vt:i4>
      </vt:variant>
      <vt:variant>
        <vt:lpwstr/>
      </vt:variant>
      <vt:variant>
        <vt:lpwstr>_Toc45599495</vt:lpwstr>
      </vt:variant>
      <vt:variant>
        <vt:i4>1769521</vt:i4>
      </vt:variant>
      <vt:variant>
        <vt:i4>32</vt:i4>
      </vt:variant>
      <vt:variant>
        <vt:i4>0</vt:i4>
      </vt:variant>
      <vt:variant>
        <vt:i4>5</vt:i4>
      </vt:variant>
      <vt:variant>
        <vt:lpwstr/>
      </vt:variant>
      <vt:variant>
        <vt:lpwstr>_Toc45599494</vt:lpwstr>
      </vt:variant>
      <vt:variant>
        <vt:i4>1835057</vt:i4>
      </vt:variant>
      <vt:variant>
        <vt:i4>26</vt:i4>
      </vt:variant>
      <vt:variant>
        <vt:i4>0</vt:i4>
      </vt:variant>
      <vt:variant>
        <vt:i4>5</vt:i4>
      </vt:variant>
      <vt:variant>
        <vt:lpwstr/>
      </vt:variant>
      <vt:variant>
        <vt:lpwstr>_Toc45599493</vt:lpwstr>
      </vt:variant>
      <vt:variant>
        <vt:i4>1900593</vt:i4>
      </vt:variant>
      <vt:variant>
        <vt:i4>20</vt:i4>
      </vt:variant>
      <vt:variant>
        <vt:i4>0</vt:i4>
      </vt:variant>
      <vt:variant>
        <vt:i4>5</vt:i4>
      </vt:variant>
      <vt:variant>
        <vt:lpwstr/>
      </vt:variant>
      <vt:variant>
        <vt:lpwstr>_Toc45599492</vt:lpwstr>
      </vt:variant>
      <vt:variant>
        <vt:i4>1966129</vt:i4>
      </vt:variant>
      <vt:variant>
        <vt:i4>14</vt:i4>
      </vt:variant>
      <vt:variant>
        <vt:i4>0</vt:i4>
      </vt:variant>
      <vt:variant>
        <vt:i4>5</vt:i4>
      </vt:variant>
      <vt:variant>
        <vt:lpwstr/>
      </vt:variant>
      <vt:variant>
        <vt:lpwstr>_Toc45599491</vt:lpwstr>
      </vt:variant>
      <vt:variant>
        <vt:i4>2031665</vt:i4>
      </vt:variant>
      <vt:variant>
        <vt:i4>8</vt:i4>
      </vt:variant>
      <vt:variant>
        <vt:i4>0</vt:i4>
      </vt:variant>
      <vt:variant>
        <vt:i4>5</vt:i4>
      </vt:variant>
      <vt:variant>
        <vt:lpwstr/>
      </vt:variant>
      <vt:variant>
        <vt:lpwstr>_Toc45599490</vt:lpwstr>
      </vt:variant>
      <vt:variant>
        <vt:i4>1441840</vt:i4>
      </vt:variant>
      <vt:variant>
        <vt:i4>2</vt:i4>
      </vt:variant>
      <vt:variant>
        <vt:i4>0</vt:i4>
      </vt:variant>
      <vt:variant>
        <vt:i4>5</vt:i4>
      </vt:variant>
      <vt:variant>
        <vt:lpwstr/>
      </vt:variant>
      <vt:variant>
        <vt:lpwstr>_Toc45599489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Bioabfallsammlung und Kompostverwertung in Nordrhein-Westfalen</dc:title>
  <dc:creator>Natrop</dc:creator>
  <cp:lastModifiedBy>Rüter, Dr., Ingo</cp:lastModifiedBy>
  <cp:revision>3</cp:revision>
  <cp:lastPrinted>1899-12-31T23:00:00Z</cp:lastPrinted>
  <dcterms:created xsi:type="dcterms:W3CDTF">2019-06-17T09:19:00Z</dcterms:created>
  <dcterms:modified xsi:type="dcterms:W3CDTF">2021-11-17T13:24:00Z</dcterms:modified>
</cp:coreProperties>
</file>