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91506516"/>
      <w:r>
        <w:t>Gebü</w:t>
      </w:r>
      <w:bookmarkStart w:id="1" w:name="_GoBack"/>
      <w:bookmarkEnd w:id="1"/>
      <w:r>
        <w:t>hrenverordnung zum Elektro- und Elektronikgerätegesetz</w:t>
      </w:r>
      <w:r>
        <w:br/>
        <w:t>und zum Batteriegesetz</w:t>
      </w:r>
      <w:r>
        <w:br/>
        <w:t>Elektro- und Elektronikgerätegesetz-Batteriegesetz-Gebührenverordnung - ElektroGBattGGebV</w:t>
      </w:r>
      <w:bookmarkEnd w:id="0"/>
    </w:p>
    <w:p>
      <w:pPr>
        <w:pStyle w:val="GesAbsatz"/>
        <w:jc w:val="center"/>
      </w:pPr>
      <w:r>
        <w:t>vom 20. Oktober 2015</w:t>
      </w:r>
    </w:p>
    <w:p>
      <w:pPr>
        <w:pStyle w:val="GesAbsatz"/>
        <w:rPr>
          <w:i/>
          <w:color w:val="FF0000"/>
        </w:rPr>
      </w:pPr>
      <w:r>
        <w:rPr>
          <w:i/>
          <w:color w:val="FF0000"/>
        </w:rPr>
        <w:t>Die Verordnung tritt am 01.01.2024 in Kraft</w:t>
      </w:r>
    </w:p>
    <w:p>
      <w:pPr>
        <w:pStyle w:val="GesAbsatz"/>
      </w:pPr>
      <w:hyperlink w:anchor="Änderungen"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91506516" w:history="1">
        <w:r>
          <w:rPr>
            <w:rStyle w:val="Hyperlink"/>
            <w:noProof/>
          </w:rPr>
          <w:t>ElektroGBattGGebV</w:t>
        </w:r>
        <w:r>
          <w:rPr>
            <w:noProof/>
            <w:webHidden/>
          </w:rPr>
          <w:tab/>
        </w:r>
        <w:r>
          <w:rPr>
            <w:noProof/>
            <w:webHidden/>
          </w:rPr>
          <w:fldChar w:fldCharType="begin"/>
        </w:r>
        <w:r>
          <w:rPr>
            <w:noProof/>
            <w:webHidden/>
          </w:rPr>
          <w:instrText xml:space="preserve"> PAGEREF _Toc91506516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06517" w:history="1">
        <w:r>
          <w:rPr>
            <w:rStyle w:val="Hyperlink"/>
            <w:noProof/>
          </w:rPr>
          <w:t>§ 1 Gebührenerhebung</w:t>
        </w:r>
        <w:r>
          <w:rPr>
            <w:noProof/>
            <w:webHidden/>
          </w:rPr>
          <w:tab/>
        </w:r>
        <w:r>
          <w:rPr>
            <w:noProof/>
            <w:webHidden/>
          </w:rPr>
          <w:fldChar w:fldCharType="begin"/>
        </w:r>
        <w:r>
          <w:rPr>
            <w:noProof/>
            <w:webHidden/>
          </w:rPr>
          <w:instrText xml:space="preserve"> PAGEREF _Toc91506517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06518" w:history="1">
        <w:r>
          <w:rPr>
            <w:rStyle w:val="Hyperlink"/>
            <w:noProof/>
          </w:rPr>
          <w:t>§ 2 Gebührenermäßigung und Gebührenbefreiung</w:t>
        </w:r>
        <w:r>
          <w:rPr>
            <w:noProof/>
            <w:webHidden/>
          </w:rPr>
          <w:tab/>
        </w:r>
        <w:r>
          <w:rPr>
            <w:noProof/>
            <w:webHidden/>
          </w:rPr>
          <w:fldChar w:fldCharType="begin"/>
        </w:r>
        <w:r>
          <w:rPr>
            <w:noProof/>
            <w:webHidden/>
          </w:rPr>
          <w:instrText xml:space="preserve"> PAGEREF _Toc91506518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06519" w:history="1">
        <w:r>
          <w:rPr>
            <w:rStyle w:val="Hyperlink"/>
            <w:noProof/>
          </w:rPr>
          <w:t>§ 3 Übergangsvorschriften</w:t>
        </w:r>
        <w:r>
          <w:rPr>
            <w:noProof/>
            <w:webHidden/>
          </w:rPr>
          <w:tab/>
        </w:r>
        <w:r>
          <w:rPr>
            <w:noProof/>
            <w:webHidden/>
          </w:rPr>
          <w:fldChar w:fldCharType="begin"/>
        </w:r>
        <w:r>
          <w:rPr>
            <w:noProof/>
            <w:webHidden/>
          </w:rPr>
          <w:instrText xml:space="preserve"> PAGEREF _Toc91506519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06520" w:history="1">
        <w:r>
          <w:rPr>
            <w:rStyle w:val="Hyperlink"/>
            <w:noProof/>
          </w:rPr>
          <w:t>§ 4 Inkrafttreten, Außerkrafttreten</w:t>
        </w:r>
        <w:r>
          <w:rPr>
            <w:noProof/>
            <w:webHidden/>
          </w:rPr>
          <w:tab/>
        </w:r>
        <w:r>
          <w:rPr>
            <w:noProof/>
            <w:webHidden/>
          </w:rPr>
          <w:fldChar w:fldCharType="begin"/>
        </w:r>
        <w:r>
          <w:rPr>
            <w:noProof/>
            <w:webHidden/>
          </w:rPr>
          <w:instrText xml:space="preserve"> PAGEREF _Toc91506520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506521" w:history="1">
        <w:r>
          <w:rPr>
            <w:rStyle w:val="Hyperlink"/>
            <w:noProof/>
          </w:rPr>
          <w:t>Anlage 1 (zu § 1)</w:t>
        </w:r>
        <w:r>
          <w:rPr>
            <w:noProof/>
            <w:webHidden/>
          </w:rPr>
          <w:tab/>
        </w:r>
        <w:r>
          <w:rPr>
            <w:noProof/>
            <w:webHidden/>
          </w:rPr>
          <w:fldChar w:fldCharType="begin"/>
        </w:r>
        <w:r>
          <w:rPr>
            <w:noProof/>
            <w:webHidden/>
          </w:rPr>
          <w:instrText xml:space="preserve"> PAGEREF _Toc91506521 \h </w:instrText>
        </w:r>
        <w:r>
          <w:rPr>
            <w:noProof/>
            <w:webHidden/>
          </w:rPr>
        </w:r>
        <w:r>
          <w:rPr>
            <w:noProof/>
            <w:webHidden/>
          </w:rPr>
          <w:fldChar w:fldCharType="separate"/>
        </w:r>
        <w:r>
          <w:rPr>
            <w:noProof/>
            <w:webHidden/>
          </w:rPr>
          <w:t>2</w:t>
        </w:r>
        <w:r>
          <w:rPr>
            <w:noProof/>
            <w:webHidden/>
          </w:rPr>
          <w:fldChar w:fldCharType="end"/>
        </w:r>
      </w:hyperlink>
    </w:p>
    <w:p>
      <w:pPr>
        <w:pStyle w:val="GesAbsatz"/>
      </w:pPr>
      <w:r>
        <w:rPr>
          <w:rFonts w:ascii="Times New Roman" w:hAnsi="Times New Roman"/>
          <w:b/>
          <w:caps/>
          <w:color w:val="auto"/>
        </w:rPr>
        <w:fldChar w:fldCharType="end"/>
      </w:r>
    </w:p>
    <w:p>
      <w:pPr>
        <w:pStyle w:val="GesAbsatz"/>
      </w:pPr>
      <w:r>
        <w:t>Auf Grund des § 22 Absatz 1 und 4 Satz 1 des Bundesgebührengesetzes vom 7. August 2013 (BGBl. I S. 3154) verordnet das Bundesministerium für Umwelt, Naturschutz, Bau und Reaktorsicherheit:</w:t>
      </w:r>
    </w:p>
    <w:p>
      <w:pPr>
        <w:pStyle w:val="berschrift3"/>
      </w:pPr>
      <w:bookmarkStart w:id="2" w:name="_Toc91506517"/>
      <w:r>
        <w:t>§ 1</w:t>
      </w:r>
      <w:r>
        <w:br/>
        <w:t>Gebührenerhebung</w:t>
      </w:r>
      <w:bookmarkEnd w:id="2"/>
    </w:p>
    <w:p>
      <w:pPr>
        <w:pStyle w:val="GesAbsatz"/>
      </w:pPr>
      <w:r>
        <w:t>(1) Das Umweltbundesamt oder die nach § 40 Absatz 1 des Elektro- und Elektronikgerätegesetzes oder nach § 23 Absatz 1 des Batteriegesetzes beliehene Gemeinsame Stelle der Hersteller nach dem Elektro- und Elektronikgerätegesetz erhebt für gebührenfähige Leistungen des Umweltbundesamtes oder der beliehenen Gemeinsamen Stelle der Hersteller nach dem Elektro- und Elektronikgerätegesetz Gebühren nach</w:t>
      </w:r>
    </w:p>
    <w:p>
      <w:pPr>
        <w:pStyle w:val="GesAbsatz"/>
        <w:ind w:left="425" w:hanging="425"/>
      </w:pPr>
      <w:r>
        <w:t>1.</w:t>
      </w:r>
      <w:r>
        <w:tab/>
        <w:t>dem Bundesgebührengesetz vom 7. August 2013 (BGBl. I S. 3154), das zuletzt durch Artikel 2 des Gesetzes vom 16. Juli 2021 (BGBl. I S. 3019) geändert worden ist,</w:t>
      </w:r>
    </w:p>
    <w:p>
      <w:pPr>
        <w:pStyle w:val="GesAbsatz"/>
      </w:pPr>
      <w:r>
        <w:t>2.</w:t>
      </w:r>
      <w:r>
        <w:tab/>
        <w:t>den nachfolgenden Bestimmungen und</w:t>
      </w:r>
    </w:p>
    <w:p>
      <w:pPr>
        <w:pStyle w:val="GesAbsatz"/>
      </w:pPr>
      <w:r>
        <w:t>3.</w:t>
      </w:r>
      <w:r>
        <w:tab/>
        <w:t>dem zu dieser Verordnung als Anlage beigefügten Gebührenverzeichnis.</w:t>
      </w:r>
    </w:p>
    <w:p>
      <w:pPr>
        <w:pStyle w:val="GesAbsatz"/>
      </w:pPr>
      <w:r>
        <w:t>Unterliegen die in Anlage genannten gebührenfähigen Leistungen der Umsatzsteuer, wird diese der Gebühr hinzugerechnet.</w:t>
      </w:r>
    </w:p>
    <w:p>
      <w:pPr>
        <w:pStyle w:val="GesAbsatz"/>
      </w:pPr>
      <w:r>
        <w:t>(2) Verwaltungsakte des Umweltbundesamtes oder der nach § 40 Absatz 1 des Elektro- und Elektronikgerätegesetzes oder nach § 23 Absatz 1 des Batteriegesetzes beliehenen Gemeinsamen Stelle nach Absatz 1 Satz 1 können unbeschadet des § 24 Absatz 1 Satz 3 des Verwaltungsverfahrensgesetzes vollständig durch automatische Einrichtungen erlassen werden, sofern kein Anlass besteht, den Einzelfall durch Amtsträger zu bearbeiten.</w:t>
      </w:r>
    </w:p>
    <w:p>
      <w:pPr>
        <w:pStyle w:val="berschrift3"/>
      </w:pPr>
      <w:bookmarkStart w:id="3" w:name="_Toc91506518"/>
      <w:r>
        <w:t>§ 2</w:t>
      </w:r>
      <w:r>
        <w:br/>
        <w:t>Gebührenermäßigung und Gebührenbefreiung</w:t>
      </w:r>
      <w:bookmarkEnd w:id="3"/>
    </w:p>
    <w:p>
      <w:pPr>
        <w:pStyle w:val="GesAbsatz"/>
      </w:pPr>
      <w:r>
        <w:t>(1) Das Umweltbundesamt oder die nach § 40 Absatz 1 des Elektro- und Elektronikgerätegesetzes oder nach § 23 Absatz 1 des Batteriegesetzes beliehene Gemeinsame Stelle der Hersteller nach dem Elektro- und Elektronikgerätegesetz kann auf Antrag die Gebühr nach den Nummern 1.1, 1.4 bis 1.6, 1.10, 2.1, 2.3 und 3.1 der Anlage ermäßigen oder von der Gebühr befreien, wenn die Anwendung der Regelgebühr unter Berücksichtigung folgender Punkte unverhältnismäßig wäre:</w:t>
      </w:r>
    </w:p>
    <w:p>
      <w:pPr>
        <w:pStyle w:val="GesAbsatz"/>
      </w:pPr>
      <w:r>
        <w:t>1.</w:t>
      </w:r>
      <w:r>
        <w:tab/>
        <w:t>Menge der in Verkehr gebrachten Geräte oder Batterien,</w:t>
      </w:r>
    </w:p>
    <w:p>
      <w:pPr>
        <w:pStyle w:val="GesAbsatz"/>
      </w:pPr>
      <w:r>
        <w:t>2.</w:t>
      </w:r>
      <w:r>
        <w:tab/>
        <w:t>wirtschaftlicher Wert der Registrierung für den Hersteller,</w:t>
      </w:r>
    </w:p>
    <w:p>
      <w:pPr>
        <w:pStyle w:val="GesAbsatz"/>
      </w:pPr>
      <w:r>
        <w:t>3.</w:t>
      </w:r>
      <w:r>
        <w:tab/>
        <w:t>voraussichtliche Entsorgungskosten und</w:t>
      </w:r>
    </w:p>
    <w:p>
      <w:pPr>
        <w:pStyle w:val="GesAbsatz"/>
      </w:pPr>
      <w:r>
        <w:t>4.</w:t>
      </w:r>
      <w:r>
        <w:tab/>
        <w:t>abfallwirtschaftliche Relevanz.</w:t>
      </w:r>
    </w:p>
    <w:p>
      <w:pPr>
        <w:pStyle w:val="GesAbsatz"/>
      </w:pPr>
      <w:r>
        <w:t>Der Antrag muss Angaben zu allen Kriterien nach Satz 1 Nummer 1 bis 4 enthalten.</w:t>
      </w:r>
    </w:p>
    <w:p>
      <w:pPr>
        <w:pStyle w:val="GesAbsatz"/>
      </w:pPr>
      <w:r>
        <w:lastRenderedPageBreak/>
        <w:t>(2) Das Umweltbundesamt oder die nach § 40 Absatz 1 des Elektro- und Elektronikgerätegesetzes oder nach § 23 Absatz 1 des Batteriegesetzes beliehene Gemeinsame Stelle der Hersteller nach dem Elektro- und Elektronikgerätegesetz kann auf Antrag die Gebühr nach der Nummer 1.14 ermäßigen oder von der Gebühr befreien, wenn der Standort der Erstbehandlungsanlage anerkannt ist als Werkstatt für behinderte Menschen nach dem Neunten Buch Sozialgesetzbuch. Dem Antrag muss eine Kopie des entsprechenden Anerkennungsbescheids der Bundesagentur für Arbeit beigefügt sein.</w:t>
      </w:r>
    </w:p>
    <w:p>
      <w:pPr>
        <w:pStyle w:val="GesAbsatz"/>
      </w:pPr>
      <w:r>
        <w:t>(3) Der Antrag nach Absatz 1 oder Absatz 2 ist innerhalb von drei Monaten nach Bekanntgabe des Gebührenbescheids bei der Behörde oder bei der beliehenen Gemeinsamen Stelle zu stellen, die den Gebührenbescheid erlassen hat. Erfolgt keine Bekanntgabe, ist der Antrag nach Absatz 1 oder Absatz 2 spätestens innerhalb eines Jahres nach Entstehung der Gebührenschuld zu stellen. In den Fällen des Satzes 2 ist der Antrag bei der Behörde oder der beliehenen Gemeinsamen Stelle zu stellen, die für den Erlass des Gebührenbescheids zuständig ist.</w:t>
      </w:r>
    </w:p>
    <w:p>
      <w:pPr>
        <w:pStyle w:val="berschrift3"/>
      </w:pPr>
      <w:bookmarkStart w:id="4" w:name="_Toc91506519"/>
      <w:r>
        <w:t>§ 3</w:t>
      </w:r>
      <w:r>
        <w:br/>
        <w:t>Übergangsvorschriften</w:t>
      </w:r>
      <w:bookmarkEnd w:id="4"/>
    </w:p>
    <w:p>
      <w:pPr>
        <w:pStyle w:val="GesAbsatz"/>
      </w:pPr>
      <w:r>
        <w:t xml:space="preserve">(1) Diese Verordnung gilt auch für die Erhebung von Gebühren für gebührenfähige Leistungen, die am 1. Januar </w:t>
      </w:r>
      <w:proofErr w:type="gramStart"/>
      <w:r>
        <w:t>2024  bereits</w:t>
      </w:r>
      <w:proofErr w:type="gramEnd"/>
      <w:r>
        <w:t xml:space="preserve"> beantragt oder begonnen wurden, aber noch nicht vollständig erbracht sind.</w:t>
      </w:r>
    </w:p>
    <w:p>
      <w:pPr>
        <w:pStyle w:val="GesAbsatz"/>
      </w:pPr>
      <w:r>
        <w:t>(2) Nummer 1.4 und 1.5 der Anlage gilt entsprechend für die Prüfung von Nachweisen gemäß § 6 Absatz 3 Satz 1 des Elektro- und Elektronikgerätegesetzes in der bis zum 23. Oktober 2015 geltenden Fassung in Verbindung mit § 46 Absatz 3 des Elektro- und Elektronikgerätegesetzes in der ab dem 24. Oktober 2015 geltenden Fassung.</w:t>
      </w:r>
    </w:p>
    <w:p>
      <w:pPr>
        <w:pStyle w:val="GesAbsatz"/>
      </w:pPr>
      <w:r>
        <w:t>(3) Soweit Anträge auf Gebührenbefreiung nach § 2 Absatz 2 in der bis zum 31. Dezember 2021 geltenden Fassung am 1. Januar 2022 bereits gestellt, aber noch nicht beschieden wurden, werden sie nach den Bestimmungen dieser Verordnung in der bis zum 31. Dezember 2021 geltenden Fassung beschieden.</w:t>
      </w:r>
    </w:p>
    <w:p>
      <w:pPr>
        <w:pStyle w:val="GesAbsatz"/>
        <w:rPr>
          <w:color w:val="auto"/>
        </w:rPr>
      </w:pPr>
      <w:r>
        <w:rPr>
          <w:color w:val="auto"/>
        </w:rPr>
        <w:t>(4) Abweichend von § 2 Absatz 2 Satz 1 und Absatz 3 Satz 2 ist für Entscheidungen über Gebührenbefreiungen für Garantieprüfungen, die Gerätearten gemäß der bis zum 14. August 2018 geltenden Zuordnung nach § 33 Absatz 1 Satz 1 des Elektro- und Elektronikgerätegesetzes betreffen, Anlage 2 der Elektro- und Elektronikgerätegesetz-Gebührenverordnung in der ab dem 1. Januar 2018 geltenden Fassung maßgeblich.</w:t>
      </w:r>
    </w:p>
    <w:p>
      <w:pPr>
        <w:pStyle w:val="berschrift3"/>
      </w:pPr>
      <w:bookmarkStart w:id="5" w:name="_Toc91506520"/>
      <w:r>
        <w:t>§ 4</w:t>
      </w:r>
      <w:r>
        <w:br/>
        <w:t>Inkrafttreten, Außerkrafttreten</w:t>
      </w:r>
      <w:bookmarkEnd w:id="5"/>
    </w:p>
    <w:p>
      <w:pPr>
        <w:pStyle w:val="GesAbsatz"/>
      </w:pPr>
      <w:r>
        <w:t>Diese Verordnung tritt am Tag nach der Verkündung in Kraft. Gleichzeitig tritt die Elektro- und Elektronikgerätegesetz-Kostenverordnung vom 6. Juli 2005 (BGBl. I S. 2020), die zuletzt durch Artikel 1 der Verordnung vom 28. November 2013 (BGBl. I S. 4094) geändert worden ist, außer Kraft.</w:t>
      </w:r>
    </w:p>
    <w:p>
      <w:pPr>
        <w:tabs>
          <w:tab w:val="clear" w:pos="425"/>
        </w:tabs>
        <w:overflowPunct/>
        <w:autoSpaceDE/>
        <w:autoSpaceDN/>
        <w:adjustRightInd/>
        <w:spacing w:before="0" w:after="0"/>
        <w:jc w:val="left"/>
        <w:textAlignment w:val="auto"/>
        <w:rPr>
          <w:color w:val="000000"/>
        </w:rPr>
      </w:pPr>
    </w:p>
    <w:p>
      <w:pPr>
        <w:pStyle w:val="berschrift2"/>
        <w:jc w:val="left"/>
      </w:pPr>
      <w:bookmarkStart w:id="6" w:name="_Toc91506521"/>
      <w:r>
        <w:t>Anlage 1 (zu § 1 Absatz 1)</w:t>
      </w:r>
      <w:bookmarkEnd w:id="6"/>
    </w:p>
    <w:p>
      <w:pPr>
        <w:pStyle w:val="GesAbsatz"/>
        <w:jc w:val="center"/>
        <w:rPr>
          <w:b/>
        </w:rPr>
      </w:pPr>
      <w:r>
        <w:rPr>
          <w:b/>
        </w:rPr>
        <w:t>Gebührenverzeichnis</w:t>
      </w:r>
    </w:p>
    <w:tbl>
      <w:tblPr>
        <w:tblW w:w="97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6957"/>
        <w:gridCol w:w="1554"/>
      </w:tblGrid>
      <w:tr>
        <w:trPr>
          <w:trHeight w:val="272"/>
          <w:tblHeader/>
        </w:trPr>
        <w:tc>
          <w:tcPr>
            <w:tcW w:w="1274" w:type="dxa"/>
          </w:tcPr>
          <w:p>
            <w:pPr>
              <w:pStyle w:val="GesAbsatz"/>
              <w:jc w:val="center"/>
            </w:pPr>
            <w:r>
              <w:t>Nr.</w:t>
            </w:r>
          </w:p>
        </w:tc>
        <w:tc>
          <w:tcPr>
            <w:tcW w:w="6957" w:type="dxa"/>
          </w:tcPr>
          <w:p>
            <w:pPr>
              <w:pStyle w:val="GesAbsatz"/>
              <w:jc w:val="center"/>
            </w:pPr>
            <w:r>
              <w:t>Gebührentatbestand</w:t>
            </w:r>
          </w:p>
        </w:tc>
        <w:tc>
          <w:tcPr>
            <w:tcW w:w="1554" w:type="dxa"/>
          </w:tcPr>
          <w:p>
            <w:pPr>
              <w:pStyle w:val="GesAbsatz"/>
              <w:jc w:val="center"/>
            </w:pPr>
            <w:r>
              <w:t>Gebühr in Euro</w:t>
            </w:r>
          </w:p>
        </w:tc>
      </w:tr>
      <w:tr>
        <w:trPr>
          <w:trHeight w:val="617"/>
        </w:trPr>
        <w:tc>
          <w:tcPr>
            <w:tcW w:w="9785" w:type="dxa"/>
            <w:gridSpan w:val="3"/>
          </w:tcPr>
          <w:p>
            <w:pPr>
              <w:pStyle w:val="GesAbsatz"/>
              <w:jc w:val="center"/>
            </w:pPr>
            <w:r>
              <w:t>Abschnitt 1</w:t>
            </w:r>
            <w:r>
              <w:br/>
              <w:t>Elektro- und Elektronikgerätegesetz (ElektroG)</w:t>
            </w:r>
          </w:p>
        </w:tc>
      </w:tr>
      <w:tr>
        <w:tc>
          <w:tcPr>
            <w:tcW w:w="9785" w:type="dxa"/>
            <w:gridSpan w:val="3"/>
          </w:tcPr>
          <w:p>
            <w:pPr>
              <w:pStyle w:val="GesAbsatz"/>
              <w:jc w:val="center"/>
              <w:rPr>
                <w:b/>
              </w:rPr>
            </w:pPr>
            <w:r>
              <w:rPr>
                <w:b/>
              </w:rPr>
              <w:t>Registrierung</w:t>
            </w:r>
            <w:r>
              <w:rPr>
                <w:b/>
              </w:rPr>
              <w:br/>
              <w:t>(§ 37 Absatz 1 ElektroG)</w:t>
            </w:r>
          </w:p>
        </w:tc>
      </w:tr>
      <w:tr>
        <w:trPr>
          <w:trHeight w:val="833"/>
        </w:trPr>
        <w:tc>
          <w:tcPr>
            <w:tcW w:w="1274" w:type="dxa"/>
          </w:tcPr>
          <w:p>
            <w:pPr>
              <w:pStyle w:val="GesAbsatz"/>
            </w:pPr>
            <w:r>
              <w:t>1.1</w:t>
            </w:r>
          </w:p>
        </w:tc>
        <w:tc>
          <w:tcPr>
            <w:tcW w:w="6957" w:type="dxa"/>
          </w:tcPr>
          <w:p>
            <w:pPr>
              <w:pStyle w:val="GesAbsatz"/>
              <w:rPr>
                <w:b/>
              </w:rPr>
            </w:pPr>
            <w:r>
              <w:rPr>
                <w:b/>
              </w:rPr>
              <w:t xml:space="preserve">Erteilung einer Registrierung nach § 37 Absatz 1 Satz 1 oder Satz 2 ElektroG </w:t>
            </w:r>
          </w:p>
          <w:p>
            <w:pPr>
              <w:pStyle w:val="GesAbsatz"/>
            </w:pPr>
            <w:r>
              <w:t>je Hersteller, Marke und Geräteart oder je Bevollmächtigten, vertretenen Hersteller, Marke und Geräteart</w:t>
            </w:r>
          </w:p>
        </w:tc>
        <w:tc>
          <w:tcPr>
            <w:tcW w:w="1554" w:type="dxa"/>
          </w:tcPr>
          <w:p>
            <w:pPr>
              <w:pStyle w:val="GesAbsatz"/>
              <w:tabs>
                <w:tab w:val="clear" w:pos="425"/>
                <w:tab w:val="decimal" w:pos="907"/>
              </w:tabs>
              <w:jc w:val="right"/>
            </w:pPr>
            <w:r>
              <w:t>11,50</w:t>
            </w:r>
          </w:p>
        </w:tc>
      </w:tr>
      <w:tr>
        <w:trPr>
          <w:trHeight w:val="377"/>
        </w:trPr>
        <w:tc>
          <w:tcPr>
            <w:tcW w:w="1274" w:type="dxa"/>
          </w:tcPr>
          <w:p>
            <w:pPr>
              <w:pStyle w:val="GesAbsatz"/>
            </w:pPr>
            <w:r>
              <w:t>1.2</w:t>
            </w:r>
          </w:p>
        </w:tc>
        <w:tc>
          <w:tcPr>
            <w:tcW w:w="6957" w:type="dxa"/>
          </w:tcPr>
          <w:p>
            <w:pPr>
              <w:pStyle w:val="GesAbsatz"/>
              <w:rPr>
                <w:b/>
              </w:rPr>
            </w:pPr>
            <w:r>
              <w:rPr>
                <w:b/>
              </w:rPr>
              <w:t>Quartalsgebühr für Registrierungskontoinhaber</w:t>
            </w:r>
          </w:p>
          <w:p>
            <w:pPr>
              <w:pStyle w:val="GesAbsatz"/>
            </w:pPr>
            <w:r>
              <w:t>je Registrierungsnummer und je angefangenes Kalenderquartal</w:t>
            </w:r>
          </w:p>
        </w:tc>
        <w:tc>
          <w:tcPr>
            <w:tcW w:w="1554" w:type="dxa"/>
          </w:tcPr>
          <w:p>
            <w:pPr>
              <w:pStyle w:val="GesAbsatz"/>
              <w:tabs>
                <w:tab w:val="clear" w:pos="425"/>
                <w:tab w:val="decimal" w:pos="907"/>
              </w:tabs>
              <w:jc w:val="right"/>
            </w:pPr>
            <w:r>
              <w:t>43,90</w:t>
            </w:r>
          </w:p>
        </w:tc>
      </w:tr>
      <w:tr>
        <w:trPr>
          <w:trHeight w:val="648"/>
        </w:trPr>
        <w:tc>
          <w:tcPr>
            <w:tcW w:w="1274" w:type="dxa"/>
          </w:tcPr>
          <w:p>
            <w:pPr>
              <w:pStyle w:val="GesAbsatz"/>
            </w:pPr>
            <w:r>
              <w:t>1.3</w:t>
            </w:r>
          </w:p>
        </w:tc>
        <w:tc>
          <w:tcPr>
            <w:tcW w:w="6957" w:type="dxa"/>
          </w:tcPr>
          <w:p>
            <w:pPr>
              <w:pStyle w:val="GesAbsatz"/>
              <w:rPr>
                <w:b/>
              </w:rPr>
            </w:pPr>
            <w:r>
              <w:rPr>
                <w:b/>
              </w:rPr>
              <w:t xml:space="preserve">Bescheinigung über die Registrierungspflicht nach den §§ 6 und 37 Absatz 1 ElektroG </w:t>
            </w:r>
          </w:p>
          <w:p>
            <w:pPr>
              <w:pStyle w:val="GesAbsatz"/>
            </w:pPr>
            <w:r>
              <w:lastRenderedPageBreak/>
              <w:t>je Hersteller und Gerät oder je Bevollmächtigten, vertretenen Hersteller und Gerät jeweils nach Aufwand der Prüfung</w:t>
            </w:r>
          </w:p>
        </w:tc>
        <w:tc>
          <w:tcPr>
            <w:tcW w:w="1554" w:type="dxa"/>
          </w:tcPr>
          <w:p>
            <w:pPr>
              <w:pStyle w:val="GesAbsatz"/>
              <w:tabs>
                <w:tab w:val="clear" w:pos="425"/>
                <w:tab w:val="decimal" w:pos="907"/>
              </w:tabs>
              <w:jc w:val="right"/>
            </w:pPr>
            <w:r>
              <w:lastRenderedPageBreak/>
              <w:t xml:space="preserve">59,70 </w:t>
            </w:r>
            <w:r>
              <w:br/>
              <w:t>bis 1 733,50</w:t>
            </w:r>
          </w:p>
        </w:tc>
      </w:tr>
      <w:tr>
        <w:trPr>
          <w:trHeight w:val="1032"/>
        </w:trPr>
        <w:tc>
          <w:tcPr>
            <w:tcW w:w="1274" w:type="dxa"/>
          </w:tcPr>
          <w:p>
            <w:pPr>
              <w:pStyle w:val="GesAbsatz"/>
            </w:pPr>
            <w:r>
              <w:t>1.4</w:t>
            </w:r>
          </w:p>
        </w:tc>
        <w:tc>
          <w:tcPr>
            <w:tcW w:w="6957" w:type="dxa"/>
          </w:tcPr>
          <w:p>
            <w:pPr>
              <w:pStyle w:val="GesAbsatz"/>
            </w:pPr>
            <w:r>
              <w:rPr>
                <w:b/>
              </w:rPr>
              <w:t xml:space="preserve">Prüfung einer herstellerindividuellen Garantie nach § 37 Absatz 1 Satz 3 ElektroG in Verbindung mit § 7 Absatz 1 und 2 Satz 1 Nummer 1 bis 3 ElektroG dem Grunde nach </w:t>
            </w:r>
            <w:r>
              <w:t>(ohne Garantiebetragsprüfung)</w:t>
            </w:r>
            <w:r>
              <w:rPr>
                <w:b/>
              </w:rPr>
              <w:t xml:space="preserve"> </w:t>
            </w:r>
            <w:r>
              <w:rPr>
                <w:b/>
              </w:rPr>
              <w:br/>
            </w:r>
            <w:r>
              <w:t>je vorgelegte Garantie</w:t>
            </w:r>
          </w:p>
        </w:tc>
        <w:tc>
          <w:tcPr>
            <w:tcW w:w="1554" w:type="dxa"/>
          </w:tcPr>
          <w:p>
            <w:pPr>
              <w:pStyle w:val="GesAbsatz"/>
              <w:tabs>
                <w:tab w:val="clear" w:pos="425"/>
                <w:tab w:val="decimal" w:pos="907"/>
              </w:tabs>
              <w:jc w:val="right"/>
            </w:pPr>
            <w:r>
              <w:t>61,30</w:t>
            </w:r>
          </w:p>
        </w:tc>
      </w:tr>
      <w:tr>
        <w:tc>
          <w:tcPr>
            <w:tcW w:w="1274" w:type="dxa"/>
          </w:tcPr>
          <w:p>
            <w:pPr>
              <w:pStyle w:val="GesAbsatz"/>
            </w:pPr>
            <w:r>
              <w:t>1.5</w:t>
            </w:r>
          </w:p>
        </w:tc>
        <w:tc>
          <w:tcPr>
            <w:tcW w:w="6957" w:type="dxa"/>
          </w:tcPr>
          <w:p>
            <w:pPr>
              <w:pStyle w:val="GesAbsatz"/>
              <w:rPr>
                <w:b/>
              </w:rPr>
            </w:pPr>
            <w:r>
              <w:rPr>
                <w:b/>
              </w:rPr>
              <w:t>Prüfung einer Garantie nach § 37 Absatz 1 Satz 3 ElektroG in Verbindung mit § 7 Absatz 1 und 2 ElektroG hinsichtlich des Garantiebetrages</w:t>
            </w:r>
          </w:p>
          <w:p>
            <w:pPr>
              <w:pStyle w:val="GesAbsatz"/>
            </w:pPr>
            <w:r>
              <w:t>je Hersteller oder je Bevollmächtigten und vertretenen Hersteller und je Geräteart und angefangenes Kalenderjahr</w:t>
            </w:r>
          </w:p>
        </w:tc>
        <w:tc>
          <w:tcPr>
            <w:tcW w:w="1554" w:type="dxa"/>
          </w:tcPr>
          <w:p>
            <w:pPr>
              <w:pStyle w:val="GesAbsatz"/>
              <w:tabs>
                <w:tab w:val="clear" w:pos="425"/>
                <w:tab w:val="decimal" w:pos="907"/>
              </w:tabs>
              <w:jc w:val="right"/>
            </w:pPr>
            <w:r>
              <w:t>12,30</w:t>
            </w:r>
          </w:p>
        </w:tc>
      </w:tr>
      <w:tr>
        <w:tc>
          <w:tcPr>
            <w:tcW w:w="1274" w:type="dxa"/>
          </w:tcPr>
          <w:p>
            <w:pPr>
              <w:pStyle w:val="GesAbsatz"/>
            </w:pPr>
            <w:r>
              <w:t>1.6</w:t>
            </w:r>
          </w:p>
        </w:tc>
        <w:tc>
          <w:tcPr>
            <w:tcW w:w="6957" w:type="dxa"/>
          </w:tcPr>
          <w:p>
            <w:pPr>
              <w:pStyle w:val="GesAbsatz"/>
              <w:rPr>
                <w:b/>
              </w:rPr>
            </w:pPr>
            <w:r>
              <w:rPr>
                <w:b/>
              </w:rPr>
              <w:t xml:space="preserve">Prüfung der Glaubhaftmachung nach § 37 Absatz 1 Satz 3 ElektroG auch in Verbindung mit § 7 Absatz 3 Satz 1 ElektroG und Prüfung des Vorliegens eines Rücknahmekonzepts nach § 37 Absatz 1 Satz 4 ElektroG </w:t>
            </w:r>
          </w:p>
          <w:p>
            <w:pPr>
              <w:pStyle w:val="GesAbsatz"/>
            </w:pPr>
            <w:r>
              <w:t>je Registrierung nach Nummer 1.1</w:t>
            </w:r>
          </w:p>
        </w:tc>
        <w:tc>
          <w:tcPr>
            <w:tcW w:w="1554" w:type="dxa"/>
          </w:tcPr>
          <w:p>
            <w:pPr>
              <w:pStyle w:val="GesAbsatz"/>
              <w:tabs>
                <w:tab w:val="clear" w:pos="425"/>
                <w:tab w:val="decimal" w:pos="907"/>
              </w:tabs>
              <w:jc w:val="right"/>
            </w:pPr>
            <w:r>
              <w:t>31,00</w:t>
            </w:r>
          </w:p>
        </w:tc>
      </w:tr>
      <w:tr>
        <w:tc>
          <w:tcPr>
            <w:tcW w:w="9785" w:type="dxa"/>
            <w:gridSpan w:val="3"/>
          </w:tcPr>
          <w:p>
            <w:pPr>
              <w:pStyle w:val="GesAbsatz"/>
              <w:jc w:val="center"/>
              <w:rPr>
                <w:b/>
              </w:rPr>
            </w:pPr>
            <w:r>
              <w:rPr>
                <w:b/>
              </w:rPr>
              <w:t xml:space="preserve">Benennung und Zulassung eines Bevollmächtigten, Änderung und Ende der Beauftragung </w:t>
            </w:r>
            <w:r>
              <w:rPr>
                <w:b/>
              </w:rPr>
              <w:br/>
              <w:t>(§ 37 Absatz 2 und 7 ElektroG)</w:t>
            </w:r>
          </w:p>
        </w:tc>
      </w:tr>
      <w:tr>
        <w:trPr>
          <w:trHeight w:val="847"/>
        </w:trPr>
        <w:tc>
          <w:tcPr>
            <w:tcW w:w="1274" w:type="dxa"/>
          </w:tcPr>
          <w:p>
            <w:pPr>
              <w:pStyle w:val="GesAbsatz"/>
            </w:pPr>
            <w:r>
              <w:t>1.7</w:t>
            </w:r>
          </w:p>
        </w:tc>
        <w:tc>
          <w:tcPr>
            <w:tcW w:w="6957" w:type="dxa"/>
          </w:tcPr>
          <w:p>
            <w:pPr>
              <w:pStyle w:val="GesAbsatz"/>
              <w:rPr>
                <w:b/>
              </w:rPr>
            </w:pPr>
            <w:r>
              <w:rPr>
                <w:b/>
              </w:rPr>
              <w:t xml:space="preserve">Bestätigung der Benennung eines Bevollmächtigten oder der Änderung einer Beauftragung eines Bevollmächtigten nach § 37 Absatz 2 Satz 2 ElektroG </w:t>
            </w:r>
          </w:p>
          <w:p>
            <w:pPr>
              <w:pStyle w:val="GesAbsatz"/>
            </w:pPr>
            <w:r>
              <w:rPr>
                <w:b/>
              </w:rPr>
              <w:t>je Benennung oder je Änderung</w:t>
            </w:r>
          </w:p>
        </w:tc>
        <w:tc>
          <w:tcPr>
            <w:tcW w:w="1554" w:type="dxa"/>
          </w:tcPr>
          <w:p>
            <w:pPr>
              <w:pStyle w:val="GesAbsatz"/>
              <w:tabs>
                <w:tab w:val="clear" w:pos="425"/>
                <w:tab w:val="decimal" w:pos="907"/>
              </w:tabs>
              <w:jc w:val="right"/>
            </w:pPr>
            <w:r>
              <w:t>49,70</w:t>
            </w:r>
          </w:p>
        </w:tc>
      </w:tr>
      <w:tr>
        <w:trPr>
          <w:trHeight w:val="217"/>
        </w:trPr>
        <w:tc>
          <w:tcPr>
            <w:tcW w:w="1274" w:type="dxa"/>
          </w:tcPr>
          <w:p>
            <w:pPr>
              <w:pStyle w:val="GesAbsatz"/>
            </w:pPr>
            <w:r>
              <w:t>1.8</w:t>
            </w:r>
          </w:p>
        </w:tc>
        <w:tc>
          <w:tcPr>
            <w:tcW w:w="6957" w:type="dxa"/>
          </w:tcPr>
          <w:p>
            <w:pPr>
              <w:pStyle w:val="GesAbsatz"/>
              <w:rPr>
                <w:b/>
                <w:bCs/>
              </w:rPr>
            </w:pPr>
            <w:r>
              <w:rPr>
                <w:b/>
                <w:bCs/>
              </w:rPr>
              <w:t xml:space="preserve">Bestätigung der Beendigung einer Beauftragung eines Bevollmächtigten nach § 37 Absatz 2 Satz 2 ElektroG </w:t>
            </w:r>
          </w:p>
          <w:p>
            <w:pPr>
              <w:pStyle w:val="GesAbsatz"/>
            </w:pPr>
            <w:r>
              <w:rPr>
                <w:bCs/>
              </w:rPr>
              <w:t>je Beendigungsbestätigung</w:t>
            </w:r>
          </w:p>
        </w:tc>
        <w:tc>
          <w:tcPr>
            <w:tcW w:w="1554" w:type="dxa"/>
          </w:tcPr>
          <w:p>
            <w:pPr>
              <w:pStyle w:val="GesAbsatz"/>
              <w:jc w:val="right"/>
              <w:rPr>
                <w:w w:val="95"/>
              </w:rPr>
            </w:pPr>
            <w:r>
              <w:rPr>
                <w:w w:val="95"/>
              </w:rPr>
              <w:t>17,70</w:t>
            </w:r>
          </w:p>
        </w:tc>
      </w:tr>
      <w:tr>
        <w:trPr>
          <w:trHeight w:val="614"/>
        </w:trPr>
        <w:tc>
          <w:tcPr>
            <w:tcW w:w="1274" w:type="dxa"/>
          </w:tcPr>
          <w:p>
            <w:pPr>
              <w:pStyle w:val="GesAbsatz"/>
            </w:pPr>
            <w:r>
              <w:t>1.9</w:t>
            </w:r>
          </w:p>
        </w:tc>
        <w:tc>
          <w:tcPr>
            <w:tcW w:w="6957" w:type="dxa"/>
          </w:tcPr>
          <w:p>
            <w:pPr>
              <w:pStyle w:val="GesAbsatz"/>
              <w:rPr>
                <w:b/>
                <w:bCs/>
              </w:rPr>
            </w:pPr>
            <w:r>
              <w:rPr>
                <w:b/>
                <w:bCs/>
              </w:rPr>
              <w:t xml:space="preserve">Zulassung oder die Änderung der Zulassung eines Bevollmächtigten für mehr als 20 zeitgleich wirksame Registrierungen nach § 37 Absatz 7 ElektroG </w:t>
            </w:r>
          </w:p>
          <w:p>
            <w:pPr>
              <w:pStyle w:val="GesAbsatz"/>
            </w:pPr>
            <w:r>
              <w:rPr>
                <w:bCs/>
              </w:rPr>
              <w:t>je Zulassung oder je Änderung der Zulassung</w:t>
            </w:r>
          </w:p>
        </w:tc>
        <w:tc>
          <w:tcPr>
            <w:tcW w:w="1554" w:type="dxa"/>
          </w:tcPr>
          <w:p>
            <w:pPr>
              <w:pStyle w:val="GesAbsatz"/>
              <w:jc w:val="right"/>
              <w:rPr>
                <w:w w:val="95"/>
              </w:rPr>
            </w:pPr>
            <w:r>
              <w:rPr>
                <w:w w:val="95"/>
              </w:rPr>
              <w:t>2 997,30</w:t>
            </w:r>
          </w:p>
        </w:tc>
      </w:tr>
      <w:tr>
        <w:trPr>
          <w:trHeight w:val="614"/>
        </w:trPr>
        <w:tc>
          <w:tcPr>
            <w:tcW w:w="9785" w:type="dxa"/>
            <w:gridSpan w:val="3"/>
          </w:tcPr>
          <w:p>
            <w:pPr>
              <w:pStyle w:val="GesAbsatz"/>
              <w:jc w:val="center"/>
            </w:pPr>
            <w:r>
              <w:rPr>
                <w:b/>
              </w:rPr>
              <w:t>Weitere Leistungen im Zusammenhang mit der Registrierung</w:t>
            </w:r>
            <w:r>
              <w:br/>
              <w:t>(§ 37 Absatz 5 ElektroG)</w:t>
            </w:r>
          </w:p>
        </w:tc>
      </w:tr>
      <w:tr>
        <w:trPr>
          <w:trHeight w:val="614"/>
        </w:trPr>
        <w:tc>
          <w:tcPr>
            <w:tcW w:w="1274" w:type="dxa"/>
          </w:tcPr>
          <w:p>
            <w:pPr>
              <w:pStyle w:val="GesAbsatz"/>
            </w:pPr>
            <w:r>
              <w:t>1.10</w:t>
            </w:r>
          </w:p>
        </w:tc>
        <w:tc>
          <w:tcPr>
            <w:tcW w:w="6957" w:type="dxa"/>
          </w:tcPr>
          <w:p>
            <w:pPr>
              <w:pStyle w:val="GesAbsatz"/>
              <w:rPr>
                <w:b/>
                <w:bCs/>
              </w:rPr>
            </w:pPr>
            <w:r>
              <w:rPr>
                <w:b/>
                <w:bCs/>
              </w:rPr>
              <w:t xml:space="preserve">Änderung der Registrierung im Hinblick auf die registrierte Geräteart nach § 37 Absatz 5 Satz 4 ElektroG </w:t>
            </w:r>
          </w:p>
          <w:p>
            <w:pPr>
              <w:pStyle w:val="GesAbsatz"/>
            </w:pPr>
            <w:r>
              <w:rPr>
                <w:bCs/>
              </w:rPr>
              <w:t>je Änderung der Registrierung nach Nummer 1.1</w:t>
            </w:r>
          </w:p>
        </w:tc>
        <w:tc>
          <w:tcPr>
            <w:tcW w:w="1554" w:type="dxa"/>
          </w:tcPr>
          <w:p>
            <w:pPr>
              <w:pStyle w:val="GesAbsatz"/>
              <w:jc w:val="right"/>
              <w:rPr>
                <w:w w:val="95"/>
              </w:rPr>
            </w:pPr>
            <w:r>
              <w:rPr>
                <w:w w:val="95"/>
              </w:rPr>
              <w:t>31,80</w:t>
            </w:r>
          </w:p>
        </w:tc>
      </w:tr>
      <w:tr>
        <w:trPr>
          <w:trHeight w:val="614"/>
        </w:trPr>
        <w:tc>
          <w:tcPr>
            <w:tcW w:w="9785" w:type="dxa"/>
            <w:gridSpan w:val="3"/>
          </w:tcPr>
          <w:p>
            <w:pPr>
              <w:pStyle w:val="GesAbsatz"/>
              <w:jc w:val="center"/>
              <w:rPr>
                <w:w w:val="95"/>
              </w:rPr>
            </w:pPr>
            <w:r>
              <w:rPr>
                <w:b/>
                <w:w w:val="95"/>
              </w:rPr>
              <w:t>Garantiesysteme</w:t>
            </w:r>
            <w:r>
              <w:rPr>
                <w:b/>
                <w:w w:val="95"/>
              </w:rPr>
              <w:br/>
            </w:r>
            <w:r>
              <w:rPr>
                <w:w w:val="95"/>
              </w:rPr>
              <w:t>(§ 37 Absatz 6 ElektroG)</w:t>
            </w:r>
          </w:p>
        </w:tc>
      </w:tr>
      <w:tr>
        <w:trPr>
          <w:trHeight w:val="614"/>
        </w:trPr>
        <w:tc>
          <w:tcPr>
            <w:tcW w:w="1274" w:type="dxa"/>
          </w:tcPr>
          <w:p>
            <w:pPr>
              <w:pStyle w:val="GesAbsatz"/>
            </w:pPr>
            <w:r>
              <w:t>1.11</w:t>
            </w:r>
          </w:p>
        </w:tc>
        <w:tc>
          <w:tcPr>
            <w:tcW w:w="6957" w:type="dxa"/>
          </w:tcPr>
          <w:p>
            <w:pPr>
              <w:pStyle w:val="GesAbsatz"/>
              <w:rPr>
                <w:b/>
                <w:bCs/>
              </w:rPr>
            </w:pPr>
            <w:r>
              <w:rPr>
                <w:b/>
                <w:bCs/>
              </w:rPr>
              <w:t xml:space="preserve">Kalenderjährliche Feststellung oder Ablehnung der Feststellung der Geeignetheit eines Systems für die Finanzierung der Entsorgung von Altgeräten nach § 37 Absatz 6 ElektroG in Verbindung mit § 7 Absatz 1 und 2 Satz 1 Nummer 4 ElektroG </w:t>
            </w:r>
          </w:p>
          <w:p>
            <w:pPr>
              <w:pStyle w:val="GesAbsatz"/>
            </w:pPr>
            <w:r>
              <w:rPr>
                <w:bCs/>
              </w:rPr>
              <w:t>je System und Kalenderjahr</w:t>
            </w:r>
          </w:p>
        </w:tc>
        <w:tc>
          <w:tcPr>
            <w:tcW w:w="1554" w:type="dxa"/>
          </w:tcPr>
          <w:p>
            <w:pPr>
              <w:pStyle w:val="GesAbsatz"/>
              <w:jc w:val="right"/>
            </w:pPr>
            <w:r>
              <w:t>1 849,70</w:t>
            </w:r>
          </w:p>
        </w:tc>
      </w:tr>
      <w:tr>
        <w:trPr>
          <w:trHeight w:val="343"/>
        </w:trPr>
        <w:tc>
          <w:tcPr>
            <w:tcW w:w="1274" w:type="dxa"/>
          </w:tcPr>
          <w:p>
            <w:pPr>
              <w:pStyle w:val="GesAbsatz"/>
            </w:pPr>
            <w:r>
              <w:t>1.12</w:t>
            </w:r>
          </w:p>
        </w:tc>
        <w:tc>
          <w:tcPr>
            <w:tcW w:w="6957" w:type="dxa"/>
          </w:tcPr>
          <w:p>
            <w:pPr>
              <w:pStyle w:val="GesAbsatz"/>
              <w:rPr>
                <w:b/>
              </w:rPr>
            </w:pPr>
            <w:r>
              <w:rPr>
                <w:b/>
              </w:rPr>
              <w:t xml:space="preserve">Nachträgliche Änderung einer Feststellung nach Nummer 1.11 nach Änderung eines als für die Finanzierung der Entsorgung von Altgeräten nach § 37 Absatz 6 Satz 1 und 3 ElektroG in Verbindung mit § 7 Absatz 1 und 2 Satz 1 Nummer 4 ElektroG geeignet festgestellten Systems </w:t>
            </w:r>
          </w:p>
          <w:p>
            <w:pPr>
              <w:pStyle w:val="GesAbsatz"/>
            </w:pPr>
            <w:r>
              <w:t>je System und Änderung</w:t>
            </w:r>
          </w:p>
        </w:tc>
        <w:tc>
          <w:tcPr>
            <w:tcW w:w="1554" w:type="dxa"/>
          </w:tcPr>
          <w:p>
            <w:pPr>
              <w:pStyle w:val="GesAbsatz"/>
              <w:jc w:val="right"/>
              <w:rPr>
                <w:rFonts w:ascii="Times New Roman" w:hAnsi="Times New Roman"/>
                <w:sz w:val="16"/>
                <w:szCs w:val="16"/>
              </w:rPr>
            </w:pPr>
            <w:r>
              <w:rPr>
                <w:w w:val="95"/>
              </w:rPr>
              <w:t>220,90</w:t>
            </w:r>
          </w:p>
        </w:tc>
      </w:tr>
      <w:tr>
        <w:trPr>
          <w:trHeight w:val="343"/>
        </w:trPr>
        <w:tc>
          <w:tcPr>
            <w:tcW w:w="9785" w:type="dxa"/>
            <w:gridSpan w:val="3"/>
          </w:tcPr>
          <w:p>
            <w:pPr>
              <w:pStyle w:val="GesAbsatz"/>
              <w:jc w:val="center"/>
              <w:rPr>
                <w:w w:val="95"/>
              </w:rPr>
            </w:pPr>
            <w:r>
              <w:rPr>
                <w:b/>
                <w:w w:val="95"/>
              </w:rPr>
              <w:lastRenderedPageBreak/>
              <w:t xml:space="preserve">Entgegennahme und Prüfung von Anzeigen öffentlich-rechtlicher Entsorgungsträger und der </w:t>
            </w:r>
            <w:r>
              <w:rPr>
                <w:b/>
                <w:w w:val="95"/>
              </w:rPr>
              <w:br/>
              <w:t>Betreiber von Erstbehandlungsanlagen</w:t>
            </w:r>
            <w:r>
              <w:rPr>
                <w:w w:val="95"/>
              </w:rPr>
              <w:br/>
              <w:t>(§ 38 Absatz 2 ElektroG)</w:t>
            </w:r>
          </w:p>
        </w:tc>
      </w:tr>
      <w:tr>
        <w:trPr>
          <w:trHeight w:val="930"/>
        </w:trPr>
        <w:tc>
          <w:tcPr>
            <w:tcW w:w="1274" w:type="dxa"/>
          </w:tcPr>
          <w:p>
            <w:pPr>
              <w:pStyle w:val="GesAbsatz"/>
            </w:pPr>
            <w:r>
              <w:t>1.13</w:t>
            </w:r>
          </w:p>
        </w:tc>
        <w:tc>
          <w:tcPr>
            <w:tcW w:w="6957" w:type="dxa"/>
          </w:tcPr>
          <w:p>
            <w:pPr>
              <w:pStyle w:val="GesAbsatz"/>
              <w:rPr>
                <w:b/>
                <w:bCs/>
              </w:rPr>
            </w:pPr>
            <w:r>
              <w:rPr>
                <w:b/>
                <w:bCs/>
              </w:rPr>
              <w:t xml:space="preserve">Entgegennahme und Prüfung der Optierungsanzeige des öffentlich-rechtlichen Entsorgungsträgers nach § 38 Absatz 2 Satz 1 Nummer 2 und Satz 5 ElektroG in Verbindung mit § 25 Absatz 1 Satz 3 ElektroG </w:t>
            </w:r>
          </w:p>
          <w:p>
            <w:pPr>
              <w:pStyle w:val="GesAbsatz"/>
            </w:pPr>
            <w:r>
              <w:rPr>
                <w:bCs/>
              </w:rPr>
              <w:t>je Sammelgruppe und Anzeige</w:t>
            </w:r>
          </w:p>
        </w:tc>
        <w:tc>
          <w:tcPr>
            <w:tcW w:w="1554" w:type="dxa"/>
          </w:tcPr>
          <w:p>
            <w:pPr>
              <w:pStyle w:val="GesAbsatz"/>
              <w:jc w:val="right"/>
              <w:rPr>
                <w:w w:val="95"/>
              </w:rPr>
            </w:pPr>
            <w:r>
              <w:rPr>
                <w:w w:val="95"/>
              </w:rPr>
              <w:t>64,50</w:t>
            </w:r>
          </w:p>
        </w:tc>
      </w:tr>
      <w:tr>
        <w:trPr>
          <w:trHeight w:val="343"/>
        </w:trPr>
        <w:tc>
          <w:tcPr>
            <w:tcW w:w="1274" w:type="dxa"/>
          </w:tcPr>
          <w:p>
            <w:pPr>
              <w:pStyle w:val="GesAbsatz"/>
            </w:pPr>
            <w:r>
              <w:t>1.14</w:t>
            </w:r>
          </w:p>
        </w:tc>
        <w:tc>
          <w:tcPr>
            <w:tcW w:w="6957" w:type="dxa"/>
          </w:tcPr>
          <w:p>
            <w:pPr>
              <w:pStyle w:val="GesAbsatz"/>
              <w:rPr>
                <w:b/>
              </w:rPr>
            </w:pPr>
            <w:r>
              <w:rPr>
                <w:b/>
              </w:rPr>
              <w:t xml:space="preserve">Entgegennahme und Prüfung der Anzeige der Betreiber einer Erstbehandlungsanlage nach § 38 Absatz 2 Satz 1 Nummer 3 und Satz 6 ElektroG in Verbindung mit § 25 Absatz 2 ElektroG </w:t>
            </w:r>
          </w:p>
          <w:p>
            <w:pPr>
              <w:pStyle w:val="GesAbsatz"/>
            </w:pPr>
            <w:r>
              <w:t>je Zertifikat und Anzeige</w:t>
            </w:r>
          </w:p>
        </w:tc>
        <w:tc>
          <w:tcPr>
            <w:tcW w:w="1554" w:type="dxa"/>
          </w:tcPr>
          <w:p>
            <w:pPr>
              <w:pStyle w:val="GesAbsatz"/>
              <w:tabs>
                <w:tab w:val="clear" w:pos="425"/>
                <w:tab w:val="decimal" w:pos="881"/>
              </w:tabs>
              <w:jc w:val="right"/>
            </w:pPr>
            <w:r>
              <w:t>124,90</w:t>
            </w:r>
          </w:p>
        </w:tc>
      </w:tr>
      <w:tr>
        <w:trPr>
          <w:trHeight w:val="343"/>
        </w:trPr>
        <w:tc>
          <w:tcPr>
            <w:tcW w:w="9785" w:type="dxa"/>
            <w:gridSpan w:val="3"/>
          </w:tcPr>
          <w:p>
            <w:pPr>
              <w:pStyle w:val="GesAbsatz"/>
              <w:tabs>
                <w:tab w:val="clear" w:pos="425"/>
                <w:tab w:val="decimal" w:pos="881"/>
              </w:tabs>
              <w:jc w:val="center"/>
            </w:pPr>
            <w:r>
              <w:rPr>
                <w:b/>
              </w:rPr>
              <w:t>Anordnungen</w:t>
            </w:r>
            <w:r>
              <w:t xml:space="preserve"> </w:t>
            </w:r>
            <w:r>
              <w:br/>
              <w:t>(§ 15 Absatz 4 Satz 1, § 38 Absatz 3 ElektroG)</w:t>
            </w:r>
          </w:p>
        </w:tc>
      </w:tr>
      <w:tr>
        <w:tc>
          <w:tcPr>
            <w:tcW w:w="1274" w:type="dxa"/>
          </w:tcPr>
          <w:p>
            <w:pPr>
              <w:pStyle w:val="GesAbsatz"/>
            </w:pPr>
            <w:r>
              <w:t>1.15</w:t>
            </w:r>
          </w:p>
        </w:tc>
        <w:tc>
          <w:tcPr>
            <w:tcW w:w="6957" w:type="dxa"/>
          </w:tcPr>
          <w:p>
            <w:pPr>
              <w:pStyle w:val="GesAbsatz"/>
            </w:pPr>
            <w:r>
              <w:rPr>
                <w:b/>
              </w:rPr>
              <w:t>Aufstellungsanordnung nach § 15 Absatz 4 Satz 1 ElektroG</w:t>
            </w:r>
          </w:p>
        </w:tc>
        <w:tc>
          <w:tcPr>
            <w:tcW w:w="1554" w:type="dxa"/>
          </w:tcPr>
          <w:p>
            <w:pPr>
              <w:pStyle w:val="GesAbsatz"/>
              <w:jc w:val="right"/>
              <w:rPr>
                <w:w w:val="95"/>
              </w:rPr>
            </w:pPr>
            <w:r>
              <w:rPr>
                <w:w w:val="95"/>
              </w:rPr>
              <w:t>9,60</w:t>
            </w:r>
          </w:p>
        </w:tc>
      </w:tr>
      <w:tr>
        <w:tc>
          <w:tcPr>
            <w:tcW w:w="1274" w:type="dxa"/>
          </w:tcPr>
          <w:p>
            <w:pPr>
              <w:pStyle w:val="GesAbsatz"/>
            </w:pPr>
            <w:r>
              <w:t>1.16</w:t>
            </w:r>
          </w:p>
        </w:tc>
        <w:tc>
          <w:tcPr>
            <w:tcW w:w="6957" w:type="dxa"/>
          </w:tcPr>
          <w:p>
            <w:pPr>
              <w:pStyle w:val="GesAbsatz"/>
            </w:pPr>
            <w:r>
              <w:rPr>
                <w:b/>
              </w:rPr>
              <w:t>Abholanordnung nach § 38 Absatz 3 ElektroG</w:t>
            </w:r>
          </w:p>
        </w:tc>
        <w:tc>
          <w:tcPr>
            <w:tcW w:w="1554" w:type="dxa"/>
          </w:tcPr>
          <w:p>
            <w:pPr>
              <w:pStyle w:val="GesAbsatz"/>
              <w:tabs>
                <w:tab w:val="clear" w:pos="425"/>
                <w:tab w:val="decimal" w:pos="881"/>
              </w:tabs>
              <w:jc w:val="right"/>
            </w:pPr>
            <w:r>
              <w:t>9,60</w:t>
            </w:r>
          </w:p>
        </w:tc>
      </w:tr>
      <w:tr>
        <w:tc>
          <w:tcPr>
            <w:tcW w:w="9785" w:type="dxa"/>
            <w:gridSpan w:val="3"/>
          </w:tcPr>
          <w:p>
            <w:pPr>
              <w:pStyle w:val="GesAbsatz"/>
              <w:tabs>
                <w:tab w:val="clear" w:pos="425"/>
                <w:tab w:val="decimal" w:pos="881"/>
              </w:tabs>
              <w:jc w:val="center"/>
            </w:pPr>
            <w:r>
              <w:rPr>
                <w:b/>
              </w:rPr>
              <w:t>Berücksichtigungs- und Anrechnungsentscheidung</w:t>
            </w:r>
            <w:r>
              <w:t xml:space="preserve"> </w:t>
            </w:r>
            <w:r>
              <w:br/>
              <w:t>(§ 38 Absatz 4 ElektroG)</w:t>
            </w:r>
          </w:p>
        </w:tc>
      </w:tr>
      <w:tr>
        <w:tc>
          <w:tcPr>
            <w:tcW w:w="1274" w:type="dxa"/>
          </w:tcPr>
          <w:p>
            <w:pPr>
              <w:pStyle w:val="GesAbsatz"/>
            </w:pPr>
            <w:r>
              <w:t>1.17</w:t>
            </w:r>
          </w:p>
        </w:tc>
        <w:tc>
          <w:tcPr>
            <w:tcW w:w="6957" w:type="dxa"/>
          </w:tcPr>
          <w:p>
            <w:pPr>
              <w:pStyle w:val="GesAbsatz"/>
              <w:rPr>
                <w:b/>
              </w:rPr>
            </w:pPr>
            <w:r>
              <w:rPr>
                <w:b/>
              </w:rPr>
              <w:t xml:space="preserve">Entscheidung nach § 38 Absatz 4 ElektroG über die Berücksichtigung oder Anrechnung mitgeteilter Mengen </w:t>
            </w:r>
          </w:p>
          <w:p>
            <w:pPr>
              <w:pStyle w:val="GesAbsatz"/>
            </w:pPr>
            <w:r>
              <w:t>je Mengenmitteilung</w:t>
            </w:r>
          </w:p>
        </w:tc>
        <w:tc>
          <w:tcPr>
            <w:tcW w:w="1554" w:type="dxa"/>
          </w:tcPr>
          <w:p>
            <w:pPr>
              <w:pStyle w:val="GesAbsatz"/>
              <w:tabs>
                <w:tab w:val="clear" w:pos="425"/>
                <w:tab w:val="decimal" w:pos="881"/>
              </w:tabs>
              <w:jc w:val="right"/>
            </w:pPr>
            <w:r>
              <w:t>50,50</w:t>
            </w:r>
          </w:p>
        </w:tc>
      </w:tr>
      <w:tr>
        <w:tc>
          <w:tcPr>
            <w:tcW w:w="9785" w:type="dxa"/>
            <w:gridSpan w:val="3"/>
          </w:tcPr>
          <w:p>
            <w:pPr>
              <w:pStyle w:val="GesAbsatz"/>
              <w:tabs>
                <w:tab w:val="clear" w:pos="425"/>
                <w:tab w:val="decimal" w:pos="881"/>
              </w:tabs>
              <w:jc w:val="center"/>
              <w:rPr>
                <w:b/>
              </w:rPr>
            </w:pPr>
            <w:r>
              <w:rPr>
                <w:b/>
              </w:rPr>
              <w:t xml:space="preserve">Abschnitt 2 </w:t>
            </w:r>
            <w:r>
              <w:rPr>
                <w:b/>
              </w:rPr>
              <w:br/>
              <w:t>Batteriegesetz (BattG)</w:t>
            </w:r>
          </w:p>
        </w:tc>
      </w:tr>
      <w:tr>
        <w:tc>
          <w:tcPr>
            <w:tcW w:w="9785" w:type="dxa"/>
            <w:gridSpan w:val="3"/>
          </w:tcPr>
          <w:p>
            <w:pPr>
              <w:pStyle w:val="GesAbsatz"/>
              <w:tabs>
                <w:tab w:val="clear" w:pos="425"/>
                <w:tab w:val="decimal" w:pos="881"/>
              </w:tabs>
              <w:jc w:val="center"/>
              <w:rPr>
                <w:b/>
              </w:rPr>
            </w:pPr>
            <w:r>
              <w:rPr>
                <w:b/>
              </w:rPr>
              <w:t xml:space="preserve">Registrierung </w:t>
            </w:r>
            <w:r>
              <w:rPr>
                <w:b/>
              </w:rPr>
              <w:br/>
              <w:t>(§ 20 Absatz 1 BattG)</w:t>
            </w:r>
          </w:p>
        </w:tc>
      </w:tr>
      <w:tr>
        <w:trPr>
          <w:trHeight w:val="771"/>
        </w:trPr>
        <w:tc>
          <w:tcPr>
            <w:tcW w:w="1274" w:type="dxa"/>
          </w:tcPr>
          <w:p>
            <w:pPr>
              <w:pStyle w:val="GesAbsatz"/>
            </w:pPr>
            <w:r>
              <w:t>2.1</w:t>
            </w:r>
          </w:p>
        </w:tc>
        <w:tc>
          <w:tcPr>
            <w:tcW w:w="6957" w:type="dxa"/>
          </w:tcPr>
          <w:p>
            <w:pPr>
              <w:pStyle w:val="GesAbsatz"/>
              <w:rPr>
                <w:b/>
                <w:bCs/>
              </w:rPr>
            </w:pPr>
            <w:r>
              <w:rPr>
                <w:b/>
                <w:bCs/>
              </w:rPr>
              <w:t xml:space="preserve">Registrierung nach § 20 Absatz 1 Satz 1 oder Satz 2 BattG </w:t>
            </w:r>
          </w:p>
          <w:p>
            <w:pPr>
              <w:pStyle w:val="GesAbsatz"/>
            </w:pPr>
            <w:r>
              <w:rPr>
                <w:bCs/>
              </w:rPr>
              <w:t xml:space="preserve">je Hersteller, Marke und Batterieart oder </w:t>
            </w:r>
            <w:r>
              <w:rPr>
                <w:bCs/>
              </w:rPr>
              <w:br/>
              <w:t>je Bevollmächtigten, vertretenen Hersteller, Marke und Batterieart</w:t>
            </w:r>
          </w:p>
        </w:tc>
        <w:tc>
          <w:tcPr>
            <w:tcW w:w="1554" w:type="dxa"/>
          </w:tcPr>
          <w:p>
            <w:pPr>
              <w:pStyle w:val="GesAbsatz"/>
              <w:jc w:val="right"/>
              <w:rPr>
                <w:w w:val="95"/>
              </w:rPr>
            </w:pPr>
            <w:r>
              <w:rPr>
                <w:w w:val="95"/>
              </w:rPr>
              <w:t>41,40</w:t>
            </w:r>
          </w:p>
        </w:tc>
      </w:tr>
      <w:tr>
        <w:trPr>
          <w:trHeight w:val="771"/>
        </w:trPr>
        <w:tc>
          <w:tcPr>
            <w:tcW w:w="1274" w:type="dxa"/>
          </w:tcPr>
          <w:p>
            <w:pPr>
              <w:pStyle w:val="GesAbsatz"/>
            </w:pPr>
            <w:r>
              <w:t>2.2</w:t>
            </w:r>
          </w:p>
        </w:tc>
        <w:tc>
          <w:tcPr>
            <w:tcW w:w="6957" w:type="dxa"/>
          </w:tcPr>
          <w:p>
            <w:pPr>
              <w:pStyle w:val="GesAbsatz"/>
              <w:rPr>
                <w:b/>
                <w:bCs/>
              </w:rPr>
            </w:pPr>
            <w:r>
              <w:rPr>
                <w:b/>
                <w:bCs/>
              </w:rPr>
              <w:t xml:space="preserve">Bescheinigung über die Registrierungspflicht nach den §§ 4 und 20 Absatz 1 BattG </w:t>
            </w:r>
          </w:p>
          <w:p>
            <w:pPr>
              <w:pStyle w:val="GesAbsatz"/>
            </w:pPr>
            <w:r>
              <w:rPr>
                <w:bCs/>
              </w:rPr>
              <w:t xml:space="preserve">je Hersteller und Batterie oder </w:t>
            </w:r>
            <w:r>
              <w:rPr>
                <w:bCs/>
              </w:rPr>
              <w:br/>
              <w:t xml:space="preserve">je Bevollmächtigten, vertretenen Hersteller und Batterie </w:t>
            </w:r>
            <w:r>
              <w:rPr>
                <w:bCs/>
              </w:rPr>
              <w:br/>
              <w:t>jeweils nach Aufwand der Prüfung</w:t>
            </w:r>
          </w:p>
        </w:tc>
        <w:tc>
          <w:tcPr>
            <w:tcW w:w="1554" w:type="dxa"/>
          </w:tcPr>
          <w:p>
            <w:pPr>
              <w:pStyle w:val="GesAbsatz"/>
              <w:jc w:val="right"/>
            </w:pPr>
            <w:r>
              <w:rPr>
                <w:w w:val="95"/>
              </w:rPr>
              <w:t xml:space="preserve">232,90 </w:t>
            </w:r>
            <w:r>
              <w:rPr>
                <w:w w:val="95"/>
              </w:rPr>
              <w:br/>
              <w:t>bis 6 755,40</w:t>
            </w:r>
          </w:p>
        </w:tc>
      </w:tr>
      <w:tr>
        <w:trPr>
          <w:trHeight w:val="970"/>
        </w:trPr>
        <w:tc>
          <w:tcPr>
            <w:tcW w:w="1274" w:type="dxa"/>
          </w:tcPr>
          <w:p>
            <w:pPr>
              <w:pStyle w:val="GesAbsatz"/>
            </w:pPr>
            <w:r>
              <w:t>2.3</w:t>
            </w:r>
          </w:p>
        </w:tc>
        <w:tc>
          <w:tcPr>
            <w:tcW w:w="6957" w:type="dxa"/>
          </w:tcPr>
          <w:p>
            <w:pPr>
              <w:pStyle w:val="GesAbsatz"/>
              <w:rPr>
                <w:b/>
                <w:bCs/>
              </w:rPr>
            </w:pPr>
            <w:r>
              <w:rPr>
                <w:b/>
                <w:bCs/>
              </w:rPr>
              <w:t xml:space="preserve">Prüfung der Einrichtung und des Betriebs eines Rücknahmesystems nach § 20 Absatz 1 Satz 3 BattG in Verbindung mit § 7 Absatz 1 Satz 1 BattG </w:t>
            </w:r>
          </w:p>
          <w:p>
            <w:pPr>
              <w:pStyle w:val="GesAbsatz"/>
            </w:pPr>
            <w:r>
              <w:rPr>
                <w:bCs/>
              </w:rPr>
              <w:t xml:space="preserve">je Hersteller oder </w:t>
            </w:r>
            <w:r>
              <w:rPr>
                <w:bCs/>
              </w:rPr>
              <w:br/>
              <w:t>je Bevollmächtigten und vertretenen Hersteller</w:t>
            </w:r>
          </w:p>
        </w:tc>
        <w:tc>
          <w:tcPr>
            <w:tcW w:w="1554" w:type="dxa"/>
          </w:tcPr>
          <w:p>
            <w:pPr>
              <w:pStyle w:val="GesAbsatz"/>
              <w:jc w:val="right"/>
              <w:rPr>
                <w:w w:val="95"/>
              </w:rPr>
            </w:pPr>
            <w:r>
              <w:rPr>
                <w:w w:val="95"/>
              </w:rPr>
              <w:t>14,40</w:t>
            </w:r>
          </w:p>
        </w:tc>
      </w:tr>
      <w:tr>
        <w:trPr>
          <w:trHeight w:val="515"/>
        </w:trPr>
        <w:tc>
          <w:tcPr>
            <w:tcW w:w="9785" w:type="dxa"/>
            <w:gridSpan w:val="3"/>
          </w:tcPr>
          <w:p>
            <w:pPr>
              <w:pStyle w:val="GesAbsatz"/>
              <w:tabs>
                <w:tab w:val="clear" w:pos="425"/>
                <w:tab w:val="decimal" w:pos="881"/>
              </w:tabs>
              <w:jc w:val="center"/>
            </w:pPr>
            <w:r>
              <w:rPr>
                <w:b/>
                <w:spacing w:val="60"/>
              </w:rPr>
              <w:t>Rücknahmesysteme</w:t>
            </w:r>
            <w:r>
              <w:br/>
            </w:r>
            <w:r>
              <w:rPr>
                <w:b/>
              </w:rPr>
              <w:t>(§ 20 Absatz 2 BattG)</w:t>
            </w:r>
          </w:p>
        </w:tc>
      </w:tr>
      <w:tr>
        <w:trPr>
          <w:trHeight w:val="586"/>
        </w:trPr>
        <w:tc>
          <w:tcPr>
            <w:tcW w:w="1274" w:type="dxa"/>
          </w:tcPr>
          <w:p>
            <w:pPr>
              <w:pStyle w:val="GesAbsatz"/>
            </w:pPr>
            <w:r>
              <w:t>2.4</w:t>
            </w:r>
          </w:p>
        </w:tc>
        <w:tc>
          <w:tcPr>
            <w:tcW w:w="6957" w:type="dxa"/>
          </w:tcPr>
          <w:p>
            <w:pPr>
              <w:pStyle w:val="GesAbsatz"/>
              <w:rPr>
                <w:b/>
                <w:bCs/>
              </w:rPr>
            </w:pPr>
            <w:r>
              <w:rPr>
                <w:b/>
                <w:bCs/>
              </w:rPr>
              <w:t xml:space="preserve">Genehmigung eines Rücknahmesystems nach § 20 Absatz 2 Satz 1 BattG </w:t>
            </w:r>
          </w:p>
          <w:p>
            <w:pPr>
              <w:pStyle w:val="GesAbsatz"/>
            </w:pPr>
            <w:r>
              <w:rPr>
                <w:bCs/>
              </w:rPr>
              <w:t xml:space="preserve">je Rücknahmesystem </w:t>
            </w:r>
            <w:r>
              <w:rPr>
                <w:bCs/>
              </w:rPr>
              <w:br/>
              <w:t>jeweils nach Aufwand der Prüfung</w:t>
            </w:r>
          </w:p>
        </w:tc>
        <w:tc>
          <w:tcPr>
            <w:tcW w:w="1554" w:type="dxa"/>
          </w:tcPr>
          <w:p>
            <w:pPr>
              <w:pStyle w:val="GesAbsatz"/>
              <w:jc w:val="right"/>
            </w:pPr>
            <w:r>
              <w:t xml:space="preserve">1 234,80 </w:t>
            </w:r>
            <w:r>
              <w:br/>
              <w:t>bis 14 817,70</w:t>
            </w:r>
          </w:p>
        </w:tc>
      </w:tr>
      <w:tr>
        <w:trPr>
          <w:trHeight w:val="1169"/>
        </w:trPr>
        <w:tc>
          <w:tcPr>
            <w:tcW w:w="1274" w:type="dxa"/>
          </w:tcPr>
          <w:p>
            <w:pPr>
              <w:pStyle w:val="GesAbsatz"/>
            </w:pPr>
            <w:r>
              <w:lastRenderedPageBreak/>
              <w:t>2.5</w:t>
            </w:r>
          </w:p>
        </w:tc>
        <w:tc>
          <w:tcPr>
            <w:tcW w:w="6957" w:type="dxa"/>
          </w:tcPr>
          <w:p>
            <w:pPr>
              <w:pStyle w:val="GesAbsatz"/>
              <w:rPr>
                <w:b/>
                <w:bCs/>
              </w:rPr>
            </w:pPr>
            <w:r>
              <w:rPr>
                <w:b/>
                <w:bCs/>
              </w:rPr>
              <w:t xml:space="preserve">Änderung der Genehmigung eines Rücknahmesystems nach § 20 Absatz 2 Satz 1 BattG in Verbindung mit § 7 Absatz 3 Satz 1 oder Satz 2 BattG hinsichtlich der Wirkung für einzelne Hersteller oder deren Bevollmächtigte </w:t>
            </w:r>
          </w:p>
          <w:p>
            <w:pPr>
              <w:pStyle w:val="GesAbsatz"/>
            </w:pPr>
            <w:r>
              <w:rPr>
                <w:bCs/>
              </w:rPr>
              <w:t xml:space="preserve">je hinzutretenden oder ausscheidenden Hersteller oder </w:t>
            </w:r>
            <w:r>
              <w:rPr>
                <w:bCs/>
              </w:rPr>
              <w:br/>
              <w:t>je hinzutretenden oder ausscheidenden Bevollmächtigten und vertretenen Hersteller</w:t>
            </w:r>
          </w:p>
        </w:tc>
        <w:tc>
          <w:tcPr>
            <w:tcW w:w="1554" w:type="dxa"/>
          </w:tcPr>
          <w:p>
            <w:pPr>
              <w:pStyle w:val="GesAbsatz"/>
              <w:jc w:val="right"/>
              <w:rPr>
                <w:w w:val="95"/>
              </w:rPr>
            </w:pPr>
            <w:r>
              <w:rPr>
                <w:w w:val="95"/>
              </w:rPr>
              <w:t>33,60</w:t>
            </w:r>
          </w:p>
        </w:tc>
      </w:tr>
      <w:tr>
        <w:trPr>
          <w:trHeight w:val="984"/>
        </w:trPr>
        <w:tc>
          <w:tcPr>
            <w:tcW w:w="1274" w:type="dxa"/>
          </w:tcPr>
          <w:p>
            <w:pPr>
              <w:pStyle w:val="GesAbsatz"/>
            </w:pPr>
            <w:r>
              <w:t>2.6</w:t>
            </w:r>
          </w:p>
        </w:tc>
        <w:tc>
          <w:tcPr>
            <w:tcW w:w="6957" w:type="dxa"/>
          </w:tcPr>
          <w:p>
            <w:pPr>
              <w:pStyle w:val="GesAbsatz"/>
              <w:rPr>
                <w:b/>
                <w:bCs/>
              </w:rPr>
            </w:pPr>
            <w:r>
              <w:rPr>
                <w:b/>
                <w:bCs/>
              </w:rPr>
              <w:t xml:space="preserve">Sonstige Änderung oder nachträgliche Auflage zu der Genehmigung eines Rücknahmesystems nach § 20 Absatz 2 Satz 1 BattG, auch in Verbindung mit § 7 Absatz 2 Satz 4 BattG </w:t>
            </w:r>
          </w:p>
          <w:p>
            <w:pPr>
              <w:pStyle w:val="GesAbsatz"/>
            </w:pPr>
            <w:r>
              <w:rPr>
                <w:bCs/>
              </w:rPr>
              <w:t xml:space="preserve">je Änderung oder Auflage </w:t>
            </w:r>
            <w:r>
              <w:rPr>
                <w:bCs/>
              </w:rPr>
              <w:br/>
              <w:t>jeweils nach Aufwand der Prüfung der Änderung oder Auflage</w:t>
            </w:r>
          </w:p>
        </w:tc>
        <w:tc>
          <w:tcPr>
            <w:tcW w:w="1554" w:type="dxa"/>
          </w:tcPr>
          <w:p>
            <w:pPr>
              <w:pStyle w:val="GesAbsatz"/>
              <w:jc w:val="right"/>
            </w:pPr>
            <w:r>
              <w:rPr>
                <w:w w:val="95"/>
              </w:rPr>
              <w:t xml:space="preserve">120,10 </w:t>
            </w:r>
            <w:r>
              <w:rPr>
                <w:w w:val="95"/>
              </w:rPr>
              <w:br/>
              <w:t>bis 2 282,50</w:t>
            </w:r>
          </w:p>
        </w:tc>
      </w:tr>
      <w:tr>
        <w:trPr>
          <w:trHeight w:val="586"/>
        </w:trPr>
        <w:tc>
          <w:tcPr>
            <w:tcW w:w="1274" w:type="dxa"/>
          </w:tcPr>
          <w:p>
            <w:pPr>
              <w:pStyle w:val="GesAbsatz"/>
            </w:pPr>
            <w:r>
              <w:t>2.7</w:t>
            </w:r>
          </w:p>
        </w:tc>
        <w:tc>
          <w:tcPr>
            <w:tcW w:w="6957" w:type="dxa"/>
          </w:tcPr>
          <w:p>
            <w:pPr>
              <w:pStyle w:val="GesAbsatz"/>
              <w:rPr>
                <w:b/>
                <w:bCs/>
              </w:rPr>
            </w:pPr>
            <w:r>
              <w:rPr>
                <w:b/>
                <w:bCs/>
              </w:rPr>
              <w:t xml:space="preserve">Überprüfung der Voraussetzungen für die Genehmigung nach § 20 Absatz 2 Satz 2 BattG </w:t>
            </w:r>
          </w:p>
          <w:p>
            <w:pPr>
              <w:pStyle w:val="GesAbsatz"/>
            </w:pPr>
            <w:r>
              <w:rPr>
                <w:bCs/>
              </w:rPr>
              <w:t xml:space="preserve">je Rücknahmesystem und Überprüfung </w:t>
            </w:r>
            <w:r>
              <w:rPr>
                <w:bCs/>
              </w:rPr>
              <w:br/>
              <w:t>jeweils nach Aufwand der Überprüfung</w:t>
            </w:r>
          </w:p>
        </w:tc>
        <w:tc>
          <w:tcPr>
            <w:tcW w:w="1554" w:type="dxa"/>
          </w:tcPr>
          <w:p>
            <w:pPr>
              <w:pStyle w:val="GesAbsatz"/>
              <w:jc w:val="right"/>
              <w:rPr>
                <w:w w:val="95"/>
              </w:rPr>
            </w:pPr>
            <w:r>
              <w:rPr>
                <w:w w:val="95"/>
              </w:rPr>
              <w:t xml:space="preserve">615,00 </w:t>
            </w:r>
            <w:r>
              <w:rPr>
                <w:w w:val="95"/>
              </w:rPr>
              <w:br/>
              <w:t>bis 6 715,10</w:t>
            </w:r>
          </w:p>
        </w:tc>
      </w:tr>
      <w:tr>
        <w:trPr>
          <w:trHeight w:val="515"/>
        </w:trPr>
        <w:tc>
          <w:tcPr>
            <w:tcW w:w="9785" w:type="dxa"/>
            <w:gridSpan w:val="3"/>
          </w:tcPr>
          <w:p>
            <w:pPr>
              <w:pStyle w:val="GesAbsatz"/>
              <w:tabs>
                <w:tab w:val="clear" w:pos="425"/>
                <w:tab w:val="decimal" w:pos="881"/>
              </w:tabs>
              <w:jc w:val="center"/>
            </w:pPr>
            <w:r>
              <w:rPr>
                <w:b/>
                <w:spacing w:val="60"/>
              </w:rPr>
              <w:t>Anordnungen</w:t>
            </w:r>
            <w:r>
              <w:rPr>
                <w:b/>
                <w:spacing w:val="60"/>
              </w:rPr>
              <w:br/>
            </w:r>
            <w:r>
              <w:rPr>
                <w:b/>
              </w:rPr>
              <w:t>(§ 28 Absatz 1 BattG)</w:t>
            </w:r>
          </w:p>
        </w:tc>
      </w:tr>
      <w:tr>
        <w:trPr>
          <w:trHeight w:val="785"/>
        </w:trPr>
        <w:tc>
          <w:tcPr>
            <w:tcW w:w="1274" w:type="dxa"/>
          </w:tcPr>
          <w:p>
            <w:pPr>
              <w:pStyle w:val="GesAbsatz"/>
              <w:rPr>
                <w:color w:val="auto"/>
              </w:rPr>
            </w:pPr>
            <w:r>
              <w:rPr>
                <w:color w:val="auto"/>
              </w:rPr>
              <w:t>2.8</w:t>
            </w:r>
          </w:p>
        </w:tc>
        <w:tc>
          <w:tcPr>
            <w:tcW w:w="6957" w:type="dxa"/>
          </w:tcPr>
          <w:p>
            <w:pPr>
              <w:pStyle w:val="GesAbsatz"/>
              <w:rPr>
                <w:b/>
                <w:color w:val="auto"/>
              </w:rPr>
            </w:pPr>
            <w:r>
              <w:rPr>
                <w:b/>
                <w:color w:val="auto"/>
              </w:rPr>
              <w:t>Anordnung einer Angebotsabgabe nach § 28 Absatz 1 BattG in Verbindung mit § 7 Absatz 2 Satz 2 Nummer 1 BattG</w:t>
            </w:r>
          </w:p>
          <w:p>
            <w:pPr>
              <w:pStyle w:val="GesAbsatz"/>
              <w:rPr>
                <w:color w:val="auto"/>
              </w:rPr>
            </w:pPr>
            <w:r>
              <w:rPr>
                <w:color w:val="auto"/>
              </w:rPr>
              <w:t>je Rücknahmestelle und Rücknahmesystem</w:t>
            </w:r>
          </w:p>
        </w:tc>
        <w:tc>
          <w:tcPr>
            <w:tcW w:w="1554" w:type="dxa"/>
          </w:tcPr>
          <w:p>
            <w:pPr>
              <w:pStyle w:val="GesAbsatz"/>
              <w:tabs>
                <w:tab w:val="clear" w:pos="425"/>
                <w:tab w:val="decimal" w:pos="881"/>
              </w:tabs>
              <w:jc w:val="right"/>
              <w:rPr>
                <w:color w:val="auto"/>
              </w:rPr>
            </w:pPr>
            <w:r>
              <w:rPr>
                <w:color w:val="auto"/>
              </w:rPr>
              <w:t>127,00</w:t>
            </w:r>
          </w:p>
        </w:tc>
      </w:tr>
      <w:tr>
        <w:trPr>
          <w:trHeight w:val="785"/>
        </w:trPr>
        <w:tc>
          <w:tcPr>
            <w:tcW w:w="1274" w:type="dxa"/>
          </w:tcPr>
          <w:p>
            <w:pPr>
              <w:pStyle w:val="GesAbsatz"/>
            </w:pPr>
            <w:r>
              <w:t>2.9</w:t>
            </w:r>
          </w:p>
        </w:tc>
        <w:tc>
          <w:tcPr>
            <w:tcW w:w="6957" w:type="dxa"/>
          </w:tcPr>
          <w:p>
            <w:pPr>
              <w:pStyle w:val="GesAbsatz"/>
              <w:rPr>
                <w:b/>
              </w:rPr>
            </w:pPr>
            <w:r>
              <w:rPr>
                <w:b/>
              </w:rPr>
              <w:t>Anordnungen zur dauerhaften Sicherstellung der Erreichung des Sammelziels (</w:t>
            </w:r>
            <w:proofErr w:type="spellStart"/>
            <w:r>
              <w:rPr>
                <w:b/>
              </w:rPr>
              <w:t>dS</w:t>
            </w:r>
            <w:proofErr w:type="spellEnd"/>
            <w:r>
              <w:rPr>
                <w:b/>
              </w:rPr>
              <w:t xml:space="preserve">-Faktor) </w:t>
            </w:r>
          </w:p>
          <w:p>
            <w:pPr>
              <w:pStyle w:val="GesAbsatz"/>
            </w:pPr>
            <w:r>
              <w:t xml:space="preserve">mittels </w:t>
            </w:r>
            <w:proofErr w:type="spellStart"/>
            <w:r>
              <w:t>dS</w:t>
            </w:r>
            <w:proofErr w:type="spellEnd"/>
            <w:r>
              <w:t>-Faktor nach § 28 Absatz 1 BattG in Verbindung mit § 7 Absatz 2 Satz 1 BattG</w:t>
            </w:r>
          </w:p>
        </w:tc>
        <w:tc>
          <w:tcPr>
            <w:tcW w:w="1554" w:type="dxa"/>
          </w:tcPr>
          <w:p>
            <w:pPr>
              <w:pStyle w:val="GesAbsatz"/>
              <w:tabs>
                <w:tab w:val="clear" w:pos="425"/>
                <w:tab w:val="decimal" w:pos="881"/>
              </w:tabs>
              <w:jc w:val="right"/>
            </w:pPr>
            <w:r>
              <w:t>0,80</w:t>
            </w:r>
          </w:p>
        </w:tc>
      </w:tr>
      <w:tr>
        <w:trPr>
          <w:trHeight w:val="515"/>
        </w:trPr>
        <w:tc>
          <w:tcPr>
            <w:tcW w:w="1274" w:type="dxa"/>
          </w:tcPr>
          <w:p>
            <w:pPr>
              <w:pStyle w:val="GesAbsatz"/>
            </w:pPr>
            <w:r>
              <w:t>2.10</w:t>
            </w:r>
          </w:p>
        </w:tc>
        <w:tc>
          <w:tcPr>
            <w:tcW w:w="6957" w:type="dxa"/>
          </w:tcPr>
          <w:p>
            <w:pPr>
              <w:pStyle w:val="GesAbsatz"/>
              <w:rPr>
                <w:b/>
              </w:rPr>
            </w:pPr>
            <w:r>
              <w:rPr>
                <w:b/>
              </w:rPr>
              <w:t xml:space="preserve">Sonstige Anordnungen nach § 28 Absatz 1 BattG jeweils </w:t>
            </w:r>
          </w:p>
          <w:p>
            <w:pPr>
              <w:pStyle w:val="GesAbsatz"/>
            </w:pPr>
            <w:r>
              <w:t>nach Aufwand der Anordnung</w:t>
            </w:r>
          </w:p>
        </w:tc>
        <w:tc>
          <w:tcPr>
            <w:tcW w:w="1554" w:type="dxa"/>
          </w:tcPr>
          <w:p>
            <w:pPr>
              <w:pStyle w:val="GesAbsatz"/>
              <w:tabs>
                <w:tab w:val="clear" w:pos="425"/>
                <w:tab w:val="decimal" w:pos="881"/>
              </w:tabs>
              <w:jc w:val="right"/>
            </w:pPr>
            <w:r>
              <w:t xml:space="preserve">28,60 </w:t>
            </w:r>
            <w:r>
              <w:br/>
              <w:t>bis 544,30</w:t>
            </w:r>
          </w:p>
        </w:tc>
      </w:tr>
      <w:tr>
        <w:trPr>
          <w:trHeight w:val="555"/>
        </w:trPr>
        <w:tc>
          <w:tcPr>
            <w:tcW w:w="9785" w:type="dxa"/>
            <w:gridSpan w:val="3"/>
          </w:tcPr>
          <w:p>
            <w:pPr>
              <w:pStyle w:val="GesAbsatz"/>
              <w:tabs>
                <w:tab w:val="clear" w:pos="425"/>
                <w:tab w:val="decimal" w:pos="881"/>
              </w:tabs>
              <w:jc w:val="center"/>
            </w:pPr>
            <w:r>
              <w:rPr>
                <w:b/>
              </w:rPr>
              <w:t>Abschnitt 3</w:t>
            </w:r>
            <w:r>
              <w:rPr>
                <w:b/>
              </w:rPr>
              <w:br/>
              <w:t>Übergreifende Leistungen auf Grund des ElektroG oder des BattG</w:t>
            </w:r>
          </w:p>
        </w:tc>
      </w:tr>
      <w:tr>
        <w:trPr>
          <w:trHeight w:val="2293"/>
        </w:trPr>
        <w:tc>
          <w:tcPr>
            <w:tcW w:w="1274" w:type="dxa"/>
          </w:tcPr>
          <w:p>
            <w:pPr>
              <w:pStyle w:val="GesAbsatz"/>
              <w:rPr>
                <w:color w:val="auto"/>
              </w:rPr>
            </w:pPr>
            <w:r>
              <w:rPr>
                <w:color w:val="auto"/>
              </w:rPr>
              <w:t>3.1</w:t>
            </w:r>
          </w:p>
        </w:tc>
        <w:tc>
          <w:tcPr>
            <w:tcW w:w="6957" w:type="dxa"/>
          </w:tcPr>
          <w:p>
            <w:pPr>
              <w:pStyle w:val="GesAbsatz"/>
              <w:rPr>
                <w:b/>
                <w:color w:val="auto"/>
              </w:rPr>
            </w:pPr>
            <w:r>
              <w:rPr>
                <w:b/>
                <w:color w:val="auto"/>
              </w:rPr>
              <w:t xml:space="preserve">Zustimmung zum Übergang der Registrierungen bei nur teilweiser Gesamtrechtsnachfolge nach § 37 Absatz 4 Satz 2 ElektroG </w:t>
            </w:r>
            <w:r>
              <w:rPr>
                <w:b/>
                <w:color w:val="auto"/>
              </w:rPr>
              <w:br/>
              <w:t>oder</w:t>
            </w:r>
            <w:r>
              <w:rPr>
                <w:b/>
                <w:color w:val="auto"/>
              </w:rPr>
              <w:br/>
              <w:t xml:space="preserve">bei gesellschaftsrechtlicher Änderung (Änderung von Firma, Ort der Niederlassung oder Sitz, Anschrift, Name des Vertretungsberechtigten sowie Änderung von Namen und Kontaktdaten des vertretenen Herstellers) Prüfung der Änderung der Registrierungen </w:t>
            </w:r>
          </w:p>
          <w:p>
            <w:pPr>
              <w:pStyle w:val="GesAbsatz"/>
              <w:ind w:left="466" w:hanging="466"/>
              <w:rPr>
                <w:b/>
                <w:color w:val="auto"/>
              </w:rPr>
            </w:pPr>
            <w:r>
              <w:rPr>
                <w:b/>
                <w:color w:val="auto"/>
              </w:rPr>
              <w:t>–</w:t>
            </w:r>
            <w:r>
              <w:rPr>
                <w:b/>
                <w:color w:val="auto"/>
              </w:rPr>
              <w:tab/>
              <w:t xml:space="preserve">nach § 37 Absatz 1 Satz 1 oder Satz 2 ElektroG in Verbindung mit § 6 Absatz 1 Satz 4 ElektroG oder </w:t>
            </w:r>
          </w:p>
          <w:p>
            <w:pPr>
              <w:pStyle w:val="GesAbsatz"/>
              <w:ind w:left="466" w:hanging="466"/>
              <w:rPr>
                <w:b/>
                <w:color w:val="auto"/>
              </w:rPr>
            </w:pPr>
            <w:r>
              <w:rPr>
                <w:b/>
                <w:color w:val="auto"/>
              </w:rPr>
              <w:t>–</w:t>
            </w:r>
            <w:r>
              <w:rPr>
                <w:b/>
                <w:color w:val="auto"/>
              </w:rPr>
              <w:tab/>
              <w:t xml:space="preserve">nach § 20 Absatz 1 Satz 1 oder Satz 2 BattG in Verbindung mit § 4 Absatz 1 Satz 4 BattG </w:t>
            </w:r>
          </w:p>
          <w:p>
            <w:pPr>
              <w:pStyle w:val="GesAbsatz"/>
              <w:rPr>
                <w:color w:val="auto"/>
              </w:rPr>
            </w:pPr>
            <w:r>
              <w:rPr>
                <w:color w:val="auto"/>
              </w:rPr>
              <w:t xml:space="preserve">je Hersteller oder </w:t>
            </w:r>
            <w:r>
              <w:rPr>
                <w:color w:val="auto"/>
              </w:rPr>
              <w:br/>
              <w:t>je Bevollmächtigter</w:t>
            </w:r>
          </w:p>
        </w:tc>
        <w:tc>
          <w:tcPr>
            <w:tcW w:w="1554" w:type="dxa"/>
          </w:tcPr>
          <w:p>
            <w:pPr>
              <w:pStyle w:val="GesAbsatz"/>
              <w:tabs>
                <w:tab w:val="clear" w:pos="425"/>
                <w:tab w:val="decimal" w:pos="881"/>
              </w:tabs>
              <w:jc w:val="right"/>
              <w:rPr>
                <w:color w:val="auto"/>
              </w:rPr>
            </w:pPr>
            <w:r>
              <w:rPr>
                <w:color w:val="auto"/>
              </w:rPr>
              <w:t>219,10</w:t>
            </w:r>
          </w:p>
        </w:tc>
      </w:tr>
      <w:tr>
        <w:tc>
          <w:tcPr>
            <w:tcW w:w="1274" w:type="dxa"/>
          </w:tcPr>
          <w:p>
            <w:pPr>
              <w:pStyle w:val="GesAbsatz"/>
            </w:pPr>
            <w:r>
              <w:t>3.2</w:t>
            </w:r>
          </w:p>
        </w:tc>
        <w:tc>
          <w:tcPr>
            <w:tcW w:w="6957" w:type="dxa"/>
          </w:tcPr>
          <w:p>
            <w:pPr>
              <w:pStyle w:val="GesAbsatz"/>
              <w:rPr>
                <w:b/>
              </w:rPr>
            </w:pPr>
            <w:r>
              <w:rPr>
                <w:b/>
              </w:rPr>
              <w:t>Erhöhung der Gebühr</w:t>
            </w:r>
          </w:p>
          <w:p>
            <w:pPr>
              <w:pStyle w:val="GesAbsatz"/>
              <w:rPr>
                <w:b/>
              </w:rPr>
            </w:pPr>
            <w:r>
              <w:rPr>
                <w:b/>
              </w:rPr>
              <w:t>nach den Nummern 1.1 bis 1.8, 1.13 und 1.14 bei Antragstellung, Übermittlung der Nachweise oder Anzeigen außerhalb des zur Verfügung gestellten elektronischen Datenverarbeitungssystems im Sinne des § 37 Absatz 3 ElektroG, auch in Verbindung mit § 38 Absatz 2 Satz 2 ElektroG,</w:t>
            </w:r>
          </w:p>
          <w:p>
            <w:pPr>
              <w:pStyle w:val="GesAbsatz"/>
              <w:rPr>
                <w:b/>
              </w:rPr>
            </w:pPr>
            <w:r>
              <w:rPr>
                <w:b/>
              </w:rPr>
              <w:lastRenderedPageBreak/>
              <w:t xml:space="preserve">oder </w:t>
            </w:r>
          </w:p>
          <w:p>
            <w:pPr>
              <w:pStyle w:val="GesAbsatz"/>
              <w:rPr>
                <w:b/>
              </w:rPr>
            </w:pPr>
            <w:r>
              <w:rPr>
                <w:b/>
              </w:rPr>
              <w:t xml:space="preserve">nach den Nummern 2.1 bis 2.7 bei Antragstellung oder Übermittlung der Nachweise außerhalb des von der zuständigen Behörde zur Verfügung gestellten elektronischen Datenverarbeitungssystems im Sinne des § 4 Absatz 3 BattG oder des § 7 Absatz 6 BattG </w:t>
            </w:r>
          </w:p>
          <w:p>
            <w:pPr>
              <w:pStyle w:val="GesAbsatz"/>
              <w:rPr>
                <w:b/>
              </w:rPr>
            </w:pPr>
            <w:r>
              <w:rPr>
                <w:b/>
              </w:rPr>
              <w:t xml:space="preserve">oder </w:t>
            </w:r>
          </w:p>
          <w:p>
            <w:pPr>
              <w:pStyle w:val="GesAbsatz"/>
            </w:pPr>
            <w:r>
              <w:rPr>
                <w:b/>
              </w:rPr>
              <w:t>nach Nummer 3.1 bei Antragstellung oder Übermittlung der Nachweise außerhalb des von der zuständigen Behörde zur Verfügung gestellten elektronischen Datenverarbeitungssystems im Sinne des § 37 Absatz 3 ElektroG oder im Sinne des § 4 Absatz 3 BattG</w:t>
            </w:r>
          </w:p>
        </w:tc>
        <w:tc>
          <w:tcPr>
            <w:tcW w:w="1554" w:type="dxa"/>
          </w:tcPr>
          <w:p>
            <w:pPr>
              <w:pStyle w:val="GesAbsatz"/>
              <w:tabs>
                <w:tab w:val="clear" w:pos="425"/>
                <w:tab w:val="decimal" w:pos="881"/>
              </w:tabs>
              <w:jc w:val="right"/>
            </w:pPr>
            <w:r>
              <w:lastRenderedPageBreak/>
              <w:t xml:space="preserve">27,40 </w:t>
            </w:r>
            <w:r>
              <w:br/>
              <w:t>bis 247,10</w:t>
            </w:r>
          </w:p>
        </w:tc>
      </w:tr>
    </w:tbl>
    <w:p>
      <w:pPr>
        <w:pStyle w:val="GesAbsatz"/>
      </w:pPr>
    </w:p>
    <w:p>
      <w:pPr>
        <w:pStyle w:val="GesAbsatz"/>
        <w:rPr>
          <w:b/>
        </w:rPr>
      </w:pPr>
      <w:bookmarkStart w:id="7" w:name="Änderungen"/>
      <w:bookmarkEnd w:id="7"/>
      <w:r>
        <w:rPr>
          <w:b/>
        </w:rPr>
        <w:t>Änderungen:</w:t>
      </w:r>
    </w:p>
    <w:p>
      <w:pPr>
        <w:pStyle w:val="GesAbsatz"/>
        <w:tabs>
          <w:tab w:val="left" w:pos="2835"/>
        </w:tabs>
        <w:rPr>
          <w:lang w:val="sv-SE"/>
        </w:rPr>
      </w:pPr>
      <w:r>
        <w:rPr>
          <w:lang w:val="sv-SE"/>
        </w:rPr>
        <w:t>20.10.2015</w:t>
      </w:r>
      <w:r>
        <w:rPr>
          <w:lang w:val="sv-SE"/>
        </w:rPr>
        <w:tab/>
      </w:r>
      <w:hyperlink r:id="rId8" w:history="1">
        <w:r>
          <w:rPr>
            <w:rStyle w:val="Hyperlink"/>
            <w:lang w:val="sv-SE"/>
          </w:rPr>
          <w:t>BGBl. I Nr. 40 S. 1776</w:t>
        </w:r>
      </w:hyperlink>
      <w:r>
        <w:rPr>
          <w:lang w:val="sv-SE"/>
        </w:rPr>
        <w:t xml:space="preserve"> Inkrafttreten 24.10.2015</w:t>
      </w:r>
    </w:p>
    <w:p>
      <w:pPr>
        <w:pStyle w:val="GesAbsatz"/>
        <w:tabs>
          <w:tab w:val="left" w:pos="2835"/>
        </w:tabs>
        <w:rPr>
          <w:lang w:val="sv-SE"/>
        </w:rPr>
      </w:pPr>
      <w:r>
        <w:rPr>
          <w:lang w:val="sv-SE"/>
        </w:rPr>
        <w:t>30.11.2016</w:t>
      </w:r>
      <w:r>
        <w:rPr>
          <w:lang w:val="sv-SE"/>
        </w:rPr>
        <w:tab/>
      </w:r>
      <w:hyperlink r:id="rId9" w:history="1">
        <w:r>
          <w:rPr>
            <w:rStyle w:val="Hyperlink"/>
            <w:lang w:val="sv-SE"/>
          </w:rPr>
          <w:t>BGBl. I Nr. 59 S. 2850</w:t>
        </w:r>
      </w:hyperlink>
      <w:r>
        <w:rPr>
          <w:lang w:val="sv-SE"/>
        </w:rPr>
        <w:t xml:space="preserve"> Inkrafttreten 01.01.2017</w:t>
      </w:r>
    </w:p>
    <w:p>
      <w:pPr>
        <w:pStyle w:val="GesAbsatz"/>
        <w:tabs>
          <w:tab w:val="left" w:pos="2835"/>
        </w:tabs>
        <w:rPr>
          <w:lang w:val="sv-SE"/>
        </w:rPr>
      </w:pPr>
      <w:r>
        <w:rPr>
          <w:lang w:val="sv-SE"/>
        </w:rPr>
        <w:t>18.12.2017</w:t>
      </w:r>
      <w:r>
        <w:rPr>
          <w:lang w:val="sv-SE"/>
        </w:rPr>
        <w:tab/>
      </w:r>
      <w:hyperlink r:id="rId10" w:history="1">
        <w:r>
          <w:rPr>
            <w:rStyle w:val="Hyperlink"/>
            <w:lang w:val="sv-SE"/>
          </w:rPr>
          <w:t>BGBl. I Nr. 79 S. 3977</w:t>
        </w:r>
      </w:hyperlink>
      <w:r>
        <w:rPr>
          <w:lang w:val="sv-SE"/>
        </w:rPr>
        <w:t xml:space="preserve"> Inkrafttreten 01.01.2018/15.08.2018</w:t>
      </w:r>
    </w:p>
    <w:p>
      <w:pPr>
        <w:pStyle w:val="GesAbsatz"/>
        <w:tabs>
          <w:tab w:val="left" w:pos="2835"/>
        </w:tabs>
        <w:rPr>
          <w:lang w:val="sv-SE"/>
        </w:rPr>
      </w:pPr>
      <w:r>
        <w:rPr>
          <w:lang w:val="sv-SE"/>
        </w:rPr>
        <w:t>07.12.2018</w:t>
      </w:r>
      <w:r>
        <w:rPr>
          <w:lang w:val="sv-SE"/>
        </w:rPr>
        <w:tab/>
      </w:r>
      <w:hyperlink r:id="rId11" w:history="1">
        <w:r>
          <w:rPr>
            <w:rStyle w:val="Hyperlink"/>
            <w:lang w:val="sv-SE"/>
          </w:rPr>
          <w:t>BGBl. I Nr. 44 S. 2275</w:t>
        </w:r>
      </w:hyperlink>
      <w:r>
        <w:rPr>
          <w:lang w:val="sv-SE"/>
        </w:rPr>
        <w:t xml:space="preserve"> Inkrafttreten 01.01.2019</w:t>
      </w:r>
    </w:p>
    <w:p>
      <w:pPr>
        <w:pStyle w:val="GesAbsatz"/>
        <w:tabs>
          <w:tab w:val="left" w:pos="2835"/>
        </w:tabs>
        <w:rPr>
          <w:lang w:val="sv-SE"/>
        </w:rPr>
      </w:pPr>
      <w:r>
        <w:rPr>
          <w:lang w:val="sv-SE"/>
        </w:rPr>
        <w:t>03.12.2019</w:t>
      </w:r>
      <w:r>
        <w:rPr>
          <w:lang w:val="sv-SE"/>
        </w:rPr>
        <w:tab/>
      </w:r>
      <w:hyperlink r:id="rId12" w:history="1">
        <w:r>
          <w:rPr>
            <w:rStyle w:val="Hyperlink"/>
            <w:lang w:val="sv-SE"/>
          </w:rPr>
          <w:t>BGBl. I Nr. 45 S. 2034</w:t>
        </w:r>
      </w:hyperlink>
      <w:r>
        <w:rPr>
          <w:lang w:val="sv-SE"/>
        </w:rPr>
        <w:t xml:space="preserve"> Inkrafttreten 01.01.2020</w:t>
      </w:r>
    </w:p>
    <w:p>
      <w:pPr>
        <w:pStyle w:val="GesAbsatz"/>
        <w:tabs>
          <w:tab w:val="left" w:pos="2835"/>
        </w:tabs>
        <w:rPr>
          <w:lang w:val="sv-SE"/>
        </w:rPr>
      </w:pPr>
      <w:r>
        <w:rPr>
          <w:lang w:val="sv-SE"/>
        </w:rPr>
        <w:t>18.11.2020</w:t>
      </w:r>
      <w:r>
        <w:rPr>
          <w:lang w:val="sv-SE"/>
        </w:rPr>
        <w:tab/>
      </w:r>
      <w:hyperlink r:id="rId13" w:history="1">
        <w:r>
          <w:rPr>
            <w:rStyle w:val="Hyperlink"/>
            <w:lang w:val="sv-SE"/>
          </w:rPr>
          <w:t>BGBl. I Nr. 54 S. 2497</w:t>
        </w:r>
      </w:hyperlink>
      <w:r>
        <w:rPr>
          <w:lang w:val="sv-SE"/>
        </w:rPr>
        <w:t xml:space="preserve"> Inkrafttreten 01.01.2021</w:t>
      </w:r>
    </w:p>
    <w:p>
      <w:pPr>
        <w:pStyle w:val="GesAbsatz"/>
        <w:tabs>
          <w:tab w:val="left" w:pos="2835"/>
        </w:tabs>
        <w:rPr>
          <w:lang w:val="sv-SE"/>
        </w:rPr>
      </w:pPr>
      <w:r>
        <w:rPr>
          <w:lang w:val="sv-SE"/>
        </w:rPr>
        <w:t>17.12.2021</w:t>
      </w:r>
      <w:r>
        <w:rPr>
          <w:lang w:val="sv-SE"/>
        </w:rPr>
        <w:tab/>
      </w:r>
      <w:hyperlink r:id="rId14" w:history="1">
        <w:r>
          <w:rPr>
            <w:rStyle w:val="Hyperlink"/>
            <w:lang w:val="sv-SE"/>
          </w:rPr>
          <w:t>BGBl. I Nr. 85 S. 5231</w:t>
        </w:r>
      </w:hyperlink>
      <w:r>
        <w:rPr>
          <w:lang w:val="sv-SE"/>
        </w:rPr>
        <w:t xml:space="preserve"> Inkrafttreten 01.01.2022</w:t>
      </w:r>
    </w:p>
    <w:p>
      <w:pPr>
        <w:pStyle w:val="GesAbsatz"/>
        <w:tabs>
          <w:tab w:val="left" w:pos="2835"/>
        </w:tabs>
        <w:rPr>
          <w:lang w:val="sv-SE"/>
        </w:rPr>
      </w:pPr>
      <w:r>
        <w:rPr>
          <w:lang w:val="sv-SE"/>
        </w:rPr>
        <w:t>05.12.2022</w:t>
      </w:r>
      <w:r>
        <w:rPr>
          <w:lang w:val="sv-SE"/>
        </w:rPr>
        <w:tab/>
      </w:r>
      <w:hyperlink r:id="rId15" w:history="1">
        <w:r>
          <w:rPr>
            <w:rStyle w:val="Hyperlink"/>
            <w:lang w:val="sv-SE"/>
          </w:rPr>
          <w:t>BGBl. I Nr. 48 S. 2224</w:t>
        </w:r>
      </w:hyperlink>
      <w:r>
        <w:rPr>
          <w:lang w:val="sv-SE"/>
        </w:rPr>
        <w:t xml:space="preserve"> Inkrafttreten 01.01.2023</w:t>
      </w:r>
    </w:p>
    <w:p>
      <w:pPr>
        <w:pStyle w:val="GesAbsatz"/>
        <w:tabs>
          <w:tab w:val="left" w:pos="2835"/>
        </w:tabs>
        <w:rPr>
          <w:lang w:val="sv-SE"/>
        </w:rPr>
      </w:pPr>
      <w:r>
        <w:rPr>
          <w:lang w:val="sv-SE"/>
        </w:rPr>
        <w:t>06.12.2023</w:t>
      </w:r>
      <w:r>
        <w:rPr>
          <w:lang w:val="sv-SE"/>
        </w:rPr>
        <w:tab/>
      </w:r>
      <w:hyperlink r:id="rId16" w:history="1">
        <w:r>
          <w:rPr>
            <w:rStyle w:val="Hyperlink"/>
            <w:lang w:val="sv-SE"/>
          </w:rPr>
          <w:t>BGBl. I 2023 Nr. 348</w:t>
        </w:r>
      </w:hyperlink>
      <w:r>
        <w:rPr>
          <w:lang w:val="sv-SE"/>
        </w:rPr>
        <w:t xml:space="preserve"> Inkrafttreten 01.01.2024</w:t>
      </w:r>
    </w:p>
    <w:sectPr>
      <w:headerReference w:type="default" r:id="rId17"/>
      <w:footerReference w:type="even" r:id="rId18"/>
      <w:footerReference w:type="default" r:id="rId1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T W 1 G">
    <w:altName w:val="Helvetica Neue LT W 1 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lang w:val="sv-SE"/>
      </w:rPr>
    </w:pPr>
    <w:r>
      <w:tab/>
    </w:r>
    <w:r>
      <w:rPr>
        <w:lang w:val="sv-SE"/>
      </w:rPr>
      <w:t xml:space="preserve">20.10.2015 (BGBl. I S. 1776 / </w:t>
    </w:r>
    <w:r>
      <w:rPr>
        <w:rStyle w:val="lc"/>
        <w:lang w:val="sv-SE"/>
      </w:rPr>
      <w:t>FNA 2129-59-1</w:t>
    </w:r>
    <w:r>
      <w:rPr>
        <w:lang w:val="sv-SE"/>
      </w:rPr>
      <w:t>)</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tabs>
        <w:tab w:val="clear" w:pos="9639"/>
        <w:tab w:val="right" w:pos="9638"/>
      </w:tabs>
      <w:ind w:right="-1"/>
      <w:rPr>
        <w:lang w:val="en-US"/>
      </w:rPr>
    </w:pPr>
    <w:r>
      <w:rPr>
        <w:lang w:val="sv-SE"/>
      </w:rPr>
      <w:tab/>
    </w:r>
    <w:r>
      <w:t xml:space="preserve">Stand 06.12.2023 (BGBl. </w:t>
    </w:r>
    <w:r>
      <w:rPr>
        <w:lang w:val="en-US"/>
      </w:rPr>
      <w:t xml:space="preserve">I </w:t>
    </w:r>
    <w:proofErr w:type="spellStart"/>
    <w:r>
      <w:rPr>
        <w:lang w:val="en-US"/>
      </w:rPr>
      <w:t>Nr</w:t>
    </w:r>
    <w:proofErr w:type="spellEnd"/>
    <w:r>
      <w:rPr>
        <w:lang w:val="en-US"/>
      </w:rPr>
      <w:t>. 348)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40.1-51</w:t>
    </w:r>
  </w:p>
  <w:p>
    <w:pPr>
      <w:pStyle w:val="Kopfzeile"/>
    </w:pPr>
    <w:r>
      <w:t>ElektroGBattGGebV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025C7A-DF76-4011-963D-4F0312DA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 w:type="character" w:customStyle="1" w:styleId="lc">
    <w:name w:val="lc"/>
    <w:basedOn w:val="Absatz-Standardschriftart"/>
  </w:style>
  <w:style w:type="table" w:customStyle="1" w:styleId="TableNormal">
    <w:name w:val="Table Normal"/>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utoSpaceDE/>
      <w:autoSpaceDN/>
      <w:adjustRightInd/>
      <w:spacing w:before="0" w:after="0"/>
      <w:jc w:val="left"/>
      <w:textAlignment w:val="auto"/>
    </w:pPr>
    <w:rPr>
      <w:rFonts w:asciiTheme="minorHAnsi" w:eastAsiaTheme="minorHAnsi" w:hAnsiTheme="minorHAnsi" w:cstheme="minorBidi"/>
      <w:sz w:val="22"/>
      <w:szCs w:val="22"/>
      <w:lang w:val="en-US" w:eastAsia="en-US"/>
    </w:rPr>
  </w:style>
  <w:style w:type="table" w:customStyle="1" w:styleId="TableNormal1">
    <w:name w:val="Table Normal1"/>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Default">
    <w:name w:val="Default"/>
    <w:pPr>
      <w:autoSpaceDE w:val="0"/>
      <w:autoSpaceDN w:val="0"/>
      <w:adjustRightInd w:val="0"/>
    </w:pPr>
    <w:rPr>
      <w:rFonts w:ascii="Helvetica Neue LT W 1 G" w:hAnsi="Helvetica Neue LT W 1 G" w:cs="Helvetica Neue LT W 1 G"/>
      <w:color w:val="000000"/>
      <w:sz w:val="24"/>
      <w:szCs w:val="24"/>
    </w:rPr>
  </w:style>
  <w:style w:type="paragraph" w:styleId="Textkrper">
    <w:name w:val="Body Text"/>
    <w:basedOn w:val="Standard"/>
    <w:link w:val="TextkrperZchn"/>
    <w:uiPriority w:val="1"/>
    <w:qFormat/>
    <w:pPr>
      <w:tabs>
        <w:tab w:val="clear" w:pos="425"/>
      </w:tabs>
      <w:overflowPunct/>
      <w:spacing w:before="0" w:after="0"/>
      <w:textAlignment w:val="auto"/>
    </w:pPr>
    <w:rPr>
      <w:rFonts w:cs="Arial"/>
      <w:b/>
      <w:bCs/>
      <w:sz w:val="18"/>
      <w:szCs w:val="18"/>
    </w:rPr>
  </w:style>
  <w:style w:type="character" w:customStyle="1" w:styleId="TextkrperZchn">
    <w:name w:val="Textkörper Zchn"/>
    <w:basedOn w:val="Absatz-Standardschriftart"/>
    <w:link w:val="Textkrper"/>
    <w:uiPriority w:val="99"/>
    <w:rPr>
      <w:rFonts w:ascii="Arial" w:hAnsi="Arial" w:cs="Arial"/>
      <w:b/>
      <w:bCs/>
      <w:sz w:val="18"/>
      <w:szCs w:val="18"/>
    </w:rPr>
  </w:style>
  <w:style w:type="paragraph" w:styleId="Listenabsatz">
    <w:name w:val="List Paragraph"/>
    <w:basedOn w:val="Standard"/>
    <w:uiPriority w:val="1"/>
    <w:qFormat/>
    <w:pPr>
      <w:tabs>
        <w:tab w:val="clear" w:pos="425"/>
      </w:tabs>
      <w:overflowPunct/>
      <w:spacing w:before="0" w:after="0"/>
      <w:jc w:val="left"/>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5s1776.pdf'%5d" TargetMode="External"/><Relationship Id="rId13" Type="http://schemas.openxmlformats.org/officeDocument/2006/relationships/hyperlink" Target="http://www.bgbl.de/Xaver/start.xav?startbk=Bundesanzeiger_BGBl&amp;start=//*%5b@attr_id='bgbl120s2497.pdf'%5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9s2034.pdf'%5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cht.bund.de/eli/bund/bgbl_1/2023/34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8s2275.pdf'%5d" TargetMode="External"/><Relationship Id="rId5" Type="http://schemas.openxmlformats.org/officeDocument/2006/relationships/webSettings" Target="webSettings.xml"/><Relationship Id="rId15" Type="http://schemas.openxmlformats.org/officeDocument/2006/relationships/hyperlink" Target="http://www.bgbl.de/xaver/bgbl/start.xav?startbk=Bundesanzeiger_BGBl&amp;jumpTo=bgbl122s2224.pdf" TargetMode="External"/><Relationship Id="rId10" Type="http://schemas.openxmlformats.org/officeDocument/2006/relationships/hyperlink" Target="http://www.bgbl.de/Xaver/start.xav?startbk=Bundesanzeiger_BGBl&amp;start=//*%5b@attr_id='bgbl117s3977.pdf'%5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6s2850.pdf'%5d" TargetMode="External"/><Relationship Id="rId14" Type="http://schemas.openxmlformats.org/officeDocument/2006/relationships/hyperlink" Target="http://www.bgbl.de/Xaver/start.xav?startbk=Bundesanzeiger_BGBl&amp;start=//*%5b@attr_id='bgbl121s5231.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50123-67A1-4D49-B99F-7C677AD0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2025</Words>
  <Characters>13022</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4</cp:revision>
  <cp:lastPrinted>2004-12-14T12:08:00Z</cp:lastPrinted>
  <dcterms:created xsi:type="dcterms:W3CDTF">2023-12-12T15:22:00Z</dcterms:created>
  <dcterms:modified xsi:type="dcterms:W3CDTF">2023-12-13T08:23:00Z</dcterms:modified>
</cp:coreProperties>
</file>