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19579459"/>
      <w:r>
        <w:t>RICH</w:t>
      </w:r>
      <w:bookmarkStart w:id="1" w:name="_GoBack"/>
      <w:bookmarkEnd w:id="1"/>
      <w:r>
        <w:t xml:space="preserve">TLINIE </w:t>
      </w:r>
      <w:hyperlink r:id="rId7" w:history="1">
        <w:r>
          <w:rPr>
            <w:rStyle w:val="Hyperlink"/>
          </w:rPr>
          <w:t>94/62/EG</w:t>
        </w:r>
      </w:hyperlink>
      <w:r>
        <w:t xml:space="preserve"> DES EUROPÄISCHEN PARLAMENTS</w:t>
      </w:r>
      <w:r>
        <w:br/>
        <w:t>UND DES RATES vom 20. Dezember 1994</w:t>
      </w:r>
      <w:r>
        <w:br/>
        <w:t>über Verpackungen und Verpackungsabfälle</w:t>
      </w:r>
      <w:bookmarkEnd w:id="0"/>
    </w:p>
    <w:p>
      <w:pPr>
        <w:pStyle w:val="GesAbsatz"/>
      </w:pPr>
      <w:r>
        <w:rPr>
          <w:b/>
        </w:rPr>
        <w:t>Änderungen:</w:t>
      </w:r>
      <w:r>
        <w:t xml:space="preserve"> </w:t>
      </w:r>
      <w:hyperlink r:id="rId8" w:history="1">
        <w:r>
          <w:rPr>
            <w:rStyle w:val="Hyperlink"/>
          </w:rPr>
          <w:t>1882/2003</w:t>
        </w:r>
      </w:hyperlink>
      <w:r>
        <w:t xml:space="preserve"> ABl. L 284 v. 31.10.2003 S. 1; </w:t>
      </w:r>
      <w:hyperlink r:id="rId9" w:history="1">
        <w:r>
          <w:rPr>
            <w:rStyle w:val="Hyperlink"/>
          </w:rPr>
          <w:t>2004/12/EG</w:t>
        </w:r>
      </w:hyperlink>
      <w:r>
        <w:t xml:space="preserve"> ABl. L 47 v. 18.02.2003 S. 26; </w:t>
      </w:r>
      <w:hyperlink r:id="rId10" w:history="1">
        <w:r>
          <w:rPr>
            <w:rStyle w:val="Hyperlink"/>
          </w:rPr>
          <w:t>2005/20/EG</w:t>
        </w:r>
      </w:hyperlink>
      <w:r>
        <w:t xml:space="preserve"> ABl. L 70 v. 16.03.2005 S. 17; </w:t>
      </w:r>
      <w:hyperlink r:id="rId11" w:history="1">
        <w:r>
          <w:rPr>
            <w:rStyle w:val="Hyperlink"/>
          </w:rPr>
          <w:t>219/2009/EG</w:t>
        </w:r>
      </w:hyperlink>
      <w:r>
        <w:t xml:space="preserve"> ABl. L 87 v. 31.03.2009 S. 109 Inkrafttreten 20.04.2009; </w:t>
      </w:r>
      <w:hyperlink r:id="rId12" w:history="1">
        <w:r>
          <w:rPr>
            <w:rStyle w:val="Hyperlink"/>
          </w:rPr>
          <w:t>2013/2/EU</w:t>
        </w:r>
      </w:hyperlink>
      <w:r>
        <w:t xml:space="preserve"> ABl. L 37 v. 08.02.2013 S. 10 Inkrafttreten 28.02.2013; </w:t>
      </w:r>
      <w:hyperlink r:id="rId13" w:history="1">
        <w:r>
          <w:rPr>
            <w:rStyle w:val="Hyperlink"/>
          </w:rPr>
          <w:t>2015/720</w:t>
        </w:r>
      </w:hyperlink>
      <w:r>
        <w:t xml:space="preserve"> ABl. L 115 v. 06.05.2015 S. 11 Inkrafttreten 26.05.2015; </w:t>
      </w:r>
      <w:hyperlink r:id="rId14" w:history="1">
        <w:r>
          <w:rPr>
            <w:rStyle w:val="Hyperlink"/>
          </w:rPr>
          <w:t>2018/852</w:t>
        </w:r>
      </w:hyperlink>
      <w:r>
        <w:t xml:space="preserve"> ABl. L 150 v. 14.06.2018 S. 141 Inkrafttreten 04.07.2018;</w:t>
      </w:r>
    </w:p>
    <w:p>
      <w:pPr>
        <w:pStyle w:val="GesAbsatz"/>
      </w:pPr>
      <w:r>
        <w:rPr>
          <w:b/>
        </w:rPr>
        <w:t>Berichtigung:</w:t>
      </w:r>
      <w:r>
        <w:t xml:space="preserve"> ABl. </w:t>
      </w:r>
      <w:hyperlink r:id="rId15" w:history="1">
        <w:r>
          <w:rPr>
            <w:rStyle w:val="Hyperlink"/>
          </w:rPr>
          <w:t>L 306</w:t>
        </w:r>
      </w:hyperlink>
      <w:r>
        <w:t xml:space="preserve"> v. 30.11.2018 S. 72;</w:t>
      </w: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caps w:val="0"/>
          <w:sz w:val="22"/>
          <w:szCs w:val="22"/>
        </w:rPr>
        <w:fldChar w:fldCharType="begin"/>
      </w:r>
      <w:r>
        <w:rPr>
          <w:caps w:val="0"/>
          <w:sz w:val="22"/>
          <w:szCs w:val="22"/>
        </w:rPr>
        <w:instrText xml:space="preserve"> TOC \o "1-3" \h \z \u </w:instrText>
      </w:r>
      <w:r>
        <w:rPr>
          <w:caps w:val="0"/>
          <w:sz w:val="22"/>
          <w:szCs w:val="22"/>
        </w:rPr>
        <w:fldChar w:fldCharType="separate"/>
      </w:r>
      <w:hyperlink w:anchor="_Toc519579459" w:history="1">
        <w:r>
          <w:rPr>
            <w:rStyle w:val="Hyperlink"/>
            <w:noProof/>
          </w:rPr>
          <w:t>RICHTLINIE 94/62/EG DES EUROPÄISCHEN PARLAMENTS UND DES RATES vom 20. Dezember 1994 über Verpackungen und Verpackungsabfälle</w:t>
        </w:r>
        <w:r>
          <w:rPr>
            <w:noProof/>
            <w:webHidden/>
          </w:rPr>
          <w:tab/>
        </w:r>
        <w:r>
          <w:rPr>
            <w:noProof/>
            <w:webHidden/>
          </w:rPr>
          <w:fldChar w:fldCharType="begin"/>
        </w:r>
        <w:r>
          <w:rPr>
            <w:noProof/>
            <w:webHidden/>
          </w:rPr>
          <w:instrText xml:space="preserve"> PAGEREF _Toc519579459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60" w:history="1">
        <w:r>
          <w:rPr>
            <w:rStyle w:val="Hyperlink"/>
            <w:noProof/>
          </w:rPr>
          <w:t>Artikel 1 Ziele</w:t>
        </w:r>
        <w:r>
          <w:rPr>
            <w:noProof/>
            <w:webHidden/>
          </w:rPr>
          <w:tab/>
        </w:r>
        <w:r>
          <w:rPr>
            <w:noProof/>
            <w:webHidden/>
          </w:rPr>
          <w:fldChar w:fldCharType="begin"/>
        </w:r>
        <w:r>
          <w:rPr>
            <w:noProof/>
            <w:webHidden/>
          </w:rPr>
          <w:instrText xml:space="preserve"> PAGEREF _Toc519579460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61" w:history="1">
        <w:r>
          <w:rPr>
            <w:rStyle w:val="Hyperlink"/>
            <w:noProof/>
          </w:rPr>
          <w:t>Artikel 2 Geltungsbereich</w:t>
        </w:r>
        <w:r>
          <w:rPr>
            <w:noProof/>
            <w:webHidden/>
          </w:rPr>
          <w:tab/>
        </w:r>
        <w:r>
          <w:rPr>
            <w:noProof/>
            <w:webHidden/>
          </w:rPr>
          <w:fldChar w:fldCharType="begin"/>
        </w:r>
        <w:r>
          <w:rPr>
            <w:noProof/>
            <w:webHidden/>
          </w:rPr>
          <w:instrText xml:space="preserve"> PAGEREF _Toc519579461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62" w:history="1">
        <w:r>
          <w:rPr>
            <w:rStyle w:val="Hyperlink"/>
            <w:noProof/>
          </w:rPr>
          <w:t>Artikel 3 Begriffsbestimmungen</w:t>
        </w:r>
        <w:r>
          <w:rPr>
            <w:noProof/>
            <w:webHidden/>
          </w:rPr>
          <w:tab/>
        </w:r>
        <w:r>
          <w:rPr>
            <w:noProof/>
            <w:webHidden/>
          </w:rPr>
          <w:fldChar w:fldCharType="begin"/>
        </w:r>
        <w:r>
          <w:rPr>
            <w:noProof/>
            <w:webHidden/>
          </w:rPr>
          <w:instrText xml:space="preserve"> PAGEREF _Toc519579462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63" w:history="1">
        <w:r>
          <w:rPr>
            <w:rStyle w:val="Hyperlink"/>
            <w:noProof/>
          </w:rPr>
          <w:t>Artikel 4 Abfallvermeidung</w:t>
        </w:r>
        <w:r>
          <w:rPr>
            <w:noProof/>
            <w:webHidden/>
          </w:rPr>
          <w:tab/>
        </w:r>
        <w:r>
          <w:rPr>
            <w:noProof/>
            <w:webHidden/>
          </w:rPr>
          <w:fldChar w:fldCharType="begin"/>
        </w:r>
        <w:r>
          <w:rPr>
            <w:noProof/>
            <w:webHidden/>
          </w:rPr>
          <w:instrText xml:space="preserve"> PAGEREF _Toc519579463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64" w:history="1">
        <w:r>
          <w:rPr>
            <w:rStyle w:val="Hyperlink"/>
            <w:noProof/>
          </w:rPr>
          <w:t>Artikel 5 Wiederverwendung</w:t>
        </w:r>
        <w:r>
          <w:rPr>
            <w:noProof/>
            <w:webHidden/>
          </w:rPr>
          <w:tab/>
        </w:r>
        <w:r>
          <w:rPr>
            <w:noProof/>
            <w:webHidden/>
          </w:rPr>
          <w:fldChar w:fldCharType="begin"/>
        </w:r>
        <w:r>
          <w:rPr>
            <w:noProof/>
            <w:webHidden/>
          </w:rPr>
          <w:instrText xml:space="preserve"> PAGEREF _Toc519579464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65" w:history="1">
        <w:r>
          <w:rPr>
            <w:rStyle w:val="Hyperlink"/>
            <w:noProof/>
          </w:rPr>
          <w:t>Artikel 6 Verwertung und stoffliche Verwertung</w:t>
        </w:r>
        <w:r>
          <w:rPr>
            <w:noProof/>
            <w:webHidden/>
          </w:rPr>
          <w:tab/>
        </w:r>
        <w:r>
          <w:rPr>
            <w:noProof/>
            <w:webHidden/>
          </w:rPr>
          <w:fldChar w:fldCharType="begin"/>
        </w:r>
        <w:r>
          <w:rPr>
            <w:noProof/>
            <w:webHidden/>
          </w:rPr>
          <w:instrText xml:space="preserve"> PAGEREF _Toc519579465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66" w:history="1">
        <w:r>
          <w:rPr>
            <w:rStyle w:val="Hyperlink"/>
            <w:noProof/>
          </w:rPr>
          <w:t>Artikel 6a Berechnung der Erfüllung der Zielvorgaben</w:t>
        </w:r>
        <w:r>
          <w:rPr>
            <w:noProof/>
            <w:webHidden/>
          </w:rPr>
          <w:tab/>
        </w:r>
        <w:r>
          <w:rPr>
            <w:noProof/>
            <w:webHidden/>
          </w:rPr>
          <w:fldChar w:fldCharType="begin"/>
        </w:r>
        <w:r>
          <w:rPr>
            <w:noProof/>
            <w:webHidden/>
          </w:rPr>
          <w:instrText xml:space="preserve"> PAGEREF _Toc519579466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67" w:history="1">
        <w:r>
          <w:rPr>
            <w:rStyle w:val="Hyperlink"/>
            <w:noProof/>
          </w:rPr>
          <w:t>Artikel 6b Frühwarnbericht</w:t>
        </w:r>
        <w:r>
          <w:rPr>
            <w:noProof/>
            <w:webHidden/>
          </w:rPr>
          <w:tab/>
        </w:r>
        <w:r>
          <w:rPr>
            <w:noProof/>
            <w:webHidden/>
          </w:rPr>
          <w:fldChar w:fldCharType="begin"/>
        </w:r>
        <w:r>
          <w:rPr>
            <w:noProof/>
            <w:webHidden/>
          </w:rPr>
          <w:instrText xml:space="preserve"> PAGEREF _Toc519579467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68" w:history="1">
        <w:r>
          <w:rPr>
            <w:rStyle w:val="Hyperlink"/>
            <w:noProof/>
          </w:rPr>
          <w:t>Artikel 7 Rücknahme-, Sammel- und Verwertungssysteme</w:t>
        </w:r>
        <w:r>
          <w:rPr>
            <w:noProof/>
            <w:webHidden/>
          </w:rPr>
          <w:tab/>
        </w:r>
        <w:r>
          <w:rPr>
            <w:noProof/>
            <w:webHidden/>
          </w:rPr>
          <w:fldChar w:fldCharType="begin"/>
        </w:r>
        <w:r>
          <w:rPr>
            <w:noProof/>
            <w:webHidden/>
          </w:rPr>
          <w:instrText xml:space="preserve"> PAGEREF _Toc519579468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69" w:history="1">
        <w:r>
          <w:rPr>
            <w:rStyle w:val="Hyperlink"/>
            <w:noProof/>
          </w:rPr>
          <w:t>Artikel 8 Kennzeichnungs- und Identifizierungssystem</w:t>
        </w:r>
        <w:r>
          <w:rPr>
            <w:noProof/>
            <w:webHidden/>
          </w:rPr>
          <w:tab/>
        </w:r>
        <w:r>
          <w:rPr>
            <w:noProof/>
            <w:webHidden/>
          </w:rPr>
          <w:fldChar w:fldCharType="begin"/>
        </w:r>
        <w:r>
          <w:rPr>
            <w:noProof/>
            <w:webHidden/>
          </w:rPr>
          <w:instrText xml:space="preserve"> PAGEREF _Toc519579469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70" w:history="1">
        <w:r>
          <w:rPr>
            <w:rStyle w:val="Hyperlink"/>
            <w:noProof/>
          </w:rPr>
          <w:t>Artikel 8a Spezifische Maßnahmen zu Etiketten oder Kennzeichnungen für  biologisch abbaubare und kompostierbare Kunststofftragetaschen</w:t>
        </w:r>
        <w:r>
          <w:rPr>
            <w:noProof/>
            <w:webHidden/>
          </w:rPr>
          <w:tab/>
        </w:r>
        <w:r>
          <w:rPr>
            <w:noProof/>
            <w:webHidden/>
          </w:rPr>
          <w:fldChar w:fldCharType="begin"/>
        </w:r>
        <w:r>
          <w:rPr>
            <w:noProof/>
            <w:webHidden/>
          </w:rPr>
          <w:instrText xml:space="preserve"> PAGEREF _Toc519579470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71" w:history="1">
        <w:r>
          <w:rPr>
            <w:rStyle w:val="Hyperlink"/>
            <w:noProof/>
          </w:rPr>
          <w:t>Artikel 9 Grundlegende Anforderungen</w:t>
        </w:r>
        <w:r>
          <w:rPr>
            <w:noProof/>
            <w:webHidden/>
          </w:rPr>
          <w:tab/>
        </w:r>
        <w:r>
          <w:rPr>
            <w:noProof/>
            <w:webHidden/>
          </w:rPr>
          <w:fldChar w:fldCharType="begin"/>
        </w:r>
        <w:r>
          <w:rPr>
            <w:noProof/>
            <w:webHidden/>
          </w:rPr>
          <w:instrText xml:space="preserve"> PAGEREF _Toc519579471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72" w:history="1">
        <w:r>
          <w:rPr>
            <w:rStyle w:val="Hyperlink"/>
            <w:noProof/>
          </w:rPr>
          <w:t>Artikel 10 Normung</w:t>
        </w:r>
        <w:r>
          <w:rPr>
            <w:noProof/>
            <w:webHidden/>
          </w:rPr>
          <w:tab/>
        </w:r>
        <w:r>
          <w:rPr>
            <w:noProof/>
            <w:webHidden/>
          </w:rPr>
          <w:fldChar w:fldCharType="begin"/>
        </w:r>
        <w:r>
          <w:rPr>
            <w:noProof/>
            <w:webHidden/>
          </w:rPr>
          <w:instrText xml:space="preserve"> PAGEREF _Toc519579472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73" w:history="1">
        <w:r>
          <w:rPr>
            <w:rStyle w:val="Hyperlink"/>
            <w:noProof/>
          </w:rPr>
          <w:t>Artikel 11 Konzentration von Schwermetallen in Verpackungen</w:t>
        </w:r>
        <w:r>
          <w:rPr>
            <w:noProof/>
            <w:webHidden/>
          </w:rPr>
          <w:tab/>
        </w:r>
        <w:r>
          <w:rPr>
            <w:noProof/>
            <w:webHidden/>
          </w:rPr>
          <w:fldChar w:fldCharType="begin"/>
        </w:r>
        <w:r>
          <w:rPr>
            <w:noProof/>
            <w:webHidden/>
          </w:rPr>
          <w:instrText xml:space="preserve"> PAGEREF _Toc519579473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74" w:history="1">
        <w:r>
          <w:rPr>
            <w:rStyle w:val="Hyperlink"/>
            <w:noProof/>
          </w:rPr>
          <w:t>Artikel 12 Informationssysteme und Berichterstattung</w:t>
        </w:r>
        <w:r>
          <w:rPr>
            <w:noProof/>
            <w:webHidden/>
          </w:rPr>
          <w:tab/>
        </w:r>
        <w:r>
          <w:rPr>
            <w:noProof/>
            <w:webHidden/>
          </w:rPr>
          <w:fldChar w:fldCharType="begin"/>
        </w:r>
        <w:r>
          <w:rPr>
            <w:noProof/>
            <w:webHidden/>
          </w:rPr>
          <w:instrText xml:space="preserve"> PAGEREF _Toc519579474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75" w:history="1">
        <w:r>
          <w:rPr>
            <w:rStyle w:val="Hyperlink"/>
            <w:noProof/>
          </w:rPr>
          <w:t>Artikel 13 Unterrichtung der Verpackungsbenutzer</w:t>
        </w:r>
        <w:r>
          <w:rPr>
            <w:noProof/>
            <w:webHidden/>
          </w:rPr>
          <w:tab/>
        </w:r>
        <w:r>
          <w:rPr>
            <w:noProof/>
            <w:webHidden/>
          </w:rPr>
          <w:fldChar w:fldCharType="begin"/>
        </w:r>
        <w:r>
          <w:rPr>
            <w:noProof/>
            <w:webHidden/>
          </w:rPr>
          <w:instrText xml:space="preserve"> PAGEREF _Toc519579475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76" w:history="1">
        <w:r>
          <w:rPr>
            <w:rStyle w:val="Hyperlink"/>
            <w:noProof/>
          </w:rPr>
          <w:t>Artikel 14 Entsorgungspläne</w:t>
        </w:r>
        <w:r>
          <w:rPr>
            <w:noProof/>
            <w:webHidden/>
          </w:rPr>
          <w:tab/>
        </w:r>
        <w:r>
          <w:rPr>
            <w:noProof/>
            <w:webHidden/>
          </w:rPr>
          <w:fldChar w:fldCharType="begin"/>
        </w:r>
        <w:r>
          <w:rPr>
            <w:noProof/>
            <w:webHidden/>
          </w:rPr>
          <w:instrText xml:space="preserve"> PAGEREF _Toc519579476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77" w:history="1">
        <w:r>
          <w:rPr>
            <w:rStyle w:val="Hyperlink"/>
            <w:noProof/>
          </w:rPr>
          <w:t>Artikel 15 Marktwirtschaftliche Instrumente</w:t>
        </w:r>
        <w:r>
          <w:rPr>
            <w:noProof/>
            <w:webHidden/>
          </w:rPr>
          <w:tab/>
        </w:r>
        <w:r>
          <w:rPr>
            <w:noProof/>
            <w:webHidden/>
          </w:rPr>
          <w:fldChar w:fldCharType="begin"/>
        </w:r>
        <w:r>
          <w:rPr>
            <w:noProof/>
            <w:webHidden/>
          </w:rPr>
          <w:instrText xml:space="preserve"> PAGEREF _Toc519579477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78" w:history="1">
        <w:r>
          <w:rPr>
            <w:rStyle w:val="Hyperlink"/>
            <w:noProof/>
          </w:rPr>
          <w:t>Artikel 16 Notifizierung</w:t>
        </w:r>
        <w:r>
          <w:rPr>
            <w:noProof/>
            <w:webHidden/>
          </w:rPr>
          <w:tab/>
        </w:r>
        <w:r>
          <w:rPr>
            <w:noProof/>
            <w:webHidden/>
          </w:rPr>
          <w:fldChar w:fldCharType="begin"/>
        </w:r>
        <w:r>
          <w:rPr>
            <w:noProof/>
            <w:webHidden/>
          </w:rPr>
          <w:instrText xml:space="preserve"> PAGEREF _Toc519579478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79" w:history="1">
        <w:r>
          <w:rPr>
            <w:rStyle w:val="Hyperlink"/>
            <w:noProof/>
          </w:rPr>
          <w:t>Artikel 17 Berichtspflicht</w:t>
        </w:r>
        <w:r>
          <w:rPr>
            <w:noProof/>
            <w:webHidden/>
          </w:rPr>
          <w:tab/>
        </w:r>
        <w:r>
          <w:rPr>
            <w:noProof/>
            <w:webHidden/>
          </w:rPr>
          <w:fldChar w:fldCharType="begin"/>
        </w:r>
        <w:r>
          <w:rPr>
            <w:noProof/>
            <w:webHidden/>
          </w:rPr>
          <w:instrText xml:space="preserve"> PAGEREF _Toc519579479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80" w:history="1">
        <w:r>
          <w:rPr>
            <w:rStyle w:val="Hyperlink"/>
            <w:noProof/>
          </w:rPr>
          <w:t>Artikel 18 Freiheit des Inverkehrbringens</w:t>
        </w:r>
        <w:r>
          <w:rPr>
            <w:noProof/>
            <w:webHidden/>
          </w:rPr>
          <w:tab/>
        </w:r>
        <w:r>
          <w:rPr>
            <w:noProof/>
            <w:webHidden/>
          </w:rPr>
          <w:fldChar w:fldCharType="begin"/>
        </w:r>
        <w:r>
          <w:rPr>
            <w:noProof/>
            <w:webHidden/>
          </w:rPr>
          <w:instrText xml:space="preserve"> PAGEREF _Toc519579480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81" w:history="1">
        <w:r>
          <w:rPr>
            <w:rStyle w:val="Hyperlink"/>
            <w:noProof/>
          </w:rPr>
          <w:t>Artikel 19 Anpassung an den wissenschaftlichen und technischen Fortschritt</w:t>
        </w:r>
        <w:r>
          <w:rPr>
            <w:noProof/>
            <w:webHidden/>
          </w:rPr>
          <w:tab/>
        </w:r>
        <w:r>
          <w:rPr>
            <w:noProof/>
            <w:webHidden/>
          </w:rPr>
          <w:fldChar w:fldCharType="begin"/>
        </w:r>
        <w:r>
          <w:rPr>
            <w:noProof/>
            <w:webHidden/>
          </w:rPr>
          <w:instrText xml:space="preserve"> PAGEREF _Toc519579481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82" w:history="1">
        <w:r>
          <w:rPr>
            <w:rStyle w:val="Hyperlink"/>
            <w:noProof/>
          </w:rPr>
          <w:t>Artikel 20 Spezifische Maßnahmen</w:t>
        </w:r>
        <w:r>
          <w:rPr>
            <w:noProof/>
            <w:webHidden/>
          </w:rPr>
          <w:tab/>
        </w:r>
        <w:r>
          <w:rPr>
            <w:noProof/>
            <w:webHidden/>
          </w:rPr>
          <w:fldChar w:fldCharType="begin"/>
        </w:r>
        <w:r>
          <w:rPr>
            <w:noProof/>
            <w:webHidden/>
          </w:rPr>
          <w:instrText xml:space="preserve"> PAGEREF _Toc519579482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83" w:history="1">
        <w:r>
          <w:rPr>
            <w:rStyle w:val="Hyperlink"/>
            <w:noProof/>
          </w:rPr>
          <w:t>Artikel 20a Berichterstattung über Kunststofftragetaschen</w:t>
        </w:r>
        <w:r>
          <w:rPr>
            <w:noProof/>
            <w:webHidden/>
          </w:rPr>
          <w:tab/>
        </w:r>
        <w:r>
          <w:rPr>
            <w:noProof/>
            <w:webHidden/>
          </w:rPr>
          <w:fldChar w:fldCharType="begin"/>
        </w:r>
        <w:r>
          <w:rPr>
            <w:noProof/>
            <w:webHidden/>
          </w:rPr>
          <w:instrText xml:space="preserve"> PAGEREF _Toc519579483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84" w:history="1">
        <w:r>
          <w:rPr>
            <w:rStyle w:val="Hyperlink"/>
            <w:noProof/>
          </w:rPr>
          <w:t>Artikel 21 Ausschussverfahren</w:t>
        </w:r>
        <w:r>
          <w:rPr>
            <w:noProof/>
            <w:webHidden/>
          </w:rPr>
          <w:tab/>
        </w:r>
        <w:r>
          <w:rPr>
            <w:noProof/>
            <w:webHidden/>
          </w:rPr>
          <w:fldChar w:fldCharType="begin"/>
        </w:r>
        <w:r>
          <w:rPr>
            <w:noProof/>
            <w:webHidden/>
          </w:rPr>
          <w:instrText xml:space="preserve"> PAGEREF _Toc519579484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85" w:history="1">
        <w:r>
          <w:rPr>
            <w:rStyle w:val="Hyperlink"/>
            <w:noProof/>
          </w:rPr>
          <w:t>Artikel 21a Ausübung der Befugnisübertragung</w:t>
        </w:r>
        <w:r>
          <w:rPr>
            <w:noProof/>
            <w:webHidden/>
          </w:rPr>
          <w:tab/>
        </w:r>
        <w:r>
          <w:rPr>
            <w:noProof/>
            <w:webHidden/>
          </w:rPr>
          <w:fldChar w:fldCharType="begin"/>
        </w:r>
        <w:r>
          <w:rPr>
            <w:noProof/>
            <w:webHidden/>
          </w:rPr>
          <w:instrText xml:space="preserve"> PAGEREF _Toc519579485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86" w:history="1">
        <w:r>
          <w:rPr>
            <w:rStyle w:val="Hyperlink"/>
            <w:noProof/>
          </w:rPr>
          <w:t>Artikel 22 Umsetzung</w:t>
        </w:r>
        <w:r>
          <w:rPr>
            <w:noProof/>
            <w:webHidden/>
          </w:rPr>
          <w:tab/>
        </w:r>
        <w:r>
          <w:rPr>
            <w:noProof/>
            <w:webHidden/>
          </w:rPr>
          <w:fldChar w:fldCharType="begin"/>
        </w:r>
        <w:r>
          <w:rPr>
            <w:noProof/>
            <w:webHidden/>
          </w:rPr>
          <w:instrText xml:space="preserve"> PAGEREF _Toc519579486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87" w:history="1">
        <w:r>
          <w:rPr>
            <w:rStyle w:val="Hyperlink"/>
            <w:noProof/>
          </w:rPr>
          <w:t>Artikel 23</w:t>
        </w:r>
        <w:r>
          <w:rPr>
            <w:noProof/>
            <w:webHidden/>
          </w:rPr>
          <w:tab/>
        </w:r>
        <w:r>
          <w:rPr>
            <w:noProof/>
            <w:webHidden/>
          </w:rPr>
          <w:fldChar w:fldCharType="begin"/>
        </w:r>
        <w:r>
          <w:rPr>
            <w:noProof/>
            <w:webHidden/>
          </w:rPr>
          <w:instrText xml:space="preserve"> PAGEREF _Toc519579487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88" w:history="1">
        <w:r>
          <w:rPr>
            <w:rStyle w:val="Hyperlink"/>
            <w:noProof/>
          </w:rPr>
          <w:t>Artikel 24</w:t>
        </w:r>
        <w:r>
          <w:rPr>
            <w:noProof/>
            <w:webHidden/>
          </w:rPr>
          <w:tab/>
        </w:r>
        <w:r>
          <w:rPr>
            <w:noProof/>
            <w:webHidden/>
          </w:rPr>
          <w:fldChar w:fldCharType="begin"/>
        </w:r>
        <w:r>
          <w:rPr>
            <w:noProof/>
            <w:webHidden/>
          </w:rPr>
          <w:instrText xml:space="preserve"> PAGEREF _Toc519579488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89" w:history="1">
        <w:r>
          <w:rPr>
            <w:rStyle w:val="Hyperlink"/>
            <w:noProof/>
          </w:rPr>
          <w:t>Artikel 25</w:t>
        </w:r>
        <w:r>
          <w:rPr>
            <w:noProof/>
            <w:webHidden/>
          </w:rPr>
          <w:tab/>
        </w:r>
        <w:r>
          <w:rPr>
            <w:noProof/>
            <w:webHidden/>
          </w:rPr>
          <w:fldChar w:fldCharType="begin"/>
        </w:r>
        <w:r>
          <w:rPr>
            <w:noProof/>
            <w:webHidden/>
          </w:rPr>
          <w:instrText xml:space="preserve"> PAGEREF _Toc519579489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90" w:history="1">
        <w:r>
          <w:rPr>
            <w:rStyle w:val="Hyperlink"/>
            <w:noProof/>
          </w:rPr>
          <w:t>Anhang I</w:t>
        </w:r>
        <w:r>
          <w:rPr>
            <w:noProof/>
            <w:webHidden/>
          </w:rPr>
          <w:tab/>
        </w:r>
        <w:r>
          <w:rPr>
            <w:noProof/>
            <w:webHidden/>
          </w:rPr>
          <w:fldChar w:fldCharType="begin"/>
        </w:r>
        <w:r>
          <w:rPr>
            <w:noProof/>
            <w:webHidden/>
          </w:rPr>
          <w:instrText xml:space="preserve"> PAGEREF _Toc519579490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91" w:history="1">
        <w:r>
          <w:rPr>
            <w:rStyle w:val="Hyperlink"/>
            <w:noProof/>
          </w:rPr>
          <w:t>Anhang II</w:t>
        </w:r>
        <w:r>
          <w:rPr>
            <w:noProof/>
            <w:webHidden/>
          </w:rPr>
          <w:tab/>
        </w:r>
        <w:r>
          <w:rPr>
            <w:noProof/>
            <w:webHidden/>
          </w:rPr>
          <w:fldChar w:fldCharType="begin"/>
        </w:r>
        <w:r>
          <w:rPr>
            <w:noProof/>
            <w:webHidden/>
          </w:rPr>
          <w:instrText xml:space="preserve"> PAGEREF _Toc519579491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92" w:history="1">
        <w:r>
          <w:rPr>
            <w:rStyle w:val="Hyperlink"/>
            <w:noProof/>
          </w:rPr>
          <w:t>Anhang III</w:t>
        </w:r>
        <w:r>
          <w:rPr>
            <w:noProof/>
            <w:webHidden/>
          </w:rPr>
          <w:tab/>
        </w:r>
        <w:r>
          <w:rPr>
            <w:noProof/>
            <w:webHidden/>
          </w:rPr>
          <w:fldChar w:fldCharType="begin"/>
        </w:r>
        <w:r>
          <w:rPr>
            <w:noProof/>
            <w:webHidden/>
          </w:rPr>
          <w:instrText xml:space="preserve"> PAGEREF _Toc519579492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9579493" w:history="1">
        <w:r>
          <w:rPr>
            <w:rStyle w:val="Hyperlink"/>
            <w:noProof/>
          </w:rPr>
          <w:t>ANHANG IV</w:t>
        </w:r>
        <w:r>
          <w:rPr>
            <w:noProof/>
            <w:webHidden/>
          </w:rPr>
          <w:tab/>
        </w:r>
        <w:r>
          <w:rPr>
            <w:noProof/>
            <w:webHidden/>
          </w:rPr>
          <w:fldChar w:fldCharType="begin"/>
        </w:r>
        <w:r>
          <w:rPr>
            <w:noProof/>
            <w:webHidden/>
          </w:rPr>
          <w:instrText xml:space="preserve"> PAGEREF _Toc519579493 \h </w:instrText>
        </w:r>
        <w:r>
          <w:rPr>
            <w:noProof/>
            <w:webHidden/>
          </w:rPr>
        </w:r>
        <w:r>
          <w:rPr>
            <w:noProof/>
            <w:webHidden/>
          </w:rPr>
          <w:fldChar w:fldCharType="separate"/>
        </w:r>
        <w:r>
          <w:rPr>
            <w:noProof/>
            <w:webHidden/>
          </w:rPr>
          <w:t>23</w:t>
        </w:r>
        <w:r>
          <w:rPr>
            <w:noProof/>
            <w:webHidden/>
          </w:rPr>
          <w:fldChar w:fldCharType="end"/>
        </w:r>
      </w:hyperlink>
    </w:p>
    <w:p>
      <w:pPr>
        <w:pStyle w:val="GesAbsatz"/>
      </w:pPr>
      <w:r>
        <w:rPr>
          <w:rFonts w:ascii="Times New Roman" w:hAnsi="Times New Roman"/>
          <w:caps/>
          <w:color w:val="auto"/>
          <w:sz w:val="22"/>
          <w:szCs w:val="22"/>
        </w:rPr>
        <w:fldChar w:fldCharType="end"/>
      </w:r>
    </w:p>
    <w:p>
      <w:pPr>
        <w:pStyle w:val="GesAbsatz"/>
      </w:pPr>
      <w:r>
        <w:t>DAS EUROPÄISCHE PARLAMENT UND DER RAT DER EUROPÄISCHEN UNION -</w:t>
      </w:r>
    </w:p>
    <w:p>
      <w:pPr>
        <w:pStyle w:val="GesAbsatz"/>
      </w:pPr>
      <w:r>
        <w:t>gestützt auf den Vertrag zur Gründung der Europäischen Gemeinschaft, insbesondere auf Artikel 100a,</w:t>
      </w:r>
    </w:p>
    <w:p>
      <w:pPr>
        <w:pStyle w:val="GesAbsatz"/>
      </w:pPr>
      <w:r>
        <w:t>auf Vorschlag der Kommission</w:t>
      </w:r>
      <w:r>
        <w:rPr>
          <w:rStyle w:val="Funotenzeichen"/>
        </w:rPr>
        <w:footnoteReference w:id="1"/>
      </w:r>
      <w:r>
        <w:t>,</w:t>
      </w:r>
    </w:p>
    <w:p>
      <w:pPr>
        <w:pStyle w:val="GesAbsatz"/>
      </w:pPr>
      <w:r>
        <w:t>nach Stellungnahme des Wirtschafts- und Sozialausschusses</w:t>
      </w:r>
      <w:r>
        <w:rPr>
          <w:rStyle w:val="Funotenzeichen"/>
        </w:rPr>
        <w:footnoteReference w:id="2"/>
      </w:r>
      <w:r>
        <w:t>,</w:t>
      </w:r>
    </w:p>
    <w:p>
      <w:pPr>
        <w:pStyle w:val="GesAbsatz"/>
      </w:pPr>
      <w:r>
        <w:lastRenderedPageBreak/>
        <w:t>gemäß dem Verfahren des Artikel 189b des Vertrags</w:t>
      </w:r>
      <w:r>
        <w:rPr>
          <w:rStyle w:val="Funotenzeichen"/>
        </w:rPr>
        <w:footnoteReference w:id="3"/>
      </w:r>
      <w:r>
        <w:t>,</w:t>
      </w:r>
    </w:p>
    <w:p>
      <w:pPr>
        <w:pStyle w:val="GesAbsatz"/>
      </w:pPr>
      <w:r>
        <w:t>in Erwägung nachstehender Gründe:</w:t>
      </w:r>
    </w:p>
    <w:p>
      <w:pPr>
        <w:pStyle w:val="GesAbsatz"/>
      </w:pPr>
      <w:r>
        <w:t xml:space="preserve">Die unterschiedlichen Maßnahmen der Mitgliedstaaten im Bereich der Verpackungen und der Verpackungsabfallbewirtschaftung sind zu harmonisieren, um einerseits Auswirkungen dieser Abfälle auf die Umwelt zu vermeiden oder solche Auswirkungen zu verringern und so ein hohes Umweltschutzniveau sicherzustellen und andererseits das Funktionieren des Binnenmarkts zu gewährleisten und zu verhindern, </w:t>
      </w:r>
      <w:proofErr w:type="spellStart"/>
      <w:r>
        <w:t>daß</w:t>
      </w:r>
      <w:proofErr w:type="spellEnd"/>
      <w:r>
        <w:t xml:space="preserve"> es in der Gemeinschaft zu Handelshemmnissen und Wettbewerbsverzerrungen und -beschränkungen kommt.</w:t>
      </w:r>
    </w:p>
    <w:p>
      <w:pPr>
        <w:pStyle w:val="GesAbsatz"/>
      </w:pPr>
      <w:r>
        <w:t>Die beste Art, Verpackungsabfall zu vermeiden, ist die Verringerung der Gesamtmenge an Verpackungen.</w:t>
      </w:r>
    </w:p>
    <w:p>
      <w:pPr>
        <w:pStyle w:val="GesAbsatz"/>
      </w:pPr>
      <w:r>
        <w:t xml:space="preserve">Angesichts der Ziele dieser Richtlinie ist es wichtig, grundsätzlich darauf zu achten, </w:t>
      </w:r>
      <w:proofErr w:type="spellStart"/>
      <w:r>
        <w:t>daß</w:t>
      </w:r>
      <w:proofErr w:type="spellEnd"/>
      <w:r>
        <w:t xml:space="preserve"> die zum Schutz der Umwelt getroffenen Maßnahmen eines Mitgliedstaats die anderen Mitgliedstaaten nicht daran hindern, die Ziele der Richtlinie zu erreichen.</w:t>
      </w:r>
    </w:p>
    <w:p>
      <w:pPr>
        <w:pStyle w:val="GesAbsatz"/>
      </w:pPr>
      <w:r>
        <w:t>Die Verringerung der Abfallmengen ist eine unabdingbare Voraussetzung für das ausdrücklich im Vertrag über die Europäische Union genannte beständige Wachstum.</w:t>
      </w:r>
    </w:p>
    <w:p>
      <w:pPr>
        <w:pStyle w:val="GesAbsatz"/>
      </w:pPr>
      <w:r>
        <w:t>Diese Richtlinie soll alle Arten von im Verkehr befindlichen Verpackungen und alle Verpackungsabfälle erfassen. Deshalb ist die Richtlinie 85/339/EWG des Rates vom 27. Juni 1985 über Verpackungen für flüssige Lebensmittel</w:t>
      </w:r>
      <w:r>
        <w:rPr>
          <w:rStyle w:val="Funotenzeichen"/>
        </w:rPr>
        <w:footnoteReference w:id="4"/>
      </w:r>
      <w:r>
        <w:t xml:space="preserve"> aufzuheben.</w:t>
      </w:r>
    </w:p>
    <w:p>
      <w:pPr>
        <w:pStyle w:val="GesAbsatz"/>
      </w:pPr>
      <w:r>
        <w:t>Verpackungen sind von grundlegender sozialer und wirtschaftlicher Bedeutung; deshalb dürfen die in dieser Richtlinie vorgesehenen Maßnahmen andere wichtige Rechtsvorschriften nicht berühren, die die Qualität und die Beförderung von Verpackungen und verpackten Erzeugnissen regeln.</w:t>
      </w:r>
    </w:p>
    <w:p>
      <w:pPr>
        <w:pStyle w:val="GesAbsatz"/>
      </w:pPr>
      <w:r>
        <w:t>Entsprechend der in der Entschließung des Rates vom 7. Mai 1990 über die Abfallpolitik</w:t>
      </w:r>
      <w:r>
        <w:rPr>
          <w:rStyle w:val="Funotenzeichen"/>
        </w:rPr>
        <w:footnoteReference w:id="5"/>
      </w:r>
      <w:r>
        <w:t xml:space="preserve"> enthaltenen Gemeinschaftsstrategie für die Abfallbewirtschaftung sowie der Richtlinie 75/442/EWG des Rates vom 15. Juli 1975 über Abfälle</w:t>
      </w:r>
      <w:r>
        <w:rPr>
          <w:rStyle w:val="Funotenzeichen"/>
        </w:rPr>
        <w:footnoteReference w:id="6"/>
      </w:r>
      <w:r>
        <w:t xml:space="preserve"> </w:t>
      </w:r>
      <w:proofErr w:type="spellStart"/>
      <w:r>
        <w:t>umfaßt</w:t>
      </w:r>
      <w:proofErr w:type="spellEnd"/>
      <w:r>
        <w:t xml:space="preserve"> die Verpackungs- und die Verpackungsabfallwirtschaft als erste Priorität die Vermeidung von Verpackungsabfall und als weitere Hauptprinzipien die Wiederverwendung der Verpackungen, die stoffliche Verwertung und die anderen Formen der Verwertung der Verpackungsabfälle sowie als Folge daraus eine Verringerung der einer endgültigen Beseitigung zuzuführenden Abfälle.</w:t>
      </w:r>
    </w:p>
    <w:p>
      <w:pPr>
        <w:pStyle w:val="GesAbsatz"/>
      </w:pPr>
      <w:r>
        <w:t>Bis wissenschaftliche und technologische Ergebnisse im Bereich der Verwertung vorliegen, sind die Wiederverwendung und die stoffliche Verwertung hinsichtlich ihrer Umweltauswirkungen vorzuziehen. Aus diesem Grunde sind in den Mitgliedstaaten Rückgabesysteme für gebrauchte Verpackungen und/oder Verpackungsabfälle einzurichten. Lebenszyklusuntersuchungen müssen so bald wie möglich abgeschlossen werden, um eine klare Rangfolge der wiederverwendbaren, der stofflich und der anderweitig verwertbaren Verpackungen zu rechtfertigen.</w:t>
      </w:r>
    </w:p>
    <w:p>
      <w:pPr>
        <w:pStyle w:val="GesAbsatz"/>
      </w:pPr>
      <w:r>
        <w:t>Zur Vermeidung von Verpackungsabfällen sind geeignete Maßnahmen zu ergreifen, die die in den Mitgliedstaaten in Übereinstimmung mit den Zielen dieser Richtlinie ergriffenen Initiativen einschließen.</w:t>
      </w:r>
    </w:p>
    <w:p>
      <w:pPr>
        <w:pStyle w:val="GesAbsatz"/>
      </w:pPr>
      <w:r>
        <w:t>Die Mitgliedstaaten können Systeme für die Wiederverwendung von Verpackungen, die umweltverträglich wiederverwendet werden können, im Einklang mit dem Vertrag fördern, und damit den Beitrag dieser Methode zum Umweltschutz ausnutzen.</w:t>
      </w:r>
    </w:p>
    <w:p>
      <w:pPr>
        <w:pStyle w:val="GesAbsatz"/>
      </w:pPr>
      <w:r>
        <w:t>Aus umweltpolitischer Sicht ist die stoffliche Verwertung als ein wesentlicher Teil der Verwertung anzusehen, insbesondere um dem Verbrauch an Energie und an Primärrohstoffen zu verringern und die einer endgültigen Beseitigung zuzuführenden Abfälle zu reduzieren.</w:t>
      </w:r>
    </w:p>
    <w:p>
      <w:pPr>
        <w:pStyle w:val="GesAbsatz"/>
      </w:pPr>
      <w:r>
        <w:t>Die energetische Verwertung ist eine wirksame Methode zur Verwertung von Verpackungsabfällen.</w:t>
      </w:r>
    </w:p>
    <w:p>
      <w:pPr>
        <w:pStyle w:val="GesAbsatz"/>
      </w:pPr>
      <w:r>
        <w:t xml:space="preserve">Für die Zielvorgaben der Mitgliedstaaten in </w:t>
      </w:r>
      <w:proofErr w:type="spellStart"/>
      <w:r>
        <w:t>bezug</w:t>
      </w:r>
      <w:proofErr w:type="spellEnd"/>
      <w:r>
        <w:t xml:space="preserve"> auf die Verwertung und die stoffliche Verwertung von Verpackungsabfällen sollten Spannen vorgesehen werden, um den unterschiedlichen Situationen in den Mitgliedstaaten Rechnung zu tragen und zu vermeiden, </w:t>
      </w:r>
      <w:proofErr w:type="spellStart"/>
      <w:r>
        <w:t>daß</w:t>
      </w:r>
      <w:proofErr w:type="spellEnd"/>
      <w:r>
        <w:t xml:space="preserve"> Handelshemmnisse und Wettbewerbsverzerrungen geschaffen werden.</w:t>
      </w:r>
    </w:p>
    <w:p>
      <w:pPr>
        <w:pStyle w:val="GesAbsatz"/>
      </w:pPr>
      <w:r>
        <w:t>Damit mittelfristig Ergebnisse erzielt und Marktteilnehmern, Verbrauchern und Behörden die erforderlichen längerfristigen Perspektiven gegeben werden, ist es angemessen, eine mittlere Frist zur Erreichung der obengenannten Zielvorgaben und eine längere Frist für Zielvorgaben vorzusehen, die zu einem späteren Zeitpunkt festgelegt werden sollten, damit eine erhebliche Erhöhung dieser Zielvorgaben erfolgen kann.</w:t>
      </w:r>
    </w:p>
    <w:p>
      <w:pPr>
        <w:pStyle w:val="GesAbsatz"/>
      </w:pPr>
      <w:r>
        <w:lastRenderedPageBreak/>
        <w:t>Der Rat und das Europäische Parlament sollten aufgrund von Berichten der Kommission die Erfahrungen, die in den Mitgliedstaaten bei der Verwirklichung der vorgenannten Zielvorgaben gesammelt wurden, sowie die Ergebnisse der wissenschaftlichen Forschung und der Evaluierungstechniken wie beispielsweise der Ökobilanzen prüfen.</w:t>
      </w:r>
    </w:p>
    <w:p>
      <w:pPr>
        <w:pStyle w:val="GesAbsatz"/>
      </w:pPr>
      <w:r>
        <w:t xml:space="preserve">Den Mitgliedstaaten, die Programme aufgestellt haben oder aufstellen werden, die über diese Zielvorgaben hinausgehen, ist zu gestatten, diese Zielvorgaben im Interesse eines hohen Umweltschutzniveaus unter der Bedingung weiterzuverfolgen, </w:t>
      </w:r>
      <w:proofErr w:type="spellStart"/>
      <w:r>
        <w:t>daß</w:t>
      </w:r>
      <w:proofErr w:type="spellEnd"/>
      <w:r>
        <w:t xml:space="preserve"> die Maßnahmen nicht zu Verzerrungen des Binnenmarktes führen und die anderen Mitgliedstaaten nicht daran hindern, ihren Verpflichtungen aus dieser Richtlinie nachzukommen. Die Kommission sollte solche Maßnahmen nach angemessener Prüfung billigen.</w:t>
      </w:r>
    </w:p>
    <w:p>
      <w:pPr>
        <w:pStyle w:val="GesAbsatz"/>
      </w:pPr>
      <w:r>
        <w:t>Auf der anderen Seite kann bestimmten Mitgliedstaaten aufgrund ihrer besonderen Situation gestattet werden, niedrigere Zielvorgaben zu beschließen, sofern sie innerhalb der normalen Frist eine Mindestzielvorgabe für die Verwertung und nach einer längeren Frist die einheitlichen Zielvorgaben erfüllen.</w:t>
      </w:r>
    </w:p>
    <w:p>
      <w:pPr>
        <w:pStyle w:val="GesAbsatz"/>
      </w:pPr>
      <w:r>
        <w:t xml:space="preserve">Die Vermeidung und Verwertung von Verpackungen und Verpackungsabfällen erfordert die Einrichtung von Rücknahme-, Sammel- und Verwertungssystemen in den Mitgliedstaaten. An diesen Systemen können sich alle betroffenen Seiten beteiligen. Sie müssen so beschaffen sein, </w:t>
      </w:r>
      <w:proofErr w:type="spellStart"/>
      <w:r>
        <w:t>daß</w:t>
      </w:r>
      <w:proofErr w:type="spellEnd"/>
      <w:r>
        <w:t xml:space="preserve"> Importprodukte keine Benachteiligung erfahren und gemäß dem Vertrag keine Handelshemmnisse oder Wettbewerbsverzerrungen entstehen und </w:t>
      </w:r>
      <w:proofErr w:type="spellStart"/>
      <w:r>
        <w:t>daß</w:t>
      </w:r>
      <w:proofErr w:type="spellEnd"/>
      <w:r>
        <w:t xml:space="preserve"> die größtmögliche Rückgabe von Verpackungen und Verpackungsabfall sichergestellt wird.</w:t>
      </w:r>
    </w:p>
    <w:p>
      <w:pPr>
        <w:pStyle w:val="GesAbsatz"/>
      </w:pPr>
      <w:r>
        <w:t>Die Frage der Kennzeichnung von Verpackungen auf Gemeinschaftsebene bedarf weiterer Prüfung, sollte von der Gemeinschaft jedoch in naher Zukunft entschieden werden.</w:t>
      </w:r>
    </w:p>
    <w:p>
      <w:pPr>
        <w:pStyle w:val="GesAbsatz"/>
      </w:pPr>
      <w:r>
        <w:t>Um die Auswirkungen von Verpackungen und Verpackungsabfällen auf die Umwelt möglichst gering zu halten und Handelshemmnisse und Wettbewerbsverzerrungen zu vermeiden, ist es ferner erforderlich, die grundlegenden Anforderungen an die Zusammensetzung der Verpackungen und die Möglichkeiten für ihre Wiederverwendung und - auch stoffliche - Verwertung festzulegen.</w:t>
      </w:r>
    </w:p>
    <w:p>
      <w:pPr>
        <w:pStyle w:val="GesAbsatz"/>
      </w:pPr>
      <w:r>
        <w:t xml:space="preserve">Es ist notwendig, den Gehalt an schädlichen Metallen und sonstigen Substanzen in Verpackungen wegen ihrer Umweltauswirkungen zu begrenzen (da diese insbesondere bei Verbrennung durch Emissionen freigesetzt werden oder in der Asche enthalten sein oder bei Deponierung in Sickerwasser gelangen können). Um die Toxizität von Verpackungsabfällen zu vermindern, ist es notwendig, zunächst die Verwendung schädlicher Schwermetalle zu vermeiden oder zu kontrollieren, </w:t>
      </w:r>
      <w:proofErr w:type="spellStart"/>
      <w:r>
        <w:t>daß</w:t>
      </w:r>
      <w:proofErr w:type="spellEnd"/>
      <w:r>
        <w:t xml:space="preserve"> sich diese Elemente nicht in der Umwelt ausbreiten, wobei angemessene Ausnahmen in besonderen Fällen vorgesehen werden, die von der Kommission gemäß dem </w:t>
      </w:r>
      <w:proofErr w:type="spellStart"/>
      <w:r>
        <w:t>Ausschußverfahren</w:t>
      </w:r>
      <w:proofErr w:type="spellEnd"/>
      <w:r>
        <w:t xml:space="preserve"> festgelegt werden.</w:t>
      </w:r>
    </w:p>
    <w:p>
      <w:pPr>
        <w:pStyle w:val="GesAbsatz"/>
      </w:pPr>
      <w:r>
        <w:t>Die Einzelsortierung von Abfall an der Quelle ist entscheidend, um ein hohes Wiederverwertungsniveau zu erreichen und Gesundheits- und Sicherheitsprobleme für die Personen, die Verpackungsabfälle sammeln und aufbereiten, zu verhindern.</w:t>
      </w:r>
    </w:p>
    <w:p>
      <w:pPr>
        <w:pStyle w:val="GesAbsatz"/>
      </w:pPr>
      <w:r>
        <w:t>Die Anforderungen für die Herstellung von Verpackungen gelten nicht für Verpackungen, die vor dem Zeitpunkt des Inkrafttretens dieser Richtlinie für die Herstellung eines bestimmten Erzeugnisses verwendet wurden. Ein Übergangszeitraum für das Inverkehrbringen von Verpackungen ist ebenfalls erforderlich.</w:t>
      </w:r>
    </w:p>
    <w:p>
      <w:pPr>
        <w:pStyle w:val="GesAbsatz"/>
      </w:pPr>
      <w:r>
        <w:t xml:space="preserve">Bei der Festlegung des Zeitpunktes für die Durchführung der Vorschrift über das Inverkehrbringen von Verpackungen, die alle grundlegenden Anforderungen erfüllen, ist der Tatsache Rechnung zu tragen, </w:t>
      </w:r>
      <w:proofErr w:type="spellStart"/>
      <w:r>
        <w:t>daß</w:t>
      </w:r>
      <w:proofErr w:type="spellEnd"/>
      <w:r>
        <w:t xml:space="preserve"> derzeit europäische Normen durch das zuständige Normungsgremium aufgestellt werden. Die Vorschriften über den Nachweis der Übereinstimmung der einzelstaatlichen Normen sollten jedoch unverzüglich Anwendung finden.</w:t>
      </w:r>
    </w:p>
    <w:p>
      <w:pPr>
        <w:pStyle w:val="GesAbsatz"/>
      </w:pPr>
      <w:r>
        <w:t>Die Aufstellung europäischer Normen für die grundlegenden Anforderungen und andere diesbezügliche Größen wird gefördert.</w:t>
      </w:r>
    </w:p>
    <w:p>
      <w:pPr>
        <w:pStyle w:val="GesAbsatz"/>
      </w:pPr>
      <w:r>
        <w:t>Zu den in dieser Richtlinie vorgesehenen Maßnahmen gehört die Entwicklung von Kapazitäten für die Verwertung - einschließlich der stofflichen Verwertung - und von Absatzmöglichkeiten für verwertete Verpackungsmaterialien.</w:t>
      </w:r>
    </w:p>
    <w:p>
      <w:pPr>
        <w:pStyle w:val="GesAbsatz"/>
      </w:pPr>
      <w:r>
        <w:t xml:space="preserve">Die Verwendung von verwertetem Material für Verpackungen darf nicht im Widerspruch zu den einschlägigen Vorschriften in </w:t>
      </w:r>
      <w:proofErr w:type="spellStart"/>
      <w:r>
        <w:t>bezug</w:t>
      </w:r>
      <w:proofErr w:type="spellEnd"/>
      <w:r>
        <w:t xml:space="preserve"> auf Hygiene, Gesundheits- und Verbraucherschutz stehen.</w:t>
      </w:r>
    </w:p>
    <w:p>
      <w:pPr>
        <w:pStyle w:val="GesAbsatz"/>
      </w:pPr>
      <w:r>
        <w:t xml:space="preserve">Gemeinschaftsweite Daten über Verpackungen und Verpackungsabfälle werden benötigt, um dazu beizutragen, </w:t>
      </w:r>
      <w:proofErr w:type="spellStart"/>
      <w:r>
        <w:t>daß</w:t>
      </w:r>
      <w:proofErr w:type="spellEnd"/>
      <w:r>
        <w:t xml:space="preserve"> die Verwirklichung der Ziele dieser Richtlinie überwacht werden kann.</w:t>
      </w:r>
    </w:p>
    <w:p>
      <w:pPr>
        <w:pStyle w:val="GesAbsatz"/>
      </w:pPr>
      <w:r>
        <w:t xml:space="preserve">Von größter Wichtigkeit ist, </w:t>
      </w:r>
      <w:proofErr w:type="spellStart"/>
      <w:r>
        <w:t>daß</w:t>
      </w:r>
      <w:proofErr w:type="spellEnd"/>
      <w:r>
        <w:t xml:space="preserve"> allen an der Herstellung, Verwendung, Einfuhr und Verteilung von Verpackungen und verpackten Erzeugnissen Beteiligten stärker </w:t>
      </w:r>
      <w:proofErr w:type="spellStart"/>
      <w:r>
        <w:t>bewußt</w:t>
      </w:r>
      <w:proofErr w:type="spellEnd"/>
      <w:r>
        <w:t xml:space="preserve"> wird, in welchem Maße die Verpackungen zu Abfall werden, und </w:t>
      </w:r>
      <w:proofErr w:type="spellStart"/>
      <w:r>
        <w:t>daß</w:t>
      </w:r>
      <w:proofErr w:type="spellEnd"/>
      <w:r>
        <w:t xml:space="preserve"> sie nach dem Verursacherprinzip die Verantwortung für diesen Abfall übernehmen. Die Ausarbeitung und Durchführung der in dieser Richtlinie vorgesehenen Maßnahmen </w:t>
      </w:r>
      <w:proofErr w:type="spellStart"/>
      <w:r>
        <w:t>umfaßt</w:t>
      </w:r>
      <w:proofErr w:type="spellEnd"/>
      <w:r>
        <w:t xml:space="preserve"> und erfordert im gegebenen Fall die enge Zusammenarbeit aller Partner im Geiste geteilter Verantwortung.</w:t>
      </w:r>
    </w:p>
    <w:p>
      <w:pPr>
        <w:pStyle w:val="GesAbsatz"/>
      </w:pPr>
      <w:r>
        <w:lastRenderedPageBreak/>
        <w:t>Die Verbraucher spielen bei der Vermeidung und Verwertung von Verpackungen und Verpackungsabfällen eine wesentliche Rolle und müssen deshalb angemessen informiert werden, damit sie ihr Verhalten und ihre Haltung anpassen können.</w:t>
      </w:r>
    </w:p>
    <w:p>
      <w:pPr>
        <w:pStyle w:val="GesAbsatz"/>
      </w:pPr>
      <w:r>
        <w:t>Zur wirksamen Durchführung dieser Richtlinie wird die Aufnahme eines besonderen Kapitels über Verpackungen und Verpackungsabfallbewirtschaftung in die Abfallbewirtschaftungspläne beitragen, die nach der Richtlinie 75/442/EWG erforderlich sind.</w:t>
      </w:r>
    </w:p>
    <w:p>
      <w:pPr>
        <w:pStyle w:val="GesAbsatz"/>
      </w:pPr>
      <w:r>
        <w:t>Um die Verwirklichung der Ziele dieser Richtlinie zu erleichtern, kann es für die Gemeinschaft und für die Mitgliedstaaten erforderlich sein, auf marktwirtschaftliche Instrumente gemäß dem Vertrag zurückzugreifen, um neue Formen des Protektionismus zu vermeiden.</w:t>
      </w:r>
    </w:p>
    <w:p>
      <w:pPr>
        <w:pStyle w:val="GesAbsatz"/>
      </w:pPr>
      <w:r>
        <w:t>Unbeschadet der Richtlinie 83/189/EWG des Rates vom 28. März 1983 über ein Informationsverfahren auf dem Gebiet der Normen und technischen Vorschriften</w:t>
      </w:r>
      <w:r>
        <w:rPr>
          <w:rStyle w:val="Funotenzeichen"/>
        </w:rPr>
        <w:footnoteReference w:id="7"/>
      </w:r>
      <w:r>
        <w:t xml:space="preserve"> sollten die Mitgliedstaaten die Entwürfe der von ihnen geplanten Maßnahmen vor ihrer Annahme der Kommission vorlegen, damit ermittelt werden kann, ob sie dieser Richtlinie entsprechen.</w:t>
      </w:r>
    </w:p>
    <w:p>
      <w:pPr>
        <w:pStyle w:val="GesAbsatz"/>
      </w:pPr>
      <w:r>
        <w:t xml:space="preserve">Die Anpassung des Verpackungs-Identifizierungssystems und der Tabellen für ein Datenbanksystem an den wissenschaftlichen und technischen Fortschritt sollte von der Kommission nach einem </w:t>
      </w:r>
      <w:proofErr w:type="spellStart"/>
      <w:r>
        <w:t>Ausschußverfahren</w:t>
      </w:r>
      <w:proofErr w:type="spellEnd"/>
      <w:r>
        <w:t xml:space="preserve"> sichergestellt werden.</w:t>
      </w:r>
    </w:p>
    <w:p>
      <w:pPr>
        <w:pStyle w:val="GesAbsatz"/>
      </w:pPr>
      <w:r>
        <w:t xml:space="preserve">Es ist erforderlich, die Möglichkeit besonderer Maßnahmen zur Lösung etwaiger Schwierigkeiten bei der Durchführung dieser Richtlinie vorzusehen; hierbei sollte gegebenenfalls das gleiche </w:t>
      </w:r>
      <w:proofErr w:type="spellStart"/>
      <w:r>
        <w:t>Ausschußverfahren</w:t>
      </w:r>
      <w:proofErr w:type="spellEnd"/>
      <w:r>
        <w:t xml:space="preserve"> Anwendung finden -</w:t>
      </w:r>
    </w:p>
    <w:p>
      <w:pPr>
        <w:pStyle w:val="GesAbsatz"/>
      </w:pPr>
      <w:r>
        <w:t>HABEN FOLGENDE RICHTLINIE ERLASSEN:</w:t>
      </w:r>
    </w:p>
    <w:p>
      <w:pPr>
        <w:pStyle w:val="berschrift2"/>
      </w:pPr>
      <w:bookmarkStart w:id="2" w:name="_Toc519579460"/>
      <w:r>
        <w:t>Artikel 1</w:t>
      </w:r>
      <w:r>
        <w:br/>
        <w:t>Ziele</w:t>
      </w:r>
      <w:bookmarkEnd w:id="2"/>
    </w:p>
    <w:p>
      <w:pPr>
        <w:pStyle w:val="GesAbsatz"/>
      </w:pPr>
      <w:r>
        <w:t xml:space="preserve">(1) Diese Richtlinie bezweckt, die Vorschriften der Mitgliedstaaten im Bereich der Verpackungs- und der Verpackungsabfallwirtschaft zu harmonisieren, um einerseits Auswirkungen dieser Abfälle in allen Mitgliedstaaten sowie in dritten Ländern auf die Umwelt zu vermeiden bzw. diese Auswirkungen zu verringern und so ein hohes Umweltschutzniveau sicherzustellen und andererseits das Funktionieren des Binnenmarktes zu gewährleisten und zu verhindern, </w:t>
      </w:r>
      <w:proofErr w:type="spellStart"/>
      <w:r>
        <w:t>daß</w:t>
      </w:r>
      <w:proofErr w:type="spellEnd"/>
      <w:r>
        <w:t xml:space="preserve"> es in der Gemeinschaft zu Handelshemmnissen und Wettbewerbsverzerrungen und -beschränkungen kommt.</w:t>
      </w:r>
    </w:p>
    <w:p>
      <w:pPr>
        <w:pStyle w:val="GesAbsatz"/>
      </w:pPr>
      <w:r>
        <w:t>(2) Hierzu werden in dieser Richtlinie Maßnahmen vorgeschrieben, die auf Folgendes abzielen: Erste Priorität ist die Vermeidung von Verpackungsabfällen; weitere Hauptprinzipien sind die Wiederverwendung der Verpackungen, das Recycling und die anderen Formen der Verwertung der Verpackungsabfälle sowie als Folge daraus eine Verringerung der endgültigen Beseitigung der Abfälle, um einen Beitrag zum Übergang zu einer Kreislaufwirtschaft zu leisten.</w:t>
      </w:r>
    </w:p>
    <w:p>
      <w:pPr>
        <w:pStyle w:val="berschrift2"/>
      </w:pPr>
      <w:bookmarkStart w:id="3" w:name="_Toc519579461"/>
      <w:r>
        <w:t>Artikel 2</w:t>
      </w:r>
      <w:r>
        <w:br/>
        <w:t>Geltungsbereich</w:t>
      </w:r>
      <w:bookmarkEnd w:id="3"/>
    </w:p>
    <w:p>
      <w:pPr>
        <w:pStyle w:val="GesAbsatz"/>
      </w:pPr>
      <w:r>
        <w:t>(1) Diese Richtlinie gilt für alle in der Gemeinschaft in Verkehr gebrachten Verpackungen und alle Verpackungsabfälle, unabhängig davon, ob sie in der Industrie, im Handel, in der Verwaltung, im Gewerbe, im Dienstleistungsbereich, in Haushalten oder anderswo anfallen, unabhängig von den Materialien, aus denen sie bestehen.</w:t>
      </w:r>
    </w:p>
    <w:p>
      <w:pPr>
        <w:pStyle w:val="GesAbsatz"/>
      </w:pPr>
      <w:r>
        <w:t xml:space="preserve">(2) Diese Richtlinie berührt weder die für Verpackungen geltenden Qualitätsanforderungen, beispielsweise in </w:t>
      </w:r>
      <w:proofErr w:type="spellStart"/>
      <w:r>
        <w:t>bezug</w:t>
      </w:r>
      <w:proofErr w:type="spellEnd"/>
      <w:r>
        <w:t xml:space="preserve"> auf Sicherheit, Gesundheitsschutz und Hygiene der verpackten Erzeugnisse, noch die geltenden Beförderungsvorschriften noch die Richtlinie 91/689/EWG des Rates vom 12. Dezember 1991 über gefährliche Abfälle</w:t>
      </w:r>
      <w:r>
        <w:rPr>
          <w:rStyle w:val="Funotenzeichen"/>
        </w:rPr>
        <w:footnoteReference w:id="8"/>
      </w:r>
      <w:r>
        <w:t>.</w:t>
      </w:r>
    </w:p>
    <w:p>
      <w:pPr>
        <w:pStyle w:val="berschrift2"/>
      </w:pPr>
      <w:bookmarkStart w:id="4" w:name="_Toc519579462"/>
      <w:r>
        <w:t>Artikel 3</w:t>
      </w:r>
      <w:r>
        <w:br/>
        <w:t>Begriffsbestimmungen</w:t>
      </w:r>
      <w:bookmarkEnd w:id="4"/>
    </w:p>
    <w:p>
      <w:pPr>
        <w:pStyle w:val="GesAbsatz"/>
      </w:pPr>
      <w:r>
        <w:t>Im Sinne dieser Richtlinie bezeichnet der Ausdruck</w:t>
      </w:r>
    </w:p>
    <w:p>
      <w:pPr>
        <w:pStyle w:val="GesAbsatz"/>
        <w:ind w:left="426" w:hanging="426"/>
      </w:pPr>
      <w:r>
        <w:t>1.</w:t>
      </w:r>
      <w:r>
        <w:tab/>
        <w:t xml:space="preserve">Die Kommission prüft gegebenenfalls die Beispiele für die Definition von Gegenständen, die gemäß Anhang I als Verpackung gelten, und ändert sie, falls erforderlich. Der Vorrang gilt folgenden Artikeln: CD- </w:t>
      </w:r>
      <w:r>
        <w:lastRenderedPageBreak/>
        <w:t xml:space="preserve">und Videohüllen, Blumentöpfen, Röhren und Rollen, um die flexibles Material aufgespult ist, Schutzstreifen von Klebeetiketten und Einpack- und Geschenkpapier. Diese Maßnahmen zur Änderung nicht wesentlicher Bestimmungen dieser Richtlinie werden nach dem in Artikel 21 Absatz 3 genannten Regelungsverfahren mit Kontrolle erlassen. </w:t>
      </w:r>
    </w:p>
    <w:p>
      <w:pPr>
        <w:pStyle w:val="GesAbsatz"/>
        <w:ind w:left="426" w:hanging="426"/>
      </w:pPr>
      <w:r>
        <w:t>1a.</w:t>
      </w:r>
      <w:r>
        <w:tab/>
        <w:t>„Kunststoff“ ein Polymer im Sinne von Artikel 3 Absatz 5 der Verordnung (EG) Nr. 1907/2006 des Europäischen Parlaments und des Rates</w:t>
      </w:r>
      <w:r>
        <w:rPr>
          <w:rStyle w:val="Funotenzeichen"/>
        </w:rPr>
        <w:footnoteReference w:id="9"/>
      </w:r>
      <w:r>
        <w:t>, dem unter Umständen Zusatzstoffe oder andere Stoffe zugesetzt wurden und das als Hauptstrukturbestandteil von Tragetaschen dienen kann;</w:t>
      </w:r>
    </w:p>
    <w:p>
      <w:pPr>
        <w:pStyle w:val="GesAbsatz"/>
        <w:ind w:left="426" w:hanging="426"/>
      </w:pPr>
      <w:r>
        <w:t>1b.</w:t>
      </w:r>
      <w:r>
        <w:tab/>
        <w:t>„Kunststofftragetaschen“ Tragetaschen mit oder ohne Tragegriff aus Kunststoff, die den Verbrauchern in der Verkaufsstelle der Waren oder Produkte angeboten werden;</w:t>
      </w:r>
    </w:p>
    <w:p>
      <w:pPr>
        <w:pStyle w:val="GesAbsatz"/>
        <w:ind w:left="426" w:hanging="426"/>
      </w:pPr>
      <w:r>
        <w:t>1c.</w:t>
      </w:r>
      <w:r>
        <w:tab/>
        <w:t>„leichte Kunststofftragetaschen“ Kunststofftragetaschen mit einer Wandstärke unter 50 Mikron;</w:t>
      </w:r>
    </w:p>
    <w:p>
      <w:pPr>
        <w:pStyle w:val="GesAbsatz"/>
        <w:ind w:left="426" w:hanging="426"/>
      </w:pPr>
      <w:r>
        <w:t>1d.</w:t>
      </w:r>
      <w:r>
        <w:tab/>
        <w:t>„sehr leichte Kunststofftragetaschen“ Kunststofftragetaschen mit einer Wandstärke unter 15 Mikron, die aus Hygienegründen erforderlich sind oder als Erstverpackung für lose Lebensmittel vorgesehen sind, sofern dies zur Vermeidung von Lebensmittelverschwendung beiträgt;</w:t>
      </w:r>
    </w:p>
    <w:p>
      <w:pPr>
        <w:pStyle w:val="GesAbsatz"/>
        <w:ind w:left="426" w:hanging="426"/>
      </w:pPr>
      <w:r>
        <w:t>1e.</w:t>
      </w:r>
      <w:r>
        <w:tab/>
        <w:t>„</w:t>
      </w:r>
      <w:proofErr w:type="spellStart"/>
      <w:r>
        <w:t>oxo</w:t>
      </w:r>
      <w:proofErr w:type="spellEnd"/>
      <w:r>
        <w:t>-abbaubare Kunststofftragetaschen“ Kunststofftragetaschen aus Kunststoffmaterial, denen Zusatzstoffe zur Katalysierung des Zerfalls des Kunststoffmaterials in Mikropartikel hinzugefügt wurden;</w:t>
      </w:r>
    </w:p>
    <w:p>
      <w:pPr>
        <w:pStyle w:val="GesAbsatz"/>
        <w:ind w:left="426" w:hanging="426"/>
      </w:pPr>
      <w:r>
        <w:t>2.</w:t>
      </w:r>
      <w:r>
        <w:tab/>
        <w:t>‚Verpackungsabfälle‘ Verpackungen oder Verpackungsmaterialien, die unter die Definition des Begriffs ‚Abfall‘ gemäß Artikel 3 der Richtlinie 2008/98/EG fallen, mit Ausnahme von Produktionsrückständen;</w:t>
      </w:r>
    </w:p>
    <w:p>
      <w:pPr>
        <w:pStyle w:val="GesAbsatz"/>
        <w:ind w:left="426" w:hanging="426"/>
      </w:pPr>
      <w:r>
        <w:t>2a.</w:t>
      </w:r>
      <w:r>
        <w:tab/>
        <w:t xml:space="preserve">‚wiederverwendbare Verpackungen‘ Verpackungen, die so konzipiert und ausgelegt sind und in Verkehr gebracht werden, dass ihre Beschaffenheit während ihrer Lebensdauer mehrere Kreislaufdurchgänge ermöglicht, indem sie ihrer ursprünglichen Zweckbestimmung entsprechend </w:t>
      </w:r>
      <w:proofErr w:type="spellStart"/>
      <w:r>
        <w:t>wiederbefüllt</w:t>
      </w:r>
      <w:proofErr w:type="spellEnd"/>
      <w:r>
        <w:t xml:space="preserve"> oder wiederverwendet werden;</w:t>
      </w:r>
    </w:p>
    <w:p>
      <w:pPr>
        <w:pStyle w:val="GesAbsatz"/>
        <w:ind w:left="426" w:hanging="426"/>
      </w:pPr>
      <w:r>
        <w:t>2b.</w:t>
      </w:r>
      <w:r>
        <w:tab/>
        <w:t>‚Verbundverpackungen‘ Verpackungen, die aus zwei oder mehr Schichten aus unterschiedlichen Materialien bestehen, die nicht per Hand getrennt werden können und eine feste Einheit bilden, die aus einem Innenbehältnis und einer Außenumhüllung besteht und in dieser Beschaffenheit gefüllt, gelagert, befördert und geleert wird;</w:t>
      </w:r>
    </w:p>
    <w:p>
      <w:pPr>
        <w:pStyle w:val="GesAbsatz"/>
        <w:ind w:left="426" w:hanging="426"/>
      </w:pPr>
      <w:r>
        <w:t>2c.</w:t>
      </w:r>
      <w:r>
        <w:tab/>
        <w:t>Darüber hinaus gelten die Definitionen der Begriffe ‚Abfall‘, ‚Abfallbewirtschaftung‘, ‚Sammlung‘, ‚getrennte Sammlung‘, ‚Vermeidung‘, ‚Wiederverwendung‘, ‚Behandlung‘, ‚Verwertung‘, ‚Recycling‘, ‚Beseitigung‘ und ‚Regime der erweiterten Herstellerverantwortung‘ gemäß Artikel 3 der Richtlinie 2008/98/EG.</w:t>
      </w:r>
    </w:p>
    <w:p>
      <w:pPr>
        <w:pStyle w:val="GesAbsatz"/>
      </w:pPr>
      <w:r>
        <w:t>3.</w:t>
      </w:r>
      <w:r>
        <w:tab/>
        <w:t>(gestrichen)</w:t>
      </w:r>
    </w:p>
    <w:p>
      <w:pPr>
        <w:pStyle w:val="GesAbsatz"/>
      </w:pPr>
      <w:r>
        <w:t>4.</w:t>
      </w:r>
      <w:r>
        <w:tab/>
        <w:t xml:space="preserve">(gestrichen) </w:t>
      </w:r>
    </w:p>
    <w:p>
      <w:pPr>
        <w:pStyle w:val="GesAbsatz"/>
        <w:ind w:left="426" w:hanging="426"/>
      </w:pPr>
      <w:r>
        <w:t>5.</w:t>
      </w:r>
      <w:r>
        <w:tab/>
        <w:t xml:space="preserve">(gestrichen) </w:t>
      </w:r>
    </w:p>
    <w:p>
      <w:pPr>
        <w:pStyle w:val="GesAbsatz"/>
      </w:pPr>
      <w:r>
        <w:t>6.</w:t>
      </w:r>
      <w:r>
        <w:tab/>
        <w:t xml:space="preserve">(gestrichen) </w:t>
      </w:r>
    </w:p>
    <w:p>
      <w:pPr>
        <w:pStyle w:val="GesAbsatz"/>
        <w:ind w:left="426" w:hanging="426"/>
      </w:pPr>
      <w:r>
        <w:t>7.</w:t>
      </w:r>
      <w:r>
        <w:tab/>
        <w:t xml:space="preserve">(gestrichen) </w:t>
      </w:r>
    </w:p>
    <w:p>
      <w:pPr>
        <w:pStyle w:val="GesAbsatz"/>
        <w:ind w:left="426" w:hanging="426"/>
      </w:pPr>
      <w:r>
        <w:t>8.</w:t>
      </w:r>
      <w:r>
        <w:tab/>
        <w:t xml:space="preserve">(gestrichen) </w:t>
      </w:r>
    </w:p>
    <w:p>
      <w:pPr>
        <w:pStyle w:val="GesAbsatz"/>
        <w:ind w:left="426" w:hanging="426"/>
      </w:pPr>
      <w:r>
        <w:t>9.</w:t>
      </w:r>
      <w:r>
        <w:tab/>
        <w:t xml:space="preserve">(gestrichen) </w:t>
      </w:r>
    </w:p>
    <w:p>
      <w:pPr>
        <w:pStyle w:val="GesAbsatz"/>
      </w:pPr>
      <w:r>
        <w:t>10.</w:t>
      </w:r>
      <w:r>
        <w:tab/>
        <w:t xml:space="preserve">(gestrichen) </w:t>
      </w:r>
    </w:p>
    <w:p>
      <w:pPr>
        <w:pStyle w:val="GesAbsatz"/>
        <w:ind w:left="426" w:hanging="426"/>
      </w:pPr>
      <w:r>
        <w:t>11.</w:t>
      </w:r>
      <w:r>
        <w:tab/>
        <w:t>„Marktteilnehmer“ im Zusammenhang mit Verpackungen, Lieferanten von Verpackungsmaterialien, Verpackungshersteller und Verwertungsbetriebe, Abfüller und Benutzer, Importeure, Händler und Vertreiber, staatliche Stellen und öffentlich-rechtliche Organisationen;</w:t>
      </w:r>
    </w:p>
    <w:p>
      <w:pPr>
        <w:pStyle w:val="GesAbsatz"/>
        <w:ind w:left="426" w:hanging="426"/>
      </w:pPr>
      <w:r>
        <w:t>12.</w:t>
      </w:r>
      <w:r>
        <w:tab/>
        <w:t xml:space="preserve">„freiwillige Vereinbarung“ förmliche Vereinbarung zwischen den zuständigen Behörden der Mitgliedstaaten und den betreffenden Wirtschaftszweigen, die allen offenstehen </w:t>
      </w:r>
      <w:proofErr w:type="spellStart"/>
      <w:r>
        <w:t>muß</w:t>
      </w:r>
      <w:proofErr w:type="spellEnd"/>
      <w:r>
        <w:t>, die bereit sind, die Bedingungen der Vereinbarung zu erfüllen, um auf das Erreichen der Ziele dieser Richtlinie hinzuarbeiten.</w:t>
      </w:r>
    </w:p>
    <w:p>
      <w:pPr>
        <w:pStyle w:val="berschrift2"/>
      </w:pPr>
      <w:bookmarkStart w:id="5" w:name="_Toc519579463"/>
      <w:r>
        <w:lastRenderedPageBreak/>
        <w:t>Artikel 4</w:t>
      </w:r>
      <w:r>
        <w:br/>
        <w:t>Abfallvermeidung</w:t>
      </w:r>
      <w:bookmarkEnd w:id="5"/>
    </w:p>
    <w:p>
      <w:pPr>
        <w:pStyle w:val="GesAbsatz"/>
      </w:pPr>
      <w:r>
        <w:t>(1) Die Mitgliedstaaten stellen sicher, dass zusätzlich zu den Maßnahmen, die gemäß Artikel 9 getroffen werden, weitere präventive Maßnahmen zur Vermeidung der Entstehung von Verpackungsabfall und zur Minimierung der ökologischen Auswirkungen von Verpackungen ergriffen werden.</w:t>
      </w:r>
    </w:p>
    <w:p>
      <w:pPr>
        <w:pStyle w:val="GesAbsatz"/>
      </w:pPr>
      <w:r>
        <w:t>Bei solchen weiteren präventiven Maßnahmen kann es sich um nationale Programme, Anreize im Rahmen von Regimen der erweiterten Herstellerverantwortung zur Minimierung der Umweltauswirkungen von Verpackungen oder ähnliche Maßnahmen handeln, die — falls angezeigt — nach Konsultation der Marktteilnehmer und von Verbraucher- und Umweltorganisationen getroffen werden und die darauf abzielen, die zahlreichen in den Mitgliedstaaten zur Abfallvermeidung ergriffenen Initiativen nutzbringend zusammenzufassen.</w:t>
      </w:r>
    </w:p>
    <w:p>
      <w:pPr>
        <w:pStyle w:val="GesAbsatz"/>
      </w:pPr>
      <w:r>
        <w:t xml:space="preserve">Die Mitgliedstaaten nutzen wirtschaftliche Instrumente und andere Maßnahmen, um Anreize für die Anwendung der Abfallhierarchie zu schaffen, etwa die in Anhang </w:t>
      </w:r>
      <w:proofErr w:type="spellStart"/>
      <w:r>
        <w:t>IVa</w:t>
      </w:r>
      <w:proofErr w:type="spellEnd"/>
      <w:r>
        <w:t xml:space="preserve"> der Richtlinie 2008/98/EG aufgeführten Maßnahmen oder sonstige entsprechende Instrumente und Maßnahmen.</w:t>
      </w:r>
    </w:p>
    <w:p>
      <w:pPr>
        <w:pStyle w:val="GesAbsatz"/>
      </w:pPr>
      <w:r>
        <w:t>(1a) Die Mitgliedstaaten treffen Maßnahmen, um eine dauerhafte Verringerung des Verbrauchs an leichten Kunststofftragetaschen in ihrem Hoheitsgebiet zu erreichen.</w:t>
      </w:r>
    </w:p>
    <w:p>
      <w:pPr>
        <w:pStyle w:val="GesAbsatz"/>
      </w:pPr>
      <w:r>
        <w:t>Diese Maßnahmen können die Festlegung nationaler Verringerungsziele, die Beibehaltung oder Einführung wirtschaftlicher Instrumente und Marktbeschränkungen unter Abweichung von Artikel 18 umfassen, sofern diese Beschränkungen verhältnismäßig und nichtdiskriminierend sind.</w:t>
      </w:r>
    </w:p>
    <w:p>
      <w:pPr>
        <w:pStyle w:val="GesAbsatz"/>
      </w:pPr>
      <w:r>
        <w:t>Diese Maßnahmen können abhängig von den Umweltauswirkungen von leichten Kunststofftragetaschen nach ihrer Verwertung oder Entsorgung, ihren Kompostierungseigenschaften, ihrer Haltbarkeit oder ihrem spezifischen Verwendungszweck variieren.</w:t>
      </w:r>
    </w:p>
    <w:p>
      <w:pPr>
        <w:pStyle w:val="GesAbsatz"/>
      </w:pPr>
      <w:r>
        <w:t>Die Mitgliedstaaten ergreifen eine oder beide der folgenden Maßnahmen:</w:t>
      </w:r>
    </w:p>
    <w:p>
      <w:pPr>
        <w:pStyle w:val="GesAbsatz"/>
        <w:ind w:left="426" w:hanging="426"/>
      </w:pPr>
      <w:r>
        <w:t>a)</w:t>
      </w:r>
      <w:r>
        <w:tab/>
        <w:t>der Erlass von Maßnahmen, durch die sichergestellt wird, dass der jährliche Verbrauch an leichten Kunststofftragetaschen pro Person bis 31. Dezember 2019 höchstens 90 und bis 31. Dezember 2025 höchstens 40 beträgt, oder gleichwertige Zielvorgaben in Gewicht ausgedrückt nicht überschreitet. Sehr leichte Kunststofftragetaschen können von den nationalen Verbrauchszielen ausgenommen werden;</w:t>
      </w:r>
    </w:p>
    <w:p>
      <w:pPr>
        <w:pStyle w:val="GesAbsatz"/>
        <w:ind w:left="426" w:hanging="426"/>
      </w:pPr>
      <w:r>
        <w:t>b)</w:t>
      </w:r>
      <w:r>
        <w:tab/>
        <w:t>der Erlass von Instrumenten, durch die sichergestellt wird, dass leichte Kunststofftragetaschen in Verkaufsstellen von Waren oder Produkten spätestens bis 31. Dezember 2018 nicht unentgeltlich zur Verfügung gestellt werden, sofern keine gleichermaßen wirksamen Instrumente eingesetzt werden. Sehr leichte Kunststofftragetaschen können von diesen Maßnahmen ausgenommen werden.</w:t>
      </w:r>
    </w:p>
    <w:p>
      <w:pPr>
        <w:pStyle w:val="GesAbsatz"/>
      </w:pPr>
      <w:r>
        <w:t>Im Rahmen der Bereitstellung der Daten über Verpackungen und Verpackungsabfälle an die Kommission gemäß Artikel 12 berichten die Mitgliedstaaten ab dem 27. Mai 2018 über den jährlichen Verbrauch an leichten Kunststofftragetaschen.</w:t>
      </w:r>
    </w:p>
    <w:p>
      <w:pPr>
        <w:pStyle w:val="GesAbsatz"/>
      </w:pPr>
      <w:r>
        <w:t>Die Kommission erlässt bis 27. Mai 2016 einen Durchführungsrechtsakt, mit dem die Methode zur Berechnung des jährlichen Verbrauchs an leichten Kunststofftragetaschen pro Person festgelegt wird und die gemäß Artikel 12 Absatz 3 angenommenen Berichtsformate angepasst werden. Dieser Durchführungsrechtsakt wird gemäß dem in Artikel 21 Absatz 2 genannten Regelungsverfahren erlassen.</w:t>
      </w:r>
    </w:p>
    <w:p>
      <w:pPr>
        <w:pStyle w:val="GesAbsatz"/>
      </w:pPr>
      <w:r>
        <w:t>(1b) Unbeschadet des Artikels 15 können die Mitgliedstaaten in Bezug auf sämtliche Arten von Kunststofftragetaschen ungeachtet ihrer Wanddicke Maßnahmen wie den Einsatz von wirtschaftlichen Instrumenten oder nationale Verringerungsziele ergreifen.</w:t>
      </w:r>
    </w:p>
    <w:p>
      <w:pPr>
        <w:pStyle w:val="GesAbsatz"/>
      </w:pPr>
      <w:r>
        <w:t>(1c) Die Kommission und die Mitgliedstaaten fördern zumindest im ersten Jahr nach dem 27. November 2016 aktiv öffentliche Informations- und Sensibilisierungskampagnen zu den negativen Umweltauswirkungen des übermäßigen Verbrauchs an leichten Kunststofftragetaschen.</w:t>
      </w:r>
    </w:p>
    <w:p>
      <w:pPr>
        <w:pStyle w:val="GesAbsatz"/>
      </w:pPr>
      <w:r>
        <w:t>(2) Die Kommission trägt zur Förderung der Abfallvermeidung bei, indem sie die Ausarbeitung sachdienlicher europäischer Normen gemäß Artikel 10 unterstützt. Die Normen haben das Ziel, die Umweltauswirkungen von Verpackungen gemäß den Artikeln 9 und 10 auf ein Minimum zu reduzieren.</w:t>
      </w:r>
    </w:p>
    <w:p>
      <w:pPr>
        <w:pStyle w:val="GesAbsatz"/>
      </w:pPr>
      <w:r>
        <w:t>(3) (gestrichen)</w:t>
      </w:r>
    </w:p>
    <w:p>
      <w:pPr>
        <w:pStyle w:val="berschrift2"/>
      </w:pPr>
      <w:bookmarkStart w:id="6" w:name="_Toc519579464"/>
      <w:r>
        <w:t>Artikel 5</w:t>
      </w:r>
      <w:r>
        <w:br/>
        <w:t>Wiederverwendung</w:t>
      </w:r>
      <w:bookmarkEnd w:id="6"/>
    </w:p>
    <w:p>
      <w:pPr>
        <w:pStyle w:val="GesAbsatz"/>
      </w:pPr>
      <w:r>
        <w:t xml:space="preserve">(1) Im Einklang mit der in Artikel 4 der Richtlinie 2008/98/EG festgelegten Abfallhierarchie treffen die Mitgliedstaaten Maßnahmen, um die Erhöhung des Anteils in Verkehr gebrachter wiederverwendbarer Verpackungen </w:t>
      </w:r>
      <w:r>
        <w:lastRenderedPageBreak/>
        <w:t>und von Systemen zur umweltverträglichen Wiederverwendung von Verpackungen nach Maßgabe des Vertrags zu fördern, ohne dabei die Lebensmittelhygiene oder die Sicherheit der Verbraucher zu gefährden. Diese Maßnahmen können unter anderem Folgendes umfassen:</w:t>
      </w:r>
    </w:p>
    <w:p>
      <w:pPr>
        <w:pStyle w:val="GesAbsatz"/>
      </w:pPr>
      <w:r>
        <w:t>a)</w:t>
      </w:r>
      <w:r>
        <w:tab/>
        <w:t>Pfandsysteme,</w:t>
      </w:r>
    </w:p>
    <w:p>
      <w:pPr>
        <w:pStyle w:val="GesAbsatz"/>
      </w:pPr>
      <w:r>
        <w:t>b)</w:t>
      </w:r>
      <w:r>
        <w:tab/>
        <w:t>Festsetzung qualitativer oder quantitativer Zielvorgaben,</w:t>
      </w:r>
    </w:p>
    <w:p>
      <w:pPr>
        <w:pStyle w:val="GesAbsatz"/>
      </w:pPr>
      <w:r>
        <w:t>c)</w:t>
      </w:r>
      <w:r>
        <w:tab/>
        <w:t>wirtschaftliche Anreize,</w:t>
      </w:r>
    </w:p>
    <w:p>
      <w:pPr>
        <w:pStyle w:val="GesAbsatz"/>
        <w:ind w:left="426" w:hanging="426"/>
      </w:pPr>
      <w:r>
        <w:t>d)</w:t>
      </w:r>
      <w:r>
        <w:tab/>
        <w:t>Festsetzung eines Mindestprozentsatzes wiederverwendbarer Verpackungen, die jedes Jahr per Verpackungsstrom in Verkehr gebracht werden.</w:t>
      </w:r>
    </w:p>
    <w:p>
      <w:pPr>
        <w:pStyle w:val="GesAbsatz"/>
      </w:pPr>
      <w:r>
        <w:t>(2) Ein Mitgliedstaat kann beschließen, die Zielvorgaben nach Artikel 6 Absatz 1 Buchstaben f bis i für ein bestimmtes Jahr in angepasstem Umfang zu erreichen, indem der durchschnittliche Anteil an zum ersten Mal in Verkehr gebrachten wiederverwendbaren Verkaufsverpackungen, die in den vorangegangenen drei Jahren als Teil eines Systems zur Wiederverwendung von Verpackungen wiederverwendet wurden, berücksichtigt wird.</w:t>
      </w:r>
    </w:p>
    <w:p>
      <w:pPr>
        <w:pStyle w:val="GesAbsatz"/>
      </w:pPr>
      <w:r>
        <w:t>Zur Berechnung des angepassten Umfangs wird Folgendes abgezogen:</w:t>
      </w:r>
    </w:p>
    <w:p>
      <w:pPr>
        <w:pStyle w:val="GesAbsatz"/>
        <w:ind w:left="426" w:hanging="426"/>
      </w:pPr>
      <w:r>
        <w:t>a)</w:t>
      </w:r>
      <w:r>
        <w:tab/>
        <w:t>von den in Artikel 6 Absatz 1 Buchstaben f und h festgelegten Zielvorgaben der Anteil der in Unterabsatz 1 dieses Absatzes genannten wiederverwendbaren Verkaufsverpackungen an allen in Verkehr gebrachten Verkaufsverpackungen und</w:t>
      </w:r>
    </w:p>
    <w:p>
      <w:pPr>
        <w:pStyle w:val="GesAbsatz"/>
        <w:ind w:left="426" w:hanging="426"/>
      </w:pPr>
      <w:r>
        <w:t>b)</w:t>
      </w:r>
      <w:r>
        <w:tab/>
        <w:t>von den in Artikel 6 Absatz 1 Buchstaben g und i festgelegten Zielvorgaben der Anteil der in Unterabsatz 1 dieses Absatzes genannten wiederverwendbaren Verkaufsverpackungen, die aus dem jeweiligen Verpackungsmaterial bestehen, an allen in Verkehr gebrachten Verkaufsverpackungen, die aus diesem Material bestehen.</w:t>
      </w:r>
    </w:p>
    <w:p>
      <w:pPr>
        <w:pStyle w:val="GesAbsatz"/>
      </w:pPr>
      <w:r>
        <w:t>Zur Berechnung der Höhe des jeweiligen angepassten Umfangs dürfen nicht mehr als 5 Prozentpunkte eines solchen Anteils berücksichtigt werden.</w:t>
      </w:r>
    </w:p>
    <w:p>
      <w:pPr>
        <w:pStyle w:val="GesAbsatz"/>
      </w:pPr>
      <w:r>
        <w:t>(3) Zur Berechnung der Zielvorgaben nach Artikel 6 Absatz 1 Buchstabe f, Buchstabe g Ziffer ii, Buchstabe h, und Buchstabe i Ziffer ii kann ein Mitgliedstaat die Mengen an Verpackungen aus Holz berücksichtigen, die repariert und in der Folge wiederverwendet werden.</w:t>
      </w:r>
    </w:p>
    <w:p>
      <w:pPr>
        <w:pStyle w:val="GesAbsatz"/>
      </w:pPr>
      <w:r>
        <w:t>(4) Um einheitliche Bedingungen für die Anwendung der Absätze 2 und 3 des vorliegenden Artikels sicherzustellen, erlässt die Kommission bis spätestens 31. März 2019 Durchführungsrechtsakte, mit denen Vorschriften für die Berechnung, die Prüfung und die Übermittlung von Daten und für die Berechnung der Zielvorgaben gemäß Absatz 3 des vorliegenden Artikels festgelegt werden. Diese Durchführungsrechtsakte werden nach dem Prüfverfahren gemäß Artikel 21 Absatz 2 erlassen.</w:t>
      </w:r>
    </w:p>
    <w:p>
      <w:pPr>
        <w:pStyle w:val="GesAbsatz"/>
      </w:pPr>
      <w:r>
        <w:t>(5) Die Kommission prüft bis zum 31. Dezember 2024 die von den Mitgliedstaaten gemäß Artikel 12 und Anhang III bereitgestellten Daten zu wiederverwendbaren Verpackungen, um festzustellen, ob quantitative Zielvorgaben für die Wiederverwendung von Verpackungen festgesetzt werden können, darunter auch die Berechnungsregeln und weitere Maßnahmen zur Förderung der Wiederverwendung von Verpackungen. Zu diesem Zweck legt die Kommission dem Europäischen Parlament und dem Rat einen Bericht vor, der gegebenenfalls von einem Gesetzgebungsvorschlag begleitet wird.</w:t>
      </w:r>
    </w:p>
    <w:p>
      <w:pPr>
        <w:pStyle w:val="berschrift2"/>
      </w:pPr>
      <w:bookmarkStart w:id="7" w:name="_Toc519579465"/>
      <w:r>
        <w:t>Artikel 6</w:t>
      </w:r>
      <w:r>
        <w:br/>
        <w:t>Verwertung und stoffliche Verwertung</w:t>
      </w:r>
      <w:bookmarkEnd w:id="7"/>
    </w:p>
    <w:p>
      <w:pPr>
        <w:pStyle w:val="GesAbsatz"/>
      </w:pPr>
      <w:r>
        <w:t>(1) Zur Verwirklichung der Ziele dieser Richtlinie ergreifen die Mitgliedstaaten die erforderlichen Maßnahmen mit folgenden, sich auf ihr gesamtes Hoheitsgebiet beziehenden Zielvorgaben:</w:t>
      </w:r>
    </w:p>
    <w:p>
      <w:pPr>
        <w:pStyle w:val="GesAbsatz"/>
        <w:ind w:left="426" w:hanging="426"/>
      </w:pPr>
      <w:r>
        <w:t>a)</w:t>
      </w:r>
      <w:r>
        <w:tab/>
        <w:t>Spätestens bis 30. Juni 2001 werden zwischen mindestens 50 und höchstens 65 Gewichtsprozent der Verpackungsabfälle verwertet oder in Abfallverbrennungsanlagen mit Energierückgewinnung verbrannt;</w:t>
      </w:r>
    </w:p>
    <w:p>
      <w:pPr>
        <w:pStyle w:val="GesAbsatz"/>
        <w:ind w:left="426" w:hanging="426"/>
      </w:pPr>
      <w:r>
        <w:t>b)</w:t>
      </w:r>
      <w:r>
        <w:tab/>
        <w:t>spätestens bis 31. Dezember 2008 werden mindestens 60 Gewichtsprozent der Verpackungsabfälle verwertet oder in Abfallverbrennungsanlagen mit Energierückgewinnung verbrannt;</w:t>
      </w:r>
    </w:p>
    <w:p>
      <w:pPr>
        <w:pStyle w:val="GesAbsatz"/>
        <w:ind w:left="426" w:hanging="426"/>
      </w:pPr>
      <w:r>
        <w:t>c)</w:t>
      </w:r>
      <w:r>
        <w:tab/>
        <w:t>spätestens bis 30. Juni 2001 werden zwischen mindestens 25 und höchstens 45 Gewichtsprozent des gesamten Verpackungsmaterials, das in Verpackungsabfällen enthalten ist, und mindestens 15 Gewichtsprozent jedes einzelnen Verpackungsmaterials stofflich verwertet;</w:t>
      </w:r>
    </w:p>
    <w:p>
      <w:pPr>
        <w:pStyle w:val="GesAbsatz"/>
        <w:ind w:left="426" w:hanging="426"/>
      </w:pPr>
      <w:r>
        <w:t>d)</w:t>
      </w:r>
      <w:r>
        <w:tab/>
        <w:t>spätestens bis 31. Dezember 2008 werden zwischen mindestens 55 und höchstens 80 Gewichtsprozent der Verpackungsabfälle stofflich verwertet;</w:t>
      </w:r>
    </w:p>
    <w:p>
      <w:pPr>
        <w:pStyle w:val="GesAbsatz"/>
        <w:ind w:left="426" w:hanging="426"/>
      </w:pPr>
      <w:r>
        <w:t>e)</w:t>
      </w:r>
      <w:r>
        <w:tab/>
        <w:t>spätestens bis 31. Dezember 2008 werden die folgenden Mindestzielvorgaben für die stoffliche Verwertung der Materialien, die in Verpackungsabfällen enthalten sind, erreicht:</w:t>
      </w:r>
    </w:p>
    <w:p>
      <w:pPr>
        <w:pStyle w:val="GesAbsatz"/>
        <w:ind w:left="851" w:hanging="425"/>
      </w:pPr>
      <w:r>
        <w:t>i)</w:t>
      </w:r>
      <w:r>
        <w:tab/>
        <w:t>60 Gewichtsprozent für Glas,</w:t>
      </w:r>
    </w:p>
    <w:p>
      <w:pPr>
        <w:pStyle w:val="GesAbsatz"/>
        <w:ind w:left="851" w:hanging="425"/>
      </w:pPr>
      <w:r>
        <w:lastRenderedPageBreak/>
        <w:t>ii)</w:t>
      </w:r>
      <w:r>
        <w:tab/>
        <w:t>60 Gewichtsprozent für Papier und Karton,</w:t>
      </w:r>
    </w:p>
    <w:p>
      <w:pPr>
        <w:pStyle w:val="GesAbsatz"/>
        <w:ind w:left="851" w:hanging="425"/>
      </w:pPr>
      <w:r>
        <w:t>iii)</w:t>
      </w:r>
      <w:r>
        <w:tab/>
        <w:t>50 Gewichtsprozent für Metalle,</w:t>
      </w:r>
    </w:p>
    <w:p>
      <w:pPr>
        <w:pStyle w:val="GesAbsatz"/>
        <w:ind w:left="851" w:hanging="425"/>
      </w:pPr>
      <w:r>
        <w:t>iv)</w:t>
      </w:r>
      <w:r>
        <w:tab/>
        <w:t>22,5 Gewichtsprozent für Kunststoffe, wobei nur Material berücksichtigt wird, das durch stoffliche Verwertung wieder zu Kunststoff wird,</w:t>
      </w:r>
    </w:p>
    <w:p>
      <w:pPr>
        <w:pStyle w:val="GesAbsatz"/>
        <w:ind w:left="851" w:hanging="425"/>
      </w:pPr>
      <w:r>
        <w:t>v)</w:t>
      </w:r>
      <w:r>
        <w:tab/>
        <w:t>15 Gewichtsprozent für Holz;</w:t>
      </w:r>
    </w:p>
    <w:p>
      <w:pPr>
        <w:pStyle w:val="GesAbsatz"/>
        <w:ind w:left="426" w:hanging="425"/>
      </w:pPr>
      <w:r>
        <w:t>f)</w:t>
      </w:r>
      <w:r>
        <w:tab/>
        <w:t>spätestens bis 31. Dezember 2025 werden mindestens 65 Gewichtsprozent aller Verpackungsabfälle recycelt;</w:t>
      </w:r>
    </w:p>
    <w:p>
      <w:pPr>
        <w:pStyle w:val="GesAbsatz"/>
        <w:ind w:left="426" w:hanging="425"/>
      </w:pPr>
      <w:r>
        <w:t>g)</w:t>
      </w:r>
      <w:r>
        <w:tab/>
        <w:t>spätestens bis 31. Dezember 2025 werden für die nachstehend aufgeführten Materialien, die in Verpackungsabfällen enthalten sind, die folgenden Mindestgewichtsvorgaben für das Recycling erreicht:</w:t>
      </w:r>
    </w:p>
    <w:p>
      <w:pPr>
        <w:pStyle w:val="GesAbsatz"/>
        <w:tabs>
          <w:tab w:val="clear" w:pos="425"/>
        </w:tabs>
        <w:ind w:left="851" w:hanging="425"/>
      </w:pPr>
      <w:r>
        <w:t>i)</w:t>
      </w:r>
      <w:r>
        <w:tab/>
        <w:t>50 Gewichtsprozent bei Kunststoffen,</w:t>
      </w:r>
    </w:p>
    <w:p>
      <w:pPr>
        <w:pStyle w:val="GesAbsatz"/>
        <w:tabs>
          <w:tab w:val="clear" w:pos="425"/>
        </w:tabs>
        <w:ind w:left="851" w:hanging="425"/>
      </w:pPr>
      <w:r>
        <w:t>ii)</w:t>
      </w:r>
      <w:r>
        <w:tab/>
        <w:t>25 Gewichtsprozent bei Holz,</w:t>
      </w:r>
    </w:p>
    <w:p>
      <w:pPr>
        <w:pStyle w:val="GesAbsatz"/>
        <w:tabs>
          <w:tab w:val="clear" w:pos="425"/>
        </w:tabs>
        <w:ind w:left="851" w:hanging="425"/>
      </w:pPr>
      <w:r>
        <w:t>iii)</w:t>
      </w:r>
      <w:r>
        <w:tab/>
        <w:t>70 Gewichtsprozent bei Eisenmetallen,</w:t>
      </w:r>
    </w:p>
    <w:p>
      <w:pPr>
        <w:pStyle w:val="GesAbsatz"/>
        <w:tabs>
          <w:tab w:val="clear" w:pos="425"/>
        </w:tabs>
        <w:ind w:left="851" w:hanging="425"/>
      </w:pPr>
      <w:r>
        <w:t>iv)</w:t>
      </w:r>
      <w:r>
        <w:tab/>
        <w:t>50 Gewichtsprozent bei Aluminium,</w:t>
      </w:r>
    </w:p>
    <w:p>
      <w:pPr>
        <w:pStyle w:val="GesAbsatz"/>
        <w:tabs>
          <w:tab w:val="clear" w:pos="425"/>
        </w:tabs>
        <w:ind w:left="851" w:hanging="425"/>
      </w:pPr>
      <w:r>
        <w:t>v)</w:t>
      </w:r>
      <w:r>
        <w:tab/>
        <w:t>70 Gewichtsprozent bei Glas,</w:t>
      </w:r>
    </w:p>
    <w:p>
      <w:pPr>
        <w:pStyle w:val="GesAbsatz"/>
        <w:tabs>
          <w:tab w:val="clear" w:pos="425"/>
        </w:tabs>
        <w:ind w:left="851" w:hanging="425"/>
      </w:pPr>
      <w:r>
        <w:t>vi)</w:t>
      </w:r>
      <w:r>
        <w:tab/>
        <w:t>75 Gewichtsprozent bei Papier und Karton;</w:t>
      </w:r>
    </w:p>
    <w:p>
      <w:pPr>
        <w:pStyle w:val="GesAbsatz"/>
        <w:ind w:left="426" w:hanging="425"/>
      </w:pPr>
      <w:r>
        <w:t>h)</w:t>
      </w:r>
      <w:r>
        <w:tab/>
        <w:t>spätestens bis 31. Dezember 2030 werden mindestens 70 Gewichtsprozent aller Verpackungsabfälle recycelt;</w:t>
      </w:r>
    </w:p>
    <w:p>
      <w:pPr>
        <w:pStyle w:val="GesAbsatz"/>
        <w:tabs>
          <w:tab w:val="clear" w:pos="425"/>
        </w:tabs>
        <w:ind w:left="851" w:hanging="425"/>
      </w:pPr>
      <w:r>
        <w:t>i)</w:t>
      </w:r>
      <w:r>
        <w:tab/>
        <w:t>spätestens bis 31. Dezember 2030 werden für die nachstehend aufgeführten Materialien, die in Verpackungsabfällen enthalten sind, die folgenden Mindestgewichtsvorgaben für das Recycling erreicht:</w:t>
      </w:r>
    </w:p>
    <w:p>
      <w:pPr>
        <w:pStyle w:val="GesAbsatz"/>
        <w:tabs>
          <w:tab w:val="clear" w:pos="425"/>
        </w:tabs>
        <w:ind w:left="851" w:hanging="425"/>
      </w:pPr>
      <w:r>
        <w:t>i)</w:t>
      </w:r>
      <w:r>
        <w:tab/>
        <w:t>55 Gewichtsprozent bei Kunststoffen,</w:t>
      </w:r>
    </w:p>
    <w:p>
      <w:pPr>
        <w:pStyle w:val="GesAbsatz"/>
        <w:tabs>
          <w:tab w:val="clear" w:pos="425"/>
        </w:tabs>
        <w:ind w:left="851" w:hanging="425"/>
      </w:pPr>
      <w:r>
        <w:t>ii)</w:t>
      </w:r>
      <w:r>
        <w:tab/>
        <w:t>30 Gewichtsprozent bei Holz,</w:t>
      </w:r>
    </w:p>
    <w:p>
      <w:pPr>
        <w:pStyle w:val="GesAbsatz"/>
        <w:tabs>
          <w:tab w:val="clear" w:pos="425"/>
        </w:tabs>
        <w:ind w:left="851" w:hanging="425"/>
      </w:pPr>
      <w:r>
        <w:t>iii)</w:t>
      </w:r>
      <w:r>
        <w:tab/>
        <w:t>80 Gewichtsprozent bei Eisenmetallen,</w:t>
      </w:r>
    </w:p>
    <w:p>
      <w:pPr>
        <w:pStyle w:val="GesAbsatz"/>
        <w:tabs>
          <w:tab w:val="clear" w:pos="425"/>
        </w:tabs>
        <w:ind w:left="851" w:hanging="425"/>
      </w:pPr>
      <w:r>
        <w:t>iv)</w:t>
      </w:r>
      <w:r>
        <w:tab/>
        <w:t>60 Gewichtsprozent bei Aluminium,</w:t>
      </w:r>
    </w:p>
    <w:p>
      <w:pPr>
        <w:pStyle w:val="GesAbsatz"/>
        <w:tabs>
          <w:tab w:val="clear" w:pos="425"/>
        </w:tabs>
        <w:ind w:left="851" w:hanging="425"/>
      </w:pPr>
      <w:r>
        <w:t>v)</w:t>
      </w:r>
      <w:r>
        <w:tab/>
        <w:t>75 Gewichtsprozent bei Glas,</w:t>
      </w:r>
    </w:p>
    <w:p>
      <w:pPr>
        <w:pStyle w:val="GesAbsatz"/>
        <w:tabs>
          <w:tab w:val="clear" w:pos="425"/>
        </w:tabs>
        <w:ind w:left="851" w:hanging="425"/>
      </w:pPr>
      <w:r>
        <w:t>vi)</w:t>
      </w:r>
      <w:r>
        <w:tab/>
        <w:t>85 Gewichtsprozent bei Papier und Karton.</w:t>
      </w:r>
    </w:p>
    <w:p>
      <w:pPr>
        <w:pStyle w:val="GesAbsatz"/>
      </w:pPr>
      <w:r>
        <w:t>(1a) Unbeschadet des Absatzes 1 Buchstaben f und h kann ein Mitgliedstaat die entsprechenden Fristen für das Erreichen der in Absatz 1 Buchstabe g Ziffern i bis vi und Absatz 1 Buchstabe i Ziffern i bis vi genannten Zielvorgaben unter den folgenden Voraussetzungen um bis zu fünf Jahre hinausschieben:</w:t>
      </w:r>
    </w:p>
    <w:p>
      <w:pPr>
        <w:pStyle w:val="GesAbsatz"/>
        <w:ind w:left="426" w:hanging="426"/>
      </w:pPr>
      <w:r>
        <w:t>a)</w:t>
      </w:r>
      <w:r>
        <w:tab/>
        <w:t>Die Abweichung beschränkt sich auf höchstens 15 Prozentpunkte bei einem einzelnen Ziel oder aufgeteilt auf zwei Ziele.</w:t>
      </w:r>
    </w:p>
    <w:p>
      <w:pPr>
        <w:pStyle w:val="GesAbsatz"/>
        <w:ind w:left="426" w:hanging="426"/>
      </w:pPr>
      <w:r>
        <w:t>b)</w:t>
      </w:r>
      <w:r>
        <w:tab/>
        <w:t>Die Recyclingquote für ein einzelnes Ziel sinkt infolge der Abweichung nicht auf unter 30 %.</w:t>
      </w:r>
    </w:p>
    <w:p>
      <w:pPr>
        <w:pStyle w:val="GesAbsatz"/>
        <w:ind w:left="426" w:hanging="426"/>
      </w:pPr>
      <w:r>
        <w:t>c)</w:t>
      </w:r>
      <w:r>
        <w:tab/>
        <w:t>Die Recyclingquote für ein einzelnes Ziel nach Absatz 1 Buchstabe g Ziffern v und vi und Absatz 1 Buchstabe i Ziffern v und vi sinkt infolge der Abweichung nicht auf unter 60 %, und</w:t>
      </w:r>
    </w:p>
    <w:p>
      <w:pPr>
        <w:pStyle w:val="GesAbsatz"/>
        <w:ind w:left="426" w:hanging="426"/>
      </w:pPr>
      <w:r>
        <w:t>d)</w:t>
      </w:r>
      <w:r>
        <w:tab/>
        <w:t>spätestens 24 Monate vor Ablauf der jeweiligen Frist gemäß Absatz 1 Buchstaben g oder i teilt der Mitgliedstaat der Kommission seine Absicht mit, die Frist für das jeweilige Ziel zu verlängern, und legt einen entsprechenden Plan gemäß Anhang IV der vorliegenden Richtlinie vor. Der Mitgliedstaat kann diesen Plan mit einem gemäß Artikel 11 Absatz 3 Buchstabe b der Richtlinie 2008/98/EG vorgelegten Umsetzungsplan verknüpfen;</w:t>
      </w:r>
    </w:p>
    <w:p>
      <w:pPr>
        <w:pStyle w:val="GesAbsatz"/>
      </w:pPr>
      <w:r>
        <w:t>(1b) Innerhalb von drei Monaten ab dem nach Eingang des gemäß Absatz 1a Buchstabe d vorgelegten Umsetzungsplans kann die Kommission den Mitgliedstaat auffordern, diesen Plan zu überarbeiten, falls sie der Ansicht ist, dass der Plan nicht den Anforderungen nach Anhang IV entspricht. Der betroffene Mitgliedstaat legt einen überarbeiteten Plan innerhalb von drei Monaten ab dem Eingang der Aufforderung der Kommission vor.</w:t>
      </w:r>
    </w:p>
    <w:p>
      <w:pPr>
        <w:pStyle w:val="GesAbsatz"/>
      </w:pPr>
      <w:r>
        <w:t>(1c) Die Kommission prüft bis zum 31. Dezember 2024 die in Absatz 1 Buchstaben h und i festgelegten Zielvorgaben im Hinblick darauf, sie beizubehalten oder gegebenen falls zu erhöhen. Zu diesem Zweck legt die Kommission dem Europäischen Parlament und dem Rat einen Bericht vor, der gegebenenfalls von einem Gesetzgebungsvorschlag begleitet wird.</w:t>
      </w:r>
    </w:p>
    <w:p>
      <w:pPr>
        <w:pStyle w:val="GesAbsatz"/>
      </w:pPr>
      <w:r>
        <w:t>(2) (gestrichen)</w:t>
      </w:r>
    </w:p>
    <w:p>
      <w:pPr>
        <w:pStyle w:val="GesAbsatz"/>
      </w:pPr>
      <w:r>
        <w:t>(3) (gestrichen)</w:t>
      </w:r>
    </w:p>
    <w:p>
      <w:pPr>
        <w:pStyle w:val="GesAbsatz"/>
      </w:pPr>
      <w:r>
        <w:lastRenderedPageBreak/>
        <w:t>(4) Die Mitgliedstaaten fördern, sofern dies sinnvoll ist, die Verwendung von Materialien aus stofflich verwerteten Verpackungsabfällen bei der Herstellung von Verpackungen und sonstigen Produkten durch</w:t>
      </w:r>
    </w:p>
    <w:p>
      <w:pPr>
        <w:pStyle w:val="GesAbsatz"/>
      </w:pPr>
      <w:r>
        <w:t>a)</w:t>
      </w:r>
      <w:r>
        <w:tab/>
        <w:t>die Verbesserung der Marktbedingungen für diese Materialien,</w:t>
      </w:r>
    </w:p>
    <w:p>
      <w:pPr>
        <w:pStyle w:val="GesAbsatz"/>
      </w:pPr>
      <w:r>
        <w:t>b)</w:t>
      </w:r>
      <w:r>
        <w:tab/>
        <w:t>die Überarbeitung bestehender Regelungen, die die Verwendung dieser Materialien verhindern.</w:t>
      </w:r>
    </w:p>
    <w:p>
      <w:pPr>
        <w:pStyle w:val="GesAbsatz"/>
      </w:pPr>
      <w:r>
        <w:t>(5) (gestrichen)</w:t>
      </w:r>
    </w:p>
    <w:p>
      <w:pPr>
        <w:pStyle w:val="GesAbsatz"/>
      </w:pPr>
      <w:r>
        <w:t>(6) Die in Absatz 1 genannten Maßnahmen und Zielvorgaben werden von den Mitgliedstaaten bekannt gegeben und der breiten Öffentlichkeit und den Marktteilnehmern in einer Informationskampagne zur Kenntnis gebracht.</w:t>
      </w:r>
    </w:p>
    <w:p>
      <w:pPr>
        <w:pStyle w:val="GesAbsatz"/>
      </w:pPr>
      <w:r>
        <w:t>(7) Griechenland, Irland und Portugal können aufgrund ihrer besonderen Situation, nämlich der großen Zahl kleiner Inseln bzw. der ausgedehnten ländlichen Gebiete und Berggebiete in ihren Ländern sowie des derzeit geringen Verpackungsmaterialverbrauchs, beschließen, dass sie</w:t>
      </w:r>
    </w:p>
    <w:p>
      <w:pPr>
        <w:pStyle w:val="GesAbsatz"/>
        <w:ind w:left="426" w:hanging="426"/>
      </w:pPr>
      <w:r>
        <w:t>a)</w:t>
      </w:r>
      <w:r>
        <w:tab/>
        <w:t>spätestens bis 30. Juni 2001 Zielvorgaben erfüllen, die niedriger als die in Absatz 1 Buchstaben a) und c) genannten sind, jedoch bezüglich der Verwertung oder Verbrennung in Abfallverbrennungsanlagen mit Energierückgewinnung mindestens bei 25 Gewichtsprozenten liegen;</w:t>
      </w:r>
    </w:p>
    <w:p>
      <w:pPr>
        <w:pStyle w:val="GesAbsatz"/>
        <w:ind w:left="426" w:hanging="426"/>
      </w:pPr>
      <w:r>
        <w:t>b)</w:t>
      </w:r>
      <w:r>
        <w:tab/>
        <w:t>zugleich für die Erreichung der Zielvorgaben nach Absatz 1 Buchstaben a) und c) eine längere Frist in Anspruch nehmen, die jedoch spätestens am 31. Dezember 2005 endet;</w:t>
      </w:r>
    </w:p>
    <w:p>
      <w:pPr>
        <w:pStyle w:val="GesAbsatz"/>
        <w:ind w:left="426" w:hanging="426"/>
      </w:pPr>
      <w:r>
        <w:t>c)</w:t>
      </w:r>
      <w:r>
        <w:tab/>
        <w:t>für die Erreichung der Zielvorgaben nach Absatz 1 Buchstaben b), d) und e) nach eigenem Ermessen eine Frist setzen, die jedoch spätestens am 31. Dezember 2011 endet.</w:t>
      </w:r>
    </w:p>
    <w:p>
      <w:pPr>
        <w:pStyle w:val="GesAbsatz"/>
      </w:pPr>
      <w:r>
        <w:t>(8) (gestrichen)</w:t>
      </w:r>
    </w:p>
    <w:p>
      <w:pPr>
        <w:pStyle w:val="GesAbsatz"/>
      </w:pPr>
      <w:r>
        <w:t>(9) (gestrichen)</w:t>
      </w:r>
    </w:p>
    <w:p>
      <w:pPr>
        <w:pStyle w:val="GesAbsatz"/>
      </w:pPr>
      <w:r>
        <w:t xml:space="preserve">(10) Die Mitgliedstaaten, die Programme aufgestellt haben oder aufstellen werden, welche über die Höchstzielvorgaben von Absatz 1 hinausgehen, und </w:t>
      </w:r>
      <w:proofErr w:type="gramStart"/>
      <w:r>
        <w:t>die zu diesem Zweck angemessene Kapazitäten</w:t>
      </w:r>
      <w:proofErr w:type="gramEnd"/>
      <w:r>
        <w:t xml:space="preserve"> für die Verwertung und die stoffliche Verwertung bereitstellen, dürfen diese Ziele im Interesse eines hohen Umweltschutzniveaus weiterverfolgen, sofern diese Maßnahmen Verzerrungen des Binnenmarkts vermeiden und andere Mitgliedstaaten nicht daran hindern, dieser Richtlinie nachzukommen. Die Mitgliedstaaten unterrichten die Kommission über solche Maßnahmen. Die Kommission bestätigt diese Maßnahmen, nachdem sie in Zusammenarbeit mit den Mitgliedstaaten überprüft hat, dass sie mit den oben genannten Erwägungen in Einklang stehen und weder zu einer willkürlichen Diskriminierung noch zu einer verschleierten Beschränkung des Handels zwischen Mitgliedstaaten führen.</w:t>
      </w:r>
    </w:p>
    <w:p>
      <w:pPr>
        <w:pStyle w:val="GesAbsatz"/>
      </w:pPr>
      <w:r>
        <w:t>(11) Die Mitgliedstaaten, die der Europäischen Union aufgrund des Beitrittsvertrags vom 16. April 2003 beigetreten sind, können die Erreichung der in Absatz 1 Buchstaben b), d) und e) genannten Ziele auf einen späteren Zeitpunkt ihrer Wahl verschieben, jedoch im Fall der Tschechischen Republik, Estlands, Zyperns, Litauens, Ungarns, Sloweniens und der Slowakei nicht über den 31. Dezember 2012 hinaus, im Fall Maltas nicht über den 31. Dezember 2013 hinaus, im Fall Polens nicht über den 31. Dezember 2014 hinaus und im Fall Lettlands nicht über den 31. Dezember 2015 hinaus.</w:t>
      </w:r>
    </w:p>
    <w:p>
      <w:pPr>
        <w:pStyle w:val="berschrift2"/>
      </w:pPr>
      <w:bookmarkStart w:id="8" w:name="_Toc519579466"/>
      <w:r>
        <w:t>Artikel 6a</w:t>
      </w:r>
      <w:r>
        <w:br/>
        <w:t>Berechnung der Erfüllung der Zielvorgaben</w:t>
      </w:r>
      <w:bookmarkEnd w:id="8"/>
    </w:p>
    <w:p>
      <w:pPr>
        <w:pStyle w:val="GesAbsatz"/>
      </w:pPr>
      <w:r>
        <w:t>(1) Für die Zwecke der Berechnung, ob die Zielvorgaben gemäß Artikel 6 Absatz 1 Buchstaben f bis i erfüllt wurden,</w:t>
      </w:r>
    </w:p>
    <w:p>
      <w:pPr>
        <w:pStyle w:val="GesAbsatz"/>
        <w:ind w:left="426" w:hanging="426"/>
      </w:pPr>
      <w:r>
        <w:t>a)</w:t>
      </w:r>
      <w:r>
        <w:tab/>
        <w:t>berechnen die Mitgliedstaaten das Gewicht der in einem bestimmten Kalenderjahr angefallenen und recycelten Verpackungsabfälle. Für die in einem Mitgliedstaat angefallenen Verpackungsabfälle kann die Menge an Verpackungen, die im selben Jahr in diesem Mitgliedstaat in Verkehr gebracht wurde, als äquivalent angesehen werden;</w:t>
      </w:r>
    </w:p>
    <w:p>
      <w:pPr>
        <w:pStyle w:val="GesAbsatz"/>
        <w:ind w:left="426" w:hanging="426"/>
      </w:pPr>
      <w:r>
        <w:t>b)</w:t>
      </w:r>
      <w:r>
        <w:tab/>
        <w:t>wird das Gewicht der recycelten Verpackungsabfälle berechnet als das Gewicht der zu Abfall gewordenen Verpackungen, die, nachdem sie alle erforderlichen Prüf-, Sortier- und sonstigen vorgeschalteten Verfahren durchlaufen haben, die dazu dienen, Abfallmaterialien zu entfernen, die anschließend nicht mehr weiterverarbeitet werden, und für ein hochwertiges Recycling zu sorgen, dem Recyclingverfahren zugeführt werden, durch das Abfallmaterialien tatsächlich zu Produkten, Materialien oder Stoffen weiterverarbeitet werden.</w:t>
      </w:r>
    </w:p>
    <w:p>
      <w:pPr>
        <w:pStyle w:val="GesAbsatz"/>
      </w:pPr>
      <w:r>
        <w:t>(2) Für die Zwecke von Absatz 1 Buchstabe a wird das Gewicht der recycelten Verpackungsabfälle bestimmt, wenn die Abfälle dem Recyclingverfahren zugeführt werden.</w:t>
      </w:r>
    </w:p>
    <w:p>
      <w:pPr>
        <w:pStyle w:val="GesAbsatz"/>
      </w:pPr>
      <w:r>
        <w:t>Abweichend von Unterabsatz 1 kann als das Gewicht der recycelten Verpackungsabfälle am Outputs eines Abfallsortiervorgangs gemeldet werden, sofern</w:t>
      </w:r>
    </w:p>
    <w:p>
      <w:pPr>
        <w:pStyle w:val="GesAbsatz"/>
      </w:pPr>
      <w:r>
        <w:lastRenderedPageBreak/>
        <w:t>a)</w:t>
      </w:r>
      <w:r>
        <w:tab/>
        <w:t>dieser Output anschließend recycelt wird;</w:t>
      </w:r>
    </w:p>
    <w:p>
      <w:pPr>
        <w:pStyle w:val="GesAbsatz"/>
        <w:ind w:left="426" w:hanging="426"/>
      </w:pPr>
      <w:r>
        <w:t>b)</w:t>
      </w:r>
      <w:r>
        <w:tab/>
        <w:t>das Gewicht der Materialien oder Stoffe, die im Rahmen weiterer Verfahren vor dem Recycling entfernt und anschließend nicht recycelt werden, nicht für das Gewicht der als recycelt gemeldeten Abfälle berücksichtigt wird.</w:t>
      </w:r>
    </w:p>
    <w:p>
      <w:pPr>
        <w:pStyle w:val="GesAbsatz"/>
      </w:pPr>
      <w:r>
        <w:t>(3) Die Mitgliedstaaten errichten ein wirksames System für die Qualitätskontrolle und Rückverfolgbarkeit von Verpackungsabfällen, um die Einhaltung der Bedingungen gemäß Absatz 1 Buchstabe a des vorliegenden Artikels und Absatz 2 Buchstaben a und b des vorliegenden Artikels zu gewährleisten. Zur Sicherstellung der Zuverlässigkeit und Genauigkeit der über recycelte Verpackungsabfälle erhobenen Daten kann das System gemäß Artikel 35 Absatz 4 der Richtlinie 2008/98/EG eingerichtete elektronische Register, technische Spezifikationen für die Qualitätsanforderungen für getrennte Abfälle oder durchschnittliche Verlustquoten für sortierte Abfälle für die einzelnen Abfallarten bzw. Verfahren der Abfallbewirtschaftung umfassen. Die durchschnittlichen Verlustquoten werden nur in Fällen verwendet, in denen auf keinem anderen Wege zuverlässige Daten erhalten werden können, und anhand der Berechnungsmethode berechnet, die in dem gemäß Artikel 11a Absatz 10 der Richtlinie 2008/98/EG erlassenen delegierten Rechtsakt festgelegt ist.</w:t>
      </w:r>
    </w:p>
    <w:p>
      <w:pPr>
        <w:pStyle w:val="GesAbsatz"/>
      </w:pPr>
      <w:r>
        <w:t>(4) Für den Zweck der Berechnung, ob die Zielvorgaben nach Artikel 6 Absatz 1 Buchstaben f bis i erreicht wurden, können biologisch abbaubare Verpackungsabfälle, die aerob oder anaerob behandelt werden, als recycelt gezählt werden, wenn durch diese Behandlung Kompost, Gärrückstände oder ein anderer Output mit einem im Verhältnis zum Input vergleichbaren Recyclinganteil erzeugt werden, die als recycelte Produkte, Materialien oder Stoffe verwendet werden. Wenn der Output auf Flächen aufgebracht wird, können ihn die Mitgliedstaaten als recyceltes Material anrechnen, wenn diese Verwendung Vorteile für die Landwirtschaft oder eine Verbesserung des Umweltzustands bewirkt.</w:t>
      </w:r>
    </w:p>
    <w:p>
      <w:pPr>
        <w:pStyle w:val="GesAbsatz"/>
      </w:pPr>
      <w:r>
        <w:t xml:space="preserve">(5) Die Menge an Verpackungsabfallmaterialien, die aufgrund einer Vorbereitung für die Weiterverarbeitung nicht mehr als Abfälle anzusehen sind, kann nur dann als recycelt gezählt werden, wenn diese Materialien für eine anschließende Weiterverarbeitung in Produkte, Materialien oder Stoffe bestimmt sind, die für den ursprünglichen oder </w:t>
      </w:r>
      <w:proofErr w:type="gramStart"/>
      <w:r>
        <w:t>einen anderen Zwecken</w:t>
      </w:r>
      <w:proofErr w:type="gramEnd"/>
      <w:r>
        <w:t xml:space="preserve"> verwendet werden. Materialien, die das Ende der Abfalleigenschaft erreicht haben und als Brennstoffe oder anderes Mittel zur Energieerzeugung verwendet verbrannt, verfüllt oder auf Deponien abgelagert werden sollen, werden jedoch nicht auf die Erreichung der Recyclingziele angerechnet.</w:t>
      </w:r>
    </w:p>
    <w:p>
      <w:pPr>
        <w:pStyle w:val="GesAbsatz"/>
      </w:pPr>
      <w:r>
        <w:t>(6) Für die Zwecke der Berechnung, ob die Zielvorgaben gemäß Artikel 6 Absatz 1 Buchstaben f bis i erreicht wurden, können die Mitgliedstaaten das Recycling von Metallen, die nach der Abfallverbrennung getrennt werden, im Verhältnis zum Anteil der verbrannten Verpackungsabfälle berücksichtigen, sofern die recycelten Metalle bestimmten Qualitätskriterien genügen, die in dem gemäß Artikel 11a Absatz 9 der Richtlinie 2008/98/EG erlassenen Durchführungsrechtsakt festgelegt sind.</w:t>
      </w:r>
    </w:p>
    <w:p>
      <w:pPr>
        <w:pStyle w:val="GesAbsatz"/>
      </w:pPr>
      <w:r>
        <w:t>(7) Verpackungsabfälle, die in einen anderen Mitgliedstaat verbracht werden, um dort recycelt zu werden, können für die Erfüllung der Zielvorgaben gemäß Artikel 6 Absatz 1 Buchstaben f bis i nur in Bezug auf den Mitgliedstaat angerechnet werden, in dem sie gesammelt wurden.</w:t>
      </w:r>
    </w:p>
    <w:p>
      <w:pPr>
        <w:pStyle w:val="GesAbsatz"/>
      </w:pPr>
      <w:r>
        <w:t>(8) Verpackungsabfälle, die aus der Union ausgeführt werden, werden im Hinblick auf die Erreichung der Zielvorgaben gemäß Artikel 6 Absatz 1 der vorliegenden Richtlinie durch auf den Mitgliedstaat, in dem sie gesammelt wurden, nur berücksichtigt, wenn die Anforderungen von Absatz 3 dieses Artikels erfüllt sind und der Ausführer im Einklang mit der Verordnung (EG) Nr. 1013/2006 des Europäischen Parlaments und des Rates</w:t>
      </w:r>
      <w:r>
        <w:rPr>
          <w:rStyle w:val="Funotenzeichen"/>
        </w:rPr>
        <w:footnoteReference w:customMarkFollows="1" w:id="10"/>
        <w:t>10</w:t>
      </w:r>
      <w:r>
        <w:t xml:space="preserve"> nachweisen kann, dass die Verbringung der Abfälle den Anforderungen der genannten Verordnung entspricht und die Behandlung der Verpackungsabfälle außerhalb der Union unter Bedingungen erfolgte, die den Anforderungen deseinschlägigen Umweltrechts der Union weitgehend entsprechen.</w:t>
      </w:r>
    </w:p>
    <w:p>
      <w:pPr>
        <w:pStyle w:val="GesAbsatz"/>
      </w:pPr>
      <w:r>
        <w:t>(9) Um einheitliche Bedingungen für die Anwendung der Absätze 1 bis 5 dieses Artikels zu gewährleisten, erlässt die Kommission bis zum 31. März 2019 Durchführungsrechtsakte, mit denen Vorschriften für die Berechnung, die Prüfung und die Übermittlung von Daten festgelegt werden, vor allem mit Blick auf das Gewicht von entstandenen Verpackungsabfällen. Diese Durchführungsrechtsakte werden nach dem Prüfverfahren gemäß Artikel 21 Absatz 2 erlassen.</w:t>
      </w:r>
    </w:p>
    <w:p>
      <w:pPr>
        <w:pStyle w:val="berschrift2"/>
      </w:pPr>
      <w:bookmarkStart w:id="9" w:name="_Toc519579467"/>
      <w:r>
        <w:t>Artikel 6b</w:t>
      </w:r>
      <w:r>
        <w:br/>
        <w:t>Frühwarnbericht</w:t>
      </w:r>
      <w:bookmarkEnd w:id="9"/>
    </w:p>
    <w:p>
      <w:pPr>
        <w:pStyle w:val="GesAbsatz"/>
      </w:pPr>
      <w:r>
        <w:t>(1) Die Kommission erstellt in Zusammenarbeit mit der Europäischen Umweltagentur spätestens drei Jahre vor Ablauf der in Artikel 6 Absatz 1 Buchstaben f bis i genannten Fristen Berichte über die Fortschritte bei der Erreichung der in diesen Bestimmungen festgesetzten Zielvorgaben.</w:t>
      </w:r>
    </w:p>
    <w:p>
      <w:pPr>
        <w:pStyle w:val="GesAbsatz"/>
      </w:pPr>
      <w:r>
        <w:lastRenderedPageBreak/>
        <w:t>(2) Die Berichte gemäß Absatz 1 müssen folgende Angaben enthalten:</w:t>
      </w:r>
    </w:p>
    <w:p>
      <w:pPr>
        <w:pStyle w:val="GesAbsatz"/>
      </w:pPr>
      <w:r>
        <w:t>a)</w:t>
      </w:r>
      <w:r>
        <w:tab/>
        <w:t>eine Schätzung des Stands der Erreichung der Zielvorgaben, aufgeschlüsselt nach Mitgliedstaaten;</w:t>
      </w:r>
    </w:p>
    <w:p>
      <w:pPr>
        <w:pStyle w:val="GesAbsatz"/>
        <w:ind w:left="426" w:hanging="426"/>
      </w:pPr>
      <w:r>
        <w:t>b)</w:t>
      </w:r>
      <w:r>
        <w:tab/>
        <w:t>eine Liste der Mitgliedstaaten, bei denen die Gefahr besteht, dass sie diese Zielvorgaben nicht innerhalb der jeweiligen Fristen erreichen werden, sowie geeignete Empfehlungen für die betroffenen Mitgliedstaaten;</w:t>
      </w:r>
    </w:p>
    <w:p>
      <w:pPr>
        <w:pStyle w:val="GesAbsatz"/>
        <w:ind w:left="426" w:hanging="426"/>
      </w:pPr>
      <w:r>
        <w:t>c)</w:t>
      </w:r>
      <w:r>
        <w:tab/>
        <w:t>Beispiele bewährter Verfahren, die in der gesamten Union Anwendung finden, die Orientierungshilfe für Fortschritte bei der Erreichung der Zielvorgaben bieten könnten.</w:t>
      </w:r>
    </w:p>
    <w:p>
      <w:pPr>
        <w:pStyle w:val="berschrift2"/>
      </w:pPr>
      <w:bookmarkStart w:id="10" w:name="_Toc519579468"/>
      <w:r>
        <w:t>Artikel 7</w:t>
      </w:r>
      <w:r>
        <w:br/>
        <w:t>Rücknahme-, Sammel- und Verwertungssysteme</w:t>
      </w:r>
      <w:bookmarkEnd w:id="10"/>
    </w:p>
    <w:p>
      <w:pPr>
        <w:pStyle w:val="GesAbsatz"/>
      </w:pPr>
      <w:r>
        <w:t>(1) Um die Zielvorgaben dieser Richtlinie zu erfüllen, ergreifen die Mitgliedstaaten die erforderlichen Maßnahmen zur Einrichtung von Systemen für</w:t>
      </w:r>
    </w:p>
    <w:p>
      <w:pPr>
        <w:pStyle w:val="GesAbsatz"/>
        <w:ind w:left="426" w:hanging="426"/>
      </w:pPr>
      <w:r>
        <w:t>a)</w:t>
      </w:r>
      <w:r>
        <w:tab/>
        <w:t>die Rücknahme und/oder Sammlung von gebrauchten Verpackungen und/oder Verpackungsabfällen beim Verbraucher oder anderen Endabnehmern oder aus dem Abfallstrom mit dem Ziel einer bestmöglichen Entsorgung und</w:t>
      </w:r>
    </w:p>
    <w:p>
      <w:pPr>
        <w:pStyle w:val="GesAbsatz"/>
        <w:ind w:left="426" w:hanging="426"/>
      </w:pPr>
      <w:r>
        <w:t>b)</w:t>
      </w:r>
      <w:r>
        <w:tab/>
        <w:t>die Wiederverwendung oder Verwertung — einschließlich des Recyclings — der gesammelten Verpackungen und/ oder Verpackungsabfälle.</w:t>
      </w:r>
    </w:p>
    <w:p>
      <w:pPr>
        <w:pStyle w:val="GesAbsatz"/>
      </w:pPr>
      <w:r>
        <w:t>An diesen Systemen können sich alle Marktteilnehmer der betroffenen Wirtschaftszweige und die zuständigen Behörden beteiligen. Sie gelten auch für Importprodukte, die dabei keine Benachteiligung erfahren, auch nicht bei den Modalitäten und etwaigen Gebühren für den Zugang zu den Systemen, die so beschaffen sein müssen, dass gemäß dem Vertrag keine Handelshemmnisse oder Wettbewerbsverzerrungen entstehen.</w:t>
      </w:r>
    </w:p>
    <w:p>
      <w:pPr>
        <w:pStyle w:val="GesAbsatz"/>
      </w:pPr>
      <w:r>
        <w:t>(2) Die Mitgliedstaaten stellen sicher, dass bis zum 31. Dezember 2024 gemäß den Artikeln 8 und 8a der Richtlinie 2008/98/EG Regime der erweiterten Herstellerverantwortung eingeführt werden, die sich auf alle Verpackungen erstrecken.</w:t>
      </w:r>
    </w:p>
    <w:p>
      <w:pPr>
        <w:pStyle w:val="GesAbsatz"/>
      </w:pPr>
      <w:r>
        <w:t>(3) Die Maßnahmen nach Absatz 1 und 2 sind Teil einer für alle Verpackungen und Verpackungsabfälle geltenden Strategie, mit der insbesondere den Anforderungen des Umwelt- und Verbraucherschutzes in Bezug auf Gesundheit, Sicherheit und Hygiene, des Schutzes von Qualität, Echtheit und technischer Beschaffenheit des Verpackungsinhalts und der verwendeten Materialien sowie des Schutzes der Rechte des gewerblichen und kommerziellen Eigentums Rechnung getragen wird.</w:t>
      </w:r>
    </w:p>
    <w:p>
      <w:pPr>
        <w:pStyle w:val="GesAbsatz"/>
      </w:pPr>
      <w:r>
        <w:t xml:space="preserve">(4) Die Mitgliedstaaten ergreifen Maßnahmen zur Förderung eines hochwertigen Recyclings von Verpackungsabfällen und zur Erfüllung der für die jeweiligen Recyclingbereiche erforderlichen Qualitätsnormen. Zu diesem Zweck findet Artikel 11 Absatz 1 der Richtlinie 2008/98/EG auf Verpackungsabfälle Anwendung, auch auf Verpackungsabfälle von Verbundverpackungen. </w:t>
      </w:r>
    </w:p>
    <w:p>
      <w:pPr>
        <w:pStyle w:val="berschrift2"/>
      </w:pPr>
      <w:bookmarkStart w:id="11" w:name="_Toc519579469"/>
      <w:r>
        <w:t>Artikel 8</w:t>
      </w:r>
      <w:r>
        <w:br/>
        <w:t>Kennzeichnungs- und Identifizierungssystem</w:t>
      </w:r>
      <w:bookmarkEnd w:id="11"/>
    </w:p>
    <w:p>
      <w:pPr>
        <w:pStyle w:val="GesAbsatz"/>
      </w:pPr>
      <w:r>
        <w:t>(1) Der Rat beschließt nach Maßgabe des Vertrags spätestens zwei Jahre nach Inkrafttreten dieser Richtlinie über die Kennzeichnung von Verpackungen.</w:t>
      </w:r>
    </w:p>
    <w:p>
      <w:pPr>
        <w:pStyle w:val="GesAbsatz"/>
      </w:pPr>
      <w:r>
        <w:t>(2) Um die Sammlung, Wiederverwendung und Verwertung - einschließlich der stofflichen Verwertung - der Verpackungen zu erleichtern, enthält die Kennzeichnung zur Identifizierung und Einstufung des Materials durch das betreffende Gewerbe Angaben über die Art des Materials bzw. der Materialien, die für die Verpackung verwendet worden sind, auf der Grundlage der Entscheidung 97/129/EG der Kommission</w:t>
      </w:r>
      <w:r>
        <w:rPr>
          <w:rStyle w:val="Funotenzeichen"/>
        </w:rPr>
        <w:footnoteReference w:customMarkFollows="1" w:id="11"/>
        <w:t>11</w:t>
      </w:r>
      <w:r>
        <w:t>.</w:t>
      </w:r>
    </w:p>
    <w:p>
      <w:pPr>
        <w:pStyle w:val="GesAbsatz"/>
      </w:pPr>
      <w:r>
        <w:t xml:space="preserve">(3) Die Kennzeichnung </w:t>
      </w:r>
      <w:proofErr w:type="spellStart"/>
      <w:r>
        <w:t>muß</w:t>
      </w:r>
      <w:proofErr w:type="spellEnd"/>
      <w:r>
        <w:t xml:space="preserve"> sich auf der Verpackung selbst oder auf dem Etikett befinden. Sie </w:t>
      </w:r>
      <w:proofErr w:type="spellStart"/>
      <w:r>
        <w:t>muß</w:t>
      </w:r>
      <w:proofErr w:type="spellEnd"/>
      <w:r>
        <w:t xml:space="preserve"> deutlich sichtbar und gut lesbar sein. Die Kennzeichnung </w:t>
      </w:r>
      <w:proofErr w:type="spellStart"/>
      <w:r>
        <w:t>muß</w:t>
      </w:r>
      <w:proofErr w:type="spellEnd"/>
      <w:r>
        <w:t xml:space="preserve"> genügend haltbar und beständig sein, auch nach Öffnen der Verpackung.</w:t>
      </w:r>
    </w:p>
    <w:p>
      <w:pPr>
        <w:pStyle w:val="berschrift2"/>
      </w:pPr>
      <w:bookmarkStart w:id="12" w:name="_Toc519579470"/>
      <w:r>
        <w:t>Artikel 8a</w:t>
      </w:r>
      <w:r>
        <w:br/>
        <w:t xml:space="preserve">Spezifische Maßnahmen zu Etiketten oder Kennzeichnungen für </w:t>
      </w:r>
      <w:r>
        <w:br/>
        <w:t>biologisch abbaubare und kompostierbare Kunststofftragetaschen</w:t>
      </w:r>
      <w:bookmarkEnd w:id="12"/>
    </w:p>
    <w:p>
      <w:pPr>
        <w:pStyle w:val="GesAbsatz"/>
      </w:pPr>
      <w:r>
        <w:t>Die Kommission erlässt bis zum 27. Mai 2017 einen Durchführungsrechtsakt mit Spezifikationen für Etiketten oder Kennzeichnungen, durch die sichergestellt wird, dass biologisch abbaubare und kompostierbare Kunst</w:t>
      </w:r>
      <w:r>
        <w:lastRenderedPageBreak/>
        <w:t>stofftragetaschen in der gesamten Union anerkannt und Verbrauchern korrekte Informationen über die Kompostierungseigenschaften dieser Taschen zur Verfügung gestellt werden. Dieser Durchführungsrechtsakt wird gemäß dem in Artikel 21 Absatz 2 genannten Regelungsverfahren erlassen.</w:t>
      </w:r>
    </w:p>
    <w:p>
      <w:pPr>
        <w:pStyle w:val="GesAbsatz"/>
      </w:pPr>
      <w:r>
        <w:t>Die Mitgliedstaaten sorgen dafür, dass biologisch abbaubare und kompostierbare Kunststofftragetaschen spätestens 18 Monate nach dem Erlass dieses Durchführungsrechtsakts gemäß den darin enthaltenen Spezifikationen gekennzeichnet werden.</w:t>
      </w:r>
    </w:p>
    <w:p>
      <w:pPr>
        <w:pStyle w:val="berschrift2"/>
      </w:pPr>
      <w:bookmarkStart w:id="13" w:name="_Toc519579471"/>
      <w:r>
        <w:t>Artikel 9</w:t>
      </w:r>
      <w:r>
        <w:br/>
        <w:t>Grundlegende Anforderungen</w:t>
      </w:r>
      <w:bookmarkEnd w:id="13"/>
    </w:p>
    <w:p>
      <w:pPr>
        <w:pStyle w:val="GesAbsatz"/>
      </w:pPr>
      <w:r>
        <w:t xml:space="preserve">(1) Die Mitgliedstaaten gewährleisten drei Jahre nach Inkrafttreten dieser Richtlinie, </w:t>
      </w:r>
      <w:proofErr w:type="spellStart"/>
      <w:r>
        <w:t>daß</w:t>
      </w:r>
      <w:proofErr w:type="spellEnd"/>
      <w:r>
        <w:t xml:space="preserve"> nur Verpackungen in den Verkehr gebracht werden dürfen, die alle grundlegenden Anforderungen dieser Richtlinie einschließlich des Anhangs II erfüllen.</w:t>
      </w:r>
    </w:p>
    <w:p>
      <w:pPr>
        <w:pStyle w:val="GesAbsatz"/>
      </w:pPr>
      <w:r>
        <w:t xml:space="preserve">(2) Die Mitgliedstaaten gehen in folgenden Fällen von dem in Artikel 22 Absatz 1 genannten Zeitpunkt an davon aus, </w:t>
      </w:r>
      <w:proofErr w:type="spellStart"/>
      <w:r>
        <w:t>daß</w:t>
      </w:r>
      <w:proofErr w:type="spellEnd"/>
      <w:r>
        <w:t xml:space="preserve"> eine Verpackung alle in dieser Richtlinie einschließlich des Anhangs II festgelegten grundlegenden Anforderungen erfüllt:</w:t>
      </w:r>
    </w:p>
    <w:p>
      <w:pPr>
        <w:pStyle w:val="GesAbsatz"/>
        <w:ind w:left="426" w:hanging="426"/>
      </w:pPr>
      <w:r>
        <w:t>a)</w:t>
      </w:r>
      <w:r>
        <w:tab/>
        <w:t xml:space="preserve">Die Verpackung entspricht den einschlägigen harmonisierten Normen, deren Bezugsnummern im </w:t>
      </w:r>
      <w:r>
        <w:rPr>
          <w:i/>
        </w:rPr>
        <w:t>Amtsblatt der Europäischen Gemeinschaften</w:t>
      </w:r>
      <w:r>
        <w:t xml:space="preserve"> veröffentlicht worden sind. Die Mitgliedstaaten veröffentlichen die Bezugsnummern der einzelstaatlichen Normen, mit denen sie die harmonisierten Normen umsetzen.</w:t>
      </w:r>
    </w:p>
    <w:p>
      <w:pPr>
        <w:pStyle w:val="GesAbsatz"/>
        <w:ind w:left="426" w:hanging="426"/>
      </w:pPr>
      <w:r>
        <w:t>b)</w:t>
      </w:r>
      <w:r>
        <w:tab/>
        <w:t>Die Verpackung erfüllt die einschlägigen, in Absatz 3 genannten einzelstaatlichen Normen, sofern diese Bereiche nicht durch harmonisierte Normen geregelt sind.</w:t>
      </w:r>
    </w:p>
    <w:p>
      <w:pPr>
        <w:pStyle w:val="GesAbsatz"/>
      </w:pPr>
      <w:r>
        <w:t>(3) Die Mitgliedstaaten teilen der Kommission den Wortlaut ihrer in Absatz 2 Buchstabe b) genannten innerstaatlichen Normen mit, die ihrer Ansicht nach den grundlegenden Anforderungen im Sinne dieses Artikels entsprechen. Die Kommission leitet diese Texte umgehend an die übrigen Mitgliedstaaten weiter.</w:t>
      </w:r>
    </w:p>
    <w:p>
      <w:pPr>
        <w:pStyle w:val="GesAbsatz"/>
      </w:pPr>
      <w:r>
        <w:t xml:space="preserve">Die Mitgliedstaaten veröffentlichen die Bezugsnummern dieser Normen. Die Kommission sorgt dafür, </w:t>
      </w:r>
      <w:proofErr w:type="spellStart"/>
      <w:r>
        <w:t>daß</w:t>
      </w:r>
      <w:proofErr w:type="spellEnd"/>
      <w:r>
        <w:t xml:space="preserve"> sie im </w:t>
      </w:r>
      <w:r>
        <w:rPr>
          <w:i/>
        </w:rPr>
        <w:t>Amtsblatt der Europäischen Gemeinschaften</w:t>
      </w:r>
      <w:r>
        <w:t xml:space="preserve"> veröffentlicht werden.</w:t>
      </w:r>
    </w:p>
    <w:p>
      <w:pPr>
        <w:pStyle w:val="GesAbsatz"/>
      </w:pPr>
      <w:r>
        <w:t xml:space="preserve">(4) Ist ein Mitgliedstaat oder die Kommission der Auffassung, </w:t>
      </w:r>
      <w:proofErr w:type="spellStart"/>
      <w:r>
        <w:t>daß</w:t>
      </w:r>
      <w:proofErr w:type="spellEnd"/>
      <w:r>
        <w:t xml:space="preserve"> die in Absatz 2 genannten Normen nicht voll und ganz den grundlegenden Anforderungen nach Absatz 1 entsprechen, kann die Kommission oder der betreffende Mitgliedstaat unter Angabe von Gründen den </w:t>
      </w:r>
      <w:proofErr w:type="spellStart"/>
      <w:r>
        <w:t>Ausschuß</w:t>
      </w:r>
      <w:proofErr w:type="spellEnd"/>
      <w:r>
        <w:t xml:space="preserve">, der gemäß der Richtlinie 83/189/EWG eingesetzt wurde, mit der Angelegenheit befassen. Dieser </w:t>
      </w:r>
      <w:proofErr w:type="spellStart"/>
      <w:r>
        <w:t>Ausschuß</w:t>
      </w:r>
      <w:proofErr w:type="spellEnd"/>
      <w:r>
        <w:t xml:space="preserve"> gibt unverzüglich eine Stellungnahme ab.</w:t>
      </w:r>
    </w:p>
    <w:p>
      <w:pPr>
        <w:pStyle w:val="GesAbsatz"/>
      </w:pPr>
      <w:r>
        <w:t>Nach Stellungnahme des Ausschusses unterrichtet die Kommission die Mitgliedstaaten darüber, ob die betreffenden Normen aus den in den Absätzen 2 und 3 genannten Veröffentlichungen zu streichen sind.</w:t>
      </w:r>
    </w:p>
    <w:p>
      <w:pPr>
        <w:pStyle w:val="GesAbsatz"/>
      </w:pPr>
      <w:r>
        <w:t>(5) Spätestens bis zum 31. Dezember 2020 prüft die Kommission, ob die grundlegenden Anforderungen verschärft werden können, um u. a. die Gestaltung zur Wiederverwendung zu verbessern und ein hochwertiges Recycling zu fördern sowie um diese Anforderungen besser durchzusetzen. Zu diesem Zweck legt die Kommission dem Europäischen Parlament und dem Rat einen Bericht vor, der gegebenenfalls von einem Gesetzgebungsvorschlag begleitet wird.</w:t>
      </w:r>
    </w:p>
    <w:p>
      <w:pPr>
        <w:pStyle w:val="berschrift2"/>
      </w:pPr>
      <w:bookmarkStart w:id="14" w:name="_Toc519579472"/>
      <w:r>
        <w:t>Artikel 10</w:t>
      </w:r>
      <w:r>
        <w:br/>
        <w:t>Normung</w:t>
      </w:r>
      <w:bookmarkEnd w:id="14"/>
    </w:p>
    <w:p>
      <w:pPr>
        <w:pStyle w:val="GesAbsatz"/>
      </w:pPr>
      <w:r>
        <w:t>Die Kommission fördert gegebenenfalls die Aufstellung europäischer Normen für die in Anhang II aufgeführten grundlegenden Anforderungen.</w:t>
      </w:r>
    </w:p>
    <w:p>
      <w:pPr>
        <w:pStyle w:val="GesAbsatz"/>
      </w:pPr>
      <w:r>
        <w:t>Die Kommission fördert insbesondere die Aufstellung europäischer Normen für</w:t>
      </w:r>
    </w:p>
    <w:p>
      <w:pPr>
        <w:pStyle w:val="GesAbsatz"/>
      </w:pPr>
      <w:r>
        <w:t>-</w:t>
      </w:r>
      <w:r>
        <w:tab/>
        <w:t>Kriterien und Methoden für die Analyse des Lebenszyklus von Verpackungen;</w:t>
      </w:r>
    </w:p>
    <w:p>
      <w:pPr>
        <w:pStyle w:val="GesAbsatz"/>
        <w:ind w:left="426" w:hanging="426"/>
      </w:pPr>
      <w:r>
        <w:t>-</w:t>
      </w:r>
      <w:r>
        <w:tab/>
        <w:t>Methoden zur Messung und Feststellung von Schwermetallen und anderen gefährlichen Stoffen in der Verpackung und deren Freisetzung aus der Verpackung oder dem Verpackungsabfall in die Umwelt;</w:t>
      </w:r>
    </w:p>
    <w:p>
      <w:pPr>
        <w:pStyle w:val="GesAbsatz"/>
        <w:ind w:left="426" w:hanging="426"/>
      </w:pPr>
      <w:r>
        <w:t>-</w:t>
      </w:r>
      <w:r>
        <w:tab/>
        <w:t>Kriterien für einen Mindestgehalt an stofflich verwertetem Material bei bestimmten Arten von Verpackungen;</w:t>
      </w:r>
    </w:p>
    <w:p>
      <w:pPr>
        <w:pStyle w:val="GesAbsatz"/>
      </w:pPr>
      <w:r>
        <w:t>-</w:t>
      </w:r>
      <w:r>
        <w:tab/>
        <w:t>Kriterien für Verfahren der stofflichen Verwertung;</w:t>
      </w:r>
    </w:p>
    <w:p>
      <w:pPr>
        <w:pStyle w:val="GesAbsatz"/>
      </w:pPr>
      <w:r>
        <w:t>-</w:t>
      </w:r>
      <w:r>
        <w:tab/>
        <w:t>Kriterien für Kompostierungsverfahren und produzierten Kompost;</w:t>
      </w:r>
    </w:p>
    <w:p>
      <w:pPr>
        <w:pStyle w:val="GesAbsatz"/>
      </w:pPr>
      <w:r>
        <w:t>-</w:t>
      </w:r>
      <w:r>
        <w:tab/>
        <w:t>Kriterien für die Kennzeichnung von Verpackungen.</w:t>
      </w:r>
    </w:p>
    <w:p>
      <w:pPr>
        <w:pStyle w:val="berschrift2"/>
      </w:pPr>
      <w:bookmarkStart w:id="15" w:name="_Toc519579473"/>
      <w:r>
        <w:lastRenderedPageBreak/>
        <w:t>Artikel 11</w:t>
      </w:r>
      <w:r>
        <w:br/>
        <w:t>Konzentration von Schwermetallen in Verpackungen</w:t>
      </w:r>
      <w:bookmarkEnd w:id="15"/>
    </w:p>
    <w:p>
      <w:pPr>
        <w:pStyle w:val="GesAbsatz"/>
      </w:pPr>
      <w:r>
        <w:t xml:space="preserve">(1) Die Mitgliedstaaten gewährleisten, </w:t>
      </w:r>
      <w:proofErr w:type="spellStart"/>
      <w:r>
        <w:t>daß</w:t>
      </w:r>
      <w:proofErr w:type="spellEnd"/>
      <w:r>
        <w:t xml:space="preserve"> die Konzentrationen bei Blei, Kadmium, Quecksilber und Chrom VI in Verpackungen oder Verpackungskomponenten kumulativ die folgenden Werte nicht überschreiten:</w:t>
      </w:r>
    </w:p>
    <w:p>
      <w:pPr>
        <w:pStyle w:val="GesAbsatz"/>
      </w:pPr>
      <w:r>
        <w:t>-</w:t>
      </w:r>
      <w:r>
        <w:tab/>
        <w:t>600 Gewichts-ppm zwei Jahre nach dem in Artikel 22 Absatz 1 genannten Zeitpunkt,</w:t>
      </w:r>
    </w:p>
    <w:p>
      <w:pPr>
        <w:pStyle w:val="GesAbsatz"/>
      </w:pPr>
      <w:r>
        <w:t>-</w:t>
      </w:r>
      <w:r>
        <w:tab/>
        <w:t>250 Gewichts-ppm drei Jahre nach dem in Artikel 22 Absatz 1 genannten Zeitpunkt,</w:t>
      </w:r>
    </w:p>
    <w:p>
      <w:pPr>
        <w:pStyle w:val="GesAbsatz"/>
      </w:pPr>
      <w:r>
        <w:t>-</w:t>
      </w:r>
      <w:r>
        <w:tab/>
        <w:t>100 Gewichts-ppm fünf Jahre nach dem in Artikel 22 Absatz 1 genannten Zeitpunkt.</w:t>
      </w:r>
    </w:p>
    <w:p>
      <w:pPr>
        <w:pStyle w:val="GesAbsatz"/>
      </w:pPr>
      <w:r>
        <w:t>(2) Die Konzentrationen nach Absatz 1 gelten nicht für vollständig aus Bleikristallglas im Sinne der Richtlinie 69/493/EWG</w:t>
      </w:r>
      <w:r>
        <w:rPr>
          <w:rStyle w:val="Funotenzeichen"/>
        </w:rPr>
        <w:footnoteReference w:customMarkFollows="1" w:id="12"/>
        <w:t>12</w:t>
      </w:r>
      <w:r>
        <w:t xml:space="preserve"> hergestellte Verpackungen.</w:t>
      </w:r>
    </w:p>
    <w:p>
      <w:pPr>
        <w:pStyle w:val="GesAbsatz"/>
      </w:pPr>
      <w:r>
        <w:t>(3) Die Kommission erlässt gemäß Artikel 21a delegierte Rechtsakte, um diese Richtlinie um die Festlegung zu ergänzen, unter welchen Bedingungen die in Absatz 1 dieses Artikels genannten Konzentrationen nicht für recycelte Materialien und Produkte in geschlossenen, kontrollierten Kreisläufen gelten und welche Arten von Verpackungen von der Anforderung gemäß Absatz 1 dritter Gedankenstrich dieses Artikels ausgenommen sind.</w:t>
      </w:r>
    </w:p>
    <w:p>
      <w:pPr>
        <w:pStyle w:val="berschrift2"/>
      </w:pPr>
      <w:bookmarkStart w:id="16" w:name="_Toc519579474"/>
      <w:r>
        <w:t>Artikel 12</w:t>
      </w:r>
      <w:r>
        <w:br/>
        <w:t>Informationssysteme und Berichterstattung</w:t>
      </w:r>
      <w:bookmarkEnd w:id="16"/>
    </w:p>
    <w:p>
      <w:pPr>
        <w:pStyle w:val="GesAbsatz"/>
      </w:pPr>
      <w:r>
        <w:t xml:space="preserve">(1) Die Mitgliedstaaten treffen die notwendigen Maßnahmen, um auf harmonisiertem Wege die Einrichtung von Datenbanken über Verpackungen und Verpackungsabfälle zu gewährleisten, sofern es noch </w:t>
      </w:r>
      <w:proofErr w:type="gramStart"/>
      <w:r>
        <w:t>keine derartige Datenbanken</w:t>
      </w:r>
      <w:proofErr w:type="gramEnd"/>
      <w:r>
        <w:t xml:space="preserve"> gibt; dies soll dazu beitragen, </w:t>
      </w:r>
      <w:proofErr w:type="spellStart"/>
      <w:r>
        <w:t>daß</w:t>
      </w:r>
      <w:proofErr w:type="spellEnd"/>
      <w:r>
        <w:t xml:space="preserve"> die Mitgliedstaaten und die Kommission die Erreichung der in dieser Richtlinie dargelegten Zielvorgaben überprüfen können.</w:t>
      </w:r>
    </w:p>
    <w:p>
      <w:pPr>
        <w:pStyle w:val="GesAbsatz"/>
      </w:pPr>
      <w:r>
        <w:t>(2) Die Datenbanken gemäß Absatz 1 umfassen die Daten auf der Grundlage von Anhang III und enthalten insbesondere Angaben über Umfang, Merkmale und Entwicklung des Verpackungs- und Verpackungsabfallaufkommens in den einzelnen Mitgliedstaaten, einschließlich Angaben über Toxizität oder Gefährlichkeit der Verpackungsmaterialien und der für ihre Herstellung verwendeten Bestandteile.</w:t>
      </w:r>
    </w:p>
    <w:p>
      <w:pPr>
        <w:pStyle w:val="GesAbsatz"/>
      </w:pPr>
      <w:r>
        <w:t>(3) (gestrichen)</w:t>
      </w:r>
    </w:p>
    <w:p>
      <w:pPr>
        <w:pStyle w:val="GesAbsatz"/>
      </w:pPr>
      <w:r>
        <w:t>(3a) Die Mitgliedstaaten übermitteln der Kommission für jedes Kalenderjahr die Daten zur Umsetzung der Zielvorgaben gemäß Artikel 6 Absatz 1 Buchstaben a bis i und die Daten über wiederverwendbare Verpackungen.</w:t>
      </w:r>
    </w:p>
    <w:p>
      <w:pPr>
        <w:pStyle w:val="GesAbsatz"/>
      </w:pPr>
      <w:r>
        <w:t>Sie übermitteln die Daten auf elektronischem Wege binnen 18 Monaten nach Ende des Berichtsjahres, für das die Daten erhoben werden. Die Daten werden in dem von der Kommission auf der Grundlage von Anhang III festgelegten Format gemäß Absatz 3d des vorliegenden Artikels übermittelt.</w:t>
      </w:r>
    </w:p>
    <w:p>
      <w:pPr>
        <w:pStyle w:val="GesAbsatz"/>
      </w:pPr>
      <w:r>
        <w:t>Der erste Berichtszeitraum über die Zielvorgaben nach Artikel 6 Absatz 1 Buchstaben f bis i und die Daten über wiederverwendbare Verpackungen beginnt im ersten vollen Kalenderjahr nach Erlass des Durchführungsrechtsakts, in dem gemäß Absatz 3d dieses Artikels das Berichtsformat festgelegt wird, und umfasst die Daten für diesen Berichtszeitraum.</w:t>
      </w:r>
    </w:p>
    <w:p>
      <w:pPr>
        <w:pStyle w:val="GesAbsatz"/>
      </w:pPr>
      <w:r>
        <w:t>(3b) Den Datenberichten der Mitgliedstaaten gemäß diesem Artikel liegen ein Qualitätskontrollbericht sowie ein Bericht über die gemäß Artikel 6a Absätze 3 und 8 ergriffenen Maßnahmen bei, der gegebenenfalls auch detaillierte Angaben zur durchschnittlichen Verlustquote enthält.</w:t>
      </w:r>
    </w:p>
    <w:p>
      <w:pPr>
        <w:pStyle w:val="GesAbsatz"/>
      </w:pPr>
      <w:r>
        <w:t>(3c) Die Kommission überprüft die gemäß diesem Artikel übermittelten Daten und veröffentlicht einen Bericht über die Ergebnisse ihrer Überprüfung. Der Bericht enthält eine Bewertung der Organisation der Datenerhebung, der Datenquellen und der von den Mitgliedstaaten angewandten Methoden sowie der Vollständigkeit, Zuverlässigkeit, Aktualität und Kohärenz der Daten. Die Bewertung kann auch spezifische Verbesserungsvorschläge umfassen. Der Bericht wird nach der ersten Datenübermittlung durch die Mitgliedstaaten und anschließend alle vier Jahre erstellt.</w:t>
      </w:r>
    </w:p>
    <w:p>
      <w:pPr>
        <w:pStyle w:val="GesAbsatz"/>
      </w:pPr>
      <w:r>
        <w:t xml:space="preserve">(3d) Die Kommission erlässt spätestens bis zum 31. März 2019 Durchführungsrechtsakte zur Festlegung des Formats für die Datenübermittlung gemäß Absatz 3a dieses Artikels. Für die Zwecke der Berichterstattung über die Umsetzung von Artikel 6 Absatz 1 Buchstaben a bis e der vorliegenden Richtlinie verwenden die </w:t>
      </w:r>
      <w:r>
        <w:lastRenderedPageBreak/>
        <w:t>Mitgliedstaaten das Format, das im Beschluss 2005/270/EG der Kommission</w:t>
      </w:r>
      <w:r>
        <w:rPr>
          <w:rStyle w:val="Funotenzeichen"/>
        </w:rPr>
        <w:footnoteReference w:customMarkFollows="1" w:id="13"/>
        <w:t>13</w:t>
      </w:r>
      <w:r>
        <w:t xml:space="preserve"> festgelegt wurde. Diese Durchführungsrechtsakte werden nach dem in Artikel 21 Absatz 2 der vorliegenden Richtlinie genannten Prüfverfahren erlassen.</w:t>
      </w:r>
    </w:p>
    <w:p>
      <w:pPr>
        <w:pStyle w:val="GesAbsatz"/>
      </w:pPr>
      <w:r>
        <w:t>(4) Die Mitgliedstaaten berücksichtigen die spezifischen Probleme für kleine und mittlere Unternehmen bei der Bereitstellung detaillierter Daten.</w:t>
      </w:r>
    </w:p>
    <w:p>
      <w:pPr>
        <w:pStyle w:val="GesAbsatz"/>
      </w:pPr>
      <w:r>
        <w:t>(5) (gestrichen)</w:t>
      </w:r>
    </w:p>
    <w:p>
      <w:pPr>
        <w:pStyle w:val="GesAbsatz"/>
      </w:pPr>
      <w:r>
        <w:t xml:space="preserve">(6) Die Mitgliedstaaten verlangen von allen betroffenen Marktteilnehmern, </w:t>
      </w:r>
      <w:proofErr w:type="spellStart"/>
      <w:r>
        <w:t>daß</w:t>
      </w:r>
      <w:proofErr w:type="spellEnd"/>
      <w:r>
        <w:t xml:space="preserve"> sie den zuständigen Behörden die in diesem Artikel geforderten </w:t>
      </w:r>
      <w:proofErr w:type="spellStart"/>
      <w:r>
        <w:t>verläßlichen</w:t>
      </w:r>
      <w:proofErr w:type="spellEnd"/>
      <w:r>
        <w:t xml:space="preserve"> Daten über ihren Sektor vorlegen.</w:t>
      </w:r>
    </w:p>
    <w:p>
      <w:pPr>
        <w:pStyle w:val="berschrift2"/>
      </w:pPr>
      <w:bookmarkStart w:id="17" w:name="_Toc519579475"/>
      <w:r>
        <w:t>Artikel 13</w:t>
      </w:r>
      <w:r>
        <w:br/>
        <w:t>Unterrichtung der Verpackungsbenutzer</w:t>
      </w:r>
      <w:bookmarkEnd w:id="17"/>
    </w:p>
    <w:p>
      <w:pPr>
        <w:pStyle w:val="GesAbsatz"/>
      </w:pPr>
      <w:r>
        <w:t xml:space="preserve">Die Mitgliedstaaten treffen innerhalb von zwei Jahren nach dem in Artikel 22 Absatz 1 genannten Zeitpunkt Maßnahmen, um zu gewährleisten, </w:t>
      </w:r>
      <w:proofErr w:type="spellStart"/>
      <w:r>
        <w:t>daß</w:t>
      </w:r>
      <w:proofErr w:type="spellEnd"/>
      <w:r>
        <w:t xml:space="preserve"> die Verpackungsverwender, insbesondere die Verbraucher, in der erforderlichen Weise über folgende Punkte unterrichtet werden:</w:t>
      </w:r>
    </w:p>
    <w:p>
      <w:pPr>
        <w:pStyle w:val="GesAbsatz"/>
      </w:pPr>
      <w:r>
        <w:t>-</w:t>
      </w:r>
      <w:r>
        <w:tab/>
        <w:t>die den Verwendern zur Verfügung stehende Rücknahme-, Sammel- und Verwertungssysteme;</w:t>
      </w:r>
    </w:p>
    <w:p>
      <w:pPr>
        <w:pStyle w:val="GesAbsatz"/>
        <w:ind w:left="426" w:hanging="426"/>
      </w:pPr>
      <w:r>
        <w:t>-</w:t>
      </w:r>
      <w:r>
        <w:tab/>
        <w:t>Beitrag der Verwender zur Wiederverwendung, Verwertung und stofflichen Verwertung der Verpackungen und Verpackungsabfälle;</w:t>
      </w:r>
    </w:p>
    <w:p>
      <w:pPr>
        <w:pStyle w:val="GesAbsatz"/>
      </w:pPr>
      <w:r>
        <w:t>-</w:t>
      </w:r>
      <w:r>
        <w:tab/>
        <w:t>Bedeutung der auf dem Markt anzutreffenden Kennzeichnung auf den Verpackungen;</w:t>
      </w:r>
    </w:p>
    <w:p>
      <w:pPr>
        <w:pStyle w:val="GesAbsatz"/>
        <w:ind w:left="426" w:hanging="426"/>
      </w:pPr>
      <w:r>
        <w:t>-</w:t>
      </w:r>
      <w:r>
        <w:tab/>
        <w:t>die entsprechenden Aspekte der in Artikel 14 genannten Pläne für Verpackungen und die Bewirtschaftung der daraus entstehenden Verpackungsabfälle.</w:t>
      </w:r>
    </w:p>
    <w:p>
      <w:pPr>
        <w:pStyle w:val="GesAbsatz"/>
      </w:pPr>
      <w:r>
        <w:t>Die Mitgliedstaaten fördern ferner Kampagnen zur Information und Sensibilisierung der Verbraucher.</w:t>
      </w:r>
    </w:p>
    <w:p>
      <w:pPr>
        <w:pStyle w:val="berschrift2"/>
      </w:pPr>
      <w:bookmarkStart w:id="18" w:name="_Toc519579476"/>
      <w:r>
        <w:t>Artikel 14</w:t>
      </w:r>
      <w:r>
        <w:br/>
        <w:t>Entsorgungspläne</w:t>
      </w:r>
      <w:bookmarkEnd w:id="18"/>
    </w:p>
    <w:p>
      <w:pPr>
        <w:pStyle w:val="GesAbsatz"/>
      </w:pPr>
      <w:r>
        <w:t>Entsprechend den in dieser Richtlinie genannten Zielen und Maßnahmen sehen die Mitgliedstaaten in den Abfallbewirtschaftungsplänen nach Artikel 7 der Richtlinie 75/442/EWG ein besonderes Kapitel über Verpackungen und die Bewirtschaftung der daraus entstehenden Abfälle, einschließlich der nach den Artikeln 4 und 5 getroffenen Maßnahmen, vor.</w:t>
      </w:r>
    </w:p>
    <w:p>
      <w:pPr>
        <w:pStyle w:val="berschrift2"/>
      </w:pPr>
      <w:bookmarkStart w:id="19" w:name="_Toc519579477"/>
      <w:r>
        <w:t>Artikel 15</w:t>
      </w:r>
      <w:r>
        <w:br/>
        <w:t>Marktwirtschaftliche Instrumente</w:t>
      </w:r>
      <w:bookmarkEnd w:id="19"/>
    </w:p>
    <w:p>
      <w:pPr>
        <w:pStyle w:val="GesAbsatz"/>
      </w:pPr>
      <w:r>
        <w:t>Der Rat setzt auf der Grundlage der einschlägigen Bestimmungen des Vertrags marktwirtschaftliche Instrumente zur Erreichung der Ziele dieser Richtlinie ein. Werden keine derartigen Maßnahmen ergriffen, so können die Mitgliedstaaten in Übereinstimmung mit den Grundsätzen der Umweltpolitik der Gemeinschaft, unter anderem dem Verursacherprinzip, und unter Einhaltung der sich aus dem Vertrag ergebenden Verpflichtungen ihrerseits Maßnahmen zur Verwirklichung dieser Ziele erlassen.</w:t>
      </w:r>
    </w:p>
    <w:p>
      <w:pPr>
        <w:pStyle w:val="berschrift2"/>
      </w:pPr>
      <w:bookmarkStart w:id="20" w:name="_Toc519579478"/>
      <w:r>
        <w:t>Artikel 16</w:t>
      </w:r>
      <w:r>
        <w:br/>
        <w:t>Notifizierung</w:t>
      </w:r>
      <w:bookmarkEnd w:id="20"/>
    </w:p>
    <w:p>
      <w:pPr>
        <w:pStyle w:val="GesAbsatz"/>
      </w:pPr>
      <w:r>
        <w:t>(1) Unbeschadet der Richtlinie 83/189/EWG teilen die Mitgliedstaaten die Entwürfe der von ihnen im Rahmen der vorliegenden Richtlinie geplanten Maßnahmen - mit Ausnahme steuerlicher Maßnahmen, jedoch einschließlich technischer Spezifikationen, die in der Absicht, die Betreffenden zur Einhaltung dieser Spezifikationen zu bewegen, mit steuerlichen Maßnahmen verknüpft wurden - vor deren Verabschiedung der Kommission mit, damit diese sie unter jeweiliger Anwendung des in der obengenannten Richtlinie vorgesehenen Verfahrens auf ihre Übereinstimmung mit den bestehenden Vorschriften hin überprüfen kann.</w:t>
      </w:r>
    </w:p>
    <w:p>
      <w:pPr>
        <w:pStyle w:val="GesAbsatz"/>
      </w:pPr>
      <w:r>
        <w:t xml:space="preserve">(2) Handelt es sich bei der beabsichtigten Maßnahme auch um eine technische Vorschrift im Sinne der Richtlinie 83/189/EWG, so kann der betreffende Mitgliedstaat im Rahmen der Mitteilungsverfahren gemäß der vorliegenden Richtlinie darauf hinweisen, </w:t>
      </w:r>
      <w:proofErr w:type="spellStart"/>
      <w:r>
        <w:t>daß</w:t>
      </w:r>
      <w:proofErr w:type="spellEnd"/>
      <w:r>
        <w:t xml:space="preserve"> die Mitteilung auch für die Richtlinie 83/189/EWG gilt.</w:t>
      </w:r>
    </w:p>
    <w:p>
      <w:pPr>
        <w:pStyle w:val="berschrift2"/>
      </w:pPr>
      <w:bookmarkStart w:id="21" w:name="_Toc519579479"/>
      <w:r>
        <w:lastRenderedPageBreak/>
        <w:t>Artikel 17</w:t>
      </w:r>
      <w:r>
        <w:br/>
        <w:t>Berichtspflicht</w:t>
      </w:r>
      <w:bookmarkEnd w:id="21"/>
    </w:p>
    <w:p>
      <w:pPr>
        <w:pStyle w:val="GesAbsatz"/>
      </w:pPr>
      <w:r>
        <w:t>(gestrichen)</w:t>
      </w:r>
    </w:p>
    <w:p>
      <w:pPr>
        <w:pStyle w:val="berschrift2"/>
      </w:pPr>
      <w:bookmarkStart w:id="22" w:name="_Toc519579480"/>
      <w:r>
        <w:t>Artikel 18</w:t>
      </w:r>
      <w:r>
        <w:br/>
        <w:t>Freiheit des Inverkehrbringens</w:t>
      </w:r>
      <w:bookmarkEnd w:id="22"/>
    </w:p>
    <w:p>
      <w:pPr>
        <w:pStyle w:val="GesAbsatz"/>
      </w:pPr>
      <w:r>
        <w:t>Die Mitgliedstaaten dürfen in ihrem Hoheitsgebiet das Inverkehrbringen von Verpackungen, die dieser Richtlinie entsprechen, nicht verbieten.</w:t>
      </w:r>
    </w:p>
    <w:p>
      <w:pPr>
        <w:pStyle w:val="berschrift2"/>
      </w:pPr>
      <w:bookmarkStart w:id="23" w:name="_Toc519579481"/>
      <w:r>
        <w:t>Artikel 19</w:t>
      </w:r>
      <w:r>
        <w:br/>
        <w:t>Anpassung an den wissenschaftlichen und technischen Fortschritt</w:t>
      </w:r>
      <w:bookmarkEnd w:id="23"/>
    </w:p>
    <w:p>
      <w:pPr>
        <w:pStyle w:val="GesAbsatz"/>
      </w:pPr>
      <w:r>
        <w:t>(1) Die Kommission erlässt die erforderlichen Durchführungsrechtsakte zur Anpassung des in Artikel 8 Absatz 2 und Artikel 10 Absatz 2 sechster Gedankenstrich genannten Kennzeichnungssystems an den wissenschaftlichen und technischen Fortschritt. Diese Durchführungsrechtsakte werden nach dem in Artikel 21 Absatz 2 genannten Prüfverfahren erlassen.</w:t>
      </w:r>
    </w:p>
    <w:p>
      <w:pPr>
        <w:pStyle w:val="GesAbsatz"/>
      </w:pPr>
      <w:r>
        <w:t xml:space="preserve">(2) Der Kommission wird die Befugnis übertragen, gemäß Artikel 21a delegierte Rechtsakte zur Änderung der in Anhang I aufgeführten Verpackungsbeispiele zu erlassen. </w:t>
      </w:r>
    </w:p>
    <w:p>
      <w:pPr>
        <w:pStyle w:val="berschrift2"/>
      </w:pPr>
      <w:bookmarkStart w:id="24" w:name="_Toc519579482"/>
      <w:r>
        <w:t>Artikel 20</w:t>
      </w:r>
      <w:r>
        <w:br/>
        <w:t>Spezifische Maßnahmen</w:t>
      </w:r>
      <w:bookmarkEnd w:id="24"/>
    </w:p>
    <w:p>
      <w:pPr>
        <w:pStyle w:val="GesAbsatz"/>
      </w:pPr>
      <w:r>
        <w:t>Der Kommission wird die Befugnis übertragen, gemäß Artikel 21a delegierte Rechtsakte zu erlassen, um diese Richtlinie zu ergänzen, wenn dies notwendig ist, um Probleme bei der Anwendung der Bestimmungen dieser Richtlinie, insbesondere in Bezug auf inerte Verpackungsmaterialien, die in der Union in sehr geringen Mengen (d. h. mit einem Anteil von rund 0,1 Gewichtsprozent) in den Verkehr gebracht werden, Primärverpackungen für medizinische Geräte und pharmazeutische Erzeugnisse sowie Klein- und Luxusverpackungen zu beseitigen.</w:t>
      </w:r>
    </w:p>
    <w:p>
      <w:pPr>
        <w:pStyle w:val="berschrift2"/>
      </w:pPr>
      <w:bookmarkStart w:id="25" w:name="_Toc519579483"/>
      <w:r>
        <w:t>Artikel 20a</w:t>
      </w:r>
      <w:r>
        <w:br/>
        <w:t>Berichterstattung über Kunststofftragetaschen</w:t>
      </w:r>
      <w:bookmarkEnd w:id="25"/>
    </w:p>
    <w:p>
      <w:pPr>
        <w:pStyle w:val="GesAbsatz"/>
      </w:pPr>
      <w:r>
        <w:t>(1) Die Kommission legt dem Europäischen Parlament und dem Rat bis zum 27. November 2021 einen Bericht vor, in dem die Wirksamkeit der in Artikel 4 Absatz 1a genannten Maßnahmen auf Unionsebene in Bezug auf die Bekämpfung der Vermüllung, die Änderung des Verbraucherverhaltens und die Förderung von Abfallvermeidung bewertet wird. Ergibt diese Bewertung, dass die erlassenen Maßnahmen nicht wirksam sind, so prüft die Kommission weitere Möglichkeiten, um eine Verringerung des Verbrauchs an leichten Kunststofftragetaschen zu erreichen, einschließlich der Festlegung von realistischen und erreichbaren Zielen auf Unionsebene, und legt gegebenenfalls einen Gesetzgebungsvorschlag vor.</w:t>
      </w:r>
    </w:p>
    <w:p>
      <w:pPr>
        <w:pStyle w:val="GesAbsatz"/>
      </w:pPr>
      <w:r>
        <w:t xml:space="preserve">(2) Die Kommission legt dem Europäischen Parlament und dem Rat bis zum 27. Mai 2017 einen Bericht vor, in dem die Umweltauswirkungen der Verwendung von </w:t>
      </w:r>
      <w:proofErr w:type="spellStart"/>
      <w:r>
        <w:t>oxo</w:t>
      </w:r>
      <w:proofErr w:type="spellEnd"/>
      <w:r>
        <w:t>-abbaubaren Kunststofftragetaschen untersucht werden, und legt gegebenenfalls einen Gesetzgebungsvorschlag vor.</w:t>
      </w:r>
    </w:p>
    <w:p>
      <w:pPr>
        <w:pStyle w:val="GesAbsatz"/>
      </w:pPr>
      <w:r>
        <w:t>(3) Die Kommission bewertet bis zum 27. Mai 2017 die Auswirkungen der verschiedenen Möglichkeiten, den Verbrauch an sehr leichten Kunststofftragetaschen zu verringern, während des gesamten Lebenszyklus und legt gegebenenfalls einen Gesetzgebungsvorschlag vor.</w:t>
      </w:r>
    </w:p>
    <w:p>
      <w:pPr>
        <w:pStyle w:val="berschrift2"/>
      </w:pPr>
      <w:bookmarkStart w:id="26" w:name="_Toc519579484"/>
      <w:r>
        <w:t>Artikel 21</w:t>
      </w:r>
      <w:r>
        <w:br/>
        <w:t>Ausschussverfahren</w:t>
      </w:r>
      <w:bookmarkEnd w:id="26"/>
    </w:p>
    <w:p>
      <w:pPr>
        <w:pStyle w:val="GesAbsatz"/>
      </w:pPr>
      <w:r>
        <w:t>(1) Die Kommission wird von dem Ausschuss, der durch Artikel 39 der Richtlinie 2008/98/EG eingesetzt wurde, unterstützt. Dieser Ausschuss ist ein Ausschuss im Sinne der Verordnung (EU) Nr. 182/2011 des Europäischen Parlaments und des Rates</w:t>
      </w:r>
      <w:r>
        <w:rPr>
          <w:rStyle w:val="Funotenzeichen"/>
        </w:rPr>
        <w:footnoteReference w:customMarkFollows="1" w:id="14"/>
        <w:t>14</w:t>
      </w:r>
      <w:r>
        <w:t>.</w:t>
      </w:r>
    </w:p>
    <w:p>
      <w:pPr>
        <w:pStyle w:val="GesAbsatz"/>
      </w:pPr>
      <w:r>
        <w:t>(2) Wird auf diesen Absatz Bezug genommen, so gilt Artikel 5 der Verordnung (EU) Nr. 182/2011.</w:t>
      </w:r>
    </w:p>
    <w:p>
      <w:pPr>
        <w:pStyle w:val="GesAbsatz"/>
      </w:pPr>
      <w:r>
        <w:lastRenderedPageBreak/>
        <w:t>Gibt der Ausschuss keine Stellungnahme ab, so erlässt die Kommission den Durchführungsrechtsakt nicht, und Artikel 5 Absatz 4 Unterabsatz 3 der Verordnung (EU) Nr. 182/2011 findet Anwendung.</w:t>
      </w:r>
    </w:p>
    <w:p>
      <w:pPr>
        <w:pStyle w:val="berschrift2"/>
      </w:pPr>
      <w:bookmarkStart w:id="27" w:name="_Toc519579485"/>
      <w:r>
        <w:t>Artikel 21a</w:t>
      </w:r>
      <w:r>
        <w:br/>
        <w:t>Ausübung der Befugnisübertragung</w:t>
      </w:r>
      <w:bookmarkEnd w:id="27"/>
    </w:p>
    <w:p>
      <w:pPr>
        <w:pStyle w:val="GesAbsatz"/>
      </w:pPr>
      <w:r>
        <w:t>(1) Die Befugnis zum Erlass delegierter Rechtsakte wird der Kommission unter den in diesem Artikel festgelegten Bedingungen übertragen.</w:t>
      </w:r>
    </w:p>
    <w:p>
      <w:pPr>
        <w:pStyle w:val="GesAbsatz"/>
      </w:pPr>
      <w:r>
        <w:t>(2) Die Befugnis zum Erlass delegierter Rechtsakte gemäß Artikel 11 Absatz 3, Artikel 19 Absatz 2 und Artikel 20 wird der Kommission für einen Zeitraum von fünf Jahren ab dem 4. Juli 2018 übertragen. Die Kommission erstellt spätestens neun Monate vor Ablauf des Zeitraums von fünf Jahren einen Bericht über die Befugnisübertragung. Die Befugnisübertragung verlängert sich stillschweigend um Zeiträume gleicher Länge, es sei denn, das Europäische Parlament oder der Rat widersprechen einer solchen Verlängerung spätestens drei Monate vor Ablauf des jeweiligen Zeitraums.</w:t>
      </w:r>
    </w:p>
    <w:p>
      <w:pPr>
        <w:pStyle w:val="GesAbsatz"/>
      </w:pPr>
      <w:r>
        <w:t>(3) Die Befugnisübertragung gemäß Artikel 11 Absatz 3, Artikel 19 Absatz 2 und Artikel 20 kann vom Europäischen Parlament oder vom Rat jederzeit widerrufen werden. Der Beschluss über den Widerruf beendet die Übertragung der in diesem Beschluss angegebenen Befugnis. Er wird am Tag nach seiner Veröffentlichung im Amtsblatt der Europäischen Union oder zu einem im Beschluss über den Widerruf angegebenen späteren Zeitpunkt wirksam. Die Gültigkeit von delegierten Rechtsakten, die bereits in Kraft sind, wird von dem Beschluss über den Widerruf nicht berührt.</w:t>
      </w:r>
    </w:p>
    <w:p>
      <w:pPr>
        <w:pStyle w:val="GesAbsatz"/>
      </w:pPr>
      <w:r>
        <w:t>(4) Vor dem Erlass eines delegierten Rechtsakts konsultiert die Kommission die von den einzelnen Mitgliedstaaten benannten Sachverständigen im Einklang mit den in der Interinstitutionellen Vereinbarung vom 13. April 2016 über bessere Rechtsetzung</w:t>
      </w:r>
      <w:r>
        <w:rPr>
          <w:rStyle w:val="Funotenzeichen"/>
        </w:rPr>
        <w:footnoteReference w:customMarkFollows="1" w:id="15"/>
        <w:t>15</w:t>
      </w:r>
      <w:r>
        <w:t xml:space="preserve"> enthaltenen Grundsätzen.</w:t>
      </w:r>
    </w:p>
    <w:p>
      <w:pPr>
        <w:pStyle w:val="GesAbsatz"/>
      </w:pPr>
      <w:r>
        <w:t>(5) Sobald die Kommission einen delegierten Rechtsakt erlässt, übermittelt sie ihn gleichzeitig dem Europäischen Parlament und dem Rat.</w:t>
      </w:r>
    </w:p>
    <w:p>
      <w:pPr>
        <w:pStyle w:val="GesAbsatz"/>
      </w:pPr>
      <w:r>
        <w:t>(6) Ein delegierter Rechtsakt, der gemäß Artikel 11 Absatz 3, Artikel 19 Absatz 2 oder Artikel 20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p>
    <w:p>
      <w:pPr>
        <w:pStyle w:val="berschrift2"/>
      </w:pPr>
      <w:bookmarkStart w:id="28" w:name="_Toc519579486"/>
      <w:r>
        <w:t>Artikel 22</w:t>
      </w:r>
      <w:r>
        <w:br/>
        <w:t>Umsetzung</w:t>
      </w:r>
      <w:bookmarkEnd w:id="28"/>
    </w:p>
    <w:p>
      <w:pPr>
        <w:pStyle w:val="GesAbsatz"/>
      </w:pPr>
      <w:r>
        <w:t>(1) Die Mitgliedstaaten erlassen die erforderlichen Rechts- und Verwaltungsvorschriften, um dieser Richtlinie spätestens ab 30. Juni 1996 nachzukommen. Sie setzen die Kommission unverzüglich davon in Kenntnis.</w:t>
      </w:r>
    </w:p>
    <w:p>
      <w:pPr>
        <w:pStyle w:val="GesAbsatz"/>
      </w:pPr>
      <w:r>
        <w:t>(2) Wenn die Mitgliedstaaten Vorschriften nach Absatz 1 erlassen, nehmen sie in den Vorschriften selbst oder durch einen Hinweis bei der amtlichen Veröffentlichung auf diese Richtlinie Bezug. Die Mitgliedstaaten regeln die Einzelheiten der Bezugnahme.</w:t>
      </w:r>
    </w:p>
    <w:p>
      <w:pPr>
        <w:pStyle w:val="GesAbsatz"/>
      </w:pPr>
      <w:r>
        <w:t>(3) Darüber hinaus teilen die Mitgliedstaaten der Kommission alle geltenden Rechts- und Verwaltungsvorschriften mit, die im Anwendungsbereich dieser Richtlinie bestehen.</w:t>
      </w:r>
    </w:p>
    <w:p>
      <w:pPr>
        <w:pStyle w:val="GesAbsatz"/>
        <w:rPr>
          <w:color w:val="auto"/>
        </w:rPr>
      </w:pPr>
      <w:r>
        <w:rPr>
          <w:i/>
          <w:color w:val="auto"/>
        </w:rPr>
        <w:t>3 bis.</w:t>
      </w:r>
      <w:r>
        <w:rPr>
          <w:color w:val="auto"/>
        </w:rPr>
        <w:t xml:space="preserve"> Sofern die mit Artikel 6 angestrebten Ziele erreicht werden, können die Mitgliedstaaten Artikel 7 durch Vereinbarungen zwischen den zuständigen Behörden und den betroffenen Wirtschaftszweigen umsetzen.</w:t>
      </w:r>
    </w:p>
    <w:p>
      <w:pPr>
        <w:pStyle w:val="GesAbsatz"/>
        <w:rPr>
          <w:color w:val="auto"/>
        </w:rPr>
      </w:pPr>
      <w:r>
        <w:rPr>
          <w:color w:val="auto"/>
        </w:rPr>
        <w:t>Diese Vereinbarungen müssen den folgenden Anforderungen entsprechen:</w:t>
      </w:r>
    </w:p>
    <w:p>
      <w:pPr>
        <w:pStyle w:val="GesAbsatz"/>
        <w:rPr>
          <w:color w:val="auto"/>
        </w:rPr>
      </w:pPr>
      <w:r>
        <w:rPr>
          <w:color w:val="auto"/>
        </w:rPr>
        <w:t>a)</w:t>
      </w:r>
      <w:r>
        <w:rPr>
          <w:color w:val="auto"/>
        </w:rPr>
        <w:tab/>
        <w:t>Die Vereinbarungen müssen durchsetzbar sein;</w:t>
      </w:r>
    </w:p>
    <w:p>
      <w:pPr>
        <w:pStyle w:val="GesAbsatz"/>
        <w:ind w:left="426" w:hanging="426"/>
        <w:rPr>
          <w:color w:val="auto"/>
        </w:rPr>
      </w:pPr>
      <w:r>
        <w:rPr>
          <w:color w:val="auto"/>
        </w:rPr>
        <w:t>b)</w:t>
      </w:r>
      <w:r>
        <w:rPr>
          <w:color w:val="auto"/>
        </w:rPr>
        <w:tab/>
        <w:t>in den Vereinbarungen müssen Ziele und die entsprechenden Fristen für ihre Verwirklichung benannt werden;</w:t>
      </w:r>
    </w:p>
    <w:p>
      <w:pPr>
        <w:pStyle w:val="GesAbsatz"/>
        <w:ind w:left="426" w:hanging="426"/>
        <w:rPr>
          <w:color w:val="auto"/>
        </w:rPr>
      </w:pPr>
      <w:r>
        <w:rPr>
          <w:color w:val="auto"/>
        </w:rPr>
        <w:t>c)</w:t>
      </w:r>
      <w:r>
        <w:rPr>
          <w:color w:val="auto"/>
        </w:rPr>
        <w:tab/>
        <w:t>die Vereinbarungen müssen im Veröffentlichungsblatt des betreffenden Mitgliedstaats oder in einer der Öffentlichkeit gleichermaßen zugänglichen offiziellen Quelle veröffentlicht und der Kommission übermittelt werden;</w:t>
      </w:r>
    </w:p>
    <w:p>
      <w:pPr>
        <w:pStyle w:val="GesAbsatz"/>
        <w:ind w:left="426" w:hanging="426"/>
        <w:rPr>
          <w:color w:val="auto"/>
        </w:rPr>
      </w:pPr>
      <w:r>
        <w:rPr>
          <w:color w:val="auto"/>
        </w:rPr>
        <w:t>d)</w:t>
      </w:r>
      <w:r>
        <w:rPr>
          <w:color w:val="auto"/>
        </w:rPr>
        <w:tab/>
        <w:t>die erzielten Ergebnisse sind regelmäßig zu überwachen, den zuständigen Behörden und der Kommission mitzuteilen und der Öffentlichkeit unter den in der Vereinbarung festgelegten Bedingungen zugänglich zu machen;</w:t>
      </w:r>
    </w:p>
    <w:p>
      <w:pPr>
        <w:pStyle w:val="GesAbsatz"/>
        <w:ind w:left="426" w:hanging="426"/>
        <w:rPr>
          <w:color w:val="auto"/>
        </w:rPr>
      </w:pPr>
      <w:r>
        <w:rPr>
          <w:color w:val="auto"/>
        </w:rPr>
        <w:lastRenderedPageBreak/>
        <w:t>e)</w:t>
      </w:r>
      <w:r>
        <w:rPr>
          <w:color w:val="auto"/>
        </w:rPr>
        <w:tab/>
        <w:t>die zuständigen Behörden sorgen für die Überprüfung der im Rahmen der Vereinbarung erzielten Fortschritte;</w:t>
      </w:r>
    </w:p>
    <w:p>
      <w:pPr>
        <w:pStyle w:val="GesAbsatz"/>
        <w:ind w:left="426" w:hanging="426"/>
      </w:pPr>
      <w:r>
        <w:t>f)</w:t>
      </w:r>
      <w:r>
        <w:tab/>
        <w:t xml:space="preserve">im Falle der Nichterfüllung der Vereinbarung setzen die Mitgliedstaaten die entsprechenden Bestimmungen dieser Richtlinie durch den Erlass </w:t>
      </w:r>
      <w:proofErr w:type="spellStart"/>
      <w:r>
        <w:t>von Rechts</w:t>
      </w:r>
      <w:proofErr w:type="spellEnd"/>
      <w:r>
        <w:t>- oder Verwaltungsvorschriften um.</w:t>
      </w:r>
    </w:p>
    <w:p>
      <w:pPr>
        <w:pStyle w:val="GesAbsatz"/>
      </w:pPr>
      <w:r>
        <w:t>(3a) Sofern die mit den Artikeln 4 und 6 angestrebten Ziele erreicht werden, können die Mitgliedstaaten Artikel 4 Absatz 1a und Artikel 7 durch Vereinbarungen zwischen den zuständigen Behörden und den betroffenen Wirtschaftszweigen umsetzen.</w:t>
      </w:r>
    </w:p>
    <w:p>
      <w:pPr>
        <w:pStyle w:val="GesAbsatz"/>
      </w:pPr>
      <w:r>
        <w:t>(4) Die Vorschriften für die Herstellung von Verpackungen gelten in keinem Fall für Verpackungen, die vor dem Zeitpunkt des Inkrafttretens dieser Richtlinie für ein Erzeugnis verwendet wurden.</w:t>
      </w:r>
    </w:p>
    <w:p>
      <w:pPr>
        <w:pStyle w:val="GesAbsatz"/>
      </w:pPr>
      <w:r>
        <w:t>(5) Die Mitgliedstaaten erlauben das Inverkehrbringen von Verpackungen, die vor dem Zeitpunkt des Inkrafttretens dieser Richtlinie hergestellt wurden und den geltenden einzelstaatlichen Rechtsvorschriften entsprechen, während eines Zeitraums von höchstens fünf Jahren ab diesem Zeitpunkt.</w:t>
      </w:r>
    </w:p>
    <w:p>
      <w:pPr>
        <w:pStyle w:val="berschrift2"/>
      </w:pPr>
      <w:bookmarkStart w:id="29" w:name="_Toc519579487"/>
      <w:r>
        <w:t>Artikel 23</w:t>
      </w:r>
      <w:bookmarkEnd w:id="29"/>
    </w:p>
    <w:p>
      <w:pPr>
        <w:pStyle w:val="GesAbsatz"/>
      </w:pPr>
      <w:r>
        <w:t>Die Richtlinie 85/389/EWG wird mit Wirkung von dem in Artikel 22 Absatz 1 genannten Zeitpunkt aufgehoben.</w:t>
      </w:r>
    </w:p>
    <w:p>
      <w:pPr>
        <w:pStyle w:val="berschrift2"/>
      </w:pPr>
      <w:bookmarkStart w:id="30" w:name="_Toc519579488"/>
      <w:r>
        <w:t>Artikel 24</w:t>
      </w:r>
      <w:bookmarkEnd w:id="30"/>
    </w:p>
    <w:p>
      <w:pPr>
        <w:pStyle w:val="GesAbsatz"/>
      </w:pPr>
      <w:r>
        <w:t>Diese Richtlinie tritt am Tag ihrer Veröffentlichung im Amtsblatt der Europäischen Gemeinschaften in Kraft.</w:t>
      </w:r>
    </w:p>
    <w:p>
      <w:pPr>
        <w:pStyle w:val="berschrift2"/>
      </w:pPr>
      <w:bookmarkStart w:id="31" w:name="_Toc519579489"/>
      <w:r>
        <w:t>Artikel 25</w:t>
      </w:r>
      <w:bookmarkEnd w:id="31"/>
    </w:p>
    <w:p>
      <w:pPr>
        <w:pStyle w:val="GesAbsatz"/>
      </w:pPr>
      <w:r>
        <w:t>Diese Richtlinie ist an die Mitgliedstaaten gerichtet.</w:t>
      </w:r>
    </w:p>
    <w:p>
      <w:pPr>
        <w:pStyle w:val="berschrift2"/>
        <w:jc w:val="left"/>
      </w:pPr>
      <w:r>
        <w:br w:type="page"/>
      </w:r>
      <w:bookmarkStart w:id="32" w:name="_Toc519579490"/>
      <w:r>
        <w:lastRenderedPageBreak/>
        <w:t>Anhang I</w:t>
      </w:r>
      <w:bookmarkEnd w:id="32"/>
    </w:p>
    <w:p>
      <w:pPr>
        <w:pStyle w:val="GesAbsatz"/>
        <w:jc w:val="center"/>
        <w:rPr>
          <w:b/>
        </w:rPr>
      </w:pPr>
      <w:r>
        <w:rPr>
          <w:b/>
          <w:bCs/>
        </w:rPr>
        <w:t>BEISPIELE FÜR DIE IN ARTIKEL 3 NUMMER 1 GENANNTEN KRITERIEN</w:t>
      </w:r>
    </w:p>
    <w:p>
      <w:pPr>
        <w:pStyle w:val="GesAbsatz"/>
        <w:jc w:val="left"/>
        <w:rPr>
          <w:b/>
        </w:rPr>
      </w:pPr>
      <w:r>
        <w:rPr>
          <w:b/>
          <w:bCs/>
        </w:rPr>
        <w:t>Beispiele für Kriterium i)</w:t>
      </w:r>
    </w:p>
    <w:p>
      <w:pPr>
        <w:pStyle w:val="GesAbsatz"/>
        <w:jc w:val="left"/>
      </w:pPr>
      <w:r>
        <w:rPr>
          <w:i/>
          <w:iCs/>
        </w:rPr>
        <w:t>Gegenstände, die als Verpackung gelten</w:t>
      </w:r>
    </w:p>
    <w:p>
      <w:pPr>
        <w:pStyle w:val="GesAbsatz"/>
        <w:jc w:val="left"/>
      </w:pPr>
      <w:r>
        <w:t>Schachteln für Süßigkeiten</w:t>
      </w:r>
    </w:p>
    <w:p>
      <w:pPr>
        <w:pStyle w:val="GesAbsatz"/>
        <w:jc w:val="left"/>
      </w:pPr>
      <w:r>
        <w:t>Klarsichtfolie um CD-Hüllen</w:t>
      </w:r>
    </w:p>
    <w:p>
      <w:pPr>
        <w:pStyle w:val="GesAbsatz"/>
        <w:jc w:val="left"/>
      </w:pPr>
      <w:r>
        <w:t>Versandhüllen für Kataloge und Magazine (mit Inhalt)</w:t>
      </w:r>
    </w:p>
    <w:p>
      <w:pPr>
        <w:pStyle w:val="GesAbsatz"/>
        <w:jc w:val="left"/>
      </w:pPr>
      <w:r>
        <w:t>Backförmchen für kleineres Backwerk, die mit dem Backwerk verkauft werden</w:t>
      </w:r>
    </w:p>
    <w:p>
      <w:pPr>
        <w:pStyle w:val="GesAbsatz"/>
        <w:jc w:val="left"/>
      </w:pPr>
      <w:r>
        <w:t>Rollen, Röhren und Zylinder, um die flexibles Material aufgespult ist (z.B. Kunststofffolie, Aluminium, Papier), ausgenommen Rollen, Röhren und Zylinder, die Teile einer Produktionsanlage sind und nicht zur Aufmachung eines Produkts als Verkaufseinheit verwendet werden</w:t>
      </w:r>
    </w:p>
    <w:p>
      <w:pPr>
        <w:pStyle w:val="GesAbsatz"/>
        <w:jc w:val="left"/>
      </w:pPr>
      <w:r>
        <w:t>Blumentöpfe, die nur für den Verkauf und den Transport von Pflanzen bestimmt sind und in denen die Pflanze nicht während ihrer Lebenszeit verbleiben soll</w:t>
      </w:r>
    </w:p>
    <w:p>
      <w:pPr>
        <w:pStyle w:val="GesAbsatz"/>
        <w:jc w:val="left"/>
      </w:pPr>
      <w:r>
        <w:t>Glasflaschen für Injektionslösungen</w:t>
      </w:r>
    </w:p>
    <w:p>
      <w:pPr>
        <w:pStyle w:val="GesAbsatz"/>
        <w:jc w:val="left"/>
      </w:pPr>
      <w:r>
        <w:t>CD-Spindeln (die mit CDs verkauft werden und nicht zur Lagerung verwendet werden sollen)</w:t>
      </w:r>
    </w:p>
    <w:p>
      <w:pPr>
        <w:pStyle w:val="GesAbsatz"/>
        <w:jc w:val="left"/>
      </w:pPr>
      <w:r>
        <w:t>Kleiderbügel (die mit einem Kleidungsstück verkauft werden)</w:t>
      </w:r>
    </w:p>
    <w:p>
      <w:pPr>
        <w:pStyle w:val="GesAbsatz"/>
        <w:jc w:val="left"/>
      </w:pPr>
      <w:r>
        <w:t>Streichholzschachteln</w:t>
      </w:r>
    </w:p>
    <w:p>
      <w:pPr>
        <w:pStyle w:val="GesAbsatz"/>
        <w:jc w:val="left"/>
      </w:pPr>
      <w:r>
        <w:t>Sterilbarrieresysteme (Beutel, Trays und Materialien, die zur Erhaltung der Sterilität des Produkts erforderlich sind)</w:t>
      </w:r>
    </w:p>
    <w:p>
      <w:pPr>
        <w:pStyle w:val="GesAbsatz"/>
        <w:jc w:val="left"/>
      </w:pPr>
      <w:r>
        <w:t>Getränkesystemkapseln (z.B. Kaffee, Kakao, Milch), die nach Gebrauch leer sind</w:t>
      </w:r>
    </w:p>
    <w:p>
      <w:pPr>
        <w:pStyle w:val="GesAbsatz"/>
        <w:jc w:val="left"/>
      </w:pPr>
      <w:r>
        <w:t>Wiederbefüllbare Stahlflaschen für verschiedene Arten von Gasen, ausgenommen Feuerlöscher</w:t>
      </w:r>
    </w:p>
    <w:p>
      <w:pPr>
        <w:pStyle w:val="GesAbsatz"/>
        <w:jc w:val="left"/>
      </w:pPr>
      <w:r>
        <w:rPr>
          <w:i/>
          <w:iCs/>
        </w:rPr>
        <w:t>Gegenstände, die nicht als Verpackung gelten</w:t>
      </w:r>
    </w:p>
    <w:p>
      <w:pPr>
        <w:pStyle w:val="GesAbsatz"/>
        <w:jc w:val="left"/>
      </w:pPr>
      <w:r>
        <w:t>Blumentöpfe, in denen die Pflanze während ihrer Lebenszeit verbleibt</w:t>
      </w:r>
    </w:p>
    <w:p>
      <w:pPr>
        <w:pStyle w:val="GesAbsatz"/>
        <w:jc w:val="left"/>
      </w:pPr>
      <w:r>
        <w:t>Werkzeugkästen</w:t>
      </w:r>
    </w:p>
    <w:p>
      <w:pPr>
        <w:pStyle w:val="GesAbsatz"/>
        <w:jc w:val="left"/>
      </w:pPr>
      <w:r>
        <w:t>Teebeutel</w:t>
      </w:r>
    </w:p>
    <w:p>
      <w:pPr>
        <w:pStyle w:val="GesAbsatz"/>
        <w:jc w:val="left"/>
      </w:pPr>
      <w:r>
        <w:t>Wachsschichten um Käse</w:t>
      </w:r>
    </w:p>
    <w:p>
      <w:pPr>
        <w:pStyle w:val="GesAbsatz"/>
        <w:jc w:val="left"/>
      </w:pPr>
      <w:r>
        <w:t>Wursthäute</w:t>
      </w:r>
    </w:p>
    <w:p>
      <w:pPr>
        <w:pStyle w:val="GesAbsatz"/>
        <w:jc w:val="left"/>
      </w:pPr>
      <w:r>
        <w:t>Kleiderbügel (die getrennt verkauft werden)</w:t>
      </w:r>
    </w:p>
    <w:p>
      <w:pPr>
        <w:pStyle w:val="GesAbsatz"/>
        <w:jc w:val="left"/>
      </w:pPr>
      <w:r>
        <w:t>Getränkesystemkapseln, Kaffee-Folienbeutel und Kaffeepads aus Filterpapier, die zusammen mit dem verwendeten Kaffeeprodukt entsorgt werden</w:t>
      </w:r>
    </w:p>
    <w:p>
      <w:pPr>
        <w:pStyle w:val="GesAbsatz"/>
        <w:jc w:val="left"/>
      </w:pPr>
      <w:r>
        <w:t>Tonerkartuschen</w:t>
      </w:r>
    </w:p>
    <w:p>
      <w:pPr>
        <w:pStyle w:val="GesAbsatz"/>
        <w:jc w:val="left"/>
      </w:pPr>
      <w:r>
        <w:t>CD-, DVD- und Videohüllen (die zusammen mit einer CD, DVD oder einem Video verkauft werden)</w:t>
      </w:r>
    </w:p>
    <w:p>
      <w:pPr>
        <w:pStyle w:val="GesAbsatz"/>
        <w:jc w:val="left"/>
      </w:pPr>
      <w:r>
        <w:t>CD-Spindeln (die leer verkauft werden und zur Lagerung verwendet werden sollen)</w:t>
      </w:r>
    </w:p>
    <w:p>
      <w:pPr>
        <w:pStyle w:val="GesAbsatz"/>
        <w:jc w:val="left"/>
      </w:pPr>
      <w:r>
        <w:t>Beutel aus wasserlöslicher Folie für Geschirrspülmittel</w:t>
      </w:r>
    </w:p>
    <w:p>
      <w:pPr>
        <w:pStyle w:val="GesAbsatz"/>
        <w:jc w:val="left"/>
      </w:pPr>
      <w:r>
        <w:t>Grablichter (Behälter für Kerzen)</w:t>
      </w:r>
    </w:p>
    <w:p>
      <w:pPr>
        <w:pStyle w:val="GesAbsatz"/>
        <w:jc w:val="left"/>
      </w:pPr>
      <w:r>
        <w:t>Mechanisches Mahlwerk (integriert in einem wiederbefüllbaren Behältnis, z.B. wiederbefüllbare Pfeffermühle)</w:t>
      </w:r>
    </w:p>
    <w:p>
      <w:pPr>
        <w:pStyle w:val="GesAbsatz"/>
        <w:jc w:val="left"/>
        <w:rPr>
          <w:b/>
        </w:rPr>
      </w:pPr>
      <w:r>
        <w:rPr>
          <w:b/>
          <w:bCs/>
        </w:rPr>
        <w:t>Beispiele für Kriterium ii)</w:t>
      </w:r>
    </w:p>
    <w:p>
      <w:pPr>
        <w:pStyle w:val="GesAbsatz"/>
        <w:jc w:val="left"/>
      </w:pPr>
      <w:r>
        <w:rPr>
          <w:i/>
          <w:iCs/>
        </w:rPr>
        <w:t>Gegenstände, die als Verpackung gelten, wenn sie dafür konzipiert und bestimmt sind, in der Verkaufsstelle gefüllt zu werden</w:t>
      </w:r>
    </w:p>
    <w:p>
      <w:pPr>
        <w:pStyle w:val="GesAbsatz"/>
        <w:jc w:val="left"/>
      </w:pPr>
      <w:r>
        <w:t>Tragetaschen aus Papier oder Kunststoff</w:t>
      </w:r>
    </w:p>
    <w:p>
      <w:pPr>
        <w:pStyle w:val="GesAbsatz"/>
        <w:jc w:val="left"/>
      </w:pPr>
      <w:r>
        <w:t>Einwegteller und -tassen</w:t>
      </w:r>
    </w:p>
    <w:p>
      <w:pPr>
        <w:pStyle w:val="GesAbsatz"/>
        <w:jc w:val="left"/>
      </w:pPr>
      <w:r>
        <w:t>Frischhaltefolie</w:t>
      </w:r>
    </w:p>
    <w:p>
      <w:pPr>
        <w:pStyle w:val="GesAbsatz"/>
        <w:jc w:val="left"/>
      </w:pPr>
      <w:r>
        <w:t>Frühstücksbeutel</w:t>
      </w:r>
    </w:p>
    <w:p>
      <w:pPr>
        <w:pStyle w:val="GesAbsatz"/>
        <w:jc w:val="left"/>
      </w:pPr>
      <w:r>
        <w:t>Aluminiumfolie</w:t>
      </w:r>
    </w:p>
    <w:p>
      <w:pPr>
        <w:pStyle w:val="GesAbsatz"/>
        <w:jc w:val="left"/>
      </w:pPr>
      <w:r>
        <w:t>Kunststofffolie für gereinigte Kleidung in Wäschereien</w:t>
      </w:r>
    </w:p>
    <w:p>
      <w:pPr>
        <w:pStyle w:val="GesAbsatz"/>
        <w:jc w:val="left"/>
      </w:pPr>
      <w:r>
        <w:rPr>
          <w:i/>
          <w:iCs/>
        </w:rPr>
        <w:lastRenderedPageBreak/>
        <w:t>Gegenstände, die nicht als Verpackung gelten</w:t>
      </w:r>
    </w:p>
    <w:p>
      <w:pPr>
        <w:pStyle w:val="GesAbsatz"/>
        <w:jc w:val="left"/>
      </w:pPr>
      <w:r>
        <w:t>Rührgerät</w:t>
      </w:r>
    </w:p>
    <w:p>
      <w:pPr>
        <w:pStyle w:val="GesAbsatz"/>
        <w:jc w:val="left"/>
      </w:pPr>
      <w:r>
        <w:t>Einwegbestecke</w:t>
      </w:r>
    </w:p>
    <w:p>
      <w:pPr>
        <w:pStyle w:val="GesAbsatz"/>
        <w:jc w:val="left"/>
      </w:pPr>
      <w:r>
        <w:t>Einpack- und Geschenkpapier (das getrennt verkauft wird)</w:t>
      </w:r>
    </w:p>
    <w:p>
      <w:pPr>
        <w:pStyle w:val="GesAbsatz"/>
        <w:jc w:val="left"/>
      </w:pPr>
      <w:r>
        <w:t>Papierbackformen für größeres Backwerk (die leer verkauft werden)</w:t>
      </w:r>
    </w:p>
    <w:p>
      <w:pPr>
        <w:pStyle w:val="GesAbsatz"/>
        <w:jc w:val="left"/>
      </w:pPr>
      <w:r>
        <w:t>Backförmchen für kleineres Backwerk, die ohne Backwerk verkauft werden</w:t>
      </w:r>
    </w:p>
    <w:p>
      <w:pPr>
        <w:pStyle w:val="GesAbsatz"/>
        <w:jc w:val="left"/>
        <w:rPr>
          <w:b/>
        </w:rPr>
      </w:pPr>
      <w:r>
        <w:rPr>
          <w:b/>
          <w:bCs/>
        </w:rPr>
        <w:t>Beispiele für Kriterium iii)</w:t>
      </w:r>
    </w:p>
    <w:p>
      <w:pPr>
        <w:pStyle w:val="GesAbsatz"/>
        <w:jc w:val="left"/>
      </w:pPr>
      <w:r>
        <w:rPr>
          <w:i/>
          <w:iCs/>
        </w:rPr>
        <w:t>Gegenstände, die als Verpackung gelten</w:t>
      </w:r>
    </w:p>
    <w:p>
      <w:pPr>
        <w:pStyle w:val="GesAbsatz"/>
        <w:jc w:val="left"/>
      </w:pPr>
      <w:r>
        <w:t>Etiketten, die unmittelbar am Produkt hängen oder befestigt sind</w:t>
      </w:r>
    </w:p>
    <w:p>
      <w:pPr>
        <w:pStyle w:val="GesAbsatz"/>
        <w:jc w:val="left"/>
      </w:pPr>
      <w:r>
        <w:rPr>
          <w:i/>
          <w:iCs/>
        </w:rPr>
        <w:t>Gegenstände, die als Teil der Verpackung gelten</w:t>
      </w:r>
    </w:p>
    <w:p>
      <w:pPr>
        <w:pStyle w:val="GesAbsatz"/>
        <w:jc w:val="left"/>
      </w:pPr>
      <w:r>
        <w:t>Wimperntuschebürste als Bestandteil des Packungsverschlusses</w:t>
      </w:r>
    </w:p>
    <w:p>
      <w:pPr>
        <w:pStyle w:val="GesAbsatz"/>
        <w:jc w:val="left"/>
      </w:pPr>
      <w:r>
        <w:t>Aufkleber, die an einem anderen Verpackungsobjekt befestigt sind</w:t>
      </w:r>
    </w:p>
    <w:p>
      <w:pPr>
        <w:pStyle w:val="GesAbsatz"/>
        <w:jc w:val="left"/>
      </w:pPr>
      <w:r>
        <w:t>Heftklammern</w:t>
      </w:r>
    </w:p>
    <w:p>
      <w:pPr>
        <w:pStyle w:val="GesAbsatz"/>
        <w:jc w:val="left"/>
      </w:pPr>
      <w:r>
        <w:t>Kunststoffumhüllung</w:t>
      </w:r>
    </w:p>
    <w:p>
      <w:pPr>
        <w:pStyle w:val="GesAbsatz"/>
        <w:jc w:val="left"/>
      </w:pPr>
      <w:r>
        <w:t>Dosierhilfe als Bestandteil des Verpackungsverschlusses von Waschmitteln</w:t>
      </w:r>
    </w:p>
    <w:p>
      <w:pPr>
        <w:pStyle w:val="GesAbsatz"/>
        <w:jc w:val="left"/>
      </w:pPr>
      <w:r>
        <w:t>Mechanisches Mahlwerk (integriert in einem nicht wiederbefüllbaren Behältnis, z.B. mit Pfeffer gefüllte Pfeffermühle)</w:t>
      </w:r>
    </w:p>
    <w:p>
      <w:pPr>
        <w:pStyle w:val="GesAbsatz"/>
        <w:jc w:val="left"/>
      </w:pPr>
      <w:r>
        <w:rPr>
          <w:i/>
          <w:iCs/>
        </w:rPr>
        <w:t>Gegenstände, die nicht als Verpackung gelten</w:t>
      </w:r>
    </w:p>
    <w:p>
      <w:pPr>
        <w:pStyle w:val="GesAbsatz"/>
        <w:jc w:val="left"/>
      </w:pPr>
      <w:r>
        <w:t>RFID-Tags für die Funkfrequenzkennzeichnung</w:t>
      </w:r>
    </w:p>
    <w:p>
      <w:pPr>
        <w:pStyle w:val="berschrift2"/>
        <w:jc w:val="left"/>
      </w:pPr>
      <w:bookmarkStart w:id="33" w:name="_Toc519579491"/>
      <w:r>
        <w:t>Anhang II</w:t>
      </w:r>
      <w:bookmarkEnd w:id="33"/>
    </w:p>
    <w:p>
      <w:pPr>
        <w:pStyle w:val="GesAbsatz"/>
        <w:jc w:val="center"/>
        <w:rPr>
          <w:b/>
        </w:rPr>
      </w:pPr>
      <w:r>
        <w:rPr>
          <w:b/>
        </w:rPr>
        <w:t>Grundlegende Anforderungen an die Zusammensetzung, die Wiederverwendbarkeit und Verwertbarkeit, einschließlich stofflicher Verwertbarkeit, von Verpackungen</w:t>
      </w:r>
    </w:p>
    <w:p>
      <w:pPr>
        <w:pStyle w:val="GesAbsatz"/>
        <w:rPr>
          <w:b/>
        </w:rPr>
      </w:pPr>
      <w:r>
        <w:rPr>
          <w:b/>
        </w:rPr>
        <w:t>1. Anforderungen an die Herstellung und Zusammensetzung von Verpackungen</w:t>
      </w:r>
    </w:p>
    <w:p>
      <w:pPr>
        <w:pStyle w:val="GesAbsatz"/>
        <w:ind w:left="426" w:hanging="426"/>
      </w:pPr>
      <w:r>
        <w:t>-</w:t>
      </w:r>
      <w:r>
        <w:tab/>
        <w:t xml:space="preserve">Verpackungen sind so herzustellen, </w:t>
      </w:r>
      <w:proofErr w:type="spellStart"/>
      <w:r>
        <w:t>daß</w:t>
      </w:r>
      <w:proofErr w:type="spellEnd"/>
      <w:r>
        <w:t xml:space="preserve"> das Verpackungsvolumen und -gewicht auf das Mindestmaß begrenzt werden, das zur Erhaltung der erforderlichen Sicherheit und Hygiene des verpackten Produkts und zu dessen Akzeptanz für den Verbraucher angemessen ist.</w:t>
      </w:r>
    </w:p>
    <w:p>
      <w:pPr>
        <w:pStyle w:val="GesAbsatz"/>
        <w:ind w:left="426" w:hanging="426"/>
      </w:pPr>
      <w:r>
        <w:t>-</w:t>
      </w:r>
      <w:r>
        <w:tab/>
        <w:t>Verpackungen sind so auszulegen, zu fertigen und zu vertreiben, dass ihre Wiederverwendung oder -verwertung, einschließlich des Recyclings, im Einklang mit der Abfallhierarchie möglich ist und ihre Umweltauswirkungen bei der Beseitigung von Verpackungsabfällen oder von bei der Verpackungsabfallbewirtschaftung anfallenden Rückständen auf ein Mindestmaß beschränkt sind.</w:t>
      </w:r>
    </w:p>
    <w:p>
      <w:pPr>
        <w:pStyle w:val="GesAbsatz"/>
        <w:ind w:left="426" w:hanging="426"/>
      </w:pPr>
      <w:r>
        <w:t>-</w:t>
      </w:r>
      <w:r>
        <w:tab/>
        <w:t xml:space="preserve">Verpackungen sind so herzustellen, </w:t>
      </w:r>
      <w:proofErr w:type="spellStart"/>
      <w:r>
        <w:t>daß</w:t>
      </w:r>
      <w:proofErr w:type="spellEnd"/>
      <w:r>
        <w:t xml:space="preserve"> schädliche und gefährliche Stoffe und Materialien in Verpackungen oder Verpackungsbestandteilen auf ein Mindestmaß beschränkt sind, was ihr Vorhandensein in Emissionen, Asche oder Sickerwasser betrifft, wenn die Verpackungen oder Rückstände aus der Entsorgung oder Verpackungsabfälle verbrannt oder deponiert werden.</w:t>
      </w:r>
    </w:p>
    <w:p>
      <w:pPr>
        <w:pStyle w:val="GesAbsatz"/>
        <w:rPr>
          <w:b/>
        </w:rPr>
      </w:pPr>
      <w:r>
        <w:rPr>
          <w:b/>
        </w:rPr>
        <w:t>2. Anforderungen an die Wiederverwertbarkeit der Verpackung</w:t>
      </w:r>
    </w:p>
    <w:p>
      <w:pPr>
        <w:pStyle w:val="GesAbsatz"/>
      </w:pPr>
      <w:r>
        <w:t>Nachstehende Anforderungen müssen gleichzeitig erfüllt sein:</w:t>
      </w:r>
    </w:p>
    <w:p>
      <w:pPr>
        <w:pStyle w:val="GesAbsatz"/>
        <w:ind w:left="426" w:hanging="426"/>
      </w:pPr>
      <w:r>
        <w:t>-</w:t>
      </w:r>
      <w:r>
        <w:tab/>
        <w:t>Die physikalischen Eigenschaften und Merkmale der Verpackung müssen unter den normalerweise vorhersehbaren Verwendungsbedingungen ein mehrmaliges Durchlaufen des Wirtschaftskreislaufs ermöglichen;</w:t>
      </w:r>
    </w:p>
    <w:p>
      <w:pPr>
        <w:pStyle w:val="GesAbsatz"/>
        <w:ind w:left="426" w:hanging="426"/>
      </w:pPr>
      <w:r>
        <w:t>-</w:t>
      </w:r>
      <w:r>
        <w:tab/>
        <w:t xml:space="preserve">die gebrauchte Verpackung </w:t>
      </w:r>
      <w:proofErr w:type="spellStart"/>
      <w:r>
        <w:t>muß</w:t>
      </w:r>
      <w:proofErr w:type="spellEnd"/>
      <w:r>
        <w:t xml:space="preserve"> im Hinblick auf die Einhaltung der Gesundheits- und Sicherheitsbedingungen für die betroffenen Arbeitnehmer verarbeitet werden können;</w:t>
      </w:r>
    </w:p>
    <w:p>
      <w:pPr>
        <w:pStyle w:val="GesAbsatz"/>
        <w:ind w:left="426" w:hanging="426"/>
      </w:pPr>
      <w:r>
        <w:t>-</w:t>
      </w:r>
      <w:r>
        <w:tab/>
        <w:t>die Anforderungen an die Verwertbarkeit der Verpackung nach Beendigung ihrer Verwendung, d.h. als Abfall, müssen erfüllt sein.</w:t>
      </w:r>
    </w:p>
    <w:p>
      <w:pPr>
        <w:pStyle w:val="GesAbsatz"/>
        <w:rPr>
          <w:b/>
        </w:rPr>
      </w:pPr>
      <w:r>
        <w:rPr>
          <w:b/>
        </w:rPr>
        <w:t>3. Anforderungen an die Verwertbarkeit von Verpackungen</w:t>
      </w:r>
    </w:p>
    <w:p>
      <w:pPr>
        <w:pStyle w:val="GesAbsatz"/>
        <w:rPr>
          <w:b/>
        </w:rPr>
      </w:pPr>
      <w:r>
        <w:rPr>
          <w:b/>
        </w:rPr>
        <w:t>a) Stoffliche Verwertung</w:t>
      </w:r>
    </w:p>
    <w:p>
      <w:pPr>
        <w:pStyle w:val="GesAbsatz"/>
      </w:pPr>
      <w:r>
        <w:lastRenderedPageBreak/>
        <w:t xml:space="preserve">Die Verpackungen müssen so gefertigt sein, </w:t>
      </w:r>
      <w:proofErr w:type="spellStart"/>
      <w:r>
        <w:t>daß</w:t>
      </w:r>
      <w:proofErr w:type="spellEnd"/>
      <w:r>
        <w:t xml:space="preserve"> ein bestimmter Gewichtsprozentsatz der verwendeten Materialien bei der Herstellung handelsfähiger Produkte stofflich verwertet werden kann, wobei die in der Gemeinschaft geltenden Normen einzuhalten sind. Die Festsetzung dieses Prozentsatzes kann je nach der Art des Materials, aus dem die Verpackung besteht, variieren.</w:t>
      </w:r>
    </w:p>
    <w:p>
      <w:pPr>
        <w:pStyle w:val="GesAbsatz"/>
        <w:rPr>
          <w:b/>
        </w:rPr>
      </w:pPr>
      <w:r>
        <w:rPr>
          <w:b/>
        </w:rPr>
        <w:t>b) Verwertung in Form der energetischen Verwertung</w:t>
      </w:r>
    </w:p>
    <w:p>
      <w:pPr>
        <w:pStyle w:val="GesAbsatz"/>
      </w:pPr>
      <w:r>
        <w:t>Verpackungsabfälle, die zum Zwecke der energetischen Verwertung aufbereitet werden, müssen eine Mindestverbrennungswärme haben, die auch beim niedrigsten Wert eine optimale Energienutzung ermöglicht.</w:t>
      </w:r>
    </w:p>
    <w:p>
      <w:pPr>
        <w:pStyle w:val="GesAbsatz"/>
        <w:rPr>
          <w:b/>
        </w:rPr>
      </w:pPr>
      <w:r>
        <w:rPr>
          <w:b/>
        </w:rPr>
        <w:t>c) Verwertung in Form der biologischen Verwertung</w:t>
      </w:r>
    </w:p>
    <w:p>
      <w:pPr>
        <w:pStyle w:val="GesAbsatz"/>
      </w:pPr>
      <w:r>
        <w:t>Zum Zwecke der biologischen Verwertung aufbereitete Verpackungsabfälle müssen separat sammelbar und so biologisch abbaubar sein, dass der Vorgang der biologischen Verwertung nicht beeinträchtigt wird.</w:t>
      </w:r>
    </w:p>
    <w:p>
      <w:pPr>
        <w:pStyle w:val="GesAbsatz"/>
        <w:rPr>
          <w:b/>
        </w:rPr>
      </w:pPr>
      <w:r>
        <w:rPr>
          <w:b/>
        </w:rPr>
        <w:t>d) Biologisch abbaubare Verpackungen</w:t>
      </w:r>
    </w:p>
    <w:p>
      <w:pPr>
        <w:pStyle w:val="GesAbsatz"/>
      </w:pPr>
      <w:r>
        <w:t xml:space="preserve">Biologisch abbaubare Verpackungsabfälle müssen durch physikalische, chemische, wärmetechnische oder biologische Prozesse so zersetzt werden können, dass sich der Großteil des Endproduktes in Kohlendioxid, Biomasse und Wasser aufspaltet. </w:t>
      </w:r>
      <w:proofErr w:type="spellStart"/>
      <w:r>
        <w:t>Oxo</w:t>
      </w:r>
      <w:proofErr w:type="spellEnd"/>
      <w:r>
        <w:t>-abbaubare Kunststoffverpackungen gelten nicht als biologisch abbaubar.</w:t>
      </w:r>
    </w:p>
    <w:p>
      <w:pPr>
        <w:pStyle w:val="berschrift2"/>
        <w:jc w:val="left"/>
      </w:pPr>
      <w:bookmarkStart w:id="34" w:name="_Toc519579492"/>
      <w:r>
        <w:t>Anhang III</w:t>
      </w:r>
      <w:bookmarkEnd w:id="34"/>
    </w:p>
    <w:p>
      <w:pPr>
        <w:pStyle w:val="GesAbsatz"/>
        <w:jc w:val="center"/>
        <w:rPr>
          <w:b/>
        </w:rPr>
      </w:pPr>
      <w:r>
        <w:rPr>
          <w:b/>
        </w:rPr>
        <w:t>Von den Mitgliedstaaten in ihre Datenbanken über Verpackungsabfälle einzugebende Daten</w:t>
      </w:r>
      <w:r>
        <w:rPr>
          <w:b/>
        </w:rPr>
        <w:br/>
        <w:t>(gemäß den nachstehend aufgeführten Tabellen 1 bis 4)</w:t>
      </w:r>
    </w:p>
    <w:p>
      <w:pPr>
        <w:pStyle w:val="GesAbsatz"/>
      </w:pPr>
      <w:r>
        <w:t>1. Erst-, Zweit- und Drittverpackungen:</w:t>
      </w:r>
    </w:p>
    <w:p>
      <w:pPr>
        <w:pStyle w:val="GesAbsatz"/>
        <w:ind w:left="426" w:hanging="426"/>
      </w:pPr>
      <w:r>
        <w:t>a)</w:t>
      </w:r>
      <w:r>
        <w:tab/>
        <w:t>Nach den großen Werkstoffgruppen aufgegliederte Mengen der in dem jeweiligen Mitgliedstaat verwendeten Verpackungen (hergestellte + eingeführte − ausgeführte Verpackungen) (Tabelle 1),</w:t>
      </w:r>
    </w:p>
    <w:p>
      <w:pPr>
        <w:pStyle w:val="GesAbsatz"/>
      </w:pPr>
      <w:r>
        <w:t>b)</w:t>
      </w:r>
      <w:r>
        <w:tab/>
        <w:t>wiederverwendete Mengen (Tabelle 2).</w:t>
      </w:r>
    </w:p>
    <w:p>
      <w:pPr>
        <w:pStyle w:val="GesAbsatz"/>
      </w:pPr>
      <w:r>
        <w:t>2. Verpackungsabfälle aus Haushalten sowie aus anderen Bereichen:</w:t>
      </w:r>
    </w:p>
    <w:p>
      <w:pPr>
        <w:pStyle w:val="GesAbsatz"/>
        <w:ind w:left="426" w:hanging="426"/>
      </w:pPr>
      <w:r>
        <w:t>a)</w:t>
      </w:r>
      <w:r>
        <w:tab/>
        <w:t>Nach großen Werkstoffgruppen gegliederte, in dem jeweiligen Mitgliedstaat verwertete und beseitigte Mengen (produzierte + eingeführte − ausgeführte Mengen) (Tabelle 3),</w:t>
      </w:r>
    </w:p>
    <w:p>
      <w:pPr>
        <w:pStyle w:val="GesAbsatz"/>
        <w:ind w:left="426" w:hanging="426"/>
      </w:pPr>
      <w:r>
        <w:t>b)</w:t>
      </w:r>
      <w:r>
        <w:tab/>
        <w:t>nach großen Werkstoffgruppen gegliederte verwertete und - einschließlich stofflich verwerteter - Mengen (Tabelle 4).</w:t>
      </w:r>
    </w:p>
    <w:p>
      <w:pPr>
        <w:pStyle w:val="GesAbsatz"/>
        <w:rPr>
          <w:b/>
        </w:rPr>
      </w:pPr>
      <w:r>
        <w:rPr>
          <w:b/>
        </w:rPr>
        <w:t>Tabelle 1</w:t>
      </w:r>
    </w:p>
    <w:p>
      <w:pPr>
        <w:pStyle w:val="GesAbsatz"/>
        <w:jc w:val="center"/>
      </w:pPr>
      <w:r>
        <w:rPr>
          <w:b/>
        </w:rPr>
        <w:t>Mengen der in dem Mitgliedstaat verwendeten (Erst-, Zweit- und Dritt-) Verpackungen</w:t>
      </w:r>
      <w:r>
        <w:rPr>
          <w:b/>
        </w:rPr>
        <w:br/>
      </w:r>
      <w:r>
        <w:t>(in Tonnen)</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1560"/>
        <w:gridCol w:w="1558"/>
        <w:gridCol w:w="1559"/>
        <w:gridCol w:w="1559"/>
      </w:tblGrid>
      <w:tr>
        <w:tc>
          <w:tcPr>
            <w:tcW w:w="3227" w:type="dxa"/>
            <w:shd w:val="clear" w:color="auto" w:fill="auto"/>
          </w:tcPr>
          <w:p>
            <w:pPr>
              <w:pStyle w:val="GesAbsatz"/>
            </w:pPr>
          </w:p>
        </w:tc>
        <w:tc>
          <w:tcPr>
            <w:tcW w:w="1560" w:type="dxa"/>
            <w:shd w:val="clear" w:color="auto" w:fill="auto"/>
            <w:vAlign w:val="center"/>
          </w:tcPr>
          <w:p>
            <w:pPr>
              <w:pStyle w:val="GesAbsatz"/>
              <w:jc w:val="center"/>
            </w:pPr>
            <w:r>
              <w:t>Hergestellte Verpackungen</w:t>
            </w:r>
          </w:p>
        </w:tc>
        <w:tc>
          <w:tcPr>
            <w:tcW w:w="1558" w:type="dxa"/>
            <w:shd w:val="clear" w:color="auto" w:fill="auto"/>
            <w:vAlign w:val="center"/>
          </w:tcPr>
          <w:p>
            <w:pPr>
              <w:pStyle w:val="GesAbsatz"/>
              <w:jc w:val="center"/>
            </w:pPr>
            <w:r>
              <w:t>- Ausgeführte Verpackungen</w:t>
            </w:r>
          </w:p>
        </w:tc>
        <w:tc>
          <w:tcPr>
            <w:tcW w:w="1559" w:type="dxa"/>
            <w:shd w:val="clear" w:color="auto" w:fill="auto"/>
            <w:vAlign w:val="center"/>
          </w:tcPr>
          <w:p>
            <w:pPr>
              <w:pStyle w:val="GesAbsatz"/>
              <w:jc w:val="center"/>
            </w:pPr>
            <w:r>
              <w:t>+ Eingeführte Verpackungen</w:t>
            </w:r>
          </w:p>
        </w:tc>
        <w:tc>
          <w:tcPr>
            <w:tcW w:w="1559" w:type="dxa"/>
            <w:shd w:val="clear" w:color="auto" w:fill="auto"/>
            <w:vAlign w:val="center"/>
          </w:tcPr>
          <w:p>
            <w:pPr>
              <w:pStyle w:val="GesAbsatz"/>
              <w:jc w:val="center"/>
            </w:pPr>
            <w:r>
              <w:t>= Insgesamt</w:t>
            </w:r>
          </w:p>
        </w:tc>
      </w:tr>
      <w:tr>
        <w:tc>
          <w:tcPr>
            <w:tcW w:w="3227" w:type="dxa"/>
            <w:shd w:val="clear" w:color="auto" w:fill="auto"/>
          </w:tcPr>
          <w:p>
            <w:pPr>
              <w:pStyle w:val="GesAbsatz"/>
              <w:jc w:val="left"/>
            </w:pPr>
            <w:r>
              <w:t>Glas</w:t>
            </w:r>
          </w:p>
        </w:tc>
        <w:tc>
          <w:tcPr>
            <w:tcW w:w="1560" w:type="dxa"/>
            <w:shd w:val="clear" w:color="auto" w:fill="auto"/>
          </w:tcPr>
          <w:p>
            <w:pPr>
              <w:pStyle w:val="GesAbsatz"/>
            </w:pPr>
          </w:p>
        </w:tc>
        <w:tc>
          <w:tcPr>
            <w:tcW w:w="1558" w:type="dxa"/>
            <w:shd w:val="clear" w:color="auto" w:fill="auto"/>
          </w:tcPr>
          <w:p>
            <w:pPr>
              <w:pStyle w:val="GesAbsatz"/>
            </w:pPr>
          </w:p>
        </w:tc>
        <w:tc>
          <w:tcPr>
            <w:tcW w:w="1559" w:type="dxa"/>
            <w:shd w:val="clear" w:color="auto" w:fill="auto"/>
          </w:tcPr>
          <w:p>
            <w:pPr>
              <w:pStyle w:val="GesAbsatz"/>
            </w:pPr>
          </w:p>
        </w:tc>
        <w:tc>
          <w:tcPr>
            <w:tcW w:w="1559" w:type="dxa"/>
            <w:shd w:val="clear" w:color="auto" w:fill="auto"/>
          </w:tcPr>
          <w:p>
            <w:pPr>
              <w:pStyle w:val="GesAbsatz"/>
            </w:pPr>
          </w:p>
        </w:tc>
      </w:tr>
      <w:tr>
        <w:tc>
          <w:tcPr>
            <w:tcW w:w="3227" w:type="dxa"/>
            <w:shd w:val="clear" w:color="auto" w:fill="auto"/>
          </w:tcPr>
          <w:p>
            <w:pPr>
              <w:pStyle w:val="GesAbsatz"/>
              <w:jc w:val="left"/>
            </w:pPr>
            <w:r>
              <w:t>Kunststoff</w:t>
            </w:r>
          </w:p>
        </w:tc>
        <w:tc>
          <w:tcPr>
            <w:tcW w:w="1560" w:type="dxa"/>
            <w:shd w:val="clear" w:color="auto" w:fill="auto"/>
          </w:tcPr>
          <w:p>
            <w:pPr>
              <w:pStyle w:val="GesAbsatz"/>
            </w:pPr>
          </w:p>
        </w:tc>
        <w:tc>
          <w:tcPr>
            <w:tcW w:w="1558" w:type="dxa"/>
            <w:shd w:val="clear" w:color="auto" w:fill="auto"/>
          </w:tcPr>
          <w:p>
            <w:pPr>
              <w:pStyle w:val="GesAbsatz"/>
            </w:pPr>
          </w:p>
        </w:tc>
        <w:tc>
          <w:tcPr>
            <w:tcW w:w="1559" w:type="dxa"/>
            <w:shd w:val="clear" w:color="auto" w:fill="auto"/>
          </w:tcPr>
          <w:p>
            <w:pPr>
              <w:pStyle w:val="GesAbsatz"/>
            </w:pPr>
          </w:p>
        </w:tc>
        <w:tc>
          <w:tcPr>
            <w:tcW w:w="1559" w:type="dxa"/>
            <w:shd w:val="clear" w:color="auto" w:fill="auto"/>
          </w:tcPr>
          <w:p>
            <w:pPr>
              <w:pStyle w:val="GesAbsatz"/>
            </w:pPr>
          </w:p>
        </w:tc>
      </w:tr>
      <w:tr>
        <w:tc>
          <w:tcPr>
            <w:tcW w:w="3227" w:type="dxa"/>
            <w:shd w:val="clear" w:color="auto" w:fill="auto"/>
          </w:tcPr>
          <w:p>
            <w:pPr>
              <w:pStyle w:val="GesAbsatz"/>
              <w:jc w:val="left"/>
            </w:pPr>
            <w:r>
              <w:t>Papier und Karton</w:t>
            </w:r>
            <w:r>
              <w:br/>
              <w:t>(einschließlich Verbundstoffe)</w:t>
            </w:r>
          </w:p>
        </w:tc>
        <w:tc>
          <w:tcPr>
            <w:tcW w:w="1560" w:type="dxa"/>
            <w:shd w:val="clear" w:color="auto" w:fill="auto"/>
          </w:tcPr>
          <w:p>
            <w:pPr>
              <w:pStyle w:val="GesAbsatz"/>
            </w:pPr>
          </w:p>
        </w:tc>
        <w:tc>
          <w:tcPr>
            <w:tcW w:w="1558" w:type="dxa"/>
            <w:shd w:val="clear" w:color="auto" w:fill="auto"/>
          </w:tcPr>
          <w:p>
            <w:pPr>
              <w:pStyle w:val="GesAbsatz"/>
            </w:pPr>
          </w:p>
        </w:tc>
        <w:tc>
          <w:tcPr>
            <w:tcW w:w="1559" w:type="dxa"/>
            <w:shd w:val="clear" w:color="auto" w:fill="auto"/>
          </w:tcPr>
          <w:p>
            <w:pPr>
              <w:pStyle w:val="GesAbsatz"/>
            </w:pPr>
          </w:p>
        </w:tc>
        <w:tc>
          <w:tcPr>
            <w:tcW w:w="1559" w:type="dxa"/>
            <w:shd w:val="clear" w:color="auto" w:fill="auto"/>
          </w:tcPr>
          <w:p>
            <w:pPr>
              <w:pStyle w:val="GesAbsatz"/>
            </w:pPr>
          </w:p>
        </w:tc>
      </w:tr>
      <w:tr>
        <w:tc>
          <w:tcPr>
            <w:tcW w:w="3227" w:type="dxa"/>
            <w:shd w:val="clear" w:color="auto" w:fill="auto"/>
          </w:tcPr>
          <w:p>
            <w:pPr>
              <w:pStyle w:val="GesAbsatz"/>
              <w:jc w:val="left"/>
            </w:pPr>
            <w:r>
              <w:t>Eisenmetalle</w:t>
            </w:r>
          </w:p>
        </w:tc>
        <w:tc>
          <w:tcPr>
            <w:tcW w:w="1560" w:type="dxa"/>
            <w:shd w:val="clear" w:color="auto" w:fill="auto"/>
          </w:tcPr>
          <w:p>
            <w:pPr>
              <w:pStyle w:val="GesAbsatz"/>
            </w:pPr>
          </w:p>
        </w:tc>
        <w:tc>
          <w:tcPr>
            <w:tcW w:w="1558" w:type="dxa"/>
            <w:shd w:val="clear" w:color="auto" w:fill="auto"/>
          </w:tcPr>
          <w:p>
            <w:pPr>
              <w:pStyle w:val="GesAbsatz"/>
            </w:pPr>
          </w:p>
        </w:tc>
        <w:tc>
          <w:tcPr>
            <w:tcW w:w="1559" w:type="dxa"/>
            <w:shd w:val="clear" w:color="auto" w:fill="auto"/>
          </w:tcPr>
          <w:p>
            <w:pPr>
              <w:pStyle w:val="GesAbsatz"/>
            </w:pPr>
          </w:p>
        </w:tc>
        <w:tc>
          <w:tcPr>
            <w:tcW w:w="1559" w:type="dxa"/>
            <w:shd w:val="clear" w:color="auto" w:fill="auto"/>
          </w:tcPr>
          <w:p>
            <w:pPr>
              <w:pStyle w:val="GesAbsatz"/>
            </w:pPr>
          </w:p>
        </w:tc>
      </w:tr>
      <w:tr>
        <w:tc>
          <w:tcPr>
            <w:tcW w:w="3227" w:type="dxa"/>
            <w:shd w:val="clear" w:color="auto" w:fill="auto"/>
          </w:tcPr>
          <w:p>
            <w:pPr>
              <w:pStyle w:val="GesAbsatz"/>
              <w:jc w:val="left"/>
            </w:pPr>
            <w:r>
              <w:t>Aluminium</w:t>
            </w:r>
          </w:p>
        </w:tc>
        <w:tc>
          <w:tcPr>
            <w:tcW w:w="1560" w:type="dxa"/>
            <w:shd w:val="clear" w:color="auto" w:fill="auto"/>
          </w:tcPr>
          <w:p>
            <w:pPr>
              <w:pStyle w:val="GesAbsatz"/>
            </w:pPr>
          </w:p>
        </w:tc>
        <w:tc>
          <w:tcPr>
            <w:tcW w:w="1558" w:type="dxa"/>
            <w:shd w:val="clear" w:color="auto" w:fill="auto"/>
          </w:tcPr>
          <w:p>
            <w:pPr>
              <w:pStyle w:val="GesAbsatz"/>
            </w:pPr>
          </w:p>
        </w:tc>
        <w:tc>
          <w:tcPr>
            <w:tcW w:w="1559" w:type="dxa"/>
            <w:shd w:val="clear" w:color="auto" w:fill="auto"/>
          </w:tcPr>
          <w:p>
            <w:pPr>
              <w:pStyle w:val="GesAbsatz"/>
            </w:pPr>
          </w:p>
        </w:tc>
        <w:tc>
          <w:tcPr>
            <w:tcW w:w="1559" w:type="dxa"/>
            <w:shd w:val="clear" w:color="auto" w:fill="auto"/>
          </w:tcPr>
          <w:p>
            <w:pPr>
              <w:pStyle w:val="GesAbsatz"/>
            </w:pPr>
          </w:p>
        </w:tc>
      </w:tr>
      <w:tr>
        <w:tc>
          <w:tcPr>
            <w:tcW w:w="3227" w:type="dxa"/>
            <w:shd w:val="clear" w:color="auto" w:fill="auto"/>
          </w:tcPr>
          <w:p>
            <w:pPr>
              <w:pStyle w:val="GesAbsatz"/>
              <w:jc w:val="left"/>
            </w:pPr>
            <w:r>
              <w:t>Holz</w:t>
            </w:r>
          </w:p>
        </w:tc>
        <w:tc>
          <w:tcPr>
            <w:tcW w:w="1560" w:type="dxa"/>
            <w:shd w:val="clear" w:color="auto" w:fill="auto"/>
          </w:tcPr>
          <w:p>
            <w:pPr>
              <w:pStyle w:val="GesAbsatz"/>
            </w:pPr>
          </w:p>
        </w:tc>
        <w:tc>
          <w:tcPr>
            <w:tcW w:w="1558" w:type="dxa"/>
            <w:shd w:val="clear" w:color="auto" w:fill="auto"/>
          </w:tcPr>
          <w:p>
            <w:pPr>
              <w:pStyle w:val="GesAbsatz"/>
            </w:pPr>
          </w:p>
        </w:tc>
        <w:tc>
          <w:tcPr>
            <w:tcW w:w="1559" w:type="dxa"/>
            <w:shd w:val="clear" w:color="auto" w:fill="auto"/>
          </w:tcPr>
          <w:p>
            <w:pPr>
              <w:pStyle w:val="GesAbsatz"/>
            </w:pPr>
          </w:p>
        </w:tc>
        <w:tc>
          <w:tcPr>
            <w:tcW w:w="1559" w:type="dxa"/>
            <w:shd w:val="clear" w:color="auto" w:fill="auto"/>
          </w:tcPr>
          <w:p>
            <w:pPr>
              <w:pStyle w:val="GesAbsatz"/>
            </w:pPr>
          </w:p>
        </w:tc>
      </w:tr>
      <w:tr>
        <w:tc>
          <w:tcPr>
            <w:tcW w:w="3227" w:type="dxa"/>
            <w:shd w:val="clear" w:color="auto" w:fill="auto"/>
          </w:tcPr>
          <w:p>
            <w:pPr>
              <w:pStyle w:val="GesAbsatz"/>
              <w:jc w:val="left"/>
            </w:pPr>
            <w:r>
              <w:t>Sonstige Werkstoffe</w:t>
            </w:r>
          </w:p>
        </w:tc>
        <w:tc>
          <w:tcPr>
            <w:tcW w:w="1560" w:type="dxa"/>
            <w:shd w:val="clear" w:color="auto" w:fill="auto"/>
          </w:tcPr>
          <w:p>
            <w:pPr>
              <w:pStyle w:val="GesAbsatz"/>
            </w:pPr>
          </w:p>
        </w:tc>
        <w:tc>
          <w:tcPr>
            <w:tcW w:w="1558" w:type="dxa"/>
            <w:shd w:val="clear" w:color="auto" w:fill="auto"/>
          </w:tcPr>
          <w:p>
            <w:pPr>
              <w:pStyle w:val="GesAbsatz"/>
            </w:pPr>
          </w:p>
        </w:tc>
        <w:tc>
          <w:tcPr>
            <w:tcW w:w="1559" w:type="dxa"/>
            <w:shd w:val="clear" w:color="auto" w:fill="auto"/>
          </w:tcPr>
          <w:p>
            <w:pPr>
              <w:pStyle w:val="GesAbsatz"/>
            </w:pPr>
          </w:p>
        </w:tc>
        <w:tc>
          <w:tcPr>
            <w:tcW w:w="1559" w:type="dxa"/>
            <w:shd w:val="clear" w:color="auto" w:fill="auto"/>
          </w:tcPr>
          <w:p>
            <w:pPr>
              <w:pStyle w:val="GesAbsatz"/>
            </w:pPr>
          </w:p>
        </w:tc>
      </w:tr>
      <w:tr>
        <w:tc>
          <w:tcPr>
            <w:tcW w:w="3227" w:type="dxa"/>
            <w:shd w:val="clear" w:color="auto" w:fill="auto"/>
          </w:tcPr>
          <w:p>
            <w:pPr>
              <w:pStyle w:val="GesAbsatz"/>
              <w:jc w:val="right"/>
            </w:pPr>
            <w:r>
              <w:t>Insgesamt</w:t>
            </w:r>
          </w:p>
        </w:tc>
        <w:tc>
          <w:tcPr>
            <w:tcW w:w="1560" w:type="dxa"/>
            <w:shd w:val="clear" w:color="auto" w:fill="auto"/>
          </w:tcPr>
          <w:p>
            <w:pPr>
              <w:pStyle w:val="GesAbsatz"/>
            </w:pPr>
          </w:p>
        </w:tc>
        <w:tc>
          <w:tcPr>
            <w:tcW w:w="1558" w:type="dxa"/>
            <w:shd w:val="clear" w:color="auto" w:fill="auto"/>
          </w:tcPr>
          <w:p>
            <w:pPr>
              <w:pStyle w:val="GesAbsatz"/>
            </w:pPr>
          </w:p>
        </w:tc>
        <w:tc>
          <w:tcPr>
            <w:tcW w:w="1559" w:type="dxa"/>
            <w:shd w:val="clear" w:color="auto" w:fill="auto"/>
          </w:tcPr>
          <w:p>
            <w:pPr>
              <w:pStyle w:val="GesAbsatz"/>
            </w:pPr>
          </w:p>
        </w:tc>
        <w:tc>
          <w:tcPr>
            <w:tcW w:w="1559" w:type="dxa"/>
            <w:shd w:val="clear" w:color="auto" w:fill="auto"/>
          </w:tcPr>
          <w:p>
            <w:pPr>
              <w:pStyle w:val="GesAbsatz"/>
            </w:pPr>
          </w:p>
        </w:tc>
      </w:tr>
    </w:tbl>
    <w:p>
      <w:pPr>
        <w:pStyle w:val="GesAbsatz"/>
      </w:pPr>
    </w:p>
    <w:p>
      <w:pPr>
        <w:pStyle w:val="GesAbsatz"/>
        <w:rPr>
          <w:b/>
        </w:rPr>
      </w:pPr>
      <w:r>
        <w:rPr>
          <w:b/>
        </w:rPr>
        <w:t>Tabelle 2</w:t>
      </w:r>
    </w:p>
    <w:p>
      <w:pPr>
        <w:pStyle w:val="GesAbsatz"/>
        <w:jc w:val="center"/>
      </w:pPr>
      <w:r>
        <w:rPr>
          <w:b/>
        </w:rPr>
        <w:t>In dem Mitgliedstaat wiederverwendete Mengen von (Erst-, Zweit- und Dritt-) Verpackungen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4"/>
        <w:gridCol w:w="2410"/>
        <w:gridCol w:w="1843"/>
        <w:gridCol w:w="1985"/>
      </w:tblGrid>
      <w:tr>
        <w:tc>
          <w:tcPr>
            <w:tcW w:w="3084" w:type="dxa"/>
            <w:vMerge w:val="restart"/>
            <w:shd w:val="clear" w:color="auto" w:fill="auto"/>
          </w:tcPr>
          <w:p>
            <w:pPr>
              <w:pStyle w:val="GesAbsatz"/>
            </w:pPr>
          </w:p>
        </w:tc>
        <w:tc>
          <w:tcPr>
            <w:tcW w:w="2410" w:type="dxa"/>
            <w:vMerge w:val="restart"/>
            <w:shd w:val="clear" w:color="auto" w:fill="auto"/>
            <w:vAlign w:val="center"/>
          </w:tcPr>
          <w:p>
            <w:pPr>
              <w:pStyle w:val="GesAbsatz"/>
              <w:jc w:val="center"/>
            </w:pPr>
            <w:r>
              <w:t>Erstmals in Verkehr gebrachte Verpackungen (in Tonnen)</w:t>
            </w:r>
          </w:p>
        </w:tc>
        <w:tc>
          <w:tcPr>
            <w:tcW w:w="3828" w:type="dxa"/>
            <w:gridSpan w:val="2"/>
            <w:shd w:val="clear" w:color="auto" w:fill="auto"/>
            <w:vAlign w:val="center"/>
          </w:tcPr>
          <w:p>
            <w:pPr>
              <w:pStyle w:val="GesAbsatz"/>
              <w:jc w:val="center"/>
            </w:pPr>
            <w:r>
              <w:t>Wiederverwendbare Verkaufsverpackungen</w:t>
            </w:r>
          </w:p>
        </w:tc>
      </w:tr>
      <w:tr>
        <w:tc>
          <w:tcPr>
            <w:tcW w:w="3084" w:type="dxa"/>
            <w:vMerge/>
            <w:shd w:val="clear" w:color="auto" w:fill="auto"/>
          </w:tcPr>
          <w:p>
            <w:pPr>
              <w:pStyle w:val="GesAbsatz"/>
            </w:pPr>
          </w:p>
        </w:tc>
        <w:tc>
          <w:tcPr>
            <w:tcW w:w="2410" w:type="dxa"/>
            <w:vMerge/>
            <w:shd w:val="clear" w:color="auto" w:fill="auto"/>
            <w:vAlign w:val="center"/>
          </w:tcPr>
          <w:p>
            <w:pPr>
              <w:pStyle w:val="GesAbsatz"/>
              <w:jc w:val="center"/>
            </w:pPr>
          </w:p>
        </w:tc>
        <w:tc>
          <w:tcPr>
            <w:tcW w:w="1843" w:type="dxa"/>
            <w:shd w:val="clear" w:color="auto" w:fill="auto"/>
            <w:vAlign w:val="center"/>
          </w:tcPr>
          <w:p>
            <w:pPr>
              <w:pStyle w:val="GesAbsatz"/>
              <w:jc w:val="center"/>
            </w:pPr>
            <w:r>
              <w:t>Tonnen</w:t>
            </w:r>
          </w:p>
        </w:tc>
        <w:tc>
          <w:tcPr>
            <w:tcW w:w="1985" w:type="dxa"/>
            <w:shd w:val="clear" w:color="auto" w:fill="auto"/>
            <w:vAlign w:val="center"/>
          </w:tcPr>
          <w:p>
            <w:pPr>
              <w:pStyle w:val="GesAbsatz"/>
              <w:jc w:val="center"/>
            </w:pPr>
            <w:r>
              <w:t>Prozent</w:t>
            </w:r>
          </w:p>
        </w:tc>
      </w:tr>
      <w:tr>
        <w:tc>
          <w:tcPr>
            <w:tcW w:w="3084" w:type="dxa"/>
            <w:shd w:val="clear" w:color="auto" w:fill="auto"/>
          </w:tcPr>
          <w:p>
            <w:pPr>
              <w:pStyle w:val="GesAbsatz"/>
              <w:jc w:val="left"/>
            </w:pPr>
            <w:r>
              <w:t>Glas</w:t>
            </w:r>
          </w:p>
        </w:tc>
        <w:tc>
          <w:tcPr>
            <w:tcW w:w="2410" w:type="dxa"/>
            <w:shd w:val="clear" w:color="auto" w:fill="auto"/>
          </w:tcPr>
          <w:p>
            <w:pPr>
              <w:pStyle w:val="GesAbsatz"/>
            </w:pPr>
          </w:p>
        </w:tc>
        <w:tc>
          <w:tcPr>
            <w:tcW w:w="1843" w:type="dxa"/>
            <w:shd w:val="clear" w:color="auto" w:fill="auto"/>
          </w:tcPr>
          <w:p>
            <w:pPr>
              <w:pStyle w:val="GesAbsatz"/>
            </w:pPr>
          </w:p>
        </w:tc>
        <w:tc>
          <w:tcPr>
            <w:tcW w:w="1985" w:type="dxa"/>
            <w:shd w:val="clear" w:color="auto" w:fill="auto"/>
          </w:tcPr>
          <w:p>
            <w:pPr>
              <w:pStyle w:val="GesAbsatz"/>
            </w:pPr>
          </w:p>
        </w:tc>
      </w:tr>
      <w:tr>
        <w:tc>
          <w:tcPr>
            <w:tcW w:w="3084" w:type="dxa"/>
            <w:shd w:val="clear" w:color="auto" w:fill="auto"/>
          </w:tcPr>
          <w:p>
            <w:pPr>
              <w:pStyle w:val="GesAbsatz"/>
              <w:jc w:val="left"/>
            </w:pPr>
            <w:r>
              <w:t>Kunststoff</w:t>
            </w:r>
          </w:p>
        </w:tc>
        <w:tc>
          <w:tcPr>
            <w:tcW w:w="2410" w:type="dxa"/>
            <w:shd w:val="clear" w:color="auto" w:fill="auto"/>
          </w:tcPr>
          <w:p>
            <w:pPr>
              <w:pStyle w:val="GesAbsatz"/>
            </w:pPr>
          </w:p>
        </w:tc>
        <w:tc>
          <w:tcPr>
            <w:tcW w:w="1843" w:type="dxa"/>
            <w:shd w:val="clear" w:color="auto" w:fill="auto"/>
          </w:tcPr>
          <w:p>
            <w:pPr>
              <w:pStyle w:val="GesAbsatz"/>
            </w:pPr>
          </w:p>
        </w:tc>
        <w:tc>
          <w:tcPr>
            <w:tcW w:w="1985" w:type="dxa"/>
            <w:shd w:val="clear" w:color="auto" w:fill="auto"/>
          </w:tcPr>
          <w:p>
            <w:pPr>
              <w:pStyle w:val="GesAbsatz"/>
            </w:pPr>
          </w:p>
        </w:tc>
      </w:tr>
      <w:tr>
        <w:tc>
          <w:tcPr>
            <w:tcW w:w="3084" w:type="dxa"/>
            <w:shd w:val="clear" w:color="auto" w:fill="auto"/>
          </w:tcPr>
          <w:p>
            <w:pPr>
              <w:pStyle w:val="GesAbsatz"/>
              <w:jc w:val="left"/>
            </w:pPr>
            <w:r>
              <w:t>Papier und Karton</w:t>
            </w:r>
            <w:r>
              <w:br/>
              <w:t>(einschließlich Verbundstoffe)</w:t>
            </w:r>
          </w:p>
        </w:tc>
        <w:tc>
          <w:tcPr>
            <w:tcW w:w="2410" w:type="dxa"/>
            <w:shd w:val="clear" w:color="auto" w:fill="auto"/>
          </w:tcPr>
          <w:p>
            <w:pPr>
              <w:pStyle w:val="GesAbsatz"/>
            </w:pPr>
          </w:p>
        </w:tc>
        <w:tc>
          <w:tcPr>
            <w:tcW w:w="1843" w:type="dxa"/>
            <w:shd w:val="clear" w:color="auto" w:fill="auto"/>
          </w:tcPr>
          <w:p>
            <w:pPr>
              <w:pStyle w:val="GesAbsatz"/>
            </w:pPr>
          </w:p>
        </w:tc>
        <w:tc>
          <w:tcPr>
            <w:tcW w:w="1985" w:type="dxa"/>
            <w:shd w:val="clear" w:color="auto" w:fill="auto"/>
          </w:tcPr>
          <w:p>
            <w:pPr>
              <w:pStyle w:val="GesAbsatz"/>
            </w:pPr>
          </w:p>
        </w:tc>
      </w:tr>
      <w:tr>
        <w:tc>
          <w:tcPr>
            <w:tcW w:w="3084" w:type="dxa"/>
            <w:shd w:val="clear" w:color="auto" w:fill="auto"/>
          </w:tcPr>
          <w:p>
            <w:pPr>
              <w:pStyle w:val="GesAbsatz"/>
              <w:jc w:val="left"/>
            </w:pPr>
            <w:r>
              <w:t>Eisenmetalle</w:t>
            </w:r>
          </w:p>
        </w:tc>
        <w:tc>
          <w:tcPr>
            <w:tcW w:w="2410" w:type="dxa"/>
            <w:shd w:val="clear" w:color="auto" w:fill="auto"/>
          </w:tcPr>
          <w:p>
            <w:pPr>
              <w:pStyle w:val="GesAbsatz"/>
            </w:pPr>
          </w:p>
        </w:tc>
        <w:tc>
          <w:tcPr>
            <w:tcW w:w="1843" w:type="dxa"/>
            <w:shd w:val="clear" w:color="auto" w:fill="auto"/>
          </w:tcPr>
          <w:p>
            <w:pPr>
              <w:pStyle w:val="GesAbsatz"/>
            </w:pPr>
          </w:p>
        </w:tc>
        <w:tc>
          <w:tcPr>
            <w:tcW w:w="1985" w:type="dxa"/>
            <w:shd w:val="clear" w:color="auto" w:fill="auto"/>
          </w:tcPr>
          <w:p>
            <w:pPr>
              <w:pStyle w:val="GesAbsatz"/>
            </w:pPr>
          </w:p>
        </w:tc>
      </w:tr>
      <w:tr>
        <w:tc>
          <w:tcPr>
            <w:tcW w:w="3084" w:type="dxa"/>
            <w:shd w:val="clear" w:color="auto" w:fill="auto"/>
          </w:tcPr>
          <w:p>
            <w:pPr>
              <w:pStyle w:val="GesAbsatz"/>
              <w:jc w:val="left"/>
            </w:pPr>
            <w:r>
              <w:t>Aluminium</w:t>
            </w:r>
          </w:p>
        </w:tc>
        <w:tc>
          <w:tcPr>
            <w:tcW w:w="2410" w:type="dxa"/>
            <w:shd w:val="clear" w:color="auto" w:fill="auto"/>
          </w:tcPr>
          <w:p>
            <w:pPr>
              <w:pStyle w:val="GesAbsatz"/>
            </w:pPr>
          </w:p>
        </w:tc>
        <w:tc>
          <w:tcPr>
            <w:tcW w:w="1843" w:type="dxa"/>
            <w:shd w:val="clear" w:color="auto" w:fill="auto"/>
          </w:tcPr>
          <w:p>
            <w:pPr>
              <w:pStyle w:val="GesAbsatz"/>
            </w:pPr>
          </w:p>
        </w:tc>
        <w:tc>
          <w:tcPr>
            <w:tcW w:w="1985" w:type="dxa"/>
            <w:shd w:val="clear" w:color="auto" w:fill="auto"/>
          </w:tcPr>
          <w:p>
            <w:pPr>
              <w:pStyle w:val="GesAbsatz"/>
            </w:pPr>
          </w:p>
        </w:tc>
      </w:tr>
      <w:tr>
        <w:tc>
          <w:tcPr>
            <w:tcW w:w="3084" w:type="dxa"/>
            <w:shd w:val="clear" w:color="auto" w:fill="auto"/>
          </w:tcPr>
          <w:p>
            <w:pPr>
              <w:pStyle w:val="GesAbsatz"/>
              <w:jc w:val="left"/>
            </w:pPr>
            <w:r>
              <w:t>Holz</w:t>
            </w:r>
          </w:p>
        </w:tc>
        <w:tc>
          <w:tcPr>
            <w:tcW w:w="2410" w:type="dxa"/>
            <w:shd w:val="clear" w:color="auto" w:fill="auto"/>
          </w:tcPr>
          <w:p>
            <w:pPr>
              <w:pStyle w:val="GesAbsatz"/>
            </w:pPr>
          </w:p>
        </w:tc>
        <w:tc>
          <w:tcPr>
            <w:tcW w:w="1843" w:type="dxa"/>
            <w:shd w:val="clear" w:color="auto" w:fill="auto"/>
          </w:tcPr>
          <w:p>
            <w:pPr>
              <w:pStyle w:val="GesAbsatz"/>
            </w:pPr>
          </w:p>
        </w:tc>
        <w:tc>
          <w:tcPr>
            <w:tcW w:w="1985" w:type="dxa"/>
            <w:shd w:val="clear" w:color="auto" w:fill="auto"/>
          </w:tcPr>
          <w:p>
            <w:pPr>
              <w:pStyle w:val="GesAbsatz"/>
            </w:pPr>
          </w:p>
        </w:tc>
      </w:tr>
      <w:tr>
        <w:tc>
          <w:tcPr>
            <w:tcW w:w="3084" w:type="dxa"/>
            <w:shd w:val="clear" w:color="auto" w:fill="auto"/>
          </w:tcPr>
          <w:p>
            <w:pPr>
              <w:pStyle w:val="GesAbsatz"/>
              <w:jc w:val="left"/>
            </w:pPr>
            <w:r>
              <w:t>Sonstige Werkstoffe</w:t>
            </w:r>
          </w:p>
        </w:tc>
        <w:tc>
          <w:tcPr>
            <w:tcW w:w="2410" w:type="dxa"/>
            <w:shd w:val="clear" w:color="auto" w:fill="auto"/>
          </w:tcPr>
          <w:p>
            <w:pPr>
              <w:pStyle w:val="GesAbsatz"/>
            </w:pPr>
          </w:p>
        </w:tc>
        <w:tc>
          <w:tcPr>
            <w:tcW w:w="1843" w:type="dxa"/>
            <w:shd w:val="clear" w:color="auto" w:fill="auto"/>
          </w:tcPr>
          <w:p>
            <w:pPr>
              <w:pStyle w:val="GesAbsatz"/>
            </w:pPr>
          </w:p>
        </w:tc>
        <w:tc>
          <w:tcPr>
            <w:tcW w:w="1985" w:type="dxa"/>
            <w:shd w:val="clear" w:color="auto" w:fill="auto"/>
          </w:tcPr>
          <w:p>
            <w:pPr>
              <w:pStyle w:val="GesAbsatz"/>
            </w:pPr>
          </w:p>
        </w:tc>
      </w:tr>
      <w:tr>
        <w:tc>
          <w:tcPr>
            <w:tcW w:w="3084" w:type="dxa"/>
            <w:shd w:val="clear" w:color="auto" w:fill="auto"/>
          </w:tcPr>
          <w:p>
            <w:pPr>
              <w:pStyle w:val="GesAbsatz"/>
              <w:jc w:val="right"/>
            </w:pPr>
            <w:r>
              <w:t>Insgesamt</w:t>
            </w:r>
          </w:p>
        </w:tc>
        <w:tc>
          <w:tcPr>
            <w:tcW w:w="2410" w:type="dxa"/>
            <w:shd w:val="clear" w:color="auto" w:fill="auto"/>
          </w:tcPr>
          <w:p>
            <w:pPr>
              <w:pStyle w:val="GesAbsatz"/>
            </w:pPr>
          </w:p>
        </w:tc>
        <w:tc>
          <w:tcPr>
            <w:tcW w:w="1843" w:type="dxa"/>
            <w:shd w:val="clear" w:color="auto" w:fill="auto"/>
          </w:tcPr>
          <w:p>
            <w:pPr>
              <w:pStyle w:val="GesAbsatz"/>
            </w:pPr>
          </w:p>
        </w:tc>
        <w:tc>
          <w:tcPr>
            <w:tcW w:w="1985" w:type="dxa"/>
            <w:shd w:val="clear" w:color="auto" w:fill="auto"/>
          </w:tcPr>
          <w:p>
            <w:pPr>
              <w:pStyle w:val="GesAbsatz"/>
            </w:pPr>
          </w:p>
        </w:tc>
      </w:tr>
    </w:tbl>
    <w:p>
      <w:pPr>
        <w:pStyle w:val="GesAbsatz"/>
        <w:rPr>
          <w:b/>
        </w:rPr>
      </w:pPr>
    </w:p>
    <w:p>
      <w:pPr>
        <w:pStyle w:val="GesAbsatz"/>
        <w:rPr>
          <w:b/>
        </w:rPr>
      </w:pPr>
      <w:r>
        <w:rPr>
          <w:b/>
        </w:rPr>
        <w:t>Tabelle 3</w:t>
      </w:r>
    </w:p>
    <w:p>
      <w:pPr>
        <w:pStyle w:val="GesAbsatz"/>
        <w:jc w:val="center"/>
      </w:pPr>
      <w:r>
        <w:rPr>
          <w:b/>
        </w:rPr>
        <w:t>In dem Mitgliedstaat verwertete und beseitigte Verpackungsabfälle</w:t>
      </w:r>
      <w:r>
        <w:rPr>
          <w:b/>
        </w:rPr>
        <w:br/>
      </w:r>
      <w:r>
        <w:t>(in Tonnen)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1559"/>
        <w:gridCol w:w="1559"/>
        <w:gridCol w:w="1560"/>
        <w:gridCol w:w="1559"/>
      </w:tblGrid>
      <w:tr>
        <w:tc>
          <w:tcPr>
            <w:tcW w:w="3227" w:type="dxa"/>
            <w:shd w:val="clear" w:color="auto" w:fill="auto"/>
          </w:tcPr>
          <w:p>
            <w:pPr>
              <w:pStyle w:val="GesAbsatz"/>
            </w:pPr>
          </w:p>
        </w:tc>
        <w:tc>
          <w:tcPr>
            <w:tcW w:w="1559" w:type="dxa"/>
            <w:shd w:val="clear" w:color="auto" w:fill="auto"/>
            <w:vAlign w:val="center"/>
          </w:tcPr>
          <w:p>
            <w:pPr>
              <w:pStyle w:val="GesAbsatz"/>
              <w:jc w:val="center"/>
            </w:pPr>
            <w:r>
              <w:t>Produzierte Abfälle</w:t>
            </w:r>
          </w:p>
        </w:tc>
        <w:tc>
          <w:tcPr>
            <w:tcW w:w="1559" w:type="dxa"/>
            <w:shd w:val="clear" w:color="auto" w:fill="auto"/>
            <w:vAlign w:val="center"/>
          </w:tcPr>
          <w:p>
            <w:pPr>
              <w:pStyle w:val="GesAbsatz"/>
              <w:jc w:val="center"/>
            </w:pPr>
            <w:r>
              <w:t>- Ausgeführte Abfälle</w:t>
            </w:r>
          </w:p>
        </w:tc>
        <w:tc>
          <w:tcPr>
            <w:tcW w:w="1560" w:type="dxa"/>
            <w:shd w:val="clear" w:color="auto" w:fill="auto"/>
            <w:vAlign w:val="center"/>
          </w:tcPr>
          <w:p>
            <w:pPr>
              <w:pStyle w:val="GesAbsatz"/>
              <w:jc w:val="center"/>
            </w:pPr>
            <w:r>
              <w:t>+ Eingeführte Abfälle</w:t>
            </w:r>
          </w:p>
        </w:tc>
        <w:tc>
          <w:tcPr>
            <w:tcW w:w="1559" w:type="dxa"/>
            <w:shd w:val="clear" w:color="auto" w:fill="auto"/>
            <w:vAlign w:val="center"/>
          </w:tcPr>
          <w:p>
            <w:pPr>
              <w:pStyle w:val="GesAbsatz"/>
              <w:jc w:val="center"/>
            </w:pPr>
            <w:r>
              <w:t>= Insgesamt</w:t>
            </w:r>
          </w:p>
        </w:tc>
      </w:tr>
      <w:tr>
        <w:tc>
          <w:tcPr>
            <w:tcW w:w="3227" w:type="dxa"/>
            <w:shd w:val="clear" w:color="auto" w:fill="auto"/>
          </w:tcPr>
          <w:p>
            <w:pPr>
              <w:pStyle w:val="GesAbsatz"/>
              <w:jc w:val="left"/>
              <w:rPr>
                <w:b/>
              </w:rPr>
            </w:pPr>
            <w:r>
              <w:rPr>
                <w:b/>
              </w:rPr>
              <w:t>Abfälle aus Haushalten</w:t>
            </w:r>
          </w:p>
        </w:tc>
        <w:tc>
          <w:tcPr>
            <w:tcW w:w="1559" w:type="dxa"/>
            <w:shd w:val="clear" w:color="auto" w:fill="auto"/>
          </w:tcPr>
          <w:p>
            <w:pPr>
              <w:pStyle w:val="GesAbsatz"/>
            </w:pPr>
          </w:p>
        </w:tc>
        <w:tc>
          <w:tcPr>
            <w:tcW w:w="1559" w:type="dxa"/>
            <w:shd w:val="clear" w:color="auto" w:fill="auto"/>
          </w:tcPr>
          <w:p>
            <w:pPr>
              <w:pStyle w:val="GesAbsatz"/>
            </w:pPr>
          </w:p>
        </w:tc>
        <w:tc>
          <w:tcPr>
            <w:tcW w:w="1560" w:type="dxa"/>
            <w:shd w:val="clear" w:color="auto" w:fill="auto"/>
          </w:tcPr>
          <w:p>
            <w:pPr>
              <w:pStyle w:val="GesAbsatz"/>
            </w:pPr>
          </w:p>
        </w:tc>
        <w:tc>
          <w:tcPr>
            <w:tcW w:w="1559" w:type="dxa"/>
            <w:shd w:val="clear" w:color="auto" w:fill="auto"/>
          </w:tcPr>
          <w:p>
            <w:pPr>
              <w:pStyle w:val="GesAbsatz"/>
            </w:pPr>
          </w:p>
        </w:tc>
      </w:tr>
      <w:tr>
        <w:tc>
          <w:tcPr>
            <w:tcW w:w="3227" w:type="dxa"/>
            <w:shd w:val="clear" w:color="auto" w:fill="auto"/>
          </w:tcPr>
          <w:p>
            <w:pPr>
              <w:pStyle w:val="GesAbsatz"/>
              <w:jc w:val="left"/>
            </w:pPr>
            <w:r>
              <w:t>Glas für Verpackungszwecke</w:t>
            </w:r>
          </w:p>
        </w:tc>
        <w:tc>
          <w:tcPr>
            <w:tcW w:w="1559" w:type="dxa"/>
            <w:shd w:val="clear" w:color="auto" w:fill="auto"/>
          </w:tcPr>
          <w:p>
            <w:pPr>
              <w:pStyle w:val="GesAbsatz"/>
            </w:pPr>
          </w:p>
        </w:tc>
        <w:tc>
          <w:tcPr>
            <w:tcW w:w="1559" w:type="dxa"/>
            <w:shd w:val="clear" w:color="auto" w:fill="auto"/>
          </w:tcPr>
          <w:p>
            <w:pPr>
              <w:pStyle w:val="GesAbsatz"/>
            </w:pPr>
          </w:p>
        </w:tc>
        <w:tc>
          <w:tcPr>
            <w:tcW w:w="1560" w:type="dxa"/>
            <w:shd w:val="clear" w:color="auto" w:fill="auto"/>
          </w:tcPr>
          <w:p>
            <w:pPr>
              <w:pStyle w:val="GesAbsatz"/>
            </w:pPr>
          </w:p>
        </w:tc>
        <w:tc>
          <w:tcPr>
            <w:tcW w:w="1559" w:type="dxa"/>
            <w:shd w:val="clear" w:color="auto" w:fill="auto"/>
          </w:tcPr>
          <w:p>
            <w:pPr>
              <w:pStyle w:val="GesAbsatz"/>
            </w:pPr>
          </w:p>
        </w:tc>
      </w:tr>
      <w:tr>
        <w:tc>
          <w:tcPr>
            <w:tcW w:w="3227" w:type="dxa"/>
            <w:shd w:val="clear" w:color="auto" w:fill="auto"/>
          </w:tcPr>
          <w:p>
            <w:pPr>
              <w:pStyle w:val="GesAbsatz"/>
              <w:jc w:val="left"/>
            </w:pPr>
            <w:r>
              <w:t>Kunststoff für Verpackungszwecke</w:t>
            </w:r>
          </w:p>
        </w:tc>
        <w:tc>
          <w:tcPr>
            <w:tcW w:w="1559" w:type="dxa"/>
            <w:shd w:val="clear" w:color="auto" w:fill="auto"/>
          </w:tcPr>
          <w:p>
            <w:pPr>
              <w:pStyle w:val="GesAbsatz"/>
            </w:pPr>
          </w:p>
        </w:tc>
        <w:tc>
          <w:tcPr>
            <w:tcW w:w="1559" w:type="dxa"/>
            <w:shd w:val="clear" w:color="auto" w:fill="auto"/>
          </w:tcPr>
          <w:p>
            <w:pPr>
              <w:pStyle w:val="GesAbsatz"/>
            </w:pPr>
          </w:p>
        </w:tc>
        <w:tc>
          <w:tcPr>
            <w:tcW w:w="1560" w:type="dxa"/>
            <w:shd w:val="clear" w:color="auto" w:fill="auto"/>
          </w:tcPr>
          <w:p>
            <w:pPr>
              <w:pStyle w:val="GesAbsatz"/>
            </w:pPr>
          </w:p>
        </w:tc>
        <w:tc>
          <w:tcPr>
            <w:tcW w:w="1559" w:type="dxa"/>
            <w:shd w:val="clear" w:color="auto" w:fill="auto"/>
          </w:tcPr>
          <w:p>
            <w:pPr>
              <w:pStyle w:val="GesAbsatz"/>
            </w:pPr>
          </w:p>
        </w:tc>
      </w:tr>
      <w:tr>
        <w:tc>
          <w:tcPr>
            <w:tcW w:w="3227" w:type="dxa"/>
            <w:shd w:val="clear" w:color="auto" w:fill="auto"/>
          </w:tcPr>
          <w:p>
            <w:pPr>
              <w:pStyle w:val="GesAbsatz"/>
              <w:jc w:val="left"/>
            </w:pPr>
            <w:r>
              <w:t>Papier und Karton für Verpackungszwecke</w:t>
            </w:r>
          </w:p>
        </w:tc>
        <w:tc>
          <w:tcPr>
            <w:tcW w:w="1559" w:type="dxa"/>
            <w:shd w:val="clear" w:color="auto" w:fill="auto"/>
          </w:tcPr>
          <w:p>
            <w:pPr>
              <w:pStyle w:val="GesAbsatz"/>
            </w:pPr>
          </w:p>
        </w:tc>
        <w:tc>
          <w:tcPr>
            <w:tcW w:w="1559" w:type="dxa"/>
            <w:shd w:val="clear" w:color="auto" w:fill="auto"/>
          </w:tcPr>
          <w:p>
            <w:pPr>
              <w:pStyle w:val="GesAbsatz"/>
            </w:pPr>
          </w:p>
        </w:tc>
        <w:tc>
          <w:tcPr>
            <w:tcW w:w="1560" w:type="dxa"/>
            <w:shd w:val="clear" w:color="auto" w:fill="auto"/>
          </w:tcPr>
          <w:p>
            <w:pPr>
              <w:pStyle w:val="GesAbsatz"/>
            </w:pPr>
          </w:p>
        </w:tc>
        <w:tc>
          <w:tcPr>
            <w:tcW w:w="1559" w:type="dxa"/>
            <w:shd w:val="clear" w:color="auto" w:fill="auto"/>
          </w:tcPr>
          <w:p>
            <w:pPr>
              <w:pStyle w:val="GesAbsatz"/>
            </w:pPr>
          </w:p>
        </w:tc>
      </w:tr>
      <w:tr>
        <w:tc>
          <w:tcPr>
            <w:tcW w:w="3227" w:type="dxa"/>
            <w:shd w:val="clear" w:color="auto" w:fill="auto"/>
          </w:tcPr>
          <w:p>
            <w:pPr>
              <w:pStyle w:val="GesAbsatz"/>
              <w:jc w:val="left"/>
            </w:pPr>
            <w:r>
              <w:t>Kartonverbundstoffe für Verpackungszwecke</w:t>
            </w:r>
          </w:p>
        </w:tc>
        <w:tc>
          <w:tcPr>
            <w:tcW w:w="1559" w:type="dxa"/>
            <w:shd w:val="clear" w:color="auto" w:fill="auto"/>
          </w:tcPr>
          <w:p>
            <w:pPr>
              <w:pStyle w:val="GesAbsatz"/>
            </w:pPr>
          </w:p>
        </w:tc>
        <w:tc>
          <w:tcPr>
            <w:tcW w:w="1559" w:type="dxa"/>
            <w:shd w:val="clear" w:color="auto" w:fill="auto"/>
          </w:tcPr>
          <w:p>
            <w:pPr>
              <w:pStyle w:val="GesAbsatz"/>
            </w:pPr>
          </w:p>
        </w:tc>
        <w:tc>
          <w:tcPr>
            <w:tcW w:w="1560" w:type="dxa"/>
            <w:shd w:val="clear" w:color="auto" w:fill="auto"/>
          </w:tcPr>
          <w:p>
            <w:pPr>
              <w:pStyle w:val="GesAbsatz"/>
            </w:pPr>
          </w:p>
        </w:tc>
        <w:tc>
          <w:tcPr>
            <w:tcW w:w="1559" w:type="dxa"/>
            <w:shd w:val="clear" w:color="auto" w:fill="auto"/>
          </w:tcPr>
          <w:p>
            <w:pPr>
              <w:pStyle w:val="GesAbsatz"/>
            </w:pPr>
          </w:p>
        </w:tc>
      </w:tr>
      <w:tr>
        <w:tc>
          <w:tcPr>
            <w:tcW w:w="3227" w:type="dxa"/>
            <w:shd w:val="clear" w:color="auto" w:fill="auto"/>
          </w:tcPr>
          <w:p>
            <w:pPr>
              <w:pStyle w:val="GesAbsatz"/>
              <w:jc w:val="left"/>
            </w:pPr>
            <w:r>
              <w:t>Eisenmetalle für Verpackungszwecke</w:t>
            </w:r>
          </w:p>
        </w:tc>
        <w:tc>
          <w:tcPr>
            <w:tcW w:w="1559" w:type="dxa"/>
            <w:shd w:val="clear" w:color="auto" w:fill="auto"/>
          </w:tcPr>
          <w:p>
            <w:pPr>
              <w:pStyle w:val="GesAbsatz"/>
            </w:pPr>
          </w:p>
        </w:tc>
        <w:tc>
          <w:tcPr>
            <w:tcW w:w="1559" w:type="dxa"/>
            <w:shd w:val="clear" w:color="auto" w:fill="auto"/>
          </w:tcPr>
          <w:p>
            <w:pPr>
              <w:pStyle w:val="GesAbsatz"/>
            </w:pPr>
          </w:p>
        </w:tc>
        <w:tc>
          <w:tcPr>
            <w:tcW w:w="1560" w:type="dxa"/>
            <w:shd w:val="clear" w:color="auto" w:fill="auto"/>
          </w:tcPr>
          <w:p>
            <w:pPr>
              <w:pStyle w:val="GesAbsatz"/>
            </w:pPr>
          </w:p>
        </w:tc>
        <w:tc>
          <w:tcPr>
            <w:tcW w:w="1559" w:type="dxa"/>
            <w:shd w:val="clear" w:color="auto" w:fill="auto"/>
          </w:tcPr>
          <w:p>
            <w:pPr>
              <w:pStyle w:val="GesAbsatz"/>
            </w:pPr>
          </w:p>
        </w:tc>
      </w:tr>
      <w:tr>
        <w:tc>
          <w:tcPr>
            <w:tcW w:w="3227" w:type="dxa"/>
            <w:shd w:val="clear" w:color="auto" w:fill="auto"/>
          </w:tcPr>
          <w:p>
            <w:pPr>
              <w:pStyle w:val="GesAbsatz"/>
              <w:jc w:val="left"/>
            </w:pPr>
            <w:r>
              <w:t>Aluminium für Verpackungszwecke</w:t>
            </w:r>
          </w:p>
        </w:tc>
        <w:tc>
          <w:tcPr>
            <w:tcW w:w="1559" w:type="dxa"/>
            <w:shd w:val="clear" w:color="auto" w:fill="auto"/>
          </w:tcPr>
          <w:p>
            <w:pPr>
              <w:pStyle w:val="GesAbsatz"/>
            </w:pPr>
          </w:p>
        </w:tc>
        <w:tc>
          <w:tcPr>
            <w:tcW w:w="1559" w:type="dxa"/>
            <w:shd w:val="clear" w:color="auto" w:fill="auto"/>
          </w:tcPr>
          <w:p>
            <w:pPr>
              <w:pStyle w:val="GesAbsatz"/>
            </w:pPr>
          </w:p>
        </w:tc>
        <w:tc>
          <w:tcPr>
            <w:tcW w:w="1560" w:type="dxa"/>
            <w:shd w:val="clear" w:color="auto" w:fill="auto"/>
          </w:tcPr>
          <w:p>
            <w:pPr>
              <w:pStyle w:val="GesAbsatz"/>
            </w:pPr>
          </w:p>
        </w:tc>
        <w:tc>
          <w:tcPr>
            <w:tcW w:w="1559" w:type="dxa"/>
            <w:shd w:val="clear" w:color="auto" w:fill="auto"/>
          </w:tcPr>
          <w:p>
            <w:pPr>
              <w:pStyle w:val="GesAbsatz"/>
            </w:pPr>
          </w:p>
        </w:tc>
      </w:tr>
      <w:tr>
        <w:tc>
          <w:tcPr>
            <w:tcW w:w="3227" w:type="dxa"/>
            <w:shd w:val="clear" w:color="auto" w:fill="auto"/>
          </w:tcPr>
          <w:p>
            <w:pPr>
              <w:pStyle w:val="GesAbsatz"/>
              <w:jc w:val="left"/>
            </w:pPr>
            <w:r>
              <w:t>Holz für Verpackungszwecke</w:t>
            </w:r>
          </w:p>
        </w:tc>
        <w:tc>
          <w:tcPr>
            <w:tcW w:w="1559" w:type="dxa"/>
            <w:shd w:val="clear" w:color="auto" w:fill="auto"/>
          </w:tcPr>
          <w:p>
            <w:pPr>
              <w:pStyle w:val="GesAbsatz"/>
            </w:pPr>
          </w:p>
        </w:tc>
        <w:tc>
          <w:tcPr>
            <w:tcW w:w="1559" w:type="dxa"/>
            <w:shd w:val="clear" w:color="auto" w:fill="auto"/>
          </w:tcPr>
          <w:p>
            <w:pPr>
              <w:pStyle w:val="GesAbsatz"/>
            </w:pPr>
          </w:p>
        </w:tc>
        <w:tc>
          <w:tcPr>
            <w:tcW w:w="1560" w:type="dxa"/>
            <w:shd w:val="clear" w:color="auto" w:fill="auto"/>
          </w:tcPr>
          <w:p>
            <w:pPr>
              <w:pStyle w:val="GesAbsatz"/>
            </w:pPr>
          </w:p>
        </w:tc>
        <w:tc>
          <w:tcPr>
            <w:tcW w:w="1559" w:type="dxa"/>
            <w:shd w:val="clear" w:color="auto" w:fill="auto"/>
          </w:tcPr>
          <w:p>
            <w:pPr>
              <w:pStyle w:val="GesAbsatz"/>
            </w:pPr>
          </w:p>
        </w:tc>
      </w:tr>
      <w:tr>
        <w:tc>
          <w:tcPr>
            <w:tcW w:w="3227" w:type="dxa"/>
            <w:shd w:val="clear" w:color="auto" w:fill="auto"/>
          </w:tcPr>
          <w:p>
            <w:pPr>
              <w:pStyle w:val="GesAbsatz"/>
              <w:jc w:val="left"/>
              <w:rPr>
                <w:b/>
              </w:rPr>
            </w:pPr>
            <w:r>
              <w:rPr>
                <w:b/>
              </w:rPr>
              <w:t>Verpackungsabfälle aus Haushalten insgesamt</w:t>
            </w:r>
          </w:p>
        </w:tc>
        <w:tc>
          <w:tcPr>
            <w:tcW w:w="1559" w:type="dxa"/>
            <w:shd w:val="clear" w:color="auto" w:fill="auto"/>
          </w:tcPr>
          <w:p>
            <w:pPr>
              <w:pStyle w:val="GesAbsatz"/>
            </w:pPr>
          </w:p>
        </w:tc>
        <w:tc>
          <w:tcPr>
            <w:tcW w:w="1559" w:type="dxa"/>
            <w:shd w:val="clear" w:color="auto" w:fill="auto"/>
          </w:tcPr>
          <w:p>
            <w:pPr>
              <w:pStyle w:val="GesAbsatz"/>
            </w:pPr>
          </w:p>
        </w:tc>
        <w:tc>
          <w:tcPr>
            <w:tcW w:w="1560" w:type="dxa"/>
            <w:shd w:val="clear" w:color="auto" w:fill="auto"/>
          </w:tcPr>
          <w:p>
            <w:pPr>
              <w:pStyle w:val="GesAbsatz"/>
            </w:pPr>
          </w:p>
        </w:tc>
        <w:tc>
          <w:tcPr>
            <w:tcW w:w="1559" w:type="dxa"/>
            <w:shd w:val="clear" w:color="auto" w:fill="auto"/>
          </w:tcPr>
          <w:p>
            <w:pPr>
              <w:pStyle w:val="GesAbsatz"/>
            </w:pPr>
          </w:p>
        </w:tc>
      </w:tr>
      <w:tr>
        <w:tc>
          <w:tcPr>
            <w:tcW w:w="3227" w:type="dxa"/>
            <w:shd w:val="clear" w:color="auto" w:fill="auto"/>
          </w:tcPr>
          <w:p>
            <w:pPr>
              <w:pStyle w:val="GesAbsatz"/>
              <w:jc w:val="left"/>
              <w:rPr>
                <w:b/>
              </w:rPr>
            </w:pPr>
            <w:r>
              <w:rPr>
                <w:b/>
              </w:rPr>
              <w:t>Abfälle aus anderen Bereichen</w:t>
            </w:r>
          </w:p>
        </w:tc>
        <w:tc>
          <w:tcPr>
            <w:tcW w:w="1559" w:type="dxa"/>
            <w:shd w:val="clear" w:color="auto" w:fill="auto"/>
          </w:tcPr>
          <w:p>
            <w:pPr>
              <w:pStyle w:val="GesAbsatz"/>
            </w:pPr>
          </w:p>
        </w:tc>
        <w:tc>
          <w:tcPr>
            <w:tcW w:w="1559" w:type="dxa"/>
            <w:shd w:val="clear" w:color="auto" w:fill="auto"/>
          </w:tcPr>
          <w:p>
            <w:pPr>
              <w:pStyle w:val="GesAbsatz"/>
            </w:pPr>
          </w:p>
        </w:tc>
        <w:tc>
          <w:tcPr>
            <w:tcW w:w="1560" w:type="dxa"/>
            <w:shd w:val="clear" w:color="auto" w:fill="auto"/>
          </w:tcPr>
          <w:p>
            <w:pPr>
              <w:pStyle w:val="GesAbsatz"/>
            </w:pPr>
          </w:p>
        </w:tc>
        <w:tc>
          <w:tcPr>
            <w:tcW w:w="1559" w:type="dxa"/>
            <w:shd w:val="clear" w:color="auto" w:fill="auto"/>
          </w:tcPr>
          <w:p>
            <w:pPr>
              <w:pStyle w:val="GesAbsatz"/>
            </w:pPr>
          </w:p>
        </w:tc>
      </w:tr>
      <w:tr>
        <w:tc>
          <w:tcPr>
            <w:tcW w:w="3227" w:type="dxa"/>
            <w:shd w:val="clear" w:color="auto" w:fill="auto"/>
          </w:tcPr>
          <w:p>
            <w:pPr>
              <w:pStyle w:val="GesAbsatz"/>
              <w:jc w:val="left"/>
            </w:pPr>
            <w:r>
              <w:t>Glas für Verpackungszwecke</w:t>
            </w:r>
          </w:p>
        </w:tc>
        <w:tc>
          <w:tcPr>
            <w:tcW w:w="1559" w:type="dxa"/>
            <w:shd w:val="clear" w:color="auto" w:fill="auto"/>
          </w:tcPr>
          <w:p>
            <w:pPr>
              <w:pStyle w:val="GesAbsatz"/>
            </w:pPr>
          </w:p>
        </w:tc>
        <w:tc>
          <w:tcPr>
            <w:tcW w:w="1559" w:type="dxa"/>
            <w:shd w:val="clear" w:color="auto" w:fill="auto"/>
          </w:tcPr>
          <w:p>
            <w:pPr>
              <w:pStyle w:val="GesAbsatz"/>
            </w:pPr>
          </w:p>
        </w:tc>
        <w:tc>
          <w:tcPr>
            <w:tcW w:w="1560" w:type="dxa"/>
            <w:shd w:val="clear" w:color="auto" w:fill="auto"/>
          </w:tcPr>
          <w:p>
            <w:pPr>
              <w:pStyle w:val="GesAbsatz"/>
            </w:pPr>
          </w:p>
        </w:tc>
        <w:tc>
          <w:tcPr>
            <w:tcW w:w="1559" w:type="dxa"/>
            <w:shd w:val="clear" w:color="auto" w:fill="auto"/>
          </w:tcPr>
          <w:p>
            <w:pPr>
              <w:pStyle w:val="GesAbsatz"/>
            </w:pPr>
          </w:p>
        </w:tc>
      </w:tr>
      <w:tr>
        <w:tc>
          <w:tcPr>
            <w:tcW w:w="3227" w:type="dxa"/>
            <w:shd w:val="clear" w:color="auto" w:fill="auto"/>
          </w:tcPr>
          <w:p>
            <w:pPr>
              <w:pStyle w:val="GesAbsatz"/>
              <w:jc w:val="left"/>
            </w:pPr>
            <w:r>
              <w:t>Kunststoffe für Verpackungszwecke</w:t>
            </w:r>
          </w:p>
        </w:tc>
        <w:tc>
          <w:tcPr>
            <w:tcW w:w="1559" w:type="dxa"/>
            <w:shd w:val="clear" w:color="auto" w:fill="auto"/>
          </w:tcPr>
          <w:p>
            <w:pPr>
              <w:pStyle w:val="GesAbsatz"/>
            </w:pPr>
          </w:p>
        </w:tc>
        <w:tc>
          <w:tcPr>
            <w:tcW w:w="1559" w:type="dxa"/>
            <w:shd w:val="clear" w:color="auto" w:fill="auto"/>
          </w:tcPr>
          <w:p>
            <w:pPr>
              <w:pStyle w:val="GesAbsatz"/>
            </w:pPr>
          </w:p>
        </w:tc>
        <w:tc>
          <w:tcPr>
            <w:tcW w:w="1560" w:type="dxa"/>
            <w:shd w:val="clear" w:color="auto" w:fill="auto"/>
          </w:tcPr>
          <w:p>
            <w:pPr>
              <w:pStyle w:val="GesAbsatz"/>
            </w:pPr>
          </w:p>
        </w:tc>
        <w:tc>
          <w:tcPr>
            <w:tcW w:w="1559" w:type="dxa"/>
            <w:shd w:val="clear" w:color="auto" w:fill="auto"/>
          </w:tcPr>
          <w:p>
            <w:pPr>
              <w:pStyle w:val="GesAbsatz"/>
            </w:pPr>
          </w:p>
        </w:tc>
      </w:tr>
      <w:tr>
        <w:tc>
          <w:tcPr>
            <w:tcW w:w="3227" w:type="dxa"/>
            <w:shd w:val="clear" w:color="auto" w:fill="auto"/>
          </w:tcPr>
          <w:p>
            <w:pPr>
              <w:pStyle w:val="GesAbsatz"/>
              <w:jc w:val="left"/>
            </w:pPr>
            <w:r>
              <w:t>Papier und Karton für Verpackungszwecke</w:t>
            </w:r>
          </w:p>
        </w:tc>
        <w:tc>
          <w:tcPr>
            <w:tcW w:w="1559" w:type="dxa"/>
            <w:shd w:val="clear" w:color="auto" w:fill="auto"/>
          </w:tcPr>
          <w:p>
            <w:pPr>
              <w:pStyle w:val="GesAbsatz"/>
            </w:pPr>
          </w:p>
        </w:tc>
        <w:tc>
          <w:tcPr>
            <w:tcW w:w="1559" w:type="dxa"/>
            <w:shd w:val="clear" w:color="auto" w:fill="auto"/>
          </w:tcPr>
          <w:p>
            <w:pPr>
              <w:pStyle w:val="GesAbsatz"/>
            </w:pPr>
          </w:p>
        </w:tc>
        <w:tc>
          <w:tcPr>
            <w:tcW w:w="1560" w:type="dxa"/>
            <w:shd w:val="clear" w:color="auto" w:fill="auto"/>
          </w:tcPr>
          <w:p>
            <w:pPr>
              <w:pStyle w:val="GesAbsatz"/>
            </w:pPr>
          </w:p>
        </w:tc>
        <w:tc>
          <w:tcPr>
            <w:tcW w:w="1559" w:type="dxa"/>
            <w:shd w:val="clear" w:color="auto" w:fill="auto"/>
          </w:tcPr>
          <w:p>
            <w:pPr>
              <w:pStyle w:val="GesAbsatz"/>
            </w:pPr>
          </w:p>
        </w:tc>
      </w:tr>
      <w:tr>
        <w:tc>
          <w:tcPr>
            <w:tcW w:w="3227" w:type="dxa"/>
            <w:shd w:val="clear" w:color="auto" w:fill="auto"/>
          </w:tcPr>
          <w:p>
            <w:pPr>
              <w:pStyle w:val="GesAbsatz"/>
              <w:jc w:val="left"/>
            </w:pPr>
            <w:r>
              <w:t>Kartonverbundstoffe für Verpackungszwecke</w:t>
            </w:r>
          </w:p>
        </w:tc>
        <w:tc>
          <w:tcPr>
            <w:tcW w:w="1559" w:type="dxa"/>
            <w:shd w:val="clear" w:color="auto" w:fill="auto"/>
          </w:tcPr>
          <w:p>
            <w:pPr>
              <w:pStyle w:val="GesAbsatz"/>
            </w:pPr>
          </w:p>
        </w:tc>
        <w:tc>
          <w:tcPr>
            <w:tcW w:w="1559" w:type="dxa"/>
            <w:shd w:val="clear" w:color="auto" w:fill="auto"/>
          </w:tcPr>
          <w:p>
            <w:pPr>
              <w:pStyle w:val="GesAbsatz"/>
            </w:pPr>
          </w:p>
        </w:tc>
        <w:tc>
          <w:tcPr>
            <w:tcW w:w="1560" w:type="dxa"/>
            <w:shd w:val="clear" w:color="auto" w:fill="auto"/>
          </w:tcPr>
          <w:p>
            <w:pPr>
              <w:pStyle w:val="GesAbsatz"/>
            </w:pPr>
          </w:p>
        </w:tc>
        <w:tc>
          <w:tcPr>
            <w:tcW w:w="1559" w:type="dxa"/>
            <w:shd w:val="clear" w:color="auto" w:fill="auto"/>
          </w:tcPr>
          <w:p>
            <w:pPr>
              <w:pStyle w:val="GesAbsatz"/>
            </w:pPr>
          </w:p>
        </w:tc>
      </w:tr>
      <w:tr>
        <w:tc>
          <w:tcPr>
            <w:tcW w:w="3227" w:type="dxa"/>
            <w:shd w:val="clear" w:color="auto" w:fill="auto"/>
          </w:tcPr>
          <w:p>
            <w:pPr>
              <w:pStyle w:val="GesAbsatz"/>
              <w:jc w:val="left"/>
            </w:pPr>
            <w:r>
              <w:lastRenderedPageBreak/>
              <w:t>Metalle für Verpackungszwecke</w:t>
            </w:r>
          </w:p>
        </w:tc>
        <w:tc>
          <w:tcPr>
            <w:tcW w:w="1559" w:type="dxa"/>
            <w:shd w:val="clear" w:color="auto" w:fill="auto"/>
          </w:tcPr>
          <w:p>
            <w:pPr>
              <w:pStyle w:val="GesAbsatz"/>
            </w:pPr>
          </w:p>
        </w:tc>
        <w:tc>
          <w:tcPr>
            <w:tcW w:w="1559" w:type="dxa"/>
            <w:shd w:val="clear" w:color="auto" w:fill="auto"/>
          </w:tcPr>
          <w:p>
            <w:pPr>
              <w:pStyle w:val="GesAbsatz"/>
            </w:pPr>
          </w:p>
        </w:tc>
        <w:tc>
          <w:tcPr>
            <w:tcW w:w="1560" w:type="dxa"/>
            <w:shd w:val="clear" w:color="auto" w:fill="auto"/>
          </w:tcPr>
          <w:p>
            <w:pPr>
              <w:pStyle w:val="GesAbsatz"/>
            </w:pPr>
          </w:p>
        </w:tc>
        <w:tc>
          <w:tcPr>
            <w:tcW w:w="1559" w:type="dxa"/>
            <w:shd w:val="clear" w:color="auto" w:fill="auto"/>
          </w:tcPr>
          <w:p>
            <w:pPr>
              <w:pStyle w:val="GesAbsatz"/>
            </w:pPr>
          </w:p>
        </w:tc>
      </w:tr>
      <w:tr>
        <w:tc>
          <w:tcPr>
            <w:tcW w:w="3227" w:type="dxa"/>
            <w:shd w:val="clear" w:color="auto" w:fill="auto"/>
          </w:tcPr>
          <w:p>
            <w:pPr>
              <w:pStyle w:val="GesAbsatz"/>
              <w:jc w:val="left"/>
            </w:pPr>
            <w:r>
              <w:t>Holz für Verpackungszwecke</w:t>
            </w:r>
          </w:p>
        </w:tc>
        <w:tc>
          <w:tcPr>
            <w:tcW w:w="1559" w:type="dxa"/>
            <w:shd w:val="clear" w:color="auto" w:fill="auto"/>
          </w:tcPr>
          <w:p>
            <w:pPr>
              <w:pStyle w:val="GesAbsatz"/>
            </w:pPr>
          </w:p>
        </w:tc>
        <w:tc>
          <w:tcPr>
            <w:tcW w:w="1559" w:type="dxa"/>
            <w:shd w:val="clear" w:color="auto" w:fill="auto"/>
          </w:tcPr>
          <w:p>
            <w:pPr>
              <w:pStyle w:val="GesAbsatz"/>
            </w:pPr>
          </w:p>
        </w:tc>
        <w:tc>
          <w:tcPr>
            <w:tcW w:w="1560" w:type="dxa"/>
            <w:shd w:val="clear" w:color="auto" w:fill="auto"/>
          </w:tcPr>
          <w:p>
            <w:pPr>
              <w:pStyle w:val="GesAbsatz"/>
            </w:pPr>
          </w:p>
        </w:tc>
        <w:tc>
          <w:tcPr>
            <w:tcW w:w="1559" w:type="dxa"/>
            <w:shd w:val="clear" w:color="auto" w:fill="auto"/>
          </w:tcPr>
          <w:p>
            <w:pPr>
              <w:pStyle w:val="GesAbsatz"/>
            </w:pPr>
          </w:p>
        </w:tc>
      </w:tr>
      <w:tr>
        <w:tc>
          <w:tcPr>
            <w:tcW w:w="3227" w:type="dxa"/>
            <w:shd w:val="clear" w:color="auto" w:fill="auto"/>
          </w:tcPr>
          <w:p>
            <w:pPr>
              <w:pStyle w:val="GesAbsatz"/>
              <w:jc w:val="left"/>
              <w:rPr>
                <w:b/>
              </w:rPr>
            </w:pPr>
            <w:r>
              <w:rPr>
                <w:b/>
              </w:rPr>
              <w:t>Verpackungsabfälle aus anderen Bereichen insgesamt</w:t>
            </w:r>
          </w:p>
        </w:tc>
        <w:tc>
          <w:tcPr>
            <w:tcW w:w="1559" w:type="dxa"/>
            <w:shd w:val="clear" w:color="auto" w:fill="auto"/>
          </w:tcPr>
          <w:p>
            <w:pPr>
              <w:pStyle w:val="GesAbsatz"/>
            </w:pPr>
          </w:p>
        </w:tc>
        <w:tc>
          <w:tcPr>
            <w:tcW w:w="1559" w:type="dxa"/>
            <w:shd w:val="clear" w:color="auto" w:fill="auto"/>
          </w:tcPr>
          <w:p>
            <w:pPr>
              <w:pStyle w:val="GesAbsatz"/>
            </w:pPr>
          </w:p>
        </w:tc>
        <w:tc>
          <w:tcPr>
            <w:tcW w:w="1560" w:type="dxa"/>
            <w:shd w:val="clear" w:color="auto" w:fill="auto"/>
          </w:tcPr>
          <w:p>
            <w:pPr>
              <w:pStyle w:val="GesAbsatz"/>
            </w:pPr>
          </w:p>
        </w:tc>
        <w:tc>
          <w:tcPr>
            <w:tcW w:w="1559" w:type="dxa"/>
            <w:shd w:val="clear" w:color="auto" w:fill="auto"/>
          </w:tcPr>
          <w:p>
            <w:pPr>
              <w:pStyle w:val="GesAbsatz"/>
            </w:pPr>
          </w:p>
        </w:tc>
      </w:tr>
    </w:tbl>
    <w:p>
      <w:pPr>
        <w:pStyle w:val="GesAbsatz"/>
      </w:pPr>
    </w:p>
    <w:p>
      <w:pPr>
        <w:pStyle w:val="GesAbsatz"/>
        <w:rPr>
          <w:b/>
        </w:rPr>
      </w:pPr>
      <w:r>
        <w:rPr>
          <w:b/>
        </w:rPr>
        <w:t>Tabelle 4</w:t>
      </w:r>
    </w:p>
    <w:p>
      <w:pPr>
        <w:pStyle w:val="GesAbsatz"/>
        <w:jc w:val="center"/>
        <w:rPr>
          <w:b/>
        </w:rPr>
      </w:pPr>
      <w:r>
        <w:rPr>
          <w:b/>
        </w:rPr>
        <w:t>Mengen der in dem Mitgliedstaat verwerteten - einschließlich stofflich</w:t>
      </w:r>
      <w:r>
        <w:rPr>
          <w:b/>
        </w:rPr>
        <w:br/>
        <w:t>verwerteter - Verpackungsabfälle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1629"/>
        <w:gridCol w:w="12"/>
        <w:gridCol w:w="1336"/>
        <w:gridCol w:w="992"/>
        <w:gridCol w:w="1276"/>
        <w:gridCol w:w="992"/>
      </w:tblGrid>
      <w:tr>
        <w:tc>
          <w:tcPr>
            <w:tcW w:w="3227" w:type="dxa"/>
            <w:shd w:val="clear" w:color="auto" w:fill="auto"/>
          </w:tcPr>
          <w:p>
            <w:pPr>
              <w:pStyle w:val="GesAbsatz"/>
            </w:pPr>
          </w:p>
        </w:tc>
        <w:tc>
          <w:tcPr>
            <w:tcW w:w="1629" w:type="dxa"/>
            <w:shd w:val="clear" w:color="auto" w:fill="auto"/>
          </w:tcPr>
          <w:p>
            <w:pPr>
              <w:pStyle w:val="GesAbsatz"/>
              <w:jc w:val="center"/>
            </w:pPr>
            <w:r>
              <w:t>Verwertete und beseitigte Gesamtmengen (in Tonnen)</w:t>
            </w:r>
          </w:p>
        </w:tc>
        <w:tc>
          <w:tcPr>
            <w:tcW w:w="2340" w:type="dxa"/>
            <w:gridSpan w:val="3"/>
            <w:shd w:val="clear" w:color="auto" w:fill="auto"/>
            <w:vAlign w:val="center"/>
          </w:tcPr>
          <w:p>
            <w:pPr>
              <w:pStyle w:val="GesAbsatz"/>
              <w:jc w:val="center"/>
            </w:pPr>
            <w:r>
              <w:t>Stofflich verwertete Menge</w:t>
            </w:r>
          </w:p>
        </w:tc>
        <w:tc>
          <w:tcPr>
            <w:tcW w:w="2268" w:type="dxa"/>
            <w:gridSpan w:val="2"/>
            <w:shd w:val="clear" w:color="auto" w:fill="auto"/>
            <w:vAlign w:val="center"/>
          </w:tcPr>
          <w:p>
            <w:pPr>
              <w:pStyle w:val="GesAbsatz"/>
              <w:jc w:val="center"/>
            </w:pPr>
            <w:r>
              <w:t>Verwertete Mengen</w:t>
            </w:r>
          </w:p>
        </w:tc>
      </w:tr>
      <w:tr>
        <w:tc>
          <w:tcPr>
            <w:tcW w:w="3227" w:type="dxa"/>
            <w:shd w:val="clear" w:color="auto" w:fill="auto"/>
          </w:tcPr>
          <w:p>
            <w:pPr>
              <w:pStyle w:val="GesAbsatz"/>
            </w:pPr>
          </w:p>
        </w:tc>
        <w:tc>
          <w:tcPr>
            <w:tcW w:w="1629" w:type="dxa"/>
            <w:shd w:val="clear" w:color="auto" w:fill="auto"/>
          </w:tcPr>
          <w:p>
            <w:pPr>
              <w:pStyle w:val="GesAbsatz"/>
            </w:pPr>
          </w:p>
        </w:tc>
        <w:tc>
          <w:tcPr>
            <w:tcW w:w="1348" w:type="dxa"/>
            <w:gridSpan w:val="2"/>
            <w:shd w:val="clear" w:color="auto" w:fill="auto"/>
          </w:tcPr>
          <w:p>
            <w:pPr>
              <w:pStyle w:val="GesAbsatz"/>
              <w:jc w:val="center"/>
            </w:pPr>
            <w:r>
              <w:t>(in Tonnen)</w:t>
            </w:r>
          </w:p>
        </w:tc>
        <w:tc>
          <w:tcPr>
            <w:tcW w:w="992" w:type="dxa"/>
            <w:shd w:val="clear" w:color="auto" w:fill="auto"/>
          </w:tcPr>
          <w:p>
            <w:pPr>
              <w:pStyle w:val="GesAbsatz"/>
              <w:jc w:val="center"/>
            </w:pPr>
            <w:r>
              <w:t>(in %)</w:t>
            </w:r>
          </w:p>
        </w:tc>
        <w:tc>
          <w:tcPr>
            <w:tcW w:w="1276" w:type="dxa"/>
            <w:shd w:val="clear" w:color="auto" w:fill="auto"/>
          </w:tcPr>
          <w:p>
            <w:pPr>
              <w:pStyle w:val="GesAbsatz"/>
              <w:jc w:val="center"/>
            </w:pPr>
            <w:r>
              <w:t>(in Tonnen)</w:t>
            </w:r>
          </w:p>
        </w:tc>
        <w:tc>
          <w:tcPr>
            <w:tcW w:w="992" w:type="dxa"/>
            <w:shd w:val="clear" w:color="auto" w:fill="auto"/>
          </w:tcPr>
          <w:p>
            <w:pPr>
              <w:pStyle w:val="GesAbsatz"/>
              <w:jc w:val="center"/>
            </w:pPr>
            <w:r>
              <w:t>(in %)</w:t>
            </w:r>
          </w:p>
        </w:tc>
      </w:tr>
      <w:tr>
        <w:tc>
          <w:tcPr>
            <w:tcW w:w="3227" w:type="dxa"/>
            <w:shd w:val="clear" w:color="auto" w:fill="auto"/>
          </w:tcPr>
          <w:p>
            <w:pPr>
              <w:pStyle w:val="GesAbsatz"/>
              <w:jc w:val="left"/>
              <w:rPr>
                <w:b/>
              </w:rPr>
            </w:pPr>
            <w:r>
              <w:rPr>
                <w:b/>
              </w:rPr>
              <w:t>Abfälle aus Haushalten</w:t>
            </w:r>
          </w:p>
        </w:tc>
        <w:tc>
          <w:tcPr>
            <w:tcW w:w="1641" w:type="dxa"/>
            <w:gridSpan w:val="2"/>
            <w:shd w:val="clear" w:color="auto" w:fill="auto"/>
          </w:tcPr>
          <w:p>
            <w:pPr>
              <w:pStyle w:val="GesAbsatz"/>
            </w:pPr>
          </w:p>
        </w:tc>
        <w:tc>
          <w:tcPr>
            <w:tcW w:w="1336" w:type="dxa"/>
            <w:shd w:val="clear" w:color="auto" w:fill="auto"/>
          </w:tcPr>
          <w:p>
            <w:pPr>
              <w:pStyle w:val="GesAbsatz"/>
            </w:pPr>
          </w:p>
        </w:tc>
        <w:tc>
          <w:tcPr>
            <w:tcW w:w="992" w:type="dxa"/>
            <w:shd w:val="clear" w:color="auto" w:fill="auto"/>
          </w:tcPr>
          <w:p>
            <w:pPr>
              <w:pStyle w:val="GesAbsatz"/>
            </w:pPr>
          </w:p>
        </w:tc>
        <w:tc>
          <w:tcPr>
            <w:tcW w:w="1276" w:type="dxa"/>
            <w:shd w:val="clear" w:color="auto" w:fill="auto"/>
          </w:tcPr>
          <w:p>
            <w:pPr>
              <w:pStyle w:val="GesAbsatz"/>
            </w:pPr>
          </w:p>
        </w:tc>
        <w:tc>
          <w:tcPr>
            <w:tcW w:w="992" w:type="dxa"/>
            <w:shd w:val="clear" w:color="auto" w:fill="auto"/>
          </w:tcPr>
          <w:p>
            <w:pPr>
              <w:pStyle w:val="GesAbsatz"/>
            </w:pPr>
          </w:p>
        </w:tc>
      </w:tr>
      <w:tr>
        <w:tc>
          <w:tcPr>
            <w:tcW w:w="3227" w:type="dxa"/>
            <w:shd w:val="clear" w:color="auto" w:fill="auto"/>
          </w:tcPr>
          <w:p>
            <w:pPr>
              <w:pStyle w:val="GesAbsatz"/>
              <w:jc w:val="left"/>
            </w:pPr>
            <w:r>
              <w:t>Glas für Verpackungszwecke</w:t>
            </w:r>
          </w:p>
        </w:tc>
        <w:tc>
          <w:tcPr>
            <w:tcW w:w="1641" w:type="dxa"/>
            <w:gridSpan w:val="2"/>
            <w:shd w:val="clear" w:color="auto" w:fill="auto"/>
          </w:tcPr>
          <w:p>
            <w:pPr>
              <w:pStyle w:val="GesAbsatz"/>
            </w:pPr>
          </w:p>
        </w:tc>
        <w:tc>
          <w:tcPr>
            <w:tcW w:w="1336" w:type="dxa"/>
            <w:shd w:val="clear" w:color="auto" w:fill="auto"/>
          </w:tcPr>
          <w:p>
            <w:pPr>
              <w:pStyle w:val="GesAbsatz"/>
            </w:pPr>
          </w:p>
        </w:tc>
        <w:tc>
          <w:tcPr>
            <w:tcW w:w="992" w:type="dxa"/>
            <w:shd w:val="clear" w:color="auto" w:fill="auto"/>
          </w:tcPr>
          <w:p>
            <w:pPr>
              <w:pStyle w:val="GesAbsatz"/>
            </w:pPr>
          </w:p>
        </w:tc>
        <w:tc>
          <w:tcPr>
            <w:tcW w:w="1276" w:type="dxa"/>
            <w:shd w:val="clear" w:color="auto" w:fill="auto"/>
          </w:tcPr>
          <w:p>
            <w:pPr>
              <w:pStyle w:val="GesAbsatz"/>
            </w:pPr>
          </w:p>
        </w:tc>
        <w:tc>
          <w:tcPr>
            <w:tcW w:w="992" w:type="dxa"/>
            <w:shd w:val="clear" w:color="auto" w:fill="auto"/>
          </w:tcPr>
          <w:p>
            <w:pPr>
              <w:pStyle w:val="GesAbsatz"/>
            </w:pPr>
          </w:p>
        </w:tc>
      </w:tr>
      <w:tr>
        <w:tc>
          <w:tcPr>
            <w:tcW w:w="3227" w:type="dxa"/>
            <w:shd w:val="clear" w:color="auto" w:fill="auto"/>
          </w:tcPr>
          <w:p>
            <w:pPr>
              <w:pStyle w:val="GesAbsatz"/>
              <w:jc w:val="left"/>
            </w:pPr>
            <w:r>
              <w:t>Kunststoff für Verpackungszwecke</w:t>
            </w:r>
          </w:p>
        </w:tc>
        <w:tc>
          <w:tcPr>
            <w:tcW w:w="1641" w:type="dxa"/>
            <w:gridSpan w:val="2"/>
            <w:shd w:val="clear" w:color="auto" w:fill="auto"/>
          </w:tcPr>
          <w:p>
            <w:pPr>
              <w:pStyle w:val="GesAbsatz"/>
            </w:pPr>
          </w:p>
        </w:tc>
        <w:tc>
          <w:tcPr>
            <w:tcW w:w="1336" w:type="dxa"/>
            <w:shd w:val="clear" w:color="auto" w:fill="auto"/>
          </w:tcPr>
          <w:p>
            <w:pPr>
              <w:pStyle w:val="GesAbsatz"/>
            </w:pPr>
          </w:p>
        </w:tc>
        <w:tc>
          <w:tcPr>
            <w:tcW w:w="992" w:type="dxa"/>
            <w:shd w:val="clear" w:color="auto" w:fill="auto"/>
          </w:tcPr>
          <w:p>
            <w:pPr>
              <w:pStyle w:val="GesAbsatz"/>
            </w:pPr>
          </w:p>
        </w:tc>
        <w:tc>
          <w:tcPr>
            <w:tcW w:w="1276" w:type="dxa"/>
            <w:shd w:val="clear" w:color="auto" w:fill="auto"/>
          </w:tcPr>
          <w:p>
            <w:pPr>
              <w:pStyle w:val="GesAbsatz"/>
            </w:pPr>
          </w:p>
        </w:tc>
        <w:tc>
          <w:tcPr>
            <w:tcW w:w="992" w:type="dxa"/>
            <w:shd w:val="clear" w:color="auto" w:fill="auto"/>
          </w:tcPr>
          <w:p>
            <w:pPr>
              <w:pStyle w:val="GesAbsatz"/>
            </w:pPr>
          </w:p>
        </w:tc>
      </w:tr>
      <w:tr>
        <w:tc>
          <w:tcPr>
            <w:tcW w:w="3227" w:type="dxa"/>
            <w:shd w:val="clear" w:color="auto" w:fill="auto"/>
          </w:tcPr>
          <w:p>
            <w:pPr>
              <w:pStyle w:val="GesAbsatz"/>
              <w:jc w:val="left"/>
            </w:pPr>
            <w:r>
              <w:t>Papier und Karton für Verpackungszwecke</w:t>
            </w:r>
          </w:p>
        </w:tc>
        <w:tc>
          <w:tcPr>
            <w:tcW w:w="1641" w:type="dxa"/>
            <w:gridSpan w:val="2"/>
            <w:shd w:val="clear" w:color="auto" w:fill="auto"/>
          </w:tcPr>
          <w:p>
            <w:pPr>
              <w:pStyle w:val="GesAbsatz"/>
            </w:pPr>
          </w:p>
        </w:tc>
        <w:tc>
          <w:tcPr>
            <w:tcW w:w="1336" w:type="dxa"/>
            <w:shd w:val="clear" w:color="auto" w:fill="auto"/>
          </w:tcPr>
          <w:p>
            <w:pPr>
              <w:pStyle w:val="GesAbsatz"/>
            </w:pPr>
          </w:p>
        </w:tc>
        <w:tc>
          <w:tcPr>
            <w:tcW w:w="992" w:type="dxa"/>
            <w:shd w:val="clear" w:color="auto" w:fill="auto"/>
          </w:tcPr>
          <w:p>
            <w:pPr>
              <w:pStyle w:val="GesAbsatz"/>
            </w:pPr>
          </w:p>
        </w:tc>
        <w:tc>
          <w:tcPr>
            <w:tcW w:w="1276" w:type="dxa"/>
            <w:shd w:val="clear" w:color="auto" w:fill="auto"/>
          </w:tcPr>
          <w:p>
            <w:pPr>
              <w:pStyle w:val="GesAbsatz"/>
            </w:pPr>
          </w:p>
        </w:tc>
        <w:tc>
          <w:tcPr>
            <w:tcW w:w="992" w:type="dxa"/>
            <w:shd w:val="clear" w:color="auto" w:fill="auto"/>
          </w:tcPr>
          <w:p>
            <w:pPr>
              <w:pStyle w:val="GesAbsatz"/>
            </w:pPr>
          </w:p>
        </w:tc>
      </w:tr>
      <w:tr>
        <w:tc>
          <w:tcPr>
            <w:tcW w:w="3227" w:type="dxa"/>
            <w:shd w:val="clear" w:color="auto" w:fill="auto"/>
          </w:tcPr>
          <w:p>
            <w:pPr>
              <w:pStyle w:val="GesAbsatz"/>
              <w:jc w:val="left"/>
            </w:pPr>
            <w:r>
              <w:t>Kartonverbundstoffe für Verpackungszwecke</w:t>
            </w:r>
          </w:p>
        </w:tc>
        <w:tc>
          <w:tcPr>
            <w:tcW w:w="1641" w:type="dxa"/>
            <w:gridSpan w:val="2"/>
            <w:shd w:val="clear" w:color="auto" w:fill="auto"/>
          </w:tcPr>
          <w:p>
            <w:pPr>
              <w:pStyle w:val="GesAbsatz"/>
            </w:pPr>
          </w:p>
        </w:tc>
        <w:tc>
          <w:tcPr>
            <w:tcW w:w="1336" w:type="dxa"/>
            <w:shd w:val="clear" w:color="auto" w:fill="auto"/>
          </w:tcPr>
          <w:p>
            <w:pPr>
              <w:pStyle w:val="GesAbsatz"/>
            </w:pPr>
          </w:p>
        </w:tc>
        <w:tc>
          <w:tcPr>
            <w:tcW w:w="992" w:type="dxa"/>
            <w:shd w:val="clear" w:color="auto" w:fill="auto"/>
          </w:tcPr>
          <w:p>
            <w:pPr>
              <w:pStyle w:val="GesAbsatz"/>
            </w:pPr>
          </w:p>
        </w:tc>
        <w:tc>
          <w:tcPr>
            <w:tcW w:w="1276" w:type="dxa"/>
            <w:shd w:val="clear" w:color="auto" w:fill="auto"/>
          </w:tcPr>
          <w:p>
            <w:pPr>
              <w:pStyle w:val="GesAbsatz"/>
            </w:pPr>
          </w:p>
        </w:tc>
        <w:tc>
          <w:tcPr>
            <w:tcW w:w="992" w:type="dxa"/>
            <w:shd w:val="clear" w:color="auto" w:fill="auto"/>
          </w:tcPr>
          <w:p>
            <w:pPr>
              <w:pStyle w:val="GesAbsatz"/>
            </w:pPr>
          </w:p>
        </w:tc>
      </w:tr>
      <w:tr>
        <w:tc>
          <w:tcPr>
            <w:tcW w:w="3227" w:type="dxa"/>
            <w:shd w:val="clear" w:color="auto" w:fill="auto"/>
          </w:tcPr>
          <w:p>
            <w:pPr>
              <w:pStyle w:val="GesAbsatz"/>
              <w:jc w:val="left"/>
            </w:pPr>
            <w:r>
              <w:t>Eisenmetalle für Verpackungszwecke</w:t>
            </w:r>
          </w:p>
        </w:tc>
        <w:tc>
          <w:tcPr>
            <w:tcW w:w="1641" w:type="dxa"/>
            <w:gridSpan w:val="2"/>
            <w:shd w:val="clear" w:color="auto" w:fill="auto"/>
          </w:tcPr>
          <w:p>
            <w:pPr>
              <w:pStyle w:val="GesAbsatz"/>
            </w:pPr>
          </w:p>
        </w:tc>
        <w:tc>
          <w:tcPr>
            <w:tcW w:w="1336" w:type="dxa"/>
            <w:shd w:val="clear" w:color="auto" w:fill="auto"/>
          </w:tcPr>
          <w:p>
            <w:pPr>
              <w:pStyle w:val="GesAbsatz"/>
            </w:pPr>
          </w:p>
        </w:tc>
        <w:tc>
          <w:tcPr>
            <w:tcW w:w="992" w:type="dxa"/>
            <w:shd w:val="clear" w:color="auto" w:fill="auto"/>
          </w:tcPr>
          <w:p>
            <w:pPr>
              <w:pStyle w:val="GesAbsatz"/>
            </w:pPr>
          </w:p>
        </w:tc>
        <w:tc>
          <w:tcPr>
            <w:tcW w:w="1276" w:type="dxa"/>
            <w:shd w:val="clear" w:color="auto" w:fill="auto"/>
          </w:tcPr>
          <w:p>
            <w:pPr>
              <w:pStyle w:val="GesAbsatz"/>
            </w:pPr>
          </w:p>
        </w:tc>
        <w:tc>
          <w:tcPr>
            <w:tcW w:w="992" w:type="dxa"/>
            <w:shd w:val="clear" w:color="auto" w:fill="auto"/>
          </w:tcPr>
          <w:p>
            <w:pPr>
              <w:pStyle w:val="GesAbsatz"/>
            </w:pPr>
          </w:p>
        </w:tc>
      </w:tr>
      <w:tr>
        <w:tc>
          <w:tcPr>
            <w:tcW w:w="3227" w:type="dxa"/>
            <w:shd w:val="clear" w:color="auto" w:fill="auto"/>
          </w:tcPr>
          <w:p>
            <w:pPr>
              <w:pStyle w:val="GesAbsatz"/>
              <w:jc w:val="left"/>
            </w:pPr>
            <w:r>
              <w:t>Aluminium für Verpackungszwecke</w:t>
            </w:r>
          </w:p>
        </w:tc>
        <w:tc>
          <w:tcPr>
            <w:tcW w:w="1641" w:type="dxa"/>
            <w:gridSpan w:val="2"/>
            <w:shd w:val="clear" w:color="auto" w:fill="auto"/>
          </w:tcPr>
          <w:p>
            <w:pPr>
              <w:pStyle w:val="GesAbsatz"/>
            </w:pPr>
          </w:p>
        </w:tc>
        <w:tc>
          <w:tcPr>
            <w:tcW w:w="1336" w:type="dxa"/>
            <w:shd w:val="clear" w:color="auto" w:fill="auto"/>
          </w:tcPr>
          <w:p>
            <w:pPr>
              <w:pStyle w:val="GesAbsatz"/>
            </w:pPr>
          </w:p>
        </w:tc>
        <w:tc>
          <w:tcPr>
            <w:tcW w:w="992" w:type="dxa"/>
            <w:shd w:val="clear" w:color="auto" w:fill="auto"/>
          </w:tcPr>
          <w:p>
            <w:pPr>
              <w:pStyle w:val="GesAbsatz"/>
            </w:pPr>
          </w:p>
        </w:tc>
        <w:tc>
          <w:tcPr>
            <w:tcW w:w="1276" w:type="dxa"/>
            <w:shd w:val="clear" w:color="auto" w:fill="auto"/>
          </w:tcPr>
          <w:p>
            <w:pPr>
              <w:pStyle w:val="GesAbsatz"/>
            </w:pPr>
          </w:p>
        </w:tc>
        <w:tc>
          <w:tcPr>
            <w:tcW w:w="992" w:type="dxa"/>
            <w:shd w:val="clear" w:color="auto" w:fill="auto"/>
          </w:tcPr>
          <w:p>
            <w:pPr>
              <w:pStyle w:val="GesAbsatz"/>
            </w:pPr>
          </w:p>
        </w:tc>
      </w:tr>
      <w:tr>
        <w:tc>
          <w:tcPr>
            <w:tcW w:w="3227" w:type="dxa"/>
            <w:shd w:val="clear" w:color="auto" w:fill="auto"/>
          </w:tcPr>
          <w:p>
            <w:pPr>
              <w:pStyle w:val="GesAbsatz"/>
              <w:jc w:val="left"/>
            </w:pPr>
            <w:r>
              <w:t>Holz für Verpackungszwecke</w:t>
            </w:r>
          </w:p>
        </w:tc>
        <w:tc>
          <w:tcPr>
            <w:tcW w:w="1641" w:type="dxa"/>
            <w:gridSpan w:val="2"/>
            <w:shd w:val="clear" w:color="auto" w:fill="auto"/>
          </w:tcPr>
          <w:p>
            <w:pPr>
              <w:pStyle w:val="GesAbsatz"/>
            </w:pPr>
          </w:p>
        </w:tc>
        <w:tc>
          <w:tcPr>
            <w:tcW w:w="1336" w:type="dxa"/>
            <w:shd w:val="clear" w:color="auto" w:fill="auto"/>
          </w:tcPr>
          <w:p>
            <w:pPr>
              <w:pStyle w:val="GesAbsatz"/>
            </w:pPr>
          </w:p>
        </w:tc>
        <w:tc>
          <w:tcPr>
            <w:tcW w:w="992" w:type="dxa"/>
            <w:shd w:val="clear" w:color="auto" w:fill="auto"/>
          </w:tcPr>
          <w:p>
            <w:pPr>
              <w:pStyle w:val="GesAbsatz"/>
            </w:pPr>
          </w:p>
        </w:tc>
        <w:tc>
          <w:tcPr>
            <w:tcW w:w="1276" w:type="dxa"/>
            <w:shd w:val="clear" w:color="auto" w:fill="auto"/>
          </w:tcPr>
          <w:p>
            <w:pPr>
              <w:pStyle w:val="GesAbsatz"/>
            </w:pPr>
          </w:p>
        </w:tc>
        <w:tc>
          <w:tcPr>
            <w:tcW w:w="992" w:type="dxa"/>
            <w:shd w:val="clear" w:color="auto" w:fill="auto"/>
          </w:tcPr>
          <w:p>
            <w:pPr>
              <w:pStyle w:val="GesAbsatz"/>
            </w:pPr>
          </w:p>
        </w:tc>
      </w:tr>
      <w:tr>
        <w:tc>
          <w:tcPr>
            <w:tcW w:w="3227" w:type="dxa"/>
            <w:shd w:val="clear" w:color="auto" w:fill="auto"/>
          </w:tcPr>
          <w:p>
            <w:pPr>
              <w:pStyle w:val="GesAbsatz"/>
              <w:jc w:val="left"/>
              <w:rPr>
                <w:b/>
              </w:rPr>
            </w:pPr>
            <w:r>
              <w:rPr>
                <w:b/>
              </w:rPr>
              <w:t>Verpackungsabfälle aus Haushalten insgesamt</w:t>
            </w:r>
          </w:p>
        </w:tc>
        <w:tc>
          <w:tcPr>
            <w:tcW w:w="1641" w:type="dxa"/>
            <w:gridSpan w:val="2"/>
            <w:shd w:val="clear" w:color="auto" w:fill="auto"/>
          </w:tcPr>
          <w:p>
            <w:pPr>
              <w:pStyle w:val="GesAbsatz"/>
            </w:pPr>
          </w:p>
        </w:tc>
        <w:tc>
          <w:tcPr>
            <w:tcW w:w="1336" w:type="dxa"/>
            <w:shd w:val="clear" w:color="auto" w:fill="auto"/>
          </w:tcPr>
          <w:p>
            <w:pPr>
              <w:pStyle w:val="GesAbsatz"/>
            </w:pPr>
          </w:p>
        </w:tc>
        <w:tc>
          <w:tcPr>
            <w:tcW w:w="992" w:type="dxa"/>
            <w:shd w:val="clear" w:color="auto" w:fill="auto"/>
          </w:tcPr>
          <w:p>
            <w:pPr>
              <w:pStyle w:val="GesAbsatz"/>
            </w:pPr>
          </w:p>
        </w:tc>
        <w:tc>
          <w:tcPr>
            <w:tcW w:w="1276" w:type="dxa"/>
            <w:shd w:val="clear" w:color="auto" w:fill="auto"/>
          </w:tcPr>
          <w:p>
            <w:pPr>
              <w:pStyle w:val="GesAbsatz"/>
            </w:pPr>
          </w:p>
        </w:tc>
        <w:tc>
          <w:tcPr>
            <w:tcW w:w="992" w:type="dxa"/>
            <w:shd w:val="clear" w:color="auto" w:fill="auto"/>
          </w:tcPr>
          <w:p>
            <w:pPr>
              <w:pStyle w:val="GesAbsatz"/>
            </w:pPr>
          </w:p>
        </w:tc>
      </w:tr>
      <w:tr>
        <w:tc>
          <w:tcPr>
            <w:tcW w:w="3227" w:type="dxa"/>
            <w:shd w:val="clear" w:color="auto" w:fill="auto"/>
          </w:tcPr>
          <w:p>
            <w:pPr>
              <w:pStyle w:val="GesAbsatz"/>
              <w:jc w:val="left"/>
              <w:rPr>
                <w:b/>
              </w:rPr>
            </w:pPr>
            <w:r>
              <w:rPr>
                <w:b/>
              </w:rPr>
              <w:t>Abfälle aus anderen Bereichen</w:t>
            </w:r>
          </w:p>
        </w:tc>
        <w:tc>
          <w:tcPr>
            <w:tcW w:w="1641" w:type="dxa"/>
            <w:gridSpan w:val="2"/>
            <w:shd w:val="clear" w:color="auto" w:fill="auto"/>
          </w:tcPr>
          <w:p>
            <w:pPr>
              <w:pStyle w:val="GesAbsatz"/>
            </w:pPr>
          </w:p>
        </w:tc>
        <w:tc>
          <w:tcPr>
            <w:tcW w:w="1336" w:type="dxa"/>
            <w:shd w:val="clear" w:color="auto" w:fill="auto"/>
          </w:tcPr>
          <w:p>
            <w:pPr>
              <w:pStyle w:val="GesAbsatz"/>
            </w:pPr>
          </w:p>
        </w:tc>
        <w:tc>
          <w:tcPr>
            <w:tcW w:w="992" w:type="dxa"/>
            <w:shd w:val="clear" w:color="auto" w:fill="auto"/>
          </w:tcPr>
          <w:p>
            <w:pPr>
              <w:pStyle w:val="GesAbsatz"/>
            </w:pPr>
          </w:p>
        </w:tc>
        <w:tc>
          <w:tcPr>
            <w:tcW w:w="1276" w:type="dxa"/>
            <w:shd w:val="clear" w:color="auto" w:fill="auto"/>
          </w:tcPr>
          <w:p>
            <w:pPr>
              <w:pStyle w:val="GesAbsatz"/>
            </w:pPr>
          </w:p>
        </w:tc>
        <w:tc>
          <w:tcPr>
            <w:tcW w:w="992" w:type="dxa"/>
            <w:shd w:val="clear" w:color="auto" w:fill="auto"/>
          </w:tcPr>
          <w:p>
            <w:pPr>
              <w:pStyle w:val="GesAbsatz"/>
            </w:pPr>
          </w:p>
        </w:tc>
      </w:tr>
      <w:tr>
        <w:tc>
          <w:tcPr>
            <w:tcW w:w="3227" w:type="dxa"/>
            <w:shd w:val="clear" w:color="auto" w:fill="auto"/>
          </w:tcPr>
          <w:p>
            <w:pPr>
              <w:pStyle w:val="GesAbsatz"/>
              <w:jc w:val="left"/>
            </w:pPr>
            <w:r>
              <w:t>Glas für Verpackungszwecke</w:t>
            </w:r>
          </w:p>
        </w:tc>
        <w:tc>
          <w:tcPr>
            <w:tcW w:w="1641" w:type="dxa"/>
            <w:gridSpan w:val="2"/>
            <w:shd w:val="clear" w:color="auto" w:fill="auto"/>
          </w:tcPr>
          <w:p>
            <w:pPr>
              <w:pStyle w:val="GesAbsatz"/>
            </w:pPr>
          </w:p>
        </w:tc>
        <w:tc>
          <w:tcPr>
            <w:tcW w:w="1336" w:type="dxa"/>
            <w:shd w:val="clear" w:color="auto" w:fill="auto"/>
          </w:tcPr>
          <w:p>
            <w:pPr>
              <w:pStyle w:val="GesAbsatz"/>
            </w:pPr>
          </w:p>
        </w:tc>
        <w:tc>
          <w:tcPr>
            <w:tcW w:w="992" w:type="dxa"/>
            <w:shd w:val="clear" w:color="auto" w:fill="auto"/>
          </w:tcPr>
          <w:p>
            <w:pPr>
              <w:pStyle w:val="GesAbsatz"/>
            </w:pPr>
          </w:p>
        </w:tc>
        <w:tc>
          <w:tcPr>
            <w:tcW w:w="1276" w:type="dxa"/>
            <w:shd w:val="clear" w:color="auto" w:fill="auto"/>
          </w:tcPr>
          <w:p>
            <w:pPr>
              <w:pStyle w:val="GesAbsatz"/>
            </w:pPr>
          </w:p>
        </w:tc>
        <w:tc>
          <w:tcPr>
            <w:tcW w:w="992" w:type="dxa"/>
            <w:shd w:val="clear" w:color="auto" w:fill="auto"/>
          </w:tcPr>
          <w:p>
            <w:pPr>
              <w:pStyle w:val="GesAbsatz"/>
            </w:pPr>
          </w:p>
        </w:tc>
      </w:tr>
      <w:tr>
        <w:tc>
          <w:tcPr>
            <w:tcW w:w="3227" w:type="dxa"/>
            <w:shd w:val="clear" w:color="auto" w:fill="auto"/>
          </w:tcPr>
          <w:p>
            <w:pPr>
              <w:pStyle w:val="GesAbsatz"/>
              <w:jc w:val="left"/>
            </w:pPr>
            <w:r>
              <w:t>Kunststoffe für Verpackungszwecke</w:t>
            </w:r>
          </w:p>
        </w:tc>
        <w:tc>
          <w:tcPr>
            <w:tcW w:w="1641" w:type="dxa"/>
            <w:gridSpan w:val="2"/>
            <w:shd w:val="clear" w:color="auto" w:fill="auto"/>
          </w:tcPr>
          <w:p>
            <w:pPr>
              <w:pStyle w:val="GesAbsatz"/>
            </w:pPr>
          </w:p>
        </w:tc>
        <w:tc>
          <w:tcPr>
            <w:tcW w:w="1336" w:type="dxa"/>
            <w:shd w:val="clear" w:color="auto" w:fill="auto"/>
          </w:tcPr>
          <w:p>
            <w:pPr>
              <w:pStyle w:val="GesAbsatz"/>
            </w:pPr>
          </w:p>
        </w:tc>
        <w:tc>
          <w:tcPr>
            <w:tcW w:w="992" w:type="dxa"/>
            <w:shd w:val="clear" w:color="auto" w:fill="auto"/>
          </w:tcPr>
          <w:p>
            <w:pPr>
              <w:pStyle w:val="GesAbsatz"/>
            </w:pPr>
          </w:p>
        </w:tc>
        <w:tc>
          <w:tcPr>
            <w:tcW w:w="1276" w:type="dxa"/>
            <w:shd w:val="clear" w:color="auto" w:fill="auto"/>
          </w:tcPr>
          <w:p>
            <w:pPr>
              <w:pStyle w:val="GesAbsatz"/>
            </w:pPr>
          </w:p>
        </w:tc>
        <w:tc>
          <w:tcPr>
            <w:tcW w:w="992" w:type="dxa"/>
            <w:shd w:val="clear" w:color="auto" w:fill="auto"/>
          </w:tcPr>
          <w:p>
            <w:pPr>
              <w:pStyle w:val="GesAbsatz"/>
            </w:pPr>
          </w:p>
        </w:tc>
      </w:tr>
      <w:tr>
        <w:tc>
          <w:tcPr>
            <w:tcW w:w="3227" w:type="dxa"/>
            <w:shd w:val="clear" w:color="auto" w:fill="auto"/>
          </w:tcPr>
          <w:p>
            <w:pPr>
              <w:pStyle w:val="GesAbsatz"/>
              <w:jc w:val="left"/>
            </w:pPr>
            <w:r>
              <w:t>Papier und Karton für Verpackungszwecke</w:t>
            </w:r>
          </w:p>
        </w:tc>
        <w:tc>
          <w:tcPr>
            <w:tcW w:w="1641" w:type="dxa"/>
            <w:gridSpan w:val="2"/>
            <w:shd w:val="clear" w:color="auto" w:fill="auto"/>
          </w:tcPr>
          <w:p>
            <w:pPr>
              <w:pStyle w:val="GesAbsatz"/>
            </w:pPr>
          </w:p>
        </w:tc>
        <w:tc>
          <w:tcPr>
            <w:tcW w:w="1336" w:type="dxa"/>
            <w:shd w:val="clear" w:color="auto" w:fill="auto"/>
          </w:tcPr>
          <w:p>
            <w:pPr>
              <w:pStyle w:val="GesAbsatz"/>
            </w:pPr>
          </w:p>
        </w:tc>
        <w:tc>
          <w:tcPr>
            <w:tcW w:w="992" w:type="dxa"/>
            <w:shd w:val="clear" w:color="auto" w:fill="auto"/>
          </w:tcPr>
          <w:p>
            <w:pPr>
              <w:pStyle w:val="GesAbsatz"/>
            </w:pPr>
          </w:p>
        </w:tc>
        <w:tc>
          <w:tcPr>
            <w:tcW w:w="1276" w:type="dxa"/>
            <w:shd w:val="clear" w:color="auto" w:fill="auto"/>
          </w:tcPr>
          <w:p>
            <w:pPr>
              <w:pStyle w:val="GesAbsatz"/>
            </w:pPr>
          </w:p>
        </w:tc>
        <w:tc>
          <w:tcPr>
            <w:tcW w:w="992" w:type="dxa"/>
            <w:shd w:val="clear" w:color="auto" w:fill="auto"/>
          </w:tcPr>
          <w:p>
            <w:pPr>
              <w:pStyle w:val="GesAbsatz"/>
            </w:pPr>
          </w:p>
        </w:tc>
      </w:tr>
      <w:tr>
        <w:tc>
          <w:tcPr>
            <w:tcW w:w="3227" w:type="dxa"/>
            <w:shd w:val="clear" w:color="auto" w:fill="auto"/>
          </w:tcPr>
          <w:p>
            <w:pPr>
              <w:pStyle w:val="GesAbsatz"/>
              <w:jc w:val="left"/>
            </w:pPr>
            <w:r>
              <w:t>Kartonverbundstoffe für Verpackungszwecke</w:t>
            </w:r>
          </w:p>
        </w:tc>
        <w:tc>
          <w:tcPr>
            <w:tcW w:w="1641" w:type="dxa"/>
            <w:gridSpan w:val="2"/>
            <w:shd w:val="clear" w:color="auto" w:fill="auto"/>
          </w:tcPr>
          <w:p>
            <w:pPr>
              <w:pStyle w:val="GesAbsatz"/>
            </w:pPr>
          </w:p>
        </w:tc>
        <w:tc>
          <w:tcPr>
            <w:tcW w:w="1336" w:type="dxa"/>
            <w:shd w:val="clear" w:color="auto" w:fill="auto"/>
          </w:tcPr>
          <w:p>
            <w:pPr>
              <w:pStyle w:val="GesAbsatz"/>
            </w:pPr>
          </w:p>
        </w:tc>
        <w:tc>
          <w:tcPr>
            <w:tcW w:w="992" w:type="dxa"/>
            <w:shd w:val="clear" w:color="auto" w:fill="auto"/>
          </w:tcPr>
          <w:p>
            <w:pPr>
              <w:pStyle w:val="GesAbsatz"/>
            </w:pPr>
          </w:p>
        </w:tc>
        <w:tc>
          <w:tcPr>
            <w:tcW w:w="1276" w:type="dxa"/>
            <w:shd w:val="clear" w:color="auto" w:fill="auto"/>
          </w:tcPr>
          <w:p>
            <w:pPr>
              <w:pStyle w:val="GesAbsatz"/>
            </w:pPr>
          </w:p>
        </w:tc>
        <w:tc>
          <w:tcPr>
            <w:tcW w:w="992" w:type="dxa"/>
            <w:shd w:val="clear" w:color="auto" w:fill="auto"/>
          </w:tcPr>
          <w:p>
            <w:pPr>
              <w:pStyle w:val="GesAbsatz"/>
            </w:pPr>
          </w:p>
        </w:tc>
      </w:tr>
      <w:tr>
        <w:tc>
          <w:tcPr>
            <w:tcW w:w="3227" w:type="dxa"/>
            <w:shd w:val="clear" w:color="auto" w:fill="auto"/>
          </w:tcPr>
          <w:p>
            <w:pPr>
              <w:pStyle w:val="GesAbsatz"/>
              <w:jc w:val="left"/>
            </w:pPr>
            <w:r>
              <w:t>Metalle für Verpackungszwecke</w:t>
            </w:r>
          </w:p>
        </w:tc>
        <w:tc>
          <w:tcPr>
            <w:tcW w:w="1641" w:type="dxa"/>
            <w:gridSpan w:val="2"/>
            <w:shd w:val="clear" w:color="auto" w:fill="auto"/>
          </w:tcPr>
          <w:p>
            <w:pPr>
              <w:pStyle w:val="GesAbsatz"/>
            </w:pPr>
          </w:p>
        </w:tc>
        <w:tc>
          <w:tcPr>
            <w:tcW w:w="1336" w:type="dxa"/>
            <w:shd w:val="clear" w:color="auto" w:fill="auto"/>
          </w:tcPr>
          <w:p>
            <w:pPr>
              <w:pStyle w:val="GesAbsatz"/>
            </w:pPr>
          </w:p>
        </w:tc>
        <w:tc>
          <w:tcPr>
            <w:tcW w:w="992" w:type="dxa"/>
            <w:shd w:val="clear" w:color="auto" w:fill="auto"/>
          </w:tcPr>
          <w:p>
            <w:pPr>
              <w:pStyle w:val="GesAbsatz"/>
            </w:pPr>
          </w:p>
        </w:tc>
        <w:tc>
          <w:tcPr>
            <w:tcW w:w="1276" w:type="dxa"/>
            <w:shd w:val="clear" w:color="auto" w:fill="auto"/>
          </w:tcPr>
          <w:p>
            <w:pPr>
              <w:pStyle w:val="GesAbsatz"/>
            </w:pPr>
          </w:p>
        </w:tc>
        <w:tc>
          <w:tcPr>
            <w:tcW w:w="992" w:type="dxa"/>
            <w:shd w:val="clear" w:color="auto" w:fill="auto"/>
          </w:tcPr>
          <w:p>
            <w:pPr>
              <w:pStyle w:val="GesAbsatz"/>
            </w:pPr>
          </w:p>
        </w:tc>
      </w:tr>
      <w:tr>
        <w:tc>
          <w:tcPr>
            <w:tcW w:w="3227" w:type="dxa"/>
            <w:shd w:val="clear" w:color="auto" w:fill="auto"/>
          </w:tcPr>
          <w:p>
            <w:pPr>
              <w:pStyle w:val="GesAbsatz"/>
              <w:jc w:val="left"/>
            </w:pPr>
            <w:r>
              <w:t>Holz für Verpackungszwecke</w:t>
            </w:r>
          </w:p>
        </w:tc>
        <w:tc>
          <w:tcPr>
            <w:tcW w:w="1641" w:type="dxa"/>
            <w:gridSpan w:val="2"/>
            <w:shd w:val="clear" w:color="auto" w:fill="auto"/>
          </w:tcPr>
          <w:p>
            <w:pPr>
              <w:pStyle w:val="GesAbsatz"/>
            </w:pPr>
          </w:p>
        </w:tc>
        <w:tc>
          <w:tcPr>
            <w:tcW w:w="1336" w:type="dxa"/>
            <w:shd w:val="clear" w:color="auto" w:fill="auto"/>
          </w:tcPr>
          <w:p>
            <w:pPr>
              <w:pStyle w:val="GesAbsatz"/>
            </w:pPr>
          </w:p>
        </w:tc>
        <w:tc>
          <w:tcPr>
            <w:tcW w:w="992" w:type="dxa"/>
            <w:shd w:val="clear" w:color="auto" w:fill="auto"/>
          </w:tcPr>
          <w:p>
            <w:pPr>
              <w:pStyle w:val="GesAbsatz"/>
            </w:pPr>
          </w:p>
        </w:tc>
        <w:tc>
          <w:tcPr>
            <w:tcW w:w="1276" w:type="dxa"/>
            <w:shd w:val="clear" w:color="auto" w:fill="auto"/>
          </w:tcPr>
          <w:p>
            <w:pPr>
              <w:pStyle w:val="GesAbsatz"/>
            </w:pPr>
          </w:p>
        </w:tc>
        <w:tc>
          <w:tcPr>
            <w:tcW w:w="992" w:type="dxa"/>
            <w:shd w:val="clear" w:color="auto" w:fill="auto"/>
          </w:tcPr>
          <w:p>
            <w:pPr>
              <w:pStyle w:val="GesAbsatz"/>
            </w:pPr>
          </w:p>
        </w:tc>
      </w:tr>
      <w:tr>
        <w:tc>
          <w:tcPr>
            <w:tcW w:w="3227" w:type="dxa"/>
            <w:shd w:val="clear" w:color="auto" w:fill="auto"/>
          </w:tcPr>
          <w:p>
            <w:pPr>
              <w:pStyle w:val="GesAbsatz"/>
              <w:jc w:val="left"/>
              <w:rPr>
                <w:b/>
              </w:rPr>
            </w:pPr>
            <w:r>
              <w:rPr>
                <w:b/>
              </w:rPr>
              <w:t>Verpackungsabfälle aus anderen Bereichen insgesamt</w:t>
            </w:r>
          </w:p>
        </w:tc>
        <w:tc>
          <w:tcPr>
            <w:tcW w:w="1641" w:type="dxa"/>
            <w:gridSpan w:val="2"/>
            <w:shd w:val="clear" w:color="auto" w:fill="auto"/>
          </w:tcPr>
          <w:p>
            <w:pPr>
              <w:pStyle w:val="GesAbsatz"/>
            </w:pPr>
          </w:p>
        </w:tc>
        <w:tc>
          <w:tcPr>
            <w:tcW w:w="1336" w:type="dxa"/>
            <w:shd w:val="clear" w:color="auto" w:fill="auto"/>
          </w:tcPr>
          <w:p>
            <w:pPr>
              <w:pStyle w:val="GesAbsatz"/>
            </w:pPr>
          </w:p>
        </w:tc>
        <w:tc>
          <w:tcPr>
            <w:tcW w:w="992" w:type="dxa"/>
            <w:shd w:val="clear" w:color="auto" w:fill="auto"/>
          </w:tcPr>
          <w:p>
            <w:pPr>
              <w:pStyle w:val="GesAbsatz"/>
            </w:pPr>
          </w:p>
        </w:tc>
        <w:tc>
          <w:tcPr>
            <w:tcW w:w="1276" w:type="dxa"/>
            <w:shd w:val="clear" w:color="auto" w:fill="auto"/>
          </w:tcPr>
          <w:p>
            <w:pPr>
              <w:pStyle w:val="GesAbsatz"/>
            </w:pPr>
          </w:p>
        </w:tc>
        <w:tc>
          <w:tcPr>
            <w:tcW w:w="992" w:type="dxa"/>
            <w:shd w:val="clear" w:color="auto" w:fill="auto"/>
          </w:tcPr>
          <w:p>
            <w:pPr>
              <w:pStyle w:val="GesAbsatz"/>
            </w:pPr>
          </w:p>
        </w:tc>
      </w:tr>
    </w:tbl>
    <w:p>
      <w:pPr>
        <w:pStyle w:val="GesAbsatz"/>
      </w:pPr>
    </w:p>
    <w:p>
      <w:pPr>
        <w:pStyle w:val="berschrift2"/>
        <w:jc w:val="left"/>
      </w:pPr>
      <w:bookmarkStart w:id="35" w:name="_Toc519579493"/>
      <w:r>
        <w:lastRenderedPageBreak/>
        <w:t>ANHANG IV</w:t>
      </w:r>
      <w:bookmarkEnd w:id="35"/>
    </w:p>
    <w:p>
      <w:pPr>
        <w:pStyle w:val="GesAbsatz"/>
        <w:jc w:val="center"/>
        <w:rPr>
          <w:b/>
        </w:rPr>
      </w:pPr>
      <w:r>
        <w:rPr>
          <w:b/>
        </w:rPr>
        <w:t>NACH ARTIKEL 6 ABSATZ 1A BUCHSTABE d VORZULEGENDER UMSETZUNGSPLAN</w:t>
      </w:r>
    </w:p>
    <w:p>
      <w:pPr>
        <w:pStyle w:val="GesAbsatz"/>
      </w:pPr>
      <w:r>
        <w:t>Der nach Artikel 6 Absatz 1a Buchstabe d vorzulegende Umsetzungsplan enthält</w:t>
      </w:r>
    </w:p>
    <w:p>
      <w:pPr>
        <w:pStyle w:val="GesAbsatz"/>
        <w:ind w:left="426" w:hanging="426"/>
      </w:pPr>
      <w:r>
        <w:t>1.</w:t>
      </w:r>
      <w:r>
        <w:tab/>
        <w:t>eine Bewertung der in der Vergangenheit erreichten, aktuellen und prognostizierten Quoten bei Recycling, Deponierung und anderen Arten der Behandlung von Verpackungsabfällen und der Abfallströme, aus denen sie sich zusammensetzen;</w:t>
      </w:r>
    </w:p>
    <w:p>
      <w:pPr>
        <w:pStyle w:val="GesAbsatz"/>
        <w:ind w:left="426" w:hanging="426"/>
      </w:pPr>
      <w:r>
        <w:t>2.</w:t>
      </w:r>
      <w:r>
        <w:tab/>
        <w:t>eine Bewertung der Umsetzung der bestehenden Abfallbewirtschaftungspläne und Abfallvermeidungsprogramme nach den Artikeln 28 und 29 der Richtlinie 2008/98/EG;</w:t>
      </w:r>
    </w:p>
    <w:p>
      <w:pPr>
        <w:pStyle w:val="GesAbsatz"/>
        <w:ind w:left="426" w:hanging="426"/>
      </w:pPr>
      <w:r>
        <w:t>3.</w:t>
      </w:r>
      <w:r>
        <w:tab/>
        <w:t>die Gründe, aus denen der Mitgliedstaat der Auffassung ist, dass er die jeweilige, in Artikel 6 Absatz 1 Buchstaben g und i festgelegte Zielvorgabe in der dort festgelegten Frist unter Umständen möglicherweise nicht erreichen wird, und eine Bewertung der zur Erfüllung dieser Zielvorgabe nötigen Fristverlängerung;</w:t>
      </w:r>
    </w:p>
    <w:p>
      <w:pPr>
        <w:pStyle w:val="GesAbsatz"/>
        <w:ind w:left="426" w:hanging="426"/>
      </w:pPr>
      <w:r>
        <w:t>4.</w:t>
      </w:r>
      <w:r>
        <w:tab/>
        <w:t xml:space="preserve">die zur Erfüllung der Zielvorgaben nach Artikel 6 Absatz 1 Buchstaben g und i dieser Richtlinie notwendigen Maßnahmen, die während der Fristverlängerung für den Mitgliedstaat gelten, einschließlich geeigneter wirtschaftlicher Instrumente und anderer Maßnahmen, die Anreize für die Anwendung der Abfallhierarchie gemäß Artikel 4 Absatz 1 und Anhang </w:t>
      </w:r>
      <w:proofErr w:type="spellStart"/>
      <w:r>
        <w:t>IVa</w:t>
      </w:r>
      <w:proofErr w:type="spellEnd"/>
      <w:r>
        <w:t xml:space="preserve"> der Richtlinie 2008/98/EG bieten;</w:t>
      </w:r>
    </w:p>
    <w:p>
      <w:pPr>
        <w:pStyle w:val="GesAbsatz"/>
        <w:ind w:left="426" w:hanging="426"/>
      </w:pPr>
      <w:r>
        <w:t>5.</w:t>
      </w:r>
      <w:r>
        <w:tab/>
        <w:t>einen Zeitplan für die Durchführung der in Nummer 4 genannten Maßnahmen, die Festlegung der für ihre Durchführung zuständigen Stelle und eine Bewertung, wie diese Maßnahmen jeweils zur Erfüllung der im Fall einer Fristverlängerung geltenden Zielvorgaben beitragen;</w:t>
      </w:r>
    </w:p>
    <w:p>
      <w:pPr>
        <w:pStyle w:val="GesAbsatz"/>
        <w:ind w:left="426" w:hanging="426"/>
      </w:pPr>
      <w:r>
        <w:t>6.</w:t>
      </w:r>
      <w:r>
        <w:tab/>
        <w:t>Informationen zu Finanzmitteln für die Abfallbewirtschaftung nach dem Verursacherprinzip und</w:t>
      </w:r>
    </w:p>
    <w:p>
      <w:pPr>
        <w:pStyle w:val="GesAbsatz"/>
        <w:ind w:left="426" w:hanging="426"/>
      </w:pPr>
      <w:r>
        <w:t>7.</w:t>
      </w:r>
      <w:r>
        <w:tab/>
        <w:t>gegebenenfalls Maßnahmen zur Verbesserung der Datenqualität im Sinne einer besseren Planbarkeit und besserer Überwachungsergebnisse in der Abfallbewirtschaftung.</w:t>
      </w:r>
    </w:p>
    <w:p>
      <w:pPr>
        <w:pStyle w:val="GesAbsatz"/>
      </w:pPr>
    </w:p>
    <w:p>
      <w:pPr>
        <w:pStyle w:val="GesAbsatz"/>
      </w:pPr>
    </w:p>
    <w:p>
      <w:pPr>
        <w:pStyle w:val="GesAbsatz"/>
      </w:pPr>
    </w:p>
    <w:sectPr>
      <w:headerReference w:type="even" r:id="rId16"/>
      <w:headerReference w:type="default" r:id="rId17"/>
      <w:footerReference w:type="even" r:id="rId18"/>
      <w:footerReference w:type="default" r:id="rId19"/>
      <w:headerReference w:type="first" r:id="rId20"/>
      <w:footerReference w:type="first" r:id="rId2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20.12.1994 (ABl. L 365 v. 31.12.1994 S. 10)</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r>
    <w:r>
      <w:rPr>
        <w:lang w:val="en-US"/>
      </w:rPr>
      <w:t xml:space="preserve">Stand 30.05.2018 (ABl. </w:t>
    </w:r>
    <w:r>
      <w:t xml:space="preserve">L 150 v. 14.06.2018 S. 141, </w:t>
    </w:r>
    <w:proofErr w:type="spellStart"/>
    <w:r>
      <w:t>ber</w:t>
    </w:r>
    <w:proofErr w:type="spellEnd"/>
    <w:r>
      <w:t>. ABl. L 306 v. 30.11.2018 S. 72)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Nr. C 263 vom 12. 10. 1992, S. 1 und ABl. Nr. C 285 vom 21. 10. 1993, S. 1.</w:t>
      </w:r>
    </w:p>
  </w:footnote>
  <w:footnote w:id="2">
    <w:p>
      <w:pPr>
        <w:pStyle w:val="Funotentext"/>
      </w:pPr>
      <w:r>
        <w:rPr>
          <w:rStyle w:val="Funotenzeichen"/>
        </w:rPr>
        <w:footnoteRef/>
      </w:r>
      <w:r>
        <w:t xml:space="preserve"> ABl. Nr. C 129 vom 10. 5. 1993, S. 18.</w:t>
      </w:r>
    </w:p>
  </w:footnote>
  <w:footnote w:id="3">
    <w:p>
      <w:pPr>
        <w:pStyle w:val="Funotentext"/>
      </w:pPr>
      <w:r>
        <w:rPr>
          <w:rStyle w:val="Funotenzeichen"/>
        </w:rPr>
        <w:footnoteRef/>
      </w:r>
      <w:r>
        <w:t xml:space="preserve"> Stellungnahme des Europäischen Parlaments vom 23. Juni 1993 (ABl. Nr. C 194 vom 19. 7. 1993, S. 177), gemeinsamer Standpunkt des Rates vom 4. März 1994 (ABl. Nr. C 137 vom 19. 5. 1994, S. 65) und </w:t>
      </w:r>
      <w:proofErr w:type="spellStart"/>
      <w:r>
        <w:t>Beschluß</w:t>
      </w:r>
      <w:proofErr w:type="spellEnd"/>
      <w:r>
        <w:t xml:space="preserve"> des Europäischen Parlaments vom 4. Mai 1994 (ABl. Nr. C 205 vom 25. 7. 1994, S. 163). Bestätigt am 2. Dezember 1993 (ABl. Nr. C 342 vom 20. 12. 1993, S. 15). Gemeinsamer Entwurf des Vermittlungsausschusses vom 8. November 1994.</w:t>
      </w:r>
    </w:p>
  </w:footnote>
  <w:footnote w:id="4">
    <w:p>
      <w:pPr>
        <w:pStyle w:val="Funotentext"/>
      </w:pPr>
      <w:r>
        <w:rPr>
          <w:rStyle w:val="Funotenzeichen"/>
        </w:rPr>
        <w:footnoteRef/>
      </w:r>
      <w:r>
        <w:t xml:space="preserve"> ABl. Nr. L 176 vom 6. 7. 1985, S. 18. Richtlinie geändert durch die Richtlinie 91/629/EWG (ABl. Nr. L 377 vom 31. 12. 1991, S. 48).</w:t>
      </w:r>
    </w:p>
  </w:footnote>
  <w:footnote w:id="5">
    <w:p>
      <w:pPr>
        <w:pStyle w:val="Funotentext"/>
      </w:pPr>
      <w:r>
        <w:rPr>
          <w:rStyle w:val="Funotenzeichen"/>
        </w:rPr>
        <w:footnoteRef/>
      </w:r>
      <w:r>
        <w:t xml:space="preserve"> ABl. Nr. C 122 vom 18. 05. 1990, S. 2.</w:t>
      </w:r>
    </w:p>
  </w:footnote>
  <w:footnote w:id="6">
    <w:p>
      <w:pPr>
        <w:pStyle w:val="Funotentext"/>
      </w:pPr>
      <w:r>
        <w:rPr>
          <w:rStyle w:val="Funotenzeichen"/>
        </w:rPr>
        <w:footnoteRef/>
      </w:r>
      <w:r>
        <w:t xml:space="preserve"> ABl. Nr. L 194 vom 25. 7. 1975, S. 39. Richtlinie geändert durch die Richtlinie 91/156/EWG (ABl. Nr. L 78 vom 26. 3. 1991, S. 32).</w:t>
      </w:r>
    </w:p>
  </w:footnote>
  <w:footnote w:id="7">
    <w:p>
      <w:pPr>
        <w:pStyle w:val="Funotentext"/>
      </w:pPr>
      <w:r>
        <w:rPr>
          <w:rStyle w:val="Funotenzeichen"/>
        </w:rPr>
        <w:footnoteRef/>
      </w:r>
      <w:r>
        <w:t xml:space="preserve"> ABl. Nr. L 109 vom 26.4.1983, S. 8. Richtlinie zuletzt geändert durch die Richtlinie 92/400/EWG (ABl. Nr. L 221 vom 6.8.1992, S. 55).</w:t>
      </w:r>
    </w:p>
  </w:footnote>
  <w:footnote w:id="8">
    <w:p>
      <w:pPr>
        <w:pStyle w:val="Funotentext"/>
      </w:pPr>
      <w:r>
        <w:rPr>
          <w:rStyle w:val="Funotenzeichen"/>
        </w:rPr>
        <w:footnoteRef/>
      </w:r>
      <w:r>
        <w:t xml:space="preserve"> ABl. Nr. L 377 vom 31.12.1991, S. 20.</w:t>
      </w:r>
    </w:p>
  </w:footnote>
  <w:footnote w:id="9">
    <w:p>
      <w:pPr>
        <w:pStyle w:val="Funotentext"/>
      </w:pPr>
      <w:r>
        <w:rPr>
          <w:rStyle w:val="Funotenzeichen"/>
        </w:rPr>
        <w:footnoteRef/>
      </w:r>
      <w:r>
        <w:t xml:space="preserve"> 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 (ABl. L 396 vom 30.12.2006, S. 1).</w:t>
      </w:r>
    </w:p>
  </w:footnote>
  <w:footnote w:id="10">
    <w:p>
      <w:pPr>
        <w:pStyle w:val="Funotentext"/>
      </w:pPr>
      <w:r>
        <w:rPr>
          <w:rStyle w:val="Funotenzeichen"/>
        </w:rPr>
        <w:t>10</w:t>
      </w:r>
      <w:r>
        <w:t xml:space="preserve"> Verordnung (EG) Nr. 1013/2006 des Europäischen Parlaments und des Rates vom 14. Juni 2006 über die Verbringung von Abfällen (ABl. L 190 vom 12.7.2006, S. 1).</w:t>
      </w:r>
    </w:p>
  </w:footnote>
  <w:footnote w:id="11">
    <w:p>
      <w:pPr>
        <w:pStyle w:val="Funotentext"/>
      </w:pPr>
      <w:r>
        <w:rPr>
          <w:rStyle w:val="Funotenzeichen"/>
        </w:rPr>
        <w:t>11</w:t>
      </w:r>
      <w:r>
        <w:t xml:space="preserve"> ABl. L 50 vom 20.2.1997, S. 28.</w:t>
      </w:r>
    </w:p>
  </w:footnote>
  <w:footnote w:id="12">
    <w:p>
      <w:pPr>
        <w:pStyle w:val="Funotentext"/>
      </w:pPr>
      <w:r>
        <w:rPr>
          <w:rStyle w:val="Funotenzeichen"/>
        </w:rPr>
        <w:t>12</w:t>
      </w:r>
      <w:r>
        <w:t xml:space="preserve"> ABl. Nr. L 326 vom 29. 12. 1969, S. 36.</w:t>
      </w:r>
    </w:p>
  </w:footnote>
  <w:footnote w:id="13">
    <w:p>
      <w:pPr>
        <w:pStyle w:val="Funotentext"/>
      </w:pPr>
      <w:r>
        <w:rPr>
          <w:rStyle w:val="Funotenzeichen"/>
        </w:rPr>
        <w:t>13</w:t>
      </w:r>
      <w:r>
        <w:t xml:space="preserve"> Entscheidung 2005/270/EG der Kommission vom 22. März 2005 zur Festlegung der Tabellenformate für die Datenbank gemäß der Richtlinie 94/62/EG des Europäischen Parlaments und des Rates über Verpackungen und Verpackungsabfälle (ABl. L 86 vom 5.4.2005, S. 6).</w:t>
      </w:r>
    </w:p>
  </w:footnote>
  <w:footnote w:id="14">
    <w:p>
      <w:pPr>
        <w:pStyle w:val="Funotentext"/>
      </w:pPr>
      <w:r>
        <w:rPr>
          <w:rStyle w:val="Funotenzeichen"/>
        </w:rPr>
        <w:t>14</w:t>
      </w:r>
      <w:r>
        <w:t xml:space="preserve"> 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footnote>
  <w:footnote w:id="15">
    <w:p>
      <w:pPr>
        <w:pStyle w:val="Funotentext"/>
      </w:pPr>
      <w:r>
        <w:rPr>
          <w:rStyle w:val="Funotenzeichen"/>
        </w:rPr>
        <w:t>15</w:t>
      </w:r>
      <w:r>
        <w:t xml:space="preserve"> ABl. L 123 vom 12.5.2016,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40.0-38</w:t>
    </w:r>
  </w:p>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A8DDEF-8609-4E51-BB07-AA9463F4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gsvtu.lanuv.nrw.de/VTUP=13/dokus/2003_1882_eg.pdf" TargetMode="External"/><Relationship Id="rId13" Type="http://schemas.openxmlformats.org/officeDocument/2006/relationships/hyperlink" Target="http://data.europa.eu/eli/dir/2015/720/oj"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eur-lex.europa.eu/legal-content/DE/TXT/PDF/?uri=CELEX:31994L0062&amp;from=DE" TargetMode="External"/><Relationship Id="rId12" Type="http://schemas.openxmlformats.org/officeDocument/2006/relationships/hyperlink" Target="http://data.europa.eu/eli/dir/2013/2/oj"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gsvtu.lanuv.nrw.de/VTUP=13/dokus/2009_219_eg.pdf" TargetMode="External"/><Relationship Id="rId5" Type="http://schemas.openxmlformats.org/officeDocument/2006/relationships/footnotes" Target="footnotes.xml"/><Relationship Id="rId15" Type="http://schemas.openxmlformats.org/officeDocument/2006/relationships/hyperlink" Target="http://data.europa.eu/eli/dir/2018/852/corrigendum/2018-11-30/oj" TargetMode="External"/><Relationship Id="rId23" Type="http://schemas.openxmlformats.org/officeDocument/2006/relationships/theme" Target="theme/theme1.xml"/><Relationship Id="rId10" Type="http://schemas.openxmlformats.org/officeDocument/2006/relationships/hyperlink" Target="http://igsvtu.lanuv.nrw.de/VTUP=13/dokus/2005_20_eg.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igsvtu.lanuv.nrw.de/VTUP=13/dokus/2004_12_eg.pdf" TargetMode="External"/><Relationship Id="rId14" Type="http://schemas.openxmlformats.org/officeDocument/2006/relationships/hyperlink" Target="http://data.europa.eu/eli/dir/2018/852/oj"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DFC9E-C3C9-4980-9C15-D7BECF7D8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23</Pages>
  <Words>9357</Words>
  <Characters>67107</Characters>
  <Application>Microsoft Office Word</Application>
  <DocSecurity>0</DocSecurity>
  <Lines>559</Lines>
  <Paragraphs>152</Paragraphs>
  <ScaleCrop>false</ScaleCrop>
  <HeadingPairs>
    <vt:vector size="2" baseType="variant">
      <vt:variant>
        <vt:lpstr>Titel</vt:lpstr>
      </vt:variant>
      <vt:variant>
        <vt:i4>1</vt:i4>
      </vt:variant>
    </vt:vector>
  </HeadingPairs>
  <TitlesOfParts>
    <vt:vector size="1" baseType="lpstr">
      <vt:lpstr>RICHTLINIE 94/62/EG DES EUROPÄISCHEN PARLAMENTS</vt:lpstr>
    </vt:vector>
  </TitlesOfParts>
  <Company>LANUV NRW</Company>
  <LinksUpToDate>false</LinksUpToDate>
  <CharactersWithSpaces>76312</CharactersWithSpaces>
  <SharedDoc>false</SharedDoc>
  <HLinks>
    <vt:vector size="210" baseType="variant">
      <vt:variant>
        <vt:i4>1114173</vt:i4>
      </vt:variant>
      <vt:variant>
        <vt:i4>188</vt:i4>
      </vt:variant>
      <vt:variant>
        <vt:i4>0</vt:i4>
      </vt:variant>
      <vt:variant>
        <vt:i4>5</vt:i4>
      </vt:variant>
      <vt:variant>
        <vt:lpwstr/>
      </vt:variant>
      <vt:variant>
        <vt:lpwstr>_Toc179336643</vt:lpwstr>
      </vt:variant>
      <vt:variant>
        <vt:i4>1114173</vt:i4>
      </vt:variant>
      <vt:variant>
        <vt:i4>182</vt:i4>
      </vt:variant>
      <vt:variant>
        <vt:i4>0</vt:i4>
      </vt:variant>
      <vt:variant>
        <vt:i4>5</vt:i4>
      </vt:variant>
      <vt:variant>
        <vt:lpwstr/>
      </vt:variant>
      <vt:variant>
        <vt:lpwstr>_Toc179336642</vt:lpwstr>
      </vt:variant>
      <vt:variant>
        <vt:i4>1114173</vt:i4>
      </vt:variant>
      <vt:variant>
        <vt:i4>176</vt:i4>
      </vt:variant>
      <vt:variant>
        <vt:i4>0</vt:i4>
      </vt:variant>
      <vt:variant>
        <vt:i4>5</vt:i4>
      </vt:variant>
      <vt:variant>
        <vt:lpwstr/>
      </vt:variant>
      <vt:variant>
        <vt:lpwstr>_Toc179336641</vt:lpwstr>
      </vt:variant>
      <vt:variant>
        <vt:i4>1114173</vt:i4>
      </vt:variant>
      <vt:variant>
        <vt:i4>170</vt:i4>
      </vt:variant>
      <vt:variant>
        <vt:i4>0</vt:i4>
      </vt:variant>
      <vt:variant>
        <vt:i4>5</vt:i4>
      </vt:variant>
      <vt:variant>
        <vt:lpwstr/>
      </vt:variant>
      <vt:variant>
        <vt:lpwstr>_Toc179336640</vt:lpwstr>
      </vt:variant>
      <vt:variant>
        <vt:i4>1441853</vt:i4>
      </vt:variant>
      <vt:variant>
        <vt:i4>164</vt:i4>
      </vt:variant>
      <vt:variant>
        <vt:i4>0</vt:i4>
      </vt:variant>
      <vt:variant>
        <vt:i4>5</vt:i4>
      </vt:variant>
      <vt:variant>
        <vt:lpwstr/>
      </vt:variant>
      <vt:variant>
        <vt:lpwstr>_Toc179336639</vt:lpwstr>
      </vt:variant>
      <vt:variant>
        <vt:i4>1441853</vt:i4>
      </vt:variant>
      <vt:variant>
        <vt:i4>158</vt:i4>
      </vt:variant>
      <vt:variant>
        <vt:i4>0</vt:i4>
      </vt:variant>
      <vt:variant>
        <vt:i4>5</vt:i4>
      </vt:variant>
      <vt:variant>
        <vt:lpwstr/>
      </vt:variant>
      <vt:variant>
        <vt:lpwstr>_Toc179336638</vt:lpwstr>
      </vt:variant>
      <vt:variant>
        <vt:i4>1441853</vt:i4>
      </vt:variant>
      <vt:variant>
        <vt:i4>152</vt:i4>
      </vt:variant>
      <vt:variant>
        <vt:i4>0</vt:i4>
      </vt:variant>
      <vt:variant>
        <vt:i4>5</vt:i4>
      </vt:variant>
      <vt:variant>
        <vt:lpwstr/>
      </vt:variant>
      <vt:variant>
        <vt:lpwstr>_Toc179336637</vt:lpwstr>
      </vt:variant>
      <vt:variant>
        <vt:i4>1441853</vt:i4>
      </vt:variant>
      <vt:variant>
        <vt:i4>146</vt:i4>
      </vt:variant>
      <vt:variant>
        <vt:i4>0</vt:i4>
      </vt:variant>
      <vt:variant>
        <vt:i4>5</vt:i4>
      </vt:variant>
      <vt:variant>
        <vt:lpwstr/>
      </vt:variant>
      <vt:variant>
        <vt:lpwstr>_Toc179336636</vt:lpwstr>
      </vt:variant>
      <vt:variant>
        <vt:i4>1441853</vt:i4>
      </vt:variant>
      <vt:variant>
        <vt:i4>140</vt:i4>
      </vt:variant>
      <vt:variant>
        <vt:i4>0</vt:i4>
      </vt:variant>
      <vt:variant>
        <vt:i4>5</vt:i4>
      </vt:variant>
      <vt:variant>
        <vt:lpwstr/>
      </vt:variant>
      <vt:variant>
        <vt:lpwstr>_Toc179336635</vt:lpwstr>
      </vt:variant>
      <vt:variant>
        <vt:i4>1441853</vt:i4>
      </vt:variant>
      <vt:variant>
        <vt:i4>134</vt:i4>
      </vt:variant>
      <vt:variant>
        <vt:i4>0</vt:i4>
      </vt:variant>
      <vt:variant>
        <vt:i4>5</vt:i4>
      </vt:variant>
      <vt:variant>
        <vt:lpwstr/>
      </vt:variant>
      <vt:variant>
        <vt:lpwstr>_Toc179336634</vt:lpwstr>
      </vt:variant>
      <vt:variant>
        <vt:i4>1441853</vt:i4>
      </vt:variant>
      <vt:variant>
        <vt:i4>128</vt:i4>
      </vt:variant>
      <vt:variant>
        <vt:i4>0</vt:i4>
      </vt:variant>
      <vt:variant>
        <vt:i4>5</vt:i4>
      </vt:variant>
      <vt:variant>
        <vt:lpwstr/>
      </vt:variant>
      <vt:variant>
        <vt:lpwstr>_Toc179336633</vt:lpwstr>
      </vt:variant>
      <vt:variant>
        <vt:i4>1441853</vt:i4>
      </vt:variant>
      <vt:variant>
        <vt:i4>122</vt:i4>
      </vt:variant>
      <vt:variant>
        <vt:i4>0</vt:i4>
      </vt:variant>
      <vt:variant>
        <vt:i4>5</vt:i4>
      </vt:variant>
      <vt:variant>
        <vt:lpwstr/>
      </vt:variant>
      <vt:variant>
        <vt:lpwstr>_Toc179336632</vt:lpwstr>
      </vt:variant>
      <vt:variant>
        <vt:i4>1441853</vt:i4>
      </vt:variant>
      <vt:variant>
        <vt:i4>116</vt:i4>
      </vt:variant>
      <vt:variant>
        <vt:i4>0</vt:i4>
      </vt:variant>
      <vt:variant>
        <vt:i4>5</vt:i4>
      </vt:variant>
      <vt:variant>
        <vt:lpwstr/>
      </vt:variant>
      <vt:variant>
        <vt:lpwstr>_Toc179336631</vt:lpwstr>
      </vt:variant>
      <vt:variant>
        <vt:i4>1441853</vt:i4>
      </vt:variant>
      <vt:variant>
        <vt:i4>110</vt:i4>
      </vt:variant>
      <vt:variant>
        <vt:i4>0</vt:i4>
      </vt:variant>
      <vt:variant>
        <vt:i4>5</vt:i4>
      </vt:variant>
      <vt:variant>
        <vt:lpwstr/>
      </vt:variant>
      <vt:variant>
        <vt:lpwstr>_Toc179336630</vt:lpwstr>
      </vt:variant>
      <vt:variant>
        <vt:i4>1507389</vt:i4>
      </vt:variant>
      <vt:variant>
        <vt:i4>104</vt:i4>
      </vt:variant>
      <vt:variant>
        <vt:i4>0</vt:i4>
      </vt:variant>
      <vt:variant>
        <vt:i4>5</vt:i4>
      </vt:variant>
      <vt:variant>
        <vt:lpwstr/>
      </vt:variant>
      <vt:variant>
        <vt:lpwstr>_Toc179336629</vt:lpwstr>
      </vt:variant>
      <vt:variant>
        <vt:i4>1507389</vt:i4>
      </vt:variant>
      <vt:variant>
        <vt:i4>98</vt:i4>
      </vt:variant>
      <vt:variant>
        <vt:i4>0</vt:i4>
      </vt:variant>
      <vt:variant>
        <vt:i4>5</vt:i4>
      </vt:variant>
      <vt:variant>
        <vt:lpwstr/>
      </vt:variant>
      <vt:variant>
        <vt:lpwstr>_Toc179336628</vt:lpwstr>
      </vt:variant>
      <vt:variant>
        <vt:i4>1507389</vt:i4>
      </vt:variant>
      <vt:variant>
        <vt:i4>92</vt:i4>
      </vt:variant>
      <vt:variant>
        <vt:i4>0</vt:i4>
      </vt:variant>
      <vt:variant>
        <vt:i4>5</vt:i4>
      </vt:variant>
      <vt:variant>
        <vt:lpwstr/>
      </vt:variant>
      <vt:variant>
        <vt:lpwstr>_Toc179336627</vt:lpwstr>
      </vt:variant>
      <vt:variant>
        <vt:i4>1507389</vt:i4>
      </vt:variant>
      <vt:variant>
        <vt:i4>86</vt:i4>
      </vt:variant>
      <vt:variant>
        <vt:i4>0</vt:i4>
      </vt:variant>
      <vt:variant>
        <vt:i4>5</vt:i4>
      </vt:variant>
      <vt:variant>
        <vt:lpwstr/>
      </vt:variant>
      <vt:variant>
        <vt:lpwstr>_Toc179336626</vt:lpwstr>
      </vt:variant>
      <vt:variant>
        <vt:i4>1507389</vt:i4>
      </vt:variant>
      <vt:variant>
        <vt:i4>80</vt:i4>
      </vt:variant>
      <vt:variant>
        <vt:i4>0</vt:i4>
      </vt:variant>
      <vt:variant>
        <vt:i4>5</vt:i4>
      </vt:variant>
      <vt:variant>
        <vt:lpwstr/>
      </vt:variant>
      <vt:variant>
        <vt:lpwstr>_Toc179336625</vt:lpwstr>
      </vt:variant>
      <vt:variant>
        <vt:i4>1507389</vt:i4>
      </vt:variant>
      <vt:variant>
        <vt:i4>74</vt:i4>
      </vt:variant>
      <vt:variant>
        <vt:i4>0</vt:i4>
      </vt:variant>
      <vt:variant>
        <vt:i4>5</vt:i4>
      </vt:variant>
      <vt:variant>
        <vt:lpwstr/>
      </vt:variant>
      <vt:variant>
        <vt:lpwstr>_Toc179336624</vt:lpwstr>
      </vt:variant>
      <vt:variant>
        <vt:i4>1507389</vt:i4>
      </vt:variant>
      <vt:variant>
        <vt:i4>68</vt:i4>
      </vt:variant>
      <vt:variant>
        <vt:i4>0</vt:i4>
      </vt:variant>
      <vt:variant>
        <vt:i4>5</vt:i4>
      </vt:variant>
      <vt:variant>
        <vt:lpwstr/>
      </vt:variant>
      <vt:variant>
        <vt:lpwstr>_Toc179336623</vt:lpwstr>
      </vt:variant>
      <vt:variant>
        <vt:i4>1507389</vt:i4>
      </vt:variant>
      <vt:variant>
        <vt:i4>62</vt:i4>
      </vt:variant>
      <vt:variant>
        <vt:i4>0</vt:i4>
      </vt:variant>
      <vt:variant>
        <vt:i4>5</vt:i4>
      </vt:variant>
      <vt:variant>
        <vt:lpwstr/>
      </vt:variant>
      <vt:variant>
        <vt:lpwstr>_Toc179336622</vt:lpwstr>
      </vt:variant>
      <vt:variant>
        <vt:i4>1507389</vt:i4>
      </vt:variant>
      <vt:variant>
        <vt:i4>56</vt:i4>
      </vt:variant>
      <vt:variant>
        <vt:i4>0</vt:i4>
      </vt:variant>
      <vt:variant>
        <vt:i4>5</vt:i4>
      </vt:variant>
      <vt:variant>
        <vt:lpwstr/>
      </vt:variant>
      <vt:variant>
        <vt:lpwstr>_Toc179336621</vt:lpwstr>
      </vt:variant>
      <vt:variant>
        <vt:i4>1507389</vt:i4>
      </vt:variant>
      <vt:variant>
        <vt:i4>50</vt:i4>
      </vt:variant>
      <vt:variant>
        <vt:i4>0</vt:i4>
      </vt:variant>
      <vt:variant>
        <vt:i4>5</vt:i4>
      </vt:variant>
      <vt:variant>
        <vt:lpwstr/>
      </vt:variant>
      <vt:variant>
        <vt:lpwstr>_Toc179336620</vt:lpwstr>
      </vt:variant>
      <vt:variant>
        <vt:i4>1310781</vt:i4>
      </vt:variant>
      <vt:variant>
        <vt:i4>44</vt:i4>
      </vt:variant>
      <vt:variant>
        <vt:i4>0</vt:i4>
      </vt:variant>
      <vt:variant>
        <vt:i4>5</vt:i4>
      </vt:variant>
      <vt:variant>
        <vt:lpwstr/>
      </vt:variant>
      <vt:variant>
        <vt:lpwstr>_Toc179336619</vt:lpwstr>
      </vt:variant>
      <vt:variant>
        <vt:i4>1310781</vt:i4>
      </vt:variant>
      <vt:variant>
        <vt:i4>38</vt:i4>
      </vt:variant>
      <vt:variant>
        <vt:i4>0</vt:i4>
      </vt:variant>
      <vt:variant>
        <vt:i4>5</vt:i4>
      </vt:variant>
      <vt:variant>
        <vt:lpwstr/>
      </vt:variant>
      <vt:variant>
        <vt:lpwstr>_Toc179336618</vt:lpwstr>
      </vt:variant>
      <vt:variant>
        <vt:i4>1310781</vt:i4>
      </vt:variant>
      <vt:variant>
        <vt:i4>32</vt:i4>
      </vt:variant>
      <vt:variant>
        <vt:i4>0</vt:i4>
      </vt:variant>
      <vt:variant>
        <vt:i4>5</vt:i4>
      </vt:variant>
      <vt:variant>
        <vt:lpwstr/>
      </vt:variant>
      <vt:variant>
        <vt:lpwstr>_Toc179336617</vt:lpwstr>
      </vt:variant>
      <vt:variant>
        <vt:i4>1310781</vt:i4>
      </vt:variant>
      <vt:variant>
        <vt:i4>26</vt:i4>
      </vt:variant>
      <vt:variant>
        <vt:i4>0</vt:i4>
      </vt:variant>
      <vt:variant>
        <vt:i4>5</vt:i4>
      </vt:variant>
      <vt:variant>
        <vt:lpwstr/>
      </vt:variant>
      <vt:variant>
        <vt:lpwstr>_Toc179336616</vt:lpwstr>
      </vt:variant>
      <vt:variant>
        <vt:i4>1310781</vt:i4>
      </vt:variant>
      <vt:variant>
        <vt:i4>20</vt:i4>
      </vt:variant>
      <vt:variant>
        <vt:i4>0</vt:i4>
      </vt:variant>
      <vt:variant>
        <vt:i4>5</vt:i4>
      </vt:variant>
      <vt:variant>
        <vt:lpwstr/>
      </vt:variant>
      <vt:variant>
        <vt:lpwstr>_Toc179336615</vt:lpwstr>
      </vt:variant>
      <vt:variant>
        <vt:i4>6029331</vt:i4>
      </vt:variant>
      <vt:variant>
        <vt:i4>15</vt:i4>
      </vt:variant>
      <vt:variant>
        <vt:i4>0</vt:i4>
      </vt:variant>
      <vt:variant>
        <vt:i4>5</vt:i4>
      </vt:variant>
      <vt:variant>
        <vt:lpwstr>http://eur-lex.europa.eu/LexUriServ/LexUriServ.do?uri=OJ:L:2013:037:0010:0012:DE:PDF</vt:lpwstr>
      </vt:variant>
      <vt:variant>
        <vt:lpwstr/>
      </vt:variant>
      <vt:variant>
        <vt:i4>5963849</vt:i4>
      </vt:variant>
      <vt:variant>
        <vt:i4>12</vt:i4>
      </vt:variant>
      <vt:variant>
        <vt:i4>0</vt:i4>
      </vt:variant>
      <vt:variant>
        <vt:i4>5</vt:i4>
      </vt:variant>
      <vt:variant>
        <vt:lpwstr>http://igsvtu.lanuv.nrw.de/VTUP=13/dokus/2009_219_eg.pdf</vt:lpwstr>
      </vt:variant>
      <vt:variant>
        <vt:lpwstr/>
      </vt:variant>
      <vt:variant>
        <vt:i4>5963803</vt:i4>
      </vt:variant>
      <vt:variant>
        <vt:i4>9</vt:i4>
      </vt:variant>
      <vt:variant>
        <vt:i4>0</vt:i4>
      </vt:variant>
      <vt:variant>
        <vt:i4>5</vt:i4>
      </vt:variant>
      <vt:variant>
        <vt:lpwstr>http://igsvtu.lanuv.nrw.de/VTUP=13/dokus/2005_20_eg.pdf</vt:lpwstr>
      </vt:variant>
      <vt:variant>
        <vt:lpwstr/>
      </vt:variant>
      <vt:variant>
        <vt:i4>5832729</vt:i4>
      </vt:variant>
      <vt:variant>
        <vt:i4>6</vt:i4>
      </vt:variant>
      <vt:variant>
        <vt:i4>0</vt:i4>
      </vt:variant>
      <vt:variant>
        <vt:i4>5</vt:i4>
      </vt:variant>
      <vt:variant>
        <vt:lpwstr>http://igsvtu.lanuv.nrw.de/VTUP=13/dokus/2004_12_eg.pdf</vt:lpwstr>
      </vt:variant>
      <vt:variant>
        <vt:lpwstr/>
      </vt:variant>
      <vt:variant>
        <vt:i4>6357030</vt:i4>
      </vt:variant>
      <vt:variant>
        <vt:i4>3</vt:i4>
      </vt:variant>
      <vt:variant>
        <vt:i4>0</vt:i4>
      </vt:variant>
      <vt:variant>
        <vt:i4>5</vt:i4>
      </vt:variant>
      <vt:variant>
        <vt:lpwstr>http://igsvtu.lanuv.nrw.de/VTUP=13/dokus/2003_1882_eg.pdf</vt:lpwstr>
      </vt:variant>
      <vt:variant>
        <vt:lpwstr/>
      </vt:variant>
      <vt:variant>
        <vt:i4>3670126</vt:i4>
      </vt:variant>
      <vt:variant>
        <vt:i4>0</vt:i4>
      </vt:variant>
      <vt:variant>
        <vt:i4>0</vt:i4>
      </vt:variant>
      <vt:variant>
        <vt:i4>5</vt:i4>
      </vt:variant>
      <vt:variant>
        <vt:lpwstr>http://eur-lex.europa.eu/LexUriServ/LexUriServ.do?uri=CELEX:31994L0062:DE:HTML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94/62/EG DES EUROPÄISCHEN PARLAMENTS</dc:title>
  <dc:subject>Verpackungen und Verpackungsabfälle</dc:subject>
  <dc:creator>Natrop</dc:creator>
  <dc:description>durchgesehen: 10.2007</dc:description>
  <cp:lastModifiedBy>Rüter, Dr., Ingo</cp:lastModifiedBy>
  <cp:revision>12</cp:revision>
  <cp:lastPrinted>2004-12-14T11:08:00Z</cp:lastPrinted>
  <dcterms:created xsi:type="dcterms:W3CDTF">2018-07-17T06:33:00Z</dcterms:created>
  <dcterms:modified xsi:type="dcterms:W3CDTF">2023-10-24T09:14:00Z</dcterms:modified>
</cp:coreProperties>
</file>