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960408"/>
      <w:r>
        <w:t xml:space="preserve">ENTSCHEIDUNG </w:t>
      </w:r>
      <w:hyperlink r:id="rId7" w:history="1">
        <w:r>
          <w:rPr>
            <w:rStyle w:val="Hyperlink"/>
          </w:rPr>
          <w:t>2005/369/EG</w:t>
        </w:r>
      </w:hyperlink>
      <w:r>
        <w:t xml:space="preserve"> DER KOMMISSION vom 3. Mai 2005</w:t>
      </w:r>
      <w:r>
        <w:br/>
        <w:t>über Bestimmungen zur Überwachung der Einhaltung der Vorschriften</w:t>
      </w:r>
      <w:r>
        <w:br/>
        <w:t>durch die Mitgliedstaaten und zur Festlegung von Datenformaten für die</w:t>
      </w:r>
      <w:r>
        <w:br/>
        <w:t>Zwecke der Richtlinie 2002/96/EG des Europäischen Parlaments und</w:t>
      </w:r>
      <w:r>
        <w:br/>
        <w:t>des Rates über Elektro- und Elektronik-Altgeräte</w:t>
      </w:r>
      <w:bookmarkEnd w:id="0"/>
    </w:p>
    <w:p>
      <w:pPr>
        <w:pStyle w:val="GesAbsatz"/>
        <w:jc w:val="center"/>
      </w:pPr>
      <w:r>
        <w:t>(Bekannt gegeben unter Aktenzeichen K(2005) 1355)</w:t>
      </w:r>
    </w:p>
    <w:p>
      <w:pPr>
        <w:pStyle w:val="GesAbsatz"/>
      </w:pPr>
    </w:p>
    <w:p>
      <w:pPr>
        <w:pStyle w:val="GesAbsatz"/>
      </w:pPr>
    </w:p>
    <w:p>
      <w:pPr>
        <w:pStyle w:val="GesAbsatz"/>
      </w:pPr>
      <w:r>
        <w:t>DIE KOMMISSION DER EUROPÄISCHEN GEMEINSCHAFTEN -</w:t>
      </w:r>
    </w:p>
    <w:p>
      <w:pPr>
        <w:pStyle w:val="GesAbsatz"/>
      </w:pPr>
      <w:r>
        <w:t>gestützt auf den Vertrag zur Gründung der Europäischen Gemeinschaft,</w:t>
      </w:r>
    </w:p>
    <w:p>
      <w:pPr>
        <w:pStyle w:val="GesAbsatz"/>
      </w:pPr>
      <w:r>
        <w:t>gestützt auf die Richtlinie 2002/96/EG des Europäischen Parlaments und des Rates vom 27. Januar 2003 über Elektro- und Elektronik-Altgeräte</w:t>
      </w:r>
      <w:r>
        <w:rPr>
          <w:rStyle w:val="Funotenzeichen"/>
        </w:rPr>
        <w:footnoteReference w:id="1"/>
      </w:r>
      <w:r>
        <w:t>, insbesondere auf Artikel 7 Absatz 3 Unterabsatz 2 und Artikel 12 Absatz 1 Unterabsatz 3,</w:t>
      </w:r>
    </w:p>
    <w:p>
      <w:pPr>
        <w:pStyle w:val="GesAbsatz"/>
      </w:pPr>
      <w:r>
        <w:t xml:space="preserve">in Erwägung nachstehender Gründe: </w:t>
      </w:r>
      <w:bookmarkStart w:id="1" w:name="_GoBack"/>
      <w:bookmarkEnd w:id="1"/>
    </w:p>
    <w:p>
      <w:pPr>
        <w:pStyle w:val="GesAbsatz"/>
      </w:pPr>
      <w:r>
        <w:t>(1) Damit ein Vergleich zwischen den von den Mitgliedstaaten vorgelegten Daten möglich ist, sollte die Berechnungsweise hinsichtlich der Einhaltung der Zielvorgaben des Artikels 7 Absatz 2 der Richtlinie 2002/96/EG harmonisiert werden.</w:t>
      </w:r>
    </w:p>
    <w:p>
      <w:pPr>
        <w:pStyle w:val="GesAbsatz"/>
      </w:pPr>
      <w:r>
        <w:t>(2) Um einen vertretbaren Kompromiss zwischen dem Risiko ungenauer Informationen und dem mit der Ermittlung genauer Angaben verbundenen Verwaltungsaufwand zu finden, sollten die Mitgliedstaaten für die Menge der Materialien und Bauteile von Elektro- und Elektronik-Altgeräten, die verwertet, wieder verwendet oder dem Recycling zugeführt wird, einen Schätzwert angeben können.</w:t>
      </w:r>
    </w:p>
    <w:p>
      <w:pPr>
        <w:pStyle w:val="GesAbsatz"/>
      </w:pPr>
      <w:r>
        <w:t>(3) Gemäß Artikel 6 Absatz 5 der Richtlinie 2002/96/EG kann die Behandlung auch außerhalb des betreffenden Mitgliedstaats oder außerhalb der Gemeinschaft durchgeführt werden, sofern die Verbringung der Elektro- und Elektronik-Altgeräte im Einklang mit der Verordnung (EWG) Nr. 259/93 des Rates vom 1. Februar 1993 zur Überwachung und Kontrolle der Verbringung von Abfällen in der, in die und aus der Europäischen Gemeinschaft</w:t>
      </w:r>
      <w:r>
        <w:rPr>
          <w:rStyle w:val="Funotenzeichen"/>
        </w:rPr>
        <w:footnoteReference w:id="2"/>
      </w:r>
      <w:r>
        <w:t xml:space="preserve"> erfolgt. Die Mitgliedstaaten, die Elektro- und Elektronik-Altgeräte zur Behandlung in einen anderen Mitgliedstaat verbringen oder Elektro- und Elektronik-Altgeräte zur Behandlung in ein Drittland ausführen, sollten die ausgeführte Menge hinsichtlich der Zielvorgaben des Artikels 7 Absatz 2 der Richtlinie 2002/96/EG anrechnen können, sofern die Elektro- und Elektronik-Altgeräte von dem ausführenden Mitgliedstaat gesammelt wurden.</w:t>
      </w:r>
    </w:p>
    <w:p>
      <w:pPr>
        <w:pStyle w:val="GesAbsatz"/>
      </w:pPr>
      <w:r>
        <w:t>(4) Die in dieser Entscheidung vorgesehenen Maßnahmen stehen im Einklang mit der Stellungnahme des gemäß Artikel 18 der Richtlinie 75/442/EWG des Rates</w:t>
      </w:r>
      <w:r>
        <w:rPr>
          <w:rStyle w:val="Funotenzeichen"/>
        </w:rPr>
        <w:footnoteReference w:id="3"/>
      </w:r>
      <w:r>
        <w:t xml:space="preserve"> eingesetzten Ausschusses -</w:t>
      </w:r>
    </w:p>
    <w:p>
      <w:pPr>
        <w:pStyle w:val="GesAbsatz"/>
      </w:pPr>
      <w:r>
        <w:t>HAT FOLGENDE ENTSCHEIDUNG ERLASSEN:</w:t>
      </w:r>
    </w:p>
    <w:p>
      <w:pPr>
        <w:pStyle w:val="berschrift2"/>
      </w:pPr>
      <w:bookmarkStart w:id="2" w:name="_Toc393960409"/>
      <w:r>
        <w:t>Artikel 1</w:t>
      </w:r>
      <w:bookmarkEnd w:id="2"/>
    </w:p>
    <w:p>
      <w:pPr>
        <w:pStyle w:val="GesAbsatz"/>
      </w:pPr>
      <w:r>
        <w:t>Die Mitgliedstaaten verwenden für die Übermittlung der gemäß Artikel 12 Absatz 1 der Richtlinie 2002/96/EG vorgeschriebenen Angaben die Datenformate in Tabelle 1 des Anhangs dieser Entscheidung.</w:t>
      </w:r>
    </w:p>
    <w:p>
      <w:pPr>
        <w:pStyle w:val="berschrift2"/>
      </w:pPr>
      <w:bookmarkStart w:id="3" w:name="_Toc393960410"/>
      <w:r>
        <w:t>Artikel 2</w:t>
      </w:r>
      <w:bookmarkEnd w:id="3"/>
    </w:p>
    <w:p>
      <w:pPr>
        <w:pStyle w:val="GesAbsatz"/>
      </w:pPr>
      <w:r>
        <w:t>(1) Für den Nachweis, dass sie die in Artikel 7 Absatz 2 der Richtlinie 2002/96/EG festgelegten Verwertungs-, Wiederverwendungs- und Recyclingquoten einhalten, füllen die Mitgliedstaaten die Tabelle 2 des Anhangs dieser Entscheidung aus. In dieser Tabelle können die Mitgliedstaaten für den durchschnittlichen Prozentsatz von wieder verwendeten, dem Recycling zugeführten und verwerteten Materialien wie Metallen, Glas und Kunststoffe sowie Bauteilen von Elektro- und Elektronikgeräten Schätzwerte angeben.</w:t>
      </w:r>
    </w:p>
    <w:p>
      <w:pPr>
        <w:pStyle w:val="GesAbsatz"/>
      </w:pPr>
      <w:r>
        <w:lastRenderedPageBreak/>
        <w:t>(2) Elektro- und Elektronik-Altgeräte, die gemäß Artikel 6 Absatz 5 der Richtlinie 2002/96/EG zur Behandlung in ein Drittland ausgeführt oder in einen anderen Mitgliedstaat verbracht wurden, können hinsichtlich der Zielvorgaben des Artikels 7 Absatz 2 der genannten Richtlinie nur für den Mitgliedstaat angerechnet werden, der die Elektro- und Elektronik-Altgeräte gesammelt und ausgeführt hat.</w:t>
      </w:r>
    </w:p>
    <w:p>
      <w:pPr>
        <w:pStyle w:val="GesAbsatz"/>
      </w:pPr>
      <w:r>
        <w:t>(3) Die Mitgliedstaaten legen fest, ob über den in Artikel 6 Absatz 5 Unterabsatz 2 der Richtlinie 2002/96/EG vorgeschriebenen Beweis hinaus weitere Nachweise erforderlich sind.</w:t>
      </w:r>
    </w:p>
    <w:p>
      <w:pPr>
        <w:pStyle w:val="berschrift2"/>
      </w:pPr>
      <w:bookmarkStart w:id="4" w:name="_Toc393960411"/>
      <w:r>
        <w:t>Artikel 3</w:t>
      </w:r>
      <w:bookmarkEnd w:id="4"/>
    </w:p>
    <w:p>
      <w:pPr>
        <w:pStyle w:val="GesAbsatz"/>
      </w:pPr>
      <w:r>
        <w:t>Die Mitgliedstaaten beschreiben bei der Übermittlung der Tabellen 1 und 2 des Anhangs an die Kommission ausführlich, wie die Daten ermittelt wurden, und erläutern die Schätzungen und verwendeten Methoden.</w:t>
      </w:r>
    </w:p>
    <w:p>
      <w:pPr>
        <w:pStyle w:val="berschrift2"/>
      </w:pPr>
      <w:bookmarkStart w:id="5" w:name="_Toc393960412"/>
      <w:r>
        <w:t>Artikel 4</w:t>
      </w:r>
      <w:bookmarkEnd w:id="5"/>
    </w:p>
    <w:p>
      <w:pPr>
        <w:pStyle w:val="GesAbsatz"/>
      </w:pPr>
      <w:r>
        <w:t>Diese Entscheidung ist an alle Mitgliedstaaten gerichtet.</w:t>
      </w:r>
    </w:p>
    <w:p>
      <w:pPr>
        <w:pStyle w:val="GesAbsatz"/>
      </w:pPr>
    </w:p>
    <w:p>
      <w:pPr>
        <w:pStyle w:val="GesAbsatz"/>
        <w:sectPr>
          <w:headerReference w:type="default" r:id="rId8"/>
          <w:footerReference w:type="even" r:id="rId9"/>
          <w:footerReference w:type="default" r:id="rId10"/>
          <w:pgSz w:w="11907" w:h="16840" w:code="9"/>
          <w:pgMar w:top="1134" w:right="851" w:bottom="1134" w:left="1418" w:header="567" w:footer="851" w:gutter="0"/>
          <w:cols w:space="720"/>
        </w:sectPr>
      </w:pPr>
    </w:p>
    <w:p>
      <w:pPr>
        <w:pStyle w:val="berschrift2"/>
        <w:jc w:val="left"/>
      </w:pPr>
      <w:bookmarkStart w:id="6" w:name="_Toc393960413"/>
      <w:r>
        <w:lastRenderedPageBreak/>
        <w:t>ANHANG</w:t>
      </w:r>
      <w:bookmarkEnd w:id="6"/>
    </w:p>
    <w:p>
      <w:pPr>
        <w:pStyle w:val="GesAbsatz"/>
        <w:tabs>
          <w:tab w:val="left" w:pos="1418"/>
        </w:tabs>
        <w:rPr>
          <w:rFonts w:cs="Arial"/>
          <w:b/>
        </w:rPr>
      </w:pPr>
      <w:r>
        <w:rPr>
          <w:b/>
        </w:rPr>
        <w:t>Tabelle 1:</w:t>
      </w:r>
      <w:r>
        <w:rPr>
          <w:b/>
        </w:rPr>
        <w:tab/>
      </w:r>
      <w:r>
        <w:rPr>
          <w:rFonts w:cs="Arial"/>
          <w:b/>
          <w:bCs/>
        </w:rPr>
        <w:t>Elektro- und Elektronik-Altgeräte, Sammlung und Ausfuhr (Artikel 12 und Artikel 5 der Richtlinie 2002/96/EG)</w:t>
      </w:r>
    </w:p>
    <w:tbl>
      <w:tblPr>
        <w:tblW w:w="14067" w:type="dxa"/>
        <w:tblBorders>
          <w:top w:val="nil"/>
          <w:left w:val="nil"/>
          <w:bottom w:val="nil"/>
          <w:right w:val="nil"/>
        </w:tblBorders>
        <w:tblLayout w:type="fixed"/>
        <w:tblLook w:val="0000" w:firstRow="0" w:lastRow="0" w:firstColumn="0" w:lastColumn="0" w:noHBand="0" w:noVBand="0"/>
      </w:tblPr>
      <w:tblGrid>
        <w:gridCol w:w="534"/>
        <w:gridCol w:w="2268"/>
        <w:gridCol w:w="1701"/>
        <w:gridCol w:w="1595"/>
        <w:gridCol w:w="1595"/>
        <w:gridCol w:w="1597"/>
        <w:gridCol w:w="1595"/>
        <w:gridCol w:w="1595"/>
        <w:gridCol w:w="1587"/>
      </w:tblGrid>
      <w:tr>
        <w:trPr>
          <w:trHeight w:val="275"/>
        </w:trPr>
        <w:tc>
          <w:tcPr>
            <w:tcW w:w="2802" w:type="dxa"/>
            <w:gridSpan w:val="2"/>
            <w:tcBorders>
              <w:top w:val="single" w:sz="6"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 xml:space="preserve">Spalte Nr. </w:t>
            </w:r>
          </w:p>
        </w:tc>
        <w:tc>
          <w:tcPr>
            <w:tcW w:w="1701" w:type="dxa"/>
            <w:tcBorders>
              <w:top w:val="single" w:sz="6"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1</w:t>
            </w:r>
          </w:p>
        </w:tc>
        <w:tc>
          <w:tcPr>
            <w:tcW w:w="1595" w:type="dxa"/>
            <w:tcBorders>
              <w:top w:val="single" w:sz="6"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2</w:t>
            </w:r>
          </w:p>
        </w:tc>
        <w:tc>
          <w:tcPr>
            <w:tcW w:w="1595" w:type="dxa"/>
            <w:tcBorders>
              <w:top w:val="single" w:sz="6"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3</w:t>
            </w:r>
          </w:p>
        </w:tc>
        <w:tc>
          <w:tcPr>
            <w:tcW w:w="1597" w:type="dxa"/>
            <w:tcBorders>
              <w:top w:val="single" w:sz="6"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4</w:t>
            </w:r>
          </w:p>
        </w:tc>
        <w:tc>
          <w:tcPr>
            <w:tcW w:w="1595" w:type="dxa"/>
            <w:tcBorders>
              <w:top w:val="single" w:sz="6"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5</w:t>
            </w:r>
          </w:p>
        </w:tc>
        <w:tc>
          <w:tcPr>
            <w:tcW w:w="1595" w:type="dxa"/>
            <w:tcBorders>
              <w:top w:val="single" w:sz="6"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6</w:t>
            </w:r>
          </w:p>
        </w:tc>
        <w:tc>
          <w:tcPr>
            <w:tcW w:w="1587" w:type="dxa"/>
            <w:tcBorders>
              <w:top w:val="single" w:sz="6" w:space="0" w:color="000000"/>
              <w:left w:val="single" w:sz="4" w:space="0" w:color="000000"/>
              <w:bottom w:val="single" w:sz="4" w:space="0" w:color="000000"/>
            </w:tcBorders>
          </w:tcPr>
          <w:p>
            <w:pPr>
              <w:pStyle w:val="GesAbsatz"/>
              <w:jc w:val="center"/>
              <w:rPr>
                <w:rFonts w:cs="Arial"/>
                <w:sz w:val="18"/>
                <w:szCs w:val="18"/>
              </w:rPr>
            </w:pPr>
            <w:r>
              <w:rPr>
                <w:rFonts w:cs="Arial"/>
                <w:sz w:val="18"/>
                <w:szCs w:val="18"/>
              </w:rPr>
              <w:t>7</w:t>
            </w:r>
          </w:p>
        </w:tc>
      </w:tr>
      <w:tr>
        <w:trPr>
          <w:trHeight w:val="608"/>
        </w:trPr>
        <w:tc>
          <w:tcPr>
            <w:tcW w:w="2802" w:type="dxa"/>
            <w:gridSpan w:val="2"/>
            <w:vMerge w:val="restart"/>
            <w:tcBorders>
              <w:top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Produktkategorie</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In Verkehr gebracht</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Gesammelt (private Haushalte)</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Gesammelt (andere Quellen als private Haushalte)</w:t>
            </w:r>
          </w:p>
        </w:tc>
        <w:tc>
          <w:tcPr>
            <w:tcW w:w="1597"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Insgesamt gesammelte Elektro- und Elek</w:t>
            </w:r>
            <w:r>
              <w:rPr>
                <w:rFonts w:cs="Arial"/>
                <w:sz w:val="18"/>
                <w:szCs w:val="18"/>
              </w:rPr>
              <w:softHyphen/>
              <w:t>tronik-Altgeräte</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Im Mitgliedstaat behandelt</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In einem anderen Mitgliedstaat behandelt</w:t>
            </w:r>
          </w:p>
        </w:tc>
        <w:tc>
          <w:tcPr>
            <w:tcW w:w="1587" w:type="dxa"/>
            <w:tcBorders>
              <w:top w:val="single" w:sz="4" w:space="0" w:color="000000"/>
              <w:left w:val="single" w:sz="4" w:space="0" w:color="000000"/>
              <w:bottom w:val="single" w:sz="4" w:space="0" w:color="000000"/>
            </w:tcBorders>
            <w:vAlign w:val="center"/>
          </w:tcPr>
          <w:p>
            <w:pPr>
              <w:pStyle w:val="GesAbsatz"/>
              <w:jc w:val="center"/>
              <w:rPr>
                <w:rFonts w:cs="Arial"/>
                <w:sz w:val="18"/>
                <w:szCs w:val="18"/>
              </w:rPr>
            </w:pPr>
            <w:r>
              <w:rPr>
                <w:rFonts w:cs="Arial"/>
                <w:sz w:val="18"/>
                <w:szCs w:val="18"/>
              </w:rPr>
              <w:t>Außerhalb der EG behandelt</w:t>
            </w:r>
          </w:p>
        </w:tc>
      </w:tr>
      <w:tr>
        <w:trPr>
          <w:trHeight w:val="435"/>
        </w:trPr>
        <w:tc>
          <w:tcPr>
            <w:tcW w:w="2802" w:type="dxa"/>
            <w:gridSpan w:val="2"/>
            <w:vMerge/>
            <w:tcBorders>
              <w:top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 xml:space="preserve">Gesamtgewicht </w:t>
            </w:r>
            <w:r>
              <w:rPr>
                <w:rFonts w:cs="Arial"/>
                <w:sz w:val="18"/>
                <w:szCs w:val="18"/>
                <w:vertAlign w:val="superscript"/>
              </w:rPr>
              <w:t>(1)</w:t>
            </w:r>
            <w:r>
              <w:rPr>
                <w:rFonts w:cs="Arial"/>
                <w:sz w:val="18"/>
                <w:szCs w:val="18"/>
              </w:rPr>
              <w:t xml:space="preserve"> Tonnen</w:t>
            </w: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Gesamtgewicht Tonnen</w:t>
            </w: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Gesamtgewicht Tonnen</w:t>
            </w: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Gesamtgewicht Tonnen</w:t>
            </w: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Gesamtgewicht Tonnen</w:t>
            </w: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center"/>
              <w:rPr>
                <w:rFonts w:cs="Arial"/>
                <w:sz w:val="18"/>
                <w:szCs w:val="18"/>
              </w:rPr>
            </w:pPr>
            <w:r>
              <w:rPr>
                <w:rFonts w:cs="Arial"/>
                <w:sz w:val="18"/>
                <w:szCs w:val="18"/>
              </w:rPr>
              <w:t>Gesamtgewicht Tonnen</w:t>
            </w:r>
          </w:p>
        </w:tc>
        <w:tc>
          <w:tcPr>
            <w:tcW w:w="1587" w:type="dxa"/>
            <w:tcBorders>
              <w:top w:val="single" w:sz="4" w:space="0" w:color="000000"/>
              <w:left w:val="single" w:sz="4" w:space="0" w:color="000000"/>
              <w:bottom w:val="single" w:sz="4" w:space="0" w:color="000000"/>
            </w:tcBorders>
          </w:tcPr>
          <w:p>
            <w:pPr>
              <w:pStyle w:val="GesAbsatz"/>
              <w:jc w:val="center"/>
              <w:rPr>
                <w:rFonts w:cs="Arial"/>
                <w:sz w:val="18"/>
                <w:szCs w:val="18"/>
              </w:rPr>
            </w:pPr>
            <w:r>
              <w:rPr>
                <w:rFonts w:cs="Arial"/>
                <w:sz w:val="18"/>
                <w:szCs w:val="18"/>
              </w:rPr>
              <w:t>Gesamtgewicht Tonnen</w:t>
            </w:r>
          </w:p>
        </w:tc>
      </w:tr>
      <w:tr>
        <w:trPr>
          <w:trHeight w:val="145"/>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1.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Haushaltsgroßgeräte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94"/>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2.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Haushaltskleingeräte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415"/>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3.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IT-und Telekommunikationsgeräte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413"/>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4.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Geräte der Unterhaltungselektronik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99"/>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5.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Beleuchtungskörper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190"/>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5a.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Gasentladungslampen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435"/>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6.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Elektrische und elektronische Werkzeuge </w:t>
            </w:r>
          </w:p>
        </w:tc>
        <w:tc>
          <w:tcPr>
            <w:tcW w:w="1701" w:type="dxa"/>
            <w:tcBorders>
              <w:top w:val="single" w:sz="4" w:space="0" w:color="000000"/>
              <w:left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tcBorders>
          </w:tcPr>
          <w:p>
            <w:pPr>
              <w:pStyle w:val="GesAbsatz"/>
              <w:jc w:val="left"/>
              <w:rPr>
                <w:rFonts w:cs="Arial"/>
                <w:color w:val="auto"/>
                <w:sz w:val="18"/>
                <w:szCs w:val="18"/>
              </w:rPr>
            </w:pPr>
          </w:p>
        </w:tc>
      </w:tr>
      <w:tr>
        <w:trPr>
          <w:trHeight w:val="315"/>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7.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Spielzeug sowie Sport- und Freizeitgeräte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195"/>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8.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Medizinische Geräte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299"/>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 xml:space="preserve">9. </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 xml:space="preserve">Überwachungs- und Kontrollinstrumente </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449"/>
        </w:trPr>
        <w:tc>
          <w:tcPr>
            <w:tcW w:w="534" w:type="dxa"/>
            <w:tcBorders>
              <w:top w:val="single" w:sz="4" w:space="0" w:color="000000"/>
              <w:bottom w:val="single" w:sz="4" w:space="0" w:color="000000"/>
              <w:right w:val="nil"/>
            </w:tcBorders>
          </w:tcPr>
          <w:p>
            <w:pPr>
              <w:pStyle w:val="GesAbsatz"/>
              <w:jc w:val="left"/>
              <w:rPr>
                <w:rFonts w:cs="Arial"/>
                <w:sz w:val="18"/>
                <w:szCs w:val="18"/>
              </w:rPr>
            </w:pPr>
            <w:r>
              <w:rPr>
                <w:rFonts w:cs="Arial"/>
                <w:sz w:val="18"/>
                <w:szCs w:val="18"/>
              </w:rPr>
              <w:t>10.</w:t>
            </w:r>
          </w:p>
        </w:tc>
        <w:tc>
          <w:tcPr>
            <w:tcW w:w="2268" w:type="dxa"/>
            <w:tcBorders>
              <w:top w:val="single" w:sz="4" w:space="0" w:color="000000"/>
              <w:left w:val="nil"/>
              <w:bottom w:val="single" w:sz="4" w:space="0" w:color="000000"/>
              <w:right w:val="single" w:sz="4" w:space="0" w:color="000000"/>
            </w:tcBorders>
          </w:tcPr>
          <w:p>
            <w:pPr>
              <w:pStyle w:val="GesAbsatz"/>
              <w:jc w:val="left"/>
              <w:rPr>
                <w:rFonts w:cs="Arial"/>
                <w:sz w:val="18"/>
                <w:szCs w:val="18"/>
              </w:rPr>
            </w:pPr>
            <w:r>
              <w:rPr>
                <w:rFonts w:cs="Arial"/>
                <w:sz w:val="18"/>
                <w:szCs w:val="18"/>
              </w:rPr>
              <w:t>Automatische Ausgabegeräte</w:t>
            </w:r>
          </w:p>
        </w:tc>
        <w:tc>
          <w:tcPr>
            <w:tcW w:w="1701"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7"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95" w:type="dxa"/>
            <w:tcBorders>
              <w:top w:val="single" w:sz="4" w:space="0" w:color="000000"/>
              <w:left w:val="single" w:sz="4" w:space="0" w:color="000000"/>
              <w:bottom w:val="single" w:sz="4" w:space="0" w:color="000000"/>
              <w:right w:val="single" w:sz="4" w:space="0" w:color="000000"/>
            </w:tcBorders>
          </w:tcPr>
          <w:p>
            <w:pPr>
              <w:pStyle w:val="GesAbsatz"/>
              <w:jc w:val="left"/>
              <w:rPr>
                <w:rFonts w:cs="Arial"/>
                <w:color w:val="auto"/>
                <w:sz w:val="18"/>
                <w:szCs w:val="18"/>
              </w:rPr>
            </w:pPr>
          </w:p>
        </w:tc>
        <w:tc>
          <w:tcPr>
            <w:tcW w:w="1587" w:type="dxa"/>
            <w:tcBorders>
              <w:top w:val="single" w:sz="4" w:space="0" w:color="000000"/>
              <w:left w:val="single" w:sz="4" w:space="0" w:color="000000"/>
              <w:bottom w:val="single" w:sz="4" w:space="0" w:color="000000"/>
            </w:tcBorders>
          </w:tcPr>
          <w:p>
            <w:pPr>
              <w:pStyle w:val="GesAbsatz"/>
              <w:jc w:val="left"/>
              <w:rPr>
                <w:rFonts w:cs="Arial"/>
                <w:color w:val="auto"/>
                <w:sz w:val="18"/>
                <w:szCs w:val="18"/>
              </w:rPr>
            </w:pPr>
          </w:p>
        </w:tc>
      </w:tr>
      <w:tr>
        <w:trPr>
          <w:trHeight w:val="202"/>
        </w:trPr>
        <w:tc>
          <w:tcPr>
            <w:tcW w:w="14067" w:type="dxa"/>
            <w:gridSpan w:val="9"/>
            <w:tcBorders>
              <w:top w:val="single" w:sz="4" w:space="0" w:color="000000"/>
              <w:bottom w:val="single" w:sz="4" w:space="0" w:color="000000"/>
            </w:tcBorders>
          </w:tcPr>
          <w:p>
            <w:pPr>
              <w:pStyle w:val="GesAbsatz"/>
              <w:jc w:val="left"/>
              <w:rPr>
                <w:rFonts w:cs="Arial"/>
                <w:color w:val="auto"/>
                <w:sz w:val="18"/>
                <w:szCs w:val="18"/>
              </w:rPr>
            </w:pPr>
            <w:r>
              <w:rPr>
                <w:rFonts w:cs="Arial"/>
                <w:color w:val="auto"/>
                <w:sz w:val="18"/>
                <w:szCs w:val="18"/>
                <w:vertAlign w:val="superscript"/>
              </w:rPr>
              <w:t>(1)</w:t>
            </w:r>
            <w:r>
              <w:rPr>
                <w:rFonts w:cs="Arial"/>
                <w:color w:val="auto"/>
                <w:sz w:val="18"/>
                <w:szCs w:val="18"/>
              </w:rPr>
              <w:t xml:space="preserve"> Falls dies nicht möglich ist, Angabe der Anzahl.</w:t>
            </w:r>
          </w:p>
        </w:tc>
      </w:tr>
    </w:tbl>
    <w:p/>
    <w:p>
      <w:pPr>
        <w:pStyle w:val="GesAbsatz"/>
        <w:tabs>
          <w:tab w:val="left" w:pos="1418"/>
        </w:tabs>
        <w:rPr>
          <w:rFonts w:cs="Arial"/>
          <w:b/>
        </w:rPr>
      </w:pPr>
      <w:r>
        <w:br w:type="page"/>
      </w:r>
      <w:r>
        <w:rPr>
          <w:rFonts w:cs="Arial"/>
          <w:b/>
        </w:rPr>
        <w:lastRenderedPageBreak/>
        <w:t>Tabelle 2</w:t>
      </w:r>
      <w:r>
        <w:rPr>
          <w:rFonts w:cs="Arial"/>
          <w:b/>
        </w:rPr>
        <w:tab/>
      </w:r>
      <w:r>
        <w:rPr>
          <w:rFonts w:cs="Arial"/>
          <w:b/>
          <w:bCs/>
        </w:rPr>
        <w:t>Verwertung, Recycling und Wiederverwendung, Zielvorgaben (Artikel 7 Absatz 2 der Richtlinie 2002/96/EG)</w:t>
      </w:r>
    </w:p>
    <w:p>
      <w:pPr>
        <w:pStyle w:val="GesAbsatz"/>
      </w:pPr>
    </w:p>
    <w:tbl>
      <w:tblPr>
        <w:tblW w:w="13875" w:type="dxa"/>
        <w:tblBorders>
          <w:top w:val="single" w:sz="4" w:space="0" w:color="000000"/>
          <w:bottom w:val="single" w:sz="4" w:space="0" w:color="000000"/>
          <w:insideH w:val="single" w:sz="6" w:space="0" w:color="000000"/>
          <w:insideV w:val="single" w:sz="6" w:space="0" w:color="000000"/>
        </w:tblBorders>
        <w:tblLayout w:type="fixed"/>
        <w:tblLook w:val="0000" w:firstRow="0" w:lastRow="0" w:firstColumn="0" w:lastColumn="0" w:noHBand="0" w:noVBand="0"/>
      </w:tblPr>
      <w:tblGrid>
        <w:gridCol w:w="534"/>
        <w:gridCol w:w="3685"/>
        <w:gridCol w:w="2029"/>
        <w:gridCol w:w="1984"/>
        <w:gridCol w:w="1798"/>
        <w:gridCol w:w="1843"/>
        <w:gridCol w:w="2002"/>
      </w:tblGrid>
      <w:tr>
        <w:trPr>
          <w:trHeight w:val="205"/>
        </w:trPr>
        <w:tc>
          <w:tcPr>
            <w:tcW w:w="4219" w:type="dxa"/>
            <w:gridSpan w:val="2"/>
          </w:tcPr>
          <w:p>
            <w:pPr>
              <w:pStyle w:val="GesAbsatz"/>
              <w:jc w:val="center"/>
              <w:rPr>
                <w:rFonts w:cs="Arial"/>
                <w:sz w:val="18"/>
                <w:szCs w:val="18"/>
              </w:rPr>
            </w:pPr>
            <w:r>
              <w:rPr>
                <w:rFonts w:cs="Arial"/>
                <w:sz w:val="18"/>
                <w:szCs w:val="18"/>
              </w:rPr>
              <w:t>Spalte Nr.</w:t>
            </w:r>
          </w:p>
        </w:tc>
        <w:tc>
          <w:tcPr>
            <w:tcW w:w="2029" w:type="dxa"/>
          </w:tcPr>
          <w:p>
            <w:pPr>
              <w:pStyle w:val="GesAbsatz"/>
              <w:jc w:val="center"/>
              <w:rPr>
                <w:rFonts w:cs="Arial"/>
                <w:sz w:val="18"/>
                <w:szCs w:val="18"/>
              </w:rPr>
            </w:pPr>
            <w:r>
              <w:rPr>
                <w:rFonts w:cs="Arial"/>
                <w:sz w:val="18"/>
                <w:szCs w:val="18"/>
              </w:rPr>
              <w:t>1</w:t>
            </w:r>
          </w:p>
        </w:tc>
        <w:tc>
          <w:tcPr>
            <w:tcW w:w="1984" w:type="dxa"/>
          </w:tcPr>
          <w:p>
            <w:pPr>
              <w:pStyle w:val="GesAbsatz"/>
              <w:jc w:val="center"/>
              <w:rPr>
                <w:rFonts w:cs="Arial"/>
                <w:sz w:val="18"/>
                <w:szCs w:val="18"/>
              </w:rPr>
            </w:pPr>
            <w:r>
              <w:rPr>
                <w:rFonts w:cs="Arial"/>
                <w:sz w:val="18"/>
                <w:szCs w:val="18"/>
              </w:rPr>
              <w:t>2</w:t>
            </w:r>
          </w:p>
        </w:tc>
        <w:tc>
          <w:tcPr>
            <w:tcW w:w="1798" w:type="dxa"/>
          </w:tcPr>
          <w:p>
            <w:pPr>
              <w:pStyle w:val="GesAbsatz"/>
              <w:jc w:val="center"/>
              <w:rPr>
                <w:rFonts w:cs="Arial"/>
                <w:sz w:val="18"/>
                <w:szCs w:val="18"/>
              </w:rPr>
            </w:pPr>
            <w:r>
              <w:rPr>
                <w:rFonts w:cs="Arial"/>
                <w:sz w:val="18"/>
                <w:szCs w:val="18"/>
              </w:rPr>
              <w:t>3</w:t>
            </w:r>
          </w:p>
        </w:tc>
        <w:tc>
          <w:tcPr>
            <w:tcW w:w="1843" w:type="dxa"/>
          </w:tcPr>
          <w:p>
            <w:pPr>
              <w:pStyle w:val="GesAbsatz"/>
              <w:jc w:val="center"/>
              <w:rPr>
                <w:rFonts w:cs="Arial"/>
                <w:sz w:val="18"/>
                <w:szCs w:val="18"/>
              </w:rPr>
            </w:pPr>
            <w:r>
              <w:rPr>
                <w:rFonts w:cs="Arial"/>
                <w:sz w:val="18"/>
                <w:szCs w:val="18"/>
              </w:rPr>
              <w:t>4</w:t>
            </w:r>
          </w:p>
        </w:tc>
        <w:tc>
          <w:tcPr>
            <w:tcW w:w="2002" w:type="dxa"/>
          </w:tcPr>
          <w:p>
            <w:pPr>
              <w:pStyle w:val="GesAbsatz"/>
              <w:jc w:val="center"/>
              <w:rPr>
                <w:rFonts w:cs="Arial"/>
                <w:sz w:val="18"/>
                <w:szCs w:val="18"/>
              </w:rPr>
            </w:pPr>
            <w:r>
              <w:rPr>
                <w:rFonts w:cs="Arial"/>
                <w:sz w:val="18"/>
                <w:szCs w:val="18"/>
              </w:rPr>
              <w:t>5</w:t>
            </w:r>
          </w:p>
        </w:tc>
      </w:tr>
      <w:tr>
        <w:trPr>
          <w:trHeight w:val="608"/>
        </w:trPr>
        <w:tc>
          <w:tcPr>
            <w:tcW w:w="4219" w:type="dxa"/>
            <w:gridSpan w:val="2"/>
            <w:vMerge w:val="restart"/>
            <w:vAlign w:val="center"/>
          </w:tcPr>
          <w:p>
            <w:pPr>
              <w:pStyle w:val="GesAbsatz"/>
              <w:jc w:val="center"/>
              <w:rPr>
                <w:rFonts w:cs="Arial"/>
                <w:sz w:val="18"/>
                <w:szCs w:val="18"/>
              </w:rPr>
            </w:pPr>
            <w:r>
              <w:rPr>
                <w:rFonts w:cs="Arial"/>
                <w:sz w:val="18"/>
                <w:szCs w:val="18"/>
              </w:rPr>
              <w:t>Produktkategorie</w:t>
            </w:r>
          </w:p>
        </w:tc>
        <w:tc>
          <w:tcPr>
            <w:tcW w:w="2029" w:type="dxa"/>
            <w:vAlign w:val="center"/>
          </w:tcPr>
          <w:p>
            <w:pPr>
              <w:pStyle w:val="GesAbsatz"/>
              <w:jc w:val="center"/>
              <w:rPr>
                <w:rFonts w:cs="Arial"/>
                <w:sz w:val="18"/>
                <w:szCs w:val="18"/>
              </w:rPr>
            </w:pPr>
            <w:r>
              <w:rPr>
                <w:rFonts w:cs="Arial"/>
                <w:sz w:val="18"/>
                <w:szCs w:val="18"/>
              </w:rPr>
              <w:t>Verwertung</w:t>
            </w:r>
          </w:p>
        </w:tc>
        <w:tc>
          <w:tcPr>
            <w:tcW w:w="1984" w:type="dxa"/>
            <w:vAlign w:val="center"/>
          </w:tcPr>
          <w:p>
            <w:pPr>
              <w:pStyle w:val="GesAbsatz"/>
              <w:jc w:val="center"/>
              <w:rPr>
                <w:rFonts w:cs="Arial"/>
                <w:sz w:val="18"/>
                <w:szCs w:val="18"/>
              </w:rPr>
            </w:pPr>
            <w:r>
              <w:rPr>
                <w:rFonts w:cs="Arial"/>
                <w:sz w:val="18"/>
                <w:szCs w:val="18"/>
              </w:rPr>
              <w:t>Verwertungsquote</w:t>
            </w:r>
          </w:p>
        </w:tc>
        <w:tc>
          <w:tcPr>
            <w:tcW w:w="1798" w:type="dxa"/>
            <w:vAlign w:val="center"/>
          </w:tcPr>
          <w:p>
            <w:pPr>
              <w:pStyle w:val="GesAbsatz"/>
              <w:jc w:val="center"/>
              <w:rPr>
                <w:rFonts w:cs="Arial"/>
                <w:sz w:val="18"/>
                <w:szCs w:val="18"/>
              </w:rPr>
            </w:pPr>
            <w:r>
              <w:rPr>
                <w:rFonts w:cs="Arial"/>
                <w:sz w:val="18"/>
                <w:szCs w:val="18"/>
              </w:rPr>
              <w:t>Wiederverwendung und Recycling</w:t>
            </w:r>
          </w:p>
        </w:tc>
        <w:tc>
          <w:tcPr>
            <w:tcW w:w="1843" w:type="dxa"/>
            <w:vAlign w:val="center"/>
          </w:tcPr>
          <w:p>
            <w:pPr>
              <w:pStyle w:val="GesAbsatz"/>
              <w:jc w:val="center"/>
              <w:rPr>
                <w:rFonts w:cs="Arial"/>
                <w:sz w:val="18"/>
                <w:szCs w:val="18"/>
              </w:rPr>
            </w:pPr>
            <w:r>
              <w:rPr>
                <w:rFonts w:cs="Arial"/>
                <w:sz w:val="18"/>
                <w:szCs w:val="18"/>
              </w:rPr>
              <w:t>Wiederverwendungs- und Recyclingquote</w:t>
            </w:r>
          </w:p>
        </w:tc>
        <w:tc>
          <w:tcPr>
            <w:tcW w:w="2002" w:type="dxa"/>
            <w:vAlign w:val="center"/>
          </w:tcPr>
          <w:p>
            <w:pPr>
              <w:pStyle w:val="GesAbsatz"/>
              <w:jc w:val="center"/>
              <w:rPr>
                <w:rFonts w:cs="Arial"/>
                <w:sz w:val="18"/>
                <w:szCs w:val="18"/>
              </w:rPr>
            </w:pPr>
            <w:r>
              <w:rPr>
                <w:rFonts w:cs="Arial"/>
                <w:sz w:val="18"/>
                <w:szCs w:val="18"/>
              </w:rPr>
              <w:t>Als komplettes Gerät wiederverwendete Elektro- und Elektronik-Altgeräte</w:t>
            </w:r>
          </w:p>
        </w:tc>
      </w:tr>
      <w:tr>
        <w:trPr>
          <w:trHeight w:val="435"/>
        </w:trPr>
        <w:tc>
          <w:tcPr>
            <w:tcW w:w="4219" w:type="dxa"/>
            <w:gridSpan w:val="2"/>
            <w:vMerge/>
          </w:tcPr>
          <w:p>
            <w:pPr>
              <w:pStyle w:val="GesAbsatz"/>
              <w:jc w:val="left"/>
              <w:rPr>
                <w:rFonts w:cs="Arial"/>
                <w:color w:val="auto"/>
                <w:sz w:val="18"/>
                <w:szCs w:val="18"/>
              </w:rPr>
            </w:pPr>
          </w:p>
        </w:tc>
        <w:tc>
          <w:tcPr>
            <w:tcW w:w="2029" w:type="dxa"/>
            <w:vAlign w:val="center"/>
          </w:tcPr>
          <w:p>
            <w:pPr>
              <w:pStyle w:val="GesAbsatz"/>
              <w:jc w:val="center"/>
              <w:rPr>
                <w:rFonts w:cs="Arial"/>
                <w:sz w:val="18"/>
                <w:szCs w:val="18"/>
              </w:rPr>
            </w:pPr>
            <w:r>
              <w:rPr>
                <w:rFonts w:cs="Arial"/>
                <w:sz w:val="18"/>
                <w:szCs w:val="18"/>
              </w:rPr>
              <w:t xml:space="preserve">Gesamtgewicht </w:t>
            </w:r>
            <w:r>
              <w:rPr>
                <w:rFonts w:cs="Arial"/>
                <w:sz w:val="18"/>
                <w:szCs w:val="18"/>
                <w:vertAlign w:val="superscript"/>
              </w:rPr>
              <w:t xml:space="preserve">(1) </w:t>
            </w:r>
            <w:r>
              <w:rPr>
                <w:rFonts w:cs="Arial"/>
                <w:sz w:val="18"/>
                <w:szCs w:val="18"/>
              </w:rPr>
              <w:t>Tonnen</w:t>
            </w:r>
          </w:p>
        </w:tc>
        <w:tc>
          <w:tcPr>
            <w:tcW w:w="1984" w:type="dxa"/>
            <w:vAlign w:val="center"/>
          </w:tcPr>
          <w:p>
            <w:pPr>
              <w:pStyle w:val="GesAbsatz"/>
              <w:jc w:val="center"/>
              <w:rPr>
                <w:rFonts w:cs="Arial"/>
                <w:sz w:val="18"/>
                <w:szCs w:val="18"/>
              </w:rPr>
            </w:pPr>
            <w:r>
              <w:rPr>
                <w:rFonts w:cs="Arial"/>
                <w:sz w:val="18"/>
                <w:szCs w:val="18"/>
              </w:rPr>
              <w:t>%</w:t>
            </w:r>
          </w:p>
        </w:tc>
        <w:tc>
          <w:tcPr>
            <w:tcW w:w="1798" w:type="dxa"/>
            <w:vAlign w:val="center"/>
          </w:tcPr>
          <w:p>
            <w:pPr>
              <w:pStyle w:val="GesAbsatz"/>
              <w:jc w:val="center"/>
              <w:rPr>
                <w:rFonts w:cs="Arial"/>
                <w:sz w:val="18"/>
                <w:szCs w:val="18"/>
              </w:rPr>
            </w:pPr>
            <w:r>
              <w:rPr>
                <w:rFonts w:cs="Arial"/>
                <w:sz w:val="18"/>
                <w:szCs w:val="18"/>
              </w:rPr>
              <w:t>Gesamtgewicht Tonnen</w:t>
            </w:r>
          </w:p>
        </w:tc>
        <w:tc>
          <w:tcPr>
            <w:tcW w:w="1843" w:type="dxa"/>
            <w:vAlign w:val="center"/>
          </w:tcPr>
          <w:p>
            <w:pPr>
              <w:pStyle w:val="GesAbsatz"/>
              <w:jc w:val="center"/>
              <w:rPr>
                <w:rFonts w:cs="Arial"/>
                <w:sz w:val="18"/>
                <w:szCs w:val="18"/>
              </w:rPr>
            </w:pPr>
            <w:r>
              <w:rPr>
                <w:rFonts w:cs="Arial"/>
                <w:sz w:val="18"/>
                <w:szCs w:val="18"/>
              </w:rPr>
              <w:t>%</w:t>
            </w:r>
          </w:p>
        </w:tc>
        <w:tc>
          <w:tcPr>
            <w:tcW w:w="2002" w:type="dxa"/>
            <w:tcBorders>
              <w:bottom w:val="single" w:sz="6" w:space="0" w:color="000000"/>
            </w:tcBorders>
            <w:vAlign w:val="center"/>
          </w:tcPr>
          <w:p>
            <w:pPr>
              <w:pStyle w:val="GesAbsatz"/>
              <w:jc w:val="center"/>
              <w:rPr>
                <w:rFonts w:cs="Arial"/>
                <w:sz w:val="18"/>
                <w:szCs w:val="18"/>
              </w:rPr>
            </w:pPr>
            <w:r>
              <w:rPr>
                <w:rFonts w:cs="Arial"/>
                <w:sz w:val="18"/>
                <w:szCs w:val="18"/>
              </w:rPr>
              <w:t>Gesamtgewicht Tonnen</w:t>
            </w:r>
          </w:p>
        </w:tc>
      </w:tr>
      <w:tr>
        <w:trPr>
          <w:trHeight w:val="258"/>
        </w:trPr>
        <w:tc>
          <w:tcPr>
            <w:tcW w:w="534" w:type="dxa"/>
          </w:tcPr>
          <w:p>
            <w:pPr>
              <w:pStyle w:val="GesAbsatz"/>
              <w:jc w:val="left"/>
              <w:rPr>
                <w:rFonts w:cs="Arial"/>
                <w:sz w:val="18"/>
                <w:szCs w:val="18"/>
              </w:rPr>
            </w:pPr>
            <w:r>
              <w:rPr>
                <w:rFonts w:cs="Arial"/>
                <w:sz w:val="18"/>
                <w:szCs w:val="18"/>
              </w:rPr>
              <w:t xml:space="preserve">1. </w:t>
            </w:r>
          </w:p>
        </w:tc>
        <w:tc>
          <w:tcPr>
            <w:tcW w:w="3685" w:type="dxa"/>
          </w:tcPr>
          <w:p>
            <w:pPr>
              <w:pStyle w:val="GesAbsatz"/>
              <w:jc w:val="left"/>
              <w:rPr>
                <w:rFonts w:cs="Arial"/>
                <w:sz w:val="18"/>
                <w:szCs w:val="18"/>
              </w:rPr>
            </w:pPr>
            <w:r>
              <w:rPr>
                <w:rFonts w:cs="Arial"/>
                <w:sz w:val="18"/>
                <w:szCs w:val="18"/>
              </w:rPr>
              <w:t xml:space="preserve">Haushaltsgroßgeräte </w:t>
            </w:r>
          </w:p>
        </w:tc>
        <w:tc>
          <w:tcPr>
            <w:tcW w:w="2029" w:type="dxa"/>
          </w:tcPr>
          <w:p>
            <w:pPr>
              <w:pStyle w:val="GesAbsatz"/>
              <w:jc w:val="left"/>
              <w:rPr>
                <w:rFonts w:cs="Arial"/>
                <w:color w:val="auto"/>
                <w:sz w:val="18"/>
                <w:szCs w:val="18"/>
              </w:rPr>
            </w:pPr>
          </w:p>
        </w:tc>
        <w:tc>
          <w:tcPr>
            <w:tcW w:w="1984" w:type="dxa"/>
          </w:tcPr>
          <w:p>
            <w:pPr>
              <w:pStyle w:val="GesAbsatz"/>
              <w:jc w:val="left"/>
              <w:rPr>
                <w:rFonts w:cs="Arial"/>
                <w:color w:val="auto"/>
                <w:sz w:val="18"/>
                <w:szCs w:val="18"/>
              </w:rPr>
            </w:pPr>
          </w:p>
        </w:tc>
        <w:tc>
          <w:tcPr>
            <w:tcW w:w="1798" w:type="dxa"/>
          </w:tcPr>
          <w:p>
            <w:pPr>
              <w:pStyle w:val="GesAbsatz"/>
              <w:jc w:val="left"/>
              <w:rPr>
                <w:rFonts w:cs="Arial"/>
                <w:color w:val="auto"/>
                <w:sz w:val="18"/>
                <w:szCs w:val="18"/>
              </w:rPr>
            </w:pPr>
          </w:p>
        </w:tc>
        <w:tc>
          <w:tcPr>
            <w:tcW w:w="1843" w:type="dxa"/>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178"/>
        </w:trPr>
        <w:tc>
          <w:tcPr>
            <w:tcW w:w="534" w:type="dxa"/>
          </w:tcPr>
          <w:p>
            <w:pPr>
              <w:pStyle w:val="GesAbsatz"/>
              <w:jc w:val="left"/>
              <w:rPr>
                <w:rFonts w:cs="Arial"/>
                <w:sz w:val="18"/>
                <w:szCs w:val="18"/>
              </w:rPr>
            </w:pPr>
            <w:r>
              <w:rPr>
                <w:rFonts w:cs="Arial"/>
                <w:sz w:val="18"/>
                <w:szCs w:val="18"/>
              </w:rPr>
              <w:t xml:space="preserve">2. </w:t>
            </w:r>
          </w:p>
        </w:tc>
        <w:tc>
          <w:tcPr>
            <w:tcW w:w="3685" w:type="dxa"/>
          </w:tcPr>
          <w:p>
            <w:pPr>
              <w:pStyle w:val="GesAbsatz"/>
              <w:jc w:val="left"/>
              <w:rPr>
                <w:rFonts w:cs="Arial"/>
                <w:sz w:val="18"/>
                <w:szCs w:val="18"/>
              </w:rPr>
            </w:pPr>
            <w:r>
              <w:rPr>
                <w:rFonts w:cs="Arial"/>
                <w:sz w:val="18"/>
                <w:szCs w:val="18"/>
              </w:rPr>
              <w:t xml:space="preserve">Haushaltskleingeräte </w:t>
            </w:r>
          </w:p>
        </w:tc>
        <w:tc>
          <w:tcPr>
            <w:tcW w:w="2029" w:type="dxa"/>
          </w:tcPr>
          <w:p>
            <w:pPr>
              <w:pStyle w:val="GesAbsatz"/>
              <w:jc w:val="left"/>
              <w:rPr>
                <w:rFonts w:cs="Arial"/>
                <w:color w:val="auto"/>
                <w:sz w:val="18"/>
                <w:szCs w:val="18"/>
              </w:rPr>
            </w:pPr>
          </w:p>
        </w:tc>
        <w:tc>
          <w:tcPr>
            <w:tcW w:w="1984" w:type="dxa"/>
          </w:tcPr>
          <w:p>
            <w:pPr>
              <w:pStyle w:val="GesAbsatz"/>
              <w:jc w:val="left"/>
              <w:rPr>
                <w:rFonts w:cs="Arial"/>
                <w:color w:val="auto"/>
                <w:sz w:val="18"/>
                <w:szCs w:val="18"/>
              </w:rPr>
            </w:pPr>
          </w:p>
        </w:tc>
        <w:tc>
          <w:tcPr>
            <w:tcW w:w="1798" w:type="dxa"/>
          </w:tcPr>
          <w:p>
            <w:pPr>
              <w:pStyle w:val="GesAbsatz"/>
              <w:jc w:val="left"/>
              <w:rPr>
                <w:rFonts w:cs="Arial"/>
                <w:color w:val="auto"/>
                <w:sz w:val="18"/>
                <w:szCs w:val="18"/>
              </w:rPr>
            </w:pPr>
          </w:p>
        </w:tc>
        <w:tc>
          <w:tcPr>
            <w:tcW w:w="1843" w:type="dxa"/>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112"/>
        </w:trPr>
        <w:tc>
          <w:tcPr>
            <w:tcW w:w="534" w:type="dxa"/>
          </w:tcPr>
          <w:p>
            <w:pPr>
              <w:pStyle w:val="GesAbsatz"/>
              <w:jc w:val="left"/>
              <w:rPr>
                <w:rFonts w:cs="Arial"/>
                <w:sz w:val="18"/>
                <w:szCs w:val="18"/>
              </w:rPr>
            </w:pPr>
            <w:r>
              <w:rPr>
                <w:rFonts w:cs="Arial"/>
                <w:sz w:val="18"/>
                <w:szCs w:val="18"/>
              </w:rPr>
              <w:t xml:space="preserve">3. </w:t>
            </w:r>
          </w:p>
        </w:tc>
        <w:tc>
          <w:tcPr>
            <w:tcW w:w="3685" w:type="dxa"/>
          </w:tcPr>
          <w:p>
            <w:pPr>
              <w:pStyle w:val="GesAbsatz"/>
              <w:jc w:val="left"/>
              <w:rPr>
                <w:rFonts w:cs="Arial"/>
                <w:sz w:val="18"/>
                <w:szCs w:val="18"/>
              </w:rPr>
            </w:pPr>
            <w:r>
              <w:rPr>
                <w:rFonts w:cs="Arial"/>
                <w:sz w:val="18"/>
                <w:szCs w:val="18"/>
              </w:rPr>
              <w:t xml:space="preserve">IT-und Telekommunikationsgeräte </w:t>
            </w:r>
          </w:p>
        </w:tc>
        <w:tc>
          <w:tcPr>
            <w:tcW w:w="2029" w:type="dxa"/>
          </w:tcPr>
          <w:p>
            <w:pPr>
              <w:pStyle w:val="GesAbsatz"/>
              <w:jc w:val="left"/>
              <w:rPr>
                <w:rFonts w:cs="Arial"/>
                <w:color w:val="auto"/>
                <w:sz w:val="18"/>
                <w:szCs w:val="18"/>
              </w:rPr>
            </w:pPr>
          </w:p>
        </w:tc>
        <w:tc>
          <w:tcPr>
            <w:tcW w:w="1984" w:type="dxa"/>
          </w:tcPr>
          <w:p>
            <w:pPr>
              <w:pStyle w:val="GesAbsatz"/>
              <w:jc w:val="left"/>
              <w:rPr>
                <w:rFonts w:cs="Arial"/>
                <w:color w:val="auto"/>
                <w:sz w:val="18"/>
                <w:szCs w:val="18"/>
              </w:rPr>
            </w:pPr>
          </w:p>
        </w:tc>
        <w:tc>
          <w:tcPr>
            <w:tcW w:w="1798" w:type="dxa"/>
          </w:tcPr>
          <w:p>
            <w:pPr>
              <w:pStyle w:val="GesAbsatz"/>
              <w:jc w:val="left"/>
              <w:rPr>
                <w:rFonts w:cs="Arial"/>
                <w:color w:val="auto"/>
                <w:sz w:val="18"/>
                <w:szCs w:val="18"/>
              </w:rPr>
            </w:pPr>
          </w:p>
        </w:tc>
        <w:tc>
          <w:tcPr>
            <w:tcW w:w="1843" w:type="dxa"/>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160"/>
        </w:trPr>
        <w:tc>
          <w:tcPr>
            <w:tcW w:w="534" w:type="dxa"/>
          </w:tcPr>
          <w:p>
            <w:pPr>
              <w:pStyle w:val="GesAbsatz"/>
              <w:jc w:val="left"/>
              <w:rPr>
                <w:rFonts w:cs="Arial"/>
                <w:sz w:val="18"/>
                <w:szCs w:val="18"/>
              </w:rPr>
            </w:pPr>
            <w:r>
              <w:rPr>
                <w:rFonts w:cs="Arial"/>
                <w:sz w:val="18"/>
                <w:szCs w:val="18"/>
              </w:rPr>
              <w:t xml:space="preserve">4. </w:t>
            </w:r>
          </w:p>
        </w:tc>
        <w:tc>
          <w:tcPr>
            <w:tcW w:w="3685" w:type="dxa"/>
          </w:tcPr>
          <w:p>
            <w:pPr>
              <w:pStyle w:val="GesAbsatz"/>
              <w:jc w:val="left"/>
              <w:rPr>
                <w:rFonts w:cs="Arial"/>
                <w:sz w:val="18"/>
                <w:szCs w:val="18"/>
              </w:rPr>
            </w:pPr>
            <w:r>
              <w:rPr>
                <w:rFonts w:cs="Arial"/>
                <w:sz w:val="18"/>
                <w:szCs w:val="18"/>
              </w:rPr>
              <w:t xml:space="preserve">Geräte der Unterhaltungselektronik </w:t>
            </w:r>
          </w:p>
        </w:tc>
        <w:tc>
          <w:tcPr>
            <w:tcW w:w="2029" w:type="dxa"/>
          </w:tcPr>
          <w:p>
            <w:pPr>
              <w:pStyle w:val="GesAbsatz"/>
              <w:jc w:val="left"/>
              <w:rPr>
                <w:rFonts w:cs="Arial"/>
                <w:color w:val="auto"/>
                <w:sz w:val="18"/>
                <w:szCs w:val="18"/>
              </w:rPr>
            </w:pPr>
          </w:p>
        </w:tc>
        <w:tc>
          <w:tcPr>
            <w:tcW w:w="1984" w:type="dxa"/>
          </w:tcPr>
          <w:p>
            <w:pPr>
              <w:pStyle w:val="GesAbsatz"/>
              <w:jc w:val="left"/>
              <w:rPr>
                <w:rFonts w:cs="Arial"/>
                <w:color w:val="auto"/>
                <w:sz w:val="18"/>
                <w:szCs w:val="18"/>
              </w:rPr>
            </w:pPr>
          </w:p>
        </w:tc>
        <w:tc>
          <w:tcPr>
            <w:tcW w:w="1798" w:type="dxa"/>
          </w:tcPr>
          <w:p>
            <w:pPr>
              <w:pStyle w:val="GesAbsatz"/>
              <w:jc w:val="left"/>
              <w:rPr>
                <w:rFonts w:cs="Arial"/>
                <w:color w:val="auto"/>
                <w:sz w:val="18"/>
                <w:szCs w:val="18"/>
              </w:rPr>
            </w:pPr>
          </w:p>
        </w:tc>
        <w:tc>
          <w:tcPr>
            <w:tcW w:w="1843" w:type="dxa"/>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80"/>
        </w:trPr>
        <w:tc>
          <w:tcPr>
            <w:tcW w:w="534" w:type="dxa"/>
          </w:tcPr>
          <w:p>
            <w:pPr>
              <w:pStyle w:val="GesAbsatz"/>
              <w:jc w:val="left"/>
              <w:rPr>
                <w:rFonts w:cs="Arial"/>
                <w:sz w:val="18"/>
                <w:szCs w:val="18"/>
              </w:rPr>
            </w:pPr>
            <w:r>
              <w:rPr>
                <w:rFonts w:cs="Arial"/>
                <w:sz w:val="18"/>
                <w:szCs w:val="18"/>
              </w:rPr>
              <w:t xml:space="preserve">5. </w:t>
            </w:r>
          </w:p>
        </w:tc>
        <w:tc>
          <w:tcPr>
            <w:tcW w:w="3685" w:type="dxa"/>
          </w:tcPr>
          <w:p>
            <w:pPr>
              <w:pStyle w:val="GesAbsatz"/>
              <w:jc w:val="left"/>
              <w:rPr>
                <w:rFonts w:cs="Arial"/>
                <w:sz w:val="18"/>
                <w:szCs w:val="18"/>
              </w:rPr>
            </w:pPr>
            <w:r>
              <w:rPr>
                <w:rFonts w:cs="Arial"/>
                <w:sz w:val="18"/>
                <w:szCs w:val="18"/>
              </w:rPr>
              <w:t xml:space="preserve">Beleuchtungskörper </w:t>
            </w:r>
          </w:p>
        </w:tc>
        <w:tc>
          <w:tcPr>
            <w:tcW w:w="2029" w:type="dxa"/>
          </w:tcPr>
          <w:p>
            <w:pPr>
              <w:pStyle w:val="GesAbsatz"/>
              <w:jc w:val="left"/>
              <w:rPr>
                <w:rFonts w:cs="Arial"/>
                <w:color w:val="auto"/>
                <w:sz w:val="18"/>
                <w:szCs w:val="18"/>
              </w:rPr>
            </w:pPr>
          </w:p>
        </w:tc>
        <w:tc>
          <w:tcPr>
            <w:tcW w:w="1984" w:type="dxa"/>
          </w:tcPr>
          <w:p>
            <w:pPr>
              <w:pStyle w:val="GesAbsatz"/>
              <w:jc w:val="left"/>
              <w:rPr>
                <w:rFonts w:cs="Arial"/>
                <w:color w:val="auto"/>
                <w:sz w:val="18"/>
                <w:szCs w:val="18"/>
              </w:rPr>
            </w:pPr>
          </w:p>
        </w:tc>
        <w:tc>
          <w:tcPr>
            <w:tcW w:w="1798" w:type="dxa"/>
          </w:tcPr>
          <w:p>
            <w:pPr>
              <w:pStyle w:val="GesAbsatz"/>
              <w:jc w:val="left"/>
              <w:rPr>
                <w:rFonts w:cs="Arial"/>
                <w:color w:val="auto"/>
                <w:sz w:val="18"/>
                <w:szCs w:val="18"/>
              </w:rPr>
            </w:pPr>
          </w:p>
        </w:tc>
        <w:tc>
          <w:tcPr>
            <w:tcW w:w="1843" w:type="dxa"/>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156"/>
        </w:trPr>
        <w:tc>
          <w:tcPr>
            <w:tcW w:w="534" w:type="dxa"/>
          </w:tcPr>
          <w:p>
            <w:pPr>
              <w:pStyle w:val="GesAbsatz"/>
              <w:jc w:val="left"/>
              <w:rPr>
                <w:rFonts w:cs="Arial"/>
                <w:sz w:val="18"/>
                <w:szCs w:val="18"/>
              </w:rPr>
            </w:pPr>
            <w:r>
              <w:rPr>
                <w:rFonts w:cs="Arial"/>
                <w:sz w:val="18"/>
                <w:szCs w:val="18"/>
              </w:rPr>
              <w:t xml:space="preserve">5a. </w:t>
            </w:r>
          </w:p>
        </w:tc>
        <w:tc>
          <w:tcPr>
            <w:tcW w:w="3685" w:type="dxa"/>
          </w:tcPr>
          <w:p>
            <w:pPr>
              <w:pStyle w:val="GesAbsatz"/>
              <w:jc w:val="left"/>
              <w:rPr>
                <w:rFonts w:cs="Arial"/>
                <w:sz w:val="18"/>
                <w:szCs w:val="18"/>
              </w:rPr>
            </w:pPr>
            <w:r>
              <w:rPr>
                <w:rFonts w:cs="Arial"/>
                <w:sz w:val="18"/>
                <w:szCs w:val="18"/>
              </w:rPr>
              <w:t xml:space="preserve">Gasentladungslampen </w:t>
            </w:r>
          </w:p>
        </w:tc>
        <w:tc>
          <w:tcPr>
            <w:tcW w:w="2029" w:type="dxa"/>
          </w:tcPr>
          <w:p>
            <w:pPr>
              <w:pStyle w:val="GesAbsatz"/>
              <w:jc w:val="center"/>
              <w:rPr>
                <w:rFonts w:cs="Arial"/>
                <w:sz w:val="18"/>
                <w:szCs w:val="18"/>
              </w:rPr>
            </w:pPr>
            <w:proofErr w:type="spellStart"/>
            <w:r>
              <w:rPr>
                <w:rFonts w:cs="Arial"/>
                <w:sz w:val="18"/>
                <w:szCs w:val="18"/>
              </w:rPr>
              <w:t>n.a</w:t>
            </w:r>
            <w:proofErr w:type="spellEnd"/>
            <w:r>
              <w:rPr>
                <w:rFonts w:cs="Arial"/>
                <w:sz w:val="18"/>
                <w:szCs w:val="18"/>
              </w:rPr>
              <w:t>.</w:t>
            </w:r>
          </w:p>
        </w:tc>
        <w:tc>
          <w:tcPr>
            <w:tcW w:w="1984" w:type="dxa"/>
          </w:tcPr>
          <w:p>
            <w:pPr>
              <w:pStyle w:val="GesAbsatz"/>
              <w:jc w:val="center"/>
              <w:rPr>
                <w:rFonts w:cs="Arial"/>
                <w:sz w:val="18"/>
                <w:szCs w:val="18"/>
              </w:rPr>
            </w:pPr>
            <w:proofErr w:type="spellStart"/>
            <w:r>
              <w:rPr>
                <w:rFonts w:cs="Arial"/>
                <w:sz w:val="18"/>
                <w:szCs w:val="18"/>
              </w:rPr>
              <w:t>n.a</w:t>
            </w:r>
            <w:proofErr w:type="spellEnd"/>
            <w:r>
              <w:rPr>
                <w:rFonts w:cs="Arial"/>
                <w:sz w:val="18"/>
                <w:szCs w:val="18"/>
              </w:rPr>
              <w:t>.</w:t>
            </w:r>
          </w:p>
        </w:tc>
        <w:tc>
          <w:tcPr>
            <w:tcW w:w="1798" w:type="dxa"/>
          </w:tcPr>
          <w:p>
            <w:pPr>
              <w:pStyle w:val="GesAbsatz"/>
              <w:jc w:val="left"/>
              <w:rPr>
                <w:rFonts w:cs="Arial"/>
                <w:color w:val="auto"/>
                <w:sz w:val="18"/>
                <w:szCs w:val="18"/>
              </w:rPr>
            </w:pPr>
          </w:p>
        </w:tc>
        <w:tc>
          <w:tcPr>
            <w:tcW w:w="1843" w:type="dxa"/>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346"/>
        </w:trPr>
        <w:tc>
          <w:tcPr>
            <w:tcW w:w="534" w:type="dxa"/>
          </w:tcPr>
          <w:p>
            <w:pPr>
              <w:pStyle w:val="GesAbsatz"/>
              <w:jc w:val="left"/>
              <w:rPr>
                <w:rFonts w:cs="Arial"/>
                <w:sz w:val="18"/>
                <w:szCs w:val="18"/>
              </w:rPr>
            </w:pPr>
            <w:r>
              <w:rPr>
                <w:rFonts w:cs="Arial"/>
                <w:sz w:val="18"/>
                <w:szCs w:val="18"/>
              </w:rPr>
              <w:t xml:space="preserve">6. </w:t>
            </w:r>
          </w:p>
        </w:tc>
        <w:tc>
          <w:tcPr>
            <w:tcW w:w="3685" w:type="dxa"/>
          </w:tcPr>
          <w:p>
            <w:pPr>
              <w:pStyle w:val="GesAbsatz"/>
              <w:jc w:val="left"/>
              <w:rPr>
                <w:rFonts w:cs="Arial"/>
                <w:sz w:val="18"/>
                <w:szCs w:val="18"/>
              </w:rPr>
            </w:pPr>
            <w:r>
              <w:rPr>
                <w:rFonts w:cs="Arial"/>
                <w:sz w:val="18"/>
                <w:szCs w:val="18"/>
              </w:rPr>
              <w:t xml:space="preserve">Elektrische und elektronische Werkzeuge </w:t>
            </w:r>
          </w:p>
        </w:tc>
        <w:tc>
          <w:tcPr>
            <w:tcW w:w="2029" w:type="dxa"/>
          </w:tcPr>
          <w:p>
            <w:pPr>
              <w:pStyle w:val="GesAbsatz"/>
              <w:jc w:val="left"/>
              <w:rPr>
                <w:rFonts w:cs="Arial"/>
                <w:color w:val="auto"/>
                <w:sz w:val="18"/>
                <w:szCs w:val="18"/>
              </w:rPr>
            </w:pPr>
          </w:p>
        </w:tc>
        <w:tc>
          <w:tcPr>
            <w:tcW w:w="1984" w:type="dxa"/>
          </w:tcPr>
          <w:p>
            <w:pPr>
              <w:pStyle w:val="GesAbsatz"/>
              <w:jc w:val="left"/>
              <w:rPr>
                <w:rFonts w:cs="Arial"/>
                <w:color w:val="auto"/>
                <w:sz w:val="18"/>
                <w:szCs w:val="18"/>
              </w:rPr>
            </w:pPr>
          </w:p>
        </w:tc>
        <w:tc>
          <w:tcPr>
            <w:tcW w:w="1798" w:type="dxa"/>
          </w:tcPr>
          <w:p>
            <w:pPr>
              <w:pStyle w:val="GesAbsatz"/>
              <w:jc w:val="left"/>
              <w:rPr>
                <w:rFonts w:cs="Arial"/>
                <w:color w:val="auto"/>
                <w:sz w:val="18"/>
                <w:szCs w:val="18"/>
              </w:rPr>
            </w:pPr>
          </w:p>
        </w:tc>
        <w:tc>
          <w:tcPr>
            <w:tcW w:w="1843" w:type="dxa"/>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326"/>
        </w:trPr>
        <w:tc>
          <w:tcPr>
            <w:tcW w:w="534" w:type="dxa"/>
          </w:tcPr>
          <w:p>
            <w:pPr>
              <w:pStyle w:val="GesAbsatz"/>
              <w:jc w:val="left"/>
              <w:rPr>
                <w:rFonts w:cs="Arial"/>
                <w:sz w:val="18"/>
                <w:szCs w:val="18"/>
              </w:rPr>
            </w:pPr>
            <w:r>
              <w:rPr>
                <w:rFonts w:cs="Arial"/>
                <w:sz w:val="18"/>
                <w:szCs w:val="18"/>
              </w:rPr>
              <w:t xml:space="preserve">7. </w:t>
            </w:r>
          </w:p>
        </w:tc>
        <w:tc>
          <w:tcPr>
            <w:tcW w:w="3685" w:type="dxa"/>
          </w:tcPr>
          <w:p>
            <w:pPr>
              <w:pStyle w:val="GesAbsatz"/>
              <w:jc w:val="left"/>
              <w:rPr>
                <w:rFonts w:cs="Arial"/>
                <w:sz w:val="18"/>
                <w:szCs w:val="18"/>
              </w:rPr>
            </w:pPr>
            <w:r>
              <w:rPr>
                <w:rFonts w:cs="Arial"/>
                <w:sz w:val="18"/>
                <w:szCs w:val="18"/>
              </w:rPr>
              <w:t xml:space="preserve">Spielzeug sowie Sport- und Freizeitgeräte </w:t>
            </w:r>
          </w:p>
        </w:tc>
        <w:tc>
          <w:tcPr>
            <w:tcW w:w="2029" w:type="dxa"/>
            <w:tcBorders>
              <w:bottom w:val="single" w:sz="6" w:space="0" w:color="000000"/>
            </w:tcBorders>
          </w:tcPr>
          <w:p>
            <w:pPr>
              <w:pStyle w:val="GesAbsatz"/>
              <w:jc w:val="left"/>
              <w:rPr>
                <w:rFonts w:cs="Arial"/>
                <w:color w:val="auto"/>
                <w:sz w:val="18"/>
                <w:szCs w:val="18"/>
              </w:rPr>
            </w:pPr>
          </w:p>
        </w:tc>
        <w:tc>
          <w:tcPr>
            <w:tcW w:w="1984" w:type="dxa"/>
            <w:tcBorders>
              <w:bottom w:val="single" w:sz="6" w:space="0" w:color="000000"/>
            </w:tcBorders>
          </w:tcPr>
          <w:p>
            <w:pPr>
              <w:pStyle w:val="GesAbsatz"/>
              <w:jc w:val="left"/>
              <w:rPr>
                <w:rFonts w:cs="Arial"/>
                <w:color w:val="auto"/>
                <w:sz w:val="18"/>
                <w:szCs w:val="18"/>
              </w:rPr>
            </w:pPr>
          </w:p>
        </w:tc>
        <w:tc>
          <w:tcPr>
            <w:tcW w:w="1798" w:type="dxa"/>
            <w:tcBorders>
              <w:bottom w:val="single" w:sz="6" w:space="0" w:color="000000"/>
            </w:tcBorders>
          </w:tcPr>
          <w:p>
            <w:pPr>
              <w:pStyle w:val="GesAbsatz"/>
              <w:jc w:val="left"/>
              <w:rPr>
                <w:rFonts w:cs="Arial"/>
                <w:color w:val="auto"/>
                <w:sz w:val="18"/>
                <w:szCs w:val="18"/>
              </w:rPr>
            </w:pPr>
          </w:p>
        </w:tc>
        <w:tc>
          <w:tcPr>
            <w:tcW w:w="1843" w:type="dxa"/>
            <w:tcBorders>
              <w:bottom w:val="single" w:sz="6" w:space="0" w:color="000000"/>
            </w:tcBorders>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179"/>
        </w:trPr>
        <w:tc>
          <w:tcPr>
            <w:tcW w:w="534" w:type="dxa"/>
          </w:tcPr>
          <w:p>
            <w:pPr>
              <w:pStyle w:val="GesAbsatz"/>
              <w:jc w:val="left"/>
              <w:rPr>
                <w:rFonts w:cs="Arial"/>
                <w:sz w:val="18"/>
                <w:szCs w:val="18"/>
              </w:rPr>
            </w:pPr>
            <w:r>
              <w:rPr>
                <w:rFonts w:cs="Arial"/>
                <w:sz w:val="18"/>
                <w:szCs w:val="18"/>
              </w:rPr>
              <w:t xml:space="preserve">8. </w:t>
            </w:r>
          </w:p>
        </w:tc>
        <w:tc>
          <w:tcPr>
            <w:tcW w:w="3685" w:type="dxa"/>
          </w:tcPr>
          <w:p>
            <w:pPr>
              <w:pStyle w:val="GesAbsatz"/>
              <w:jc w:val="left"/>
              <w:rPr>
                <w:rFonts w:cs="Arial"/>
                <w:sz w:val="18"/>
                <w:szCs w:val="18"/>
              </w:rPr>
            </w:pPr>
            <w:r>
              <w:rPr>
                <w:rFonts w:cs="Arial"/>
                <w:sz w:val="18"/>
                <w:szCs w:val="18"/>
              </w:rPr>
              <w:t xml:space="preserve">Medizinische Geräte </w:t>
            </w:r>
          </w:p>
        </w:tc>
        <w:tc>
          <w:tcPr>
            <w:tcW w:w="2029"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c>
          <w:tcPr>
            <w:tcW w:w="1984"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c>
          <w:tcPr>
            <w:tcW w:w="1798"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c>
          <w:tcPr>
            <w:tcW w:w="1843"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200"/>
        </w:trPr>
        <w:tc>
          <w:tcPr>
            <w:tcW w:w="534" w:type="dxa"/>
          </w:tcPr>
          <w:p>
            <w:pPr>
              <w:pStyle w:val="GesAbsatz"/>
              <w:jc w:val="left"/>
              <w:rPr>
                <w:rFonts w:cs="Arial"/>
                <w:sz w:val="18"/>
                <w:szCs w:val="18"/>
              </w:rPr>
            </w:pPr>
            <w:r>
              <w:rPr>
                <w:rFonts w:cs="Arial"/>
                <w:sz w:val="18"/>
                <w:szCs w:val="18"/>
              </w:rPr>
              <w:t xml:space="preserve">9. </w:t>
            </w:r>
          </w:p>
        </w:tc>
        <w:tc>
          <w:tcPr>
            <w:tcW w:w="3685" w:type="dxa"/>
          </w:tcPr>
          <w:p>
            <w:pPr>
              <w:pStyle w:val="GesAbsatz"/>
              <w:jc w:val="left"/>
              <w:rPr>
                <w:rFonts w:cs="Arial"/>
                <w:sz w:val="18"/>
                <w:szCs w:val="18"/>
              </w:rPr>
            </w:pPr>
            <w:r>
              <w:rPr>
                <w:rFonts w:cs="Arial"/>
                <w:sz w:val="18"/>
                <w:szCs w:val="18"/>
              </w:rPr>
              <w:t xml:space="preserve">Überwachungs- und Kontrollinstrumente </w:t>
            </w:r>
          </w:p>
        </w:tc>
        <w:tc>
          <w:tcPr>
            <w:tcW w:w="2029" w:type="dxa"/>
            <w:tcBorders>
              <w:top w:val="single" w:sz="6" w:space="0" w:color="000000"/>
            </w:tcBorders>
          </w:tcPr>
          <w:p>
            <w:pPr>
              <w:pStyle w:val="GesAbsatz"/>
              <w:jc w:val="left"/>
              <w:rPr>
                <w:rFonts w:cs="Arial"/>
                <w:color w:val="auto"/>
                <w:sz w:val="18"/>
                <w:szCs w:val="18"/>
              </w:rPr>
            </w:pPr>
          </w:p>
        </w:tc>
        <w:tc>
          <w:tcPr>
            <w:tcW w:w="1984" w:type="dxa"/>
            <w:tcBorders>
              <w:top w:val="single" w:sz="6" w:space="0" w:color="000000"/>
            </w:tcBorders>
          </w:tcPr>
          <w:p>
            <w:pPr>
              <w:pStyle w:val="GesAbsatz"/>
              <w:jc w:val="left"/>
              <w:rPr>
                <w:rFonts w:cs="Arial"/>
                <w:color w:val="auto"/>
                <w:sz w:val="18"/>
                <w:szCs w:val="18"/>
              </w:rPr>
            </w:pPr>
          </w:p>
        </w:tc>
        <w:tc>
          <w:tcPr>
            <w:tcW w:w="1798" w:type="dxa"/>
            <w:tcBorders>
              <w:top w:val="single" w:sz="6" w:space="0" w:color="000000"/>
            </w:tcBorders>
          </w:tcPr>
          <w:p>
            <w:pPr>
              <w:pStyle w:val="GesAbsatz"/>
              <w:jc w:val="left"/>
              <w:rPr>
                <w:rFonts w:cs="Arial"/>
                <w:color w:val="auto"/>
                <w:sz w:val="18"/>
                <w:szCs w:val="18"/>
              </w:rPr>
            </w:pPr>
          </w:p>
        </w:tc>
        <w:tc>
          <w:tcPr>
            <w:tcW w:w="1843" w:type="dxa"/>
            <w:tcBorders>
              <w:top w:val="single" w:sz="6" w:space="0" w:color="000000"/>
            </w:tcBorders>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206"/>
        </w:trPr>
        <w:tc>
          <w:tcPr>
            <w:tcW w:w="534" w:type="dxa"/>
          </w:tcPr>
          <w:p>
            <w:pPr>
              <w:pStyle w:val="GesAbsatz"/>
              <w:jc w:val="left"/>
              <w:rPr>
                <w:rFonts w:cs="Arial"/>
                <w:sz w:val="18"/>
                <w:szCs w:val="18"/>
              </w:rPr>
            </w:pPr>
            <w:r>
              <w:rPr>
                <w:rFonts w:cs="Arial"/>
                <w:sz w:val="18"/>
                <w:szCs w:val="18"/>
              </w:rPr>
              <w:t>10.</w:t>
            </w:r>
          </w:p>
        </w:tc>
        <w:tc>
          <w:tcPr>
            <w:tcW w:w="3685" w:type="dxa"/>
          </w:tcPr>
          <w:p>
            <w:pPr>
              <w:pStyle w:val="GesAbsatz"/>
              <w:jc w:val="left"/>
              <w:rPr>
                <w:rFonts w:cs="Arial"/>
                <w:sz w:val="18"/>
                <w:szCs w:val="18"/>
              </w:rPr>
            </w:pPr>
            <w:r>
              <w:rPr>
                <w:rFonts w:cs="Arial"/>
                <w:sz w:val="18"/>
                <w:szCs w:val="18"/>
              </w:rPr>
              <w:t>Automatische Ausgabegeräte</w:t>
            </w:r>
          </w:p>
        </w:tc>
        <w:tc>
          <w:tcPr>
            <w:tcW w:w="2029" w:type="dxa"/>
          </w:tcPr>
          <w:p>
            <w:pPr>
              <w:pStyle w:val="GesAbsatz"/>
              <w:jc w:val="left"/>
              <w:rPr>
                <w:rFonts w:cs="Arial"/>
                <w:color w:val="auto"/>
                <w:sz w:val="18"/>
                <w:szCs w:val="18"/>
              </w:rPr>
            </w:pPr>
          </w:p>
        </w:tc>
        <w:tc>
          <w:tcPr>
            <w:tcW w:w="1984" w:type="dxa"/>
          </w:tcPr>
          <w:p>
            <w:pPr>
              <w:pStyle w:val="GesAbsatz"/>
              <w:jc w:val="left"/>
              <w:rPr>
                <w:rFonts w:cs="Arial"/>
                <w:color w:val="auto"/>
                <w:sz w:val="18"/>
                <w:szCs w:val="18"/>
              </w:rPr>
            </w:pPr>
          </w:p>
        </w:tc>
        <w:tc>
          <w:tcPr>
            <w:tcW w:w="1798" w:type="dxa"/>
          </w:tcPr>
          <w:p>
            <w:pPr>
              <w:pStyle w:val="GesAbsatz"/>
              <w:jc w:val="left"/>
              <w:rPr>
                <w:rFonts w:cs="Arial"/>
                <w:color w:val="auto"/>
                <w:sz w:val="18"/>
                <w:szCs w:val="18"/>
              </w:rPr>
            </w:pPr>
          </w:p>
        </w:tc>
        <w:tc>
          <w:tcPr>
            <w:tcW w:w="1843" w:type="dxa"/>
          </w:tcPr>
          <w:p>
            <w:pPr>
              <w:pStyle w:val="GesAbsatz"/>
              <w:jc w:val="left"/>
              <w:rPr>
                <w:rFonts w:cs="Arial"/>
                <w:color w:val="auto"/>
                <w:sz w:val="18"/>
                <w:szCs w:val="18"/>
              </w:rPr>
            </w:pPr>
          </w:p>
        </w:tc>
        <w:tc>
          <w:tcPr>
            <w:tcW w:w="2002" w:type="dxa"/>
            <w:tcBorders>
              <w:top w:val="single" w:sz="6" w:space="0" w:color="000000"/>
              <w:bottom w:val="single" w:sz="6" w:space="0" w:color="000000"/>
            </w:tcBorders>
            <w:shd w:val="clear" w:color="auto" w:fill="C0C0C0"/>
          </w:tcPr>
          <w:p>
            <w:pPr>
              <w:pStyle w:val="GesAbsatz"/>
              <w:jc w:val="left"/>
              <w:rPr>
                <w:rFonts w:cs="Arial"/>
                <w:color w:val="auto"/>
                <w:sz w:val="18"/>
                <w:szCs w:val="18"/>
              </w:rPr>
            </w:pPr>
          </w:p>
        </w:tc>
      </w:tr>
      <w:tr>
        <w:trPr>
          <w:trHeight w:val="475"/>
        </w:trPr>
        <w:tc>
          <w:tcPr>
            <w:tcW w:w="13875" w:type="dxa"/>
            <w:gridSpan w:val="7"/>
          </w:tcPr>
          <w:p>
            <w:pPr>
              <w:pStyle w:val="GesAbsatz"/>
              <w:jc w:val="left"/>
              <w:rPr>
                <w:rFonts w:cs="Arial"/>
                <w:iCs/>
                <w:sz w:val="18"/>
                <w:szCs w:val="18"/>
              </w:rPr>
            </w:pPr>
            <w:r>
              <w:rPr>
                <w:rFonts w:cs="Arial"/>
                <w:i/>
                <w:iCs/>
                <w:sz w:val="18"/>
                <w:szCs w:val="18"/>
              </w:rPr>
              <w:t>Anmerkung:</w:t>
            </w:r>
            <w:r>
              <w:rPr>
                <w:rFonts w:cs="Arial"/>
                <w:iCs/>
                <w:sz w:val="18"/>
                <w:szCs w:val="18"/>
              </w:rPr>
              <w:t xml:space="preserve"> Die Angaben in grauen Feldern sind freiwillig.</w:t>
            </w:r>
          </w:p>
          <w:p>
            <w:pPr>
              <w:pStyle w:val="GesAbsatz"/>
              <w:jc w:val="left"/>
              <w:rPr>
                <w:rFonts w:cs="Arial"/>
                <w:sz w:val="18"/>
                <w:szCs w:val="18"/>
              </w:rPr>
            </w:pPr>
            <w:r>
              <w:rPr>
                <w:rFonts w:cs="Arial"/>
                <w:iCs/>
                <w:sz w:val="18"/>
                <w:szCs w:val="18"/>
                <w:vertAlign w:val="superscript"/>
              </w:rPr>
              <w:t>(1)</w:t>
            </w:r>
            <w:r>
              <w:rPr>
                <w:rFonts w:cs="Arial"/>
                <w:iCs/>
                <w:sz w:val="18"/>
                <w:szCs w:val="18"/>
              </w:rPr>
              <w:t xml:space="preserve"> Falls dies nicht möglich ist, Angabe der Anzahl. </w:t>
            </w:r>
          </w:p>
        </w:tc>
      </w:tr>
    </w:tbl>
    <w:p>
      <w:pPr>
        <w:pStyle w:val="GesAbsatz"/>
      </w:pPr>
    </w:p>
    <w:sectPr>
      <w:pgSz w:w="15840" w:h="12240" w:orient="landscape"/>
      <w:pgMar w:top="1418"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03.05.2005 (ABl. L 119 v. 11.05.2005 S. 13)</w:t>
    </w:r>
    <w:r>
      <w:tab/>
      <w:t xml:space="preserve">Seite </w:t>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37 vom 13.2.2003, S. 24. Richtlinie geändert durch die Richtlinie 2003/108/EG (ABl. L 345 vom 31.12.2003, S. 106).</w:t>
      </w:r>
    </w:p>
  </w:footnote>
  <w:footnote w:id="2">
    <w:p>
      <w:pPr>
        <w:pStyle w:val="Funotentext"/>
      </w:pPr>
      <w:r>
        <w:rPr>
          <w:rStyle w:val="Funotenzeichen"/>
        </w:rPr>
        <w:footnoteRef/>
      </w:r>
      <w:r>
        <w:t xml:space="preserve"> ABl. L 30 vom 6.2.1993, S. 1. Verordnung zuletzt geändert durch die Verordnung (EG) Nr. 2557/2001 der Kommission (ABl. L 349 vom 31.12.2001, S. 1).</w:t>
      </w:r>
    </w:p>
  </w:footnote>
  <w:footnote w:id="3">
    <w:p>
      <w:pPr>
        <w:pStyle w:val="Funotentext"/>
      </w:pPr>
      <w:r>
        <w:rPr>
          <w:rStyle w:val="Funotenzeichen"/>
        </w:rPr>
        <w:footnoteRef/>
      </w:r>
      <w:r>
        <w:t xml:space="preserve"> ABl. L 194 vom 25.7.1975, S. 39. Richtlinie zuletzt geändert durch die Verordnung (EG) Nr. 1882/2003 des Europäischen Parlaments und des Rates (ABl. L 284 vom 31.10.2003,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40.0-01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4C02C9-38C7-4EF0-BA80-7631FE42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ec/2005/369/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57AF-6246-4603-A0C5-37935189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750</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ENTSCHEIDUNG DER KOMMISSION vom 03.05.2005</vt:lpstr>
    </vt:vector>
  </TitlesOfParts>
  <Company>LANUV NRW</Company>
  <LinksUpToDate>false</LinksUpToDate>
  <CharactersWithSpaces>6100</CharactersWithSpaces>
  <SharedDoc>false</SharedDoc>
  <HLinks>
    <vt:vector size="42" baseType="variant">
      <vt:variant>
        <vt:i4>1114167</vt:i4>
      </vt:variant>
      <vt:variant>
        <vt:i4>35</vt:i4>
      </vt:variant>
      <vt:variant>
        <vt:i4>0</vt:i4>
      </vt:variant>
      <vt:variant>
        <vt:i4>5</vt:i4>
      </vt:variant>
      <vt:variant>
        <vt:lpwstr/>
      </vt:variant>
      <vt:variant>
        <vt:lpwstr>_Toc200420725</vt:lpwstr>
      </vt:variant>
      <vt:variant>
        <vt:i4>1114167</vt:i4>
      </vt:variant>
      <vt:variant>
        <vt:i4>29</vt:i4>
      </vt:variant>
      <vt:variant>
        <vt:i4>0</vt:i4>
      </vt:variant>
      <vt:variant>
        <vt:i4>5</vt:i4>
      </vt:variant>
      <vt:variant>
        <vt:lpwstr/>
      </vt:variant>
      <vt:variant>
        <vt:lpwstr>_Toc200420724</vt:lpwstr>
      </vt:variant>
      <vt:variant>
        <vt:i4>1114167</vt:i4>
      </vt:variant>
      <vt:variant>
        <vt:i4>23</vt:i4>
      </vt:variant>
      <vt:variant>
        <vt:i4>0</vt:i4>
      </vt:variant>
      <vt:variant>
        <vt:i4>5</vt:i4>
      </vt:variant>
      <vt:variant>
        <vt:lpwstr/>
      </vt:variant>
      <vt:variant>
        <vt:lpwstr>_Toc200420723</vt:lpwstr>
      </vt:variant>
      <vt:variant>
        <vt:i4>1114167</vt:i4>
      </vt:variant>
      <vt:variant>
        <vt:i4>17</vt:i4>
      </vt:variant>
      <vt:variant>
        <vt:i4>0</vt:i4>
      </vt:variant>
      <vt:variant>
        <vt:i4>5</vt:i4>
      </vt:variant>
      <vt:variant>
        <vt:lpwstr/>
      </vt:variant>
      <vt:variant>
        <vt:lpwstr>_Toc200420722</vt:lpwstr>
      </vt:variant>
      <vt:variant>
        <vt:i4>1114167</vt:i4>
      </vt:variant>
      <vt:variant>
        <vt:i4>11</vt:i4>
      </vt:variant>
      <vt:variant>
        <vt:i4>0</vt:i4>
      </vt:variant>
      <vt:variant>
        <vt:i4>5</vt:i4>
      </vt:variant>
      <vt:variant>
        <vt:lpwstr/>
      </vt:variant>
      <vt:variant>
        <vt:lpwstr>_Toc200420721</vt:lpwstr>
      </vt:variant>
      <vt:variant>
        <vt:i4>1114167</vt:i4>
      </vt:variant>
      <vt:variant>
        <vt:i4>5</vt:i4>
      </vt:variant>
      <vt:variant>
        <vt:i4>0</vt:i4>
      </vt:variant>
      <vt:variant>
        <vt:i4>5</vt:i4>
      </vt:variant>
      <vt:variant>
        <vt:lpwstr/>
      </vt:variant>
      <vt:variant>
        <vt:lpwstr>_Toc200420720</vt:lpwstr>
      </vt:variant>
      <vt:variant>
        <vt:i4>6029342</vt:i4>
      </vt:variant>
      <vt:variant>
        <vt:i4>0</vt:i4>
      </vt:variant>
      <vt:variant>
        <vt:i4>0</vt:i4>
      </vt:variant>
      <vt:variant>
        <vt:i4>5</vt:i4>
      </vt:variant>
      <vt:variant>
        <vt:lpwstr>http://eur-lex.europa.eu/LexUriServ/LexUriServ.do?uri=OJ:L:2005:119:0013:0016:DE:PDF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ENTSCHEIDUNG DER KOMMISSION vom 03.05.2005</dc:title>
  <dc:subject>Elektro- und Elektronik-Altgeräte</dc:subject>
  <dc:creator>Np</dc:creator>
  <cp:lastModifiedBy>Rüter, Dr., Ingo</cp:lastModifiedBy>
  <cp:revision>9</cp:revision>
  <cp:lastPrinted>2004-12-14T11:08:00Z</cp:lastPrinted>
  <dcterms:created xsi:type="dcterms:W3CDTF">2014-07-24T08:19:00Z</dcterms:created>
  <dcterms:modified xsi:type="dcterms:W3CDTF">2023-10-19T08:43:00Z</dcterms:modified>
</cp:coreProperties>
</file>