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Verwaltungsgebührenordnung zum Informationsfreiheitsgesetz </w:t>
      </w:r>
      <w:r>
        <w:br/>
        <w:t>Nordrhein-Westfalen - VerwGebO IFG NRW</w:t>
      </w:r>
    </w:p>
    <w:p>
      <w:pPr>
        <w:jc w:val="center"/>
      </w:pPr>
      <w:r>
        <w:t>vom 19. Februar 2002</w:t>
      </w:r>
    </w:p>
    <w:p>
      <w:pPr>
        <w:pStyle w:val="GesAbsatz"/>
      </w:pPr>
    </w:p>
    <w:p>
      <w:pPr>
        <w:pStyle w:val="GesAbsatz"/>
      </w:pPr>
      <w:hyperlink r:id="rId7" w:history="1">
        <w:r>
          <w:rPr>
            <w:rStyle w:val="Hyperlink"/>
          </w:rPr>
          <w:t>Link zur Vorschrift im SGV. NRW. 2011</w:t>
        </w:r>
      </w:hyperlink>
    </w:p>
    <w:p>
      <w:pPr>
        <w:pStyle w:val="GesAbsatz"/>
      </w:pPr>
    </w:p>
    <w:p>
      <w:pPr>
        <w:pStyle w:val="GesAbsatz"/>
      </w:pPr>
      <w:r>
        <w:t xml:space="preserve">Auf Grund des § 11 Abs. 2 Satz 1 des Informationsfreiheitsgesetzes Nordrhein-Westfalen vom 27. November 2001 (GV. NRW. S. 806) wird im Einvernehmen mit dem Landtagsausschuss für Innere Verwaltung und Verwaltungsstrukturreform verordnet: </w:t>
      </w:r>
      <w:bookmarkStart w:id="0" w:name="_GoBack"/>
      <w:bookmarkEnd w:id="0"/>
    </w:p>
    <w:p>
      <w:pPr>
        <w:pStyle w:val="berschrift3"/>
      </w:pPr>
      <w:r>
        <w:t>§ 1</w:t>
      </w:r>
      <w:r>
        <w:br/>
        <w:t>Gebührentarif</w:t>
      </w:r>
    </w:p>
    <w:p>
      <w:pPr>
        <w:pStyle w:val="GesAbsatz"/>
      </w:pPr>
      <w:r>
        <w:t>Für die im</w:t>
      </w:r>
      <w:r>
        <w:rPr>
          <w:b/>
        </w:rPr>
        <w:t xml:space="preserve"> anliegenden</w:t>
      </w:r>
      <w:r>
        <w:t xml:space="preserve"> Gebührentarif genannten Amtshandlungen werden die dort genannten Kosten (Gebühren und Auslagen) erhoben. Der Gebührentarif ist Bestandteil dieser Verordnung.</w:t>
      </w:r>
    </w:p>
    <w:p>
      <w:pPr>
        <w:pStyle w:val="berschrift3"/>
      </w:pPr>
      <w:r>
        <w:t>§ 2</w:t>
      </w:r>
      <w:r>
        <w:br/>
        <w:t>Ermäßigung und Befreiung</w:t>
      </w:r>
    </w:p>
    <w:p>
      <w:pPr>
        <w:pStyle w:val="GesAbsatz"/>
      </w:pPr>
      <w:r>
        <w:t>Von der Erhebung von Gebühren und Auslagen kann auf Antrag insoweit abgesehen werden, als dies aus Gründen der Billigkeit, insbesondere zur Vermeidung sozialer Härten geboten erscheint.</w:t>
      </w:r>
    </w:p>
    <w:p>
      <w:pPr>
        <w:pStyle w:val="berschrift3"/>
      </w:pPr>
      <w:r>
        <w:t>§ 3</w:t>
      </w:r>
      <w:r>
        <w:br/>
        <w:t>Auslagen</w:t>
      </w:r>
    </w:p>
    <w:p>
      <w:pPr>
        <w:pStyle w:val="GesAbsatz"/>
      </w:pPr>
      <w:r>
        <w:t>(1) Erfolgt der Informationszugang durch Einsicht in die Originaldokumente, gelten die damit zusammenhängenden Auslagen als bereits in die Gebühr einbezogen.</w:t>
      </w:r>
    </w:p>
    <w:p>
      <w:pPr>
        <w:pStyle w:val="GesAbsatz"/>
      </w:pPr>
      <w:r>
        <w:t>(2) In den anderen Fällen bestimmt sich die Höhe der Auslagen nach Tarifstelle 3 der Anlage. Die Auslagen sind auch dann zu erstatten, wenn für eine Amtshandlung Gebührenfreiheit besteht oder von der Gebührenerhebung abgesehen wird.</w:t>
      </w:r>
    </w:p>
    <w:p>
      <w:pPr>
        <w:pStyle w:val="berschrift3"/>
      </w:pPr>
      <w:r>
        <w:t>§ 4</w:t>
      </w:r>
      <w:r>
        <w:br/>
        <w:t>In-Kraft-Treten</w:t>
      </w:r>
    </w:p>
    <w:p>
      <w:pPr>
        <w:pStyle w:val="GesAbsatz"/>
      </w:pPr>
      <w:r>
        <w:t>Diese Verordnung tritt am Tage nach der Verkündung in Kraft.</w:t>
      </w:r>
    </w:p>
    <w:p/>
    <w:p/>
    <w:p>
      <w:pPr>
        <w:pStyle w:val="berschrift2"/>
        <w:jc w:val="left"/>
      </w:pPr>
      <w:r>
        <w:t>Anlage GEBÜHRENTARIF</w:t>
      </w:r>
    </w:p>
    <w:p/>
    <w:p>
      <w:pPr>
        <w:pStyle w:val="GesAbsatz"/>
        <w:rPr>
          <w:b/>
        </w:rPr>
      </w:pPr>
      <w:r>
        <w:rPr>
          <w:b/>
        </w:rPr>
        <w:t>1. Übermittlung von Informationen</w:t>
      </w:r>
    </w:p>
    <w:p>
      <w:pPr>
        <w:pStyle w:val="GesAbsatz"/>
        <w:jc w:val="left"/>
      </w:pPr>
      <w:r>
        <w:rPr>
          <w:b/>
        </w:rPr>
        <w:t>1.1</w:t>
      </w:r>
      <w:r>
        <w:t xml:space="preserve"> Erteilung einer mündlichen oder einfachen</w:t>
      </w:r>
      <w:r>
        <w:rPr>
          <w:i/>
        </w:rPr>
        <w:t xml:space="preserve"> </w:t>
      </w:r>
      <w:r>
        <w:t>schriftlichen Auskunft</w:t>
      </w:r>
    </w:p>
    <w:p>
      <w:pPr>
        <w:pStyle w:val="GesAbsatz"/>
        <w:jc w:val="left"/>
      </w:pPr>
      <w:r>
        <w:t>gebührenfrei</w:t>
      </w:r>
    </w:p>
    <w:p>
      <w:pPr>
        <w:pStyle w:val="GesAbsatz"/>
      </w:pPr>
      <w:r>
        <w:rPr>
          <w:b/>
        </w:rPr>
        <w:t xml:space="preserve">1.2 </w:t>
      </w:r>
      <w:r>
        <w:t>Erteilung einer umfassenden schriftlichen Auskunft mit erheblichem Vorbereitungsaufwand:</w:t>
      </w:r>
    </w:p>
    <w:p>
      <w:pPr>
        <w:pStyle w:val="GesAbsatz"/>
      </w:pPr>
      <w:r>
        <w:t>Gebühr: Euro 10 - 500</w:t>
      </w:r>
    </w:p>
    <w:p>
      <w:pPr>
        <w:pStyle w:val="GesAbsatz"/>
      </w:pPr>
      <w:r>
        <w:rPr>
          <w:b/>
        </w:rPr>
        <w:t xml:space="preserve">1.3 </w:t>
      </w:r>
      <w:r>
        <w:t>Ermöglichung der Einsichtnahme in Akten und sonstige Informationsträger</w:t>
      </w:r>
    </w:p>
    <w:p>
      <w:pPr>
        <w:pStyle w:val="GesAbsatz"/>
        <w:ind w:left="426"/>
      </w:pPr>
      <w:r>
        <w:rPr>
          <w:b/>
        </w:rPr>
        <w:t>1.3.1</w:t>
      </w:r>
      <w:r>
        <w:t xml:space="preserve"> in einfachen Fällen</w:t>
      </w:r>
    </w:p>
    <w:p>
      <w:pPr>
        <w:pStyle w:val="GesAbsatz"/>
        <w:ind w:left="426"/>
      </w:pPr>
      <w:r>
        <w:t>gebührenfrei</w:t>
      </w:r>
    </w:p>
    <w:p>
      <w:pPr>
        <w:pStyle w:val="GesAbsatz"/>
        <w:ind w:left="426"/>
      </w:pPr>
      <w:r>
        <w:rPr>
          <w:b/>
        </w:rPr>
        <w:t xml:space="preserve">1.3.2 </w:t>
      </w:r>
      <w:r>
        <w:t>bei umfangreichem Verwaltungsaufwand</w:t>
      </w:r>
    </w:p>
    <w:p>
      <w:pPr>
        <w:pStyle w:val="GesAbsatz"/>
        <w:ind w:left="426"/>
      </w:pPr>
      <w:r>
        <w:t>Gebühr: Euro 10 - 500</w:t>
      </w:r>
    </w:p>
    <w:p>
      <w:pPr>
        <w:pStyle w:val="GesAbsatz"/>
        <w:ind w:left="426"/>
      </w:pPr>
      <w:r>
        <w:rPr>
          <w:b/>
        </w:rPr>
        <w:t xml:space="preserve">1.3.3 </w:t>
      </w:r>
      <w:r>
        <w:t>bei außergewöhnlichem Verwaltungsaufwand, insbesondere, wenn Daten abgetrennt oder geschwärzt werden müssen zum Schutz privater Interessen (§ 10 Abs. 2 IFG)2</w:t>
      </w:r>
    </w:p>
    <w:p>
      <w:pPr>
        <w:pStyle w:val="GesAbsatz"/>
        <w:ind w:left="426"/>
      </w:pPr>
      <w:r>
        <w:t>Gebühr: Euro 10 - 1000</w:t>
      </w:r>
    </w:p>
    <w:p>
      <w:pPr>
        <w:pStyle w:val="GesAbsatz"/>
        <w:rPr>
          <w:b/>
        </w:rPr>
      </w:pPr>
      <w:r>
        <w:rPr>
          <w:b/>
        </w:rPr>
        <w:lastRenderedPageBreak/>
        <w:t>2. Widerspruchsbescheide</w:t>
      </w:r>
    </w:p>
    <w:p>
      <w:pPr>
        <w:pStyle w:val="GesAbsatz"/>
      </w:pPr>
      <w:r>
        <w:rPr>
          <w:b/>
        </w:rPr>
        <w:t xml:space="preserve">2.1 </w:t>
      </w:r>
      <w:r>
        <w:t>Zurückweisung eines Widerspruchs gegen eine Sachentscheidung</w:t>
      </w:r>
    </w:p>
    <w:p>
      <w:pPr>
        <w:pStyle w:val="GesAbsatz"/>
      </w:pPr>
      <w:r>
        <w:t>Gebühr: Euro 10 - 50</w:t>
      </w:r>
    </w:p>
    <w:p>
      <w:pPr>
        <w:pStyle w:val="GesAbsatz"/>
      </w:pPr>
      <w:r>
        <w:rPr>
          <w:b/>
        </w:rPr>
        <w:t xml:space="preserve">2.2 </w:t>
      </w:r>
      <w:r>
        <w:t>Zurückweisung eines Widerspruchs gegen eine Kostenentscheidung</w:t>
      </w:r>
    </w:p>
    <w:p>
      <w:pPr>
        <w:pStyle w:val="GesAbsatz"/>
      </w:pPr>
      <w:r>
        <w:t>Gebühr: Euro 10 - 50</w:t>
      </w:r>
    </w:p>
    <w:p>
      <w:pPr>
        <w:pStyle w:val="GesAbsatz"/>
        <w:rPr>
          <w:b/>
        </w:rPr>
      </w:pPr>
    </w:p>
    <w:p>
      <w:pPr>
        <w:pStyle w:val="GesAbsatz"/>
        <w:rPr>
          <w:b/>
        </w:rPr>
      </w:pPr>
      <w:r>
        <w:rPr>
          <w:b/>
        </w:rPr>
        <w:t>3. Auslagen</w:t>
      </w:r>
    </w:p>
    <w:p>
      <w:pPr>
        <w:pStyle w:val="GesAbsatz"/>
      </w:pPr>
      <w:r>
        <w:rPr>
          <w:b/>
        </w:rPr>
        <w:t>3.1</w:t>
      </w:r>
      <w:r>
        <w:t xml:space="preserve"> Anfertigung von Kopien und Ausdrucken</w:t>
      </w:r>
    </w:p>
    <w:p>
      <w:pPr>
        <w:pStyle w:val="GesAbsatz"/>
      </w:pPr>
      <w:r>
        <w:t>je DIN A 4 - Kopie von Papiervorlagen</w:t>
      </w:r>
    </w:p>
    <w:p>
      <w:pPr>
        <w:pStyle w:val="GesAbsatz"/>
      </w:pPr>
      <w:r>
        <w:t>Gebühr: Euro 0,10</w:t>
      </w:r>
    </w:p>
    <w:p>
      <w:pPr>
        <w:pStyle w:val="GesAbsatz"/>
      </w:pPr>
    </w:p>
    <w:p>
      <w:pPr>
        <w:pStyle w:val="GesAbsatz"/>
      </w:pPr>
      <w:r>
        <w:t>je DIN A 3 - Kopie von Papiervorlagen</w:t>
      </w:r>
    </w:p>
    <w:p>
      <w:pPr>
        <w:pStyle w:val="GesAbsatz"/>
      </w:pPr>
      <w:r>
        <w:t>Gebühr: Euro 0,15</w:t>
      </w:r>
    </w:p>
    <w:p>
      <w:pPr>
        <w:pStyle w:val="GesAbsatz"/>
      </w:pPr>
    </w:p>
    <w:p>
      <w:pPr>
        <w:pStyle w:val="GesAbsatz"/>
      </w:pPr>
      <w:r>
        <w:t>je Computerausdruck</w:t>
      </w:r>
    </w:p>
    <w:p>
      <w:pPr>
        <w:pStyle w:val="GesAbsatz"/>
      </w:pPr>
      <w:r>
        <w:t>Gebühr: Euro 0,25</w:t>
      </w:r>
    </w:p>
    <w:p>
      <w:pPr>
        <w:pStyle w:val="GesAbsatz"/>
      </w:pPr>
    </w:p>
    <w:p>
      <w:pPr>
        <w:pStyle w:val="GesAbsatz"/>
      </w:pPr>
      <w:r>
        <w:rPr>
          <w:b/>
        </w:rPr>
        <w:t xml:space="preserve">3.2 </w:t>
      </w:r>
      <w:r>
        <w:t>Auslagen für besondere Verpackung und oder besondere Beförderung</w:t>
      </w:r>
    </w:p>
    <w:p>
      <w:pPr>
        <w:pStyle w:val="GesAbsatz"/>
      </w:pPr>
      <w:r>
        <w:t>in tatsächlich entstandener Höhe</w:t>
      </w: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19.02.2002 (GV. NRW. S. 88 / SGV. NRW. 2011)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uzeile"/>
    </w:pPr>
    <w:r>
      <w:tab/>
      <w:t>Stand 09.09.2014 (GV. NRW. 500)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31.0-19</w:t>
    </w:r>
  </w:p>
  <w:p>
    <w:pPr>
      <w:pStyle w:val="Kopfzeile"/>
      <w:rPr>
        <w:sz w:val="24"/>
      </w:rPr>
    </w:pPr>
    <w:r>
      <w:t>VerwGebO IFG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0CF"/>
    <w:multiLevelType w:val="singleLevel"/>
    <w:tmpl w:val="071C2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8D14CCF"/>
    <w:multiLevelType w:val="singleLevel"/>
    <w:tmpl w:val="B1824B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6A7CDCFB-7BD4-48FB-B66A-76D7A35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120070810130547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330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Verwaltungsgebührenordnung zum Informationsfreiheitsgesetz</vt:lpstr>
    </vt:vector>
  </TitlesOfParts>
  <Company>LANUV NRW</Company>
  <LinksUpToDate>false</LinksUpToDate>
  <CharactersWithSpaces>2511</CharactersWithSpaces>
  <SharedDoc>false</SharedDoc>
  <HLinks>
    <vt:vector size="6" baseType="variant"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https://recht.nrw.de/lmi/owa/br_bes_text?anw_nr=2&amp;gld_nr=2&amp;ugl_nr=2011&amp;bes_id=5036&amp;aufgehoben=N&amp;menu=1&amp;sg=0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Verwaltungsgebührenordnung zum Informationsfreiheitsgesetz</dc:title>
  <dc:creator>LANUV NRW</dc:creator>
  <cp:lastModifiedBy>Rüter, Dr., Ingo</cp:lastModifiedBy>
  <cp:revision>5</cp:revision>
  <cp:lastPrinted>2253-06-25T01:07:00Z</cp:lastPrinted>
  <dcterms:created xsi:type="dcterms:W3CDTF">2014-09-26T07:19:00Z</dcterms:created>
  <dcterms:modified xsi:type="dcterms:W3CDTF">2024-06-06T08:25:00Z</dcterms:modified>
</cp:coreProperties>
</file>