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</w:pPr>
      <w:bookmarkStart w:id="0" w:name="_Toc484233515"/>
      <w:bookmarkStart w:id="1" w:name="_Toc360612265"/>
      <w:r>
        <w:t>Allgemeine Verwaltung</w:t>
      </w:r>
      <w:bookmarkStart w:id="2" w:name="_GoBack"/>
      <w:bookmarkEnd w:id="2"/>
      <w:r>
        <w:t>sgebührenordnung - Tarifstellen 30 und 31</w:t>
      </w:r>
      <w:bookmarkEnd w:id="0"/>
      <w:bookmarkEnd w:id="1"/>
    </w:p>
    <w:p>
      <w:pPr>
        <w:pStyle w:val="GesAbsatz"/>
      </w:pPr>
    </w:p>
    <w:p>
      <w:pPr>
        <w:pStyle w:val="GesAbsatz"/>
        <w:tabs>
          <w:tab w:val="clear" w:pos="425"/>
          <w:tab w:val="left" w:pos="4253"/>
        </w:tabs>
        <w:spacing w:before="120"/>
        <w:jc w:val="left"/>
        <w:rPr>
          <w:b/>
          <w:bCs/>
          <w:i/>
          <w:color w:val="FF0000"/>
          <w:sz w:val="24"/>
          <w:szCs w:val="24"/>
        </w:rPr>
      </w:pPr>
      <w:r>
        <w:rPr>
          <w:b/>
          <w:bCs/>
          <w:i/>
          <w:color w:val="FF0000"/>
          <w:sz w:val="24"/>
          <w:szCs w:val="24"/>
        </w:rPr>
        <w:t>Gültig bis 11.08.2023</w:t>
      </w:r>
    </w:p>
    <w:p>
      <w:pPr>
        <w:pStyle w:val="GesAbsatz"/>
        <w:tabs>
          <w:tab w:val="clear" w:pos="425"/>
          <w:tab w:val="left" w:pos="2977"/>
        </w:tabs>
        <w:jc w:val="left"/>
        <w:rPr>
          <w:bCs/>
        </w:rPr>
      </w:pPr>
    </w:p>
    <w:p>
      <w:pPr>
        <w:pStyle w:val="GesAbsatz"/>
        <w:tabs>
          <w:tab w:val="clear" w:pos="425"/>
          <w:tab w:val="left" w:pos="2977"/>
        </w:tabs>
        <w:rPr>
          <w:bCs/>
          <w:color w:val="FF0000"/>
        </w:rPr>
      </w:pPr>
      <w:hyperlink w:anchor="ÄltereFassungen" w:history="1">
        <w:r>
          <w:rPr>
            <w:rStyle w:val="Hyperlink"/>
            <w:bCs/>
            <w:color w:val="FF0000"/>
          </w:rPr>
          <w:t>Änderungen</w:t>
        </w:r>
      </w:hyperlink>
    </w:p>
    <w:p>
      <w:pPr>
        <w:pStyle w:val="GesAbsatz"/>
        <w:jc w:val="center"/>
        <w:rPr>
          <w:b/>
          <w:sz w:val="22"/>
        </w:rPr>
      </w:pPr>
      <w:r>
        <w:rPr>
          <w:b/>
          <w:sz w:val="22"/>
        </w:rPr>
        <w:t>Inhalt:</w:t>
      </w:r>
    </w:p>
    <w:p>
      <w:pPr>
        <w:pStyle w:val="Verzeichnis1"/>
        <w:tabs>
          <w:tab w:val="clear" w:pos="9638"/>
          <w:tab w:val="right" w:leader="dot" w:pos="9627"/>
        </w:tabs>
        <w:rPr>
          <w:b w:val="0"/>
          <w:caps w:val="0"/>
          <w:noProof/>
          <w:sz w:val="24"/>
          <w:szCs w:val="24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"1-3" </w:instrText>
      </w:r>
      <w:r>
        <w:rPr>
          <w:b w:val="0"/>
        </w:rPr>
        <w:fldChar w:fldCharType="separate"/>
      </w:r>
      <w:r>
        <w:rPr>
          <w:noProof/>
        </w:rPr>
        <w:t>Allgemeine Verwaltungsgebührenordnung – Tarifstellen 30 und 31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_Toc360612265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>
      <w:pPr>
        <w:pStyle w:val="Verzeichnis2"/>
        <w:tabs>
          <w:tab w:val="clear" w:pos="9638"/>
          <w:tab w:val="right" w:leader="dot" w:pos="9627"/>
        </w:tabs>
        <w:rPr>
          <w:smallCaps w:val="0"/>
          <w:noProof/>
          <w:sz w:val="24"/>
          <w:szCs w:val="24"/>
        </w:rPr>
      </w:pPr>
      <w:r>
        <w:rPr>
          <w:noProof/>
        </w:rPr>
        <w:t>30 Sonstiges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_Toc360612266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>
      <w:pPr>
        <w:pStyle w:val="Verzeichnis3"/>
        <w:tabs>
          <w:tab w:val="clear" w:pos="9638"/>
          <w:tab w:val="right" w:leader="dot" w:pos="9627"/>
        </w:tabs>
        <w:rPr>
          <w:i w:val="0"/>
          <w:noProof/>
          <w:sz w:val="24"/>
          <w:szCs w:val="24"/>
        </w:rPr>
      </w:pPr>
      <w:r>
        <w:rPr>
          <w:noProof/>
        </w:rPr>
        <w:t>30.1 Beglaubigungen, Bescheinigungen und Zeugnisse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_Toc360612267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>
      <w:pPr>
        <w:pStyle w:val="Verzeichnis3"/>
        <w:tabs>
          <w:tab w:val="clear" w:pos="9638"/>
          <w:tab w:val="right" w:leader="dot" w:pos="9627"/>
        </w:tabs>
        <w:rPr>
          <w:i w:val="0"/>
          <w:noProof/>
          <w:sz w:val="24"/>
          <w:szCs w:val="24"/>
        </w:rPr>
      </w:pPr>
      <w:r>
        <w:rPr>
          <w:noProof/>
        </w:rPr>
        <w:t>30.3 Versendung von Akten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_Toc360612268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>
      <w:pPr>
        <w:pStyle w:val="Verzeichnis3"/>
        <w:tabs>
          <w:tab w:val="clear" w:pos="9638"/>
          <w:tab w:val="right" w:leader="dot" w:pos="9627"/>
        </w:tabs>
        <w:rPr>
          <w:i w:val="0"/>
          <w:noProof/>
          <w:sz w:val="24"/>
          <w:szCs w:val="24"/>
        </w:rPr>
      </w:pPr>
      <w:r>
        <w:rPr>
          <w:noProof/>
        </w:rPr>
        <w:t>30.4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_Toc360612269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>
      <w:pPr>
        <w:pStyle w:val="Verzeichnis3"/>
        <w:tabs>
          <w:tab w:val="clear" w:pos="9638"/>
          <w:tab w:val="right" w:leader="dot" w:pos="9627"/>
        </w:tabs>
        <w:rPr>
          <w:i w:val="0"/>
          <w:noProof/>
          <w:sz w:val="24"/>
          <w:szCs w:val="24"/>
        </w:rPr>
      </w:pPr>
      <w:r>
        <w:rPr>
          <w:noProof/>
        </w:rPr>
        <w:t>30.5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_Toc360612270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>
      <w:pPr>
        <w:pStyle w:val="Verzeichnis2"/>
        <w:tabs>
          <w:tab w:val="clear" w:pos="9638"/>
          <w:tab w:val="right" w:leader="dot" w:pos="9627"/>
        </w:tabs>
        <w:rPr>
          <w:smallCaps w:val="0"/>
          <w:noProof/>
          <w:sz w:val="24"/>
          <w:szCs w:val="24"/>
        </w:rPr>
      </w:pPr>
      <w:r>
        <w:rPr>
          <w:noProof/>
        </w:rPr>
        <w:t>31 Rechtsbehelfe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_Toc360612271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>
      <w:pPr>
        <w:pStyle w:val="GesAbsatz"/>
        <w:jc w:val="left"/>
        <w:rPr>
          <w:b/>
        </w:rPr>
      </w:pPr>
      <w:r>
        <w:rPr>
          <w:rFonts w:ascii="Times New Roman" w:hAnsi="Times New Roman"/>
          <w:b/>
          <w:color w:val="auto"/>
        </w:rPr>
        <w:fldChar w:fldCharType="end"/>
      </w:r>
    </w:p>
    <w:p>
      <w:pPr>
        <w:pStyle w:val="berschrift2"/>
        <w:jc w:val="left"/>
        <w:rPr>
          <w:bCs/>
        </w:rPr>
      </w:pPr>
      <w:bookmarkStart w:id="3" w:name="_Toc484233516"/>
      <w:bookmarkStart w:id="4" w:name="_Toc360612266"/>
      <w:r>
        <w:rPr>
          <w:bCs/>
        </w:rPr>
        <w:t>30 Sonstiges</w:t>
      </w:r>
      <w:bookmarkEnd w:id="3"/>
      <w:bookmarkEnd w:id="4"/>
    </w:p>
    <w:p>
      <w:pPr>
        <w:pStyle w:val="GesAbsatz"/>
        <w:jc w:val="left"/>
      </w:pPr>
      <w:r>
        <w:t>(Reihenfolge der Darstellung: Tarifstelle / Gegenstand / Gebühr Euro)</w:t>
      </w:r>
    </w:p>
    <w:p>
      <w:pPr>
        <w:pStyle w:val="berschrift3"/>
        <w:jc w:val="left"/>
      </w:pPr>
      <w:bookmarkStart w:id="5" w:name="_Toc360612267"/>
      <w:r>
        <w:t>30.1 Beglaubigungen, Bescheinigungen und Zeugnisse</w:t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245"/>
        <w:gridCol w:w="2693"/>
      </w:tblGrid>
      <w:tr>
        <w:trPr>
          <w:cantSplit/>
        </w:trPr>
        <w:tc>
          <w:tcPr>
            <w:tcW w:w="1771" w:type="dxa"/>
          </w:tcPr>
          <w:p>
            <w:pPr>
              <w:pStyle w:val="GesAbsatz"/>
              <w:rPr>
                <w:b/>
              </w:rPr>
            </w:pPr>
            <w:bookmarkStart w:id="6" w:name="_Toc484233517"/>
            <w:r>
              <w:rPr>
                <w:b/>
              </w:rPr>
              <w:t xml:space="preserve">30.1 </w:t>
            </w:r>
            <w:bookmarkEnd w:id="6"/>
          </w:p>
        </w:tc>
        <w:tc>
          <w:tcPr>
            <w:tcW w:w="7938" w:type="dxa"/>
            <w:gridSpan w:val="2"/>
          </w:tcPr>
          <w:p>
            <w:pPr>
              <w:pStyle w:val="GesAbsatz"/>
            </w:pPr>
            <w:r>
              <w:t>Beglaubigungen, Bescheinigungen und Zeugnisse</w:t>
            </w:r>
          </w:p>
        </w:tc>
      </w:tr>
      <w:tr>
        <w:tc>
          <w:tcPr>
            <w:tcW w:w="1771" w:type="dxa"/>
          </w:tcPr>
          <w:p>
            <w:pPr>
              <w:pStyle w:val="GesAbsatz"/>
              <w:tabs>
                <w:tab w:val="clear" w:pos="425"/>
              </w:tabs>
              <w:jc w:val="left"/>
            </w:pPr>
            <w:r>
              <w:t>30.1.1</w:t>
            </w:r>
          </w:p>
        </w:tc>
        <w:tc>
          <w:tcPr>
            <w:tcW w:w="5245" w:type="dxa"/>
          </w:tcPr>
          <w:p>
            <w:pPr>
              <w:pStyle w:val="GesAbsatz"/>
              <w:tabs>
                <w:tab w:val="clear" w:pos="425"/>
              </w:tabs>
              <w:jc w:val="left"/>
            </w:pPr>
            <w:r>
              <w:t>Beglaubigungen von Unterschriften oder Handzeichen</w:t>
            </w:r>
          </w:p>
        </w:tc>
        <w:tc>
          <w:tcPr>
            <w:tcW w:w="2693" w:type="dxa"/>
          </w:tcPr>
          <w:p>
            <w:pPr>
              <w:pStyle w:val="GesAbsatz"/>
              <w:tabs>
                <w:tab w:val="clear" w:pos="425"/>
              </w:tabs>
              <w:jc w:val="left"/>
            </w:pPr>
            <w:r>
              <w:rPr>
                <w:i/>
              </w:rPr>
              <w:t>Gebühr:</w:t>
            </w:r>
            <w:r>
              <w:t xml:space="preserve"> Euro 1,50</w:t>
            </w:r>
          </w:p>
        </w:tc>
      </w:tr>
      <w:tr>
        <w:tc>
          <w:tcPr>
            <w:tcW w:w="1771" w:type="dxa"/>
          </w:tcPr>
          <w:p>
            <w:pPr>
              <w:pStyle w:val="GesAbsatz"/>
              <w:tabs>
                <w:tab w:val="clear" w:pos="425"/>
              </w:tabs>
              <w:jc w:val="left"/>
            </w:pPr>
            <w:r>
              <w:t>30.1.2</w:t>
            </w:r>
          </w:p>
        </w:tc>
        <w:tc>
          <w:tcPr>
            <w:tcW w:w="5245" w:type="dxa"/>
          </w:tcPr>
          <w:p>
            <w:pPr>
              <w:pStyle w:val="GesAbsatz"/>
              <w:tabs>
                <w:tab w:val="clear" w:pos="425"/>
              </w:tabs>
              <w:jc w:val="left"/>
            </w:pPr>
            <w:r>
              <w:t>Beglaubigungen von Abschriften, Ablichtungen usw. je Seite</w:t>
            </w:r>
          </w:p>
        </w:tc>
        <w:tc>
          <w:tcPr>
            <w:tcW w:w="2693" w:type="dxa"/>
          </w:tcPr>
          <w:p>
            <w:pPr>
              <w:pStyle w:val="GesAbsatz"/>
              <w:tabs>
                <w:tab w:val="clear" w:pos="425"/>
              </w:tabs>
              <w:jc w:val="left"/>
            </w:pPr>
            <w:r>
              <w:rPr>
                <w:i/>
              </w:rPr>
              <w:t>Gebühr:</w:t>
            </w:r>
            <w:r>
              <w:t xml:space="preserve"> Euro 1,50 bis 2,50</w:t>
            </w:r>
          </w:p>
        </w:tc>
      </w:tr>
      <w:tr>
        <w:tc>
          <w:tcPr>
            <w:tcW w:w="1771" w:type="dxa"/>
          </w:tcPr>
          <w:p>
            <w:pPr>
              <w:pStyle w:val="GesAbsatz"/>
              <w:tabs>
                <w:tab w:val="clear" w:pos="425"/>
              </w:tabs>
              <w:jc w:val="left"/>
            </w:pPr>
            <w:r>
              <w:t>30.1.3</w:t>
            </w:r>
          </w:p>
        </w:tc>
        <w:tc>
          <w:tcPr>
            <w:tcW w:w="5245" w:type="dxa"/>
          </w:tcPr>
          <w:p>
            <w:pPr>
              <w:pStyle w:val="GesAbsatz"/>
              <w:tabs>
                <w:tab w:val="clear" w:pos="425"/>
              </w:tabs>
              <w:jc w:val="left"/>
            </w:pPr>
            <w:r>
              <w:t>Bescheinigungen</w:t>
            </w:r>
          </w:p>
        </w:tc>
        <w:tc>
          <w:tcPr>
            <w:tcW w:w="2693" w:type="dxa"/>
          </w:tcPr>
          <w:p>
            <w:pPr>
              <w:pStyle w:val="GesAbsatz"/>
              <w:tabs>
                <w:tab w:val="clear" w:pos="425"/>
              </w:tabs>
              <w:jc w:val="left"/>
            </w:pPr>
            <w:r>
              <w:rPr>
                <w:i/>
              </w:rPr>
              <w:t>Gebühr:</w:t>
            </w:r>
            <w:r>
              <w:t xml:space="preserve"> Euro 1,50 bis 10,00</w:t>
            </w:r>
          </w:p>
        </w:tc>
      </w:tr>
      <w:tr>
        <w:tc>
          <w:tcPr>
            <w:tcW w:w="1771" w:type="dxa"/>
          </w:tcPr>
          <w:p>
            <w:pPr>
              <w:pStyle w:val="GesAbsatz"/>
              <w:tabs>
                <w:tab w:val="clear" w:pos="425"/>
              </w:tabs>
              <w:jc w:val="left"/>
            </w:pPr>
            <w:r>
              <w:t>30.1.4</w:t>
            </w:r>
          </w:p>
        </w:tc>
        <w:tc>
          <w:tcPr>
            <w:tcW w:w="5245" w:type="dxa"/>
          </w:tcPr>
          <w:p>
            <w:pPr>
              <w:pStyle w:val="GesAbsatz"/>
              <w:tabs>
                <w:tab w:val="clear" w:pos="425"/>
              </w:tabs>
              <w:jc w:val="left"/>
            </w:pPr>
            <w:r>
              <w:t>Zeugnisse (z. B. Ursprungszeugnisse)</w:t>
            </w:r>
          </w:p>
        </w:tc>
        <w:tc>
          <w:tcPr>
            <w:tcW w:w="2693" w:type="dxa"/>
          </w:tcPr>
          <w:p>
            <w:pPr>
              <w:pStyle w:val="GesAbsatz"/>
              <w:tabs>
                <w:tab w:val="clear" w:pos="425"/>
              </w:tabs>
              <w:jc w:val="left"/>
            </w:pPr>
            <w:r>
              <w:rPr>
                <w:i/>
              </w:rPr>
              <w:t>Gebühr:</w:t>
            </w:r>
            <w:r>
              <w:t xml:space="preserve"> Euro 2,50 bis 25</w:t>
            </w:r>
          </w:p>
        </w:tc>
      </w:tr>
      <w:tr>
        <w:tc>
          <w:tcPr>
            <w:tcW w:w="1771" w:type="dxa"/>
          </w:tcPr>
          <w:p>
            <w:pPr>
              <w:pStyle w:val="GesAbsatz"/>
              <w:tabs>
                <w:tab w:val="clear" w:pos="425"/>
              </w:tabs>
              <w:jc w:val="left"/>
            </w:pPr>
            <w:r>
              <w:t>Zu den Tarifstellen 30.1.1 bis 30.1.4:</w:t>
            </w:r>
          </w:p>
        </w:tc>
        <w:tc>
          <w:tcPr>
            <w:tcW w:w="7938" w:type="dxa"/>
            <w:gridSpan w:val="2"/>
          </w:tcPr>
          <w:p>
            <w:r>
              <w:t>1.</w:t>
            </w:r>
            <w:r>
              <w:tab/>
            </w:r>
            <w:r>
              <w:rPr>
                <w:b/>
              </w:rPr>
              <w:t>Gebührenfrei</w:t>
            </w:r>
            <w:r>
              <w:t xml:space="preserve"> ist die </w:t>
            </w:r>
            <w:r>
              <w:rPr>
                <w:b/>
              </w:rPr>
              <w:t>Ausstellung von Bescheinigungen und Zeugnissen</w:t>
            </w:r>
            <w:r>
              <w:t xml:space="preserve"> in folgenden Angelegenheiten:</w:t>
            </w:r>
          </w:p>
          <w:p>
            <w:pPr>
              <w:pStyle w:val="GesAbsatz"/>
              <w:ind w:left="356" w:hanging="356"/>
            </w:pPr>
            <w:r>
              <w:t>a)</w:t>
            </w:r>
            <w:r>
              <w:tab/>
              <w:t>Arbeits- und Dienstleistungen, Berufsausbildung</w:t>
            </w:r>
          </w:p>
          <w:p>
            <w:pPr>
              <w:pStyle w:val="GesAbsatz"/>
              <w:ind w:left="356" w:hanging="356"/>
            </w:pPr>
            <w:r>
              <w:t>b)</w:t>
            </w:r>
            <w:r>
              <w:tab/>
              <w:t>Besuch von Schulen und Hochschulen</w:t>
            </w:r>
          </w:p>
          <w:p>
            <w:pPr>
              <w:pStyle w:val="GesAbsatz"/>
              <w:ind w:left="356" w:hanging="356"/>
            </w:pPr>
            <w:r>
              <w:t>2.</w:t>
            </w:r>
            <w:r>
              <w:tab/>
            </w:r>
            <w:r>
              <w:rPr>
                <w:b/>
              </w:rPr>
              <w:t>Gebührenfrei</w:t>
            </w:r>
            <w:r>
              <w:t xml:space="preserve"> sind </w:t>
            </w:r>
            <w:r>
              <w:rPr>
                <w:b/>
              </w:rPr>
              <w:t xml:space="preserve">Beglaubigungen und die Ausstellung von Bescheinigungen und Zeugnissen </w:t>
            </w:r>
            <w:r>
              <w:t>in folgenden Angelegenheiten:</w:t>
            </w:r>
          </w:p>
          <w:p>
            <w:pPr>
              <w:pStyle w:val="GesAbsatz"/>
              <w:ind w:left="356" w:hanging="356"/>
            </w:pPr>
            <w:r>
              <w:t>a)</w:t>
            </w:r>
            <w:r>
              <w:tab/>
              <w:t>Zahlung von Ruhegehältern, Witwen- und Waisengeldern, Krankengeldern, Unterstützungen und dergleichen aus öffentlichen und privaten Kassen</w:t>
            </w:r>
          </w:p>
          <w:p>
            <w:pPr>
              <w:pStyle w:val="GesAbsatz"/>
              <w:ind w:left="356" w:hanging="356"/>
            </w:pPr>
            <w:r>
              <w:t>b)</w:t>
            </w:r>
            <w:r>
              <w:tab/>
              <w:t>Gnadensachen</w:t>
            </w:r>
          </w:p>
          <w:p>
            <w:pPr>
              <w:pStyle w:val="GesAbsatz"/>
              <w:ind w:left="356" w:hanging="356"/>
            </w:pPr>
            <w:r>
              <w:t>c)</w:t>
            </w:r>
            <w:r>
              <w:tab/>
              <w:t>Fürsorgesachen</w:t>
            </w:r>
          </w:p>
          <w:p>
            <w:pPr>
              <w:pStyle w:val="GesAbsatz"/>
              <w:ind w:left="356" w:hanging="356"/>
            </w:pPr>
            <w:r>
              <w:t>d)</w:t>
            </w:r>
            <w:r>
              <w:tab/>
              <w:t>Nachweise der Bedürftigkeit</w:t>
            </w:r>
          </w:p>
          <w:p>
            <w:pPr>
              <w:pStyle w:val="GesAbsatz"/>
              <w:ind w:left="356" w:hanging="356"/>
            </w:pPr>
            <w:r>
              <w:t>e)</w:t>
            </w:r>
            <w:r>
              <w:tab/>
              <w:t>steuerliche Unbedenklichkeitsbescheinigungen für die Vergabe öffentlicher Aufträge</w:t>
            </w:r>
          </w:p>
          <w:p>
            <w:pPr>
              <w:pStyle w:val="GesAbsatz"/>
              <w:ind w:left="356" w:hanging="356"/>
            </w:pPr>
            <w:r>
              <w:t>f)</w:t>
            </w:r>
            <w:r>
              <w:tab/>
              <w:t>Bescheinigung des Empfangs einer Anzeige über die Aufgabe eines Gewerbebetriebs (§ 15 Absatz 1 in Verbindung mit § 14 Absatz 1 Satz 2 Nummer 3 GewO)</w:t>
            </w:r>
          </w:p>
          <w:p>
            <w:pPr>
              <w:pStyle w:val="GesAbsatz"/>
              <w:ind w:left="356" w:hanging="356"/>
            </w:pPr>
            <w:r>
              <w:t>g)</w:t>
            </w:r>
            <w:r>
              <w:tab/>
              <w:t>Bescheinigungen, Bescheidabschriften und Mitteilungen der Finanzämter über die Höhe von Einheitswerten</w:t>
            </w:r>
          </w:p>
          <w:p>
            <w:pPr>
              <w:pStyle w:val="GesAbsatz"/>
              <w:ind w:left="356" w:hanging="356"/>
            </w:pPr>
            <w:r>
              <w:t>h)</w:t>
            </w:r>
            <w:r>
              <w:tab/>
              <w:t>Bescheinigungen und Bescheidabschriften im Verfahren nach dem Feststellungsgesetz und dem Lastenausgleichsgesetz</w:t>
            </w:r>
          </w:p>
          <w:p>
            <w:pPr>
              <w:pStyle w:val="GesAbsatz"/>
              <w:ind w:left="356" w:hanging="356"/>
            </w:pPr>
            <w:r>
              <w:t>i)</w:t>
            </w:r>
            <w:r>
              <w:tab/>
              <w:t>Bescheinigungen für steuerliche Zwecke</w:t>
            </w:r>
          </w:p>
          <w:p>
            <w:pPr>
              <w:pStyle w:val="GesAbsatz"/>
              <w:ind w:left="356" w:hanging="356"/>
            </w:pPr>
            <w:r>
              <w:t>j)</w:t>
            </w:r>
            <w:r>
              <w:tab/>
              <w:t>Bescheinigungen über Maßnahmen zur Luftreinhaltung zur Vorlage bei der Finanzverwaltung (§ 82 EStDV)</w:t>
            </w:r>
          </w:p>
        </w:tc>
      </w:tr>
      <w:tr>
        <w:tc>
          <w:tcPr>
            <w:tcW w:w="1771" w:type="dxa"/>
            <w:tcBorders>
              <w:bottom w:val="nil"/>
            </w:tcBorders>
          </w:tcPr>
          <w:p>
            <w:pPr>
              <w:pStyle w:val="GesAbsatz"/>
              <w:tabs>
                <w:tab w:val="clear" w:pos="425"/>
              </w:tabs>
              <w:jc w:val="left"/>
            </w:pPr>
            <w:r>
              <w:lastRenderedPageBreak/>
              <w:t>30.1.5</w:t>
            </w:r>
          </w:p>
        </w:tc>
        <w:tc>
          <w:tcPr>
            <w:tcW w:w="5245" w:type="dxa"/>
            <w:tcBorders>
              <w:bottom w:val="nil"/>
            </w:tcBorders>
          </w:tcPr>
          <w:p>
            <w:pPr>
              <w:pStyle w:val="GesAbsatz"/>
              <w:tabs>
                <w:tab w:val="clear" w:pos="425"/>
              </w:tabs>
              <w:jc w:val="left"/>
            </w:pPr>
            <w:r>
              <w:t>Beglaubigung von Urkunden, die zum Gebrauch im Ausland bestimmt sind</w:t>
            </w:r>
          </w:p>
        </w:tc>
        <w:tc>
          <w:tcPr>
            <w:tcW w:w="2693" w:type="dxa"/>
            <w:tcBorders>
              <w:bottom w:val="nil"/>
            </w:tcBorders>
          </w:tcPr>
          <w:p>
            <w:pPr>
              <w:pStyle w:val="GesAbsatz"/>
              <w:tabs>
                <w:tab w:val="clear" w:pos="425"/>
              </w:tabs>
              <w:jc w:val="left"/>
            </w:pPr>
            <w:r>
              <w:rPr>
                <w:i/>
              </w:rPr>
              <w:t>Gebühr:</w:t>
            </w:r>
            <w:r>
              <w:t xml:space="preserve"> Euro 10 bis 100</w:t>
            </w:r>
            <w:r>
              <w:br/>
            </w:r>
          </w:p>
        </w:tc>
      </w:tr>
      <w:tr>
        <w:tc>
          <w:tcPr>
            <w:tcW w:w="1771" w:type="dxa"/>
            <w:tcBorders>
              <w:top w:val="nil"/>
            </w:tcBorders>
          </w:tcPr>
          <w:p>
            <w:pPr>
              <w:pStyle w:val="GesAbsatz"/>
              <w:tabs>
                <w:tab w:val="clear" w:pos="425"/>
              </w:tabs>
              <w:jc w:val="left"/>
            </w:pPr>
          </w:p>
        </w:tc>
        <w:tc>
          <w:tcPr>
            <w:tcW w:w="7938" w:type="dxa"/>
            <w:gridSpan w:val="2"/>
            <w:tcBorders>
              <w:top w:val="nil"/>
            </w:tcBorders>
          </w:tcPr>
          <w:p>
            <w:pPr>
              <w:pStyle w:val="GesAbsatz"/>
              <w:tabs>
                <w:tab w:val="clear" w:pos="425"/>
              </w:tabs>
              <w:jc w:val="left"/>
              <w:rPr>
                <w:i/>
              </w:rPr>
            </w:pPr>
            <w:r>
              <w:t>Die Gebühr wird für das gesamte Beglaubigungsverfahren nur einmal, und zwar von der Stelle erhoben, die die Endbeglaubigung vornimmt. Die Beglaubigung von Urkunden der Jugendämter nach § 59 SGB VIII, die zum Gebrauch im Ausland bestimmt sind, ist gebührenfrei.</w:t>
            </w:r>
          </w:p>
        </w:tc>
      </w:tr>
    </w:tbl>
    <w:p>
      <w:pPr>
        <w:rPr>
          <w:color w:val="000000"/>
        </w:rPr>
      </w:pPr>
    </w:p>
    <w:p>
      <w:pPr>
        <w:rPr>
          <w:i/>
          <w:color w:val="FF0000"/>
        </w:rPr>
      </w:pPr>
      <w:r>
        <w:rPr>
          <w:i/>
          <w:color w:val="FF0000"/>
        </w:rPr>
        <w:t>Tarifstellen 30.2 bis 30.2.3 aufgehoben durch VO vom 4. Mai 2010 (GV. NRW. S. 272), in Kraft getreten am 1. Januar 2011.</w:t>
      </w:r>
    </w:p>
    <w:p>
      <w:pPr>
        <w:pStyle w:val="berschrift3"/>
        <w:jc w:val="left"/>
      </w:pPr>
      <w:bookmarkStart w:id="7" w:name="_Toc360612268"/>
      <w:r>
        <w:t>30.3 Versendung von Akten</w:t>
      </w:r>
      <w:bookmarkEnd w:id="7"/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245"/>
        <w:gridCol w:w="2693"/>
      </w:tblGrid>
      <w:tr>
        <w:tc>
          <w:tcPr>
            <w:tcW w:w="1771" w:type="dxa"/>
            <w:tcBorders>
              <w:bottom w:val="nil"/>
            </w:tcBorders>
          </w:tcPr>
          <w:p>
            <w:pPr>
              <w:pStyle w:val="GesAbsatz"/>
              <w:keepNext/>
              <w:tabs>
                <w:tab w:val="clear" w:pos="425"/>
              </w:tabs>
              <w:jc w:val="left"/>
            </w:pPr>
          </w:p>
        </w:tc>
        <w:tc>
          <w:tcPr>
            <w:tcW w:w="5245" w:type="dxa"/>
            <w:tcBorders>
              <w:bottom w:val="nil"/>
            </w:tcBorders>
          </w:tcPr>
          <w:p>
            <w:pPr>
              <w:pStyle w:val="GesAbsatz"/>
              <w:keepNext/>
              <w:tabs>
                <w:tab w:val="clear" w:pos="425"/>
              </w:tabs>
              <w:jc w:val="left"/>
            </w:pPr>
            <w:r>
              <w:t xml:space="preserve">Versendung von Akten </w:t>
            </w:r>
          </w:p>
        </w:tc>
        <w:tc>
          <w:tcPr>
            <w:tcW w:w="2693" w:type="dxa"/>
            <w:tcBorders>
              <w:bottom w:val="nil"/>
            </w:tcBorders>
          </w:tcPr>
          <w:p>
            <w:pPr>
              <w:pStyle w:val="GesAbsatz"/>
              <w:keepNext/>
              <w:tabs>
                <w:tab w:val="clear" w:pos="425"/>
              </w:tabs>
              <w:jc w:val="left"/>
            </w:pPr>
            <w:r>
              <w:rPr>
                <w:i/>
              </w:rPr>
              <w:t>Gebühr</w:t>
            </w:r>
            <w:r>
              <w:t>: Euro 5 bis 100</w:t>
            </w:r>
          </w:p>
        </w:tc>
      </w:tr>
      <w:tr>
        <w:trPr>
          <w:cantSplit/>
        </w:trPr>
        <w:tc>
          <w:tcPr>
            <w:tcW w:w="1771" w:type="dxa"/>
            <w:tcBorders>
              <w:top w:val="nil"/>
            </w:tcBorders>
          </w:tcPr>
          <w:p>
            <w:pPr>
              <w:pStyle w:val="GesAbsatz"/>
              <w:keepNext/>
              <w:tabs>
                <w:tab w:val="clear" w:pos="425"/>
              </w:tabs>
              <w:jc w:val="left"/>
            </w:pPr>
          </w:p>
        </w:tc>
        <w:tc>
          <w:tcPr>
            <w:tcW w:w="7938" w:type="dxa"/>
            <w:gridSpan w:val="2"/>
            <w:tcBorders>
              <w:top w:val="nil"/>
            </w:tcBorders>
          </w:tcPr>
          <w:p>
            <w:pPr>
              <w:pStyle w:val="GesAbsatz"/>
              <w:keepNext/>
              <w:rPr>
                <w:rFonts w:eastAsia="Arial Unicode MS"/>
              </w:rPr>
            </w:pPr>
            <w:r>
              <w:t xml:space="preserve">Neben dem Personal- und Sachaufwand sind auch die Post- und andere übliche Transportentgelte in die Gebühr einbezogen. </w:t>
            </w:r>
            <w:proofErr w:type="gramStart"/>
            <w:r>
              <w:t>Darüber hinausgehende</w:t>
            </w:r>
            <w:proofErr w:type="gramEnd"/>
            <w:r>
              <w:t xml:space="preserve"> Kosten sind als Auslagen geltend zu machen (§ 10 GebG NRW). In Fällen mit geringem Aufwand kann von der Erhebung der Gebühr abgesehen werden.</w:t>
            </w:r>
          </w:p>
          <w:p>
            <w:pPr>
              <w:pStyle w:val="GesAbsatz"/>
              <w:keepNext/>
            </w:pPr>
            <w:r>
              <w:t>Von dieser Regelung ausgeschlossen ist die Versendung von Akten im Rahmen der Amtshilfe, der Rechts-, Fach- und Dienstaufsicht, im Rahmen von Petitions-, strafrechtlichen Ermittlungs- und Gerichtsverfahren. Sonderregelungen gehen vor.</w:t>
            </w:r>
          </w:p>
          <w:p>
            <w:r>
              <w:t>Hinweise:</w:t>
            </w:r>
            <w:r>
              <w:br/>
              <w:t>Das Informationsfreiheitsgesetz Nordrhein-Westfalen enthält eigenständige Gebührenregelungen, welche gemäß § 1 Abs. 2 Nr. 1 GebG NRW die Anwendung dieser Tarifstelle ausschließen.</w:t>
            </w:r>
          </w:p>
          <w:p>
            <w:pPr>
              <w:pStyle w:val="GesAbsatz"/>
              <w:keepNext/>
            </w:pPr>
            <w:r>
              <w:t>Bei der Versendung von Bußgeldakten im Ordnungswidrigkeitsverfahren ist § 107 Abs. 5 Ordnungswidrigkeitengesetz einschlägig. Dies gilt für jede Art der Übersendung von Bußgeldakten, also auch bei der Versendung von Bußgeldakten zur Abwicklung zivilrechtlicher Ansprüche und Interessen.</w:t>
            </w:r>
          </w:p>
        </w:tc>
      </w:tr>
      <w:tr>
        <w:tc>
          <w:tcPr>
            <w:tcW w:w="1771" w:type="dxa"/>
          </w:tcPr>
          <w:p>
            <w:pPr>
              <w:pStyle w:val="berschrift3"/>
              <w:tabs>
                <w:tab w:val="clear" w:pos="425"/>
              </w:tabs>
              <w:jc w:val="left"/>
            </w:pPr>
            <w:bookmarkStart w:id="8" w:name="_Toc484233520"/>
            <w:bookmarkStart w:id="9" w:name="_Toc360612269"/>
            <w:r>
              <w:t>30.4</w:t>
            </w:r>
            <w:bookmarkEnd w:id="8"/>
            <w:bookmarkEnd w:id="9"/>
          </w:p>
        </w:tc>
        <w:tc>
          <w:tcPr>
            <w:tcW w:w="5245" w:type="dxa"/>
          </w:tcPr>
          <w:p>
            <w:pPr>
              <w:pStyle w:val="GesAbsatz"/>
            </w:pPr>
            <w:r>
              <w:t>Erteilung von schriftlichen Auskünften, die über § 7 Absatz 1 Nummer 1 GebG NRW hinausgehen, und entsprechenden mündlichen Auskünften sowie Erteilung von Auskünften, die wirtschaftlichen Zwecken dienen</w:t>
            </w:r>
          </w:p>
        </w:tc>
        <w:tc>
          <w:tcPr>
            <w:tcW w:w="2693" w:type="dxa"/>
          </w:tcPr>
          <w:p>
            <w:pPr>
              <w:pStyle w:val="GesAbsatz"/>
            </w:pPr>
            <w:r>
              <w:rPr>
                <w:i/>
              </w:rPr>
              <w:t>Gebühr:</w:t>
            </w:r>
            <w:r>
              <w:t xml:space="preserve"> Euro 10 bis 2 500</w:t>
            </w:r>
          </w:p>
        </w:tc>
      </w:tr>
      <w:tr>
        <w:tc>
          <w:tcPr>
            <w:tcW w:w="1771" w:type="dxa"/>
          </w:tcPr>
          <w:p>
            <w:pPr>
              <w:pStyle w:val="berschrift3"/>
              <w:jc w:val="left"/>
            </w:pPr>
            <w:bookmarkStart w:id="10" w:name="_Toc484233521"/>
            <w:bookmarkStart w:id="11" w:name="_Toc360612270"/>
            <w:r>
              <w:t>30.5</w:t>
            </w:r>
            <w:bookmarkEnd w:id="10"/>
            <w:bookmarkEnd w:id="11"/>
          </w:p>
        </w:tc>
        <w:tc>
          <w:tcPr>
            <w:tcW w:w="5245" w:type="dxa"/>
          </w:tcPr>
          <w:p>
            <w:pPr>
              <w:pStyle w:val="GesAbsatz"/>
              <w:tabs>
                <w:tab w:val="clear" w:pos="425"/>
              </w:tabs>
              <w:jc w:val="left"/>
            </w:pPr>
            <w:r>
              <w:t>Amtshandlungen, für die keine andere Tarifstelle vorgesehen ist und die nicht einem von der handelnden Behörde wahrzunehmenden besonderen öffentlichen Interesse dienen</w:t>
            </w:r>
          </w:p>
        </w:tc>
        <w:tc>
          <w:tcPr>
            <w:tcW w:w="2693" w:type="dxa"/>
          </w:tcPr>
          <w:p>
            <w:pPr>
              <w:pStyle w:val="GesAbsatz"/>
              <w:tabs>
                <w:tab w:val="clear" w:pos="425"/>
              </w:tabs>
              <w:jc w:val="left"/>
            </w:pPr>
            <w:r>
              <w:rPr>
                <w:i/>
              </w:rPr>
              <w:t>Gebühr</w:t>
            </w:r>
            <w:r>
              <w:t>: Euro 0 bis 500</w:t>
            </w:r>
          </w:p>
        </w:tc>
      </w:tr>
    </w:tbl>
    <w:p>
      <w:pPr>
        <w:pStyle w:val="berschrift2"/>
        <w:jc w:val="left"/>
        <w:rPr>
          <w:bCs/>
        </w:rPr>
      </w:pPr>
      <w:bookmarkStart w:id="12" w:name="_Toc484233522"/>
      <w:bookmarkStart w:id="13" w:name="_Toc360612271"/>
      <w:r>
        <w:rPr>
          <w:bCs/>
        </w:rPr>
        <w:t>31 Rechtsbehelfe</w:t>
      </w:r>
      <w:bookmarkEnd w:id="12"/>
      <w:bookmarkEnd w:id="13"/>
    </w:p>
    <w:p>
      <w:pPr>
        <w:pStyle w:val="GesAbsatz"/>
        <w:jc w:val="left"/>
      </w:pPr>
      <w:r>
        <w:t>(Reihenfolge der Darstellung: Tarifstelle / Gegenstand / Gebühr Euro)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245"/>
        <w:gridCol w:w="2693"/>
      </w:tblGrid>
      <w:tr>
        <w:tc>
          <w:tcPr>
            <w:tcW w:w="1771" w:type="dxa"/>
          </w:tcPr>
          <w:p>
            <w:pPr>
              <w:pStyle w:val="GesAbsatz"/>
              <w:tabs>
                <w:tab w:val="clear" w:pos="425"/>
              </w:tabs>
              <w:jc w:val="left"/>
            </w:pPr>
          </w:p>
        </w:tc>
        <w:tc>
          <w:tcPr>
            <w:tcW w:w="5245" w:type="dxa"/>
          </w:tcPr>
          <w:p>
            <w:pPr>
              <w:pStyle w:val="GesAbsatz"/>
              <w:tabs>
                <w:tab w:val="clear" w:pos="425"/>
              </w:tabs>
              <w:jc w:val="left"/>
            </w:pPr>
            <w:r>
              <w:t>Erteilung von Bescheiden über Widersprüche - wenn und soweit sie zurückgewiesen werden -</w:t>
            </w:r>
          </w:p>
        </w:tc>
        <w:tc>
          <w:tcPr>
            <w:tcW w:w="2693" w:type="dxa"/>
          </w:tcPr>
          <w:p>
            <w:pPr>
              <w:pStyle w:val="GesAbsatz"/>
              <w:tabs>
                <w:tab w:val="clear" w:pos="425"/>
              </w:tabs>
              <w:jc w:val="left"/>
            </w:pPr>
          </w:p>
        </w:tc>
      </w:tr>
      <w:tr>
        <w:tc>
          <w:tcPr>
            <w:tcW w:w="1771" w:type="dxa"/>
          </w:tcPr>
          <w:p>
            <w:pPr>
              <w:pStyle w:val="GesAbsatz"/>
              <w:tabs>
                <w:tab w:val="clear" w:pos="425"/>
              </w:tabs>
              <w:jc w:val="left"/>
            </w:pPr>
          </w:p>
        </w:tc>
        <w:tc>
          <w:tcPr>
            <w:tcW w:w="5245" w:type="dxa"/>
          </w:tcPr>
          <w:p>
            <w:pPr>
              <w:pStyle w:val="GesAbsatz"/>
              <w:tabs>
                <w:tab w:val="clear" w:pos="425"/>
              </w:tabs>
              <w:ind w:left="356" w:hanging="356"/>
              <w:jc w:val="left"/>
            </w:pPr>
            <w:r>
              <w:t>a)</w:t>
            </w:r>
            <w:r>
              <w:tab/>
              <w:t>Dritter, die sich durch die Sachentscheidung beschwert fühlen</w:t>
            </w:r>
          </w:p>
        </w:tc>
        <w:tc>
          <w:tcPr>
            <w:tcW w:w="2693" w:type="dxa"/>
          </w:tcPr>
          <w:p>
            <w:pPr>
              <w:pStyle w:val="GesAbsatz"/>
              <w:tabs>
                <w:tab w:val="clear" w:pos="425"/>
              </w:tabs>
              <w:jc w:val="left"/>
            </w:pPr>
            <w:r>
              <w:rPr>
                <w:i/>
              </w:rPr>
              <w:t>Gebühr:</w:t>
            </w:r>
            <w:r>
              <w:t xml:space="preserve"> Euro 10 bis 500</w:t>
            </w:r>
          </w:p>
        </w:tc>
      </w:tr>
      <w:tr>
        <w:tc>
          <w:tcPr>
            <w:tcW w:w="1771" w:type="dxa"/>
          </w:tcPr>
          <w:p>
            <w:pPr>
              <w:pStyle w:val="GesAbsatz"/>
              <w:tabs>
                <w:tab w:val="clear" w:pos="425"/>
              </w:tabs>
              <w:jc w:val="left"/>
            </w:pPr>
          </w:p>
        </w:tc>
        <w:tc>
          <w:tcPr>
            <w:tcW w:w="5245" w:type="dxa"/>
          </w:tcPr>
          <w:p>
            <w:pPr>
              <w:pStyle w:val="GesAbsatz"/>
              <w:tabs>
                <w:tab w:val="clear" w:pos="425"/>
              </w:tabs>
              <w:ind w:left="356" w:hanging="356"/>
              <w:jc w:val="left"/>
            </w:pPr>
            <w:r>
              <w:t>b)</w:t>
            </w:r>
            <w:r>
              <w:tab/>
              <w:t>gegen Kostenentscheidungen</w:t>
            </w:r>
          </w:p>
        </w:tc>
        <w:tc>
          <w:tcPr>
            <w:tcW w:w="2693" w:type="dxa"/>
          </w:tcPr>
          <w:p>
            <w:pPr>
              <w:pStyle w:val="GesAbsatz"/>
              <w:tabs>
                <w:tab w:val="clear" w:pos="425"/>
              </w:tabs>
              <w:jc w:val="left"/>
              <w:rPr>
                <w:i/>
              </w:rPr>
            </w:pPr>
            <w:r>
              <w:rPr>
                <w:i/>
              </w:rPr>
              <w:t>Gebühr:</w:t>
            </w:r>
            <w:r>
              <w:t xml:space="preserve"> Euro 10 bis 250</w:t>
            </w:r>
          </w:p>
        </w:tc>
      </w:tr>
    </w:tbl>
    <w:p>
      <w:pPr>
        <w:pStyle w:val="GesAbsatz"/>
        <w:jc w:val="left"/>
      </w:pPr>
    </w:p>
    <w:p>
      <w:pPr>
        <w:pStyle w:val="GesAbsatz"/>
        <w:tabs>
          <w:tab w:val="clear" w:pos="425"/>
          <w:tab w:val="left" w:pos="1843"/>
          <w:tab w:val="left" w:pos="4536"/>
        </w:tabs>
        <w:jc w:val="left"/>
      </w:pPr>
      <w:r>
        <w:br w:type="page"/>
      </w:r>
    </w:p>
    <w:p>
      <w:pPr>
        <w:pStyle w:val="GesAbsatz"/>
        <w:tabs>
          <w:tab w:val="clear" w:pos="425"/>
          <w:tab w:val="left" w:pos="1843"/>
          <w:tab w:val="left" w:pos="4536"/>
        </w:tabs>
        <w:jc w:val="left"/>
        <w:rPr>
          <w:b/>
          <w:sz w:val="22"/>
          <w:szCs w:val="22"/>
        </w:rPr>
      </w:pPr>
      <w:bookmarkStart w:id="14" w:name="ÄltereFassungen"/>
      <w:bookmarkEnd w:id="14"/>
      <w:r>
        <w:rPr>
          <w:b/>
          <w:sz w:val="22"/>
          <w:szCs w:val="22"/>
        </w:rPr>
        <w:lastRenderedPageBreak/>
        <w:t>Änderungen:</w:t>
      </w:r>
    </w:p>
    <w:p>
      <w:pPr>
        <w:pStyle w:val="GesAbsatz"/>
      </w:pPr>
      <w:r>
        <w:t>18.11.2008</w:t>
      </w:r>
      <w:r>
        <w:tab/>
        <w:t>GV. NRW. S. 690</w:t>
      </w:r>
      <w:r>
        <w:tab/>
        <w:t>Keine Änderungen</w:t>
      </w:r>
    </w:p>
    <w:p>
      <w:pPr>
        <w:pStyle w:val="GesAbsatz"/>
      </w:pPr>
      <w:r>
        <w:t>21.04.2009</w:t>
      </w:r>
      <w:r>
        <w:tab/>
        <w:t>GV. NRW. S. 266</w:t>
      </w:r>
      <w:r>
        <w:tab/>
        <w:t>Keine Änderungen</w:t>
      </w:r>
    </w:p>
    <w:p>
      <w:pPr>
        <w:pStyle w:val="GesAbsatz"/>
      </w:pPr>
      <w:r>
        <w:t>01.12.2009</w:t>
      </w:r>
      <w:r>
        <w:tab/>
        <w:t>GV. NRW. S. 661</w:t>
      </w:r>
      <w:r>
        <w:tab/>
        <w:t>Keine Änderungen</w:t>
      </w:r>
    </w:p>
    <w:p>
      <w:pPr>
        <w:pStyle w:val="GesAbsatz"/>
      </w:pPr>
      <w:r>
        <w:t>12.01.2010</w:t>
      </w:r>
      <w:r>
        <w:tab/>
        <w:t>GV. NRW. S. 25</w:t>
      </w:r>
      <w:r>
        <w:tab/>
        <w:t>Keine Änderungen</w:t>
      </w:r>
    </w:p>
    <w:p>
      <w:pPr>
        <w:pStyle w:val="GesAbsatz"/>
      </w:pPr>
      <w:r>
        <w:t>04.05.2010</w:t>
      </w:r>
      <w:r>
        <w:tab/>
        <w:t>GV. NRW. S. 272</w:t>
      </w:r>
      <w:r>
        <w:tab/>
        <w:t>Inkrafttreten 01.01.2011</w:t>
      </w:r>
    </w:p>
    <w:p>
      <w:pPr>
        <w:pStyle w:val="GesAbsatz"/>
      </w:pPr>
      <w:r>
        <w:t>05.07.2010</w:t>
      </w:r>
      <w:r>
        <w:tab/>
        <w:t>GV. NRW. S. 403</w:t>
      </w:r>
      <w:r>
        <w:tab/>
        <w:t>Keine Änderungen</w:t>
      </w:r>
    </w:p>
    <w:p>
      <w:pPr>
        <w:pStyle w:val="GesAbsatz"/>
      </w:pPr>
      <w:r>
        <w:t>26.10.2010</w:t>
      </w:r>
      <w:r>
        <w:tab/>
        <w:t>GV. NRW. S. 544</w:t>
      </w:r>
      <w:r>
        <w:tab/>
        <w:t>Keine Änderungen</w:t>
      </w:r>
    </w:p>
    <w:p>
      <w:pPr>
        <w:pStyle w:val="GesAbsatz"/>
      </w:pPr>
      <w:r>
        <w:t>05.07.2011</w:t>
      </w:r>
      <w:r>
        <w:tab/>
        <w:t>GV. NRW. S. 335</w:t>
      </w:r>
      <w:r>
        <w:tab/>
        <w:t>Keine Änderungen</w:t>
      </w:r>
    </w:p>
    <w:p>
      <w:pPr>
        <w:pStyle w:val="GesAbsatz"/>
      </w:pPr>
      <w:r>
        <w:t>13.09.2011</w:t>
      </w:r>
      <w:r>
        <w:tab/>
        <w:t>GV. NRW. S. 475</w:t>
      </w:r>
      <w:r>
        <w:tab/>
        <w:t>Keine Änderungen</w:t>
      </w:r>
    </w:p>
    <w:p>
      <w:pPr>
        <w:pStyle w:val="GesAbsatz"/>
      </w:pPr>
      <w:r>
        <w:t>22.11.2011</w:t>
      </w:r>
      <w:r>
        <w:tab/>
        <w:t>GV. NRW. S. 595</w:t>
      </w:r>
      <w:r>
        <w:tab/>
        <w:t>Keine Änderungen</w:t>
      </w:r>
    </w:p>
    <w:p>
      <w:pPr>
        <w:pStyle w:val="GesAbsatz"/>
      </w:pPr>
      <w:r>
        <w:t>26.06.2012</w:t>
      </w:r>
      <w:r>
        <w:tab/>
        <w:t>GV. NRW. S. 264</w:t>
      </w:r>
      <w:r>
        <w:tab/>
        <w:t>Keine Änderungen</w:t>
      </w:r>
    </w:p>
    <w:p>
      <w:pPr>
        <w:pStyle w:val="GesAbsatz"/>
      </w:pPr>
      <w:r>
        <w:t>19.02.2013</w:t>
      </w:r>
      <w:r>
        <w:tab/>
        <w:t>GV. NRW. S. 37</w:t>
      </w:r>
      <w:r>
        <w:tab/>
        <w:t>Keine Änderungen</w:t>
      </w:r>
    </w:p>
    <w:p>
      <w:pPr>
        <w:pStyle w:val="GesAbsatz"/>
      </w:pPr>
      <w:r>
        <w:t>28.05.2013</w:t>
      </w:r>
      <w:r>
        <w:tab/>
        <w:t>GV. NRW. S. 290</w:t>
      </w:r>
      <w:r>
        <w:tab/>
        <w:t>Inkrafttreten 25.06.2013</w:t>
      </w:r>
    </w:p>
    <w:p>
      <w:pPr>
        <w:pStyle w:val="GesAbsatz"/>
      </w:pPr>
      <w:r>
        <w:t>25.02.2014</w:t>
      </w:r>
      <w:r>
        <w:tab/>
        <w:t>GV. NRW. S. 180</w:t>
      </w:r>
      <w:r>
        <w:tab/>
        <w:t>Keine Änderungen</w:t>
      </w:r>
    </w:p>
    <w:p>
      <w:pPr>
        <w:pStyle w:val="GesAbsatz"/>
      </w:pPr>
      <w:r>
        <w:t>20.01.2015</w:t>
      </w:r>
      <w:r>
        <w:tab/>
        <w:t>GV. NRW. S. 112</w:t>
      </w:r>
      <w:r>
        <w:tab/>
        <w:t>Keine Änderungen</w:t>
      </w:r>
    </w:p>
    <w:p>
      <w:pPr>
        <w:pStyle w:val="GesAbsatz"/>
      </w:pPr>
      <w:r>
        <w:t>10.02.2015</w:t>
      </w:r>
      <w:r>
        <w:tab/>
        <w:t>GV. NRW. S. 216</w:t>
      </w:r>
      <w:r>
        <w:tab/>
        <w:t>Keine Änderungen</w:t>
      </w:r>
    </w:p>
    <w:p>
      <w:pPr>
        <w:pStyle w:val="GesAbsatz"/>
      </w:pPr>
      <w:r>
        <w:t>18.08.2015</w:t>
      </w:r>
      <w:r>
        <w:tab/>
        <w:t>GV. NRW. S. 560</w:t>
      </w:r>
      <w:r>
        <w:tab/>
        <w:t>Keine Änderungen</w:t>
      </w:r>
    </w:p>
    <w:p>
      <w:pPr>
        <w:pStyle w:val="GesAbsatz"/>
      </w:pPr>
      <w:r>
        <w:t>15.12.2015</w:t>
      </w:r>
      <w:r>
        <w:tab/>
        <w:t>GV. NRW. S. 933</w:t>
      </w:r>
      <w:r>
        <w:tab/>
        <w:t>Keine Änderungen</w:t>
      </w:r>
    </w:p>
    <w:p>
      <w:pPr>
        <w:pStyle w:val="GesAbsatz"/>
      </w:pPr>
      <w:r>
        <w:t>26.04.2016</w:t>
      </w:r>
      <w:r>
        <w:tab/>
        <w:t xml:space="preserve">GV. NRW. S. 236 </w:t>
      </w:r>
      <w:r>
        <w:tab/>
        <w:t>Keine Änderungen</w:t>
      </w:r>
    </w:p>
    <w:p>
      <w:pPr>
        <w:pStyle w:val="GesAbsatz"/>
      </w:pPr>
      <w:r>
        <w:t>05.07.2016</w:t>
      </w:r>
      <w:r>
        <w:tab/>
        <w:t>GV. NRW. S. 540</w:t>
      </w:r>
      <w:r>
        <w:tab/>
        <w:t>Inkrafttreten 16.07.2016</w:t>
      </w:r>
    </w:p>
    <w:p>
      <w:pPr>
        <w:pStyle w:val="GesAbsatz"/>
      </w:pPr>
      <w:r>
        <w:t>13.12.2016</w:t>
      </w:r>
      <w:r>
        <w:tab/>
        <w:t>GV. NRW. S. 1100</w:t>
      </w:r>
      <w:r>
        <w:tab/>
        <w:t>Keine Änderungen</w:t>
      </w:r>
    </w:p>
    <w:p>
      <w:pPr>
        <w:pStyle w:val="GesAbsatz"/>
      </w:pPr>
      <w:r>
        <w:t>25.04.2017</w:t>
      </w:r>
      <w:r>
        <w:tab/>
        <w:t>GV. NRW. S. 484</w:t>
      </w:r>
      <w:r>
        <w:tab/>
        <w:t>Keine Änderungen</w:t>
      </w:r>
    </w:p>
    <w:p>
      <w:pPr>
        <w:pStyle w:val="GesAbsatz"/>
      </w:pPr>
      <w:r>
        <w:t>19.09.2017</w:t>
      </w:r>
      <w:r>
        <w:tab/>
        <w:t>GV. NRW. S. 760</w:t>
      </w:r>
      <w:r>
        <w:tab/>
        <w:t>Keine Änderungen</w:t>
      </w:r>
    </w:p>
    <w:p>
      <w:pPr>
        <w:pStyle w:val="GesAbsatz"/>
      </w:pPr>
      <w:r>
        <w:t>12.12.2017</w:t>
      </w:r>
      <w:r>
        <w:tab/>
        <w:t>GV. NRW. S. 946</w:t>
      </w:r>
      <w:r>
        <w:tab/>
        <w:t>Keine Änderungen</w:t>
      </w:r>
    </w:p>
    <w:p>
      <w:pPr>
        <w:pStyle w:val="GesAbsatz"/>
      </w:pPr>
      <w:r>
        <w:t>19.06.2018</w:t>
      </w:r>
      <w:r>
        <w:tab/>
        <w:t>GV. NRW. S. 300</w:t>
      </w:r>
      <w:r>
        <w:tab/>
        <w:t>Keine Änderungen</w:t>
      </w:r>
    </w:p>
    <w:p>
      <w:pPr>
        <w:pStyle w:val="GesAbsatz"/>
      </w:pPr>
      <w:r>
        <w:t>27.11.2018</w:t>
      </w:r>
      <w:r>
        <w:tab/>
        <w:t>GV. NRW. S. 613</w:t>
      </w:r>
      <w:r>
        <w:tab/>
        <w:t>Keine Änderungen</w:t>
      </w:r>
    </w:p>
    <w:p>
      <w:pPr>
        <w:pStyle w:val="GesAbsatz"/>
      </w:pPr>
      <w:r>
        <w:t>18.12.2018</w:t>
      </w:r>
      <w:r>
        <w:tab/>
        <w:t>GV. NRW. S. 730</w:t>
      </w:r>
      <w:r>
        <w:tab/>
        <w:t>Keine Änderungen</w:t>
      </w:r>
    </w:p>
    <w:p>
      <w:pPr>
        <w:pStyle w:val="GesAbsatz"/>
      </w:pPr>
      <w:r>
        <w:t>30.04.2019</w:t>
      </w:r>
      <w:r>
        <w:tab/>
        <w:t>GV. NRW. S. 216</w:t>
      </w:r>
      <w:r>
        <w:tab/>
        <w:t>Keine Änderungen</w:t>
      </w:r>
    </w:p>
    <w:p>
      <w:pPr>
        <w:pStyle w:val="GesAbsatz"/>
      </w:pPr>
      <w:r>
        <w:t>08.10.2019</w:t>
      </w:r>
      <w:r>
        <w:tab/>
        <w:t>GV. NRW. S. 762</w:t>
      </w:r>
      <w:r>
        <w:tab/>
        <w:t>Keine Änderungen</w:t>
      </w:r>
    </w:p>
    <w:p>
      <w:pPr>
        <w:pStyle w:val="GesAbsatz"/>
      </w:pPr>
      <w:r>
        <w:t>29.10.2019</w:t>
      </w:r>
      <w:r>
        <w:tab/>
        <w:t>GV. NRW. S. 818</w:t>
      </w:r>
      <w:r>
        <w:tab/>
        <w:t>Keine Änderungen</w:t>
      </w:r>
    </w:p>
    <w:p>
      <w:pPr>
        <w:pStyle w:val="GesAbsatz"/>
      </w:pPr>
      <w:r>
        <w:t>16.06.2020</w:t>
      </w:r>
      <w:r>
        <w:tab/>
        <w:t>GV. NRW. S. 456</w:t>
      </w:r>
      <w:r>
        <w:tab/>
        <w:t>Keine Änderungen</w:t>
      </w:r>
    </w:p>
    <w:p>
      <w:pPr>
        <w:pStyle w:val="GesAbsatz"/>
      </w:pPr>
      <w:r>
        <w:t>23.06.2021</w:t>
      </w:r>
      <w:r>
        <w:tab/>
        <w:t>GV. NRW. S. 841</w:t>
      </w:r>
      <w:r>
        <w:tab/>
        <w:t>Keine Änderungen</w:t>
      </w:r>
    </w:p>
    <w:p>
      <w:pPr>
        <w:pStyle w:val="GesAbsatz"/>
      </w:pPr>
      <w:r>
        <w:t>13.04.2022</w:t>
      </w:r>
      <w:r>
        <w:tab/>
        <w:t>GV. NRW. S. 554</w:t>
      </w:r>
      <w:r>
        <w:tab/>
        <w:t>Keine Änderungen</w:t>
      </w:r>
    </w:p>
    <w:p>
      <w:pPr>
        <w:pStyle w:val="GesAbsatz"/>
      </w:pPr>
    </w:p>
    <w:p>
      <w:pPr>
        <w:pStyle w:val="GesAbsatz"/>
      </w:pPr>
    </w:p>
    <w:p>
      <w:pPr>
        <w:pStyle w:val="GesAbsatz"/>
        <w:jc w:val="left"/>
      </w:pPr>
    </w:p>
    <w:sectPr>
      <w:headerReference w:type="default" r:id="rId8"/>
      <w:footerReference w:type="default" r:id="rId9"/>
      <w:pgSz w:w="11906" w:h="16838"/>
      <w:pgMar w:top="1134" w:right="851" w:bottom="1134" w:left="1418" w:header="567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rStyle w:val="Seitenzahl"/>
      </w:rPr>
    </w:pPr>
    <w:r>
      <w:tab/>
      <w:t>03.07.2001 (GV. NRW. S. 429 / SGV. NRW. 2011)</w:t>
    </w:r>
    <w: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</w:pPr>
    <w:r>
      <w:rPr>
        <w:color w:val="FF0000"/>
      </w:rPr>
      <w:t>Der Stand bezieht sich ausschließlich auf die Tarifstelle 30/31</w:t>
    </w:r>
    <w:r>
      <w:rPr>
        <w:rStyle w:val="Seitenzahl"/>
      </w:rPr>
      <w:tab/>
      <w:t xml:space="preserve">Stand </w:t>
    </w:r>
    <w:r>
      <w:t>05.07.2016</w:t>
    </w:r>
    <w:r>
      <w:rPr>
        <w:rStyle w:val="Seitenzahl"/>
      </w:rPr>
      <w:t xml:space="preserve"> (</w:t>
    </w:r>
    <w:r>
      <w:t>GV. NRW. S. 540</w:t>
    </w:r>
    <w:r>
      <w:rPr>
        <w:rStyle w:val="Seitenzah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0"/>
    </w:pPr>
    <w:r>
      <w:t>30.8-42</w:t>
    </w:r>
  </w:p>
  <w:p>
    <w:pPr>
      <w:pStyle w:val="Kopfzeile"/>
    </w:pPr>
    <w:r>
      <w:t>AVerwGebO NRW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942E2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E343B98"/>
    <w:multiLevelType w:val="singleLevel"/>
    <w:tmpl w:val="ECD8B4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F0EB4E-C89A-4B2F-B81A-833C17AD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character" w:styleId="BesuchterLink">
    <w:name w:val="FollowedHyperlink"/>
    <w:rPr>
      <w:color w:val="800080"/>
      <w:u w:val="single"/>
    </w:rPr>
  </w:style>
  <w:style w:type="paragraph" w:styleId="Verzeichnis3">
    <w:name w:val="toc 3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Verzeichnis1">
    <w:name w:val="toc 1"/>
    <w:basedOn w:val="Verzeichnis3"/>
    <w:next w:val="Standard"/>
    <w:semiHidden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paragraph" w:styleId="Verzeichnis5">
    <w:name w:val="toc 5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rPr>
      <w:color w:val="0000FF"/>
      <w:u w:val="single"/>
    </w:rPr>
  </w:style>
  <w:style w:type="paragraph" w:styleId="Funotentext">
    <w:name w:val="footnote text"/>
    <w:basedOn w:val="Standard"/>
    <w:link w:val="FunotentextZchn"/>
    <w:qFormat/>
    <w:pPr>
      <w:spacing w:before="0" w:after="0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rPr>
      <w:rFonts w:ascii="Arial" w:hAnsi="Arial"/>
      <w:sz w:val="16"/>
    </w:rPr>
  </w:style>
  <w:style w:type="character" w:styleId="Funotenzeichen">
    <w:name w:val="footnote reference"/>
    <w:qFormat/>
    <w:rPr>
      <w:sz w:val="20"/>
      <w:szCs w:val="20"/>
      <w:vertAlign w:val="superscript"/>
    </w:rPr>
  </w:style>
  <w:style w:type="paragraph" w:customStyle="1" w:styleId="Kopfzeile0">
    <w:name w:val="Kopfzeile0"/>
    <w:basedOn w:val="Standard"/>
    <w:next w:val="Kopfzeile"/>
    <w:qFormat/>
    <w:pPr>
      <w:spacing w:before="0" w:after="0"/>
      <w:jc w:val="right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ppData\Roaming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D5934-6018-4A91-9076-8A9F62F60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3</Pages>
  <Words>803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Allgemeine Verwaltungsgebührenordnung – Tarifstellen 30 und 31</vt:lpstr>
    </vt:vector>
  </TitlesOfParts>
  <Company>LANUV NRW</Company>
  <LinksUpToDate>false</LinksUpToDate>
  <CharactersWithSpaces>6003</CharactersWithSpaces>
  <SharedDoc>false</SharedDoc>
  <HLinks>
    <vt:vector size="18" baseType="variant">
      <vt:variant>
        <vt:i4>7667941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ÄltereFassungen</vt:lpwstr>
      </vt:variant>
      <vt:variant>
        <vt:i4>4128852</vt:i4>
      </vt:variant>
      <vt:variant>
        <vt:i4>3</vt:i4>
      </vt:variant>
      <vt:variant>
        <vt:i4>0</vt:i4>
      </vt:variant>
      <vt:variant>
        <vt:i4>5</vt:i4>
      </vt:variant>
      <vt:variant>
        <vt:lpwstr>https://lv.recht.nrw.de/lmi/owa/br_show_anlage?p_id=3288</vt:lpwstr>
      </vt:variant>
      <vt:variant>
        <vt:lpwstr/>
      </vt:variant>
      <vt:variant>
        <vt:i4>3407965</vt:i4>
      </vt:variant>
      <vt:variant>
        <vt:i4>0</vt:i4>
      </vt:variant>
      <vt:variant>
        <vt:i4>0</vt:i4>
      </vt:variant>
      <vt:variant>
        <vt:i4>5</vt:i4>
      </vt:variant>
      <vt:variant>
        <vt:lpwstr>https://lv.recht.nrw.de/lmi/owa/br_show_anlage?p_id=21002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Allgemeine Verwaltungsgebührenordnung – Tarifstellen 30 und 31</dc:title>
  <dc:subject/>
  <dc:creator>natrop</dc:creator>
  <cp:keywords/>
  <dc:description/>
  <cp:lastModifiedBy>Rüter, Dr., Ingo</cp:lastModifiedBy>
  <cp:revision>34</cp:revision>
  <cp:lastPrinted>2000-06-09T07:32:00Z</cp:lastPrinted>
  <dcterms:created xsi:type="dcterms:W3CDTF">2014-03-12T14:39:00Z</dcterms:created>
  <dcterms:modified xsi:type="dcterms:W3CDTF">2024-06-27T11:20:00Z</dcterms:modified>
</cp:coreProperties>
</file>