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spacing w:before="0"/>
      </w:pPr>
      <w:bookmarkStart w:id="0" w:name="_Toc42567102"/>
      <w:bookmarkStart w:id="1" w:name="_GoBack"/>
      <w:bookmarkEnd w:id="1"/>
      <w:r>
        <w:t xml:space="preserve">VERORDNUNG (EG) Nr. </w:t>
      </w:r>
      <w:hyperlink r:id="rId7" w:history="1">
        <w:r>
          <w:rPr>
            <w:rStyle w:val="Hyperlink"/>
          </w:rPr>
          <w:t>1049/2001</w:t>
        </w:r>
      </w:hyperlink>
      <w:r>
        <w:t xml:space="preserve"> DES EUROPÄISCHEN PARLAMENTS UND DES RATES vom 30. Mai 2001</w:t>
      </w:r>
      <w:r>
        <w:br/>
        <w:t>über den Zugang der Öffentlichkeit zu Dokumenten des Europäischen Parlaments, des Rates und der Kommission</w:t>
      </w:r>
      <w:bookmarkEnd w:id="0"/>
    </w:p>
    <w:p>
      <w:pPr>
        <w:pStyle w:val="GesAbsatz"/>
        <w:jc w:val="center"/>
        <w:rPr>
          <w:rFonts w:cs="Arial"/>
        </w:rPr>
      </w:pPr>
    </w:p>
    <w:p>
      <w:pPr>
        <w:pStyle w:val="GesAbsatz"/>
        <w:jc w:val="center"/>
        <w:rPr>
          <w:rFonts w:cs="Arial"/>
          <w:b/>
          <w:bCs/>
          <w:sz w:val="22"/>
          <w:szCs w:val="17"/>
        </w:rPr>
      </w:pPr>
      <w:r>
        <w:rPr>
          <w:rFonts w:cs="Arial"/>
          <w:b/>
          <w:bCs/>
          <w:sz w:val="22"/>
          <w:szCs w:val="17"/>
        </w:rPr>
        <w:t>Inhalt:</w:t>
      </w:r>
    </w:p>
    <w:p>
      <w:pPr>
        <w:pStyle w:val="Verzeichnis1"/>
        <w:tabs>
          <w:tab w:val="clear" w:pos="9638"/>
          <w:tab w:val="right" w:leader="dot" w:pos="9628"/>
        </w:tabs>
        <w:rPr>
          <w:b w:val="0"/>
          <w:bCs/>
          <w:caps w:val="0"/>
          <w:noProof/>
          <w:sz w:val="24"/>
        </w:rPr>
      </w:pPr>
      <w:r>
        <w:rPr>
          <w:rFonts w:cs="Arial"/>
          <w:szCs w:val="17"/>
        </w:rPr>
        <w:fldChar w:fldCharType="begin"/>
      </w:r>
      <w:r>
        <w:rPr>
          <w:rFonts w:cs="Arial"/>
          <w:szCs w:val="17"/>
        </w:rPr>
        <w:instrText xml:space="preserve"> TOC \o "1-3" \h \z </w:instrText>
      </w:r>
      <w:r>
        <w:rPr>
          <w:rFonts w:cs="Arial"/>
          <w:szCs w:val="17"/>
        </w:rPr>
        <w:fldChar w:fldCharType="separate"/>
      </w:r>
      <w:hyperlink w:anchor="_Toc42567102" w:history="1">
        <w:r>
          <w:rPr>
            <w:rStyle w:val="Hyperlink"/>
            <w:noProof/>
            <w:szCs w:val="28"/>
          </w:rPr>
          <w:t>VERORDNUNG (EG) Nr. 1049/2001</w:t>
        </w:r>
        <w:r>
          <w:rPr>
            <w:noProof/>
            <w:webHidden/>
          </w:rPr>
          <w:tab/>
        </w:r>
        <w:r>
          <w:rPr>
            <w:noProof/>
            <w:webHidden/>
          </w:rPr>
          <w:fldChar w:fldCharType="begin"/>
        </w:r>
        <w:r>
          <w:rPr>
            <w:noProof/>
            <w:webHidden/>
          </w:rPr>
          <w:instrText xml:space="preserve"> PAGEREF _Toc42567102 \h </w:instrText>
        </w:r>
        <w:r>
          <w:rPr>
            <w:noProof/>
            <w:webHidden/>
          </w:rPr>
        </w:r>
        <w:r>
          <w:rPr>
            <w:noProof/>
            <w:webHidden/>
          </w:rPr>
          <w:fldChar w:fldCharType="separate"/>
        </w:r>
        <w:r>
          <w:rPr>
            <w:noProof/>
            <w:webHidden/>
          </w:rPr>
          <w:t>1</w:t>
        </w:r>
        <w:r>
          <w:rPr>
            <w:noProof/>
            <w:webHidden/>
          </w:rPr>
          <w:fldChar w:fldCharType="end"/>
        </w:r>
      </w:hyperlink>
    </w:p>
    <w:p>
      <w:pPr>
        <w:pStyle w:val="Verzeichnis2"/>
        <w:tabs>
          <w:tab w:val="clear" w:pos="9638"/>
          <w:tab w:val="right" w:leader="dot" w:pos="9628"/>
        </w:tabs>
        <w:rPr>
          <w:smallCaps w:val="0"/>
          <w:noProof/>
          <w:sz w:val="24"/>
        </w:rPr>
      </w:pPr>
      <w:hyperlink w:anchor="_Toc42567103" w:history="1">
        <w:r>
          <w:rPr>
            <w:rStyle w:val="Hyperlink"/>
            <w:noProof/>
          </w:rPr>
          <w:t xml:space="preserve">Artikel 1 </w:t>
        </w:r>
        <w:r>
          <w:rPr>
            <w:rStyle w:val="Hyperlink"/>
            <w:rFonts w:cs="Arial"/>
            <w:bCs/>
            <w:noProof/>
          </w:rPr>
          <w:t>Zweck</w:t>
        </w:r>
        <w:r>
          <w:rPr>
            <w:noProof/>
            <w:webHidden/>
          </w:rPr>
          <w:tab/>
        </w:r>
        <w:r>
          <w:rPr>
            <w:noProof/>
            <w:webHidden/>
          </w:rPr>
          <w:fldChar w:fldCharType="begin"/>
        </w:r>
        <w:r>
          <w:rPr>
            <w:noProof/>
            <w:webHidden/>
          </w:rPr>
          <w:instrText xml:space="preserve"> PAGEREF _Toc42567103 \h </w:instrText>
        </w:r>
        <w:r>
          <w:rPr>
            <w:noProof/>
            <w:webHidden/>
          </w:rPr>
        </w:r>
        <w:r>
          <w:rPr>
            <w:noProof/>
            <w:webHidden/>
          </w:rPr>
          <w:fldChar w:fldCharType="separate"/>
        </w:r>
        <w:r>
          <w:rPr>
            <w:noProof/>
            <w:webHidden/>
          </w:rPr>
          <w:t>3</w:t>
        </w:r>
        <w:r>
          <w:rPr>
            <w:noProof/>
            <w:webHidden/>
          </w:rPr>
          <w:fldChar w:fldCharType="end"/>
        </w:r>
      </w:hyperlink>
    </w:p>
    <w:p>
      <w:pPr>
        <w:pStyle w:val="Verzeichnis2"/>
        <w:tabs>
          <w:tab w:val="clear" w:pos="9638"/>
          <w:tab w:val="right" w:leader="dot" w:pos="9628"/>
        </w:tabs>
        <w:rPr>
          <w:smallCaps w:val="0"/>
          <w:noProof/>
          <w:sz w:val="24"/>
        </w:rPr>
      </w:pPr>
      <w:hyperlink w:anchor="_Toc42567104" w:history="1">
        <w:r>
          <w:rPr>
            <w:rStyle w:val="Hyperlink"/>
            <w:noProof/>
          </w:rPr>
          <w:t xml:space="preserve">Artikel 2 </w:t>
        </w:r>
        <w:r>
          <w:rPr>
            <w:rStyle w:val="Hyperlink"/>
            <w:bCs/>
            <w:noProof/>
          </w:rPr>
          <w:t>Zugangsberechtigte und Anwendungsbereich</w:t>
        </w:r>
        <w:r>
          <w:rPr>
            <w:noProof/>
            <w:webHidden/>
          </w:rPr>
          <w:tab/>
        </w:r>
        <w:r>
          <w:rPr>
            <w:noProof/>
            <w:webHidden/>
          </w:rPr>
          <w:fldChar w:fldCharType="begin"/>
        </w:r>
        <w:r>
          <w:rPr>
            <w:noProof/>
            <w:webHidden/>
          </w:rPr>
          <w:instrText xml:space="preserve"> PAGEREF _Toc42567104 \h </w:instrText>
        </w:r>
        <w:r>
          <w:rPr>
            <w:noProof/>
            <w:webHidden/>
          </w:rPr>
        </w:r>
        <w:r>
          <w:rPr>
            <w:noProof/>
            <w:webHidden/>
          </w:rPr>
          <w:fldChar w:fldCharType="separate"/>
        </w:r>
        <w:r>
          <w:rPr>
            <w:noProof/>
            <w:webHidden/>
          </w:rPr>
          <w:t>3</w:t>
        </w:r>
        <w:r>
          <w:rPr>
            <w:noProof/>
            <w:webHidden/>
          </w:rPr>
          <w:fldChar w:fldCharType="end"/>
        </w:r>
      </w:hyperlink>
    </w:p>
    <w:p>
      <w:pPr>
        <w:pStyle w:val="Verzeichnis2"/>
        <w:tabs>
          <w:tab w:val="clear" w:pos="9638"/>
          <w:tab w:val="right" w:leader="dot" w:pos="9628"/>
        </w:tabs>
        <w:rPr>
          <w:smallCaps w:val="0"/>
          <w:noProof/>
          <w:sz w:val="24"/>
        </w:rPr>
      </w:pPr>
      <w:hyperlink w:anchor="_Toc42567105" w:history="1">
        <w:r>
          <w:rPr>
            <w:rStyle w:val="Hyperlink"/>
            <w:noProof/>
          </w:rPr>
          <w:t xml:space="preserve">Artikel 3 </w:t>
        </w:r>
        <w:r>
          <w:rPr>
            <w:rStyle w:val="Hyperlink"/>
            <w:bCs/>
            <w:noProof/>
          </w:rPr>
          <w:t>Begriffsbestimmungen</w:t>
        </w:r>
        <w:r>
          <w:rPr>
            <w:noProof/>
            <w:webHidden/>
          </w:rPr>
          <w:tab/>
        </w:r>
        <w:r>
          <w:rPr>
            <w:noProof/>
            <w:webHidden/>
          </w:rPr>
          <w:fldChar w:fldCharType="begin"/>
        </w:r>
        <w:r>
          <w:rPr>
            <w:noProof/>
            <w:webHidden/>
          </w:rPr>
          <w:instrText xml:space="preserve"> PAGEREF _Toc42567105 \h </w:instrText>
        </w:r>
        <w:r>
          <w:rPr>
            <w:noProof/>
            <w:webHidden/>
          </w:rPr>
        </w:r>
        <w:r>
          <w:rPr>
            <w:noProof/>
            <w:webHidden/>
          </w:rPr>
          <w:fldChar w:fldCharType="separate"/>
        </w:r>
        <w:r>
          <w:rPr>
            <w:noProof/>
            <w:webHidden/>
          </w:rPr>
          <w:t>3</w:t>
        </w:r>
        <w:r>
          <w:rPr>
            <w:noProof/>
            <w:webHidden/>
          </w:rPr>
          <w:fldChar w:fldCharType="end"/>
        </w:r>
      </w:hyperlink>
    </w:p>
    <w:p>
      <w:pPr>
        <w:pStyle w:val="Verzeichnis2"/>
        <w:tabs>
          <w:tab w:val="clear" w:pos="9638"/>
          <w:tab w:val="right" w:leader="dot" w:pos="9628"/>
        </w:tabs>
        <w:rPr>
          <w:smallCaps w:val="0"/>
          <w:noProof/>
          <w:sz w:val="24"/>
        </w:rPr>
      </w:pPr>
      <w:hyperlink w:anchor="_Toc42567106" w:history="1">
        <w:r>
          <w:rPr>
            <w:rStyle w:val="Hyperlink"/>
            <w:noProof/>
          </w:rPr>
          <w:t xml:space="preserve">Artikel 4 </w:t>
        </w:r>
        <w:r>
          <w:rPr>
            <w:rStyle w:val="Hyperlink"/>
            <w:bCs/>
            <w:noProof/>
          </w:rPr>
          <w:t>Ausnahmeregelung</w:t>
        </w:r>
        <w:r>
          <w:rPr>
            <w:noProof/>
            <w:webHidden/>
          </w:rPr>
          <w:tab/>
        </w:r>
        <w:r>
          <w:rPr>
            <w:noProof/>
            <w:webHidden/>
          </w:rPr>
          <w:fldChar w:fldCharType="begin"/>
        </w:r>
        <w:r>
          <w:rPr>
            <w:noProof/>
            <w:webHidden/>
          </w:rPr>
          <w:instrText xml:space="preserve"> PAGEREF _Toc42567106 \h </w:instrText>
        </w:r>
        <w:r>
          <w:rPr>
            <w:noProof/>
            <w:webHidden/>
          </w:rPr>
        </w:r>
        <w:r>
          <w:rPr>
            <w:noProof/>
            <w:webHidden/>
          </w:rPr>
          <w:fldChar w:fldCharType="separate"/>
        </w:r>
        <w:r>
          <w:rPr>
            <w:noProof/>
            <w:webHidden/>
          </w:rPr>
          <w:t>3</w:t>
        </w:r>
        <w:r>
          <w:rPr>
            <w:noProof/>
            <w:webHidden/>
          </w:rPr>
          <w:fldChar w:fldCharType="end"/>
        </w:r>
      </w:hyperlink>
    </w:p>
    <w:p>
      <w:pPr>
        <w:pStyle w:val="Verzeichnis2"/>
        <w:tabs>
          <w:tab w:val="clear" w:pos="9638"/>
          <w:tab w:val="right" w:leader="dot" w:pos="9628"/>
        </w:tabs>
        <w:rPr>
          <w:smallCaps w:val="0"/>
          <w:noProof/>
          <w:sz w:val="24"/>
        </w:rPr>
      </w:pPr>
      <w:hyperlink w:anchor="_Toc42567107" w:history="1">
        <w:r>
          <w:rPr>
            <w:rStyle w:val="Hyperlink"/>
            <w:noProof/>
          </w:rPr>
          <w:t xml:space="preserve">Artikel 5 </w:t>
        </w:r>
        <w:r>
          <w:rPr>
            <w:rStyle w:val="Hyperlink"/>
            <w:bCs/>
            <w:noProof/>
          </w:rPr>
          <w:t>Dokumente in den Mitgliedstaaten</w:t>
        </w:r>
        <w:r>
          <w:rPr>
            <w:noProof/>
            <w:webHidden/>
          </w:rPr>
          <w:tab/>
        </w:r>
        <w:r>
          <w:rPr>
            <w:noProof/>
            <w:webHidden/>
          </w:rPr>
          <w:fldChar w:fldCharType="begin"/>
        </w:r>
        <w:r>
          <w:rPr>
            <w:noProof/>
            <w:webHidden/>
          </w:rPr>
          <w:instrText xml:space="preserve"> PAGEREF _Toc42567107 \h </w:instrText>
        </w:r>
        <w:r>
          <w:rPr>
            <w:noProof/>
            <w:webHidden/>
          </w:rPr>
        </w:r>
        <w:r>
          <w:rPr>
            <w:noProof/>
            <w:webHidden/>
          </w:rPr>
          <w:fldChar w:fldCharType="separate"/>
        </w:r>
        <w:r>
          <w:rPr>
            <w:noProof/>
            <w:webHidden/>
          </w:rPr>
          <w:t>4</w:t>
        </w:r>
        <w:r>
          <w:rPr>
            <w:noProof/>
            <w:webHidden/>
          </w:rPr>
          <w:fldChar w:fldCharType="end"/>
        </w:r>
      </w:hyperlink>
    </w:p>
    <w:p>
      <w:pPr>
        <w:pStyle w:val="Verzeichnis2"/>
        <w:tabs>
          <w:tab w:val="clear" w:pos="9638"/>
          <w:tab w:val="right" w:leader="dot" w:pos="9628"/>
        </w:tabs>
        <w:rPr>
          <w:smallCaps w:val="0"/>
          <w:noProof/>
          <w:sz w:val="24"/>
        </w:rPr>
      </w:pPr>
      <w:hyperlink w:anchor="_Toc42567108" w:history="1">
        <w:r>
          <w:rPr>
            <w:rStyle w:val="Hyperlink"/>
            <w:noProof/>
          </w:rPr>
          <w:t xml:space="preserve">Artikel 6 </w:t>
        </w:r>
        <w:r>
          <w:rPr>
            <w:rStyle w:val="Hyperlink"/>
            <w:bCs/>
            <w:noProof/>
          </w:rPr>
          <w:t>Anträge</w:t>
        </w:r>
        <w:r>
          <w:rPr>
            <w:noProof/>
            <w:webHidden/>
          </w:rPr>
          <w:tab/>
        </w:r>
        <w:r>
          <w:rPr>
            <w:noProof/>
            <w:webHidden/>
          </w:rPr>
          <w:fldChar w:fldCharType="begin"/>
        </w:r>
        <w:r>
          <w:rPr>
            <w:noProof/>
            <w:webHidden/>
          </w:rPr>
          <w:instrText xml:space="preserve"> PAGEREF _Toc42567108 \h </w:instrText>
        </w:r>
        <w:r>
          <w:rPr>
            <w:noProof/>
            <w:webHidden/>
          </w:rPr>
        </w:r>
        <w:r>
          <w:rPr>
            <w:noProof/>
            <w:webHidden/>
          </w:rPr>
          <w:fldChar w:fldCharType="separate"/>
        </w:r>
        <w:r>
          <w:rPr>
            <w:noProof/>
            <w:webHidden/>
          </w:rPr>
          <w:t>4</w:t>
        </w:r>
        <w:r>
          <w:rPr>
            <w:noProof/>
            <w:webHidden/>
          </w:rPr>
          <w:fldChar w:fldCharType="end"/>
        </w:r>
      </w:hyperlink>
    </w:p>
    <w:p>
      <w:pPr>
        <w:pStyle w:val="Verzeichnis2"/>
        <w:tabs>
          <w:tab w:val="clear" w:pos="9638"/>
          <w:tab w:val="right" w:leader="dot" w:pos="9628"/>
        </w:tabs>
        <w:rPr>
          <w:smallCaps w:val="0"/>
          <w:noProof/>
          <w:sz w:val="24"/>
        </w:rPr>
      </w:pPr>
      <w:hyperlink w:anchor="_Toc42567109" w:history="1">
        <w:r>
          <w:rPr>
            <w:rStyle w:val="Hyperlink"/>
            <w:noProof/>
          </w:rPr>
          <w:t>Artikel 7 Behandlung von Erstanträgen</w:t>
        </w:r>
        <w:r>
          <w:rPr>
            <w:noProof/>
            <w:webHidden/>
          </w:rPr>
          <w:tab/>
        </w:r>
        <w:r>
          <w:rPr>
            <w:noProof/>
            <w:webHidden/>
          </w:rPr>
          <w:fldChar w:fldCharType="begin"/>
        </w:r>
        <w:r>
          <w:rPr>
            <w:noProof/>
            <w:webHidden/>
          </w:rPr>
          <w:instrText xml:space="preserve"> PAGEREF _Toc42567109 \h </w:instrText>
        </w:r>
        <w:r>
          <w:rPr>
            <w:noProof/>
            <w:webHidden/>
          </w:rPr>
        </w:r>
        <w:r>
          <w:rPr>
            <w:noProof/>
            <w:webHidden/>
          </w:rPr>
          <w:fldChar w:fldCharType="separate"/>
        </w:r>
        <w:r>
          <w:rPr>
            <w:noProof/>
            <w:webHidden/>
          </w:rPr>
          <w:t>5</w:t>
        </w:r>
        <w:r>
          <w:rPr>
            <w:noProof/>
            <w:webHidden/>
          </w:rPr>
          <w:fldChar w:fldCharType="end"/>
        </w:r>
      </w:hyperlink>
    </w:p>
    <w:p>
      <w:pPr>
        <w:pStyle w:val="Verzeichnis2"/>
        <w:tabs>
          <w:tab w:val="clear" w:pos="9638"/>
          <w:tab w:val="right" w:leader="dot" w:pos="9628"/>
        </w:tabs>
        <w:rPr>
          <w:smallCaps w:val="0"/>
          <w:noProof/>
          <w:sz w:val="24"/>
        </w:rPr>
      </w:pPr>
      <w:hyperlink w:anchor="_Toc42567110" w:history="1">
        <w:r>
          <w:rPr>
            <w:rStyle w:val="Hyperlink"/>
            <w:noProof/>
          </w:rPr>
          <w:t>Artikel 8 Behandlung von Zweitanträgen</w:t>
        </w:r>
        <w:r>
          <w:rPr>
            <w:noProof/>
            <w:webHidden/>
          </w:rPr>
          <w:tab/>
        </w:r>
        <w:r>
          <w:rPr>
            <w:noProof/>
            <w:webHidden/>
          </w:rPr>
          <w:fldChar w:fldCharType="begin"/>
        </w:r>
        <w:r>
          <w:rPr>
            <w:noProof/>
            <w:webHidden/>
          </w:rPr>
          <w:instrText xml:space="preserve"> PAGEREF _Toc42567110 \h </w:instrText>
        </w:r>
        <w:r>
          <w:rPr>
            <w:noProof/>
            <w:webHidden/>
          </w:rPr>
        </w:r>
        <w:r>
          <w:rPr>
            <w:noProof/>
            <w:webHidden/>
          </w:rPr>
          <w:fldChar w:fldCharType="separate"/>
        </w:r>
        <w:r>
          <w:rPr>
            <w:noProof/>
            <w:webHidden/>
          </w:rPr>
          <w:t>5</w:t>
        </w:r>
        <w:r>
          <w:rPr>
            <w:noProof/>
            <w:webHidden/>
          </w:rPr>
          <w:fldChar w:fldCharType="end"/>
        </w:r>
      </w:hyperlink>
    </w:p>
    <w:p>
      <w:pPr>
        <w:pStyle w:val="Verzeichnis2"/>
        <w:tabs>
          <w:tab w:val="clear" w:pos="9638"/>
          <w:tab w:val="right" w:leader="dot" w:pos="9628"/>
        </w:tabs>
        <w:rPr>
          <w:smallCaps w:val="0"/>
          <w:noProof/>
          <w:sz w:val="24"/>
        </w:rPr>
      </w:pPr>
      <w:hyperlink w:anchor="_Toc42567111" w:history="1">
        <w:r>
          <w:rPr>
            <w:rStyle w:val="Hyperlink"/>
            <w:noProof/>
          </w:rPr>
          <w:t>Artikel 9 Behandlung sensibler Dokumente</w:t>
        </w:r>
        <w:r>
          <w:rPr>
            <w:noProof/>
            <w:webHidden/>
          </w:rPr>
          <w:tab/>
        </w:r>
        <w:r>
          <w:rPr>
            <w:noProof/>
            <w:webHidden/>
          </w:rPr>
          <w:fldChar w:fldCharType="begin"/>
        </w:r>
        <w:r>
          <w:rPr>
            <w:noProof/>
            <w:webHidden/>
          </w:rPr>
          <w:instrText xml:space="preserve"> PAGEREF _Toc42567111 \h </w:instrText>
        </w:r>
        <w:r>
          <w:rPr>
            <w:noProof/>
            <w:webHidden/>
          </w:rPr>
        </w:r>
        <w:r>
          <w:rPr>
            <w:noProof/>
            <w:webHidden/>
          </w:rPr>
          <w:fldChar w:fldCharType="separate"/>
        </w:r>
        <w:r>
          <w:rPr>
            <w:noProof/>
            <w:webHidden/>
          </w:rPr>
          <w:t>5</w:t>
        </w:r>
        <w:r>
          <w:rPr>
            <w:noProof/>
            <w:webHidden/>
          </w:rPr>
          <w:fldChar w:fldCharType="end"/>
        </w:r>
      </w:hyperlink>
    </w:p>
    <w:p>
      <w:pPr>
        <w:pStyle w:val="Verzeichnis2"/>
        <w:tabs>
          <w:tab w:val="clear" w:pos="9638"/>
          <w:tab w:val="right" w:leader="dot" w:pos="9628"/>
        </w:tabs>
        <w:rPr>
          <w:smallCaps w:val="0"/>
          <w:noProof/>
          <w:sz w:val="24"/>
        </w:rPr>
      </w:pPr>
      <w:hyperlink w:anchor="_Toc42567112" w:history="1">
        <w:r>
          <w:rPr>
            <w:rStyle w:val="Hyperlink"/>
            <w:noProof/>
          </w:rPr>
          <w:t>Artikel 10 Zugang im Anschluss an einen Antrag</w:t>
        </w:r>
        <w:r>
          <w:rPr>
            <w:noProof/>
            <w:webHidden/>
          </w:rPr>
          <w:tab/>
        </w:r>
        <w:r>
          <w:rPr>
            <w:noProof/>
            <w:webHidden/>
          </w:rPr>
          <w:fldChar w:fldCharType="begin"/>
        </w:r>
        <w:r>
          <w:rPr>
            <w:noProof/>
            <w:webHidden/>
          </w:rPr>
          <w:instrText xml:space="preserve"> PAGEREF _Toc42567112 \h </w:instrText>
        </w:r>
        <w:r>
          <w:rPr>
            <w:noProof/>
            <w:webHidden/>
          </w:rPr>
        </w:r>
        <w:r>
          <w:rPr>
            <w:noProof/>
            <w:webHidden/>
          </w:rPr>
          <w:fldChar w:fldCharType="separate"/>
        </w:r>
        <w:r>
          <w:rPr>
            <w:noProof/>
            <w:webHidden/>
          </w:rPr>
          <w:t>6</w:t>
        </w:r>
        <w:r>
          <w:rPr>
            <w:noProof/>
            <w:webHidden/>
          </w:rPr>
          <w:fldChar w:fldCharType="end"/>
        </w:r>
      </w:hyperlink>
    </w:p>
    <w:p>
      <w:pPr>
        <w:pStyle w:val="Verzeichnis2"/>
        <w:tabs>
          <w:tab w:val="clear" w:pos="9638"/>
          <w:tab w:val="right" w:leader="dot" w:pos="9628"/>
        </w:tabs>
        <w:rPr>
          <w:smallCaps w:val="0"/>
          <w:noProof/>
          <w:sz w:val="24"/>
        </w:rPr>
      </w:pPr>
      <w:hyperlink w:anchor="_Toc42567113" w:history="1">
        <w:r>
          <w:rPr>
            <w:rStyle w:val="Hyperlink"/>
            <w:noProof/>
          </w:rPr>
          <w:t xml:space="preserve">Artikel 11 </w:t>
        </w:r>
        <w:r>
          <w:rPr>
            <w:rStyle w:val="Hyperlink"/>
            <w:rFonts w:cs="Arial"/>
            <w:bCs/>
            <w:noProof/>
          </w:rPr>
          <w:t>Register</w:t>
        </w:r>
        <w:r>
          <w:rPr>
            <w:noProof/>
            <w:webHidden/>
          </w:rPr>
          <w:tab/>
        </w:r>
        <w:r>
          <w:rPr>
            <w:noProof/>
            <w:webHidden/>
          </w:rPr>
          <w:fldChar w:fldCharType="begin"/>
        </w:r>
        <w:r>
          <w:rPr>
            <w:noProof/>
            <w:webHidden/>
          </w:rPr>
          <w:instrText xml:space="preserve"> PAGEREF _Toc42567113 \h </w:instrText>
        </w:r>
        <w:r>
          <w:rPr>
            <w:noProof/>
            <w:webHidden/>
          </w:rPr>
        </w:r>
        <w:r>
          <w:rPr>
            <w:noProof/>
            <w:webHidden/>
          </w:rPr>
          <w:fldChar w:fldCharType="separate"/>
        </w:r>
        <w:r>
          <w:rPr>
            <w:noProof/>
            <w:webHidden/>
          </w:rPr>
          <w:t>6</w:t>
        </w:r>
        <w:r>
          <w:rPr>
            <w:noProof/>
            <w:webHidden/>
          </w:rPr>
          <w:fldChar w:fldCharType="end"/>
        </w:r>
      </w:hyperlink>
    </w:p>
    <w:p>
      <w:pPr>
        <w:pStyle w:val="Verzeichnis2"/>
        <w:tabs>
          <w:tab w:val="clear" w:pos="9638"/>
          <w:tab w:val="right" w:leader="dot" w:pos="9628"/>
        </w:tabs>
        <w:rPr>
          <w:smallCaps w:val="0"/>
          <w:noProof/>
          <w:sz w:val="24"/>
        </w:rPr>
      </w:pPr>
      <w:hyperlink w:anchor="_Toc42567114" w:history="1">
        <w:r>
          <w:rPr>
            <w:rStyle w:val="Hyperlink"/>
            <w:noProof/>
          </w:rPr>
          <w:t xml:space="preserve">Artikel 12 Direkter Zugang in elektronischer Form oder über ein </w:t>
        </w:r>
        <w:r>
          <w:rPr>
            <w:rStyle w:val="Hyperlink"/>
            <w:rFonts w:cs="Arial"/>
            <w:bCs/>
            <w:noProof/>
          </w:rPr>
          <w:t>Register</w:t>
        </w:r>
        <w:r>
          <w:rPr>
            <w:noProof/>
            <w:webHidden/>
          </w:rPr>
          <w:tab/>
        </w:r>
        <w:r>
          <w:rPr>
            <w:noProof/>
            <w:webHidden/>
          </w:rPr>
          <w:fldChar w:fldCharType="begin"/>
        </w:r>
        <w:r>
          <w:rPr>
            <w:noProof/>
            <w:webHidden/>
          </w:rPr>
          <w:instrText xml:space="preserve"> PAGEREF _Toc42567114 \h </w:instrText>
        </w:r>
        <w:r>
          <w:rPr>
            <w:noProof/>
            <w:webHidden/>
          </w:rPr>
        </w:r>
        <w:r>
          <w:rPr>
            <w:noProof/>
            <w:webHidden/>
          </w:rPr>
          <w:fldChar w:fldCharType="separate"/>
        </w:r>
        <w:r>
          <w:rPr>
            <w:noProof/>
            <w:webHidden/>
          </w:rPr>
          <w:t>6</w:t>
        </w:r>
        <w:r>
          <w:rPr>
            <w:noProof/>
            <w:webHidden/>
          </w:rPr>
          <w:fldChar w:fldCharType="end"/>
        </w:r>
      </w:hyperlink>
    </w:p>
    <w:p>
      <w:pPr>
        <w:pStyle w:val="Verzeichnis2"/>
        <w:tabs>
          <w:tab w:val="clear" w:pos="9638"/>
          <w:tab w:val="right" w:leader="dot" w:pos="9628"/>
        </w:tabs>
        <w:rPr>
          <w:smallCaps w:val="0"/>
          <w:noProof/>
          <w:sz w:val="24"/>
        </w:rPr>
      </w:pPr>
      <w:hyperlink w:anchor="_Toc42567115" w:history="1">
        <w:r>
          <w:rPr>
            <w:rStyle w:val="Hyperlink"/>
            <w:noProof/>
          </w:rPr>
          <w:t xml:space="preserve">Artikel 13 </w:t>
        </w:r>
        <w:r>
          <w:rPr>
            <w:rStyle w:val="Hyperlink"/>
            <w:bCs/>
            <w:noProof/>
          </w:rPr>
          <w:t>Veröffentlichung von Dokumenten im Amtsblatt</w:t>
        </w:r>
        <w:r>
          <w:rPr>
            <w:noProof/>
            <w:webHidden/>
          </w:rPr>
          <w:tab/>
        </w:r>
        <w:r>
          <w:rPr>
            <w:noProof/>
            <w:webHidden/>
          </w:rPr>
          <w:fldChar w:fldCharType="begin"/>
        </w:r>
        <w:r>
          <w:rPr>
            <w:noProof/>
            <w:webHidden/>
          </w:rPr>
          <w:instrText xml:space="preserve"> PAGEREF _Toc42567115 \h </w:instrText>
        </w:r>
        <w:r>
          <w:rPr>
            <w:noProof/>
            <w:webHidden/>
          </w:rPr>
        </w:r>
        <w:r>
          <w:rPr>
            <w:noProof/>
            <w:webHidden/>
          </w:rPr>
          <w:fldChar w:fldCharType="separate"/>
        </w:r>
        <w:r>
          <w:rPr>
            <w:noProof/>
            <w:webHidden/>
          </w:rPr>
          <w:t>6</w:t>
        </w:r>
        <w:r>
          <w:rPr>
            <w:noProof/>
            <w:webHidden/>
          </w:rPr>
          <w:fldChar w:fldCharType="end"/>
        </w:r>
      </w:hyperlink>
    </w:p>
    <w:p>
      <w:pPr>
        <w:pStyle w:val="Verzeichnis2"/>
        <w:tabs>
          <w:tab w:val="clear" w:pos="9638"/>
          <w:tab w:val="right" w:leader="dot" w:pos="9628"/>
        </w:tabs>
        <w:rPr>
          <w:smallCaps w:val="0"/>
          <w:noProof/>
          <w:sz w:val="24"/>
        </w:rPr>
      </w:pPr>
      <w:hyperlink w:anchor="_Toc42567116" w:history="1">
        <w:r>
          <w:rPr>
            <w:rStyle w:val="Hyperlink"/>
            <w:noProof/>
          </w:rPr>
          <w:t xml:space="preserve">Artikel 14 </w:t>
        </w:r>
        <w:r>
          <w:rPr>
            <w:rStyle w:val="Hyperlink"/>
            <w:bCs/>
            <w:noProof/>
          </w:rPr>
          <w:t>Information</w:t>
        </w:r>
        <w:r>
          <w:rPr>
            <w:noProof/>
            <w:webHidden/>
          </w:rPr>
          <w:tab/>
        </w:r>
        <w:r>
          <w:rPr>
            <w:noProof/>
            <w:webHidden/>
          </w:rPr>
          <w:fldChar w:fldCharType="begin"/>
        </w:r>
        <w:r>
          <w:rPr>
            <w:noProof/>
            <w:webHidden/>
          </w:rPr>
          <w:instrText xml:space="preserve"> PAGEREF _Toc42567116 \h </w:instrText>
        </w:r>
        <w:r>
          <w:rPr>
            <w:noProof/>
            <w:webHidden/>
          </w:rPr>
        </w:r>
        <w:r>
          <w:rPr>
            <w:noProof/>
            <w:webHidden/>
          </w:rPr>
          <w:fldChar w:fldCharType="separate"/>
        </w:r>
        <w:r>
          <w:rPr>
            <w:noProof/>
            <w:webHidden/>
          </w:rPr>
          <w:t>7</w:t>
        </w:r>
        <w:r>
          <w:rPr>
            <w:noProof/>
            <w:webHidden/>
          </w:rPr>
          <w:fldChar w:fldCharType="end"/>
        </w:r>
      </w:hyperlink>
    </w:p>
    <w:p>
      <w:pPr>
        <w:pStyle w:val="Verzeichnis2"/>
        <w:tabs>
          <w:tab w:val="clear" w:pos="9638"/>
          <w:tab w:val="right" w:leader="dot" w:pos="9628"/>
        </w:tabs>
        <w:rPr>
          <w:smallCaps w:val="0"/>
          <w:noProof/>
          <w:sz w:val="24"/>
        </w:rPr>
      </w:pPr>
      <w:hyperlink w:anchor="_Toc42567117" w:history="1">
        <w:r>
          <w:rPr>
            <w:rStyle w:val="Hyperlink"/>
            <w:noProof/>
          </w:rPr>
          <w:t xml:space="preserve">Artikel 15 </w:t>
        </w:r>
        <w:r>
          <w:rPr>
            <w:rStyle w:val="Hyperlink"/>
            <w:bCs/>
            <w:noProof/>
          </w:rPr>
          <w:t>Verwaltungspraxis in den Organen</w:t>
        </w:r>
        <w:r>
          <w:rPr>
            <w:noProof/>
            <w:webHidden/>
          </w:rPr>
          <w:tab/>
        </w:r>
        <w:r>
          <w:rPr>
            <w:noProof/>
            <w:webHidden/>
          </w:rPr>
          <w:fldChar w:fldCharType="begin"/>
        </w:r>
        <w:r>
          <w:rPr>
            <w:noProof/>
            <w:webHidden/>
          </w:rPr>
          <w:instrText xml:space="preserve"> PAGEREF _Toc42567117 \h </w:instrText>
        </w:r>
        <w:r>
          <w:rPr>
            <w:noProof/>
            <w:webHidden/>
          </w:rPr>
        </w:r>
        <w:r>
          <w:rPr>
            <w:noProof/>
            <w:webHidden/>
          </w:rPr>
          <w:fldChar w:fldCharType="separate"/>
        </w:r>
        <w:r>
          <w:rPr>
            <w:noProof/>
            <w:webHidden/>
          </w:rPr>
          <w:t>7</w:t>
        </w:r>
        <w:r>
          <w:rPr>
            <w:noProof/>
            <w:webHidden/>
          </w:rPr>
          <w:fldChar w:fldCharType="end"/>
        </w:r>
      </w:hyperlink>
    </w:p>
    <w:p>
      <w:pPr>
        <w:pStyle w:val="Verzeichnis2"/>
        <w:tabs>
          <w:tab w:val="clear" w:pos="9638"/>
          <w:tab w:val="right" w:leader="dot" w:pos="9628"/>
        </w:tabs>
        <w:rPr>
          <w:smallCaps w:val="0"/>
          <w:noProof/>
          <w:sz w:val="24"/>
        </w:rPr>
      </w:pPr>
      <w:hyperlink w:anchor="_Toc42567118" w:history="1">
        <w:r>
          <w:rPr>
            <w:rStyle w:val="Hyperlink"/>
            <w:noProof/>
          </w:rPr>
          <w:t xml:space="preserve">Artikel 16 </w:t>
        </w:r>
        <w:r>
          <w:rPr>
            <w:rStyle w:val="Hyperlink"/>
            <w:bCs/>
            <w:noProof/>
          </w:rPr>
          <w:t>Vervielfältigung von Dokumenten</w:t>
        </w:r>
        <w:r>
          <w:rPr>
            <w:noProof/>
            <w:webHidden/>
          </w:rPr>
          <w:tab/>
        </w:r>
        <w:r>
          <w:rPr>
            <w:noProof/>
            <w:webHidden/>
          </w:rPr>
          <w:fldChar w:fldCharType="begin"/>
        </w:r>
        <w:r>
          <w:rPr>
            <w:noProof/>
            <w:webHidden/>
          </w:rPr>
          <w:instrText xml:space="preserve"> PAGEREF _Toc42567118 \h </w:instrText>
        </w:r>
        <w:r>
          <w:rPr>
            <w:noProof/>
            <w:webHidden/>
          </w:rPr>
        </w:r>
        <w:r>
          <w:rPr>
            <w:noProof/>
            <w:webHidden/>
          </w:rPr>
          <w:fldChar w:fldCharType="separate"/>
        </w:r>
        <w:r>
          <w:rPr>
            <w:noProof/>
            <w:webHidden/>
          </w:rPr>
          <w:t>7</w:t>
        </w:r>
        <w:r>
          <w:rPr>
            <w:noProof/>
            <w:webHidden/>
          </w:rPr>
          <w:fldChar w:fldCharType="end"/>
        </w:r>
      </w:hyperlink>
    </w:p>
    <w:p>
      <w:pPr>
        <w:pStyle w:val="Verzeichnis2"/>
        <w:tabs>
          <w:tab w:val="clear" w:pos="9638"/>
          <w:tab w:val="right" w:leader="dot" w:pos="9628"/>
        </w:tabs>
        <w:rPr>
          <w:smallCaps w:val="0"/>
          <w:noProof/>
          <w:sz w:val="24"/>
        </w:rPr>
      </w:pPr>
      <w:hyperlink w:anchor="_Toc42567119" w:history="1">
        <w:r>
          <w:rPr>
            <w:rStyle w:val="Hyperlink"/>
            <w:noProof/>
          </w:rPr>
          <w:t xml:space="preserve">Artikel 17 </w:t>
        </w:r>
        <w:r>
          <w:rPr>
            <w:rStyle w:val="Hyperlink"/>
            <w:bCs/>
            <w:noProof/>
          </w:rPr>
          <w:t>Berichte</w:t>
        </w:r>
        <w:r>
          <w:rPr>
            <w:noProof/>
            <w:webHidden/>
          </w:rPr>
          <w:tab/>
        </w:r>
        <w:r>
          <w:rPr>
            <w:noProof/>
            <w:webHidden/>
          </w:rPr>
          <w:fldChar w:fldCharType="begin"/>
        </w:r>
        <w:r>
          <w:rPr>
            <w:noProof/>
            <w:webHidden/>
          </w:rPr>
          <w:instrText xml:space="preserve"> PAGEREF _Toc42567119 \h </w:instrText>
        </w:r>
        <w:r>
          <w:rPr>
            <w:noProof/>
            <w:webHidden/>
          </w:rPr>
        </w:r>
        <w:r>
          <w:rPr>
            <w:noProof/>
            <w:webHidden/>
          </w:rPr>
          <w:fldChar w:fldCharType="separate"/>
        </w:r>
        <w:r>
          <w:rPr>
            <w:noProof/>
            <w:webHidden/>
          </w:rPr>
          <w:t>7</w:t>
        </w:r>
        <w:r>
          <w:rPr>
            <w:noProof/>
            <w:webHidden/>
          </w:rPr>
          <w:fldChar w:fldCharType="end"/>
        </w:r>
      </w:hyperlink>
    </w:p>
    <w:p>
      <w:pPr>
        <w:pStyle w:val="Verzeichnis2"/>
        <w:tabs>
          <w:tab w:val="clear" w:pos="9638"/>
          <w:tab w:val="right" w:leader="dot" w:pos="9628"/>
        </w:tabs>
        <w:rPr>
          <w:smallCaps w:val="0"/>
          <w:noProof/>
          <w:sz w:val="24"/>
        </w:rPr>
      </w:pPr>
      <w:hyperlink w:anchor="_Toc42567120" w:history="1">
        <w:r>
          <w:rPr>
            <w:rStyle w:val="Hyperlink"/>
            <w:noProof/>
          </w:rPr>
          <w:t xml:space="preserve">Artikel 18 </w:t>
        </w:r>
        <w:r>
          <w:rPr>
            <w:rStyle w:val="Hyperlink"/>
            <w:bCs/>
            <w:noProof/>
          </w:rPr>
          <w:t>Durchführungsmaßnahmen</w:t>
        </w:r>
        <w:r>
          <w:rPr>
            <w:noProof/>
            <w:webHidden/>
          </w:rPr>
          <w:tab/>
        </w:r>
        <w:r>
          <w:rPr>
            <w:noProof/>
            <w:webHidden/>
          </w:rPr>
          <w:fldChar w:fldCharType="begin"/>
        </w:r>
        <w:r>
          <w:rPr>
            <w:noProof/>
            <w:webHidden/>
          </w:rPr>
          <w:instrText xml:space="preserve"> PAGEREF _Toc42567120 \h </w:instrText>
        </w:r>
        <w:r>
          <w:rPr>
            <w:noProof/>
            <w:webHidden/>
          </w:rPr>
        </w:r>
        <w:r>
          <w:rPr>
            <w:noProof/>
            <w:webHidden/>
          </w:rPr>
          <w:fldChar w:fldCharType="separate"/>
        </w:r>
        <w:r>
          <w:rPr>
            <w:noProof/>
            <w:webHidden/>
          </w:rPr>
          <w:t>7</w:t>
        </w:r>
        <w:r>
          <w:rPr>
            <w:noProof/>
            <w:webHidden/>
          </w:rPr>
          <w:fldChar w:fldCharType="end"/>
        </w:r>
      </w:hyperlink>
    </w:p>
    <w:p>
      <w:pPr>
        <w:pStyle w:val="Verzeichnis2"/>
        <w:tabs>
          <w:tab w:val="clear" w:pos="9638"/>
          <w:tab w:val="right" w:leader="dot" w:pos="9628"/>
        </w:tabs>
        <w:rPr>
          <w:smallCaps w:val="0"/>
          <w:noProof/>
          <w:sz w:val="24"/>
        </w:rPr>
      </w:pPr>
      <w:hyperlink w:anchor="_Toc42567121" w:history="1">
        <w:r>
          <w:rPr>
            <w:rStyle w:val="Hyperlink"/>
            <w:noProof/>
          </w:rPr>
          <w:t xml:space="preserve">Artikel 19 </w:t>
        </w:r>
        <w:r>
          <w:rPr>
            <w:rStyle w:val="Hyperlink"/>
            <w:bCs/>
            <w:noProof/>
          </w:rPr>
          <w:t>Inkrafttreten</w:t>
        </w:r>
        <w:r>
          <w:rPr>
            <w:noProof/>
            <w:webHidden/>
          </w:rPr>
          <w:tab/>
        </w:r>
        <w:r>
          <w:rPr>
            <w:noProof/>
            <w:webHidden/>
          </w:rPr>
          <w:fldChar w:fldCharType="begin"/>
        </w:r>
        <w:r>
          <w:rPr>
            <w:noProof/>
            <w:webHidden/>
          </w:rPr>
          <w:instrText xml:space="preserve"> PAGEREF _Toc42567121 \h </w:instrText>
        </w:r>
        <w:r>
          <w:rPr>
            <w:noProof/>
            <w:webHidden/>
          </w:rPr>
        </w:r>
        <w:r>
          <w:rPr>
            <w:noProof/>
            <w:webHidden/>
          </w:rPr>
          <w:fldChar w:fldCharType="separate"/>
        </w:r>
        <w:r>
          <w:rPr>
            <w:noProof/>
            <w:webHidden/>
          </w:rPr>
          <w:t>8</w:t>
        </w:r>
        <w:r>
          <w:rPr>
            <w:noProof/>
            <w:webHidden/>
          </w:rPr>
          <w:fldChar w:fldCharType="end"/>
        </w:r>
      </w:hyperlink>
    </w:p>
    <w:p>
      <w:pPr>
        <w:pStyle w:val="GesAbsatz"/>
        <w:rPr>
          <w:rFonts w:cs="Arial"/>
          <w:szCs w:val="17"/>
        </w:rPr>
      </w:pPr>
      <w:r>
        <w:rPr>
          <w:rFonts w:cs="Arial"/>
          <w:szCs w:val="17"/>
        </w:rPr>
        <w:fldChar w:fldCharType="end"/>
      </w:r>
    </w:p>
    <w:p>
      <w:pPr>
        <w:pStyle w:val="GesAbsatz"/>
        <w:rPr>
          <w:rFonts w:cs="Arial"/>
          <w:szCs w:val="17"/>
        </w:rPr>
      </w:pPr>
      <w:r>
        <w:rPr>
          <w:rFonts w:cs="Arial"/>
          <w:szCs w:val="17"/>
        </w:rPr>
        <w:t>DAS EUROPÄISCHE PARLAMENT UND DER RAT DER EUROPÄISCHEN UNION —</w:t>
      </w:r>
    </w:p>
    <w:p>
      <w:pPr>
        <w:pStyle w:val="GesAbsatz"/>
        <w:rPr>
          <w:rFonts w:cs="Arial"/>
        </w:rPr>
      </w:pPr>
      <w:r>
        <w:rPr>
          <w:rFonts w:cs="Arial"/>
        </w:rPr>
        <w:t>gestützt auf den Vertrag zur Gründung der Europäischen Gemeinschaft, insbesondere auf Artikel 255 Absatz 2,</w:t>
      </w:r>
    </w:p>
    <w:p>
      <w:pPr>
        <w:pStyle w:val="GesAbsatz"/>
        <w:rPr>
          <w:rFonts w:cs="Arial"/>
        </w:rPr>
      </w:pPr>
      <w:r>
        <w:rPr>
          <w:rFonts w:cs="Arial"/>
        </w:rPr>
        <w:t>auf Vorschlag der Kommission</w:t>
      </w:r>
      <w:r>
        <w:rPr>
          <w:rStyle w:val="Funotenzeichen"/>
          <w:rFonts w:cs="Arial"/>
        </w:rPr>
        <w:footnoteReference w:id="1"/>
      </w:r>
      <w:r>
        <w:rPr>
          <w:rFonts w:cs="Arial"/>
        </w:rPr>
        <w:t>,</w:t>
      </w:r>
    </w:p>
    <w:p>
      <w:pPr>
        <w:pStyle w:val="GesAbsatz"/>
        <w:rPr>
          <w:rFonts w:cs="Arial"/>
        </w:rPr>
      </w:pPr>
      <w:r>
        <w:rPr>
          <w:rFonts w:cs="Arial"/>
        </w:rPr>
        <w:t>gemäß dem Verfahren des Artikels 251 des Vertrags</w:t>
      </w:r>
      <w:r>
        <w:rPr>
          <w:rStyle w:val="Funotenzeichen"/>
          <w:rFonts w:cs="Arial"/>
        </w:rPr>
        <w:footnoteReference w:id="2"/>
      </w:r>
      <w:r>
        <w:rPr>
          <w:rFonts w:cs="Arial"/>
        </w:rPr>
        <w:t>,</w:t>
      </w:r>
    </w:p>
    <w:p>
      <w:pPr>
        <w:pStyle w:val="GesAbsatz"/>
        <w:rPr>
          <w:rFonts w:cs="Arial"/>
        </w:rPr>
      </w:pPr>
      <w:r>
        <w:rPr>
          <w:rFonts w:cs="Arial"/>
        </w:rPr>
        <w:t>in Erwägung nachstehender Gründe:</w:t>
      </w:r>
    </w:p>
    <w:p>
      <w:pPr>
        <w:pStyle w:val="GesAbsatz"/>
        <w:rPr>
          <w:rFonts w:cs="Arial"/>
        </w:rPr>
      </w:pPr>
      <w:r>
        <w:rPr>
          <w:rFonts w:cs="Arial"/>
          <w:szCs w:val="17"/>
        </w:rPr>
        <w:t xml:space="preserve">(1) </w:t>
      </w:r>
      <w:r>
        <w:rPr>
          <w:rFonts w:cs="Arial"/>
        </w:rPr>
        <w:t>In Artikel 1 Absatz 2 des Vertrags über die Europäische Union, wonach der Vertrag eine neue Stufe bei der Verwirklichung einer immer engeren Union der Völker Europas darstellt, in der die Entscheidungen möglichst offen und möglichst bürgernah getroffen werden, ist das Prinzip der Transparenz verankert.</w:t>
      </w:r>
    </w:p>
    <w:p>
      <w:pPr>
        <w:pStyle w:val="GesAbsatz"/>
        <w:rPr>
          <w:rFonts w:cs="Arial"/>
        </w:rPr>
      </w:pPr>
      <w:r>
        <w:rPr>
          <w:rFonts w:cs="Arial"/>
          <w:szCs w:val="17"/>
        </w:rPr>
        <w:t xml:space="preserve">(2) </w:t>
      </w:r>
      <w:r>
        <w:rPr>
          <w:rFonts w:cs="Arial"/>
        </w:rPr>
        <w:t>Transparenz ermöglicht eine bessere Beteiligung der Bürger am Entscheidungsprozess und gewährleistet eine größere Legitimität, Effizienz und Verantwortung der Verwaltung gegenüber dem Bürger in einem demokratischen System. Transparenz trägt zur Stärkung der Grundsätze der Demokratie und der Achtung der Grundrechte bei, die in Artikel 6 des EU-Vertrags und in der Charta der Grundrechte der Europäischen Union verankert sind.</w:t>
      </w:r>
    </w:p>
    <w:p>
      <w:pPr>
        <w:pStyle w:val="GesAbsatz"/>
        <w:rPr>
          <w:rFonts w:cs="Arial"/>
        </w:rPr>
      </w:pPr>
      <w:r>
        <w:rPr>
          <w:rFonts w:cs="Arial"/>
          <w:szCs w:val="17"/>
        </w:rPr>
        <w:t xml:space="preserve">(3) </w:t>
      </w:r>
      <w:r>
        <w:rPr>
          <w:rFonts w:cs="Arial"/>
        </w:rPr>
        <w:t>In den Schlussfolgerungen des Europäischen Rates von Birmingham, Edinburgh und Kopenhagen wurde die Notwendigkeit betont, die Arbeit der Organe der Union transparenter zu machen. Diese Verordnung konsolidiert die Initiativen, die die Organe bereits ergriffen haben, um die Transparenz des Entscheidungsprozesses zu verbessern.</w:t>
      </w:r>
    </w:p>
    <w:p>
      <w:pPr>
        <w:pStyle w:val="GesAbsatz"/>
        <w:rPr>
          <w:rFonts w:cs="Arial"/>
        </w:rPr>
      </w:pPr>
      <w:r>
        <w:rPr>
          <w:rFonts w:cs="Arial"/>
          <w:szCs w:val="17"/>
        </w:rPr>
        <w:t xml:space="preserve">(4) </w:t>
      </w:r>
      <w:r>
        <w:rPr>
          <w:rFonts w:cs="Arial"/>
        </w:rPr>
        <w:t>Diese Verordnung soll dem Recht auf Zugang der Öffentlichkeit zu Dokumenten größtmögliche Wirksamkeit verschaffen und gemäß Artikel 255 Absatz 2 des EG-Vertrags die allgemeinen Grundsätze und Einschränkungen dafür festlegen.</w:t>
      </w:r>
    </w:p>
    <w:p>
      <w:pPr>
        <w:pStyle w:val="GesAbsatz"/>
        <w:rPr>
          <w:rFonts w:cs="Arial"/>
        </w:rPr>
      </w:pPr>
      <w:r>
        <w:rPr>
          <w:rFonts w:cs="Arial"/>
          <w:szCs w:val="17"/>
        </w:rPr>
        <w:t xml:space="preserve">(5) </w:t>
      </w:r>
      <w:r>
        <w:rPr>
          <w:rFonts w:cs="Arial"/>
        </w:rPr>
        <w:t xml:space="preserve">Da der Zugang zu Dokumenten im Vertrag über die Gründung der Europäischen Gemeinschaft für Kohle und Stahl und im Vertrag zur Gründung der Europäischen Atomgemeinschaft nicht geregelt ist, sollten sich </w:t>
      </w:r>
      <w:r>
        <w:rPr>
          <w:rFonts w:cs="Arial"/>
        </w:rPr>
        <w:lastRenderedPageBreak/>
        <w:t>das Europäische Parlament, der Rat und die Kommission gemäß der Erklärung Nr. 41 zur Schlussakte des Vertrags von Amsterdam bei Dokumenten im Zusammenhang mit Tätigkeiten, die sich aus diesen beiden Verträgen ergeben, von dieser Verordnung leiten lassen.</w:t>
      </w:r>
    </w:p>
    <w:p>
      <w:pPr>
        <w:pStyle w:val="GesAbsatz"/>
        <w:rPr>
          <w:rFonts w:cs="Arial"/>
        </w:rPr>
      </w:pPr>
      <w:r>
        <w:rPr>
          <w:rFonts w:cs="Arial"/>
          <w:szCs w:val="17"/>
        </w:rPr>
        <w:t xml:space="preserve">(6) </w:t>
      </w:r>
      <w:r>
        <w:rPr>
          <w:rFonts w:cs="Arial"/>
        </w:rPr>
        <w:t>Ein umfassenderer Zugang zu Dokumenten sollte in den Fällen gewährt werden, in denen die Organe, auch im Rahmen übertragener Befugnisse, als Gesetzgeber tätig sind, wobei gleichzeitig die Wirksamkeit ihrer Entscheidungsprozesse zu wahren ist. Derartige Dokumente sollten in größtmöglichem Umfang direkt zugänglich gemacht werden.</w:t>
      </w:r>
    </w:p>
    <w:p>
      <w:pPr>
        <w:pStyle w:val="GesAbsatz"/>
        <w:rPr>
          <w:rFonts w:cs="Arial"/>
        </w:rPr>
      </w:pPr>
      <w:r>
        <w:rPr>
          <w:rFonts w:cs="Arial"/>
          <w:szCs w:val="17"/>
        </w:rPr>
        <w:t xml:space="preserve">(7) </w:t>
      </w:r>
      <w:r>
        <w:rPr>
          <w:rFonts w:cs="Arial"/>
        </w:rPr>
        <w:t>Gemäß Artikel 28 Absatz 1 und Artikel 41 Absatz 1 des EU-Vertrags gilt das Zugangsrecht auch für Dokumente aus den Bereichen der Gemeinsamen Außen- und Sicherheitspolitik sowie der polizeilichen und justiziellen Zusammenarbeit in Strafsachen. Jedes Organ sollte seine Sicherheitsbestimmungen beachten.</w:t>
      </w:r>
    </w:p>
    <w:p>
      <w:pPr>
        <w:pStyle w:val="GesAbsatz"/>
        <w:rPr>
          <w:rFonts w:cs="Arial"/>
        </w:rPr>
      </w:pPr>
      <w:r>
        <w:rPr>
          <w:rFonts w:cs="Arial"/>
          <w:szCs w:val="17"/>
        </w:rPr>
        <w:t xml:space="preserve">(8) </w:t>
      </w:r>
      <w:r>
        <w:rPr>
          <w:rFonts w:cs="Arial"/>
        </w:rPr>
        <w:t>Um die vollständige Anwendung dieser Verordnung auf alle Tätigkeiten der Union zu gewährleisten, sollten alle von den Organen geschaffenen Einrichtungen die in dieser Verordnung festgelegten Grundsätze anwenden.</w:t>
      </w:r>
    </w:p>
    <w:p>
      <w:pPr>
        <w:pStyle w:val="GesAbsatz"/>
        <w:rPr>
          <w:rFonts w:cs="Arial"/>
        </w:rPr>
      </w:pPr>
      <w:r>
        <w:rPr>
          <w:rFonts w:cs="Arial"/>
          <w:szCs w:val="17"/>
        </w:rPr>
        <w:t xml:space="preserve">(9) </w:t>
      </w:r>
      <w:r>
        <w:rPr>
          <w:rFonts w:cs="Arial"/>
        </w:rPr>
        <w:t>Bestimmte Dokumente sollten aufgrund ihres hochsensiblen Inhalts einer besonderen Behandlung unterliegen. Regelungen zur Unterrichtung des Europäischen Parlaments über den Inhalt derartiger Dokumente sollten durch interinstitutionelle Vereinbarung getroffen werden.</w:t>
      </w:r>
    </w:p>
    <w:p>
      <w:pPr>
        <w:pStyle w:val="GesAbsatz"/>
        <w:rPr>
          <w:rFonts w:cs="Arial"/>
        </w:rPr>
      </w:pPr>
      <w:r>
        <w:rPr>
          <w:rFonts w:cs="Arial"/>
          <w:szCs w:val="17"/>
        </w:rPr>
        <w:t xml:space="preserve">(10) </w:t>
      </w:r>
      <w:r>
        <w:rPr>
          <w:rFonts w:cs="Arial"/>
        </w:rPr>
        <w:t>Um die Arbeit der Organe transparenter zu gestalten, sollten das Europäische Parlament, der Rat und die Kommission Zugang nicht nur zu Dokumenten gewähren, die von den Organen erstellt wurden, sondern auch zu Dokumenten, die bei ihnen eingegangen sind. In diesem Zusammenhang wird daran erinnert, dass ein Mitgliedstaat gemäß der Erklärung Nr. 35 zur Schlussakte des Vertrags von Amsterdam die Kommission oder den Rat ersuchen kann, ein aus dem betreffenden Mitgliedstaat stammendes Dokument nicht ohne seine vorherige Zustimmung an Dritte weiterzuleiten.</w:t>
      </w:r>
    </w:p>
    <w:p>
      <w:pPr>
        <w:pStyle w:val="GesAbsatz"/>
        <w:rPr>
          <w:rFonts w:cs="Arial"/>
        </w:rPr>
      </w:pPr>
      <w:r>
        <w:rPr>
          <w:rFonts w:cs="Arial"/>
          <w:szCs w:val="17"/>
        </w:rPr>
        <w:t xml:space="preserve">(11) </w:t>
      </w:r>
      <w:r>
        <w:rPr>
          <w:rFonts w:cs="Arial"/>
        </w:rPr>
        <w:t>Grundsätzlich sollten alle Dokumente der Organe für die Öffentlichkeit zugänglich sein. Der Schutz bestimmter öffentlicher und privater Interessen sollte jedoch durch Ausnahmen gewährleistet werden. Es sollte den Organen gestattet werden, ihre internen Konsultationen und Beratungen zu schützen, wo dies zur Wahrung ihrer Fähigkeit, ihre Aufgaben zu erfüllen, erforderlich ist. Bei der Beurteilung der Ausnahmen sollten die Organe in allen Tätigkeitsbereichen der Union die in den Rechtsvorschriften der Gemeinschaft verankerten Grundsätze über den Schutz personenbezogener Daten berücksichtigen.</w:t>
      </w:r>
    </w:p>
    <w:p>
      <w:pPr>
        <w:pStyle w:val="GesAbsatz"/>
        <w:rPr>
          <w:rFonts w:cs="Arial"/>
        </w:rPr>
      </w:pPr>
      <w:r>
        <w:rPr>
          <w:rFonts w:cs="Arial"/>
          <w:szCs w:val="17"/>
        </w:rPr>
        <w:t xml:space="preserve">(12) </w:t>
      </w:r>
      <w:r>
        <w:rPr>
          <w:rFonts w:cs="Arial"/>
        </w:rPr>
        <w:t>Alle Bestimmungen über den Zugang zu Dokumenten der Organe sollten mit dieser Verordnung in Einklang stehen.</w:t>
      </w:r>
    </w:p>
    <w:p>
      <w:pPr>
        <w:pStyle w:val="GesAbsatz"/>
        <w:rPr>
          <w:rFonts w:cs="Arial"/>
        </w:rPr>
      </w:pPr>
      <w:r>
        <w:rPr>
          <w:rFonts w:cs="Arial"/>
          <w:szCs w:val="17"/>
        </w:rPr>
        <w:t xml:space="preserve">(13) </w:t>
      </w:r>
      <w:r>
        <w:rPr>
          <w:rFonts w:cs="Arial"/>
        </w:rPr>
        <w:t>Um die uneingeschränkte Wahrung des Rechts auf Zugang zu gewährleisten, sollte ein Verwaltungsverfahren in zwei Phasen zur Anwendung kommen, mit der zusätzlichen Möglichkeit, den Rechtsweg zu beschreiten oder Beschwerde beim Bürgerbeauftragten einzulegen.</w:t>
      </w:r>
    </w:p>
    <w:p>
      <w:pPr>
        <w:pStyle w:val="GesAbsatz"/>
        <w:rPr>
          <w:rFonts w:cs="Arial"/>
        </w:rPr>
      </w:pPr>
      <w:r>
        <w:rPr>
          <w:rFonts w:cs="Arial"/>
          <w:szCs w:val="17"/>
        </w:rPr>
        <w:t xml:space="preserve">(14) </w:t>
      </w:r>
      <w:r>
        <w:rPr>
          <w:rFonts w:cs="Arial"/>
        </w:rPr>
        <w:t>Jedes Organ sollte die notwendigen Maßnahmen ergreifen, um die Öffentlichkeit über die neuen geltenden Rechtsvorschriften zu informieren und sein Personal entsprechend auszubilden und so die Bürger bei der Ausübung der ihnen durch diese Verordnung gewährten Rechte zu unterstützen. Um den Bürgern die Ausübung dieser Rechte zu erleichtern, sollte jedes Organ ein Dokumentenregister zugänglich machen.</w:t>
      </w:r>
    </w:p>
    <w:p>
      <w:pPr>
        <w:pStyle w:val="GesAbsatz"/>
        <w:rPr>
          <w:rFonts w:cs="Arial"/>
        </w:rPr>
      </w:pPr>
      <w:r>
        <w:rPr>
          <w:rFonts w:cs="Arial"/>
          <w:szCs w:val="17"/>
        </w:rPr>
        <w:t xml:space="preserve">(15) </w:t>
      </w:r>
      <w:r>
        <w:rPr>
          <w:rFonts w:cs="Arial"/>
        </w:rPr>
        <w:t>Diese Verordnung zielt weder auf eine Änderung des Rechts der Mitgliedstaaten über den Zugang zu Dokumenten ab, noch bewirkt sie eine solche Änderung; es versteht sich jedoch von selbst, dass die Mitgliedstaaten aufgrund des Prinzips der loyalen Zusammenarbeit, das für die Beziehungen zwischen den Organen und den Mitgliedstaaten gilt, dafür sorgen sollten, dass sie die ordnungsgemäße Anwendung dieser Verordnung nicht beeinträchtigen, und dass sie die Sicherheitsbestimmungen der Organe beachten sollten.</w:t>
      </w:r>
    </w:p>
    <w:p>
      <w:pPr>
        <w:pStyle w:val="GesAbsatz"/>
        <w:rPr>
          <w:rFonts w:cs="Arial"/>
        </w:rPr>
      </w:pPr>
      <w:r>
        <w:rPr>
          <w:rFonts w:cs="Arial"/>
          <w:szCs w:val="17"/>
        </w:rPr>
        <w:t xml:space="preserve">(16) </w:t>
      </w:r>
      <w:r>
        <w:rPr>
          <w:rFonts w:cs="Arial"/>
        </w:rPr>
        <w:t>Bestehende Rechte der Mitgliedstaaten sowie der Justiz- oder Ermittlungsbehörden auf Zugang zu Dokumenten werden von dieser Verordnung nicht berührt.</w:t>
      </w:r>
    </w:p>
    <w:p>
      <w:pPr>
        <w:pStyle w:val="GesAbsatz"/>
        <w:rPr>
          <w:rFonts w:cs="Arial"/>
        </w:rPr>
      </w:pPr>
      <w:r>
        <w:rPr>
          <w:rFonts w:cs="Arial"/>
          <w:szCs w:val="17"/>
        </w:rPr>
        <w:t xml:space="preserve">(17) </w:t>
      </w:r>
      <w:r>
        <w:rPr>
          <w:rFonts w:cs="Arial"/>
        </w:rPr>
        <w:t>Gemäß Artikel 255 Absatz 3 des EG-Vertrags legt jedes Organ in seiner Geschäftsordnung Sonderbestimmungen hinsichtlich des Zugangs zu seinen Dokumenten fest. Der Beschluss 93/731/EG des Rates vom 20. Dezember 1993 über den Zugang der Öffentlichkeit zu den Ratsdokumenten</w:t>
      </w:r>
      <w:r>
        <w:rPr>
          <w:rStyle w:val="Funotenzeichen"/>
          <w:rFonts w:cs="Arial"/>
        </w:rPr>
        <w:footnoteReference w:id="3"/>
      </w:r>
      <w:r>
        <w:rPr>
          <w:rFonts w:cs="Arial"/>
        </w:rPr>
        <w:t>, der Beschluss 94/90/EGKS, EG, Euratom der Kommission vom 8. Februar 1994 über den Zugang der Öffentlichkeit zu den der Kommission vorliegenden Dokumenten</w:t>
      </w:r>
      <w:r>
        <w:rPr>
          <w:rStyle w:val="Funotenzeichen"/>
          <w:rFonts w:cs="Arial"/>
        </w:rPr>
        <w:footnoteReference w:id="4"/>
      </w:r>
      <w:r>
        <w:rPr>
          <w:rFonts w:cs="Arial"/>
        </w:rPr>
        <w:t>, der Beschluss 97/632/EG, EGKS, Euratom des Europäischen Parlaments vom 10. Juli 1997 über den Zugang der Öffentlichkeit zu den Dokumenten des Europäischen Parlaments</w:t>
      </w:r>
      <w:r>
        <w:rPr>
          <w:rStyle w:val="Funotenzeichen"/>
          <w:rFonts w:cs="Arial"/>
        </w:rPr>
        <w:footnoteReference w:id="5"/>
      </w:r>
      <w:r>
        <w:rPr>
          <w:rFonts w:cs="Arial"/>
        </w:rPr>
        <w:t xml:space="preserve"> sowie die Bestimmungen über die vertrauliche Behandlung von Schengen-Dokumenten sollten daher nötigenfalls geändert oder aufgehoben werden —</w:t>
      </w:r>
    </w:p>
    <w:p>
      <w:pPr>
        <w:pStyle w:val="GesAbsatz"/>
        <w:rPr>
          <w:rFonts w:cs="Arial"/>
          <w:szCs w:val="17"/>
        </w:rPr>
      </w:pPr>
      <w:r>
        <w:rPr>
          <w:rFonts w:cs="Arial"/>
          <w:szCs w:val="17"/>
        </w:rPr>
        <w:lastRenderedPageBreak/>
        <w:t>HABEN FOLGENDE VERORDNUNG ERLASSEN:</w:t>
      </w:r>
    </w:p>
    <w:p>
      <w:pPr>
        <w:pStyle w:val="berschrift2"/>
        <w:rPr>
          <w:rFonts w:cs="Arial"/>
          <w:bCs/>
        </w:rPr>
      </w:pPr>
      <w:bookmarkStart w:id="2" w:name="_Toc42567103"/>
      <w:r>
        <w:t>Artikel 1</w:t>
      </w:r>
      <w:r>
        <w:br/>
      </w:r>
      <w:r>
        <w:rPr>
          <w:rFonts w:cs="Arial"/>
          <w:bCs/>
        </w:rPr>
        <w:t>Zweck</w:t>
      </w:r>
      <w:bookmarkEnd w:id="2"/>
    </w:p>
    <w:p>
      <w:pPr>
        <w:pStyle w:val="GesAbsatz"/>
        <w:rPr>
          <w:rFonts w:cs="Arial"/>
        </w:rPr>
      </w:pPr>
      <w:r>
        <w:rPr>
          <w:rFonts w:cs="Arial"/>
        </w:rPr>
        <w:t>Zweck dieser Verordnung ist es:</w:t>
      </w:r>
    </w:p>
    <w:p>
      <w:pPr>
        <w:pStyle w:val="GesAbsatz"/>
        <w:ind w:left="426" w:hanging="426"/>
        <w:rPr>
          <w:rFonts w:cs="Arial"/>
        </w:rPr>
      </w:pPr>
      <w:r>
        <w:rPr>
          <w:rFonts w:cs="Arial"/>
        </w:rPr>
        <w:t>a)</w:t>
      </w:r>
      <w:r>
        <w:rPr>
          <w:rFonts w:cs="Arial"/>
        </w:rPr>
        <w:tab/>
        <w:t>die Grundsätze und Bedingungen sowie die aufgrund öffentlicher oder privater Interessen geltenden Einschränkungen für die Ausübung des in Artikel 255 des EG-Vertrags niedergelegten Rechts auf Zugang zu Dokumenten des Europäischen Parlaments, des Rates und der Kommission (nachstehend „Organe“ genannt) so festzulegen, dass ein größtmöglicher Zugang zu Dokumenten gewährleistet ist,</w:t>
      </w:r>
    </w:p>
    <w:p>
      <w:pPr>
        <w:pStyle w:val="GesAbsatz"/>
        <w:rPr>
          <w:rFonts w:cs="Arial"/>
        </w:rPr>
      </w:pPr>
      <w:r>
        <w:rPr>
          <w:rFonts w:cs="Arial"/>
        </w:rPr>
        <w:t>b)</w:t>
      </w:r>
      <w:r>
        <w:rPr>
          <w:rFonts w:cs="Arial"/>
        </w:rPr>
        <w:tab/>
        <w:t>Regeln zur Sicherstellung einer möglichst einfachen Ausübung dieses Rechts aufzustellen, und</w:t>
      </w:r>
    </w:p>
    <w:p>
      <w:pPr>
        <w:pStyle w:val="GesAbsatz"/>
        <w:rPr>
          <w:rFonts w:cs="Arial"/>
        </w:rPr>
      </w:pPr>
      <w:r>
        <w:rPr>
          <w:rFonts w:cs="Arial"/>
        </w:rPr>
        <w:t>c)</w:t>
      </w:r>
      <w:r>
        <w:rPr>
          <w:rFonts w:cs="Arial"/>
        </w:rPr>
        <w:tab/>
        <w:t>eine gute Verwaltungspraxis im Hinblick auf den Zugang zu Dokumenten zu fördern.</w:t>
      </w:r>
    </w:p>
    <w:p>
      <w:pPr>
        <w:pStyle w:val="berschrift2"/>
        <w:rPr>
          <w:bCs/>
        </w:rPr>
      </w:pPr>
      <w:bookmarkStart w:id="3" w:name="_Toc42567104"/>
      <w:r>
        <w:t>Artikel 2</w:t>
      </w:r>
      <w:r>
        <w:br/>
      </w:r>
      <w:r>
        <w:rPr>
          <w:bCs/>
        </w:rPr>
        <w:t>Zugangsberechtigte und Anwendungsbereich</w:t>
      </w:r>
      <w:bookmarkEnd w:id="3"/>
    </w:p>
    <w:p>
      <w:pPr>
        <w:pStyle w:val="GesAbsatz"/>
        <w:rPr>
          <w:rFonts w:cs="Arial"/>
        </w:rPr>
      </w:pPr>
      <w:r>
        <w:rPr>
          <w:rFonts w:cs="Arial"/>
        </w:rPr>
        <w:t>(1) Jeder Unionsbürger sowie jede natürliche oder juristische Person mit Wohnsitz oder Sitz in einem Mitgliedstaat hat vorbehaltlich der in dieser Verordnung festgelegten Grundsätze, Bedingungen und Einschränkungen ein Recht auf Zugang zu Dokumenten der Organe.</w:t>
      </w:r>
    </w:p>
    <w:p>
      <w:pPr>
        <w:pStyle w:val="GesAbsatz"/>
        <w:rPr>
          <w:rFonts w:cs="Arial"/>
        </w:rPr>
      </w:pPr>
      <w:r>
        <w:rPr>
          <w:rFonts w:cs="Arial"/>
        </w:rPr>
        <w:t>(2) Die Organe können vorbehaltlich der gleichen Grundsätze, Bedingungen und Einschränkungen allen natürlichen oder juristischen Personen, die keinen Wohnsitz oder Sitz in einem Mitgliedstaat haben, Zugang zu Dokumenten gewähren.</w:t>
      </w:r>
    </w:p>
    <w:p>
      <w:pPr>
        <w:pStyle w:val="GesAbsatz"/>
        <w:rPr>
          <w:rFonts w:cs="Arial"/>
        </w:rPr>
      </w:pPr>
      <w:r>
        <w:rPr>
          <w:rFonts w:cs="Arial"/>
        </w:rPr>
        <w:t>(3) Diese Verordnung gilt für alle Dokumente eines Organs, das heißt Dokumente aus allen Tätigkeitsbereichen der Union, die von dem Organ erstellt wurden oder bei ihm eingegangen sind und sich in seinem Besitz befinden.</w:t>
      </w:r>
    </w:p>
    <w:p>
      <w:pPr>
        <w:pStyle w:val="GesAbsatz"/>
        <w:rPr>
          <w:rFonts w:cs="Arial"/>
        </w:rPr>
      </w:pPr>
      <w:r>
        <w:rPr>
          <w:rFonts w:cs="Arial"/>
        </w:rPr>
        <w:t>(4) Unbeschadet der Artikel 4 und 9 werden Dokumente der Öffentlichkeit entweder auf schriftlichen Antrag oder direkt in elektronischer Form oder über ein Register zugänglich gemacht. Insbesondere werden Dokumente, die im Rahmen eines Gesetzgebungsverfahrens erstellt wurden oder eingegangen sind, gemäß Artikel 12 direkt zugänglich gemacht.</w:t>
      </w:r>
    </w:p>
    <w:p>
      <w:pPr>
        <w:pStyle w:val="GesAbsatz"/>
        <w:rPr>
          <w:rFonts w:cs="Arial"/>
        </w:rPr>
      </w:pPr>
      <w:r>
        <w:rPr>
          <w:rFonts w:cs="Arial"/>
        </w:rPr>
        <w:t>(5) Sensible Dokumente im Sinne von Artikel 9 Absatz 1 unterliegen der besonderen Behandlung gemäß jenem Artikel.</w:t>
      </w:r>
    </w:p>
    <w:p>
      <w:pPr>
        <w:pStyle w:val="GesAbsatz"/>
        <w:rPr>
          <w:rFonts w:cs="Arial"/>
        </w:rPr>
      </w:pPr>
      <w:r>
        <w:rPr>
          <w:rFonts w:cs="Arial"/>
        </w:rPr>
        <w:t>(6) Diese Verordnung berührt nicht das etwaige Recht auf Zugang der Öffentlichkeit zu Dokumenten im Besitz der Organe, das sich aus internationalen Übereinkünften oder aus Rechtsakten der Organe zu deren Durchführung ergibt.</w:t>
      </w:r>
    </w:p>
    <w:p>
      <w:pPr>
        <w:pStyle w:val="berschrift2"/>
        <w:rPr>
          <w:bCs/>
        </w:rPr>
      </w:pPr>
      <w:bookmarkStart w:id="4" w:name="_Toc42567105"/>
      <w:r>
        <w:t>Artikel 3</w:t>
      </w:r>
      <w:r>
        <w:br/>
      </w:r>
      <w:r>
        <w:rPr>
          <w:bCs/>
        </w:rPr>
        <w:t>Begriffsbestimmungen</w:t>
      </w:r>
      <w:bookmarkEnd w:id="4"/>
    </w:p>
    <w:p>
      <w:pPr>
        <w:pStyle w:val="GesAbsatz"/>
        <w:rPr>
          <w:rFonts w:cs="Arial"/>
        </w:rPr>
      </w:pPr>
      <w:r>
        <w:rPr>
          <w:rFonts w:cs="Arial"/>
        </w:rPr>
        <w:t>Im Sinne dieser Verordnung bedeutet:</w:t>
      </w:r>
    </w:p>
    <w:p>
      <w:pPr>
        <w:pStyle w:val="GesAbsatz"/>
        <w:ind w:left="426" w:hanging="426"/>
        <w:rPr>
          <w:rFonts w:cs="Arial"/>
        </w:rPr>
      </w:pPr>
      <w:r>
        <w:rPr>
          <w:rFonts w:cs="Arial"/>
        </w:rPr>
        <w:t>a)</w:t>
      </w:r>
      <w:r>
        <w:rPr>
          <w:rFonts w:cs="Arial"/>
        </w:rPr>
        <w:tab/>
        <w:t>„Dokument“: Inhalte unabhängig von der Form des Datenträgers (auf Papier oder in elektronischer Form, Ton-, Bild- oder audiovisuelles Material), die einen Sachverhalt im Zusammenhang mit den Politiken, Maßnahmen oder Entscheidungen aus dem Zuständigkeitsbereich des Organs betreffen;</w:t>
      </w:r>
    </w:p>
    <w:p>
      <w:pPr>
        <w:pStyle w:val="GesAbsatz"/>
        <w:ind w:left="426" w:hanging="426"/>
        <w:rPr>
          <w:rFonts w:cs="Arial"/>
        </w:rPr>
      </w:pPr>
      <w:r>
        <w:rPr>
          <w:rFonts w:cs="Arial"/>
        </w:rPr>
        <w:t>b)</w:t>
      </w:r>
      <w:r>
        <w:rPr>
          <w:rFonts w:cs="Arial"/>
        </w:rPr>
        <w:tab/>
        <w:t>„Dritte“: alle natürlichen und juristischen Personen und Einrichtungen außerhalb des betreffenden Organs, einschließlich der Mitgliedstaaten, der anderen Gemeinschafts- oder Nicht-Gemeinschaftsorgane und -einrichtungen und der Drittländer.</w:t>
      </w:r>
    </w:p>
    <w:p>
      <w:pPr>
        <w:pStyle w:val="berschrift2"/>
        <w:rPr>
          <w:bCs/>
        </w:rPr>
      </w:pPr>
      <w:bookmarkStart w:id="5" w:name="_Toc42567106"/>
      <w:r>
        <w:t>Artikel 4</w:t>
      </w:r>
      <w:r>
        <w:br/>
      </w:r>
      <w:r>
        <w:rPr>
          <w:bCs/>
        </w:rPr>
        <w:t>Ausnahmeregelung</w:t>
      </w:r>
      <w:bookmarkEnd w:id="5"/>
    </w:p>
    <w:p>
      <w:pPr>
        <w:pStyle w:val="GesAbsatz"/>
        <w:rPr>
          <w:rFonts w:cs="Arial"/>
        </w:rPr>
      </w:pPr>
      <w:r>
        <w:rPr>
          <w:rFonts w:cs="Arial"/>
        </w:rPr>
        <w:t>(1) Die Organe verweigern den Zugang zu einem Dokument, durch dessen Verbreitung Folgendes beeinträchtigt würde:</w:t>
      </w:r>
    </w:p>
    <w:p>
      <w:pPr>
        <w:pStyle w:val="GesAbsatz"/>
        <w:rPr>
          <w:rFonts w:cs="Arial"/>
        </w:rPr>
      </w:pPr>
      <w:r>
        <w:rPr>
          <w:rFonts w:cs="Arial"/>
        </w:rPr>
        <w:t>a)</w:t>
      </w:r>
      <w:r>
        <w:rPr>
          <w:rFonts w:cs="Arial"/>
        </w:rPr>
        <w:tab/>
        <w:t>der Schutz des öffentlichen Interesses im Hinblick auf:</w:t>
      </w:r>
    </w:p>
    <w:p>
      <w:pPr>
        <w:pStyle w:val="GesAbsatz"/>
        <w:tabs>
          <w:tab w:val="left" w:pos="851"/>
        </w:tabs>
        <w:ind w:left="851" w:hanging="425"/>
        <w:rPr>
          <w:rFonts w:cs="Arial"/>
        </w:rPr>
      </w:pPr>
      <w:r>
        <w:rPr>
          <w:rFonts w:cs="Arial"/>
        </w:rPr>
        <w:t>—</w:t>
      </w:r>
      <w:r>
        <w:rPr>
          <w:rFonts w:cs="Arial"/>
        </w:rPr>
        <w:tab/>
        <w:t>die öffentliche Sicherheit,</w:t>
      </w:r>
    </w:p>
    <w:p>
      <w:pPr>
        <w:pStyle w:val="GesAbsatz"/>
        <w:tabs>
          <w:tab w:val="left" w:pos="851"/>
        </w:tabs>
        <w:ind w:left="851" w:hanging="425"/>
        <w:rPr>
          <w:rFonts w:cs="Arial"/>
        </w:rPr>
      </w:pPr>
      <w:r>
        <w:rPr>
          <w:rFonts w:cs="Arial"/>
        </w:rPr>
        <w:t>—</w:t>
      </w:r>
      <w:r>
        <w:rPr>
          <w:rFonts w:cs="Arial"/>
        </w:rPr>
        <w:tab/>
        <w:t>die Verteidigung und militärische Belange,</w:t>
      </w:r>
    </w:p>
    <w:p>
      <w:pPr>
        <w:pStyle w:val="GesAbsatz"/>
        <w:tabs>
          <w:tab w:val="left" w:pos="851"/>
        </w:tabs>
        <w:ind w:left="851" w:hanging="425"/>
        <w:rPr>
          <w:rFonts w:cs="Arial"/>
        </w:rPr>
      </w:pPr>
      <w:r>
        <w:rPr>
          <w:rFonts w:cs="Arial"/>
        </w:rPr>
        <w:t>—</w:t>
      </w:r>
      <w:r>
        <w:rPr>
          <w:rFonts w:cs="Arial"/>
        </w:rPr>
        <w:tab/>
        <w:t>die internationalen Beziehungen,</w:t>
      </w:r>
    </w:p>
    <w:p>
      <w:pPr>
        <w:pStyle w:val="GesAbsatz"/>
        <w:tabs>
          <w:tab w:val="left" w:pos="851"/>
        </w:tabs>
        <w:ind w:left="851" w:hanging="425"/>
        <w:rPr>
          <w:rFonts w:cs="Arial"/>
        </w:rPr>
      </w:pPr>
      <w:r>
        <w:rPr>
          <w:rFonts w:cs="Arial"/>
        </w:rPr>
        <w:t>—</w:t>
      </w:r>
      <w:r>
        <w:rPr>
          <w:rFonts w:cs="Arial"/>
        </w:rPr>
        <w:tab/>
        <w:t>die Finanz-, Währungs- oder Wirtschaftspolitik der Gemeinschaft oder eines Mitgliedstaats;</w:t>
      </w:r>
    </w:p>
    <w:p>
      <w:pPr>
        <w:pStyle w:val="GesAbsatz"/>
        <w:ind w:left="426" w:hanging="426"/>
        <w:rPr>
          <w:rFonts w:cs="Arial"/>
        </w:rPr>
      </w:pPr>
      <w:r>
        <w:rPr>
          <w:rFonts w:cs="Arial"/>
        </w:rPr>
        <w:lastRenderedPageBreak/>
        <w:t>b)</w:t>
      </w:r>
      <w:r>
        <w:rPr>
          <w:rFonts w:cs="Arial"/>
        </w:rPr>
        <w:tab/>
        <w:t>der Schutz der Privatsphäre und der Integrität des Einzelnen, insbesondere gemäß den Rechtsvorschriften der Gemeinschaft über den Schutz personenbezogener Daten.</w:t>
      </w:r>
    </w:p>
    <w:p>
      <w:pPr>
        <w:pStyle w:val="GesAbsatz"/>
        <w:rPr>
          <w:rFonts w:cs="Arial"/>
        </w:rPr>
      </w:pPr>
      <w:r>
        <w:rPr>
          <w:rFonts w:cs="Arial"/>
        </w:rPr>
        <w:t>(2) Die Organe verweigern den Zugang zu einem Dokument, durch dessen Verbreitung Folgendes beeinträchtigt würde:</w:t>
      </w:r>
    </w:p>
    <w:p>
      <w:pPr>
        <w:pStyle w:val="GesAbsatz"/>
        <w:ind w:left="426" w:hanging="426"/>
        <w:rPr>
          <w:rFonts w:cs="Arial"/>
        </w:rPr>
      </w:pPr>
      <w:r>
        <w:rPr>
          <w:rFonts w:cs="Arial"/>
        </w:rPr>
        <w:t>—</w:t>
      </w:r>
      <w:r>
        <w:rPr>
          <w:rFonts w:cs="Arial"/>
        </w:rPr>
        <w:tab/>
        <w:t>der Schutz der geschäftlichen Interessen einer natürlichen oder juristischen Person, einschließlich des geistigen Eigentums,</w:t>
      </w:r>
    </w:p>
    <w:p>
      <w:pPr>
        <w:pStyle w:val="GesAbsatz"/>
        <w:rPr>
          <w:rFonts w:cs="Arial"/>
        </w:rPr>
      </w:pPr>
      <w:r>
        <w:rPr>
          <w:rFonts w:cs="Arial"/>
        </w:rPr>
        <w:t>—</w:t>
      </w:r>
      <w:r>
        <w:rPr>
          <w:rFonts w:cs="Arial"/>
        </w:rPr>
        <w:tab/>
        <w:t>der Schutz von Gerichtsverfahren und der Rechtsberatung,</w:t>
      </w:r>
    </w:p>
    <w:p>
      <w:pPr>
        <w:pStyle w:val="GesAbsatz"/>
        <w:rPr>
          <w:rFonts w:cs="Arial"/>
        </w:rPr>
      </w:pPr>
      <w:r>
        <w:rPr>
          <w:rFonts w:cs="Arial"/>
        </w:rPr>
        <w:t>—</w:t>
      </w:r>
      <w:r>
        <w:rPr>
          <w:rFonts w:cs="Arial"/>
        </w:rPr>
        <w:tab/>
        <w:t>der Schutz des Zwecks von Inspektions-, Untersuchungs- und Audittätigkeiten,</w:t>
      </w:r>
    </w:p>
    <w:p>
      <w:pPr>
        <w:pStyle w:val="GesAbsatz"/>
        <w:rPr>
          <w:rFonts w:cs="Arial"/>
        </w:rPr>
      </w:pPr>
      <w:r>
        <w:rPr>
          <w:rFonts w:cs="Arial"/>
        </w:rPr>
        <w:t>es sei denn, es besteht ein überwiegendes öffentliches Interesse an der Verbreitung.</w:t>
      </w:r>
    </w:p>
    <w:p>
      <w:pPr>
        <w:pStyle w:val="GesAbsatz"/>
        <w:rPr>
          <w:rFonts w:cs="Arial"/>
        </w:rPr>
      </w:pPr>
      <w:r>
        <w:rPr>
          <w:rFonts w:cs="Arial"/>
        </w:rPr>
        <w:t>(3) Der Zugang zu einem Dokument, das von einem Organ für den internen Gebrauch erstellt wurde oder bei ihm eingegangen ist und das sich auf eine Angelegenheit bezieht, in der das Organ noch keinen Beschluss gefasst hat, wird verweigert, wenn eine Verbreitung des Dokuments den Entscheidungsprozess des Organs ernstlich beeinträchtigen würde, es sei denn, es besteht ein überwiegendes öffentliches Interesse an der Verbreitung.</w:t>
      </w:r>
    </w:p>
    <w:p>
      <w:pPr>
        <w:pStyle w:val="GesAbsatz"/>
        <w:rPr>
          <w:rFonts w:cs="Arial"/>
        </w:rPr>
      </w:pPr>
      <w:r>
        <w:rPr>
          <w:rFonts w:cs="Arial"/>
        </w:rPr>
        <w:t>Der Zugang zu einem Dokument mit Stellungnahmen zum internen Gebrauch im Rahmen von Beratungen und Vorgesprächen innerhalb des betreffenden Organs wird auch dann, wenn der Beschluss gefasst worden ist, verweigert, wenn die Verbreitung des Dokuments den Entscheidungsprozess des Organs ernstlich beeinträchtigen würde, es sei denn, es besteht ein überwiegendes öffentliches Interesse an der Verbreitung.</w:t>
      </w:r>
    </w:p>
    <w:p>
      <w:pPr>
        <w:pStyle w:val="GesAbsatz"/>
        <w:rPr>
          <w:rFonts w:cs="Arial"/>
        </w:rPr>
      </w:pPr>
      <w:r>
        <w:rPr>
          <w:rFonts w:cs="Arial"/>
        </w:rPr>
        <w:t>(4) Bezüglich Dokumente Dritter konsultiert das Organ diese, um zu beurteilen, ob eine der Ausnahmeregelungen der Absätze 1 oder 2 anwendbar ist, es sei denn, es ist klar, dass das Dokument verbreitet werden muss bzw. nicht verbreitet werden darf.</w:t>
      </w:r>
    </w:p>
    <w:p>
      <w:pPr>
        <w:pStyle w:val="GesAbsatz"/>
        <w:rPr>
          <w:rFonts w:cs="Arial"/>
        </w:rPr>
      </w:pPr>
      <w:r>
        <w:rPr>
          <w:rFonts w:cs="Arial"/>
        </w:rPr>
        <w:t>(5) Ein Mitgliedstaat kann das Organ ersuchen, ein aus diesem Mitgliedstaat stammendes Dokument nicht ohne seine vorherige Zustimmung zu verbreiten.</w:t>
      </w:r>
    </w:p>
    <w:p>
      <w:pPr>
        <w:pStyle w:val="GesAbsatz"/>
        <w:rPr>
          <w:rFonts w:cs="Arial"/>
        </w:rPr>
      </w:pPr>
      <w:r>
        <w:rPr>
          <w:rFonts w:cs="Arial"/>
        </w:rPr>
        <w:t>(6) Wenn nur Teile des angeforderten Dokuments einer der Ausnahmen unterliegen, werden die übrigen Teile des Dokuments freigegeben.</w:t>
      </w:r>
    </w:p>
    <w:p>
      <w:pPr>
        <w:pStyle w:val="GesAbsatz"/>
        <w:rPr>
          <w:rFonts w:cs="Arial"/>
        </w:rPr>
      </w:pPr>
      <w:r>
        <w:rPr>
          <w:rFonts w:cs="Arial"/>
        </w:rPr>
        <w:t>(7) Die Ausnahmen gemäß den Absätzen 1 bis 3 gelten nur für den Zeitraum, in dem der Schutz aufgrund des Inhalts des Dokuments gerechtfertigt ist. Die Ausnahmen gelten höchstens für einen Zeitraum von 30 Jahren. Im Falle von Dokumenten, die unter die Ausnahmeregelungen bezüglich der Privatsphäre oder der geschäftlichen Interessen fallen, und im Falle von sensiblen Dokumenten können die Ausnahmen erforderlichenfalls nach Ablauf dieses Zeitraums weiter Anwendung finden.</w:t>
      </w:r>
    </w:p>
    <w:p>
      <w:pPr>
        <w:pStyle w:val="berschrift2"/>
        <w:rPr>
          <w:bCs/>
        </w:rPr>
      </w:pPr>
      <w:bookmarkStart w:id="6" w:name="_Toc42567107"/>
      <w:r>
        <w:t>Artikel 5</w:t>
      </w:r>
      <w:r>
        <w:br/>
      </w:r>
      <w:r>
        <w:rPr>
          <w:bCs/>
        </w:rPr>
        <w:t>Dokumente in den Mitgliedstaaten</w:t>
      </w:r>
      <w:bookmarkEnd w:id="6"/>
    </w:p>
    <w:p>
      <w:pPr>
        <w:pStyle w:val="GesAbsatz"/>
        <w:rPr>
          <w:rFonts w:cs="Arial"/>
        </w:rPr>
      </w:pPr>
      <w:r>
        <w:rPr>
          <w:rFonts w:cs="Arial"/>
        </w:rPr>
        <w:t>Geht einem Mitgliedstaat ein Antrag auf ein in seinem Besitz befindliches Dokument zu, das von einem Organ stammt, so konsultiert der Mitgliedstaat — es sei denn, es ist klar, dass das Dokument verbreitet werden muss bzw. nicht verbreitet werden darf — das betreffende Organ, um eine Entscheidung zu treffen, die die Verwirklichung der Ziele dieser Verordnung nicht beeinträchtigt.</w:t>
      </w:r>
    </w:p>
    <w:p>
      <w:pPr>
        <w:pStyle w:val="GesAbsatz"/>
        <w:rPr>
          <w:rFonts w:cs="Arial"/>
        </w:rPr>
      </w:pPr>
      <w:r>
        <w:rPr>
          <w:rFonts w:cs="Arial"/>
        </w:rPr>
        <w:t>Der Mitgliedstaat kann den Antrag stattdessen an das Organ weiterleiten.</w:t>
      </w:r>
    </w:p>
    <w:p>
      <w:pPr>
        <w:pStyle w:val="berschrift2"/>
        <w:rPr>
          <w:bCs/>
        </w:rPr>
      </w:pPr>
      <w:bookmarkStart w:id="7" w:name="_Toc42567108"/>
      <w:r>
        <w:t>Artikel 6</w:t>
      </w:r>
      <w:r>
        <w:br/>
      </w:r>
      <w:r>
        <w:rPr>
          <w:bCs/>
        </w:rPr>
        <w:t>Anträge</w:t>
      </w:r>
      <w:bookmarkEnd w:id="7"/>
    </w:p>
    <w:p>
      <w:pPr>
        <w:pStyle w:val="GesAbsatz"/>
        <w:rPr>
          <w:rFonts w:cs="Arial"/>
        </w:rPr>
      </w:pPr>
      <w:r>
        <w:rPr>
          <w:rFonts w:cs="Arial"/>
        </w:rPr>
        <w:t>(1) Anträge auf Zugang zu einem Dokument sind in schriftlicher, einschließlich elektronischer, Form in einer der in Artikel 314 des EG-Vertrags aufgeführten Sprachen zu stellen und müssen so präzise formuliert sein, dass das Organ das betreffende Dokument ermitteln kann. Der Antragsteller ist nicht verpflichtet, Gründe für seinen Antrag anzugeben.</w:t>
      </w:r>
    </w:p>
    <w:p>
      <w:pPr>
        <w:pStyle w:val="GesAbsatz"/>
        <w:rPr>
          <w:rFonts w:cs="Arial"/>
        </w:rPr>
      </w:pPr>
      <w:r>
        <w:rPr>
          <w:rFonts w:cs="Arial"/>
        </w:rPr>
        <w:t>(2) Ist ein Antrag nicht hinreichend präzise, fordert das Organ den Antragsteller auf, den Antrag zu präzisieren, und leistet ihm dabei Hilfe, beispielsweise durch Informationen über die Nutzung der öffentlichen Dokumentenregister.</w:t>
      </w:r>
    </w:p>
    <w:p>
      <w:pPr>
        <w:pStyle w:val="GesAbsatz"/>
        <w:rPr>
          <w:rFonts w:cs="Arial"/>
        </w:rPr>
      </w:pPr>
      <w:r>
        <w:rPr>
          <w:rFonts w:cs="Arial"/>
        </w:rPr>
        <w:t>(3) Betrifft ein Antrag ein sehr umfangreiches Dokument oder eine sehr große Zahl von Dokumenten, so kann sich das Organ mit dem Antragsteller informell beraten, um eine angemessene Lösung zu finden.</w:t>
      </w:r>
    </w:p>
    <w:p>
      <w:pPr>
        <w:pStyle w:val="GesAbsatz"/>
        <w:rPr>
          <w:rFonts w:cs="Arial"/>
        </w:rPr>
      </w:pPr>
      <w:r>
        <w:rPr>
          <w:rFonts w:cs="Arial"/>
        </w:rPr>
        <w:t>(4) Die Organe informieren die Bürger darüber, wie und wo Anträge auf Zugang zu Dokumenten gestellt werden können, und leisten ihnen dabei Hilfe.</w:t>
      </w:r>
    </w:p>
    <w:p>
      <w:pPr>
        <w:pStyle w:val="berschrift2"/>
      </w:pPr>
      <w:bookmarkStart w:id="8" w:name="_Toc42567109"/>
      <w:r>
        <w:lastRenderedPageBreak/>
        <w:t>Artikel 7</w:t>
      </w:r>
      <w:r>
        <w:br/>
        <w:t>Behandlung von Erstanträgen</w:t>
      </w:r>
      <w:bookmarkEnd w:id="8"/>
    </w:p>
    <w:p>
      <w:pPr>
        <w:pStyle w:val="GesAbsatz"/>
        <w:rPr>
          <w:rFonts w:cs="Arial"/>
        </w:rPr>
      </w:pPr>
      <w:r>
        <w:rPr>
          <w:rFonts w:cs="Arial"/>
        </w:rPr>
        <w:t>(1) Ein Antrag auf Zugang zu einem Dokument wird unverzüglich bearbeitet. Dem Antragsteller wird eine Empfangsbescheinigung zugesandt. Binnen fünfzehn Arbeitstagen nach Registrierung des Antrags gewährt das Organ entweder Zugang zu dem angeforderten Dokument und macht es innerhalb dieses Zeitraums gemäß Artikel 10 zugänglich oder informiert den Antragsteller schriftlich über die Gründe für die vollständige oder teilweise Ablehnung und über dessen Recht, gemäß Absatz 2 dieses Artikels einen Zweitantrag zu stellen.</w:t>
      </w:r>
    </w:p>
    <w:p>
      <w:pPr>
        <w:pStyle w:val="GesAbsatz"/>
        <w:rPr>
          <w:rFonts w:cs="Arial"/>
        </w:rPr>
      </w:pPr>
      <w:r>
        <w:rPr>
          <w:rFonts w:cs="Arial"/>
        </w:rPr>
        <w:t>(2) Im Fall einer vollständigen oder teilweisen Ablehnung kann der Antragsteller binnen fünfzehn Arbeitstagen nach Eingang des Antwortschreibens des Organs einen Zweitantrag an das Organ richten und es um eine Überprüfung seines Standpunkts ersuchen.</w:t>
      </w:r>
    </w:p>
    <w:p>
      <w:pPr>
        <w:pStyle w:val="GesAbsatz"/>
        <w:rPr>
          <w:rFonts w:cs="Arial"/>
        </w:rPr>
      </w:pPr>
      <w:r>
        <w:rPr>
          <w:rFonts w:cs="Arial"/>
        </w:rPr>
        <w:t>(3) In Ausnahmefällen, beispielsweise bei einem Antrag auf Zugang zu einem sehr umfangreichen Dokument oder zu einer sehr großen Zahl von Dokumenten, kann die in Absatz 1 vorgesehene Frist um fünfzehn Arbeitstage verlängert werden, sofern der Antragsteller vorab informiert wird und eine ausführliche Begründung erhält.</w:t>
      </w:r>
    </w:p>
    <w:p>
      <w:pPr>
        <w:pStyle w:val="GesAbsatz"/>
        <w:rPr>
          <w:rFonts w:cs="Arial"/>
        </w:rPr>
      </w:pPr>
      <w:r>
        <w:rPr>
          <w:rFonts w:cs="Arial"/>
        </w:rPr>
        <w:t>(4) Antwortet das Organ nicht innerhalb der vorgeschriebenen Frist, so hat der Antragsteller das Recht, einen Zweitantrag einzureichen.</w:t>
      </w:r>
    </w:p>
    <w:p>
      <w:pPr>
        <w:pStyle w:val="berschrift2"/>
      </w:pPr>
      <w:bookmarkStart w:id="9" w:name="_Toc42567110"/>
      <w:r>
        <w:t>Artikel 8</w:t>
      </w:r>
      <w:r>
        <w:br/>
        <w:t>Behandlung von Zweitanträgen</w:t>
      </w:r>
      <w:bookmarkEnd w:id="9"/>
    </w:p>
    <w:p>
      <w:pPr>
        <w:pStyle w:val="GesAbsatz"/>
        <w:rPr>
          <w:rFonts w:cs="Arial"/>
        </w:rPr>
      </w:pPr>
      <w:r>
        <w:rPr>
          <w:rFonts w:cs="Arial"/>
        </w:rPr>
        <w:t>(1) Ein Zweitantrag ist unverzüglich zu bearbeiten. Binnen fünfzehn Arbeitstagen nach Registrierung eines solchen Antrags gewährt das Organ entweder Zugang zu dem angeforderten Dokument und macht es innerhalb dieses Zeitraums gemäß Artikel 10 zugänglich oder teilt schriftlich die Gründe für die vollständige oder teilweise Ablehnung mit. Verweigert das Organ den Zugang vollständig oder teilweise, so unterrichtet es den Antragsteller über mögliche Rechtsbehelfe, das heißt, Erhebung einer Klage gegen das Organ und/oder Einlegen einer Beschwerde beim Bürgerbeauftragten nach Maßgabe der Artikel 230 bzw. 195 des EG-Vertrags.</w:t>
      </w:r>
    </w:p>
    <w:p>
      <w:pPr>
        <w:pStyle w:val="GesAbsatz"/>
        <w:rPr>
          <w:rFonts w:cs="Arial"/>
        </w:rPr>
      </w:pPr>
      <w:r>
        <w:rPr>
          <w:rFonts w:cs="Arial"/>
        </w:rPr>
        <w:t>(2) In Ausnahmefällen, beispielsweise bei einem Antrag auf Zugang zu einem sehr umfangreichen Dokument oder zu einer sehr großen Zahl von Dokumenten, kann die in Absatz 1 vorgesehene Frist um fünfzehn Arbeitstage verlängert werden, sofern der Antragsteller vorab informiert wird und eine ausführliche Begründung erhält.</w:t>
      </w:r>
    </w:p>
    <w:p>
      <w:pPr>
        <w:pStyle w:val="GesAbsatz"/>
        <w:rPr>
          <w:rFonts w:cs="Arial"/>
        </w:rPr>
      </w:pPr>
      <w:r>
        <w:rPr>
          <w:rFonts w:cs="Arial"/>
        </w:rPr>
        <w:t>(3) Antwortet das Organ nicht innerhalb der vorgeschriebenen Frist, gilt dies als abschlägiger Bescheid und berechtigt den Antragsteller, nach Maßgabe der einschlägigen Bestimmungen des EG-Vertrags Klage gegen das Organ zu erheben und/oder Beschwerde beim Bürgerbeauftragten einzulegen.</w:t>
      </w:r>
    </w:p>
    <w:p>
      <w:pPr>
        <w:pStyle w:val="berschrift2"/>
      </w:pPr>
      <w:bookmarkStart w:id="10" w:name="_Toc42567111"/>
      <w:r>
        <w:t>Artikel 9</w:t>
      </w:r>
      <w:r>
        <w:br/>
        <w:t>Behandlung sensibler Dokumente</w:t>
      </w:r>
      <w:bookmarkEnd w:id="10"/>
    </w:p>
    <w:p>
      <w:pPr>
        <w:pStyle w:val="GesAbsatz"/>
        <w:rPr>
          <w:rFonts w:cs="Arial"/>
        </w:rPr>
      </w:pPr>
      <w:r>
        <w:rPr>
          <w:rFonts w:cs="Arial"/>
        </w:rPr>
        <w:t xml:space="preserve">(1) Sensible Dokumente sind Dokumente, die von den Organen, den von diesen geschaffenen Einrichtungen, von den Mitgliedstaaten, Drittländern oder internationalen Organisationen stammen und gemäß den Bestimmungen der betreffenden Organe zum Schutz grundlegender Interessen der Europäischen Union oder eines oder mehrerer Mitgliedstaaten in den in Artikel 4 Absatz 1 Buchstabe a) genannten Bereichen, insbesondere öffentliche Sicherheit, Verteidigung und militärische Belange, als </w:t>
      </w:r>
      <w:r>
        <w:rPr>
          <w:rFonts w:cs="Arial"/>
          <w:szCs w:val="17"/>
        </w:rPr>
        <w:t>„TRÈS SECRET/TOP SECRET“</w:t>
      </w:r>
      <w:r>
        <w:rPr>
          <w:rFonts w:cs="Arial"/>
        </w:rPr>
        <w:t xml:space="preserve">, </w:t>
      </w:r>
      <w:r>
        <w:rPr>
          <w:rFonts w:cs="Arial"/>
          <w:szCs w:val="17"/>
        </w:rPr>
        <w:t xml:space="preserve">„SECRET“ </w:t>
      </w:r>
      <w:r>
        <w:rPr>
          <w:rFonts w:cs="Arial"/>
        </w:rPr>
        <w:t xml:space="preserve">oder </w:t>
      </w:r>
      <w:r>
        <w:rPr>
          <w:rFonts w:cs="Arial"/>
          <w:szCs w:val="17"/>
        </w:rPr>
        <w:t xml:space="preserve">„CONFIDENTIEL“ </w:t>
      </w:r>
      <w:r>
        <w:rPr>
          <w:rFonts w:cs="Arial"/>
        </w:rPr>
        <w:t>eingestuft sind.</w:t>
      </w:r>
    </w:p>
    <w:p>
      <w:pPr>
        <w:pStyle w:val="GesAbsatz"/>
        <w:rPr>
          <w:rFonts w:cs="Arial"/>
        </w:rPr>
      </w:pPr>
      <w:r>
        <w:rPr>
          <w:rFonts w:cs="Arial"/>
        </w:rPr>
        <w:t>(2) Anträge auf Zugang zu sensiblen Dokumenten im Rahmen der Verfahren der Artikel 7 und 8 werden ausschließlich von Personen bearbeitet, die berechtigt sind, Einblick in diese Dokumente zu nehmen. Unbeschadet des Artikels 11 Absatz 2 entscheiden diese Personen außerdem darüber, welche Hinweise auf sensible Dokumente in das öffentliche Register aufgenommen werden können.</w:t>
      </w:r>
    </w:p>
    <w:p>
      <w:pPr>
        <w:pStyle w:val="GesAbsatz"/>
        <w:rPr>
          <w:rFonts w:cs="Arial"/>
        </w:rPr>
      </w:pPr>
      <w:r>
        <w:rPr>
          <w:rFonts w:cs="Arial"/>
        </w:rPr>
        <w:t>(3) Sensible Dokumente werden nur mit Zustimmung des Urhebers im Register aufgeführt oder freigegeben.</w:t>
      </w:r>
    </w:p>
    <w:p>
      <w:pPr>
        <w:pStyle w:val="GesAbsatz"/>
        <w:rPr>
          <w:rFonts w:cs="Arial"/>
        </w:rPr>
      </w:pPr>
      <w:r>
        <w:rPr>
          <w:rFonts w:cs="Arial"/>
        </w:rPr>
        <w:t>(4) Die Entscheidung eines Organs über die Verweigerung des Zugangs zu einem sensiblen Dokument ist so zu begründen, dass die durch Artikel 4 geschützten Interessen nicht beeinträchtigt werden.</w:t>
      </w:r>
    </w:p>
    <w:p>
      <w:pPr>
        <w:pStyle w:val="GesAbsatz"/>
        <w:rPr>
          <w:rFonts w:cs="Arial"/>
        </w:rPr>
      </w:pPr>
      <w:r>
        <w:rPr>
          <w:rFonts w:cs="Arial"/>
        </w:rPr>
        <w:t>(5) Die Mitgliedstaaten ergreifen geeignete Maßnahmen, um zu gewährleisten, dass bei der Bearbeitung von Anträgen auf Zugang zu sensiblen Dokumenten die in diesem Artikel und in Artikel 4 vorgesehenen Grundsätze beachtet werden.</w:t>
      </w:r>
    </w:p>
    <w:p>
      <w:pPr>
        <w:pStyle w:val="GesAbsatz"/>
        <w:rPr>
          <w:rFonts w:cs="Arial"/>
        </w:rPr>
      </w:pPr>
      <w:r>
        <w:rPr>
          <w:rFonts w:cs="Arial"/>
        </w:rPr>
        <w:t>(6) Die Bestimmungen der Organe über sensible Dokumente werden öffentlich gemacht.</w:t>
      </w:r>
    </w:p>
    <w:p>
      <w:pPr>
        <w:pStyle w:val="GesAbsatz"/>
        <w:rPr>
          <w:rFonts w:cs="Arial"/>
        </w:rPr>
      </w:pPr>
      <w:r>
        <w:rPr>
          <w:rFonts w:cs="Arial"/>
        </w:rPr>
        <w:t>(7) Die Kommission und der Rat unterrichten das Europäische Parlament hinsichtlich sensibler Dokumente gemäß den zwischen den Organen vereinbarten Regelungen.</w:t>
      </w:r>
    </w:p>
    <w:p>
      <w:pPr>
        <w:pStyle w:val="berschrift2"/>
      </w:pPr>
      <w:bookmarkStart w:id="11" w:name="_Toc42567112"/>
      <w:r>
        <w:lastRenderedPageBreak/>
        <w:t>Artikel 10</w:t>
      </w:r>
      <w:r>
        <w:br/>
        <w:t>Zugang im Anschluss an einen Antrag</w:t>
      </w:r>
      <w:bookmarkEnd w:id="11"/>
    </w:p>
    <w:p>
      <w:pPr>
        <w:pStyle w:val="GesAbsatz"/>
        <w:rPr>
          <w:rFonts w:cs="Arial"/>
        </w:rPr>
      </w:pPr>
      <w:r>
        <w:rPr>
          <w:rFonts w:cs="Arial"/>
        </w:rPr>
        <w:t>(1) Der Zugang zu den Dokumenten erfolgt je nach Wunsch des Antragstellers entweder durch Einsichtnahme vor Ort oder durch Bereitstellung einer Kopie, gegebenenfalls in elektronischer Form. Die Kosten für die Anfertigung und Übersendung von Kopien können dem Antragsteller in Rechnung gestellt werden. Diese Kosten dürfen die tatsächlichen Kosten für die Anfertigung und Übersendung der Kopien nicht überschreiten. Die Einsichtnahme vor Ort, Kopien von weniger als 20 DIN-A4-Seiten und der direkte Zugang in elektronischer Form oder über das Register sind kostenlos.</w:t>
      </w:r>
    </w:p>
    <w:p>
      <w:pPr>
        <w:pStyle w:val="GesAbsatz"/>
        <w:rPr>
          <w:rFonts w:cs="Arial"/>
        </w:rPr>
      </w:pPr>
      <w:r>
        <w:rPr>
          <w:rFonts w:cs="Arial"/>
        </w:rPr>
        <w:t>(2) Ist ein Dokument bereits von dem betreffenden Organ freigegeben worden und für den Antragsteller problemlos zugänglich, kann das Organ seiner Verpflichtung zur Gewährung des Zugangs zu Dokumenten nachkommen, indem es den Antragsteller darüber informiert, wie er das angeforderte Dokument erhalten kann.</w:t>
      </w:r>
    </w:p>
    <w:p>
      <w:pPr>
        <w:pStyle w:val="GesAbsatz"/>
        <w:rPr>
          <w:rFonts w:cs="Arial"/>
        </w:rPr>
      </w:pPr>
      <w:r>
        <w:rPr>
          <w:rFonts w:cs="Arial"/>
        </w:rPr>
        <w:t>(3) Die Dokumente werden in einer vorliegenden Fassung und Form (einschließlich einer elektronischen oder anderen Form, beispielsweise Braille-Schrift, Großdruck oder Bandaufnahme) zur Verfügung gestellt, wobei die Wünsche des Antragstellers vollständig berücksichtigt werden.</w:t>
      </w:r>
    </w:p>
    <w:p>
      <w:pPr>
        <w:pStyle w:val="berschrift2"/>
        <w:rPr>
          <w:rFonts w:cs="Arial"/>
          <w:bCs/>
        </w:rPr>
      </w:pPr>
      <w:bookmarkStart w:id="12" w:name="_Toc42567113"/>
      <w:r>
        <w:t>Artikel 11</w:t>
      </w:r>
      <w:r>
        <w:br/>
      </w:r>
      <w:r>
        <w:rPr>
          <w:rFonts w:cs="Arial"/>
          <w:bCs/>
        </w:rPr>
        <w:t>Register</w:t>
      </w:r>
      <w:bookmarkEnd w:id="12"/>
    </w:p>
    <w:p>
      <w:pPr>
        <w:pStyle w:val="GesAbsatz"/>
        <w:rPr>
          <w:rFonts w:cs="Arial"/>
        </w:rPr>
      </w:pPr>
      <w:r>
        <w:rPr>
          <w:rFonts w:cs="Arial"/>
        </w:rPr>
        <w:t>(1) Im Hinblick auf die wirksame Ausübung der Rechte aus dieser Verordnung durch die Bürger macht jedes Organ ein Dokumentenregister öffentlich zugänglich. Der Zugang zum Register sollte in elektronischer Form gewährt werden. Hinweise auf Dokumente werden unverzüglich in das Register aufgenommen.</w:t>
      </w:r>
    </w:p>
    <w:p>
      <w:pPr>
        <w:pStyle w:val="GesAbsatz"/>
        <w:rPr>
          <w:rFonts w:cs="Arial"/>
        </w:rPr>
      </w:pPr>
      <w:r>
        <w:rPr>
          <w:rFonts w:cs="Arial"/>
        </w:rPr>
        <w:t>(2) Das Register enthält für jedes Dokument eine Bezugsnummer (gegebenenfalls einschließlich der interinstitutionellen Bezugsnummer), den Gegenstand und/oder eine kurze Beschreibung des Inhalts des Dokuments sowie das Datum des Eingangs oder der Erstellung und der Aufnahme in das Register. Die Hinweise sind so abzufassen, dass der Schutz der in Artikel 4 aufgeführten Interessen nicht beeinträchtigt wird.</w:t>
      </w:r>
    </w:p>
    <w:p>
      <w:pPr>
        <w:pStyle w:val="GesAbsatz"/>
        <w:rPr>
          <w:rFonts w:cs="Arial"/>
        </w:rPr>
      </w:pPr>
      <w:r>
        <w:rPr>
          <w:rFonts w:cs="Arial"/>
        </w:rPr>
        <w:t>(3) Die Organe ergreifen unverzüglich die erforderlichen Maßnahmen zur Einrichtung eines Registers, das spätestens zum 3. Juni 2002 funktionsfähig ist.</w:t>
      </w:r>
    </w:p>
    <w:p>
      <w:pPr>
        <w:pStyle w:val="berschrift2"/>
        <w:rPr>
          <w:rFonts w:cs="Arial"/>
          <w:bCs/>
        </w:rPr>
      </w:pPr>
      <w:bookmarkStart w:id="13" w:name="_Toc42567114"/>
      <w:r>
        <w:t>Artikel 12</w:t>
      </w:r>
      <w:r>
        <w:br/>
        <w:t xml:space="preserve">Direkter Zugang in elektronischer Form oder über ein </w:t>
      </w:r>
      <w:r>
        <w:rPr>
          <w:rFonts w:cs="Arial"/>
          <w:bCs/>
        </w:rPr>
        <w:t>Register</w:t>
      </w:r>
      <w:bookmarkEnd w:id="13"/>
    </w:p>
    <w:p>
      <w:pPr>
        <w:pStyle w:val="GesAbsatz"/>
        <w:rPr>
          <w:rFonts w:cs="Arial"/>
        </w:rPr>
      </w:pPr>
      <w:r>
        <w:rPr>
          <w:rFonts w:cs="Arial"/>
        </w:rPr>
        <w:t>(1) Die Organe machen, soweit möglich, die Dokumente direkt in elektronischer Form oder über ein Register gemäß den Bestimmungen des betreffenden Organs öffentlich zugänglich.</w:t>
      </w:r>
    </w:p>
    <w:p>
      <w:pPr>
        <w:pStyle w:val="GesAbsatz"/>
        <w:rPr>
          <w:rFonts w:cs="Arial"/>
        </w:rPr>
      </w:pPr>
      <w:r>
        <w:rPr>
          <w:rFonts w:cs="Arial"/>
        </w:rPr>
        <w:t>(2) Insbesondere legislative Dokumente, d. h. Dokumente, die im Laufe der Verfahren zur Annahme von Rechtsakten, die in den oder für die Mitgliedstaaten rechtlich bindend sind, erstellt wurden oder eingegangen sind, sollten vorbehaltlich der Artikel 4 und 9 direkt zugänglich gemacht werden.</w:t>
      </w:r>
    </w:p>
    <w:p>
      <w:pPr>
        <w:pStyle w:val="GesAbsatz"/>
        <w:rPr>
          <w:rFonts w:cs="Arial"/>
        </w:rPr>
      </w:pPr>
      <w:r>
        <w:rPr>
          <w:rFonts w:cs="Arial"/>
        </w:rPr>
        <w:t>(3) Andere Dokumente, insbesondere Dokumente in Verbindung mit der Entwicklung von Politiken oder Strategien, sollten soweit möglich direkt zugänglich gemacht werden.</w:t>
      </w:r>
    </w:p>
    <w:p>
      <w:pPr>
        <w:pStyle w:val="GesAbsatz"/>
        <w:rPr>
          <w:rFonts w:cs="Arial"/>
        </w:rPr>
      </w:pPr>
      <w:r>
        <w:rPr>
          <w:rFonts w:cs="Arial"/>
        </w:rPr>
        <w:t>(4) Wird der direkte Zugang nicht über das Register gewährt, wird im Register möglichst genau angegeben, wo das Dokument aufzufinden ist.</w:t>
      </w:r>
    </w:p>
    <w:p>
      <w:pPr>
        <w:pStyle w:val="berschrift2"/>
        <w:rPr>
          <w:bCs/>
        </w:rPr>
      </w:pPr>
      <w:bookmarkStart w:id="14" w:name="_Toc42567115"/>
      <w:r>
        <w:t>Artikel 13</w:t>
      </w:r>
      <w:r>
        <w:br/>
      </w:r>
      <w:r>
        <w:rPr>
          <w:bCs/>
        </w:rPr>
        <w:t>Veröffentlichung von Dokumenten im Amtsblatt</w:t>
      </w:r>
      <w:bookmarkEnd w:id="14"/>
    </w:p>
    <w:p>
      <w:pPr>
        <w:pStyle w:val="GesAbsatz"/>
        <w:rPr>
          <w:rFonts w:cs="Arial"/>
        </w:rPr>
      </w:pPr>
      <w:r>
        <w:rPr>
          <w:rFonts w:cs="Arial"/>
        </w:rPr>
        <w:t>(1) Neben den Rechtsakten, auf die in Artikel 254 Absätze 1 und 2 des EG-Vertrags und Artikel 163 Absatz 1 des Euratom-Vertrags Bezug genommen wird, werden vorbehaltlich der Artikel 4 und 9 der vorliegenden Verordnung folgende Dokumente im Amtsblatt veröffentlicht:</w:t>
      </w:r>
    </w:p>
    <w:p>
      <w:pPr>
        <w:pStyle w:val="GesAbsatz"/>
        <w:rPr>
          <w:rFonts w:cs="Arial"/>
        </w:rPr>
      </w:pPr>
      <w:r>
        <w:rPr>
          <w:rFonts w:cs="Arial"/>
        </w:rPr>
        <w:t>a)</w:t>
      </w:r>
      <w:r>
        <w:rPr>
          <w:rFonts w:cs="Arial"/>
        </w:rPr>
        <w:tab/>
        <w:t>Vorschläge der Kommission;</w:t>
      </w:r>
    </w:p>
    <w:p>
      <w:pPr>
        <w:pStyle w:val="GesAbsatz"/>
        <w:ind w:left="426" w:hanging="426"/>
        <w:rPr>
          <w:rFonts w:cs="Arial"/>
        </w:rPr>
      </w:pPr>
      <w:r>
        <w:rPr>
          <w:rFonts w:cs="Arial"/>
        </w:rPr>
        <w:t>b)</w:t>
      </w:r>
      <w:r>
        <w:rPr>
          <w:rFonts w:cs="Arial"/>
        </w:rPr>
        <w:tab/>
        <w:t>Gemeinsame Standpunkte des Rates gemäß den in den Artikeln 251 und 252 des EG-Vertrags genannten Verfahren und ihre Begründung sowie die Standpunkte des Europäischen Parlaments in diesen Verfahren;</w:t>
      </w:r>
    </w:p>
    <w:p>
      <w:pPr>
        <w:pStyle w:val="GesAbsatz"/>
        <w:rPr>
          <w:rFonts w:cs="Arial"/>
        </w:rPr>
      </w:pPr>
      <w:r>
        <w:rPr>
          <w:rFonts w:cs="Arial"/>
        </w:rPr>
        <w:t>c)</w:t>
      </w:r>
      <w:r>
        <w:rPr>
          <w:rFonts w:cs="Arial"/>
        </w:rPr>
        <w:tab/>
        <w:t>Rahmenbeschlüsse und Beschlüsse im Sinne des Artikels 34 Absatz 2 des EU-Vertrags;</w:t>
      </w:r>
    </w:p>
    <w:p>
      <w:pPr>
        <w:pStyle w:val="GesAbsatz"/>
        <w:rPr>
          <w:rFonts w:cs="Arial"/>
        </w:rPr>
      </w:pPr>
      <w:r>
        <w:rPr>
          <w:rFonts w:cs="Arial"/>
        </w:rPr>
        <w:t>d)</w:t>
      </w:r>
      <w:r>
        <w:rPr>
          <w:rFonts w:cs="Arial"/>
        </w:rPr>
        <w:tab/>
        <w:t>vom Rat aufgrund des Artikels 34 Absatz 2 des EU-Vertrags erstellte Übereinkommen;</w:t>
      </w:r>
    </w:p>
    <w:p>
      <w:pPr>
        <w:pStyle w:val="GesAbsatz"/>
        <w:rPr>
          <w:rFonts w:cs="Arial"/>
        </w:rPr>
      </w:pPr>
      <w:r>
        <w:rPr>
          <w:rFonts w:cs="Arial"/>
        </w:rPr>
        <w:t>e)</w:t>
      </w:r>
      <w:r>
        <w:rPr>
          <w:rFonts w:cs="Arial"/>
        </w:rPr>
        <w:tab/>
        <w:t>zwischen den Mitgliedstaaten gemäß Artikel 293 des EG-Vertrags unterzeichnete Übereinkommen;</w:t>
      </w:r>
    </w:p>
    <w:p>
      <w:pPr>
        <w:pStyle w:val="GesAbsatz"/>
        <w:ind w:left="426" w:hanging="426"/>
        <w:rPr>
          <w:rFonts w:cs="Arial"/>
        </w:rPr>
      </w:pPr>
      <w:r>
        <w:rPr>
          <w:rFonts w:cs="Arial"/>
        </w:rPr>
        <w:t>f)</w:t>
      </w:r>
      <w:r>
        <w:rPr>
          <w:rFonts w:cs="Arial"/>
        </w:rPr>
        <w:tab/>
        <w:t>von der Gemeinschaft oder gemäß Artikel 24 des EU-Vertrags geschlossene internationale Übereinkünfte.</w:t>
      </w:r>
    </w:p>
    <w:p>
      <w:pPr>
        <w:pStyle w:val="GesAbsatz"/>
        <w:rPr>
          <w:rFonts w:cs="Arial"/>
        </w:rPr>
      </w:pPr>
      <w:r>
        <w:rPr>
          <w:rFonts w:cs="Arial"/>
        </w:rPr>
        <w:lastRenderedPageBreak/>
        <w:t>(2) Folgende Dokumente werden, soweit möglich, im Amtsblatt veröffentlicht:</w:t>
      </w:r>
    </w:p>
    <w:p>
      <w:pPr>
        <w:pStyle w:val="GesAbsatz"/>
        <w:ind w:left="426" w:hanging="426"/>
        <w:rPr>
          <w:rFonts w:cs="Arial"/>
        </w:rPr>
      </w:pPr>
      <w:r>
        <w:rPr>
          <w:rFonts w:cs="Arial"/>
        </w:rPr>
        <w:t>a)</w:t>
      </w:r>
      <w:r>
        <w:rPr>
          <w:rFonts w:cs="Arial"/>
        </w:rPr>
        <w:tab/>
        <w:t>dem Rat von einem Mitgliedstaat gemäß Artikel 67 Absatz 1 des EG-Vertrags oder Artikel 34 Absatz 2 des EU-Vertrags unterbreitete Initiativen;</w:t>
      </w:r>
    </w:p>
    <w:p>
      <w:pPr>
        <w:pStyle w:val="GesAbsatz"/>
        <w:rPr>
          <w:rFonts w:cs="Arial"/>
        </w:rPr>
      </w:pPr>
      <w:r>
        <w:rPr>
          <w:rFonts w:cs="Arial"/>
        </w:rPr>
        <w:t>b)</w:t>
      </w:r>
      <w:r>
        <w:rPr>
          <w:rFonts w:cs="Arial"/>
        </w:rPr>
        <w:tab/>
        <w:t>Gemeinsame Standpunkte im Sinne des Artikels 34 Absatz 2 des EU-Vertrags;</w:t>
      </w:r>
    </w:p>
    <w:p>
      <w:pPr>
        <w:pStyle w:val="GesAbsatz"/>
        <w:ind w:left="426" w:hanging="426"/>
        <w:rPr>
          <w:rFonts w:cs="Arial"/>
        </w:rPr>
      </w:pPr>
      <w:r>
        <w:rPr>
          <w:rFonts w:cs="Arial"/>
        </w:rPr>
        <w:t>c)</w:t>
      </w:r>
      <w:r>
        <w:rPr>
          <w:rFonts w:cs="Arial"/>
        </w:rPr>
        <w:tab/>
        <w:t>Richtlinien, die nicht unter Artikel 254 Absätze 1 und 2 des EG-Vertrags fallen, Entscheidungen, die nicht unter Artikel 254 Absatz 1 des EG-Vertrags fallen, sowie Empfehlungen und Stellungnahmen.</w:t>
      </w:r>
    </w:p>
    <w:p>
      <w:pPr>
        <w:pStyle w:val="GesAbsatz"/>
        <w:rPr>
          <w:rFonts w:cs="Arial"/>
        </w:rPr>
      </w:pPr>
      <w:r>
        <w:rPr>
          <w:rFonts w:cs="Arial"/>
        </w:rPr>
        <w:t>(3) Jedes Organ kann in seiner Geschäftsordnung festlegen, welche weiteren Dokumente im Amtsblatt veröffentlicht werden.</w:t>
      </w:r>
    </w:p>
    <w:p>
      <w:pPr>
        <w:pStyle w:val="berschrift2"/>
        <w:rPr>
          <w:bCs/>
        </w:rPr>
      </w:pPr>
      <w:bookmarkStart w:id="15" w:name="_Toc42567116"/>
      <w:r>
        <w:t>Artikel 14</w:t>
      </w:r>
      <w:r>
        <w:br/>
      </w:r>
      <w:r>
        <w:rPr>
          <w:bCs/>
        </w:rPr>
        <w:t>Information</w:t>
      </w:r>
      <w:bookmarkEnd w:id="15"/>
    </w:p>
    <w:p>
      <w:pPr>
        <w:pStyle w:val="GesAbsatz"/>
        <w:rPr>
          <w:rFonts w:cs="Arial"/>
        </w:rPr>
      </w:pPr>
      <w:r>
        <w:rPr>
          <w:rFonts w:cs="Arial"/>
        </w:rPr>
        <w:t>(1) Jedes Organ ergreift die notwendigen Maßnahmen, um die Öffentlichkeit über die Rechte zu informieren, die sie gemäß dieser Verordnung hat.</w:t>
      </w:r>
    </w:p>
    <w:p>
      <w:pPr>
        <w:pStyle w:val="GesAbsatz"/>
        <w:rPr>
          <w:rFonts w:cs="Arial"/>
        </w:rPr>
      </w:pPr>
      <w:r>
        <w:rPr>
          <w:rFonts w:cs="Arial"/>
        </w:rPr>
        <w:t>(2) Die Mitgliedstaaten arbeiten mit den Organen bei der Bereitstellung von Informationen für die Bürger zusammen.</w:t>
      </w:r>
    </w:p>
    <w:p>
      <w:pPr>
        <w:pStyle w:val="berschrift2"/>
        <w:rPr>
          <w:bCs/>
        </w:rPr>
      </w:pPr>
      <w:bookmarkStart w:id="16" w:name="_Toc42567117"/>
      <w:r>
        <w:t>Artikel 15</w:t>
      </w:r>
      <w:r>
        <w:br/>
      </w:r>
      <w:r>
        <w:rPr>
          <w:bCs/>
        </w:rPr>
        <w:t>Verwaltungspraxis in den Organen</w:t>
      </w:r>
      <w:bookmarkEnd w:id="16"/>
    </w:p>
    <w:p>
      <w:pPr>
        <w:pStyle w:val="GesAbsatz"/>
        <w:rPr>
          <w:rFonts w:cs="Arial"/>
        </w:rPr>
      </w:pPr>
      <w:r>
        <w:rPr>
          <w:rFonts w:cs="Arial"/>
        </w:rPr>
        <w:t>(1) Die Organe entwickeln eine gute Verwaltungspraxis, um die Ausübung des durch diese Verordnung gewährleisteten Rechts auf Zugang zu Dokumenten zu erleichtern.</w:t>
      </w:r>
    </w:p>
    <w:p>
      <w:pPr>
        <w:pStyle w:val="GesAbsatz"/>
        <w:rPr>
          <w:rFonts w:cs="Arial"/>
        </w:rPr>
      </w:pPr>
      <w:r>
        <w:rPr>
          <w:rFonts w:cs="Arial"/>
        </w:rPr>
        <w:t>(2) Die Organe errichten einen interinstitutionellen Ausschuss, der bewährte Praktiken prüft, mögliche Konflikte behandelt und künftige Entwicklungen im Bereich des Zugangs der Öffentlichkeit zu Dokumenten erörtert.</w:t>
      </w:r>
    </w:p>
    <w:p>
      <w:pPr>
        <w:pStyle w:val="berschrift2"/>
        <w:rPr>
          <w:bCs/>
        </w:rPr>
      </w:pPr>
      <w:bookmarkStart w:id="17" w:name="_Toc42567118"/>
      <w:r>
        <w:t>Artikel 16</w:t>
      </w:r>
      <w:r>
        <w:br/>
      </w:r>
      <w:r>
        <w:rPr>
          <w:bCs/>
        </w:rPr>
        <w:t>Vervielfältigung von Dokumenten</w:t>
      </w:r>
      <w:bookmarkEnd w:id="17"/>
    </w:p>
    <w:p>
      <w:pPr>
        <w:pStyle w:val="GesAbsatz"/>
        <w:rPr>
          <w:rFonts w:cs="Arial"/>
        </w:rPr>
      </w:pPr>
      <w:r>
        <w:rPr>
          <w:rFonts w:cs="Arial"/>
        </w:rPr>
        <w:t>Diese Verordnung gilt unbeschadet geltender Urheberrechtsvorschriften, die das Recht Dritter auf Vervielfältigung oder Nutzung der freigegebenen Dokumente einschränken.</w:t>
      </w:r>
    </w:p>
    <w:p>
      <w:pPr>
        <w:pStyle w:val="berschrift2"/>
        <w:rPr>
          <w:bCs/>
        </w:rPr>
      </w:pPr>
      <w:bookmarkStart w:id="18" w:name="_Toc42567119"/>
      <w:r>
        <w:t>Artikel 17</w:t>
      </w:r>
      <w:r>
        <w:br/>
      </w:r>
      <w:r>
        <w:rPr>
          <w:bCs/>
        </w:rPr>
        <w:t>Berichte</w:t>
      </w:r>
      <w:bookmarkEnd w:id="18"/>
    </w:p>
    <w:p>
      <w:pPr>
        <w:pStyle w:val="GesAbsatz"/>
        <w:rPr>
          <w:rFonts w:cs="Arial"/>
        </w:rPr>
      </w:pPr>
      <w:r>
        <w:rPr>
          <w:rFonts w:cs="Arial"/>
        </w:rPr>
        <w:t>(1) Jedes Organ legt jährlich einen Bericht über das Vorjahr vor, in dem die Zahl der Fälle aufgeführt ist, in denen das Organ den Zugang zu Dokumenten verweigert hat, sowie die Gründe für diese Verweigerungen und die Zahl der sensiblen Dokumente, die nicht in das Register aufgenommen wurden.</w:t>
      </w:r>
    </w:p>
    <w:p>
      <w:pPr>
        <w:pStyle w:val="GesAbsatz"/>
        <w:rPr>
          <w:rFonts w:cs="Arial"/>
        </w:rPr>
      </w:pPr>
      <w:r>
        <w:rPr>
          <w:rFonts w:cs="Arial"/>
        </w:rPr>
        <w:t>(2) Spätestens zum 31. Januar 2004 veröffentlicht die Kommission einen Bericht über die Anwendung der Grundsätze dieser Verordnung und legt Empfehlungen vor, gegebenenfalls mit Vorschlägen für die Überprüfung dieser Verordnung und für ein Aktionsprogramm für die von den Organen zu ergreifenden Maßnahmen.</w:t>
      </w:r>
    </w:p>
    <w:p>
      <w:pPr>
        <w:pStyle w:val="berschrift2"/>
        <w:rPr>
          <w:bCs/>
        </w:rPr>
      </w:pPr>
      <w:bookmarkStart w:id="19" w:name="_Toc42567120"/>
      <w:r>
        <w:t>Artikel 18</w:t>
      </w:r>
      <w:r>
        <w:br/>
      </w:r>
      <w:r>
        <w:rPr>
          <w:bCs/>
        </w:rPr>
        <w:t>Durchführungsmaßnahmen</w:t>
      </w:r>
      <w:bookmarkEnd w:id="19"/>
    </w:p>
    <w:p>
      <w:pPr>
        <w:pStyle w:val="GesAbsatz"/>
        <w:rPr>
          <w:rFonts w:cs="Arial"/>
        </w:rPr>
      </w:pPr>
      <w:r>
        <w:rPr>
          <w:rFonts w:cs="Arial"/>
        </w:rPr>
        <w:t>(1) Jedes Organ passt seine Geschäftsordnung an die Bestimmungen dieser Verordnung an. Diese Anpassungen werden am 3. Dezember 2001 wirksam.</w:t>
      </w:r>
    </w:p>
    <w:p>
      <w:pPr>
        <w:pStyle w:val="GesAbsatz"/>
        <w:rPr>
          <w:rFonts w:cs="Arial"/>
        </w:rPr>
      </w:pPr>
      <w:r>
        <w:rPr>
          <w:rFonts w:cs="Arial"/>
        </w:rPr>
        <w:t>(2) Innerhalb von sechs Monaten nach Inkrafttreten dieser Verordnung prüft die Kommission die Vereinbarkeit der Verordnung (EWG, Euratom) Nr. 354/83 des Rates vom 1. Februar 1983 über die Freigabe der historischen Archive der Europäischen Wirtschaftsgemeinschaft und der Europäischen Atomgemeinschaft</w:t>
      </w:r>
      <w:r>
        <w:rPr>
          <w:rStyle w:val="Funotenzeichen"/>
          <w:rFonts w:cs="Arial"/>
        </w:rPr>
        <w:footnoteReference w:id="6"/>
      </w:r>
      <w:r>
        <w:rPr>
          <w:rFonts w:cs="Arial"/>
        </w:rPr>
        <w:t xml:space="preserve"> mit dieser Verordnung, um zu gewährleisten, dass die Dokumente so umfassend wie möglich aufbewahrt und archiviert werden.</w:t>
      </w:r>
    </w:p>
    <w:p>
      <w:pPr>
        <w:pStyle w:val="GesAbsatz"/>
        <w:rPr>
          <w:rFonts w:cs="Arial"/>
        </w:rPr>
      </w:pPr>
      <w:r>
        <w:rPr>
          <w:rFonts w:cs="Arial"/>
        </w:rPr>
        <w:t>(3) Innerhalb von sechs Monaten nach Inkrafttreten dieser Verordnung prüft die Kommission die Vereinbarkeit der geltenden Vorschriften über den Zugang zu Dokumenten mit dieser Verordnung.</w:t>
      </w:r>
    </w:p>
    <w:p>
      <w:pPr>
        <w:pStyle w:val="berschrift2"/>
        <w:rPr>
          <w:bCs/>
        </w:rPr>
      </w:pPr>
      <w:bookmarkStart w:id="20" w:name="_Toc42567121"/>
      <w:r>
        <w:lastRenderedPageBreak/>
        <w:t>Artikel 19</w:t>
      </w:r>
      <w:r>
        <w:br/>
      </w:r>
      <w:r>
        <w:rPr>
          <w:bCs/>
        </w:rPr>
        <w:t>Inkrafttreten</w:t>
      </w:r>
      <w:bookmarkEnd w:id="20"/>
    </w:p>
    <w:p>
      <w:pPr>
        <w:pStyle w:val="GesAbsatz"/>
        <w:rPr>
          <w:rFonts w:cs="Arial"/>
        </w:rPr>
      </w:pPr>
      <w:r>
        <w:rPr>
          <w:rFonts w:cs="Arial"/>
        </w:rPr>
        <w:t xml:space="preserve">Diese Verordnung tritt am dritten Tag nach ihrer Veröffentlichung im </w:t>
      </w:r>
      <w:r>
        <w:rPr>
          <w:rFonts w:cs="Arial"/>
          <w:i/>
          <w:iCs/>
        </w:rPr>
        <w:t xml:space="preserve">Amtsblatt der Europäischen Gemeinschaften </w:t>
      </w:r>
      <w:r>
        <w:rPr>
          <w:rFonts w:cs="Arial"/>
        </w:rPr>
        <w:t>in Kraft.</w:t>
      </w:r>
    </w:p>
    <w:p>
      <w:pPr>
        <w:pStyle w:val="GesAbsatz"/>
        <w:rPr>
          <w:rFonts w:cs="Arial"/>
        </w:rPr>
      </w:pPr>
      <w:r>
        <w:rPr>
          <w:rFonts w:cs="Arial"/>
        </w:rPr>
        <w:t>Sie gilt ab dem 3. Dezember 2001.</w:t>
      </w:r>
    </w:p>
    <w:p>
      <w:pPr>
        <w:pStyle w:val="GesAbsatz"/>
        <w:rPr>
          <w:rFonts w:cs="Arial"/>
        </w:rPr>
      </w:pPr>
      <w:r>
        <w:rPr>
          <w:rFonts w:cs="Arial"/>
        </w:rPr>
        <w:t>Diese Verordnung ist in allen ihren Teilen verbindlich und gilt unmittelbar in jedem Mitgliedstaat.</w:t>
      </w: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pPr>
    <w:r>
      <w:fldChar w:fldCharType="begin"/>
    </w:r>
    <w:r>
      <w:instrText xml:space="preserve">PAGE  </w:instrText>
    </w:r>
    <w: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ind w:right="-1"/>
    </w:pPr>
    <w:r>
      <w:tab/>
      <w:t>Stand 30.05.2001 (ABl. L 145 v. 31.5.2001 S. 43)</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w:t>
      </w:r>
      <w:r>
        <w:rPr>
          <w:rFonts w:cs="Arial"/>
          <w:szCs w:val="16"/>
        </w:rPr>
        <w:t>ABl. C 177 E vom 27.6.2000 S. 70.</w:t>
      </w:r>
    </w:p>
  </w:footnote>
  <w:footnote w:id="2">
    <w:p>
      <w:pPr>
        <w:pStyle w:val="Funotentext"/>
      </w:pPr>
      <w:r>
        <w:rPr>
          <w:rStyle w:val="Funotenzeichen"/>
        </w:rPr>
        <w:footnoteRef/>
      </w:r>
      <w:r>
        <w:t xml:space="preserve"> Stellungnahme des Europäischen Parlaments vom 3. Mai 2001 (noch nicht im Amtsblatt veröffentlicht) und Beschluss des Rates vom 28. Mai 2001.</w:t>
      </w:r>
    </w:p>
  </w:footnote>
  <w:footnote w:id="3">
    <w:p>
      <w:pPr>
        <w:pStyle w:val="Funotentext"/>
      </w:pPr>
      <w:r>
        <w:rPr>
          <w:rStyle w:val="Funotenzeichen"/>
        </w:rPr>
        <w:footnoteRef/>
      </w:r>
      <w:r>
        <w:t xml:space="preserve"> ABl. L 340 vom 31.12.1993, S. 43. Beschluss zuletzt geändert durch den Beschluss 2000/527/EG (ABl. L 212 vom 23.8.2000, S. 9).</w:t>
      </w:r>
    </w:p>
  </w:footnote>
  <w:footnote w:id="4">
    <w:p>
      <w:pPr>
        <w:pStyle w:val="Funotentext"/>
      </w:pPr>
      <w:r>
        <w:rPr>
          <w:rStyle w:val="Funotenzeichen"/>
        </w:rPr>
        <w:footnoteRef/>
      </w:r>
      <w:r>
        <w:t xml:space="preserve"> ABl. L 46 vom 18.2.1994, S. 58. Beschluss geändert durch den Beschluss 96/567/EG, EGKS, Euratom (ABl. L 247 vom 28.9.1996, S. 45).</w:t>
      </w:r>
    </w:p>
  </w:footnote>
  <w:footnote w:id="5">
    <w:p>
      <w:pPr>
        <w:pStyle w:val="Funotentext"/>
      </w:pPr>
      <w:r>
        <w:rPr>
          <w:rStyle w:val="Funotenzeichen"/>
        </w:rPr>
        <w:footnoteRef/>
      </w:r>
      <w:r>
        <w:t xml:space="preserve"> </w:t>
      </w:r>
      <w:r>
        <w:rPr>
          <w:rFonts w:cs="Arial"/>
          <w:szCs w:val="16"/>
        </w:rPr>
        <w:t>ABl. L 263 vom 25.9.1997, S. 27.</w:t>
      </w:r>
    </w:p>
  </w:footnote>
  <w:footnote w:id="6">
    <w:p>
      <w:pPr>
        <w:pStyle w:val="Funotentext"/>
      </w:pPr>
      <w:r>
        <w:rPr>
          <w:rStyle w:val="Funotenzeichen"/>
        </w:rPr>
        <w:footnoteRef/>
      </w:r>
      <w:r>
        <w:t xml:space="preserve"> </w:t>
      </w:r>
      <w:r>
        <w:rPr>
          <w:rFonts w:cs="Arial"/>
          <w:szCs w:val="16"/>
        </w:rPr>
        <w:t>ABl. L 43 vom 15.2.1983, S.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30.4-11</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3DD63951-0688-4282-B3E9-01C59B4E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 w:type="character" w:styleId="Seitenzahl">
    <w:name w:val="page number"/>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ata.europa.eu/eli/reg/2001/1049/oj"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D64EF-F418-40B8-A3F5-6DD26F594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8</Pages>
  <Words>3526</Words>
  <Characters>23607</Characters>
  <Application>Microsoft Office Word</Application>
  <DocSecurity>0</DocSecurity>
  <Lines>196</Lines>
  <Paragraphs>54</Paragraphs>
  <ScaleCrop>false</ScaleCrop>
  <HeadingPairs>
    <vt:vector size="2" baseType="variant">
      <vt:variant>
        <vt:lpstr>Titel</vt:lpstr>
      </vt:variant>
      <vt:variant>
        <vt:i4>1</vt:i4>
      </vt:variant>
    </vt:vector>
  </HeadingPairs>
  <TitlesOfParts>
    <vt:vector size="1" baseType="lpstr">
      <vt:lpstr>Verordnung über den Zugang der Öffentlichkeit zu Dokumenten</vt:lpstr>
    </vt:vector>
  </TitlesOfParts>
  <Company>LANUV NRW</Company>
  <LinksUpToDate>false</LinksUpToDate>
  <CharactersWithSpaces>27079</CharactersWithSpaces>
  <SharedDoc>false</SharedDoc>
  <HLinks>
    <vt:vector size="126" baseType="variant">
      <vt:variant>
        <vt:i4>1245236</vt:i4>
      </vt:variant>
      <vt:variant>
        <vt:i4>119</vt:i4>
      </vt:variant>
      <vt:variant>
        <vt:i4>0</vt:i4>
      </vt:variant>
      <vt:variant>
        <vt:i4>5</vt:i4>
      </vt:variant>
      <vt:variant>
        <vt:lpwstr/>
      </vt:variant>
      <vt:variant>
        <vt:lpwstr>_Toc42567121</vt:lpwstr>
      </vt:variant>
      <vt:variant>
        <vt:i4>1179700</vt:i4>
      </vt:variant>
      <vt:variant>
        <vt:i4>113</vt:i4>
      </vt:variant>
      <vt:variant>
        <vt:i4>0</vt:i4>
      </vt:variant>
      <vt:variant>
        <vt:i4>5</vt:i4>
      </vt:variant>
      <vt:variant>
        <vt:lpwstr/>
      </vt:variant>
      <vt:variant>
        <vt:lpwstr>_Toc42567120</vt:lpwstr>
      </vt:variant>
      <vt:variant>
        <vt:i4>1769527</vt:i4>
      </vt:variant>
      <vt:variant>
        <vt:i4>107</vt:i4>
      </vt:variant>
      <vt:variant>
        <vt:i4>0</vt:i4>
      </vt:variant>
      <vt:variant>
        <vt:i4>5</vt:i4>
      </vt:variant>
      <vt:variant>
        <vt:lpwstr/>
      </vt:variant>
      <vt:variant>
        <vt:lpwstr>_Toc42567119</vt:lpwstr>
      </vt:variant>
      <vt:variant>
        <vt:i4>1703991</vt:i4>
      </vt:variant>
      <vt:variant>
        <vt:i4>101</vt:i4>
      </vt:variant>
      <vt:variant>
        <vt:i4>0</vt:i4>
      </vt:variant>
      <vt:variant>
        <vt:i4>5</vt:i4>
      </vt:variant>
      <vt:variant>
        <vt:lpwstr/>
      </vt:variant>
      <vt:variant>
        <vt:lpwstr>_Toc42567118</vt:lpwstr>
      </vt:variant>
      <vt:variant>
        <vt:i4>1376311</vt:i4>
      </vt:variant>
      <vt:variant>
        <vt:i4>95</vt:i4>
      </vt:variant>
      <vt:variant>
        <vt:i4>0</vt:i4>
      </vt:variant>
      <vt:variant>
        <vt:i4>5</vt:i4>
      </vt:variant>
      <vt:variant>
        <vt:lpwstr/>
      </vt:variant>
      <vt:variant>
        <vt:lpwstr>_Toc42567117</vt:lpwstr>
      </vt:variant>
      <vt:variant>
        <vt:i4>1310775</vt:i4>
      </vt:variant>
      <vt:variant>
        <vt:i4>89</vt:i4>
      </vt:variant>
      <vt:variant>
        <vt:i4>0</vt:i4>
      </vt:variant>
      <vt:variant>
        <vt:i4>5</vt:i4>
      </vt:variant>
      <vt:variant>
        <vt:lpwstr/>
      </vt:variant>
      <vt:variant>
        <vt:lpwstr>_Toc42567116</vt:lpwstr>
      </vt:variant>
      <vt:variant>
        <vt:i4>1507383</vt:i4>
      </vt:variant>
      <vt:variant>
        <vt:i4>83</vt:i4>
      </vt:variant>
      <vt:variant>
        <vt:i4>0</vt:i4>
      </vt:variant>
      <vt:variant>
        <vt:i4>5</vt:i4>
      </vt:variant>
      <vt:variant>
        <vt:lpwstr/>
      </vt:variant>
      <vt:variant>
        <vt:lpwstr>_Toc42567115</vt:lpwstr>
      </vt:variant>
      <vt:variant>
        <vt:i4>1441847</vt:i4>
      </vt:variant>
      <vt:variant>
        <vt:i4>77</vt:i4>
      </vt:variant>
      <vt:variant>
        <vt:i4>0</vt:i4>
      </vt:variant>
      <vt:variant>
        <vt:i4>5</vt:i4>
      </vt:variant>
      <vt:variant>
        <vt:lpwstr/>
      </vt:variant>
      <vt:variant>
        <vt:lpwstr>_Toc42567114</vt:lpwstr>
      </vt:variant>
      <vt:variant>
        <vt:i4>1114167</vt:i4>
      </vt:variant>
      <vt:variant>
        <vt:i4>71</vt:i4>
      </vt:variant>
      <vt:variant>
        <vt:i4>0</vt:i4>
      </vt:variant>
      <vt:variant>
        <vt:i4>5</vt:i4>
      </vt:variant>
      <vt:variant>
        <vt:lpwstr/>
      </vt:variant>
      <vt:variant>
        <vt:lpwstr>_Toc42567113</vt:lpwstr>
      </vt:variant>
      <vt:variant>
        <vt:i4>1048631</vt:i4>
      </vt:variant>
      <vt:variant>
        <vt:i4>65</vt:i4>
      </vt:variant>
      <vt:variant>
        <vt:i4>0</vt:i4>
      </vt:variant>
      <vt:variant>
        <vt:i4>5</vt:i4>
      </vt:variant>
      <vt:variant>
        <vt:lpwstr/>
      </vt:variant>
      <vt:variant>
        <vt:lpwstr>_Toc42567112</vt:lpwstr>
      </vt:variant>
      <vt:variant>
        <vt:i4>1245239</vt:i4>
      </vt:variant>
      <vt:variant>
        <vt:i4>59</vt:i4>
      </vt:variant>
      <vt:variant>
        <vt:i4>0</vt:i4>
      </vt:variant>
      <vt:variant>
        <vt:i4>5</vt:i4>
      </vt:variant>
      <vt:variant>
        <vt:lpwstr/>
      </vt:variant>
      <vt:variant>
        <vt:lpwstr>_Toc42567111</vt:lpwstr>
      </vt:variant>
      <vt:variant>
        <vt:i4>1179703</vt:i4>
      </vt:variant>
      <vt:variant>
        <vt:i4>53</vt:i4>
      </vt:variant>
      <vt:variant>
        <vt:i4>0</vt:i4>
      </vt:variant>
      <vt:variant>
        <vt:i4>5</vt:i4>
      </vt:variant>
      <vt:variant>
        <vt:lpwstr/>
      </vt:variant>
      <vt:variant>
        <vt:lpwstr>_Toc42567110</vt:lpwstr>
      </vt:variant>
      <vt:variant>
        <vt:i4>1769526</vt:i4>
      </vt:variant>
      <vt:variant>
        <vt:i4>47</vt:i4>
      </vt:variant>
      <vt:variant>
        <vt:i4>0</vt:i4>
      </vt:variant>
      <vt:variant>
        <vt:i4>5</vt:i4>
      </vt:variant>
      <vt:variant>
        <vt:lpwstr/>
      </vt:variant>
      <vt:variant>
        <vt:lpwstr>_Toc42567109</vt:lpwstr>
      </vt:variant>
      <vt:variant>
        <vt:i4>1703990</vt:i4>
      </vt:variant>
      <vt:variant>
        <vt:i4>41</vt:i4>
      </vt:variant>
      <vt:variant>
        <vt:i4>0</vt:i4>
      </vt:variant>
      <vt:variant>
        <vt:i4>5</vt:i4>
      </vt:variant>
      <vt:variant>
        <vt:lpwstr/>
      </vt:variant>
      <vt:variant>
        <vt:lpwstr>_Toc42567108</vt:lpwstr>
      </vt:variant>
      <vt:variant>
        <vt:i4>1376310</vt:i4>
      </vt:variant>
      <vt:variant>
        <vt:i4>35</vt:i4>
      </vt:variant>
      <vt:variant>
        <vt:i4>0</vt:i4>
      </vt:variant>
      <vt:variant>
        <vt:i4>5</vt:i4>
      </vt:variant>
      <vt:variant>
        <vt:lpwstr/>
      </vt:variant>
      <vt:variant>
        <vt:lpwstr>_Toc42567107</vt:lpwstr>
      </vt:variant>
      <vt:variant>
        <vt:i4>1310774</vt:i4>
      </vt:variant>
      <vt:variant>
        <vt:i4>29</vt:i4>
      </vt:variant>
      <vt:variant>
        <vt:i4>0</vt:i4>
      </vt:variant>
      <vt:variant>
        <vt:i4>5</vt:i4>
      </vt:variant>
      <vt:variant>
        <vt:lpwstr/>
      </vt:variant>
      <vt:variant>
        <vt:lpwstr>_Toc42567106</vt:lpwstr>
      </vt:variant>
      <vt:variant>
        <vt:i4>1507382</vt:i4>
      </vt:variant>
      <vt:variant>
        <vt:i4>23</vt:i4>
      </vt:variant>
      <vt:variant>
        <vt:i4>0</vt:i4>
      </vt:variant>
      <vt:variant>
        <vt:i4>5</vt:i4>
      </vt:variant>
      <vt:variant>
        <vt:lpwstr/>
      </vt:variant>
      <vt:variant>
        <vt:lpwstr>_Toc42567105</vt:lpwstr>
      </vt:variant>
      <vt:variant>
        <vt:i4>1441846</vt:i4>
      </vt:variant>
      <vt:variant>
        <vt:i4>17</vt:i4>
      </vt:variant>
      <vt:variant>
        <vt:i4>0</vt:i4>
      </vt:variant>
      <vt:variant>
        <vt:i4>5</vt:i4>
      </vt:variant>
      <vt:variant>
        <vt:lpwstr/>
      </vt:variant>
      <vt:variant>
        <vt:lpwstr>_Toc42567104</vt:lpwstr>
      </vt:variant>
      <vt:variant>
        <vt:i4>1114166</vt:i4>
      </vt:variant>
      <vt:variant>
        <vt:i4>11</vt:i4>
      </vt:variant>
      <vt:variant>
        <vt:i4>0</vt:i4>
      </vt:variant>
      <vt:variant>
        <vt:i4>5</vt:i4>
      </vt:variant>
      <vt:variant>
        <vt:lpwstr/>
      </vt:variant>
      <vt:variant>
        <vt:lpwstr>_Toc42567103</vt:lpwstr>
      </vt:variant>
      <vt:variant>
        <vt:i4>1048630</vt:i4>
      </vt:variant>
      <vt:variant>
        <vt:i4>5</vt:i4>
      </vt:variant>
      <vt:variant>
        <vt:i4>0</vt:i4>
      </vt:variant>
      <vt:variant>
        <vt:i4>5</vt:i4>
      </vt:variant>
      <vt:variant>
        <vt:lpwstr/>
      </vt:variant>
      <vt:variant>
        <vt:lpwstr>_Toc42567102</vt:lpwstr>
      </vt:variant>
      <vt:variant>
        <vt:i4>6029341</vt:i4>
      </vt:variant>
      <vt:variant>
        <vt:i4>0</vt:i4>
      </vt:variant>
      <vt:variant>
        <vt:i4>0</vt:i4>
      </vt:variant>
      <vt:variant>
        <vt:i4>5</vt:i4>
      </vt:variant>
      <vt:variant>
        <vt:lpwstr>http://eur-lex.europa.eu/LexUriServ/LexUriServ.do?uri=OJ:L:2001:145:0043:0048:DE:PDF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Verordnung über den Zugang der Öffentlichkeit zu Dokumenten</dc:title>
  <dc:subject/>
  <dc:creator>Natrop</dc:creator>
  <cp:keywords/>
  <dc:description>2025</dc:description>
  <cp:lastModifiedBy>Rüter, Dr., Ingo</cp:lastModifiedBy>
  <cp:revision>9</cp:revision>
  <cp:lastPrinted>1900-12-31T22:00:00Z</cp:lastPrinted>
  <dcterms:created xsi:type="dcterms:W3CDTF">2014-01-10T10:14:00Z</dcterms:created>
  <dcterms:modified xsi:type="dcterms:W3CDTF">2025-01-06T12:42:00Z</dcterms:modified>
</cp:coreProperties>
</file>