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0"/>
      </w:pPr>
      <w:bookmarkStart w:id="0" w:name="_Toc365446896"/>
      <w:r>
        <w:t xml:space="preserve">Verordnung über Gebühren und Auslagen für Amtshandlungen der </w:t>
      </w:r>
      <w:r>
        <w:br/>
        <w:t>Zulassungsstelle und der Widerspruchsbehörde bei der Durchführung des Umweltauditgesetzes - UAG-Gebührenverordnung - UAGGebV</w:t>
      </w:r>
      <w:bookmarkEnd w:id="0"/>
    </w:p>
    <w:p>
      <w:pPr>
        <w:pStyle w:val="GesAbsatz"/>
        <w:jc w:val="center"/>
      </w:pPr>
      <w:r>
        <w:t>vom 4. September 2002</w:t>
      </w:r>
    </w:p>
    <w:p>
      <w:pPr>
        <w:pStyle w:val="GesAbsatz"/>
        <w:rPr>
          <w:color w:val="auto"/>
        </w:rPr>
      </w:pPr>
      <w:hyperlink w:anchor="Gesetzeshistorie" w:history="1">
        <w:r>
          <w:rPr>
            <w:rStyle w:val="Hyperlink"/>
          </w:rPr>
          <w:t>Gesetzeshistorie</w:t>
        </w:r>
      </w:hyperlink>
    </w:p>
    <w:p>
      <w:pPr>
        <w:pStyle w:val="GesAbsatz"/>
        <w:jc w:val="center"/>
        <w:rPr>
          <w:b/>
          <w:bCs/>
          <w:sz w:val="22"/>
        </w:rPr>
      </w:pPr>
      <w:r>
        <w:rPr>
          <w:b/>
          <w:bCs/>
          <w:sz w:val="22"/>
        </w:rPr>
        <w:t>Inhalt:</w:t>
      </w:r>
    </w:p>
    <w:p>
      <w:pPr>
        <w:pStyle w:val="Verzeichnis1"/>
        <w:tabs>
          <w:tab w:val="clear" w:pos="9638"/>
          <w:tab w:val="right" w:leader="dot" w:pos="9628"/>
        </w:tabs>
        <w:rPr>
          <w:b w:val="0"/>
          <w:bCs/>
          <w:caps w:val="0"/>
          <w:noProof/>
          <w:sz w:val="24"/>
          <w:szCs w:val="24"/>
        </w:rPr>
      </w:pPr>
      <w:r>
        <w:fldChar w:fldCharType="begin"/>
      </w:r>
      <w:r>
        <w:instrText xml:space="preserve"> TOC \o "1-3" \h \z </w:instrText>
      </w:r>
      <w:r>
        <w:fldChar w:fldCharType="separate"/>
      </w:r>
      <w:hyperlink w:anchor="_Toc365446896" w:history="1">
        <w:r>
          <w:rPr>
            <w:rStyle w:val="Hyperlink"/>
            <w:noProof/>
          </w:rPr>
          <w:t>UAG-Gebührenverordnung - UAGGebV</w:t>
        </w:r>
        <w:r>
          <w:rPr>
            <w:noProof/>
            <w:webHidden/>
          </w:rPr>
          <w:tab/>
        </w:r>
        <w:r>
          <w:rPr>
            <w:noProof/>
            <w:webHidden/>
          </w:rPr>
          <w:fldChar w:fldCharType="begin"/>
        </w:r>
        <w:r>
          <w:rPr>
            <w:noProof/>
            <w:webHidden/>
          </w:rPr>
          <w:instrText xml:space="preserve"> PAGEREF _Toc365446896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365446897" w:history="1">
        <w:r>
          <w:rPr>
            <w:rStyle w:val="Hyperlink"/>
            <w:noProof/>
          </w:rPr>
          <w:t>§ 1 Gebühren und Auslagen</w:t>
        </w:r>
        <w:r>
          <w:rPr>
            <w:noProof/>
            <w:webHidden/>
          </w:rPr>
          <w:tab/>
        </w:r>
        <w:r>
          <w:rPr>
            <w:noProof/>
            <w:webHidden/>
          </w:rPr>
          <w:fldChar w:fldCharType="begin"/>
        </w:r>
        <w:r>
          <w:rPr>
            <w:noProof/>
            <w:webHidden/>
          </w:rPr>
          <w:instrText xml:space="preserve"> PAGEREF _Toc365446897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365446898" w:history="1">
        <w:r>
          <w:rPr>
            <w:rStyle w:val="Hyperlink"/>
            <w:noProof/>
          </w:rPr>
          <w:t>§ 2 Widerspruch</w:t>
        </w:r>
        <w:r>
          <w:rPr>
            <w:noProof/>
            <w:webHidden/>
          </w:rPr>
          <w:tab/>
        </w:r>
        <w:r>
          <w:rPr>
            <w:noProof/>
            <w:webHidden/>
          </w:rPr>
          <w:fldChar w:fldCharType="begin"/>
        </w:r>
        <w:r>
          <w:rPr>
            <w:noProof/>
            <w:webHidden/>
          </w:rPr>
          <w:instrText xml:space="preserve"> PAGEREF _Toc365446898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365446899" w:history="1">
        <w:r>
          <w:rPr>
            <w:rStyle w:val="Hyperlink"/>
            <w:noProof/>
          </w:rPr>
          <w:t>§ 3 Zurückweisung oder Zurücknahme eines ausschließlich gegen eine  Festsetzung von Gebühren oder Auslagen gerichteten Widerspruchs</w:t>
        </w:r>
        <w:r>
          <w:rPr>
            <w:noProof/>
            <w:webHidden/>
          </w:rPr>
          <w:tab/>
        </w:r>
        <w:r>
          <w:rPr>
            <w:noProof/>
            <w:webHidden/>
          </w:rPr>
          <w:fldChar w:fldCharType="begin"/>
        </w:r>
        <w:r>
          <w:rPr>
            <w:noProof/>
            <w:webHidden/>
          </w:rPr>
          <w:instrText xml:space="preserve"> PAGEREF _Toc365446899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365446900" w:history="1">
        <w:r>
          <w:rPr>
            <w:rStyle w:val="Hyperlink"/>
            <w:noProof/>
          </w:rPr>
          <w:t>§ 4 Widerruf und Rücknahme eines Verwaltungsaktes, Ablehnung und Rücknahme von Anträgen</w:t>
        </w:r>
        <w:r>
          <w:rPr>
            <w:noProof/>
            <w:webHidden/>
          </w:rPr>
          <w:tab/>
        </w:r>
        <w:r>
          <w:rPr>
            <w:noProof/>
            <w:webHidden/>
          </w:rPr>
          <w:fldChar w:fldCharType="begin"/>
        </w:r>
        <w:r>
          <w:rPr>
            <w:noProof/>
            <w:webHidden/>
          </w:rPr>
          <w:instrText xml:space="preserve"> PAGEREF _Toc365446900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365446901" w:history="1">
        <w:r>
          <w:rPr>
            <w:rStyle w:val="Hyperlink"/>
            <w:noProof/>
          </w:rPr>
          <w:t>§ 5 Zulassungsentscheidungen ohne mündliche Prüfung</w:t>
        </w:r>
        <w:r>
          <w:rPr>
            <w:noProof/>
            <w:webHidden/>
          </w:rPr>
          <w:tab/>
        </w:r>
        <w:r>
          <w:rPr>
            <w:noProof/>
            <w:webHidden/>
          </w:rPr>
          <w:fldChar w:fldCharType="begin"/>
        </w:r>
        <w:r>
          <w:rPr>
            <w:noProof/>
            <w:webHidden/>
          </w:rPr>
          <w:instrText xml:space="preserve"> PAGEREF _Toc365446901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365446902" w:history="1">
        <w:r>
          <w:rPr>
            <w:rStyle w:val="Hyperlink"/>
            <w:noProof/>
          </w:rPr>
          <w:t>§ 6 Inkrafttreten, Außerkrafttreten</w:t>
        </w:r>
        <w:r>
          <w:rPr>
            <w:noProof/>
            <w:webHidden/>
          </w:rPr>
          <w:tab/>
        </w:r>
        <w:r>
          <w:rPr>
            <w:noProof/>
            <w:webHidden/>
          </w:rPr>
          <w:fldChar w:fldCharType="begin"/>
        </w:r>
        <w:r>
          <w:rPr>
            <w:noProof/>
            <w:webHidden/>
          </w:rPr>
          <w:instrText xml:space="preserve"> PAGEREF _Toc365446902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clear" w:pos="9638"/>
          <w:tab w:val="right" w:leader="dot" w:pos="9628"/>
        </w:tabs>
        <w:rPr>
          <w:smallCaps w:val="0"/>
          <w:noProof/>
          <w:sz w:val="24"/>
          <w:szCs w:val="24"/>
        </w:rPr>
      </w:pPr>
      <w:hyperlink w:anchor="_Toc365446903" w:history="1">
        <w:r>
          <w:rPr>
            <w:rStyle w:val="Hyperlink"/>
            <w:noProof/>
          </w:rPr>
          <w:t>Anlage (zu § 1 Abs. 1)</w:t>
        </w:r>
        <w:r>
          <w:rPr>
            <w:noProof/>
            <w:webHidden/>
          </w:rPr>
          <w:tab/>
        </w:r>
        <w:r>
          <w:rPr>
            <w:noProof/>
            <w:webHidden/>
          </w:rPr>
          <w:fldChar w:fldCharType="begin"/>
        </w:r>
        <w:r>
          <w:rPr>
            <w:noProof/>
            <w:webHidden/>
          </w:rPr>
          <w:instrText xml:space="preserve"> PAGEREF _Toc365446903 \h </w:instrText>
        </w:r>
        <w:r>
          <w:rPr>
            <w:noProof/>
            <w:webHidden/>
          </w:rPr>
        </w:r>
        <w:r>
          <w:rPr>
            <w:noProof/>
            <w:webHidden/>
          </w:rPr>
          <w:fldChar w:fldCharType="separate"/>
        </w:r>
        <w:r>
          <w:rPr>
            <w:noProof/>
            <w:webHidden/>
          </w:rPr>
          <w:t>3</w:t>
        </w:r>
        <w:r>
          <w:rPr>
            <w:noProof/>
            <w:webHidden/>
          </w:rPr>
          <w:fldChar w:fldCharType="end"/>
        </w:r>
      </w:hyperlink>
    </w:p>
    <w:p>
      <w:pPr>
        <w:pStyle w:val="GesAbsatz"/>
        <w:jc w:val="center"/>
      </w:pPr>
      <w:r>
        <w:rPr>
          <w:rFonts w:ascii="Times New Roman" w:hAnsi="Times New Roman"/>
          <w:color w:val="auto"/>
        </w:rPr>
        <w:fldChar w:fldCharType="end"/>
      </w:r>
    </w:p>
    <w:p>
      <w:pPr>
        <w:pStyle w:val="GesAbsatz"/>
      </w:pPr>
      <w:r>
        <w:t>Auf Grund des § 36 Abs. 2 des Umweltauditgesetzes in der Fassung der Bekanntmachung vom 4. September 2002 (BGBl. I S. 3490) in Verbindung mit dem 2. Abschnitt des Verwaltungskostengesetzes vom 23. Juni 1970 (BGBl. I S. 821) verordnet das Bundesministerium für Umwelt, Naturschutz und Reaktorsicherheit nach Anhörung des Umweltgutachterausschusses:</w:t>
      </w:r>
    </w:p>
    <w:p>
      <w:pPr>
        <w:pStyle w:val="berschrift3"/>
      </w:pPr>
      <w:bookmarkStart w:id="1" w:name="_Toc365446897"/>
      <w:r>
        <w:t>§ 1</w:t>
      </w:r>
      <w:r>
        <w:br/>
        <w:t>Gebühren und Auslagen</w:t>
      </w:r>
      <w:bookmarkEnd w:id="1"/>
    </w:p>
    <w:p>
      <w:pPr>
        <w:pStyle w:val="GesAbsatz"/>
      </w:pPr>
      <w:r>
        <w:t>(1) Für individuell zurechenbare öffentliche Leistungen der Zulassungsstelle und der Widerspruchsbehörde auf Grund des Umweltauditgesetzes in der Fassung der Bekanntmachung vom 4. September 2002 (BGBl. I S. 3490) werden Gebühren nach Maßgabe des anliegenden Gebührenverzeichnisses erhoben.</w:t>
      </w:r>
    </w:p>
    <w:p>
      <w:pPr>
        <w:pStyle w:val="GesAbsatz"/>
      </w:pPr>
      <w:r>
        <w:t>(2) Auslagen sind nach den Vorschriften des Bundesgebührengesetzes zu ersetzen. Die Auslagen für die Prüfer zur Durchführung der mündlichen Prüfung nach § 12 des Umweltauditgesetzes im Rahmen von Bescheinigungs- und Zulassungsverfahren nach § 11 des Umweltauditgesetzes (Nummer 1 und 2 des Gebührenverzeichnisses) und die Auslagen für die externen Beauftragten im Rahmen der Aufsicht (Nummer 13 und 14 des Gebührenverzeichnisses) sowie Aufwendungen für Telekommunikationsdienstleistungen sind mit der Gebühr abgegolten.</w:t>
      </w:r>
    </w:p>
    <w:p>
      <w:pPr>
        <w:pStyle w:val="berschrift3"/>
      </w:pPr>
      <w:bookmarkStart w:id="2" w:name="_Toc365446898"/>
      <w:r>
        <w:t>§ 2</w:t>
      </w:r>
      <w:r>
        <w:br/>
        <w:t>Widerspruch</w:t>
      </w:r>
      <w:bookmarkEnd w:id="2"/>
    </w:p>
    <w:p>
      <w:pPr>
        <w:pStyle w:val="GesAbsatz"/>
      </w:pPr>
      <w:r>
        <w:t>Für die vollständige oder teilweise Zurückweisung eines Widerspruchs wird eine Gebühr bis zur Höhe der für den angefochtenen Verwaltungsakt festgesetzten Gebühr erhoben; dies gilt nicht, wenn der Widerspruch nur deshalb keinen Erfolg hat, weil die Verletzung einer Verfahrens- oder Formvorschrift nach § 45 des Verwaltungsverfahrensgesetzes unbeachtlich ist. Bei einem erfolglosen Widerspruch, der sich ausschließlich gegen eine Gebührenfestsetzung richtet, beträgt die Gebühr höchstens 10 Prozent des streitigen Betrages. Wird ein Widerspruch nach Beginn seiner sachlichen Bearbeitung, jedoch vor deren Beendigung zurückgenommen, beträgt die Gebühr höchstens 75 Prozent der Widerspruchsgebühr.</w:t>
      </w:r>
    </w:p>
    <w:p>
      <w:pPr>
        <w:pStyle w:val="berschrift3"/>
      </w:pPr>
      <w:bookmarkStart w:id="3" w:name="_Toc365446899"/>
      <w:r>
        <w:t>§ 3</w:t>
      </w:r>
      <w:r>
        <w:br/>
        <w:t>Zurückweisung oder</w:t>
      </w:r>
      <w:r>
        <w:rPr>
          <w:b w:val="0"/>
        </w:rPr>
        <w:t xml:space="preserve"> </w:t>
      </w:r>
      <w:r>
        <w:t>Zurücknahme eines ausschließlich gegen</w:t>
      </w:r>
      <w:r>
        <w:rPr>
          <w:b w:val="0"/>
        </w:rPr>
        <w:t xml:space="preserve"> </w:t>
      </w:r>
      <w:r>
        <w:t xml:space="preserve">eine </w:t>
      </w:r>
      <w:r>
        <w:br/>
        <w:t>Festsetzung von Gebühren</w:t>
      </w:r>
      <w:r>
        <w:rPr>
          <w:b w:val="0"/>
        </w:rPr>
        <w:t xml:space="preserve"> </w:t>
      </w:r>
      <w:r>
        <w:t>oder Auslagen gerichteten Widerspruchs</w:t>
      </w:r>
      <w:bookmarkEnd w:id="3"/>
    </w:p>
    <w:p>
      <w:pPr>
        <w:pStyle w:val="GesAbsatz"/>
      </w:pPr>
      <w:r>
        <w:t>(1) Für die vollständige oder teilweise Zurückweisung und bei Zurücknahme eines ausschließlich gegen eine Festsetzung von Gebühren oder Auslagen gerichteten Widerspruchs wird eine Gebühr in Höhe von 10 vom Hundert des streitigen Betrags erhoben.</w:t>
      </w:r>
    </w:p>
    <w:p>
      <w:pPr>
        <w:pStyle w:val="GesAbsatz"/>
      </w:pPr>
      <w:r>
        <w:t>(2) Die Gebühr im Fall des Absatzes 1 beträgt mindestens 15 Euro.</w:t>
      </w:r>
    </w:p>
    <w:p>
      <w:pPr>
        <w:pStyle w:val="berschrift3"/>
      </w:pPr>
      <w:bookmarkStart w:id="4" w:name="_Toc365446900"/>
      <w:r>
        <w:lastRenderedPageBreak/>
        <w:t>§ 4</w:t>
      </w:r>
      <w:r>
        <w:br/>
        <w:t>Widerruf und Rücknahme eines Verwaltungsaktes, Ablehnung und Rücknahme von Anträgen</w:t>
      </w:r>
      <w:bookmarkEnd w:id="4"/>
    </w:p>
    <w:p>
      <w:pPr>
        <w:pStyle w:val="GesAbsatz"/>
      </w:pPr>
      <w:r>
        <w:t>Für</w:t>
      </w:r>
    </w:p>
    <w:p>
      <w:pPr>
        <w:pStyle w:val="GesAbsatz"/>
        <w:ind w:left="426" w:hanging="426"/>
      </w:pPr>
      <w:r>
        <w:t>1.</w:t>
      </w:r>
      <w:r>
        <w:tab/>
        <w:t>den Widerruf oder die Rücknahme eines Verwaltungsaktes,</w:t>
      </w:r>
    </w:p>
    <w:p>
      <w:pPr>
        <w:pStyle w:val="GesAbsatz"/>
        <w:ind w:left="426" w:hanging="426"/>
      </w:pPr>
      <w:r>
        <w:t>2.</w:t>
      </w:r>
      <w:r>
        <w:tab/>
        <w:t>die Ablehnung eines Antrags auf Vornahme einer individuell zurechenbaren öffentlichen Leistung aus anderen Gründen als wegen Unzuständigkeit der Behörde sowie</w:t>
      </w:r>
    </w:p>
    <w:p>
      <w:pPr>
        <w:pStyle w:val="GesAbsatz"/>
        <w:ind w:left="426" w:hanging="426"/>
      </w:pPr>
      <w:r>
        <w:t>3.</w:t>
      </w:r>
      <w:r>
        <w:tab/>
        <w:t>im Fall einer Rücknahme eines Antrags nach Beginn der sachlichen Bearbeitung, jedoch vor deren Beendigung,</w:t>
      </w:r>
    </w:p>
    <w:p>
      <w:pPr>
        <w:pStyle w:val="GesAbsatz"/>
      </w:pPr>
      <w:r>
        <w:t>wird eine Gebühr in Höhe von 75 Prozent der für die individuell zurechenbare öffentliche Leistung festzusetzenden Gebühr erhoben. Sie kann bis zu einem Viertel der vorgesehenen Gebühr ermäßigt oder es kann von ihrer Erhebung abgesehen werden, wenn dies der Billigkeit entspricht.</w:t>
      </w:r>
    </w:p>
    <w:p>
      <w:pPr>
        <w:pStyle w:val="berschrift3"/>
      </w:pPr>
      <w:bookmarkStart w:id="5" w:name="_Toc365446901"/>
      <w:r>
        <w:t>§ 5</w:t>
      </w:r>
      <w:r>
        <w:br/>
        <w:t>Zulassungsentscheidungen ohne mündliche Prüfung</w:t>
      </w:r>
      <w:bookmarkEnd w:id="5"/>
    </w:p>
    <w:p>
      <w:pPr>
        <w:pStyle w:val="GesAbsatz"/>
      </w:pPr>
      <w:r>
        <w:t>Für Zulassungsentscheidungen, die ohne mündliche Prüfung ergehen, ermäßigt sich die vorgesehene Gebühr um ein Viertel; sie kann bis zu einem Viertel der vorgesehenen Gebühr ermäßigt werden.</w:t>
      </w:r>
    </w:p>
    <w:p>
      <w:pPr>
        <w:pStyle w:val="berschrift3"/>
      </w:pPr>
      <w:bookmarkStart w:id="6" w:name="_Toc365446902"/>
      <w:r>
        <w:t>§ 6</w:t>
      </w:r>
      <w:r>
        <w:br/>
        <w:t>Inkrafttreten, Außerkrafttreten</w:t>
      </w:r>
      <w:bookmarkEnd w:id="6"/>
    </w:p>
    <w:p>
      <w:pPr>
        <w:pStyle w:val="GesAbsatz"/>
      </w:pPr>
      <w:r>
        <w:t>Diese Verordnung tritt am Tage nach der Verkündung in Kraft.</w:t>
      </w:r>
    </w:p>
    <w:p>
      <w:pPr>
        <w:pStyle w:val="GesAbsatz"/>
      </w:pPr>
    </w:p>
    <w:p>
      <w:pPr>
        <w:pStyle w:val="GesAbsatz"/>
      </w:pPr>
      <w:bookmarkStart w:id="7" w:name="_GoBack"/>
      <w:bookmarkEnd w:id="7"/>
    </w:p>
    <w:p>
      <w:pPr>
        <w:pStyle w:val="berschrift2"/>
        <w:jc w:val="left"/>
      </w:pPr>
      <w:r>
        <w:br w:type="page"/>
      </w:r>
      <w:bookmarkStart w:id="8" w:name="_Toc365446903"/>
      <w:r>
        <w:lastRenderedPageBreak/>
        <w:t>Anlage</w:t>
      </w:r>
      <w:r>
        <w:br/>
        <w:t>(zu § 1 Abs. 1)</w:t>
      </w:r>
      <w:bookmarkEnd w:id="8"/>
    </w:p>
    <w:p>
      <w:pPr>
        <w:pStyle w:val="GesAbsatz"/>
        <w:jc w:val="center"/>
        <w:rPr>
          <w:b/>
        </w:rPr>
      </w:pPr>
      <w:r>
        <w:rPr>
          <w:b/>
        </w:rPr>
        <w:t>Gebührenverzeichnis</w:t>
      </w:r>
    </w:p>
    <w:p>
      <w:pPr>
        <w:pStyle w:val="GesAbsatz"/>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2410"/>
      </w:tblGrid>
      <w:tr>
        <w:trPr>
          <w:tblHeader/>
        </w:trPr>
        <w:tc>
          <w:tcPr>
            <w:tcW w:w="7621" w:type="dxa"/>
            <w:shd w:val="clear" w:color="auto" w:fill="auto"/>
            <w:vAlign w:val="center"/>
          </w:tcPr>
          <w:p>
            <w:pPr>
              <w:pStyle w:val="GesAbsatz"/>
              <w:jc w:val="center"/>
            </w:pPr>
            <w:r>
              <w:t>Individuell zurechenbare öffentliche Leistungen der Zulassungsstelle</w:t>
            </w:r>
          </w:p>
        </w:tc>
        <w:tc>
          <w:tcPr>
            <w:tcW w:w="2410" w:type="dxa"/>
            <w:shd w:val="clear" w:color="auto" w:fill="auto"/>
          </w:tcPr>
          <w:p>
            <w:pPr>
              <w:pStyle w:val="GesAbsatz"/>
              <w:jc w:val="center"/>
            </w:pPr>
            <w:r>
              <w:t>Gebührensatz (Nettobetrag zuzüglich Umsatzsteuer)</w:t>
            </w:r>
          </w:p>
          <w:p>
            <w:pPr>
              <w:pStyle w:val="GesAbsatz"/>
              <w:jc w:val="center"/>
            </w:pPr>
            <w:r>
              <w:t>Angaben in Euro</w:t>
            </w:r>
          </w:p>
        </w:tc>
      </w:tr>
      <w:tr>
        <w:tc>
          <w:tcPr>
            <w:tcW w:w="7621" w:type="dxa"/>
            <w:shd w:val="clear" w:color="auto" w:fill="auto"/>
          </w:tcPr>
          <w:p>
            <w:pPr>
              <w:pStyle w:val="GesAbsatz"/>
              <w:rPr>
                <w:b/>
              </w:rPr>
            </w:pPr>
            <w:r>
              <w:rPr>
                <w:b/>
              </w:rPr>
              <w:t>1. § 8 Abs. 2 in Verbindung mit § 11 Absatz 5 des Umweltauditgesetzes</w:t>
            </w:r>
          </w:p>
        </w:tc>
        <w:tc>
          <w:tcPr>
            <w:tcW w:w="2410" w:type="dxa"/>
            <w:shd w:val="clear" w:color="auto" w:fill="auto"/>
          </w:tcPr>
          <w:p>
            <w:pPr>
              <w:pStyle w:val="GesAbsatz"/>
            </w:pPr>
          </w:p>
        </w:tc>
      </w:tr>
      <w:tr>
        <w:tc>
          <w:tcPr>
            <w:tcW w:w="7621" w:type="dxa"/>
            <w:shd w:val="clear" w:color="auto" w:fill="auto"/>
          </w:tcPr>
          <w:p>
            <w:pPr>
              <w:pStyle w:val="GesAbsatz"/>
              <w:tabs>
                <w:tab w:val="clear" w:pos="425"/>
                <w:tab w:val="left" w:pos="284"/>
              </w:tabs>
              <w:ind w:left="284" w:hanging="284"/>
            </w:pPr>
            <w:r>
              <w:t>a)</w:t>
            </w:r>
            <w:r>
              <w:tab/>
              <w:t xml:space="preserve">Erteilung einer Fachkenntnisbescheinigung je Fachgebiet nach § 7 Abs. 2 Nr. 2 des Umweltauditgesetzes </w:t>
            </w:r>
          </w:p>
        </w:tc>
        <w:tc>
          <w:tcPr>
            <w:tcW w:w="2410" w:type="dxa"/>
            <w:shd w:val="clear" w:color="auto" w:fill="auto"/>
          </w:tcPr>
          <w:p>
            <w:pPr>
              <w:pStyle w:val="GesAbsatz"/>
              <w:tabs>
                <w:tab w:val="clear" w:pos="425"/>
                <w:tab w:val="right" w:pos="1564"/>
              </w:tabs>
            </w:pPr>
            <w:r>
              <w:tab/>
              <w:t>625</w:t>
            </w:r>
          </w:p>
        </w:tc>
      </w:tr>
      <w:tr>
        <w:tc>
          <w:tcPr>
            <w:tcW w:w="7621" w:type="dxa"/>
            <w:shd w:val="clear" w:color="auto" w:fill="auto"/>
          </w:tcPr>
          <w:p>
            <w:pPr>
              <w:pStyle w:val="GesAbsatz"/>
              <w:tabs>
                <w:tab w:val="clear" w:pos="425"/>
                <w:tab w:val="left" w:pos="284"/>
              </w:tabs>
              <w:ind w:left="284" w:hanging="284"/>
            </w:pPr>
            <w:r>
              <w:t>b)</w:t>
            </w:r>
            <w:r>
              <w:tab/>
              <w:t>zuzüglich Gebühren für die mündliche Prüfung je angefangene 15 Minuten rechnerisch mögliche Prüfzeit gemäß § 5 Abs. 3 der UAG-Zulassungsverfahrensverordnung</w:t>
            </w:r>
          </w:p>
        </w:tc>
        <w:tc>
          <w:tcPr>
            <w:tcW w:w="2410" w:type="dxa"/>
            <w:shd w:val="clear" w:color="auto" w:fill="auto"/>
          </w:tcPr>
          <w:p>
            <w:pPr>
              <w:pStyle w:val="GesAbsatz"/>
              <w:tabs>
                <w:tab w:val="clear" w:pos="425"/>
                <w:tab w:val="right" w:pos="1564"/>
              </w:tabs>
            </w:pPr>
          </w:p>
        </w:tc>
      </w:tr>
      <w:tr>
        <w:tc>
          <w:tcPr>
            <w:tcW w:w="7621" w:type="dxa"/>
            <w:shd w:val="clear" w:color="auto" w:fill="auto"/>
          </w:tcPr>
          <w:p>
            <w:pPr>
              <w:pStyle w:val="GesAbsatz"/>
              <w:tabs>
                <w:tab w:val="clear" w:pos="425"/>
              </w:tabs>
              <w:ind w:left="851" w:hanging="567"/>
            </w:pPr>
            <w:proofErr w:type="spellStart"/>
            <w:r>
              <w:t>aa</w:t>
            </w:r>
            <w:proofErr w:type="spellEnd"/>
            <w:r>
              <w:t>)</w:t>
            </w:r>
            <w:r>
              <w:tab/>
              <w:t xml:space="preserve">bei drei Prüfern </w:t>
            </w:r>
          </w:p>
        </w:tc>
        <w:tc>
          <w:tcPr>
            <w:tcW w:w="2410" w:type="dxa"/>
            <w:shd w:val="clear" w:color="auto" w:fill="auto"/>
          </w:tcPr>
          <w:p>
            <w:pPr>
              <w:pStyle w:val="GesAbsatz"/>
              <w:tabs>
                <w:tab w:val="clear" w:pos="425"/>
                <w:tab w:val="right" w:pos="1564"/>
              </w:tabs>
            </w:pPr>
            <w:r>
              <w:tab/>
              <w:t>95</w:t>
            </w:r>
          </w:p>
        </w:tc>
      </w:tr>
      <w:tr>
        <w:tc>
          <w:tcPr>
            <w:tcW w:w="7621" w:type="dxa"/>
            <w:shd w:val="clear" w:color="auto" w:fill="auto"/>
          </w:tcPr>
          <w:p>
            <w:pPr>
              <w:pStyle w:val="GesAbsatz"/>
              <w:tabs>
                <w:tab w:val="clear" w:pos="425"/>
              </w:tabs>
              <w:ind w:left="851" w:hanging="567"/>
            </w:pPr>
            <w:proofErr w:type="spellStart"/>
            <w:r>
              <w:t>bb</w:t>
            </w:r>
            <w:proofErr w:type="spellEnd"/>
            <w:r>
              <w:t>)</w:t>
            </w:r>
            <w:r>
              <w:tab/>
              <w:t xml:space="preserve">bei vier Prüfern </w:t>
            </w:r>
          </w:p>
        </w:tc>
        <w:tc>
          <w:tcPr>
            <w:tcW w:w="2410" w:type="dxa"/>
            <w:shd w:val="clear" w:color="auto" w:fill="auto"/>
          </w:tcPr>
          <w:p>
            <w:pPr>
              <w:pStyle w:val="GesAbsatz"/>
              <w:tabs>
                <w:tab w:val="clear" w:pos="425"/>
                <w:tab w:val="right" w:pos="1564"/>
              </w:tabs>
            </w:pPr>
            <w:r>
              <w:tab/>
              <w:t>126</w:t>
            </w:r>
          </w:p>
        </w:tc>
      </w:tr>
      <w:tr>
        <w:tc>
          <w:tcPr>
            <w:tcW w:w="7621" w:type="dxa"/>
            <w:shd w:val="clear" w:color="auto" w:fill="auto"/>
          </w:tcPr>
          <w:p>
            <w:pPr>
              <w:pStyle w:val="GesAbsatz"/>
              <w:tabs>
                <w:tab w:val="clear" w:pos="425"/>
              </w:tabs>
              <w:ind w:left="851" w:hanging="567"/>
            </w:pPr>
            <w:r>
              <w:t>cc)</w:t>
            </w:r>
            <w:r>
              <w:tab/>
              <w:t>bei fünf Prüfern</w:t>
            </w:r>
          </w:p>
        </w:tc>
        <w:tc>
          <w:tcPr>
            <w:tcW w:w="2410" w:type="dxa"/>
            <w:shd w:val="clear" w:color="auto" w:fill="auto"/>
          </w:tcPr>
          <w:p>
            <w:pPr>
              <w:pStyle w:val="GesAbsatz"/>
              <w:tabs>
                <w:tab w:val="clear" w:pos="425"/>
                <w:tab w:val="right" w:pos="1564"/>
              </w:tabs>
            </w:pPr>
            <w:r>
              <w:tab/>
              <w:t>158</w:t>
            </w:r>
          </w:p>
        </w:tc>
      </w:tr>
      <w:tr>
        <w:tc>
          <w:tcPr>
            <w:tcW w:w="7621" w:type="dxa"/>
            <w:shd w:val="clear" w:color="auto" w:fill="auto"/>
          </w:tcPr>
          <w:p>
            <w:pPr>
              <w:pStyle w:val="GesAbsatz"/>
              <w:rPr>
                <w:b/>
              </w:rPr>
            </w:pPr>
            <w:r>
              <w:rPr>
                <w:b/>
              </w:rPr>
              <w:t>2. § 9 Abs. 1 in Verbindung mit § 11 des Umweltauditgesetzes</w:t>
            </w:r>
          </w:p>
        </w:tc>
        <w:tc>
          <w:tcPr>
            <w:tcW w:w="2410" w:type="dxa"/>
            <w:shd w:val="clear" w:color="auto" w:fill="auto"/>
          </w:tcPr>
          <w:p>
            <w:pPr>
              <w:pStyle w:val="GesAbsatz"/>
              <w:tabs>
                <w:tab w:val="clear" w:pos="425"/>
                <w:tab w:val="right" w:pos="1564"/>
              </w:tabs>
            </w:pPr>
          </w:p>
        </w:tc>
      </w:tr>
      <w:tr>
        <w:tc>
          <w:tcPr>
            <w:tcW w:w="7621" w:type="dxa"/>
            <w:shd w:val="clear" w:color="auto" w:fill="auto"/>
          </w:tcPr>
          <w:p>
            <w:pPr>
              <w:pStyle w:val="GesAbsatz"/>
              <w:ind w:left="284" w:hanging="284"/>
            </w:pPr>
            <w:r>
              <w:t>a)</w:t>
            </w:r>
            <w:r>
              <w:tab/>
              <w:t xml:space="preserve">Zulassung als Umweltgutachter </w:t>
            </w:r>
          </w:p>
        </w:tc>
        <w:tc>
          <w:tcPr>
            <w:tcW w:w="2410" w:type="dxa"/>
            <w:shd w:val="clear" w:color="auto" w:fill="auto"/>
          </w:tcPr>
          <w:p>
            <w:pPr>
              <w:pStyle w:val="GesAbsatz"/>
              <w:tabs>
                <w:tab w:val="clear" w:pos="425"/>
                <w:tab w:val="right" w:pos="1564"/>
              </w:tabs>
            </w:pPr>
            <w:r>
              <w:tab/>
              <w:t>2 500</w:t>
            </w:r>
          </w:p>
        </w:tc>
      </w:tr>
      <w:tr>
        <w:tc>
          <w:tcPr>
            <w:tcW w:w="7621" w:type="dxa"/>
            <w:shd w:val="clear" w:color="auto" w:fill="auto"/>
          </w:tcPr>
          <w:p>
            <w:pPr>
              <w:pStyle w:val="GesAbsatz"/>
              <w:ind w:left="284" w:hanging="284"/>
            </w:pPr>
            <w:r>
              <w:t>b)</w:t>
            </w:r>
            <w:r>
              <w:tab/>
              <w:t>zuzüglich Gebühren für die mündliche Prüfung je angefangene 15 Minuten rechnerisch entstehende mögliche Prüfzeit gemäß § 5 Abs. 3 der UAG-Zulassungsverfahrensverordnung</w:t>
            </w:r>
          </w:p>
        </w:tc>
        <w:tc>
          <w:tcPr>
            <w:tcW w:w="2410" w:type="dxa"/>
            <w:shd w:val="clear" w:color="auto" w:fill="auto"/>
          </w:tcPr>
          <w:p>
            <w:pPr>
              <w:pStyle w:val="GesAbsatz"/>
              <w:tabs>
                <w:tab w:val="clear" w:pos="425"/>
                <w:tab w:val="right" w:pos="1564"/>
              </w:tabs>
            </w:pPr>
          </w:p>
        </w:tc>
      </w:tr>
      <w:tr>
        <w:tc>
          <w:tcPr>
            <w:tcW w:w="7621" w:type="dxa"/>
            <w:shd w:val="clear" w:color="auto" w:fill="auto"/>
          </w:tcPr>
          <w:p>
            <w:pPr>
              <w:pStyle w:val="GesAbsatz"/>
              <w:ind w:left="851" w:hanging="567"/>
            </w:pPr>
            <w:proofErr w:type="spellStart"/>
            <w:r>
              <w:t>aa</w:t>
            </w:r>
            <w:proofErr w:type="spellEnd"/>
            <w:r>
              <w:t>)</w:t>
            </w:r>
            <w:r>
              <w:tab/>
              <w:t xml:space="preserve">bei drei Prüfern </w:t>
            </w:r>
          </w:p>
        </w:tc>
        <w:tc>
          <w:tcPr>
            <w:tcW w:w="2410" w:type="dxa"/>
            <w:shd w:val="clear" w:color="auto" w:fill="auto"/>
          </w:tcPr>
          <w:p>
            <w:pPr>
              <w:pStyle w:val="GesAbsatz"/>
              <w:tabs>
                <w:tab w:val="clear" w:pos="425"/>
                <w:tab w:val="right" w:pos="1564"/>
              </w:tabs>
            </w:pPr>
            <w:r>
              <w:tab/>
              <w:t>95</w:t>
            </w:r>
          </w:p>
        </w:tc>
      </w:tr>
      <w:tr>
        <w:tc>
          <w:tcPr>
            <w:tcW w:w="7621" w:type="dxa"/>
            <w:shd w:val="clear" w:color="auto" w:fill="auto"/>
          </w:tcPr>
          <w:p>
            <w:pPr>
              <w:pStyle w:val="GesAbsatz"/>
              <w:ind w:left="851" w:hanging="567"/>
            </w:pPr>
            <w:proofErr w:type="spellStart"/>
            <w:r>
              <w:t>bb</w:t>
            </w:r>
            <w:proofErr w:type="spellEnd"/>
            <w:r>
              <w:t>)</w:t>
            </w:r>
            <w:r>
              <w:tab/>
              <w:t xml:space="preserve">bei vier Prüfern </w:t>
            </w:r>
          </w:p>
        </w:tc>
        <w:tc>
          <w:tcPr>
            <w:tcW w:w="2410" w:type="dxa"/>
            <w:shd w:val="clear" w:color="auto" w:fill="auto"/>
          </w:tcPr>
          <w:p>
            <w:pPr>
              <w:pStyle w:val="GesAbsatz"/>
              <w:tabs>
                <w:tab w:val="clear" w:pos="425"/>
                <w:tab w:val="right" w:pos="1564"/>
              </w:tabs>
            </w:pPr>
            <w:r>
              <w:tab/>
              <w:t>126</w:t>
            </w:r>
          </w:p>
        </w:tc>
      </w:tr>
      <w:tr>
        <w:tc>
          <w:tcPr>
            <w:tcW w:w="7621" w:type="dxa"/>
            <w:shd w:val="clear" w:color="auto" w:fill="auto"/>
          </w:tcPr>
          <w:p>
            <w:pPr>
              <w:pStyle w:val="GesAbsatz"/>
              <w:ind w:left="851" w:hanging="567"/>
            </w:pPr>
            <w:r>
              <w:t>cc)</w:t>
            </w:r>
            <w:r>
              <w:tab/>
              <w:t xml:space="preserve">bei fünf Prüfern </w:t>
            </w:r>
          </w:p>
        </w:tc>
        <w:tc>
          <w:tcPr>
            <w:tcW w:w="2410" w:type="dxa"/>
            <w:shd w:val="clear" w:color="auto" w:fill="auto"/>
          </w:tcPr>
          <w:p>
            <w:pPr>
              <w:pStyle w:val="GesAbsatz"/>
              <w:tabs>
                <w:tab w:val="clear" w:pos="425"/>
                <w:tab w:val="right" w:pos="1564"/>
              </w:tabs>
            </w:pPr>
            <w:r>
              <w:tab/>
              <w:t>158</w:t>
            </w:r>
          </w:p>
        </w:tc>
      </w:tr>
      <w:tr>
        <w:tc>
          <w:tcPr>
            <w:tcW w:w="7621" w:type="dxa"/>
            <w:shd w:val="clear" w:color="auto" w:fill="auto"/>
          </w:tcPr>
          <w:p>
            <w:pPr>
              <w:pStyle w:val="GesAbsatz"/>
              <w:rPr>
                <w:b/>
              </w:rPr>
            </w:pPr>
            <w:r>
              <w:rPr>
                <w:b/>
              </w:rPr>
              <w:t>3. § 10 des Umweltauditgesetzes</w:t>
            </w:r>
          </w:p>
        </w:tc>
        <w:tc>
          <w:tcPr>
            <w:tcW w:w="2410" w:type="dxa"/>
            <w:shd w:val="clear" w:color="auto" w:fill="auto"/>
          </w:tcPr>
          <w:p>
            <w:pPr>
              <w:pStyle w:val="GesAbsatz"/>
              <w:tabs>
                <w:tab w:val="clear" w:pos="425"/>
                <w:tab w:val="right" w:pos="1564"/>
              </w:tabs>
            </w:pPr>
          </w:p>
        </w:tc>
      </w:tr>
      <w:tr>
        <w:tc>
          <w:tcPr>
            <w:tcW w:w="7621" w:type="dxa"/>
            <w:shd w:val="clear" w:color="auto" w:fill="auto"/>
          </w:tcPr>
          <w:p>
            <w:pPr>
              <w:pStyle w:val="GesAbsatz"/>
            </w:pPr>
            <w:r>
              <w:t>Zulassung als Umweltgutachterorganisation (schriftliches Prüfungsverfahren)</w:t>
            </w:r>
          </w:p>
        </w:tc>
        <w:tc>
          <w:tcPr>
            <w:tcW w:w="2410" w:type="dxa"/>
            <w:shd w:val="clear" w:color="auto" w:fill="auto"/>
          </w:tcPr>
          <w:p>
            <w:pPr>
              <w:pStyle w:val="GesAbsatz"/>
              <w:tabs>
                <w:tab w:val="clear" w:pos="425"/>
                <w:tab w:val="right" w:pos="1564"/>
              </w:tabs>
            </w:pPr>
            <w:r>
              <w:tab/>
              <w:t>3 000</w:t>
            </w:r>
          </w:p>
        </w:tc>
      </w:tr>
      <w:tr>
        <w:tc>
          <w:tcPr>
            <w:tcW w:w="7621" w:type="dxa"/>
            <w:shd w:val="clear" w:color="auto" w:fill="auto"/>
          </w:tcPr>
          <w:p>
            <w:pPr>
              <w:pStyle w:val="GesAbsatz"/>
              <w:rPr>
                <w:b/>
              </w:rPr>
            </w:pPr>
            <w:r>
              <w:rPr>
                <w:b/>
              </w:rPr>
              <w:t>4. Erteilung einer Fachkenntnisbescheinigung im Wiederholungsverfahren</w:t>
            </w:r>
          </w:p>
        </w:tc>
        <w:tc>
          <w:tcPr>
            <w:tcW w:w="2410" w:type="dxa"/>
            <w:shd w:val="clear" w:color="auto" w:fill="auto"/>
          </w:tcPr>
          <w:p>
            <w:pPr>
              <w:pStyle w:val="GesAbsatz"/>
              <w:tabs>
                <w:tab w:val="clear" w:pos="425"/>
                <w:tab w:val="right" w:pos="1564"/>
              </w:tabs>
            </w:pPr>
          </w:p>
        </w:tc>
      </w:tr>
      <w:tr>
        <w:tc>
          <w:tcPr>
            <w:tcW w:w="7621" w:type="dxa"/>
            <w:shd w:val="clear" w:color="auto" w:fill="auto"/>
          </w:tcPr>
          <w:p>
            <w:pPr>
              <w:pStyle w:val="GesAbsatz"/>
            </w:pPr>
            <w:r>
              <w:t xml:space="preserve">Je Fachgebiet </w:t>
            </w:r>
          </w:p>
          <w:p>
            <w:pPr>
              <w:pStyle w:val="GesAbsatz"/>
            </w:pPr>
            <w:r>
              <w:t>zuzüglich Gebühren für die mündliche Prüfung gemäß Nummer 1 Buchstabe b</w:t>
            </w:r>
          </w:p>
        </w:tc>
        <w:tc>
          <w:tcPr>
            <w:tcW w:w="2410" w:type="dxa"/>
            <w:shd w:val="clear" w:color="auto" w:fill="auto"/>
          </w:tcPr>
          <w:p>
            <w:pPr>
              <w:pStyle w:val="GesAbsatz"/>
              <w:tabs>
                <w:tab w:val="clear" w:pos="425"/>
                <w:tab w:val="right" w:pos="1564"/>
              </w:tabs>
            </w:pPr>
            <w:r>
              <w:tab/>
              <w:t>200</w:t>
            </w:r>
          </w:p>
        </w:tc>
      </w:tr>
      <w:tr>
        <w:tc>
          <w:tcPr>
            <w:tcW w:w="7621" w:type="dxa"/>
            <w:shd w:val="clear" w:color="auto" w:fill="auto"/>
          </w:tcPr>
          <w:p>
            <w:pPr>
              <w:pStyle w:val="GesAbsatz"/>
              <w:rPr>
                <w:b/>
              </w:rPr>
            </w:pPr>
            <w:r>
              <w:rPr>
                <w:b/>
              </w:rPr>
              <w:t xml:space="preserve">5. Zulassung als Umweltgutachter im Wiederholungsverfahren </w:t>
            </w:r>
          </w:p>
          <w:p>
            <w:pPr>
              <w:pStyle w:val="GesAbsatz"/>
            </w:pPr>
            <w:r>
              <w:t>zuzüglich Gebühren für die mündliche Prüfung gemäß Nummer 2 Buchstabe b</w:t>
            </w:r>
          </w:p>
        </w:tc>
        <w:tc>
          <w:tcPr>
            <w:tcW w:w="2410" w:type="dxa"/>
            <w:shd w:val="clear" w:color="auto" w:fill="auto"/>
          </w:tcPr>
          <w:p>
            <w:pPr>
              <w:pStyle w:val="GesAbsatz"/>
              <w:tabs>
                <w:tab w:val="clear" w:pos="425"/>
                <w:tab w:val="right" w:pos="1564"/>
              </w:tabs>
            </w:pPr>
            <w:r>
              <w:tab/>
              <w:t>800</w:t>
            </w:r>
          </w:p>
        </w:tc>
      </w:tr>
      <w:tr>
        <w:tc>
          <w:tcPr>
            <w:tcW w:w="7621" w:type="dxa"/>
            <w:shd w:val="clear" w:color="auto" w:fill="auto"/>
          </w:tcPr>
          <w:p>
            <w:pPr>
              <w:pStyle w:val="GesAbsatz"/>
              <w:rPr>
                <w:b/>
              </w:rPr>
            </w:pPr>
            <w:r>
              <w:rPr>
                <w:b/>
              </w:rPr>
              <w:t>6. Zulassung als Umweltgutachter bei Beschränkung des Prüfungsgegenstandes gemäß § 11 Abs. 3 des Umweltauditgesetzes</w:t>
            </w:r>
          </w:p>
        </w:tc>
        <w:tc>
          <w:tcPr>
            <w:tcW w:w="2410" w:type="dxa"/>
            <w:shd w:val="clear" w:color="auto" w:fill="auto"/>
          </w:tcPr>
          <w:p>
            <w:pPr>
              <w:pStyle w:val="GesAbsatz"/>
              <w:tabs>
                <w:tab w:val="clear" w:pos="425"/>
                <w:tab w:val="right" w:pos="1564"/>
              </w:tabs>
            </w:pPr>
          </w:p>
        </w:tc>
      </w:tr>
      <w:tr>
        <w:tc>
          <w:tcPr>
            <w:tcW w:w="7621" w:type="dxa"/>
            <w:shd w:val="clear" w:color="auto" w:fill="auto"/>
          </w:tcPr>
          <w:p>
            <w:pPr>
              <w:pStyle w:val="GesAbsatz"/>
              <w:ind w:left="284" w:hanging="284"/>
            </w:pPr>
            <w:r>
              <w:t>a)</w:t>
            </w:r>
            <w:r>
              <w:tab/>
              <w:t xml:space="preserve">Personen, die am 21. August 2002 Inhaber einer Fachkenntnisbescheinigung sind, bis 31. Juli 2006 </w:t>
            </w:r>
          </w:p>
          <w:p>
            <w:pPr>
              <w:pStyle w:val="GesAbsatz"/>
            </w:pPr>
            <w:r>
              <w:t>zuzüglich Gebühren für die mündliche Prüfung gemäß Nummer 1 Buchstabe b</w:t>
            </w:r>
          </w:p>
        </w:tc>
        <w:tc>
          <w:tcPr>
            <w:tcW w:w="2410" w:type="dxa"/>
            <w:shd w:val="clear" w:color="auto" w:fill="auto"/>
          </w:tcPr>
          <w:p>
            <w:pPr>
              <w:pStyle w:val="GesAbsatz"/>
              <w:tabs>
                <w:tab w:val="clear" w:pos="425"/>
                <w:tab w:val="right" w:pos="1564"/>
              </w:tabs>
            </w:pPr>
            <w:r>
              <w:tab/>
              <w:t>350</w:t>
            </w:r>
          </w:p>
        </w:tc>
      </w:tr>
      <w:tr>
        <w:tc>
          <w:tcPr>
            <w:tcW w:w="7621" w:type="dxa"/>
            <w:shd w:val="clear" w:color="auto" w:fill="auto"/>
          </w:tcPr>
          <w:p>
            <w:pPr>
              <w:pStyle w:val="GesAbsatz"/>
              <w:ind w:left="284" w:hanging="284"/>
            </w:pPr>
            <w:r>
              <w:t>b)</w:t>
            </w:r>
            <w:r>
              <w:tab/>
              <w:t>Fälle des § 11 Abs. 3 des Umweltauditgesetzes, sofern bereits zuvor ein Antrag auf Zulassung als Umweltgutachter gestellt wurde</w:t>
            </w:r>
          </w:p>
          <w:p>
            <w:pPr>
              <w:pStyle w:val="GesAbsatz"/>
            </w:pPr>
            <w:r>
              <w:t>zuzüglich Gebühren für die mündliche Prüfung gemäß Nummer 1 Buchstabe b</w:t>
            </w:r>
          </w:p>
        </w:tc>
        <w:tc>
          <w:tcPr>
            <w:tcW w:w="2410" w:type="dxa"/>
            <w:shd w:val="clear" w:color="auto" w:fill="auto"/>
          </w:tcPr>
          <w:p>
            <w:pPr>
              <w:pStyle w:val="GesAbsatz"/>
              <w:tabs>
                <w:tab w:val="clear" w:pos="425"/>
                <w:tab w:val="right" w:pos="1564"/>
              </w:tabs>
            </w:pPr>
            <w:r>
              <w:tab/>
              <w:t>800</w:t>
            </w:r>
          </w:p>
        </w:tc>
      </w:tr>
      <w:tr>
        <w:tc>
          <w:tcPr>
            <w:tcW w:w="7621" w:type="dxa"/>
            <w:shd w:val="clear" w:color="auto" w:fill="auto"/>
          </w:tcPr>
          <w:p>
            <w:pPr>
              <w:pStyle w:val="GesAbsatz"/>
              <w:ind w:left="284" w:hanging="284"/>
            </w:pPr>
            <w:r>
              <w:t>c)</w:t>
            </w:r>
            <w:r>
              <w:tab/>
              <w:t xml:space="preserve">Fälle des § 11 Abs. 3 des Umweltauditgesetzes, sofern ein Antrag auf Zulassung als Umweltgutachter zuvor noch nicht gestellt wurde </w:t>
            </w:r>
          </w:p>
          <w:p>
            <w:pPr>
              <w:pStyle w:val="GesAbsatz"/>
            </w:pPr>
            <w:r>
              <w:lastRenderedPageBreak/>
              <w:t>zuzüglich Gebühren für die mündliche Prüfung gemäß Nummer 1 Buchstabe b</w:t>
            </w:r>
          </w:p>
        </w:tc>
        <w:tc>
          <w:tcPr>
            <w:tcW w:w="2410" w:type="dxa"/>
            <w:shd w:val="clear" w:color="auto" w:fill="auto"/>
          </w:tcPr>
          <w:p>
            <w:pPr>
              <w:pStyle w:val="GesAbsatz"/>
              <w:tabs>
                <w:tab w:val="clear" w:pos="425"/>
                <w:tab w:val="right" w:pos="1564"/>
              </w:tabs>
            </w:pPr>
            <w:r>
              <w:lastRenderedPageBreak/>
              <w:tab/>
              <w:t>2 000</w:t>
            </w:r>
          </w:p>
        </w:tc>
      </w:tr>
      <w:tr>
        <w:tc>
          <w:tcPr>
            <w:tcW w:w="7621" w:type="dxa"/>
            <w:shd w:val="clear" w:color="auto" w:fill="auto"/>
          </w:tcPr>
          <w:p>
            <w:pPr>
              <w:pStyle w:val="GesAbsatz"/>
              <w:rPr>
                <w:b/>
              </w:rPr>
            </w:pPr>
            <w:r>
              <w:rPr>
                <w:b/>
              </w:rPr>
              <w:t>7. Erweiterung der Zulassung als Umweltgutachter nach § 9 Abs. 1 Satz 1 des Umweltaudit-Gesetzes</w:t>
            </w:r>
          </w:p>
          <w:p>
            <w:pPr>
              <w:pStyle w:val="GesAbsatz"/>
            </w:pPr>
            <w:r>
              <w:t>zuzüglich Gebühren für die mündliche Prüfung gemäß Nummer 1 Buchstabe b</w:t>
            </w:r>
          </w:p>
        </w:tc>
        <w:tc>
          <w:tcPr>
            <w:tcW w:w="2410" w:type="dxa"/>
            <w:shd w:val="clear" w:color="auto" w:fill="auto"/>
          </w:tcPr>
          <w:p>
            <w:pPr>
              <w:pStyle w:val="GesAbsatz"/>
              <w:tabs>
                <w:tab w:val="clear" w:pos="425"/>
                <w:tab w:val="right" w:pos="1564"/>
              </w:tabs>
            </w:pPr>
            <w:r>
              <w:tab/>
              <w:t>800</w:t>
            </w:r>
          </w:p>
        </w:tc>
      </w:tr>
      <w:tr>
        <w:tc>
          <w:tcPr>
            <w:tcW w:w="7621" w:type="dxa"/>
            <w:shd w:val="clear" w:color="auto" w:fill="auto"/>
          </w:tcPr>
          <w:p>
            <w:pPr>
              <w:pStyle w:val="GesAbsatz"/>
              <w:rPr>
                <w:b/>
              </w:rPr>
            </w:pPr>
            <w:r>
              <w:rPr>
                <w:b/>
              </w:rPr>
              <w:t xml:space="preserve">8. Erweiterung der Zulassung einer Umweltgutachterorganisation gemäß § 10 Abs. 2 Satz 2 des Umweltauditgesetzes </w:t>
            </w:r>
          </w:p>
        </w:tc>
        <w:tc>
          <w:tcPr>
            <w:tcW w:w="2410" w:type="dxa"/>
            <w:shd w:val="clear" w:color="auto" w:fill="auto"/>
          </w:tcPr>
          <w:p>
            <w:pPr>
              <w:pStyle w:val="GesAbsatz"/>
              <w:tabs>
                <w:tab w:val="clear" w:pos="425"/>
                <w:tab w:val="right" w:pos="1564"/>
              </w:tabs>
            </w:pPr>
            <w:r>
              <w:tab/>
              <w:t>1 000</w:t>
            </w:r>
          </w:p>
        </w:tc>
      </w:tr>
      <w:tr>
        <w:tc>
          <w:tcPr>
            <w:tcW w:w="7621" w:type="dxa"/>
            <w:shd w:val="clear" w:color="auto" w:fill="auto"/>
          </w:tcPr>
          <w:p>
            <w:pPr>
              <w:pStyle w:val="GesAbsatz"/>
              <w:rPr>
                <w:b/>
              </w:rPr>
            </w:pPr>
            <w:r>
              <w:rPr>
                <w:b/>
              </w:rPr>
              <w:t xml:space="preserve">9. Erstreckung der Zulassung eines Umweltgutachters gemäß § 9 Abs. 1 Satz 2 des Umweltauditgesetzes auf weitere Zulassungsbereiche aufgrund der Anstellung zeichnungsberechtigter Personen </w:t>
            </w:r>
          </w:p>
        </w:tc>
        <w:tc>
          <w:tcPr>
            <w:tcW w:w="2410" w:type="dxa"/>
            <w:shd w:val="clear" w:color="auto" w:fill="auto"/>
          </w:tcPr>
          <w:p>
            <w:pPr>
              <w:pStyle w:val="GesAbsatz"/>
              <w:tabs>
                <w:tab w:val="clear" w:pos="425"/>
                <w:tab w:val="right" w:pos="1564"/>
              </w:tabs>
            </w:pPr>
            <w:r>
              <w:tab/>
              <w:t>1 000</w:t>
            </w:r>
          </w:p>
        </w:tc>
      </w:tr>
      <w:tr>
        <w:tc>
          <w:tcPr>
            <w:tcW w:w="7621" w:type="dxa"/>
            <w:shd w:val="clear" w:color="auto" w:fill="auto"/>
          </w:tcPr>
          <w:p>
            <w:pPr>
              <w:pStyle w:val="GesAbsatz"/>
              <w:rPr>
                <w:b/>
              </w:rPr>
            </w:pPr>
            <w:r>
              <w:rPr>
                <w:b/>
              </w:rPr>
              <w:t xml:space="preserve">10. Erweiterung der Zulassung als Umweltgutachter auf Drittstaaten nach § 9 Absatz 1 Satz 3 des Umweltauditgesetzes in Verbindung mit Art. 22 Abs. 2 der Verordnung (EG) Nr. 1221/2009. Diese Gebühr wird für jeden Drittstaat erhoben, um den die Zulassung erweitert wird. </w:t>
            </w:r>
          </w:p>
          <w:p>
            <w:pPr>
              <w:pStyle w:val="GesAbsatz"/>
            </w:pPr>
            <w:r>
              <w:t>zuzüglich Auslagen für den externen Experten für das Fachgespräch gemäß § 5a Abs. 2 der UAG-Zulassungsverfahrensverordnung</w:t>
            </w:r>
          </w:p>
        </w:tc>
        <w:tc>
          <w:tcPr>
            <w:tcW w:w="2410" w:type="dxa"/>
            <w:shd w:val="clear" w:color="auto" w:fill="auto"/>
          </w:tcPr>
          <w:p>
            <w:pPr>
              <w:pStyle w:val="GesAbsatz"/>
              <w:tabs>
                <w:tab w:val="clear" w:pos="425"/>
                <w:tab w:val="right" w:pos="1564"/>
              </w:tabs>
            </w:pPr>
            <w:r>
              <w:tab/>
              <w:t>800</w:t>
            </w:r>
          </w:p>
        </w:tc>
      </w:tr>
      <w:tr>
        <w:tc>
          <w:tcPr>
            <w:tcW w:w="7621" w:type="dxa"/>
            <w:shd w:val="clear" w:color="auto" w:fill="auto"/>
          </w:tcPr>
          <w:p>
            <w:pPr>
              <w:pStyle w:val="GesAbsatz"/>
              <w:rPr>
                <w:b/>
              </w:rPr>
            </w:pPr>
            <w:r>
              <w:rPr>
                <w:b/>
              </w:rPr>
              <w:t>11. Erweiterung der Zulassung als Umweltgutachter auf Drittstaaten gemäß Art. 22 Abs. 3 Satz 1 der Verordnung (EG) Nr. 1221/2009 (vertragliche Vereinbarung)</w:t>
            </w:r>
          </w:p>
        </w:tc>
        <w:tc>
          <w:tcPr>
            <w:tcW w:w="2410" w:type="dxa"/>
            <w:shd w:val="clear" w:color="auto" w:fill="auto"/>
          </w:tcPr>
          <w:p>
            <w:pPr>
              <w:pStyle w:val="GesAbsatz"/>
              <w:tabs>
                <w:tab w:val="clear" w:pos="425"/>
                <w:tab w:val="right" w:pos="1564"/>
              </w:tabs>
            </w:pPr>
          </w:p>
        </w:tc>
      </w:tr>
      <w:tr>
        <w:tc>
          <w:tcPr>
            <w:tcW w:w="7621" w:type="dxa"/>
            <w:shd w:val="clear" w:color="auto" w:fill="auto"/>
          </w:tcPr>
          <w:p>
            <w:pPr>
              <w:pStyle w:val="GesAbsatz"/>
              <w:ind w:left="284" w:hanging="284"/>
            </w:pPr>
            <w:r>
              <w:t>a)</w:t>
            </w:r>
            <w:r>
              <w:tab/>
              <w:t xml:space="preserve">für die erste Vereinbarung je Drittstaat </w:t>
            </w:r>
          </w:p>
        </w:tc>
        <w:tc>
          <w:tcPr>
            <w:tcW w:w="2410" w:type="dxa"/>
            <w:shd w:val="clear" w:color="auto" w:fill="auto"/>
          </w:tcPr>
          <w:p>
            <w:pPr>
              <w:pStyle w:val="GesAbsatz"/>
              <w:tabs>
                <w:tab w:val="clear" w:pos="425"/>
                <w:tab w:val="right" w:pos="1564"/>
              </w:tabs>
            </w:pPr>
            <w:r>
              <w:tab/>
              <w:t>800</w:t>
            </w:r>
          </w:p>
        </w:tc>
      </w:tr>
      <w:tr>
        <w:tc>
          <w:tcPr>
            <w:tcW w:w="7621" w:type="dxa"/>
            <w:shd w:val="clear" w:color="auto" w:fill="auto"/>
          </w:tcPr>
          <w:p>
            <w:pPr>
              <w:pStyle w:val="GesAbsatz"/>
              <w:ind w:left="284" w:hanging="284"/>
            </w:pPr>
            <w:r>
              <w:t>b)</w:t>
            </w:r>
            <w:r>
              <w:tab/>
              <w:t xml:space="preserve">zusätzlich für jede weitere Vereinbarung bezüglich des jeweiligen Drittstaates Buchstabe a </w:t>
            </w:r>
          </w:p>
        </w:tc>
        <w:tc>
          <w:tcPr>
            <w:tcW w:w="2410" w:type="dxa"/>
            <w:shd w:val="clear" w:color="auto" w:fill="auto"/>
          </w:tcPr>
          <w:p>
            <w:pPr>
              <w:pStyle w:val="GesAbsatz"/>
              <w:tabs>
                <w:tab w:val="clear" w:pos="425"/>
                <w:tab w:val="right" w:pos="1564"/>
              </w:tabs>
            </w:pPr>
            <w:r>
              <w:tab/>
              <w:t>300</w:t>
            </w:r>
          </w:p>
        </w:tc>
      </w:tr>
      <w:tr>
        <w:tc>
          <w:tcPr>
            <w:tcW w:w="7621" w:type="dxa"/>
            <w:shd w:val="clear" w:color="auto" w:fill="auto"/>
          </w:tcPr>
          <w:p>
            <w:pPr>
              <w:pStyle w:val="GesAbsatz"/>
              <w:rPr>
                <w:b/>
              </w:rPr>
            </w:pPr>
            <w:r>
              <w:rPr>
                <w:b/>
              </w:rPr>
              <w:t xml:space="preserve">12. Erweiterung der Zulassung einer Umweltgutachterorganisation auf Drittstaaten gemäß Art. 22 Abs. 2 der Verordnung (EG) Nr. 1221/2009. Diese Gebühr wird für jeden Drittstaat erhoben, um den die Zulassung erweitert wird. </w:t>
            </w:r>
          </w:p>
        </w:tc>
        <w:tc>
          <w:tcPr>
            <w:tcW w:w="2410" w:type="dxa"/>
            <w:shd w:val="clear" w:color="auto" w:fill="auto"/>
          </w:tcPr>
          <w:p>
            <w:pPr>
              <w:pStyle w:val="GesAbsatz"/>
              <w:tabs>
                <w:tab w:val="clear" w:pos="425"/>
                <w:tab w:val="right" w:pos="1564"/>
              </w:tabs>
            </w:pPr>
            <w:r>
              <w:tab/>
              <w:t>1 000</w:t>
            </w:r>
          </w:p>
        </w:tc>
      </w:tr>
      <w:tr>
        <w:tc>
          <w:tcPr>
            <w:tcW w:w="7621" w:type="dxa"/>
            <w:shd w:val="clear" w:color="auto" w:fill="auto"/>
          </w:tcPr>
          <w:p>
            <w:pPr>
              <w:pStyle w:val="GesAbsatz"/>
              <w:rPr>
                <w:b/>
              </w:rPr>
            </w:pPr>
            <w:r>
              <w:rPr>
                <w:b/>
              </w:rPr>
              <w:t>13. Erweiterung der Zulassung einer Umweltgutachterorganisation auf Drittstaaten gemäß Art. 22 Abs. 3 der Verordnung (EG) Nr. 1221/2009</w:t>
            </w:r>
          </w:p>
        </w:tc>
        <w:tc>
          <w:tcPr>
            <w:tcW w:w="2410" w:type="dxa"/>
            <w:shd w:val="clear" w:color="auto" w:fill="auto"/>
          </w:tcPr>
          <w:p>
            <w:pPr>
              <w:pStyle w:val="GesAbsatz"/>
              <w:tabs>
                <w:tab w:val="clear" w:pos="425"/>
                <w:tab w:val="right" w:pos="1564"/>
              </w:tabs>
            </w:pPr>
          </w:p>
        </w:tc>
      </w:tr>
      <w:tr>
        <w:tc>
          <w:tcPr>
            <w:tcW w:w="7621" w:type="dxa"/>
            <w:shd w:val="clear" w:color="auto" w:fill="auto"/>
          </w:tcPr>
          <w:p>
            <w:pPr>
              <w:pStyle w:val="GesAbsatz"/>
              <w:ind w:left="284" w:hanging="284"/>
            </w:pPr>
            <w:r>
              <w:t>a)</w:t>
            </w:r>
            <w:r>
              <w:tab/>
              <w:t xml:space="preserve">für die erste Vereinbarung je Drittstaat </w:t>
            </w:r>
          </w:p>
        </w:tc>
        <w:tc>
          <w:tcPr>
            <w:tcW w:w="2410" w:type="dxa"/>
            <w:shd w:val="clear" w:color="auto" w:fill="auto"/>
          </w:tcPr>
          <w:p>
            <w:pPr>
              <w:pStyle w:val="GesAbsatz"/>
              <w:tabs>
                <w:tab w:val="clear" w:pos="425"/>
                <w:tab w:val="right" w:pos="1564"/>
              </w:tabs>
            </w:pPr>
            <w:r>
              <w:tab/>
              <w:t>1 000</w:t>
            </w:r>
          </w:p>
        </w:tc>
      </w:tr>
      <w:tr>
        <w:tc>
          <w:tcPr>
            <w:tcW w:w="7621" w:type="dxa"/>
            <w:shd w:val="clear" w:color="auto" w:fill="auto"/>
          </w:tcPr>
          <w:p>
            <w:pPr>
              <w:pStyle w:val="GesAbsatz"/>
              <w:ind w:left="284" w:hanging="284"/>
            </w:pPr>
            <w:r>
              <w:t>b)</w:t>
            </w:r>
            <w:r>
              <w:tab/>
              <w:t xml:space="preserve">zusätzlich für jede weitere Vereinbarung bezüglich des jeweiligen Drittstaates Buchstabe a </w:t>
            </w:r>
          </w:p>
        </w:tc>
        <w:tc>
          <w:tcPr>
            <w:tcW w:w="2410" w:type="dxa"/>
            <w:shd w:val="clear" w:color="auto" w:fill="auto"/>
          </w:tcPr>
          <w:p>
            <w:pPr>
              <w:pStyle w:val="GesAbsatz"/>
              <w:tabs>
                <w:tab w:val="clear" w:pos="425"/>
                <w:tab w:val="right" w:pos="1564"/>
              </w:tabs>
            </w:pPr>
            <w:r>
              <w:tab/>
              <w:t>500</w:t>
            </w:r>
          </w:p>
        </w:tc>
      </w:tr>
      <w:tr>
        <w:tc>
          <w:tcPr>
            <w:tcW w:w="7621" w:type="dxa"/>
            <w:shd w:val="clear" w:color="auto" w:fill="auto"/>
          </w:tcPr>
          <w:p>
            <w:pPr>
              <w:pStyle w:val="GesAbsatz"/>
              <w:rPr>
                <w:b/>
              </w:rPr>
            </w:pPr>
            <w:r>
              <w:rPr>
                <w:b/>
              </w:rPr>
              <w:t>14. Erweiterung der Fachkenntnisbescheinigung</w:t>
            </w:r>
          </w:p>
        </w:tc>
        <w:tc>
          <w:tcPr>
            <w:tcW w:w="2410" w:type="dxa"/>
            <w:shd w:val="clear" w:color="auto" w:fill="auto"/>
          </w:tcPr>
          <w:p>
            <w:pPr>
              <w:pStyle w:val="GesAbsatz"/>
              <w:tabs>
                <w:tab w:val="clear" w:pos="425"/>
                <w:tab w:val="right" w:pos="1564"/>
              </w:tabs>
            </w:pPr>
          </w:p>
        </w:tc>
      </w:tr>
      <w:tr>
        <w:tc>
          <w:tcPr>
            <w:tcW w:w="7621" w:type="dxa"/>
            <w:shd w:val="clear" w:color="auto" w:fill="auto"/>
          </w:tcPr>
          <w:p>
            <w:pPr>
              <w:pStyle w:val="GesAbsatz"/>
            </w:pPr>
            <w:r>
              <w:t xml:space="preserve">Je Fachgebiet </w:t>
            </w:r>
          </w:p>
          <w:p>
            <w:pPr>
              <w:pStyle w:val="GesAbsatz"/>
            </w:pPr>
            <w:r>
              <w:t>zuzüglich Gebühren für die mündliche Prüfung gemäß Nummer 1 Buchstabe b</w:t>
            </w:r>
          </w:p>
        </w:tc>
        <w:tc>
          <w:tcPr>
            <w:tcW w:w="2410" w:type="dxa"/>
            <w:shd w:val="clear" w:color="auto" w:fill="auto"/>
          </w:tcPr>
          <w:p>
            <w:pPr>
              <w:pStyle w:val="GesAbsatz"/>
              <w:tabs>
                <w:tab w:val="clear" w:pos="425"/>
                <w:tab w:val="right" w:pos="1564"/>
              </w:tabs>
            </w:pPr>
            <w:r>
              <w:tab/>
              <w:t>200</w:t>
            </w:r>
          </w:p>
        </w:tc>
      </w:tr>
      <w:tr>
        <w:tc>
          <w:tcPr>
            <w:tcW w:w="7621" w:type="dxa"/>
            <w:shd w:val="clear" w:color="auto" w:fill="auto"/>
          </w:tcPr>
          <w:p>
            <w:pPr>
              <w:pStyle w:val="GesAbsatz"/>
              <w:rPr>
                <w:b/>
              </w:rPr>
            </w:pPr>
            <w:r>
              <w:rPr>
                <w:b/>
              </w:rPr>
              <w:t>15. Regelaufsicht nach §§ 15 und 18 des Umweltauditgesetzes</w:t>
            </w:r>
          </w:p>
        </w:tc>
        <w:tc>
          <w:tcPr>
            <w:tcW w:w="2410" w:type="dxa"/>
            <w:shd w:val="clear" w:color="auto" w:fill="auto"/>
          </w:tcPr>
          <w:p>
            <w:pPr>
              <w:pStyle w:val="GesAbsatz"/>
              <w:tabs>
                <w:tab w:val="clear" w:pos="425"/>
                <w:tab w:val="right" w:pos="1564"/>
              </w:tabs>
            </w:pPr>
          </w:p>
        </w:tc>
      </w:tr>
      <w:tr>
        <w:tc>
          <w:tcPr>
            <w:tcW w:w="7621" w:type="dxa"/>
            <w:shd w:val="clear" w:color="auto" w:fill="auto"/>
          </w:tcPr>
          <w:p>
            <w:pPr>
              <w:pStyle w:val="GesAbsatz"/>
              <w:ind w:left="284" w:hanging="284"/>
            </w:pPr>
            <w:r>
              <w:t>a)</w:t>
            </w:r>
            <w:r>
              <w:tab/>
              <w:t>Gebühr je angefangenem Aufsichtsmonat</w:t>
            </w:r>
          </w:p>
        </w:tc>
        <w:tc>
          <w:tcPr>
            <w:tcW w:w="2410" w:type="dxa"/>
            <w:shd w:val="clear" w:color="auto" w:fill="auto"/>
          </w:tcPr>
          <w:p>
            <w:pPr>
              <w:pStyle w:val="GesAbsatz"/>
              <w:tabs>
                <w:tab w:val="clear" w:pos="425"/>
                <w:tab w:val="right" w:pos="1564"/>
              </w:tabs>
            </w:pPr>
          </w:p>
        </w:tc>
      </w:tr>
      <w:tr>
        <w:tc>
          <w:tcPr>
            <w:tcW w:w="7621" w:type="dxa"/>
            <w:shd w:val="clear" w:color="auto" w:fill="auto"/>
          </w:tcPr>
          <w:p>
            <w:pPr>
              <w:pStyle w:val="GesAbsatz"/>
              <w:ind w:left="851" w:hanging="567"/>
            </w:pPr>
            <w:proofErr w:type="spellStart"/>
            <w:r>
              <w:t>aa</w:t>
            </w:r>
            <w:proofErr w:type="spellEnd"/>
            <w:r>
              <w:t>)</w:t>
            </w:r>
            <w:r>
              <w:tab/>
              <w:t xml:space="preserve">für jede Person, die am 21. August 2002 Inhaber einer Fachkenntnisbescheinigung war, bis 31. Juli 2006 </w:t>
            </w:r>
          </w:p>
        </w:tc>
        <w:tc>
          <w:tcPr>
            <w:tcW w:w="2410" w:type="dxa"/>
            <w:shd w:val="clear" w:color="auto" w:fill="auto"/>
          </w:tcPr>
          <w:p>
            <w:pPr>
              <w:pStyle w:val="GesAbsatz"/>
              <w:tabs>
                <w:tab w:val="clear" w:pos="425"/>
                <w:tab w:val="right" w:pos="1564"/>
              </w:tabs>
            </w:pPr>
            <w:r>
              <w:tab/>
              <w:t>20</w:t>
            </w:r>
          </w:p>
        </w:tc>
      </w:tr>
      <w:tr>
        <w:tc>
          <w:tcPr>
            <w:tcW w:w="7621" w:type="dxa"/>
            <w:shd w:val="clear" w:color="auto" w:fill="auto"/>
          </w:tcPr>
          <w:p>
            <w:pPr>
              <w:pStyle w:val="GesAbsatz"/>
              <w:ind w:left="851" w:hanging="567"/>
            </w:pPr>
            <w:proofErr w:type="spellStart"/>
            <w:r>
              <w:t>bb</w:t>
            </w:r>
            <w:proofErr w:type="spellEnd"/>
            <w:r>
              <w:t>)</w:t>
            </w:r>
            <w:r>
              <w:tab/>
              <w:t xml:space="preserve">für jeden sonstigen Fachkenntnisbescheinigungsinhaber, jeden Umweltgutachter und jede Umweltgutachterorganisation </w:t>
            </w:r>
          </w:p>
        </w:tc>
        <w:tc>
          <w:tcPr>
            <w:tcW w:w="2410" w:type="dxa"/>
            <w:shd w:val="clear" w:color="auto" w:fill="auto"/>
          </w:tcPr>
          <w:p>
            <w:pPr>
              <w:pStyle w:val="GesAbsatz"/>
              <w:tabs>
                <w:tab w:val="clear" w:pos="425"/>
                <w:tab w:val="right" w:pos="1564"/>
              </w:tabs>
            </w:pPr>
            <w:r>
              <w:tab/>
              <w:t>45</w:t>
            </w:r>
          </w:p>
        </w:tc>
      </w:tr>
      <w:tr>
        <w:tc>
          <w:tcPr>
            <w:tcW w:w="7621" w:type="dxa"/>
            <w:shd w:val="clear" w:color="auto" w:fill="auto"/>
          </w:tcPr>
          <w:p>
            <w:pPr>
              <w:pStyle w:val="GesAbsatz"/>
              <w:ind w:left="284" w:hanging="284"/>
            </w:pPr>
            <w:r>
              <w:t>b)</w:t>
            </w:r>
            <w:r>
              <w:tab/>
              <w:t>zusätzlich Gebührenanteil bezogen auf den Begutachtungsumfang bei vor dem 11. September 2002 durchgeführten Begutachtungen (Erstbegutachtungen und Gültigkeitserklärungen konsolidierter Umwelterklärungen)</w:t>
            </w:r>
          </w:p>
          <w:p>
            <w:pPr>
              <w:pStyle w:val="GesAbsatz"/>
            </w:pPr>
            <w:r>
              <w:lastRenderedPageBreak/>
              <w:t>Je vorgenommener Begutachtung eines Standortes</w:t>
            </w:r>
          </w:p>
        </w:tc>
        <w:tc>
          <w:tcPr>
            <w:tcW w:w="2410" w:type="dxa"/>
            <w:shd w:val="clear" w:color="auto" w:fill="auto"/>
          </w:tcPr>
          <w:p>
            <w:pPr>
              <w:pStyle w:val="GesAbsatz"/>
              <w:tabs>
                <w:tab w:val="clear" w:pos="425"/>
                <w:tab w:val="right" w:pos="1564"/>
              </w:tabs>
            </w:pPr>
          </w:p>
        </w:tc>
      </w:tr>
      <w:tr>
        <w:tc>
          <w:tcPr>
            <w:tcW w:w="7621" w:type="dxa"/>
            <w:shd w:val="clear" w:color="auto" w:fill="auto"/>
          </w:tcPr>
          <w:p>
            <w:pPr>
              <w:pStyle w:val="GesAbsatz"/>
              <w:ind w:left="851" w:hanging="567"/>
            </w:pPr>
            <w:proofErr w:type="spellStart"/>
            <w:r>
              <w:t>aa</w:t>
            </w:r>
            <w:proofErr w:type="spellEnd"/>
            <w:r>
              <w:t>)</w:t>
            </w:r>
            <w:r>
              <w:tab/>
              <w:t xml:space="preserve">mit bis zu 50 Beschäftigten </w:t>
            </w:r>
          </w:p>
        </w:tc>
        <w:tc>
          <w:tcPr>
            <w:tcW w:w="2410" w:type="dxa"/>
            <w:shd w:val="clear" w:color="auto" w:fill="auto"/>
          </w:tcPr>
          <w:p>
            <w:pPr>
              <w:pStyle w:val="GesAbsatz"/>
              <w:tabs>
                <w:tab w:val="clear" w:pos="425"/>
                <w:tab w:val="right" w:pos="1564"/>
              </w:tabs>
            </w:pPr>
            <w:r>
              <w:tab/>
              <w:t>150</w:t>
            </w:r>
          </w:p>
        </w:tc>
      </w:tr>
      <w:tr>
        <w:tc>
          <w:tcPr>
            <w:tcW w:w="7621" w:type="dxa"/>
            <w:shd w:val="clear" w:color="auto" w:fill="auto"/>
          </w:tcPr>
          <w:p>
            <w:pPr>
              <w:pStyle w:val="GesAbsatz"/>
              <w:ind w:left="851" w:hanging="567"/>
            </w:pPr>
            <w:proofErr w:type="spellStart"/>
            <w:r>
              <w:t>bb</w:t>
            </w:r>
            <w:proofErr w:type="spellEnd"/>
            <w:r>
              <w:t>)</w:t>
            </w:r>
            <w:r>
              <w:tab/>
              <w:t xml:space="preserve">mit 51 bis zu 250 Beschäftigten </w:t>
            </w:r>
          </w:p>
        </w:tc>
        <w:tc>
          <w:tcPr>
            <w:tcW w:w="2410" w:type="dxa"/>
            <w:shd w:val="clear" w:color="auto" w:fill="auto"/>
          </w:tcPr>
          <w:p>
            <w:pPr>
              <w:pStyle w:val="GesAbsatz"/>
              <w:tabs>
                <w:tab w:val="clear" w:pos="425"/>
                <w:tab w:val="right" w:pos="1564"/>
              </w:tabs>
            </w:pPr>
            <w:r>
              <w:tab/>
              <w:t>300</w:t>
            </w:r>
          </w:p>
        </w:tc>
      </w:tr>
      <w:tr>
        <w:tc>
          <w:tcPr>
            <w:tcW w:w="7621" w:type="dxa"/>
            <w:shd w:val="clear" w:color="auto" w:fill="auto"/>
          </w:tcPr>
          <w:p>
            <w:pPr>
              <w:pStyle w:val="GesAbsatz"/>
              <w:ind w:left="851" w:hanging="567"/>
            </w:pPr>
            <w:r>
              <w:t>cc)</w:t>
            </w:r>
            <w:r>
              <w:tab/>
              <w:t xml:space="preserve">mit mehr als 250 Beschäftigten </w:t>
            </w:r>
          </w:p>
          <w:p>
            <w:pPr>
              <w:pStyle w:val="GesAbsatz"/>
            </w:pPr>
            <w:r>
              <w:t>Teilzeitbeschäftigte sind anteilig zu berücksichtigen.</w:t>
            </w:r>
          </w:p>
        </w:tc>
        <w:tc>
          <w:tcPr>
            <w:tcW w:w="2410" w:type="dxa"/>
            <w:shd w:val="clear" w:color="auto" w:fill="auto"/>
          </w:tcPr>
          <w:p>
            <w:pPr>
              <w:pStyle w:val="GesAbsatz"/>
              <w:tabs>
                <w:tab w:val="clear" w:pos="425"/>
                <w:tab w:val="right" w:pos="1564"/>
              </w:tabs>
            </w:pPr>
            <w:r>
              <w:tab/>
              <w:t>700</w:t>
            </w:r>
          </w:p>
        </w:tc>
      </w:tr>
      <w:tr>
        <w:tc>
          <w:tcPr>
            <w:tcW w:w="7621" w:type="dxa"/>
            <w:shd w:val="clear" w:color="auto" w:fill="auto"/>
          </w:tcPr>
          <w:p>
            <w:pPr>
              <w:pStyle w:val="GesAbsatz"/>
              <w:ind w:left="284" w:hanging="284"/>
            </w:pPr>
            <w:r>
              <w:t>c)</w:t>
            </w:r>
            <w:r>
              <w:tab/>
              <w:t>zusätzlich Gebührenanteil bezogen auf den Begutachtungsumfang bei nach dem 11. September 2002 durchgeführten Begutachtungen (Erstbegutachtungen bzw. Gültigkeitserklärungen konsolidierter Umwelterklärungen)</w:t>
            </w:r>
          </w:p>
          <w:p>
            <w:pPr>
              <w:pStyle w:val="GesAbsatz"/>
            </w:pPr>
            <w:r>
              <w:t>Je vorgenommener Begutachtung eines Standortes</w:t>
            </w:r>
          </w:p>
        </w:tc>
        <w:tc>
          <w:tcPr>
            <w:tcW w:w="2410" w:type="dxa"/>
            <w:shd w:val="clear" w:color="auto" w:fill="auto"/>
          </w:tcPr>
          <w:p>
            <w:pPr>
              <w:pStyle w:val="GesAbsatz"/>
              <w:tabs>
                <w:tab w:val="clear" w:pos="425"/>
                <w:tab w:val="right" w:pos="1564"/>
              </w:tabs>
            </w:pPr>
          </w:p>
        </w:tc>
      </w:tr>
      <w:tr>
        <w:tc>
          <w:tcPr>
            <w:tcW w:w="7621" w:type="dxa"/>
            <w:shd w:val="clear" w:color="auto" w:fill="auto"/>
          </w:tcPr>
          <w:p>
            <w:pPr>
              <w:pStyle w:val="GesAbsatz"/>
              <w:ind w:left="851" w:hanging="567"/>
            </w:pPr>
            <w:proofErr w:type="spellStart"/>
            <w:r>
              <w:t>aa</w:t>
            </w:r>
            <w:proofErr w:type="spellEnd"/>
            <w:r>
              <w:t>)</w:t>
            </w:r>
            <w:r>
              <w:tab/>
              <w:t xml:space="preserve">mit bis zu 10 Beschäftigten </w:t>
            </w:r>
          </w:p>
        </w:tc>
        <w:tc>
          <w:tcPr>
            <w:tcW w:w="2410" w:type="dxa"/>
            <w:shd w:val="clear" w:color="auto" w:fill="auto"/>
          </w:tcPr>
          <w:p>
            <w:pPr>
              <w:pStyle w:val="GesAbsatz"/>
              <w:tabs>
                <w:tab w:val="clear" w:pos="425"/>
                <w:tab w:val="right" w:pos="1564"/>
              </w:tabs>
            </w:pPr>
            <w:r>
              <w:tab/>
              <w:t>50</w:t>
            </w:r>
          </w:p>
        </w:tc>
      </w:tr>
      <w:tr>
        <w:tc>
          <w:tcPr>
            <w:tcW w:w="7621" w:type="dxa"/>
            <w:shd w:val="clear" w:color="auto" w:fill="auto"/>
          </w:tcPr>
          <w:p>
            <w:pPr>
              <w:pStyle w:val="GesAbsatz"/>
              <w:ind w:left="851" w:hanging="567"/>
            </w:pPr>
            <w:proofErr w:type="spellStart"/>
            <w:r>
              <w:t>bb</w:t>
            </w:r>
            <w:proofErr w:type="spellEnd"/>
            <w:r>
              <w:t>)</w:t>
            </w:r>
            <w:r>
              <w:tab/>
              <w:t>mit 11 bis zu 25 Beschäftigten</w:t>
            </w:r>
          </w:p>
        </w:tc>
        <w:tc>
          <w:tcPr>
            <w:tcW w:w="2410" w:type="dxa"/>
            <w:shd w:val="clear" w:color="auto" w:fill="auto"/>
          </w:tcPr>
          <w:p>
            <w:pPr>
              <w:pStyle w:val="GesAbsatz"/>
              <w:tabs>
                <w:tab w:val="clear" w:pos="425"/>
                <w:tab w:val="right" w:pos="1564"/>
              </w:tabs>
            </w:pPr>
            <w:r>
              <w:tab/>
              <w:t>100</w:t>
            </w:r>
          </w:p>
        </w:tc>
      </w:tr>
      <w:tr>
        <w:tc>
          <w:tcPr>
            <w:tcW w:w="7621" w:type="dxa"/>
            <w:shd w:val="clear" w:color="auto" w:fill="auto"/>
          </w:tcPr>
          <w:p>
            <w:pPr>
              <w:pStyle w:val="GesAbsatz"/>
              <w:ind w:left="851" w:hanging="567"/>
            </w:pPr>
            <w:r>
              <w:t>cc)</w:t>
            </w:r>
            <w:r>
              <w:tab/>
              <w:t xml:space="preserve">mit 26 bis zu 50 Beschäftigten </w:t>
            </w:r>
          </w:p>
        </w:tc>
        <w:tc>
          <w:tcPr>
            <w:tcW w:w="2410" w:type="dxa"/>
            <w:shd w:val="clear" w:color="auto" w:fill="auto"/>
          </w:tcPr>
          <w:p>
            <w:pPr>
              <w:pStyle w:val="GesAbsatz"/>
              <w:tabs>
                <w:tab w:val="clear" w:pos="425"/>
                <w:tab w:val="right" w:pos="1564"/>
              </w:tabs>
            </w:pPr>
            <w:r>
              <w:tab/>
              <w:t>150</w:t>
            </w:r>
          </w:p>
        </w:tc>
      </w:tr>
      <w:tr>
        <w:tc>
          <w:tcPr>
            <w:tcW w:w="7621" w:type="dxa"/>
            <w:shd w:val="clear" w:color="auto" w:fill="auto"/>
          </w:tcPr>
          <w:p>
            <w:pPr>
              <w:pStyle w:val="GesAbsatz"/>
              <w:ind w:left="851" w:hanging="567"/>
            </w:pPr>
            <w:proofErr w:type="spellStart"/>
            <w:r>
              <w:t>dd</w:t>
            </w:r>
            <w:proofErr w:type="spellEnd"/>
            <w:r>
              <w:t>)</w:t>
            </w:r>
            <w:r>
              <w:tab/>
              <w:t xml:space="preserve">mit 51 bis zu 250 Beschäftigten </w:t>
            </w:r>
          </w:p>
        </w:tc>
        <w:tc>
          <w:tcPr>
            <w:tcW w:w="2410" w:type="dxa"/>
            <w:shd w:val="clear" w:color="auto" w:fill="auto"/>
          </w:tcPr>
          <w:p>
            <w:pPr>
              <w:pStyle w:val="GesAbsatz"/>
              <w:tabs>
                <w:tab w:val="clear" w:pos="425"/>
                <w:tab w:val="right" w:pos="1564"/>
              </w:tabs>
            </w:pPr>
            <w:r>
              <w:tab/>
              <w:t>300</w:t>
            </w:r>
          </w:p>
        </w:tc>
      </w:tr>
      <w:tr>
        <w:tc>
          <w:tcPr>
            <w:tcW w:w="7621" w:type="dxa"/>
            <w:shd w:val="clear" w:color="auto" w:fill="auto"/>
          </w:tcPr>
          <w:p>
            <w:pPr>
              <w:pStyle w:val="GesAbsatz"/>
              <w:ind w:left="851" w:hanging="567"/>
            </w:pPr>
            <w:proofErr w:type="spellStart"/>
            <w:r>
              <w:t>ee</w:t>
            </w:r>
            <w:proofErr w:type="spellEnd"/>
            <w:r>
              <w:t>)</w:t>
            </w:r>
            <w:r>
              <w:tab/>
              <w:t>mit 251 bis zu 500 Beschäftigten</w:t>
            </w:r>
          </w:p>
        </w:tc>
        <w:tc>
          <w:tcPr>
            <w:tcW w:w="2410" w:type="dxa"/>
            <w:shd w:val="clear" w:color="auto" w:fill="auto"/>
          </w:tcPr>
          <w:p>
            <w:pPr>
              <w:pStyle w:val="GesAbsatz"/>
              <w:tabs>
                <w:tab w:val="clear" w:pos="425"/>
                <w:tab w:val="right" w:pos="1564"/>
              </w:tabs>
            </w:pPr>
            <w:r>
              <w:tab/>
              <w:t>720</w:t>
            </w:r>
          </w:p>
        </w:tc>
      </w:tr>
      <w:tr>
        <w:tc>
          <w:tcPr>
            <w:tcW w:w="7621" w:type="dxa"/>
            <w:shd w:val="clear" w:color="auto" w:fill="auto"/>
          </w:tcPr>
          <w:p>
            <w:pPr>
              <w:pStyle w:val="GesAbsatz"/>
              <w:ind w:left="851" w:hanging="567"/>
            </w:pPr>
            <w:r>
              <w:t>ff)</w:t>
            </w:r>
            <w:r>
              <w:tab/>
              <w:t xml:space="preserve">mit mehr als 500 Beschäftigten </w:t>
            </w:r>
          </w:p>
          <w:p>
            <w:pPr>
              <w:pStyle w:val="GesAbsatz"/>
            </w:pPr>
            <w:r>
              <w:t>Teilzeitbeschäftigte sind anteilig zu berücksichtigen.</w:t>
            </w:r>
          </w:p>
        </w:tc>
        <w:tc>
          <w:tcPr>
            <w:tcW w:w="2410" w:type="dxa"/>
            <w:shd w:val="clear" w:color="auto" w:fill="auto"/>
          </w:tcPr>
          <w:p>
            <w:pPr>
              <w:pStyle w:val="GesAbsatz"/>
              <w:tabs>
                <w:tab w:val="clear" w:pos="425"/>
                <w:tab w:val="right" w:pos="1564"/>
              </w:tabs>
            </w:pPr>
            <w:r>
              <w:tab/>
              <w:t>920</w:t>
            </w:r>
          </w:p>
        </w:tc>
      </w:tr>
      <w:tr>
        <w:tc>
          <w:tcPr>
            <w:tcW w:w="7621" w:type="dxa"/>
            <w:shd w:val="clear" w:color="auto" w:fill="auto"/>
          </w:tcPr>
          <w:p>
            <w:pPr>
              <w:pStyle w:val="GesAbsatz"/>
              <w:ind w:left="284" w:hanging="284"/>
            </w:pPr>
            <w:r>
              <w:t>d)</w:t>
            </w:r>
            <w:r>
              <w:tab/>
              <w:t>zusätzlich Gebührenanteil bezogen auf den Begutachtungsumfang bei nach dem 12. Dezember 2006 durchgeführten Begutachtungen (Erstbegutachtungen bzw. Gültigkeitserklärungen konsolidierter Umwelterklärungen)</w:t>
            </w:r>
          </w:p>
          <w:p>
            <w:pPr>
              <w:pStyle w:val="GesAbsatz"/>
            </w:pPr>
            <w:r>
              <w:t>Je vorgenommener Begutachtung eines Standortes</w:t>
            </w:r>
          </w:p>
        </w:tc>
        <w:tc>
          <w:tcPr>
            <w:tcW w:w="2410" w:type="dxa"/>
            <w:shd w:val="clear" w:color="auto" w:fill="auto"/>
          </w:tcPr>
          <w:p>
            <w:pPr>
              <w:pStyle w:val="GesAbsatz"/>
              <w:tabs>
                <w:tab w:val="clear" w:pos="425"/>
                <w:tab w:val="right" w:pos="1564"/>
              </w:tabs>
            </w:pPr>
          </w:p>
        </w:tc>
      </w:tr>
      <w:tr>
        <w:tc>
          <w:tcPr>
            <w:tcW w:w="7621" w:type="dxa"/>
            <w:shd w:val="clear" w:color="auto" w:fill="auto"/>
          </w:tcPr>
          <w:p>
            <w:pPr>
              <w:pStyle w:val="GesAbsatz"/>
              <w:ind w:left="851" w:hanging="567"/>
            </w:pPr>
            <w:proofErr w:type="spellStart"/>
            <w:r>
              <w:t>aa</w:t>
            </w:r>
            <w:proofErr w:type="spellEnd"/>
            <w:r>
              <w:t>)</w:t>
            </w:r>
            <w:r>
              <w:tab/>
              <w:t xml:space="preserve">mit bis zu 10 Beschäftigten </w:t>
            </w:r>
          </w:p>
        </w:tc>
        <w:tc>
          <w:tcPr>
            <w:tcW w:w="2410" w:type="dxa"/>
            <w:shd w:val="clear" w:color="auto" w:fill="auto"/>
          </w:tcPr>
          <w:p>
            <w:pPr>
              <w:pStyle w:val="GesAbsatz"/>
              <w:tabs>
                <w:tab w:val="clear" w:pos="425"/>
                <w:tab w:val="right" w:pos="1564"/>
              </w:tabs>
            </w:pPr>
            <w:r>
              <w:tab/>
              <w:t>45</w:t>
            </w:r>
          </w:p>
        </w:tc>
      </w:tr>
      <w:tr>
        <w:tc>
          <w:tcPr>
            <w:tcW w:w="7621" w:type="dxa"/>
            <w:shd w:val="clear" w:color="auto" w:fill="auto"/>
          </w:tcPr>
          <w:p>
            <w:pPr>
              <w:pStyle w:val="GesAbsatz"/>
              <w:ind w:left="851" w:hanging="567"/>
            </w:pPr>
            <w:proofErr w:type="spellStart"/>
            <w:r>
              <w:t>bb</w:t>
            </w:r>
            <w:proofErr w:type="spellEnd"/>
            <w:r>
              <w:t>)</w:t>
            </w:r>
            <w:r>
              <w:tab/>
              <w:t>mit 11 bis zu 25 Beschäftigten</w:t>
            </w:r>
          </w:p>
        </w:tc>
        <w:tc>
          <w:tcPr>
            <w:tcW w:w="2410" w:type="dxa"/>
            <w:shd w:val="clear" w:color="auto" w:fill="auto"/>
          </w:tcPr>
          <w:p>
            <w:pPr>
              <w:pStyle w:val="GesAbsatz"/>
              <w:tabs>
                <w:tab w:val="clear" w:pos="425"/>
                <w:tab w:val="right" w:pos="1564"/>
              </w:tabs>
            </w:pPr>
            <w:r>
              <w:tab/>
              <w:t>95</w:t>
            </w:r>
          </w:p>
        </w:tc>
      </w:tr>
      <w:tr>
        <w:tc>
          <w:tcPr>
            <w:tcW w:w="7621" w:type="dxa"/>
            <w:shd w:val="clear" w:color="auto" w:fill="auto"/>
          </w:tcPr>
          <w:p>
            <w:pPr>
              <w:pStyle w:val="GesAbsatz"/>
              <w:ind w:left="851" w:hanging="567"/>
            </w:pPr>
            <w:r>
              <w:t>cc)</w:t>
            </w:r>
            <w:r>
              <w:tab/>
              <w:t xml:space="preserve">mit 26 bis zu 50 Beschäftigten </w:t>
            </w:r>
          </w:p>
        </w:tc>
        <w:tc>
          <w:tcPr>
            <w:tcW w:w="2410" w:type="dxa"/>
            <w:shd w:val="clear" w:color="auto" w:fill="auto"/>
          </w:tcPr>
          <w:p>
            <w:pPr>
              <w:pStyle w:val="GesAbsatz"/>
              <w:tabs>
                <w:tab w:val="clear" w:pos="425"/>
                <w:tab w:val="right" w:pos="1564"/>
              </w:tabs>
            </w:pPr>
            <w:r>
              <w:tab/>
              <w:t>145</w:t>
            </w:r>
          </w:p>
        </w:tc>
      </w:tr>
      <w:tr>
        <w:tc>
          <w:tcPr>
            <w:tcW w:w="7621" w:type="dxa"/>
            <w:shd w:val="clear" w:color="auto" w:fill="auto"/>
          </w:tcPr>
          <w:p>
            <w:pPr>
              <w:pStyle w:val="GesAbsatz"/>
              <w:ind w:left="851" w:hanging="567"/>
            </w:pPr>
            <w:proofErr w:type="spellStart"/>
            <w:r>
              <w:t>dd</w:t>
            </w:r>
            <w:proofErr w:type="spellEnd"/>
            <w:r>
              <w:t>)</w:t>
            </w:r>
            <w:r>
              <w:tab/>
              <w:t xml:space="preserve">mit 51 bis zu 250 Beschäftigten </w:t>
            </w:r>
          </w:p>
        </w:tc>
        <w:tc>
          <w:tcPr>
            <w:tcW w:w="2410" w:type="dxa"/>
            <w:shd w:val="clear" w:color="auto" w:fill="auto"/>
          </w:tcPr>
          <w:p>
            <w:pPr>
              <w:pStyle w:val="GesAbsatz"/>
              <w:tabs>
                <w:tab w:val="clear" w:pos="425"/>
                <w:tab w:val="right" w:pos="1564"/>
              </w:tabs>
            </w:pPr>
            <w:r>
              <w:tab/>
              <w:t>285</w:t>
            </w:r>
          </w:p>
        </w:tc>
      </w:tr>
      <w:tr>
        <w:tc>
          <w:tcPr>
            <w:tcW w:w="7621" w:type="dxa"/>
            <w:shd w:val="clear" w:color="auto" w:fill="auto"/>
          </w:tcPr>
          <w:p>
            <w:pPr>
              <w:pStyle w:val="GesAbsatz"/>
              <w:ind w:left="851" w:hanging="567"/>
            </w:pPr>
            <w:proofErr w:type="spellStart"/>
            <w:r>
              <w:t>ee</w:t>
            </w:r>
            <w:proofErr w:type="spellEnd"/>
            <w:r>
              <w:t>)</w:t>
            </w:r>
            <w:r>
              <w:tab/>
              <w:t>mit 251 bis zu 500 Beschäftigten</w:t>
            </w:r>
          </w:p>
        </w:tc>
        <w:tc>
          <w:tcPr>
            <w:tcW w:w="2410" w:type="dxa"/>
            <w:shd w:val="clear" w:color="auto" w:fill="auto"/>
          </w:tcPr>
          <w:p>
            <w:pPr>
              <w:pStyle w:val="GesAbsatz"/>
              <w:tabs>
                <w:tab w:val="clear" w:pos="425"/>
                <w:tab w:val="right" w:pos="1564"/>
              </w:tabs>
            </w:pPr>
            <w:r>
              <w:tab/>
              <w:t>690</w:t>
            </w:r>
          </w:p>
        </w:tc>
      </w:tr>
      <w:tr>
        <w:tc>
          <w:tcPr>
            <w:tcW w:w="7621" w:type="dxa"/>
            <w:shd w:val="clear" w:color="auto" w:fill="auto"/>
          </w:tcPr>
          <w:p>
            <w:pPr>
              <w:pStyle w:val="GesAbsatz"/>
              <w:ind w:left="851" w:hanging="567"/>
            </w:pPr>
            <w:r>
              <w:t>ff)</w:t>
            </w:r>
            <w:r>
              <w:tab/>
              <w:t xml:space="preserve">mit mehr als 500 Beschäftigten </w:t>
            </w:r>
          </w:p>
          <w:p>
            <w:pPr>
              <w:pStyle w:val="GesAbsatz"/>
            </w:pPr>
            <w:r>
              <w:t>Teilzeitbeschäftigte sind anteilig zu berücksichtigen.</w:t>
            </w:r>
          </w:p>
        </w:tc>
        <w:tc>
          <w:tcPr>
            <w:tcW w:w="2410" w:type="dxa"/>
            <w:shd w:val="clear" w:color="auto" w:fill="auto"/>
          </w:tcPr>
          <w:p>
            <w:pPr>
              <w:pStyle w:val="GesAbsatz"/>
              <w:tabs>
                <w:tab w:val="clear" w:pos="425"/>
                <w:tab w:val="right" w:pos="1564"/>
              </w:tabs>
            </w:pPr>
            <w:r>
              <w:tab/>
              <w:t>880</w:t>
            </w:r>
          </w:p>
        </w:tc>
      </w:tr>
      <w:tr>
        <w:tc>
          <w:tcPr>
            <w:tcW w:w="7621" w:type="dxa"/>
            <w:shd w:val="clear" w:color="auto" w:fill="auto"/>
          </w:tcPr>
          <w:p>
            <w:pPr>
              <w:pStyle w:val="GesAbsatz"/>
            </w:pPr>
            <w:r>
              <w:t>Diese Gebühren gelten auch bezogen auf den Begutachtungsumfang bei nach dem 12. Dezember 2006 durchgeführten Begutachtungen (Erstbegutachtung bzw. Gültigkeitserklärungen konsolidierter Umwelterklärungen; erstellte Gutachten/Bescheinigungen/Berichte/Prüfhandlungen) nach anderen rechtlichen Regelungen</w:t>
            </w:r>
          </w:p>
        </w:tc>
        <w:tc>
          <w:tcPr>
            <w:tcW w:w="2410" w:type="dxa"/>
            <w:shd w:val="clear" w:color="auto" w:fill="auto"/>
          </w:tcPr>
          <w:p>
            <w:pPr>
              <w:pStyle w:val="GesAbsatz"/>
              <w:tabs>
                <w:tab w:val="clear" w:pos="425"/>
                <w:tab w:val="right" w:pos="1564"/>
              </w:tabs>
            </w:pPr>
          </w:p>
        </w:tc>
      </w:tr>
      <w:tr>
        <w:tc>
          <w:tcPr>
            <w:tcW w:w="7621" w:type="dxa"/>
            <w:shd w:val="clear" w:color="auto" w:fill="auto"/>
          </w:tcPr>
          <w:p>
            <w:pPr>
              <w:pStyle w:val="GesAbsatz"/>
              <w:ind w:left="284" w:hanging="284"/>
            </w:pPr>
            <w:r>
              <w:t>e)</w:t>
            </w:r>
            <w:r>
              <w:tab/>
              <w:t>zusätzlich Gebührenanteil bezogen auf den Begutachtungsumfang bei nach dem 22. Dezember 2011 durchgeführten Begutachtungen (Erstbegutachtung bzw. Gültigkeitserklärungen konsolidierter Umwelterklärungen; erstellte Gutachten/Bescheinigungen/Berichte/Prüfhandlungen) nach anderen rechtlichen Regelungen</w:t>
            </w:r>
          </w:p>
          <w:p>
            <w:pPr>
              <w:pStyle w:val="GesAbsatz"/>
            </w:pPr>
            <w:r>
              <w:t>Je vorgenommener Begutachtung eines Standortes</w:t>
            </w:r>
          </w:p>
        </w:tc>
        <w:tc>
          <w:tcPr>
            <w:tcW w:w="2410" w:type="dxa"/>
            <w:shd w:val="clear" w:color="auto" w:fill="auto"/>
          </w:tcPr>
          <w:p>
            <w:pPr>
              <w:pStyle w:val="GesAbsatz"/>
              <w:tabs>
                <w:tab w:val="clear" w:pos="425"/>
                <w:tab w:val="right" w:pos="1564"/>
              </w:tabs>
            </w:pPr>
          </w:p>
        </w:tc>
      </w:tr>
      <w:tr>
        <w:tc>
          <w:tcPr>
            <w:tcW w:w="7621" w:type="dxa"/>
            <w:shd w:val="clear" w:color="auto" w:fill="auto"/>
          </w:tcPr>
          <w:p>
            <w:pPr>
              <w:pStyle w:val="GesAbsatz"/>
              <w:ind w:left="851" w:hanging="567"/>
            </w:pPr>
            <w:proofErr w:type="spellStart"/>
            <w:r>
              <w:t>aa</w:t>
            </w:r>
            <w:proofErr w:type="spellEnd"/>
            <w:r>
              <w:t>)</w:t>
            </w:r>
            <w:r>
              <w:tab/>
              <w:t xml:space="preserve">mit bis zu 10 Beschäftigten </w:t>
            </w:r>
          </w:p>
        </w:tc>
        <w:tc>
          <w:tcPr>
            <w:tcW w:w="2410" w:type="dxa"/>
            <w:shd w:val="clear" w:color="auto" w:fill="auto"/>
          </w:tcPr>
          <w:p>
            <w:pPr>
              <w:pStyle w:val="GesAbsatz"/>
              <w:tabs>
                <w:tab w:val="clear" w:pos="425"/>
                <w:tab w:val="right" w:pos="1564"/>
              </w:tabs>
            </w:pPr>
            <w:r>
              <w:tab/>
              <w:t>45</w:t>
            </w:r>
          </w:p>
        </w:tc>
      </w:tr>
      <w:tr>
        <w:tc>
          <w:tcPr>
            <w:tcW w:w="7621" w:type="dxa"/>
            <w:shd w:val="clear" w:color="auto" w:fill="auto"/>
          </w:tcPr>
          <w:p>
            <w:pPr>
              <w:pStyle w:val="GesAbsatz"/>
              <w:ind w:left="851" w:hanging="567"/>
            </w:pPr>
            <w:proofErr w:type="spellStart"/>
            <w:r>
              <w:t>bb</w:t>
            </w:r>
            <w:proofErr w:type="spellEnd"/>
            <w:r>
              <w:t>)</w:t>
            </w:r>
            <w:r>
              <w:tab/>
              <w:t xml:space="preserve">mit 11 bis zu 25 Beschäftigten </w:t>
            </w:r>
          </w:p>
        </w:tc>
        <w:tc>
          <w:tcPr>
            <w:tcW w:w="2410" w:type="dxa"/>
            <w:shd w:val="clear" w:color="auto" w:fill="auto"/>
          </w:tcPr>
          <w:p>
            <w:pPr>
              <w:pStyle w:val="GesAbsatz"/>
              <w:tabs>
                <w:tab w:val="clear" w:pos="425"/>
                <w:tab w:val="right" w:pos="1564"/>
              </w:tabs>
            </w:pPr>
            <w:r>
              <w:tab/>
              <w:t>95</w:t>
            </w:r>
          </w:p>
        </w:tc>
      </w:tr>
      <w:tr>
        <w:tc>
          <w:tcPr>
            <w:tcW w:w="7621" w:type="dxa"/>
            <w:shd w:val="clear" w:color="auto" w:fill="auto"/>
          </w:tcPr>
          <w:p>
            <w:pPr>
              <w:pStyle w:val="GesAbsatz"/>
              <w:ind w:left="851" w:hanging="567"/>
            </w:pPr>
            <w:r>
              <w:lastRenderedPageBreak/>
              <w:t>cc)</w:t>
            </w:r>
            <w:r>
              <w:tab/>
              <w:t xml:space="preserve">mit 26 bis zu 50 Beschäftigten </w:t>
            </w:r>
          </w:p>
        </w:tc>
        <w:tc>
          <w:tcPr>
            <w:tcW w:w="2410" w:type="dxa"/>
            <w:shd w:val="clear" w:color="auto" w:fill="auto"/>
          </w:tcPr>
          <w:p>
            <w:pPr>
              <w:pStyle w:val="GesAbsatz"/>
              <w:tabs>
                <w:tab w:val="clear" w:pos="425"/>
                <w:tab w:val="right" w:pos="1564"/>
              </w:tabs>
            </w:pPr>
            <w:r>
              <w:tab/>
              <w:t>145</w:t>
            </w:r>
          </w:p>
        </w:tc>
      </w:tr>
      <w:tr>
        <w:tc>
          <w:tcPr>
            <w:tcW w:w="7621" w:type="dxa"/>
            <w:shd w:val="clear" w:color="auto" w:fill="auto"/>
          </w:tcPr>
          <w:p>
            <w:pPr>
              <w:pStyle w:val="GesAbsatz"/>
              <w:ind w:left="851" w:hanging="567"/>
            </w:pPr>
            <w:proofErr w:type="spellStart"/>
            <w:r>
              <w:t>dd</w:t>
            </w:r>
            <w:proofErr w:type="spellEnd"/>
            <w:r>
              <w:t>)</w:t>
            </w:r>
            <w:r>
              <w:tab/>
              <w:t xml:space="preserve">mit 51 bis zu 250 Beschäftigten </w:t>
            </w:r>
          </w:p>
        </w:tc>
        <w:tc>
          <w:tcPr>
            <w:tcW w:w="2410" w:type="dxa"/>
            <w:shd w:val="clear" w:color="auto" w:fill="auto"/>
          </w:tcPr>
          <w:p>
            <w:pPr>
              <w:pStyle w:val="GesAbsatz"/>
              <w:tabs>
                <w:tab w:val="clear" w:pos="425"/>
                <w:tab w:val="right" w:pos="1564"/>
              </w:tabs>
            </w:pPr>
            <w:r>
              <w:tab/>
              <w:t>285</w:t>
            </w:r>
          </w:p>
        </w:tc>
      </w:tr>
      <w:tr>
        <w:tc>
          <w:tcPr>
            <w:tcW w:w="7621" w:type="dxa"/>
            <w:shd w:val="clear" w:color="auto" w:fill="auto"/>
          </w:tcPr>
          <w:p>
            <w:pPr>
              <w:pStyle w:val="GesAbsatz"/>
              <w:ind w:left="851" w:hanging="567"/>
            </w:pPr>
            <w:proofErr w:type="spellStart"/>
            <w:r>
              <w:t>ee</w:t>
            </w:r>
            <w:proofErr w:type="spellEnd"/>
            <w:r>
              <w:t>)</w:t>
            </w:r>
            <w:r>
              <w:tab/>
              <w:t>mit 251 bis zu 500 Beschäftigten</w:t>
            </w:r>
          </w:p>
        </w:tc>
        <w:tc>
          <w:tcPr>
            <w:tcW w:w="2410" w:type="dxa"/>
            <w:shd w:val="clear" w:color="auto" w:fill="auto"/>
          </w:tcPr>
          <w:p>
            <w:pPr>
              <w:pStyle w:val="GesAbsatz"/>
              <w:tabs>
                <w:tab w:val="clear" w:pos="425"/>
                <w:tab w:val="right" w:pos="1564"/>
              </w:tabs>
            </w:pPr>
            <w:r>
              <w:tab/>
              <w:t>690</w:t>
            </w:r>
          </w:p>
        </w:tc>
      </w:tr>
      <w:tr>
        <w:tc>
          <w:tcPr>
            <w:tcW w:w="7621" w:type="dxa"/>
            <w:shd w:val="clear" w:color="auto" w:fill="auto"/>
          </w:tcPr>
          <w:p>
            <w:pPr>
              <w:pStyle w:val="GesAbsatz"/>
              <w:ind w:left="851" w:hanging="567"/>
            </w:pPr>
            <w:r>
              <w:t>ff)</w:t>
            </w:r>
            <w:r>
              <w:tab/>
              <w:t xml:space="preserve">mit mehr als 500 Beschäftigten </w:t>
            </w:r>
          </w:p>
        </w:tc>
        <w:tc>
          <w:tcPr>
            <w:tcW w:w="2410" w:type="dxa"/>
            <w:shd w:val="clear" w:color="auto" w:fill="auto"/>
          </w:tcPr>
          <w:p>
            <w:pPr>
              <w:pStyle w:val="GesAbsatz"/>
              <w:tabs>
                <w:tab w:val="clear" w:pos="425"/>
                <w:tab w:val="right" w:pos="1564"/>
              </w:tabs>
            </w:pPr>
            <w:r>
              <w:tab/>
              <w:t>880</w:t>
            </w:r>
          </w:p>
        </w:tc>
      </w:tr>
      <w:tr>
        <w:tc>
          <w:tcPr>
            <w:tcW w:w="7621" w:type="dxa"/>
            <w:shd w:val="clear" w:color="auto" w:fill="auto"/>
          </w:tcPr>
          <w:p>
            <w:pPr>
              <w:pStyle w:val="GesAbsatz"/>
            </w:pPr>
            <w:r>
              <w:t>Teilzeitbeschäftigte sind anteilig zu berücksichtigen. Im Falle von Gutachten/Bescheinigungen/Berichten/Prüfhandlungen nach anderen rechtlichen Regelungen als der Verordnung (EG) Nr. 1221/2009 wird bei der Zahl der Beschäftigten anstelle der Gesamtzahl Beschäftigter am Standort die Zahl der Beschäftigten, die dem Prüfungsgegenstand zugeordnet werden können, zugrunde gelegt.</w:t>
            </w:r>
          </w:p>
        </w:tc>
        <w:tc>
          <w:tcPr>
            <w:tcW w:w="2410" w:type="dxa"/>
            <w:shd w:val="clear" w:color="auto" w:fill="auto"/>
          </w:tcPr>
          <w:p>
            <w:pPr>
              <w:pStyle w:val="GesAbsatz"/>
              <w:tabs>
                <w:tab w:val="clear" w:pos="425"/>
                <w:tab w:val="right" w:pos="1564"/>
              </w:tabs>
            </w:pPr>
          </w:p>
        </w:tc>
      </w:tr>
      <w:tr>
        <w:tc>
          <w:tcPr>
            <w:tcW w:w="7621" w:type="dxa"/>
            <w:shd w:val="clear" w:color="auto" w:fill="auto"/>
          </w:tcPr>
          <w:p>
            <w:pPr>
              <w:pStyle w:val="GesAbsatz"/>
              <w:ind w:left="284" w:hanging="284"/>
            </w:pPr>
            <w:r>
              <w:t>f)</w:t>
            </w:r>
            <w:r>
              <w:tab/>
              <w:t xml:space="preserve">zusätzlich Gebührenanteil für die im schriftlichen Verfahren durchgeführte Plausibilitätsprüfung der Qualität einer Begutachtung je externem Beauftragten </w:t>
            </w:r>
          </w:p>
        </w:tc>
        <w:tc>
          <w:tcPr>
            <w:tcW w:w="2410" w:type="dxa"/>
            <w:shd w:val="clear" w:color="auto" w:fill="auto"/>
          </w:tcPr>
          <w:p>
            <w:pPr>
              <w:pStyle w:val="GesAbsatz"/>
              <w:tabs>
                <w:tab w:val="clear" w:pos="425"/>
                <w:tab w:val="right" w:pos="1564"/>
              </w:tabs>
            </w:pPr>
            <w:r>
              <w:tab/>
              <w:t>95</w:t>
            </w:r>
          </w:p>
        </w:tc>
      </w:tr>
      <w:tr>
        <w:tc>
          <w:tcPr>
            <w:tcW w:w="7621" w:type="dxa"/>
            <w:shd w:val="clear" w:color="auto" w:fill="auto"/>
          </w:tcPr>
          <w:p>
            <w:pPr>
              <w:pStyle w:val="GesAbsatz"/>
              <w:ind w:left="284" w:hanging="284"/>
            </w:pPr>
            <w:r>
              <w:t>g)</w:t>
            </w:r>
            <w:r>
              <w:tab/>
              <w:t xml:space="preserve">zusätzlich Gebührenanteil für die Qualitätsbeurteilung der vorgenommenen Begutachtungen durch Geschäftsstellenaudit nach § 15 Abs. 3 UAG oder Witnessaudit nach § 15 Abs. 2 UAG je Audittag und je externem Beauftragten </w:t>
            </w:r>
          </w:p>
        </w:tc>
        <w:tc>
          <w:tcPr>
            <w:tcW w:w="2410" w:type="dxa"/>
            <w:shd w:val="clear" w:color="auto" w:fill="auto"/>
          </w:tcPr>
          <w:p>
            <w:pPr>
              <w:pStyle w:val="GesAbsatz"/>
              <w:tabs>
                <w:tab w:val="clear" w:pos="425"/>
                <w:tab w:val="right" w:pos="1564"/>
              </w:tabs>
            </w:pPr>
            <w:r>
              <w:tab/>
              <w:t>750</w:t>
            </w:r>
          </w:p>
        </w:tc>
      </w:tr>
      <w:tr>
        <w:tc>
          <w:tcPr>
            <w:tcW w:w="7621" w:type="dxa"/>
            <w:shd w:val="clear" w:color="auto" w:fill="auto"/>
          </w:tcPr>
          <w:p>
            <w:pPr>
              <w:pStyle w:val="GesAbsatz"/>
              <w:rPr>
                <w:b/>
              </w:rPr>
            </w:pPr>
            <w:r>
              <w:rPr>
                <w:b/>
              </w:rPr>
              <w:t>16. Anlassaufsicht nach den §§ 15 und 18 des Umweltauditgesetzes, wenn die Aufsichtsmaßnahme vom Betroffenen verantwortlich veranlasst worden ist oder ein Verstoß gegen die Verordnung (EG) Nr. 1221/2009 des Europäischen Parlaments und des Rates oder gegen das Umweltauditgesetz festgestellt wurde</w:t>
            </w:r>
          </w:p>
        </w:tc>
        <w:tc>
          <w:tcPr>
            <w:tcW w:w="2410" w:type="dxa"/>
            <w:shd w:val="clear" w:color="auto" w:fill="auto"/>
          </w:tcPr>
          <w:p>
            <w:pPr>
              <w:pStyle w:val="GesAbsatz"/>
              <w:tabs>
                <w:tab w:val="clear" w:pos="425"/>
                <w:tab w:val="right" w:pos="1564"/>
              </w:tabs>
            </w:pPr>
          </w:p>
        </w:tc>
      </w:tr>
      <w:tr>
        <w:tc>
          <w:tcPr>
            <w:tcW w:w="7621" w:type="dxa"/>
            <w:shd w:val="clear" w:color="auto" w:fill="auto"/>
          </w:tcPr>
          <w:p>
            <w:pPr>
              <w:pStyle w:val="GesAbsatz"/>
              <w:ind w:left="284" w:hanging="284"/>
            </w:pPr>
            <w:r>
              <w:t>a)</w:t>
            </w:r>
            <w:r>
              <w:tab/>
              <w:t xml:space="preserve">bei einfachem Prüfungsaufwand </w:t>
            </w:r>
          </w:p>
        </w:tc>
        <w:tc>
          <w:tcPr>
            <w:tcW w:w="2410" w:type="dxa"/>
            <w:shd w:val="clear" w:color="auto" w:fill="auto"/>
          </w:tcPr>
          <w:p>
            <w:pPr>
              <w:pStyle w:val="GesAbsatz"/>
              <w:tabs>
                <w:tab w:val="clear" w:pos="425"/>
                <w:tab w:val="right" w:pos="1564"/>
              </w:tabs>
            </w:pPr>
            <w:r>
              <w:tab/>
              <w:t>100</w:t>
            </w:r>
          </w:p>
        </w:tc>
      </w:tr>
      <w:tr>
        <w:tc>
          <w:tcPr>
            <w:tcW w:w="7621" w:type="dxa"/>
            <w:shd w:val="clear" w:color="auto" w:fill="auto"/>
          </w:tcPr>
          <w:p>
            <w:pPr>
              <w:pStyle w:val="GesAbsatz"/>
              <w:ind w:left="284" w:hanging="284"/>
              <w:jc w:val="left"/>
            </w:pPr>
            <w:r>
              <w:t>b)</w:t>
            </w:r>
            <w:r>
              <w:tab/>
              <w:t>bei normalem Prüfungsaufwand</w:t>
            </w:r>
            <w:r>
              <w:br/>
              <w:t>ohne Hinzuziehung von externen Behörden</w:t>
            </w:r>
            <w:r>
              <w:br/>
              <w:t>(Prüfung und Entscheidung nach Aktenlage)</w:t>
            </w:r>
          </w:p>
        </w:tc>
        <w:tc>
          <w:tcPr>
            <w:tcW w:w="2410" w:type="dxa"/>
            <w:shd w:val="clear" w:color="auto" w:fill="auto"/>
          </w:tcPr>
          <w:p>
            <w:pPr>
              <w:pStyle w:val="GesAbsatz"/>
              <w:tabs>
                <w:tab w:val="clear" w:pos="425"/>
                <w:tab w:val="right" w:pos="1564"/>
              </w:tabs>
            </w:pPr>
            <w:r>
              <w:tab/>
              <w:t>600</w:t>
            </w:r>
          </w:p>
        </w:tc>
      </w:tr>
      <w:tr>
        <w:tc>
          <w:tcPr>
            <w:tcW w:w="7621" w:type="dxa"/>
            <w:shd w:val="clear" w:color="auto" w:fill="auto"/>
          </w:tcPr>
          <w:p>
            <w:pPr>
              <w:pStyle w:val="GesAbsatz"/>
              <w:ind w:left="284" w:hanging="284"/>
            </w:pPr>
            <w:r>
              <w:t>c)</w:t>
            </w:r>
            <w:r>
              <w:tab/>
              <w:t>bei erhöhtem Prüfungsaufwand</w:t>
            </w:r>
          </w:p>
        </w:tc>
        <w:tc>
          <w:tcPr>
            <w:tcW w:w="2410" w:type="dxa"/>
            <w:shd w:val="clear" w:color="auto" w:fill="auto"/>
          </w:tcPr>
          <w:p>
            <w:pPr>
              <w:pStyle w:val="GesAbsatz"/>
              <w:tabs>
                <w:tab w:val="clear" w:pos="425"/>
                <w:tab w:val="right" w:pos="1564"/>
              </w:tabs>
            </w:pPr>
          </w:p>
        </w:tc>
      </w:tr>
      <w:tr>
        <w:tc>
          <w:tcPr>
            <w:tcW w:w="7621" w:type="dxa"/>
            <w:shd w:val="clear" w:color="auto" w:fill="auto"/>
          </w:tcPr>
          <w:p>
            <w:pPr>
              <w:pStyle w:val="GesAbsatz"/>
              <w:ind w:left="851" w:hanging="567"/>
            </w:pPr>
            <w:proofErr w:type="spellStart"/>
            <w:r>
              <w:t>aa</w:t>
            </w:r>
            <w:proofErr w:type="spellEnd"/>
            <w:r>
              <w:t>)</w:t>
            </w:r>
            <w:r>
              <w:tab/>
              <w:t xml:space="preserve">bei der fernmündlichen Einholung von Auskünften und Stellungnahmen externer Behörden und sonstiger externer Stellen oder externer Beauftragter </w:t>
            </w:r>
          </w:p>
        </w:tc>
        <w:tc>
          <w:tcPr>
            <w:tcW w:w="2410" w:type="dxa"/>
            <w:shd w:val="clear" w:color="auto" w:fill="auto"/>
          </w:tcPr>
          <w:p>
            <w:pPr>
              <w:pStyle w:val="GesAbsatz"/>
              <w:tabs>
                <w:tab w:val="clear" w:pos="425"/>
                <w:tab w:val="right" w:pos="1564"/>
              </w:tabs>
            </w:pPr>
            <w:r>
              <w:tab/>
              <w:t>1 200</w:t>
            </w:r>
          </w:p>
        </w:tc>
      </w:tr>
      <w:tr>
        <w:tc>
          <w:tcPr>
            <w:tcW w:w="7621" w:type="dxa"/>
            <w:shd w:val="clear" w:color="auto" w:fill="auto"/>
          </w:tcPr>
          <w:p>
            <w:pPr>
              <w:pStyle w:val="GesAbsatz"/>
              <w:ind w:left="851" w:hanging="567"/>
            </w:pPr>
            <w:proofErr w:type="spellStart"/>
            <w:r>
              <w:t>bb</w:t>
            </w:r>
            <w:proofErr w:type="spellEnd"/>
            <w:r>
              <w:t>)</w:t>
            </w:r>
            <w:r>
              <w:tab/>
              <w:t>gegebenenfalls zuzüglich Gebührenanteil für die erforderliche Einbestellung von externen Beauftragten in die Zulassungsstelle je Beauftragtem</w:t>
            </w:r>
          </w:p>
        </w:tc>
        <w:tc>
          <w:tcPr>
            <w:tcW w:w="2410" w:type="dxa"/>
            <w:shd w:val="clear" w:color="auto" w:fill="auto"/>
          </w:tcPr>
          <w:p>
            <w:pPr>
              <w:pStyle w:val="GesAbsatz"/>
              <w:tabs>
                <w:tab w:val="clear" w:pos="425"/>
                <w:tab w:val="right" w:pos="1564"/>
              </w:tabs>
            </w:pPr>
            <w:r>
              <w:tab/>
              <w:t>700</w:t>
            </w:r>
          </w:p>
        </w:tc>
      </w:tr>
      <w:tr>
        <w:tc>
          <w:tcPr>
            <w:tcW w:w="7621" w:type="dxa"/>
            <w:shd w:val="clear" w:color="auto" w:fill="auto"/>
          </w:tcPr>
          <w:p>
            <w:pPr>
              <w:pStyle w:val="GesAbsatz"/>
              <w:ind w:left="851" w:hanging="567"/>
            </w:pPr>
            <w:r>
              <w:t>cc)</w:t>
            </w:r>
            <w:r>
              <w:tab/>
              <w:t xml:space="preserve">gegebenenfalls zuzüglich der Gebühren für ein Geschäftsstellen- oder Witnessaudit gemäß Nummer 15 Buchstabe g </w:t>
            </w:r>
          </w:p>
        </w:tc>
        <w:tc>
          <w:tcPr>
            <w:tcW w:w="2410" w:type="dxa"/>
            <w:shd w:val="clear" w:color="auto" w:fill="auto"/>
          </w:tcPr>
          <w:p>
            <w:pPr>
              <w:pStyle w:val="GesAbsatz"/>
              <w:tabs>
                <w:tab w:val="clear" w:pos="425"/>
                <w:tab w:val="right" w:pos="1564"/>
              </w:tabs>
            </w:pPr>
            <w:r>
              <w:tab/>
              <w:t>750</w:t>
            </w:r>
          </w:p>
        </w:tc>
      </w:tr>
      <w:tr>
        <w:tc>
          <w:tcPr>
            <w:tcW w:w="7621" w:type="dxa"/>
            <w:shd w:val="clear" w:color="auto" w:fill="auto"/>
          </w:tcPr>
          <w:p>
            <w:pPr>
              <w:pStyle w:val="GesAbsatz"/>
            </w:pPr>
            <w:r>
              <w:t>d)</w:t>
            </w:r>
            <w:r>
              <w:tab/>
              <w:t>bei hohem Prüfungsaufwand</w:t>
            </w:r>
          </w:p>
        </w:tc>
        <w:tc>
          <w:tcPr>
            <w:tcW w:w="2410" w:type="dxa"/>
            <w:shd w:val="clear" w:color="auto" w:fill="auto"/>
          </w:tcPr>
          <w:p>
            <w:pPr>
              <w:pStyle w:val="GesAbsatz"/>
              <w:tabs>
                <w:tab w:val="clear" w:pos="425"/>
                <w:tab w:val="right" w:pos="1564"/>
              </w:tabs>
            </w:pPr>
          </w:p>
        </w:tc>
      </w:tr>
      <w:tr>
        <w:tc>
          <w:tcPr>
            <w:tcW w:w="7621" w:type="dxa"/>
            <w:shd w:val="clear" w:color="auto" w:fill="auto"/>
          </w:tcPr>
          <w:p>
            <w:pPr>
              <w:pStyle w:val="GesAbsatz"/>
              <w:ind w:left="851" w:hanging="567"/>
            </w:pPr>
            <w:proofErr w:type="spellStart"/>
            <w:r>
              <w:t>aa</w:t>
            </w:r>
            <w:proofErr w:type="spellEnd"/>
            <w:r>
              <w:t>)</w:t>
            </w:r>
            <w:r>
              <w:tab/>
              <w:t xml:space="preserve">bei der schriftlichen Einholung von Gutachten und Stellungnahmen externer Behörden und sonstiger externer Stellen oder externer Beauftragter </w:t>
            </w:r>
          </w:p>
        </w:tc>
        <w:tc>
          <w:tcPr>
            <w:tcW w:w="2410" w:type="dxa"/>
            <w:shd w:val="clear" w:color="auto" w:fill="auto"/>
          </w:tcPr>
          <w:p>
            <w:pPr>
              <w:pStyle w:val="GesAbsatz"/>
              <w:tabs>
                <w:tab w:val="clear" w:pos="425"/>
                <w:tab w:val="right" w:pos="1564"/>
              </w:tabs>
            </w:pPr>
            <w:r>
              <w:tab/>
              <w:t>1 800</w:t>
            </w:r>
          </w:p>
        </w:tc>
      </w:tr>
      <w:tr>
        <w:tc>
          <w:tcPr>
            <w:tcW w:w="7621" w:type="dxa"/>
            <w:shd w:val="clear" w:color="auto" w:fill="auto"/>
          </w:tcPr>
          <w:p>
            <w:pPr>
              <w:pStyle w:val="GesAbsatz"/>
              <w:ind w:left="851" w:hanging="567"/>
            </w:pPr>
            <w:proofErr w:type="spellStart"/>
            <w:r>
              <w:t>bb</w:t>
            </w:r>
            <w:proofErr w:type="spellEnd"/>
            <w:r>
              <w:t>)</w:t>
            </w:r>
            <w:r>
              <w:tab/>
              <w:t xml:space="preserve">gegebenenfalls zuzüglich Gebührenanteil für die erforderliche Einbestellung von externen Beauftragten in die Zulassungsstelle je Beauftragtem </w:t>
            </w:r>
          </w:p>
        </w:tc>
        <w:tc>
          <w:tcPr>
            <w:tcW w:w="2410" w:type="dxa"/>
            <w:shd w:val="clear" w:color="auto" w:fill="auto"/>
          </w:tcPr>
          <w:p>
            <w:pPr>
              <w:pStyle w:val="GesAbsatz"/>
              <w:tabs>
                <w:tab w:val="clear" w:pos="425"/>
                <w:tab w:val="right" w:pos="1564"/>
              </w:tabs>
            </w:pPr>
            <w:r>
              <w:tab/>
              <w:t>700</w:t>
            </w:r>
          </w:p>
        </w:tc>
      </w:tr>
      <w:tr>
        <w:tc>
          <w:tcPr>
            <w:tcW w:w="7621" w:type="dxa"/>
            <w:shd w:val="clear" w:color="auto" w:fill="auto"/>
          </w:tcPr>
          <w:p>
            <w:pPr>
              <w:pStyle w:val="GesAbsatz"/>
              <w:ind w:left="851" w:hanging="567"/>
            </w:pPr>
            <w:r>
              <w:t>cc)</w:t>
            </w:r>
            <w:r>
              <w:tab/>
              <w:t xml:space="preserve">gegebenenfalls zuzüglich der Gebühren für ein Geschäftsstellen- oder Witnessaudit gemäß Nummer 15 Buchstabe g </w:t>
            </w:r>
          </w:p>
        </w:tc>
        <w:tc>
          <w:tcPr>
            <w:tcW w:w="2410" w:type="dxa"/>
            <w:shd w:val="clear" w:color="auto" w:fill="auto"/>
          </w:tcPr>
          <w:p>
            <w:pPr>
              <w:pStyle w:val="GesAbsatz"/>
              <w:tabs>
                <w:tab w:val="clear" w:pos="425"/>
                <w:tab w:val="right" w:pos="1564"/>
              </w:tabs>
            </w:pPr>
            <w:r>
              <w:tab/>
              <w:t>750</w:t>
            </w:r>
          </w:p>
        </w:tc>
      </w:tr>
      <w:tr>
        <w:tc>
          <w:tcPr>
            <w:tcW w:w="7621" w:type="dxa"/>
            <w:shd w:val="clear" w:color="auto" w:fill="auto"/>
          </w:tcPr>
          <w:p>
            <w:pPr>
              <w:pStyle w:val="GesAbsatz"/>
              <w:rPr>
                <w:b/>
              </w:rPr>
            </w:pPr>
            <w:r>
              <w:rPr>
                <w:b/>
              </w:rPr>
              <w:t xml:space="preserve">17. Antrag auf Fortführung der Tätigkeit des Umweltgutachters gemäß § 17 Abs. 2 Satz 3 des Umweltauditgesetzes (befristetes Beschäftigungsverhältnis mit einer juristischen Person des öffentlichen Rechts) </w:t>
            </w:r>
          </w:p>
        </w:tc>
        <w:tc>
          <w:tcPr>
            <w:tcW w:w="2410" w:type="dxa"/>
            <w:shd w:val="clear" w:color="auto" w:fill="auto"/>
          </w:tcPr>
          <w:p>
            <w:pPr>
              <w:pStyle w:val="GesAbsatz"/>
              <w:tabs>
                <w:tab w:val="clear" w:pos="425"/>
                <w:tab w:val="right" w:pos="1564"/>
              </w:tabs>
            </w:pPr>
            <w:r>
              <w:tab/>
              <w:t>1 000</w:t>
            </w:r>
          </w:p>
        </w:tc>
      </w:tr>
    </w:tbl>
    <w:p>
      <w:pPr>
        <w:pStyle w:val="GesAbsatz"/>
        <w:rPr>
          <w:lang w:val="it-IT"/>
        </w:rPr>
      </w:pPr>
    </w:p>
    <w:p>
      <w:pPr>
        <w:pStyle w:val="GesAbsatz"/>
        <w:rPr>
          <w:lang w:val="it-IT"/>
        </w:rPr>
      </w:pPr>
    </w:p>
    <w:p>
      <w:pPr>
        <w:pStyle w:val="GesAbsatz"/>
        <w:rPr>
          <w:lang w:val="it-IT"/>
        </w:rPr>
      </w:pPr>
    </w:p>
    <w:p>
      <w:pPr>
        <w:pStyle w:val="GesAbsatz"/>
        <w:rPr>
          <w:lang w:val="it-IT"/>
        </w:rPr>
      </w:pPr>
    </w:p>
    <w:p>
      <w:pPr>
        <w:pStyle w:val="GesAbsatz"/>
        <w:rPr>
          <w:b/>
          <w:sz w:val="22"/>
          <w:szCs w:val="22"/>
        </w:rPr>
      </w:pPr>
      <w:bookmarkStart w:id="9" w:name="Gesetzeshistorie"/>
      <w:bookmarkEnd w:id="9"/>
      <w:r>
        <w:rPr>
          <w:b/>
          <w:sz w:val="22"/>
          <w:szCs w:val="22"/>
        </w:rPr>
        <w:t>Änderungen:</w:t>
      </w:r>
    </w:p>
    <w:p>
      <w:pPr>
        <w:pStyle w:val="GesAbsatz"/>
        <w:tabs>
          <w:tab w:val="left" w:pos="2835"/>
        </w:tabs>
      </w:pPr>
      <w:r>
        <w:t>01.12.2006</w:t>
      </w:r>
      <w:r>
        <w:tab/>
      </w:r>
      <w:hyperlink r:id="rId8" w:history="1">
        <w:r>
          <w:rPr>
            <w:rStyle w:val="Hyperlink"/>
          </w:rPr>
          <w:t>BGBl. I Nr. 56 S. 2764</w:t>
        </w:r>
      </w:hyperlink>
      <w:r>
        <w:t xml:space="preserve"> Inkrafttreten 12.12.2006</w:t>
      </w:r>
    </w:p>
    <w:p>
      <w:pPr>
        <w:pStyle w:val="GesAbsatz"/>
        <w:tabs>
          <w:tab w:val="left" w:pos="2835"/>
        </w:tabs>
      </w:pPr>
      <w:r>
        <w:t>13.12.2011</w:t>
      </w:r>
      <w:r>
        <w:tab/>
      </w:r>
      <w:hyperlink r:id="rId9" w:history="1">
        <w:r>
          <w:rPr>
            <w:rStyle w:val="Hyperlink"/>
          </w:rPr>
          <w:t>BGBl. I Nr. 67 S. 2727</w:t>
        </w:r>
      </w:hyperlink>
      <w:r>
        <w:t xml:space="preserve"> Inkrafttreten 22.12.2011</w:t>
      </w:r>
    </w:p>
    <w:p>
      <w:pPr>
        <w:pStyle w:val="GesAbsatz"/>
        <w:tabs>
          <w:tab w:val="left" w:pos="2835"/>
        </w:tabs>
      </w:pPr>
      <w:r>
        <w:t>21.01.2013</w:t>
      </w:r>
      <w:r>
        <w:tab/>
      </w:r>
      <w:hyperlink r:id="rId10" w:history="1">
        <w:r>
          <w:rPr>
            <w:rStyle w:val="Hyperlink"/>
          </w:rPr>
          <w:t>BGBl. I Nr. 3 S. 95, 99</w:t>
        </w:r>
      </w:hyperlink>
      <w:r>
        <w:t xml:space="preserve"> Inkrafttreten 29.01.2013</w:t>
      </w:r>
    </w:p>
    <w:p>
      <w:pPr>
        <w:pStyle w:val="GesAbsatz"/>
        <w:tabs>
          <w:tab w:val="clear" w:pos="425"/>
          <w:tab w:val="left" w:pos="2835"/>
        </w:tabs>
        <w:ind w:left="2835" w:hanging="2835"/>
        <w:jc w:val="left"/>
        <w:rPr>
          <w:lang w:val="pl-PL"/>
        </w:rPr>
      </w:pPr>
      <w:r>
        <w:rPr>
          <w:lang w:val="pl-PL"/>
        </w:rPr>
        <w:t>07.08.2013</w:t>
      </w:r>
      <w:r>
        <w:rPr>
          <w:lang w:val="pl-PL"/>
        </w:rPr>
        <w:tab/>
      </w:r>
      <w:hyperlink r:id="rId11" w:history="1">
        <w:r>
          <w:rPr>
            <w:rStyle w:val="Hyperlink"/>
            <w:rFonts w:cs="Arial"/>
            <w:lang w:val="pl-PL"/>
          </w:rPr>
          <w:t>BGBl. I Nr. 48 S. 3154, 3169</w:t>
        </w:r>
      </w:hyperlink>
      <w:r>
        <w:rPr>
          <w:lang w:val="pl-PL"/>
        </w:rPr>
        <w:t xml:space="preserve"> Inkrafttreten 15.08.2013</w:t>
      </w:r>
      <w:r>
        <w:rPr>
          <w:lang w:val="pl-PL"/>
        </w:rPr>
        <w:br/>
        <w:t>Artikel 2 Gesetz zur Strukturreform des Gebührenrechts des Bundes</w:t>
      </w:r>
    </w:p>
    <w:p>
      <w:pPr>
        <w:pStyle w:val="GesAbsatz"/>
        <w:tabs>
          <w:tab w:val="left" w:pos="2835"/>
        </w:tabs>
      </w:pPr>
    </w:p>
    <w:p>
      <w:pPr>
        <w:pStyle w:val="GesAbsatz"/>
        <w:tabs>
          <w:tab w:val="left" w:pos="2835"/>
        </w:tabs>
      </w:pPr>
    </w:p>
    <w:sectPr>
      <w:headerReference w:type="default" r:id="rId12"/>
      <w:footerReference w:type="even" r:id="rId13"/>
      <w:footerReference w:type="default" r:id="rId14"/>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pPr>
    <w:r>
      <w:fldChar w:fldCharType="begin"/>
    </w:r>
    <w:r>
      <w:instrText xml:space="preserve">PAGE  </w:instrText>
    </w:r>
    <w: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1"/>
    </w:pPr>
    <w:r>
      <w:tab/>
      <w:t>04.09.2002 (BGBl. I. S. 3503 / FNA 2129-29-5)</w:t>
    </w:r>
  </w:p>
  <w:p>
    <w:pPr>
      <w:pStyle w:val="Fuzeile"/>
      <w:ind w:right="-1"/>
    </w:pPr>
    <w:r>
      <w:tab/>
      <w:t>Stand 07.08.2013 (BGBl. I S. 3169)</w:t>
    </w:r>
    <w:r>
      <w:tab/>
      <w:t xml:space="preserve">Seite </w:t>
    </w: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30.3-05</w:t>
    </w:r>
  </w:p>
  <w:p>
    <w:pPr>
      <w:pStyle w:val="Kopfzeile"/>
    </w:pPr>
    <w:r>
      <w:t>UAGGebV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E0CB324"/>
    <w:lvl w:ilvl="0">
      <w:numFmt w:val="decimal"/>
      <w:lvlText w:val="*"/>
      <w:lvlJc w:val="left"/>
    </w:lvl>
  </w:abstractNum>
  <w:abstractNum w:abstractNumId="1" w15:restartNumberingAfterBreak="0">
    <w:nsid w:val="006B3D96"/>
    <w:multiLevelType w:val="singleLevel"/>
    <w:tmpl w:val="CEA06EE4"/>
    <w:lvl w:ilvl="0">
      <w:start w:val="2"/>
      <w:numFmt w:val="decimal"/>
      <w:lvlText w:val="%1."/>
      <w:legacy w:legacy="1" w:legacySpace="120" w:legacyIndent="340"/>
      <w:lvlJc w:val="left"/>
      <w:pPr>
        <w:ind w:left="340" w:hanging="340"/>
      </w:pPr>
    </w:lvl>
  </w:abstractNum>
  <w:abstractNum w:abstractNumId="2" w15:restartNumberingAfterBreak="0">
    <w:nsid w:val="0ED2353C"/>
    <w:multiLevelType w:val="singleLevel"/>
    <w:tmpl w:val="1F00C920"/>
    <w:lvl w:ilvl="0">
      <w:start w:val="5"/>
      <w:numFmt w:val="decimal"/>
      <w:lvlText w:val="%1."/>
      <w:legacy w:legacy="1" w:legacySpace="120" w:legacyIndent="340"/>
      <w:lvlJc w:val="left"/>
      <w:pPr>
        <w:ind w:left="340" w:hanging="340"/>
      </w:pPr>
    </w:lvl>
  </w:abstractNum>
  <w:abstractNum w:abstractNumId="3" w15:restartNumberingAfterBreak="0">
    <w:nsid w:val="1044213C"/>
    <w:multiLevelType w:val="singleLevel"/>
    <w:tmpl w:val="4FACFAEC"/>
    <w:lvl w:ilvl="0">
      <w:start w:val="3"/>
      <w:numFmt w:val="lowerLetter"/>
      <w:lvlText w:val="%1)"/>
      <w:legacy w:legacy="1" w:legacySpace="120" w:legacyIndent="340"/>
      <w:lvlJc w:val="left"/>
      <w:pPr>
        <w:ind w:left="766" w:hanging="340"/>
      </w:pPr>
    </w:lvl>
  </w:abstractNum>
  <w:abstractNum w:abstractNumId="4" w15:restartNumberingAfterBreak="0">
    <w:nsid w:val="190B6712"/>
    <w:multiLevelType w:val="singleLevel"/>
    <w:tmpl w:val="D4205264"/>
    <w:lvl w:ilvl="0">
      <w:start w:val="12"/>
      <w:numFmt w:val="decimal"/>
      <w:lvlText w:val="%1."/>
      <w:legacy w:legacy="1" w:legacySpace="120" w:legacyIndent="340"/>
      <w:lvlJc w:val="left"/>
      <w:pPr>
        <w:ind w:left="340" w:hanging="340"/>
      </w:pPr>
    </w:lvl>
  </w:abstractNum>
  <w:abstractNum w:abstractNumId="5" w15:restartNumberingAfterBreak="0">
    <w:nsid w:val="247D0BFE"/>
    <w:multiLevelType w:val="singleLevel"/>
    <w:tmpl w:val="80B626A0"/>
    <w:lvl w:ilvl="0">
      <w:start w:val="1"/>
      <w:numFmt w:val="lowerLetter"/>
      <w:lvlText w:val="%1)"/>
      <w:legacy w:legacy="1" w:legacySpace="120" w:legacyIndent="340"/>
      <w:lvlJc w:val="left"/>
      <w:pPr>
        <w:ind w:left="766" w:hanging="340"/>
      </w:pPr>
    </w:lvl>
  </w:abstractNum>
  <w:abstractNum w:abstractNumId="6" w15:restartNumberingAfterBreak="0">
    <w:nsid w:val="2735535B"/>
    <w:multiLevelType w:val="singleLevel"/>
    <w:tmpl w:val="3C201E84"/>
    <w:lvl w:ilvl="0">
      <w:start w:val="1"/>
      <w:numFmt w:val="lowerLetter"/>
      <w:lvlText w:val="%1a)"/>
      <w:legacy w:legacy="1" w:legacySpace="120" w:legacyIndent="340"/>
      <w:lvlJc w:val="left"/>
      <w:pPr>
        <w:ind w:left="1191" w:hanging="340"/>
      </w:pPr>
    </w:lvl>
  </w:abstractNum>
  <w:abstractNum w:abstractNumId="7" w15:restartNumberingAfterBreak="0">
    <w:nsid w:val="2F697BBD"/>
    <w:multiLevelType w:val="singleLevel"/>
    <w:tmpl w:val="AD869B26"/>
    <w:lvl w:ilvl="0">
      <w:start w:val="2"/>
      <w:numFmt w:val="lowerLetter"/>
      <w:lvlText w:val="%1)"/>
      <w:legacy w:legacy="1" w:legacySpace="120" w:legacyIndent="340"/>
      <w:lvlJc w:val="left"/>
      <w:pPr>
        <w:ind w:left="766" w:hanging="340"/>
      </w:pPr>
    </w:lvl>
  </w:abstractNum>
  <w:abstractNum w:abstractNumId="8" w15:restartNumberingAfterBreak="0">
    <w:nsid w:val="38C10900"/>
    <w:multiLevelType w:val="singleLevel"/>
    <w:tmpl w:val="F5ECE0F4"/>
    <w:lvl w:ilvl="0">
      <w:start w:val="1"/>
      <w:numFmt w:val="lowerLetter"/>
      <w:lvlText w:val="%1)"/>
      <w:legacy w:legacy="1" w:legacySpace="120" w:legacyIndent="397"/>
      <w:lvlJc w:val="left"/>
      <w:pPr>
        <w:ind w:left="737" w:hanging="397"/>
      </w:pPr>
    </w:lvl>
  </w:abstractNum>
  <w:abstractNum w:abstractNumId="9" w15:restartNumberingAfterBreak="0">
    <w:nsid w:val="3F1A06D8"/>
    <w:multiLevelType w:val="singleLevel"/>
    <w:tmpl w:val="5524D7C4"/>
    <w:lvl w:ilvl="0">
      <w:start w:val="3"/>
      <w:numFmt w:val="decimal"/>
      <w:lvlText w:val="%1."/>
      <w:legacy w:legacy="1" w:legacySpace="120" w:legacyIndent="340"/>
      <w:lvlJc w:val="left"/>
      <w:pPr>
        <w:ind w:left="340" w:hanging="340"/>
      </w:pPr>
    </w:lvl>
  </w:abstractNum>
  <w:abstractNum w:abstractNumId="10" w15:restartNumberingAfterBreak="0">
    <w:nsid w:val="3F3E6F94"/>
    <w:multiLevelType w:val="singleLevel"/>
    <w:tmpl w:val="A73E6824"/>
    <w:lvl w:ilvl="0">
      <w:start w:val="7"/>
      <w:numFmt w:val="decimal"/>
      <w:lvlText w:val="%1."/>
      <w:legacy w:legacy="1" w:legacySpace="120" w:legacyIndent="340"/>
      <w:lvlJc w:val="left"/>
      <w:pPr>
        <w:ind w:left="340" w:hanging="340"/>
      </w:pPr>
    </w:lvl>
  </w:abstractNum>
  <w:abstractNum w:abstractNumId="11" w15:restartNumberingAfterBreak="0">
    <w:nsid w:val="421864D4"/>
    <w:multiLevelType w:val="singleLevel"/>
    <w:tmpl w:val="80B626A0"/>
    <w:lvl w:ilvl="0">
      <w:start w:val="1"/>
      <w:numFmt w:val="lowerLetter"/>
      <w:lvlText w:val="%1)"/>
      <w:legacy w:legacy="1" w:legacySpace="120" w:legacyIndent="340"/>
      <w:lvlJc w:val="left"/>
      <w:pPr>
        <w:ind w:left="766" w:hanging="340"/>
      </w:pPr>
    </w:lvl>
  </w:abstractNum>
  <w:abstractNum w:abstractNumId="12" w15:restartNumberingAfterBreak="0">
    <w:nsid w:val="5A261ACB"/>
    <w:multiLevelType w:val="singleLevel"/>
    <w:tmpl w:val="15C46E5A"/>
    <w:lvl w:ilvl="0">
      <w:start w:val="8"/>
      <w:numFmt w:val="decimal"/>
      <w:lvlText w:val="%1."/>
      <w:legacy w:legacy="1" w:legacySpace="120" w:legacyIndent="340"/>
      <w:lvlJc w:val="left"/>
      <w:pPr>
        <w:ind w:left="340" w:hanging="340"/>
      </w:pPr>
    </w:lvl>
  </w:abstractNum>
  <w:abstractNum w:abstractNumId="13" w15:restartNumberingAfterBreak="0">
    <w:nsid w:val="5C852DAF"/>
    <w:multiLevelType w:val="singleLevel"/>
    <w:tmpl w:val="C3288672"/>
    <w:lvl w:ilvl="0">
      <w:start w:val="4"/>
      <w:numFmt w:val="lowerLetter"/>
      <w:lvlText w:val="%1)"/>
      <w:legacy w:legacy="1" w:legacySpace="120" w:legacyIndent="170"/>
      <w:lvlJc w:val="left"/>
      <w:pPr>
        <w:ind w:left="596" w:hanging="170"/>
      </w:pPr>
    </w:lvl>
  </w:abstractNum>
  <w:abstractNum w:abstractNumId="14" w15:restartNumberingAfterBreak="0">
    <w:nsid w:val="644F759B"/>
    <w:multiLevelType w:val="singleLevel"/>
    <w:tmpl w:val="80B626A0"/>
    <w:lvl w:ilvl="0">
      <w:start w:val="1"/>
      <w:numFmt w:val="lowerLetter"/>
      <w:lvlText w:val="%1)"/>
      <w:legacy w:legacy="1" w:legacySpace="120" w:legacyIndent="340"/>
      <w:lvlJc w:val="left"/>
      <w:pPr>
        <w:ind w:left="766" w:hanging="340"/>
      </w:pPr>
    </w:lvl>
  </w:abstractNum>
  <w:abstractNum w:abstractNumId="15" w15:restartNumberingAfterBreak="0">
    <w:nsid w:val="6C6352C0"/>
    <w:multiLevelType w:val="singleLevel"/>
    <w:tmpl w:val="9AB8334C"/>
    <w:lvl w:ilvl="0">
      <w:start w:val="1"/>
      <w:numFmt w:val="decimal"/>
      <w:lvlText w:val="%1."/>
      <w:legacy w:legacy="1" w:legacySpace="120" w:legacyIndent="360"/>
      <w:lvlJc w:val="left"/>
      <w:pPr>
        <w:ind w:left="360" w:hanging="360"/>
      </w:pPr>
    </w:lvl>
  </w:abstractNum>
  <w:abstractNum w:abstractNumId="16" w15:restartNumberingAfterBreak="0">
    <w:nsid w:val="6CAD75B8"/>
    <w:multiLevelType w:val="hybridMultilevel"/>
    <w:tmpl w:val="DDBC161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751F6959"/>
    <w:multiLevelType w:val="hybridMultilevel"/>
    <w:tmpl w:val="A0FC8E76"/>
    <w:lvl w:ilvl="0" w:tplc="0407000F">
      <w:start w:val="1"/>
      <w:numFmt w:val="decimal"/>
      <w:lvlText w:val="%1."/>
      <w:lvlJc w:val="left"/>
      <w:pPr>
        <w:tabs>
          <w:tab w:val="num" w:pos="1429"/>
        </w:tabs>
        <w:ind w:left="1429" w:hanging="360"/>
      </w:pPr>
    </w:lvl>
    <w:lvl w:ilvl="1" w:tplc="04070019" w:tentative="1">
      <w:start w:val="1"/>
      <w:numFmt w:val="lowerLetter"/>
      <w:lvlText w:val="%2."/>
      <w:lvlJc w:val="left"/>
      <w:pPr>
        <w:tabs>
          <w:tab w:val="num" w:pos="2149"/>
        </w:tabs>
        <w:ind w:left="2149" w:hanging="360"/>
      </w:pPr>
    </w:lvl>
    <w:lvl w:ilvl="2" w:tplc="0407001B" w:tentative="1">
      <w:start w:val="1"/>
      <w:numFmt w:val="lowerRoman"/>
      <w:lvlText w:val="%3."/>
      <w:lvlJc w:val="right"/>
      <w:pPr>
        <w:tabs>
          <w:tab w:val="num" w:pos="2869"/>
        </w:tabs>
        <w:ind w:left="2869" w:hanging="180"/>
      </w:pPr>
    </w:lvl>
    <w:lvl w:ilvl="3" w:tplc="0407000F" w:tentative="1">
      <w:start w:val="1"/>
      <w:numFmt w:val="decimal"/>
      <w:lvlText w:val="%4."/>
      <w:lvlJc w:val="left"/>
      <w:pPr>
        <w:tabs>
          <w:tab w:val="num" w:pos="3589"/>
        </w:tabs>
        <w:ind w:left="3589" w:hanging="360"/>
      </w:pPr>
    </w:lvl>
    <w:lvl w:ilvl="4" w:tplc="04070019" w:tentative="1">
      <w:start w:val="1"/>
      <w:numFmt w:val="lowerLetter"/>
      <w:lvlText w:val="%5."/>
      <w:lvlJc w:val="left"/>
      <w:pPr>
        <w:tabs>
          <w:tab w:val="num" w:pos="4309"/>
        </w:tabs>
        <w:ind w:left="4309" w:hanging="360"/>
      </w:pPr>
    </w:lvl>
    <w:lvl w:ilvl="5" w:tplc="0407001B" w:tentative="1">
      <w:start w:val="1"/>
      <w:numFmt w:val="lowerRoman"/>
      <w:lvlText w:val="%6."/>
      <w:lvlJc w:val="right"/>
      <w:pPr>
        <w:tabs>
          <w:tab w:val="num" w:pos="5029"/>
        </w:tabs>
        <w:ind w:left="5029" w:hanging="180"/>
      </w:pPr>
    </w:lvl>
    <w:lvl w:ilvl="6" w:tplc="0407000F" w:tentative="1">
      <w:start w:val="1"/>
      <w:numFmt w:val="decimal"/>
      <w:lvlText w:val="%7."/>
      <w:lvlJc w:val="left"/>
      <w:pPr>
        <w:tabs>
          <w:tab w:val="num" w:pos="5749"/>
        </w:tabs>
        <w:ind w:left="5749" w:hanging="360"/>
      </w:pPr>
    </w:lvl>
    <w:lvl w:ilvl="7" w:tplc="04070019" w:tentative="1">
      <w:start w:val="1"/>
      <w:numFmt w:val="lowerLetter"/>
      <w:lvlText w:val="%8."/>
      <w:lvlJc w:val="left"/>
      <w:pPr>
        <w:tabs>
          <w:tab w:val="num" w:pos="6469"/>
        </w:tabs>
        <w:ind w:left="6469" w:hanging="360"/>
      </w:pPr>
    </w:lvl>
    <w:lvl w:ilvl="8" w:tplc="0407001B" w:tentative="1">
      <w:start w:val="1"/>
      <w:numFmt w:val="lowerRoman"/>
      <w:lvlText w:val="%9."/>
      <w:lvlJc w:val="right"/>
      <w:pPr>
        <w:tabs>
          <w:tab w:val="num" w:pos="7189"/>
        </w:tabs>
        <w:ind w:left="7189" w:hanging="180"/>
      </w:pPr>
    </w:lvl>
  </w:abstractNum>
  <w:abstractNum w:abstractNumId="18" w15:restartNumberingAfterBreak="0">
    <w:nsid w:val="75B74E79"/>
    <w:multiLevelType w:val="singleLevel"/>
    <w:tmpl w:val="78A48C82"/>
    <w:lvl w:ilvl="0">
      <w:start w:val="11"/>
      <w:numFmt w:val="decimal"/>
      <w:lvlText w:val="%1."/>
      <w:legacy w:legacy="1" w:legacySpace="120" w:legacyIndent="340"/>
      <w:lvlJc w:val="left"/>
      <w:pPr>
        <w:ind w:left="340" w:hanging="340"/>
      </w:pPr>
    </w:lvl>
  </w:abstractNum>
  <w:abstractNum w:abstractNumId="19" w15:restartNumberingAfterBreak="0">
    <w:nsid w:val="7CE82DB8"/>
    <w:multiLevelType w:val="singleLevel"/>
    <w:tmpl w:val="58E6CC9C"/>
    <w:lvl w:ilvl="0">
      <w:start w:val="28"/>
      <w:numFmt w:val="lowerLetter"/>
      <w:lvlText w:val="%1)"/>
      <w:legacy w:legacy="1" w:legacySpace="120" w:legacyIndent="360"/>
      <w:lvlJc w:val="left"/>
      <w:pPr>
        <w:ind w:left="1069" w:hanging="360"/>
      </w:pPr>
    </w:lvl>
  </w:abstractNum>
  <w:num w:numId="1">
    <w:abstractNumId w:val="15"/>
  </w:num>
  <w:num w:numId="2">
    <w:abstractNumId w:val="5"/>
  </w:num>
  <w:num w:numId="3">
    <w:abstractNumId w:val="6"/>
  </w:num>
  <w:num w:numId="4">
    <w:abstractNumId w:val="19"/>
  </w:num>
  <w:num w:numId="5">
    <w:abstractNumId w:val="1"/>
  </w:num>
  <w:num w:numId="6">
    <w:abstractNumId w:val="11"/>
  </w:num>
  <w:num w:numId="7">
    <w:abstractNumId w:val="9"/>
  </w:num>
  <w:num w:numId="8">
    <w:abstractNumId w:val="2"/>
  </w:num>
  <w:num w:numId="9">
    <w:abstractNumId w:val="8"/>
  </w:num>
  <w:num w:numId="10">
    <w:abstractNumId w:val="10"/>
  </w:num>
  <w:num w:numId="11">
    <w:abstractNumId w:val="12"/>
  </w:num>
  <w:num w:numId="12">
    <w:abstractNumId w:val="18"/>
  </w:num>
  <w:num w:numId="13">
    <w:abstractNumId w:val="14"/>
  </w:num>
  <w:num w:numId="14">
    <w:abstractNumId w:val="0"/>
    <w:lvlOverride w:ilvl="0">
      <w:lvl w:ilvl="0">
        <w:start w:val="2"/>
        <w:numFmt w:val="bullet"/>
        <w:lvlText w:val="b)"/>
        <w:legacy w:legacy="1" w:legacySpace="120" w:legacyIndent="340"/>
        <w:lvlJc w:val="left"/>
        <w:pPr>
          <w:ind w:left="766" w:hanging="340"/>
        </w:pPr>
      </w:lvl>
    </w:lvlOverride>
  </w:num>
  <w:num w:numId="15">
    <w:abstractNumId w:val="3"/>
  </w:num>
  <w:num w:numId="16">
    <w:abstractNumId w:val="13"/>
  </w:num>
  <w:num w:numId="17">
    <w:abstractNumId w:val="13"/>
    <w:lvlOverride w:ilvl="0">
      <w:lvl w:ilvl="0">
        <w:start w:val="5"/>
        <w:numFmt w:val="lowerLetter"/>
        <w:lvlText w:val="%1)"/>
        <w:legacy w:legacy="1" w:legacySpace="120" w:legacyIndent="170"/>
        <w:lvlJc w:val="left"/>
        <w:pPr>
          <w:ind w:left="596" w:hanging="170"/>
        </w:pPr>
      </w:lvl>
    </w:lvlOverride>
  </w:num>
  <w:num w:numId="18">
    <w:abstractNumId w:val="4"/>
  </w:num>
  <w:num w:numId="19">
    <w:abstractNumId w:val="0"/>
    <w:lvlOverride w:ilvl="0">
      <w:lvl w:ilvl="0">
        <w:start w:val="12"/>
        <w:numFmt w:val="bullet"/>
        <w:lvlText w:val="a)"/>
        <w:legacy w:legacy="1" w:legacySpace="120" w:legacyIndent="340"/>
        <w:lvlJc w:val="left"/>
        <w:pPr>
          <w:ind w:left="766" w:hanging="340"/>
        </w:pPr>
      </w:lvl>
    </w:lvlOverride>
  </w:num>
  <w:num w:numId="20">
    <w:abstractNumId w:val="7"/>
  </w:num>
  <w:num w:numId="21">
    <w:abstractNumId w:val="17"/>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9507593B-BDDC-429A-AE0F-5E08028C6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2">
    <w:name w:val="toc 2"/>
    <w:basedOn w:val="Standard"/>
    <w:next w:val="Standard"/>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rPr>
      <w:color w:val="800080"/>
      <w:u w:val="single"/>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GesAbsatzZchn">
    <w:name w:val="GesAbsatz Zchn"/>
    <w:basedOn w:val="Absatz-Standardschriftart"/>
    <w:link w:val="GesAbsatz"/>
    <w:rPr>
      <w:rFonts w:ascii="Arial" w:hAnsi="Arial"/>
      <w:color w:val="000000"/>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6s2764.pdf'%5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13s3154.pdf'%5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gbl.de/Xaver/start.xav?startbk=Bundesanzeiger_BGBl&amp;start=//*%5b@attr_id='bgbl113s0095.pdf'%5d" TargetMode="Externa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11s2727.pdf'%5d"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A1260-CEC6-440F-962D-BD348B2B8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7</Pages>
  <Words>1995</Words>
  <Characters>12570</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UAG-Gebührenverordnung</vt:lpstr>
    </vt:vector>
  </TitlesOfParts>
  <Company>LANUV NRW</Company>
  <LinksUpToDate>false</LinksUpToDate>
  <CharactersWithSpaces>14536</CharactersWithSpaces>
  <SharedDoc>false</SharedDoc>
  <HLinks>
    <vt:vector size="78" baseType="variant">
      <vt:variant>
        <vt:i4>4915307</vt:i4>
      </vt:variant>
      <vt:variant>
        <vt:i4>63</vt:i4>
      </vt:variant>
      <vt:variant>
        <vt:i4>0</vt:i4>
      </vt:variant>
      <vt:variant>
        <vt:i4>5</vt:i4>
      </vt:variant>
      <vt:variant>
        <vt:lpwstr>http://www.bgbl.de/Xaver/start.xav?startbk=Bundesanzeiger_BGBl&amp;start=//*%5b@attr_id='bgbl113s3154.pdf'%5d</vt:lpwstr>
      </vt:variant>
      <vt:variant>
        <vt:lpwstr/>
      </vt:variant>
      <vt:variant>
        <vt:i4>4456555</vt:i4>
      </vt:variant>
      <vt:variant>
        <vt:i4>60</vt:i4>
      </vt:variant>
      <vt:variant>
        <vt:i4>0</vt:i4>
      </vt:variant>
      <vt:variant>
        <vt:i4>5</vt:i4>
      </vt:variant>
      <vt:variant>
        <vt:lpwstr>http://www.bgbl.de/Xaver/start.xav?startbk=Bundesanzeiger_BGBl&amp;start=//*%5b@attr_id='bgbl113s0095.pdf'%5d</vt:lpwstr>
      </vt:variant>
      <vt:variant>
        <vt:lpwstr/>
      </vt:variant>
      <vt:variant>
        <vt:i4>5177454</vt:i4>
      </vt:variant>
      <vt:variant>
        <vt:i4>57</vt:i4>
      </vt:variant>
      <vt:variant>
        <vt:i4>0</vt:i4>
      </vt:variant>
      <vt:variant>
        <vt:i4>5</vt:i4>
      </vt:variant>
      <vt:variant>
        <vt:lpwstr>http://www.bgbl.de/Xaver/start.xav?startbk=Bundesanzeiger_BGBl&amp;start=//*%5b@attr_id='bgbl111s2727.pdf'%5d</vt:lpwstr>
      </vt:variant>
      <vt:variant>
        <vt:lpwstr/>
      </vt:variant>
      <vt:variant>
        <vt:i4>4980844</vt:i4>
      </vt:variant>
      <vt:variant>
        <vt:i4>54</vt:i4>
      </vt:variant>
      <vt:variant>
        <vt:i4>0</vt:i4>
      </vt:variant>
      <vt:variant>
        <vt:i4>5</vt:i4>
      </vt:variant>
      <vt:variant>
        <vt:lpwstr>http://www.bgbl.de/Xaver/start.xav?startbk=Bundesanzeiger_BGBl&amp;start=//*%5b@attr_id='bgbl106s2764.pdf'%5d</vt:lpwstr>
      </vt:variant>
      <vt:variant>
        <vt:lpwstr/>
      </vt:variant>
      <vt:variant>
        <vt:i4>1245243</vt:i4>
      </vt:variant>
      <vt:variant>
        <vt:i4>47</vt:i4>
      </vt:variant>
      <vt:variant>
        <vt:i4>0</vt:i4>
      </vt:variant>
      <vt:variant>
        <vt:i4>5</vt:i4>
      </vt:variant>
      <vt:variant>
        <vt:lpwstr/>
      </vt:variant>
      <vt:variant>
        <vt:lpwstr>_Toc365446903</vt:lpwstr>
      </vt:variant>
      <vt:variant>
        <vt:i4>1245243</vt:i4>
      </vt:variant>
      <vt:variant>
        <vt:i4>41</vt:i4>
      </vt:variant>
      <vt:variant>
        <vt:i4>0</vt:i4>
      </vt:variant>
      <vt:variant>
        <vt:i4>5</vt:i4>
      </vt:variant>
      <vt:variant>
        <vt:lpwstr/>
      </vt:variant>
      <vt:variant>
        <vt:lpwstr>_Toc365446902</vt:lpwstr>
      </vt:variant>
      <vt:variant>
        <vt:i4>1245243</vt:i4>
      </vt:variant>
      <vt:variant>
        <vt:i4>35</vt:i4>
      </vt:variant>
      <vt:variant>
        <vt:i4>0</vt:i4>
      </vt:variant>
      <vt:variant>
        <vt:i4>5</vt:i4>
      </vt:variant>
      <vt:variant>
        <vt:lpwstr/>
      </vt:variant>
      <vt:variant>
        <vt:lpwstr>_Toc365446901</vt:lpwstr>
      </vt:variant>
      <vt:variant>
        <vt:i4>1245243</vt:i4>
      </vt:variant>
      <vt:variant>
        <vt:i4>29</vt:i4>
      </vt:variant>
      <vt:variant>
        <vt:i4>0</vt:i4>
      </vt:variant>
      <vt:variant>
        <vt:i4>5</vt:i4>
      </vt:variant>
      <vt:variant>
        <vt:lpwstr/>
      </vt:variant>
      <vt:variant>
        <vt:lpwstr>_Toc365446900</vt:lpwstr>
      </vt:variant>
      <vt:variant>
        <vt:i4>1703994</vt:i4>
      </vt:variant>
      <vt:variant>
        <vt:i4>23</vt:i4>
      </vt:variant>
      <vt:variant>
        <vt:i4>0</vt:i4>
      </vt:variant>
      <vt:variant>
        <vt:i4>5</vt:i4>
      </vt:variant>
      <vt:variant>
        <vt:lpwstr/>
      </vt:variant>
      <vt:variant>
        <vt:lpwstr>_Toc365446899</vt:lpwstr>
      </vt:variant>
      <vt:variant>
        <vt:i4>1703994</vt:i4>
      </vt:variant>
      <vt:variant>
        <vt:i4>17</vt:i4>
      </vt:variant>
      <vt:variant>
        <vt:i4>0</vt:i4>
      </vt:variant>
      <vt:variant>
        <vt:i4>5</vt:i4>
      </vt:variant>
      <vt:variant>
        <vt:lpwstr/>
      </vt:variant>
      <vt:variant>
        <vt:lpwstr>_Toc365446898</vt:lpwstr>
      </vt:variant>
      <vt:variant>
        <vt:i4>1703994</vt:i4>
      </vt:variant>
      <vt:variant>
        <vt:i4>11</vt:i4>
      </vt:variant>
      <vt:variant>
        <vt:i4>0</vt:i4>
      </vt:variant>
      <vt:variant>
        <vt:i4>5</vt:i4>
      </vt:variant>
      <vt:variant>
        <vt:lpwstr/>
      </vt:variant>
      <vt:variant>
        <vt:lpwstr>_Toc365446897</vt:lpwstr>
      </vt:variant>
      <vt:variant>
        <vt:i4>1703994</vt:i4>
      </vt:variant>
      <vt:variant>
        <vt:i4>5</vt:i4>
      </vt:variant>
      <vt:variant>
        <vt:i4>0</vt:i4>
      </vt:variant>
      <vt:variant>
        <vt:i4>5</vt:i4>
      </vt:variant>
      <vt:variant>
        <vt:lpwstr/>
      </vt:variant>
      <vt:variant>
        <vt:lpwstr>_Toc365446896</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UAG-Gebührenverordnung</dc:title>
  <dc:subject/>
  <dc:creator>Natrop</dc:creator>
  <cp:keywords/>
  <dc:description>durchgesehen 8.2005</dc:description>
  <cp:lastModifiedBy>Rüter, Dr., Ingo</cp:lastModifiedBy>
  <cp:revision>8</cp:revision>
  <cp:lastPrinted>2005-08-29T10:20:00Z</cp:lastPrinted>
  <dcterms:created xsi:type="dcterms:W3CDTF">2013-12-18T10:34:00Z</dcterms:created>
  <dcterms:modified xsi:type="dcterms:W3CDTF">2024-12-09T13:25:00Z</dcterms:modified>
</cp:coreProperties>
</file>