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02884937"/>
      <w:r>
        <w:t>Verordnung über die Gebühren und Auslagen der</w:t>
      </w:r>
      <w:r>
        <w:br/>
        <w:t>Bezirksschornsteinfegermeisterinnen und Bezirksschornsteinfeger</w:t>
      </w:r>
      <w:r>
        <w:br/>
        <w:t>meister - Kehr- und Überprüfung</w:t>
      </w:r>
      <w:bookmarkStart w:id="1" w:name="_GoBack"/>
      <w:bookmarkEnd w:id="1"/>
      <w:r>
        <w:t>sgebührenordnung - KÜGebO</w:t>
      </w:r>
      <w:bookmarkEnd w:id="0"/>
    </w:p>
    <w:p>
      <w:pPr>
        <w:pStyle w:val="GesAbsatz"/>
        <w:jc w:val="center"/>
      </w:pPr>
      <w:r>
        <w:t>vom 1. Dezember 2000</w:t>
      </w:r>
    </w:p>
    <w:p>
      <w:pPr>
        <w:pStyle w:val="GesAbsatz"/>
        <w:jc w:val="left"/>
        <w:rPr>
          <w:b/>
          <w:i/>
          <w:color w:val="FF0000"/>
          <w:sz w:val="24"/>
          <w:szCs w:val="24"/>
        </w:rPr>
      </w:pPr>
      <w:r>
        <w:rPr>
          <w:b/>
          <w:i/>
          <w:color w:val="FF0000"/>
          <w:sz w:val="24"/>
          <w:szCs w:val="24"/>
        </w:rPr>
        <w:t>Gültig bis 31. Dezember 2009 - aufgehoben durch Fristablauf</w:t>
      </w:r>
    </w:p>
    <w:p>
      <w:pPr>
        <w:pStyle w:val="GesAbsatz"/>
        <w:jc w:val="left"/>
      </w:pPr>
      <w:hyperlink r:id="rId7" w:tooltip="Link zur Vorschrift im SGV. NRW. (Gl.-Nr. 7125)  =&gt; nur für NRW-Behörden über das Landesverwaltungsnetz NRW (LVN) erreichbar!" w:history="1">
        <w:r>
          <w:rPr>
            <w:rStyle w:val="Hyperlink"/>
          </w:rPr>
          <w:t>Link zur Vorschrift im SGV. NRW. 7125:</w:t>
        </w:r>
      </w:hyperlink>
    </w:p>
    <w:p>
      <w:pPr>
        <w:pStyle w:val="GesAbsatz"/>
        <w:jc w:val="center"/>
        <w:rPr>
          <w:b/>
          <w:sz w:val="22"/>
        </w:rPr>
      </w:pPr>
      <w:r>
        <w:rPr>
          <w:b/>
          <w:sz w:val="22"/>
        </w:rPr>
        <w:t>Inhalt:</w:t>
      </w:r>
    </w:p>
    <w:p>
      <w:pPr>
        <w:pStyle w:val="Verzeichnis1"/>
        <w:tabs>
          <w:tab w:val="clear" w:pos="9638"/>
          <w:tab w:val="right" w:leader="dot" w:pos="9627"/>
        </w:tabs>
        <w:rPr>
          <w:b w:val="0"/>
          <w:bCs/>
          <w:caps w:val="0"/>
          <w:noProof/>
          <w:sz w:val="24"/>
          <w:szCs w:val="24"/>
        </w:rPr>
      </w:pPr>
      <w:r>
        <w:rPr>
          <w:b w:val="0"/>
          <w:caps w:val="0"/>
          <w:sz w:val="22"/>
        </w:rPr>
        <w:fldChar w:fldCharType="begin"/>
      </w:r>
      <w:r>
        <w:rPr>
          <w:b w:val="0"/>
          <w:caps w:val="0"/>
          <w:sz w:val="22"/>
        </w:rPr>
        <w:instrText xml:space="preserve"> TOC \o "1-3" \h \z \u </w:instrText>
      </w:r>
      <w:r>
        <w:rPr>
          <w:b w:val="0"/>
          <w:caps w:val="0"/>
          <w:sz w:val="22"/>
        </w:rPr>
        <w:fldChar w:fldCharType="separate"/>
      </w:r>
      <w:hyperlink w:anchor="_Toc102884937" w:history="1">
        <w:r>
          <w:rPr>
            <w:rStyle w:val="Hyperlink"/>
            <w:noProof/>
          </w:rPr>
          <w:t>Kehr- und Überprüfungsgebührenordnung - KÜGebO</w:t>
        </w:r>
        <w:r>
          <w:rPr>
            <w:noProof/>
            <w:webHidden/>
          </w:rPr>
          <w:tab/>
        </w:r>
        <w:r>
          <w:rPr>
            <w:noProof/>
            <w:webHidden/>
          </w:rPr>
          <w:fldChar w:fldCharType="begin"/>
        </w:r>
        <w:r>
          <w:rPr>
            <w:noProof/>
            <w:webHidden/>
          </w:rPr>
          <w:instrText xml:space="preserve"> PAGEREF _Toc102884937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102884938" w:history="1">
        <w:r>
          <w:rPr>
            <w:rStyle w:val="Hyperlink"/>
            <w:noProof/>
          </w:rPr>
          <w:t>§ 1 Erhebung von Gebühren</w:t>
        </w:r>
        <w:r>
          <w:rPr>
            <w:noProof/>
            <w:webHidden/>
          </w:rPr>
          <w:tab/>
        </w:r>
        <w:r>
          <w:rPr>
            <w:noProof/>
            <w:webHidden/>
          </w:rPr>
          <w:fldChar w:fldCharType="begin"/>
        </w:r>
        <w:r>
          <w:rPr>
            <w:noProof/>
            <w:webHidden/>
          </w:rPr>
          <w:instrText xml:space="preserve"> PAGEREF _Toc102884938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102884939" w:history="1">
        <w:r>
          <w:rPr>
            <w:rStyle w:val="Hyperlink"/>
            <w:noProof/>
          </w:rPr>
          <w:t>§ 2 Gebühren für regelmäßig wiederkehrende Arbeiten</w:t>
        </w:r>
        <w:r>
          <w:rPr>
            <w:noProof/>
            <w:webHidden/>
          </w:rPr>
          <w:tab/>
        </w:r>
        <w:r>
          <w:rPr>
            <w:noProof/>
            <w:webHidden/>
          </w:rPr>
          <w:fldChar w:fldCharType="begin"/>
        </w:r>
        <w:r>
          <w:rPr>
            <w:noProof/>
            <w:webHidden/>
          </w:rPr>
          <w:instrText xml:space="preserve"> PAGEREF _Toc102884939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102884940" w:history="1">
        <w:r>
          <w:rPr>
            <w:rStyle w:val="Hyperlink"/>
            <w:noProof/>
          </w:rPr>
          <w:t>§ 3 Grundgebühr</w:t>
        </w:r>
        <w:r>
          <w:rPr>
            <w:noProof/>
            <w:webHidden/>
          </w:rPr>
          <w:tab/>
        </w:r>
        <w:r>
          <w:rPr>
            <w:noProof/>
            <w:webHidden/>
          </w:rPr>
          <w:fldChar w:fldCharType="begin"/>
        </w:r>
        <w:r>
          <w:rPr>
            <w:noProof/>
            <w:webHidden/>
          </w:rPr>
          <w:instrText xml:space="preserve"> PAGEREF _Toc102884940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02884941" w:history="1">
        <w:r>
          <w:rPr>
            <w:rStyle w:val="Hyperlink"/>
            <w:noProof/>
          </w:rPr>
          <w:t>§ 4 Kehrgebühr</w:t>
        </w:r>
        <w:r>
          <w:rPr>
            <w:noProof/>
            <w:webHidden/>
          </w:rPr>
          <w:tab/>
        </w:r>
        <w:r>
          <w:rPr>
            <w:noProof/>
            <w:webHidden/>
          </w:rPr>
          <w:fldChar w:fldCharType="begin"/>
        </w:r>
        <w:r>
          <w:rPr>
            <w:noProof/>
            <w:webHidden/>
          </w:rPr>
          <w:instrText xml:space="preserve"> PAGEREF _Toc102884941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02884942" w:history="1">
        <w:r>
          <w:rPr>
            <w:rStyle w:val="Hyperlink"/>
            <w:noProof/>
          </w:rPr>
          <w:t>§ 5 Überprüfungsgebühr</w:t>
        </w:r>
        <w:r>
          <w:rPr>
            <w:noProof/>
            <w:webHidden/>
          </w:rPr>
          <w:tab/>
        </w:r>
        <w:r>
          <w:rPr>
            <w:noProof/>
            <w:webHidden/>
          </w:rPr>
          <w:fldChar w:fldCharType="begin"/>
        </w:r>
        <w:r>
          <w:rPr>
            <w:noProof/>
            <w:webHidden/>
          </w:rPr>
          <w:instrText xml:space="preserve"> PAGEREF _Toc102884942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szCs w:val="24"/>
        </w:rPr>
      </w:pPr>
      <w:hyperlink w:anchor="_Toc102884943" w:history="1">
        <w:r>
          <w:rPr>
            <w:rStyle w:val="Hyperlink"/>
            <w:noProof/>
          </w:rPr>
          <w:t>§ 6 Gebühren und Auslagen für Messungen</w:t>
        </w:r>
        <w:r>
          <w:rPr>
            <w:noProof/>
            <w:webHidden/>
          </w:rPr>
          <w:tab/>
        </w:r>
        <w:r>
          <w:rPr>
            <w:noProof/>
            <w:webHidden/>
          </w:rPr>
          <w:fldChar w:fldCharType="begin"/>
        </w:r>
        <w:r>
          <w:rPr>
            <w:noProof/>
            <w:webHidden/>
          </w:rPr>
          <w:instrText xml:space="preserve"> PAGEREF _Toc102884943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szCs w:val="24"/>
        </w:rPr>
      </w:pPr>
      <w:hyperlink w:anchor="_Toc102884944" w:history="1">
        <w:r>
          <w:rPr>
            <w:rStyle w:val="Hyperlink"/>
            <w:noProof/>
          </w:rPr>
          <w:t>§ 7 Kombinierte Überprüfungs- und Messgebühren</w:t>
        </w:r>
        <w:r>
          <w:rPr>
            <w:noProof/>
            <w:webHidden/>
          </w:rPr>
          <w:tab/>
        </w:r>
        <w:r>
          <w:rPr>
            <w:noProof/>
            <w:webHidden/>
          </w:rPr>
          <w:fldChar w:fldCharType="begin"/>
        </w:r>
        <w:r>
          <w:rPr>
            <w:noProof/>
            <w:webHidden/>
          </w:rPr>
          <w:instrText xml:space="preserve"> PAGEREF _Toc102884944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szCs w:val="24"/>
        </w:rPr>
      </w:pPr>
      <w:hyperlink w:anchor="_Toc102884945" w:history="1">
        <w:r>
          <w:rPr>
            <w:rStyle w:val="Hyperlink"/>
            <w:noProof/>
          </w:rPr>
          <w:t>§ 8 Zusätzliche Kehrungen, Überprüfungen oder Messungen</w:t>
        </w:r>
        <w:r>
          <w:rPr>
            <w:noProof/>
            <w:webHidden/>
          </w:rPr>
          <w:tab/>
        </w:r>
        <w:r>
          <w:rPr>
            <w:noProof/>
            <w:webHidden/>
          </w:rPr>
          <w:fldChar w:fldCharType="begin"/>
        </w:r>
        <w:r>
          <w:rPr>
            <w:noProof/>
            <w:webHidden/>
          </w:rPr>
          <w:instrText xml:space="preserve"> PAGEREF _Toc102884945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szCs w:val="24"/>
        </w:rPr>
      </w:pPr>
      <w:hyperlink w:anchor="_Toc102884946" w:history="1">
        <w:r>
          <w:rPr>
            <w:rStyle w:val="Hyperlink"/>
            <w:noProof/>
          </w:rPr>
          <w:t>§ 9 Zuschläge</w:t>
        </w:r>
        <w:r>
          <w:rPr>
            <w:noProof/>
            <w:webHidden/>
          </w:rPr>
          <w:tab/>
        </w:r>
        <w:r>
          <w:rPr>
            <w:noProof/>
            <w:webHidden/>
          </w:rPr>
          <w:fldChar w:fldCharType="begin"/>
        </w:r>
        <w:r>
          <w:rPr>
            <w:noProof/>
            <w:webHidden/>
          </w:rPr>
          <w:instrText xml:space="preserve"> PAGEREF _Toc102884946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szCs w:val="24"/>
        </w:rPr>
      </w:pPr>
      <w:hyperlink w:anchor="_Toc102884947" w:history="1">
        <w:r>
          <w:rPr>
            <w:rStyle w:val="Hyperlink"/>
            <w:noProof/>
          </w:rPr>
          <w:t>§ 10 Besondere Verfahren</w:t>
        </w:r>
        <w:r>
          <w:rPr>
            <w:noProof/>
            <w:webHidden/>
          </w:rPr>
          <w:tab/>
        </w:r>
        <w:r>
          <w:rPr>
            <w:noProof/>
            <w:webHidden/>
          </w:rPr>
          <w:fldChar w:fldCharType="begin"/>
        </w:r>
        <w:r>
          <w:rPr>
            <w:noProof/>
            <w:webHidden/>
          </w:rPr>
          <w:instrText xml:space="preserve"> PAGEREF _Toc102884947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szCs w:val="24"/>
        </w:rPr>
      </w:pPr>
      <w:hyperlink w:anchor="_Toc102884948" w:history="1">
        <w:r>
          <w:rPr>
            <w:rStyle w:val="Hyperlink"/>
            <w:noProof/>
          </w:rPr>
          <w:t>§ 11 Prüfung und Begutachtung nach Baurecht</w:t>
        </w:r>
        <w:r>
          <w:rPr>
            <w:noProof/>
            <w:webHidden/>
          </w:rPr>
          <w:tab/>
        </w:r>
        <w:r>
          <w:rPr>
            <w:noProof/>
            <w:webHidden/>
          </w:rPr>
          <w:fldChar w:fldCharType="begin"/>
        </w:r>
        <w:r>
          <w:rPr>
            <w:noProof/>
            <w:webHidden/>
          </w:rPr>
          <w:instrText xml:space="preserve"> PAGEREF _Toc102884948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szCs w:val="24"/>
        </w:rPr>
      </w:pPr>
      <w:hyperlink w:anchor="_Toc102884949" w:history="1">
        <w:r>
          <w:rPr>
            <w:rStyle w:val="Hyperlink"/>
            <w:noProof/>
          </w:rPr>
          <w:t>§ 12 Sonstige Prüfung und Begutachtung</w:t>
        </w:r>
        <w:r>
          <w:rPr>
            <w:noProof/>
            <w:webHidden/>
          </w:rPr>
          <w:tab/>
        </w:r>
        <w:r>
          <w:rPr>
            <w:noProof/>
            <w:webHidden/>
          </w:rPr>
          <w:fldChar w:fldCharType="begin"/>
        </w:r>
        <w:r>
          <w:rPr>
            <w:noProof/>
            <w:webHidden/>
          </w:rPr>
          <w:instrText xml:space="preserve"> PAGEREF _Toc102884949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szCs w:val="24"/>
        </w:rPr>
      </w:pPr>
      <w:hyperlink w:anchor="_Toc102884950" w:history="1">
        <w:r>
          <w:rPr>
            <w:rStyle w:val="Hyperlink"/>
            <w:noProof/>
          </w:rPr>
          <w:t>§ 13 Mahngebühr</w:t>
        </w:r>
        <w:r>
          <w:rPr>
            <w:noProof/>
            <w:webHidden/>
          </w:rPr>
          <w:tab/>
        </w:r>
        <w:r>
          <w:rPr>
            <w:noProof/>
            <w:webHidden/>
          </w:rPr>
          <w:fldChar w:fldCharType="begin"/>
        </w:r>
        <w:r>
          <w:rPr>
            <w:noProof/>
            <w:webHidden/>
          </w:rPr>
          <w:instrText xml:space="preserve"> PAGEREF _Toc102884950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szCs w:val="24"/>
        </w:rPr>
      </w:pPr>
      <w:hyperlink w:anchor="_Toc102884951" w:history="1">
        <w:r>
          <w:rPr>
            <w:rStyle w:val="Hyperlink"/>
            <w:noProof/>
          </w:rPr>
          <w:t>§ 14 In-Kraft-Treten, Außer-Kraft-Treten</w:t>
        </w:r>
        <w:r>
          <w:rPr>
            <w:noProof/>
            <w:webHidden/>
          </w:rPr>
          <w:tab/>
        </w:r>
        <w:r>
          <w:rPr>
            <w:noProof/>
            <w:webHidden/>
          </w:rPr>
          <w:fldChar w:fldCharType="begin"/>
        </w:r>
        <w:r>
          <w:rPr>
            <w:noProof/>
            <w:webHidden/>
          </w:rPr>
          <w:instrText xml:space="preserve"> PAGEREF _Toc102884951 \h </w:instrText>
        </w:r>
        <w:r>
          <w:rPr>
            <w:noProof/>
            <w:webHidden/>
          </w:rPr>
        </w:r>
        <w:r>
          <w:rPr>
            <w:noProof/>
            <w:webHidden/>
          </w:rPr>
          <w:fldChar w:fldCharType="separate"/>
        </w:r>
        <w:r>
          <w:rPr>
            <w:noProof/>
            <w:webHidden/>
          </w:rPr>
          <w:t>5</w:t>
        </w:r>
        <w:r>
          <w:rPr>
            <w:noProof/>
            <w:webHidden/>
          </w:rPr>
          <w:fldChar w:fldCharType="end"/>
        </w:r>
      </w:hyperlink>
    </w:p>
    <w:p>
      <w:pPr>
        <w:pStyle w:val="GesAbsatz"/>
        <w:jc w:val="left"/>
      </w:pPr>
      <w:r>
        <w:rPr>
          <w:rFonts w:ascii="Times New Roman" w:hAnsi="Times New Roman"/>
          <w:b/>
          <w:caps/>
          <w:color w:val="auto"/>
          <w:sz w:val="22"/>
        </w:rPr>
        <w:fldChar w:fldCharType="end"/>
      </w:r>
    </w:p>
    <w:p>
      <w:pPr>
        <w:pStyle w:val="berschrift3"/>
      </w:pPr>
      <w:bookmarkStart w:id="2" w:name="_Toc102884938"/>
      <w:r>
        <w:t>§ 1</w:t>
      </w:r>
      <w:r>
        <w:br/>
        <w:t>Erhebung von Gebühren</w:t>
      </w:r>
      <w:bookmarkEnd w:id="2"/>
    </w:p>
    <w:p>
      <w:pPr>
        <w:pStyle w:val="GesAbsatz"/>
      </w:pPr>
      <w:r>
        <w:t>(1) Die Bezirksschornsteinfegermeisterin oder der Bezirksschornsteinfegermeister erhebt für Tätigkeiten nach dem Schornsteinfegergesetz von der Grundstückseigentümerin oder dem Grundstückseigentümer Gebühren und Auslagen nach Maßgabe dieser Verordnung. Neben den festgesetzten Gebühren werden keine Wegegelder erhoben.</w:t>
      </w:r>
    </w:p>
    <w:p>
      <w:pPr>
        <w:pStyle w:val="GesAbsatz"/>
      </w:pPr>
      <w:r>
        <w:t>(2) Die Gebühren sind nach Arbeitswerten (AW) bemessen. Das Entgelt beträgt für einen Arbeitswert 0,70 Euro zuzüglich der gesetzlichen Umsatzsteuer.</w:t>
      </w:r>
    </w:p>
    <w:p>
      <w:pPr>
        <w:pStyle w:val="berschrift3"/>
      </w:pPr>
      <w:bookmarkStart w:id="3" w:name="_Toc102884939"/>
      <w:r>
        <w:t>§ 2</w:t>
      </w:r>
      <w:r>
        <w:br/>
        <w:t>Gebühren für regelmäßig wiederkehrende Arbeiten</w:t>
      </w:r>
      <w:bookmarkEnd w:id="3"/>
    </w:p>
    <w:p>
      <w:pPr>
        <w:pStyle w:val="GesAbsatz"/>
      </w:pPr>
      <w:r>
        <w:t>(1) Zu den Gebühren für regelmäßig wiederkehrende Arbeiten gehören die Grundgebühr, die Kehrgebühren, die Überprüfungsgebühren, die Gebühren und Auslagen für Messungen sowie die Gebühr für die Feuerstättenschau (§§ 3 bis 7). Die Gebühren nach den §§ 3 und 4 werden für jedes selbständige Gebäude zusammengerechnet und je nach der Anzahl der Kehrungen in gleiche Teile geteilt. Die Teilbeträge sind nach Durchführung der entsprechenden Arbeiten fällig. Abweichende Vereinbarungen sind zulässig.</w:t>
      </w:r>
    </w:p>
    <w:p>
      <w:pPr>
        <w:pStyle w:val="GesAbsatz"/>
      </w:pPr>
      <w:r>
        <w:t>(2) Wird ein Gebäude oder eine kehr- und überprüfungspflichtige Anlage erst im Laufe des Kalenderjahres in Benutzung genommen, so ist für die noch anfallenden Kehrungen bzw. Überprüfungen die anteilige Kehr- bzw. Überprüfungsgebühr zu erheben. Die Grundgebühr fällt in vollem Umfang an. Entsprechend ist zu verfahren, wenn im Laufe des Kalenderjahres ein Gebäude nur zeitweise benutzt oder eine Anlage ordnungsgemäß außer Betrieb gesetzt wird (§ 5 Abs. 1 Nr. 4 der Kehr- und Überprüfungsordnung).</w:t>
      </w:r>
    </w:p>
    <w:p>
      <w:pPr>
        <w:pStyle w:val="GesAbsatz"/>
      </w:pPr>
      <w:r>
        <w:t>(3) Ein selbständiges Gebäude im Sinne dieser Verordnung ist jedes selbständig benutzbare, durch eine Hausnummer ausgewiesene oder mit einem eigenen Eingang versehene Bauwerk einschließlich der unbewohnten Nebengebäude.</w:t>
      </w:r>
    </w:p>
    <w:p>
      <w:pPr>
        <w:pStyle w:val="GesAbsatz"/>
      </w:pPr>
      <w:r>
        <w:t>(4) Als Stockwerk im Sinne dieser Verordnung gilt jedes über dem Keller liegende Geschoss, durch das der jeweilige Schornstein oder die jeweilige Abgasleitung verläuft. Der Keller wird als Stockwerk mitgerechnet, wenn dort die Sohle des Schornsteins oder der Abgasleitung liegt. Vom Fußboden des Dachgeschosses bis zur Mündung des Schornsteins oder der Abgasleitung werden je angefangene 2,50 m als Stockwerk gerechnet; Restlängen bis zu 1 m bleiben außer Ansatz. Satz 3 gilt entsprechend für Schornsteine und Abgasleitungen, deren Höhe sich nicht nach Stockwerken berechnen lässt.</w:t>
      </w:r>
    </w:p>
    <w:p>
      <w:pPr>
        <w:pStyle w:val="berschrift3"/>
      </w:pPr>
      <w:bookmarkStart w:id="4" w:name="_Toc102884940"/>
      <w:r>
        <w:lastRenderedPageBreak/>
        <w:t>§ 3</w:t>
      </w:r>
      <w:r>
        <w:br/>
        <w:t>Grundgebühr</w:t>
      </w:r>
      <w:bookmarkEnd w:id="4"/>
    </w:p>
    <w:tbl>
      <w:tblPr>
        <w:tblW w:w="0" w:type="auto"/>
        <w:tblInd w:w="45" w:type="dxa"/>
        <w:tblLayout w:type="fixed"/>
        <w:tblLook w:val="0000" w:firstRow="0" w:lastRow="0" w:firstColumn="0" w:lastColumn="0" w:noHBand="0" w:noVBand="0"/>
      </w:tblPr>
      <w:tblGrid>
        <w:gridCol w:w="8064"/>
        <w:gridCol w:w="1575"/>
      </w:tblGrid>
      <w:tr>
        <w:tc>
          <w:tcPr>
            <w:tcW w:w="8064" w:type="dxa"/>
          </w:tcPr>
          <w:p>
            <w:pPr>
              <w:pStyle w:val="GesAbsatz"/>
            </w:pPr>
          </w:p>
        </w:tc>
        <w:tc>
          <w:tcPr>
            <w:tcW w:w="1575" w:type="dxa"/>
          </w:tcPr>
          <w:p>
            <w:pPr>
              <w:pStyle w:val="GesAbsatz"/>
              <w:jc w:val="center"/>
            </w:pPr>
            <w:r>
              <w:t>AW</w:t>
            </w:r>
          </w:p>
        </w:tc>
      </w:tr>
      <w:tr>
        <w:tc>
          <w:tcPr>
            <w:tcW w:w="8064" w:type="dxa"/>
          </w:tcPr>
          <w:p>
            <w:pPr>
              <w:pStyle w:val="GesAbsatz"/>
            </w:pPr>
            <w:r>
              <w:t>Die Grundgebühr beträgt für jedes benutzte selbständige Gebäude und jedes Jahr, in dem Kehrungen, Überprüfungen oder Emissionsmessungen durchgeführt werden</w:t>
            </w:r>
          </w:p>
        </w:tc>
        <w:tc>
          <w:tcPr>
            <w:tcW w:w="1575" w:type="dxa"/>
          </w:tcPr>
          <w:p>
            <w:pPr>
              <w:pStyle w:val="GesAbsatz"/>
              <w:jc w:val="center"/>
            </w:pPr>
            <w:r>
              <w:t>16,8</w:t>
            </w:r>
          </w:p>
        </w:tc>
      </w:tr>
      <w:tr>
        <w:tc>
          <w:tcPr>
            <w:tcW w:w="8064" w:type="dxa"/>
          </w:tcPr>
          <w:p>
            <w:pPr>
              <w:pStyle w:val="GesAbsatz"/>
            </w:pPr>
            <w:r>
              <w:t>zuzüglich einer anteiligen jährlichen Gebühr für die Feuerstättenschau gemäß § 13 Abs. 1 Nr. 2 SchfG für jeden Schornstein und jede Abgasleitung und pro Stockwerk</w:t>
            </w:r>
          </w:p>
        </w:tc>
        <w:tc>
          <w:tcPr>
            <w:tcW w:w="1575" w:type="dxa"/>
          </w:tcPr>
          <w:p>
            <w:pPr>
              <w:pStyle w:val="GesAbsatz"/>
              <w:jc w:val="center"/>
            </w:pPr>
            <w:r>
              <w:t>0,6</w:t>
            </w:r>
          </w:p>
        </w:tc>
      </w:tr>
    </w:tbl>
    <w:p>
      <w:pPr>
        <w:pStyle w:val="berschrift3"/>
      </w:pPr>
      <w:bookmarkStart w:id="5" w:name="_Toc102884941"/>
      <w:r>
        <w:t>§ 4</w:t>
      </w:r>
      <w:r>
        <w:br/>
        <w:t>Kehrgebühr</w:t>
      </w:r>
      <w:bookmarkEnd w:id="5"/>
    </w:p>
    <w:tbl>
      <w:tblPr>
        <w:tblW w:w="0" w:type="auto"/>
        <w:tblInd w:w="45" w:type="dxa"/>
        <w:tblLayout w:type="fixed"/>
        <w:tblLook w:val="0000" w:firstRow="0" w:lastRow="0" w:firstColumn="0" w:lastColumn="0" w:noHBand="0" w:noVBand="0"/>
      </w:tblPr>
      <w:tblGrid>
        <w:gridCol w:w="567"/>
        <w:gridCol w:w="7489"/>
        <w:gridCol w:w="1582"/>
      </w:tblGrid>
      <w:tr>
        <w:tc>
          <w:tcPr>
            <w:tcW w:w="8056" w:type="dxa"/>
            <w:gridSpan w:val="2"/>
          </w:tcPr>
          <w:p>
            <w:pPr>
              <w:pStyle w:val="GesAbsatz"/>
            </w:pPr>
          </w:p>
        </w:tc>
        <w:tc>
          <w:tcPr>
            <w:tcW w:w="1582" w:type="dxa"/>
          </w:tcPr>
          <w:p>
            <w:pPr>
              <w:pStyle w:val="GesAbsatz"/>
              <w:jc w:val="center"/>
            </w:pPr>
            <w:r>
              <w:t>AW</w:t>
            </w:r>
          </w:p>
        </w:tc>
      </w:tr>
      <w:tr>
        <w:tc>
          <w:tcPr>
            <w:tcW w:w="8056" w:type="dxa"/>
            <w:gridSpan w:val="2"/>
          </w:tcPr>
          <w:p>
            <w:pPr>
              <w:pStyle w:val="GesAbsatz"/>
            </w:pPr>
            <w:r>
              <w:t xml:space="preserve">Die Kehrgebühr beträgt für Abgasanlagen, an die Feuerstätten für feste oder flüssige Brennstoffe angeschlossen sind, pro Kehrung für jedes Gebäude </w:t>
            </w:r>
          </w:p>
        </w:tc>
        <w:tc>
          <w:tcPr>
            <w:tcW w:w="1582" w:type="dxa"/>
          </w:tcPr>
          <w:p>
            <w:pPr>
              <w:pStyle w:val="GesAbsatz"/>
              <w:jc w:val="center"/>
            </w:pPr>
            <w:r>
              <w:t>11,1</w:t>
            </w:r>
          </w:p>
        </w:tc>
      </w:tr>
      <w:tr>
        <w:tc>
          <w:tcPr>
            <w:tcW w:w="8056" w:type="dxa"/>
            <w:gridSpan w:val="2"/>
          </w:tcPr>
          <w:p>
            <w:pPr>
              <w:pStyle w:val="GesAbsatz"/>
            </w:pPr>
            <w:r>
              <w:t>zuzüglich</w:t>
            </w:r>
          </w:p>
        </w:tc>
        <w:tc>
          <w:tcPr>
            <w:tcW w:w="1582" w:type="dxa"/>
          </w:tcPr>
          <w:p>
            <w:pPr>
              <w:pStyle w:val="GesAbsatz"/>
              <w:jc w:val="center"/>
            </w:pPr>
          </w:p>
        </w:tc>
      </w:tr>
      <w:tr>
        <w:tc>
          <w:tcPr>
            <w:tcW w:w="567" w:type="dxa"/>
          </w:tcPr>
          <w:p>
            <w:pPr>
              <w:pStyle w:val="GesAbsatz"/>
            </w:pPr>
            <w:r>
              <w:t>1.</w:t>
            </w:r>
          </w:p>
        </w:tc>
        <w:tc>
          <w:tcPr>
            <w:tcW w:w="7489" w:type="dxa"/>
          </w:tcPr>
          <w:p>
            <w:pPr>
              <w:pStyle w:val="GesAbsatz"/>
            </w:pPr>
            <w:r>
              <w:t>für Schornsteine und Abgasleitungen bis 1600 cm</w:t>
            </w:r>
            <w:r>
              <w:rPr>
                <w:vertAlign w:val="superscript"/>
              </w:rPr>
              <w:t>2</w:t>
            </w:r>
          </w:p>
        </w:tc>
        <w:tc>
          <w:tcPr>
            <w:tcW w:w="1582" w:type="dxa"/>
          </w:tcPr>
          <w:p>
            <w:pPr>
              <w:pStyle w:val="GesAbsatz"/>
              <w:jc w:val="center"/>
            </w:pPr>
          </w:p>
        </w:tc>
      </w:tr>
      <w:tr>
        <w:tc>
          <w:tcPr>
            <w:tcW w:w="567" w:type="dxa"/>
          </w:tcPr>
          <w:p>
            <w:pPr>
              <w:pStyle w:val="GesAbsatz"/>
            </w:pPr>
          </w:p>
        </w:tc>
        <w:tc>
          <w:tcPr>
            <w:tcW w:w="7489" w:type="dxa"/>
          </w:tcPr>
          <w:p>
            <w:pPr>
              <w:pStyle w:val="GesAbsatz"/>
            </w:pPr>
            <w:r>
              <w:t>pro Schornstein und pro Abgasleitung</w:t>
            </w:r>
          </w:p>
        </w:tc>
        <w:tc>
          <w:tcPr>
            <w:tcW w:w="1582" w:type="dxa"/>
          </w:tcPr>
          <w:p>
            <w:pPr>
              <w:pStyle w:val="GesAbsatz"/>
              <w:jc w:val="center"/>
            </w:pPr>
            <w:r>
              <w:t>2,8</w:t>
            </w:r>
          </w:p>
        </w:tc>
      </w:tr>
      <w:tr>
        <w:tc>
          <w:tcPr>
            <w:tcW w:w="567" w:type="dxa"/>
          </w:tcPr>
          <w:p>
            <w:pPr>
              <w:pStyle w:val="GesAbsatz"/>
            </w:pPr>
          </w:p>
        </w:tc>
        <w:tc>
          <w:tcPr>
            <w:tcW w:w="7489" w:type="dxa"/>
          </w:tcPr>
          <w:p>
            <w:pPr>
              <w:pStyle w:val="GesAbsatz"/>
            </w:pPr>
            <w:r>
              <w:t>und pro Stockwerk</w:t>
            </w:r>
          </w:p>
        </w:tc>
        <w:tc>
          <w:tcPr>
            <w:tcW w:w="1582" w:type="dxa"/>
          </w:tcPr>
          <w:p>
            <w:pPr>
              <w:pStyle w:val="GesAbsatz"/>
              <w:jc w:val="center"/>
            </w:pPr>
            <w:r>
              <w:t>0,42</w:t>
            </w:r>
          </w:p>
        </w:tc>
      </w:tr>
      <w:tr>
        <w:tc>
          <w:tcPr>
            <w:tcW w:w="567" w:type="dxa"/>
          </w:tcPr>
          <w:p>
            <w:pPr>
              <w:pStyle w:val="GesAbsatz"/>
            </w:pPr>
            <w:r>
              <w:t>2.</w:t>
            </w:r>
          </w:p>
        </w:tc>
        <w:tc>
          <w:tcPr>
            <w:tcW w:w="7489" w:type="dxa"/>
          </w:tcPr>
          <w:p>
            <w:pPr>
              <w:pStyle w:val="GesAbsatz"/>
            </w:pPr>
            <w:r>
              <w:t>für Schornsteine und Abgasleitungen über 1600 cm</w:t>
            </w:r>
            <w:r>
              <w:rPr>
                <w:vertAlign w:val="superscript"/>
              </w:rPr>
              <w:t>2</w:t>
            </w:r>
            <w:r>
              <w:t>, die nicht bestiegen werden</w:t>
            </w:r>
          </w:p>
        </w:tc>
        <w:tc>
          <w:tcPr>
            <w:tcW w:w="1582" w:type="dxa"/>
          </w:tcPr>
          <w:p>
            <w:pPr>
              <w:pStyle w:val="GesAbsatz"/>
              <w:jc w:val="center"/>
            </w:pPr>
          </w:p>
        </w:tc>
      </w:tr>
      <w:tr>
        <w:tc>
          <w:tcPr>
            <w:tcW w:w="567" w:type="dxa"/>
          </w:tcPr>
          <w:p>
            <w:pPr>
              <w:pStyle w:val="GesAbsatz"/>
            </w:pPr>
          </w:p>
        </w:tc>
        <w:tc>
          <w:tcPr>
            <w:tcW w:w="7489" w:type="dxa"/>
          </w:tcPr>
          <w:p>
            <w:pPr>
              <w:pStyle w:val="GesAbsatz"/>
            </w:pPr>
            <w:r>
              <w:t>pro Schornstein und pro Abgasleitung</w:t>
            </w:r>
          </w:p>
        </w:tc>
        <w:tc>
          <w:tcPr>
            <w:tcW w:w="1582" w:type="dxa"/>
          </w:tcPr>
          <w:p>
            <w:pPr>
              <w:pStyle w:val="GesAbsatz"/>
              <w:jc w:val="center"/>
            </w:pPr>
            <w:r>
              <w:t>4,2</w:t>
            </w:r>
          </w:p>
        </w:tc>
      </w:tr>
      <w:tr>
        <w:tc>
          <w:tcPr>
            <w:tcW w:w="567" w:type="dxa"/>
          </w:tcPr>
          <w:p>
            <w:pPr>
              <w:pStyle w:val="GesAbsatz"/>
            </w:pPr>
          </w:p>
        </w:tc>
        <w:tc>
          <w:tcPr>
            <w:tcW w:w="7489" w:type="dxa"/>
          </w:tcPr>
          <w:p>
            <w:pPr>
              <w:pStyle w:val="GesAbsatz"/>
            </w:pPr>
            <w:r>
              <w:t>und pro Stockwerk</w:t>
            </w:r>
          </w:p>
        </w:tc>
        <w:tc>
          <w:tcPr>
            <w:tcW w:w="1582" w:type="dxa"/>
          </w:tcPr>
          <w:p>
            <w:pPr>
              <w:pStyle w:val="GesAbsatz"/>
              <w:jc w:val="center"/>
            </w:pPr>
            <w:r>
              <w:t>0,42</w:t>
            </w:r>
          </w:p>
        </w:tc>
      </w:tr>
      <w:tr>
        <w:tc>
          <w:tcPr>
            <w:tcW w:w="567" w:type="dxa"/>
          </w:tcPr>
          <w:p>
            <w:pPr>
              <w:pStyle w:val="GesAbsatz"/>
            </w:pPr>
            <w:r>
              <w:t>3.</w:t>
            </w:r>
          </w:p>
        </w:tc>
        <w:tc>
          <w:tcPr>
            <w:tcW w:w="7489" w:type="dxa"/>
          </w:tcPr>
          <w:p>
            <w:pPr>
              <w:pStyle w:val="GesAbsatz"/>
            </w:pPr>
            <w:r>
              <w:t>für Schornsteine und Abgasleitungen über 1600 cm</w:t>
            </w:r>
            <w:r>
              <w:rPr>
                <w:vertAlign w:val="superscript"/>
              </w:rPr>
              <w:t>2</w:t>
            </w:r>
            <w:r>
              <w:t>, die bestiegen werden</w:t>
            </w:r>
          </w:p>
        </w:tc>
        <w:tc>
          <w:tcPr>
            <w:tcW w:w="1582" w:type="dxa"/>
          </w:tcPr>
          <w:p>
            <w:pPr>
              <w:pStyle w:val="GesAbsatz"/>
              <w:jc w:val="center"/>
            </w:pPr>
          </w:p>
        </w:tc>
      </w:tr>
      <w:tr>
        <w:tc>
          <w:tcPr>
            <w:tcW w:w="567" w:type="dxa"/>
          </w:tcPr>
          <w:p>
            <w:pPr>
              <w:pStyle w:val="GesAbsatz"/>
            </w:pPr>
          </w:p>
        </w:tc>
        <w:tc>
          <w:tcPr>
            <w:tcW w:w="7489" w:type="dxa"/>
          </w:tcPr>
          <w:p>
            <w:pPr>
              <w:pStyle w:val="GesAbsatz"/>
            </w:pPr>
            <w:r>
              <w:t>pro Schornstein und pro Abgasleitung</w:t>
            </w:r>
          </w:p>
        </w:tc>
        <w:tc>
          <w:tcPr>
            <w:tcW w:w="1582" w:type="dxa"/>
          </w:tcPr>
          <w:p>
            <w:pPr>
              <w:pStyle w:val="GesAbsatz"/>
              <w:jc w:val="center"/>
            </w:pPr>
            <w:r>
              <w:t>6,8</w:t>
            </w:r>
          </w:p>
        </w:tc>
      </w:tr>
      <w:tr>
        <w:tc>
          <w:tcPr>
            <w:tcW w:w="567" w:type="dxa"/>
          </w:tcPr>
          <w:p>
            <w:pPr>
              <w:pStyle w:val="GesAbsatz"/>
            </w:pPr>
          </w:p>
        </w:tc>
        <w:tc>
          <w:tcPr>
            <w:tcW w:w="7489" w:type="dxa"/>
          </w:tcPr>
          <w:p>
            <w:pPr>
              <w:pStyle w:val="GesAbsatz"/>
            </w:pPr>
            <w:r>
              <w:t>und pro Stockwerk</w:t>
            </w:r>
          </w:p>
        </w:tc>
        <w:tc>
          <w:tcPr>
            <w:tcW w:w="1582" w:type="dxa"/>
          </w:tcPr>
          <w:p>
            <w:pPr>
              <w:pStyle w:val="GesAbsatz"/>
              <w:jc w:val="center"/>
            </w:pPr>
            <w:r>
              <w:t>1,3</w:t>
            </w:r>
          </w:p>
        </w:tc>
      </w:tr>
      <w:tr>
        <w:tc>
          <w:tcPr>
            <w:tcW w:w="567" w:type="dxa"/>
          </w:tcPr>
          <w:p>
            <w:pPr>
              <w:pStyle w:val="GesAbsatz"/>
            </w:pPr>
            <w:r>
              <w:t>4.</w:t>
            </w:r>
          </w:p>
        </w:tc>
        <w:tc>
          <w:tcPr>
            <w:tcW w:w="7489" w:type="dxa"/>
          </w:tcPr>
          <w:p>
            <w:pPr>
              <w:pStyle w:val="GesAbsatz"/>
            </w:pPr>
            <w:r>
              <w:t>für Verbindungsstücke bis 1600 cm</w:t>
            </w:r>
            <w:r>
              <w:rPr>
                <w:vertAlign w:val="superscript"/>
              </w:rPr>
              <w:t>2</w:t>
            </w:r>
          </w:p>
        </w:tc>
        <w:tc>
          <w:tcPr>
            <w:tcW w:w="1582" w:type="dxa"/>
          </w:tcPr>
          <w:p>
            <w:pPr>
              <w:pStyle w:val="GesAbsatz"/>
              <w:jc w:val="center"/>
            </w:pPr>
          </w:p>
        </w:tc>
      </w:tr>
      <w:tr>
        <w:tc>
          <w:tcPr>
            <w:tcW w:w="567" w:type="dxa"/>
          </w:tcPr>
          <w:p>
            <w:pPr>
              <w:pStyle w:val="GesAbsatz"/>
            </w:pPr>
          </w:p>
        </w:tc>
        <w:tc>
          <w:tcPr>
            <w:tcW w:w="7489" w:type="dxa"/>
          </w:tcPr>
          <w:p>
            <w:pPr>
              <w:pStyle w:val="GesAbsatz"/>
            </w:pPr>
            <w:r>
              <w:t>pro Verbindungsstück</w:t>
            </w:r>
          </w:p>
        </w:tc>
        <w:tc>
          <w:tcPr>
            <w:tcW w:w="1582" w:type="dxa"/>
          </w:tcPr>
          <w:p>
            <w:pPr>
              <w:pStyle w:val="GesAbsatz"/>
              <w:jc w:val="center"/>
            </w:pPr>
          </w:p>
        </w:tc>
      </w:tr>
      <w:tr>
        <w:tc>
          <w:tcPr>
            <w:tcW w:w="567" w:type="dxa"/>
          </w:tcPr>
          <w:p>
            <w:pPr>
              <w:pStyle w:val="GesAbsatz"/>
            </w:pPr>
          </w:p>
        </w:tc>
        <w:tc>
          <w:tcPr>
            <w:tcW w:w="7489" w:type="dxa"/>
          </w:tcPr>
          <w:p>
            <w:pPr>
              <w:pStyle w:val="GesAbsatz"/>
            </w:pPr>
            <w:r>
              <w:t>für das erste angefangene Meter</w:t>
            </w:r>
          </w:p>
        </w:tc>
        <w:tc>
          <w:tcPr>
            <w:tcW w:w="1582" w:type="dxa"/>
          </w:tcPr>
          <w:p>
            <w:pPr>
              <w:pStyle w:val="GesAbsatz"/>
              <w:jc w:val="center"/>
            </w:pPr>
            <w:r>
              <w:t>2,6</w:t>
            </w:r>
          </w:p>
        </w:tc>
      </w:tr>
      <w:tr>
        <w:tc>
          <w:tcPr>
            <w:tcW w:w="567" w:type="dxa"/>
          </w:tcPr>
          <w:p>
            <w:pPr>
              <w:pStyle w:val="GesAbsatz"/>
            </w:pPr>
          </w:p>
        </w:tc>
        <w:tc>
          <w:tcPr>
            <w:tcW w:w="7489" w:type="dxa"/>
          </w:tcPr>
          <w:p>
            <w:pPr>
              <w:pStyle w:val="GesAbsatz"/>
            </w:pPr>
            <w:r>
              <w:t>für jedes weitere angefangene Meter</w:t>
            </w:r>
          </w:p>
        </w:tc>
        <w:tc>
          <w:tcPr>
            <w:tcW w:w="1582" w:type="dxa"/>
          </w:tcPr>
          <w:p>
            <w:pPr>
              <w:pStyle w:val="GesAbsatz"/>
              <w:jc w:val="center"/>
            </w:pPr>
            <w:r>
              <w:t>1,0</w:t>
            </w:r>
          </w:p>
        </w:tc>
      </w:tr>
      <w:tr>
        <w:tc>
          <w:tcPr>
            <w:tcW w:w="567" w:type="dxa"/>
          </w:tcPr>
          <w:p>
            <w:pPr>
              <w:pStyle w:val="GesAbsatz"/>
            </w:pPr>
            <w:r>
              <w:t>5.</w:t>
            </w:r>
          </w:p>
        </w:tc>
        <w:tc>
          <w:tcPr>
            <w:tcW w:w="7489" w:type="dxa"/>
          </w:tcPr>
          <w:p>
            <w:pPr>
              <w:pStyle w:val="GesAbsatz"/>
            </w:pPr>
            <w:r>
              <w:t>für Verbindungsstücke über 1600 cm</w:t>
            </w:r>
            <w:r>
              <w:rPr>
                <w:vertAlign w:val="superscript"/>
              </w:rPr>
              <w:t>2</w:t>
            </w:r>
            <w:r>
              <w:t xml:space="preserve">, die nicht bestiegen werden </w:t>
            </w:r>
          </w:p>
        </w:tc>
        <w:tc>
          <w:tcPr>
            <w:tcW w:w="1582" w:type="dxa"/>
          </w:tcPr>
          <w:p>
            <w:pPr>
              <w:pStyle w:val="GesAbsatz"/>
              <w:jc w:val="center"/>
            </w:pPr>
          </w:p>
        </w:tc>
      </w:tr>
      <w:tr>
        <w:tc>
          <w:tcPr>
            <w:tcW w:w="567" w:type="dxa"/>
          </w:tcPr>
          <w:p>
            <w:pPr>
              <w:pStyle w:val="GesAbsatz"/>
            </w:pPr>
          </w:p>
        </w:tc>
        <w:tc>
          <w:tcPr>
            <w:tcW w:w="7489" w:type="dxa"/>
          </w:tcPr>
          <w:p>
            <w:pPr>
              <w:pStyle w:val="GesAbsatz"/>
            </w:pPr>
            <w:r>
              <w:t>pro Verbindungsstück</w:t>
            </w:r>
          </w:p>
        </w:tc>
        <w:tc>
          <w:tcPr>
            <w:tcW w:w="1582" w:type="dxa"/>
          </w:tcPr>
          <w:p>
            <w:pPr>
              <w:pStyle w:val="GesAbsatz"/>
              <w:jc w:val="center"/>
            </w:pPr>
          </w:p>
        </w:tc>
      </w:tr>
      <w:tr>
        <w:tc>
          <w:tcPr>
            <w:tcW w:w="567" w:type="dxa"/>
          </w:tcPr>
          <w:p>
            <w:pPr>
              <w:pStyle w:val="GesAbsatz"/>
            </w:pPr>
          </w:p>
        </w:tc>
        <w:tc>
          <w:tcPr>
            <w:tcW w:w="7489" w:type="dxa"/>
          </w:tcPr>
          <w:p>
            <w:pPr>
              <w:pStyle w:val="GesAbsatz"/>
            </w:pPr>
            <w:r>
              <w:t>für das erste angefangene Meter</w:t>
            </w:r>
          </w:p>
        </w:tc>
        <w:tc>
          <w:tcPr>
            <w:tcW w:w="1582" w:type="dxa"/>
          </w:tcPr>
          <w:p>
            <w:pPr>
              <w:pStyle w:val="GesAbsatz"/>
              <w:jc w:val="center"/>
            </w:pPr>
            <w:r>
              <w:t>5,2</w:t>
            </w:r>
          </w:p>
        </w:tc>
      </w:tr>
      <w:tr>
        <w:tc>
          <w:tcPr>
            <w:tcW w:w="567" w:type="dxa"/>
          </w:tcPr>
          <w:p>
            <w:pPr>
              <w:pStyle w:val="GesAbsatz"/>
            </w:pPr>
          </w:p>
        </w:tc>
        <w:tc>
          <w:tcPr>
            <w:tcW w:w="7489" w:type="dxa"/>
          </w:tcPr>
          <w:p>
            <w:pPr>
              <w:pStyle w:val="GesAbsatz"/>
            </w:pPr>
            <w:r>
              <w:t>für jedes weitere angefangene Meter</w:t>
            </w:r>
          </w:p>
        </w:tc>
        <w:tc>
          <w:tcPr>
            <w:tcW w:w="1582" w:type="dxa"/>
          </w:tcPr>
          <w:p>
            <w:pPr>
              <w:pStyle w:val="GesAbsatz"/>
              <w:jc w:val="center"/>
            </w:pPr>
            <w:r>
              <w:t>2,0</w:t>
            </w:r>
          </w:p>
        </w:tc>
      </w:tr>
      <w:tr>
        <w:tc>
          <w:tcPr>
            <w:tcW w:w="567" w:type="dxa"/>
          </w:tcPr>
          <w:p>
            <w:pPr>
              <w:pStyle w:val="GesAbsatz"/>
            </w:pPr>
            <w:r>
              <w:t>6.</w:t>
            </w:r>
          </w:p>
        </w:tc>
        <w:tc>
          <w:tcPr>
            <w:tcW w:w="7489" w:type="dxa"/>
          </w:tcPr>
          <w:p>
            <w:pPr>
              <w:pStyle w:val="GesAbsatz"/>
            </w:pPr>
            <w:r>
              <w:t>für Verbindungsstücke über 1600 cm</w:t>
            </w:r>
            <w:r>
              <w:rPr>
                <w:vertAlign w:val="superscript"/>
              </w:rPr>
              <w:t>2</w:t>
            </w:r>
            <w:r>
              <w:t xml:space="preserve">, die bestiegen werden </w:t>
            </w:r>
          </w:p>
        </w:tc>
        <w:tc>
          <w:tcPr>
            <w:tcW w:w="1582" w:type="dxa"/>
          </w:tcPr>
          <w:p>
            <w:pPr>
              <w:pStyle w:val="GesAbsatz"/>
              <w:jc w:val="center"/>
            </w:pPr>
          </w:p>
        </w:tc>
      </w:tr>
      <w:tr>
        <w:tc>
          <w:tcPr>
            <w:tcW w:w="567" w:type="dxa"/>
          </w:tcPr>
          <w:p>
            <w:pPr>
              <w:pStyle w:val="GesAbsatz"/>
            </w:pPr>
          </w:p>
        </w:tc>
        <w:tc>
          <w:tcPr>
            <w:tcW w:w="7489" w:type="dxa"/>
          </w:tcPr>
          <w:p>
            <w:pPr>
              <w:pStyle w:val="GesAbsatz"/>
            </w:pPr>
            <w:r>
              <w:t>pro Verbindungsstück</w:t>
            </w:r>
          </w:p>
        </w:tc>
        <w:tc>
          <w:tcPr>
            <w:tcW w:w="1582" w:type="dxa"/>
          </w:tcPr>
          <w:p>
            <w:pPr>
              <w:pStyle w:val="GesAbsatz"/>
              <w:jc w:val="center"/>
            </w:pPr>
          </w:p>
        </w:tc>
      </w:tr>
      <w:tr>
        <w:tc>
          <w:tcPr>
            <w:tcW w:w="567" w:type="dxa"/>
          </w:tcPr>
          <w:p>
            <w:pPr>
              <w:pStyle w:val="GesAbsatz"/>
            </w:pPr>
          </w:p>
        </w:tc>
        <w:tc>
          <w:tcPr>
            <w:tcW w:w="7489" w:type="dxa"/>
          </w:tcPr>
          <w:p>
            <w:pPr>
              <w:pStyle w:val="GesAbsatz"/>
            </w:pPr>
            <w:r>
              <w:t>für das erste angefangene Meter</w:t>
            </w:r>
          </w:p>
        </w:tc>
        <w:tc>
          <w:tcPr>
            <w:tcW w:w="1582" w:type="dxa"/>
          </w:tcPr>
          <w:p>
            <w:pPr>
              <w:pStyle w:val="GesAbsatz"/>
              <w:jc w:val="center"/>
            </w:pPr>
            <w:r>
              <w:t>5,6</w:t>
            </w:r>
          </w:p>
        </w:tc>
      </w:tr>
      <w:tr>
        <w:tc>
          <w:tcPr>
            <w:tcW w:w="567" w:type="dxa"/>
          </w:tcPr>
          <w:p>
            <w:pPr>
              <w:pStyle w:val="GesAbsatz"/>
            </w:pPr>
          </w:p>
        </w:tc>
        <w:tc>
          <w:tcPr>
            <w:tcW w:w="7489" w:type="dxa"/>
          </w:tcPr>
          <w:p>
            <w:pPr>
              <w:pStyle w:val="GesAbsatz"/>
            </w:pPr>
            <w:r>
              <w:t>für jedes weitere angefangene Meter</w:t>
            </w:r>
          </w:p>
        </w:tc>
        <w:tc>
          <w:tcPr>
            <w:tcW w:w="1582" w:type="dxa"/>
          </w:tcPr>
          <w:p>
            <w:pPr>
              <w:pStyle w:val="GesAbsatz"/>
              <w:jc w:val="center"/>
            </w:pPr>
            <w:r>
              <w:t>4,0</w:t>
            </w:r>
          </w:p>
        </w:tc>
      </w:tr>
    </w:tbl>
    <w:p>
      <w:pPr>
        <w:pStyle w:val="berschrift3"/>
      </w:pPr>
      <w:bookmarkStart w:id="6" w:name="_Toc102884942"/>
      <w:r>
        <w:t>§ 5</w:t>
      </w:r>
      <w:r>
        <w:br/>
        <w:t>Überprüfungsgebühr</w:t>
      </w:r>
      <w:bookmarkEnd w:id="6"/>
    </w:p>
    <w:tbl>
      <w:tblPr>
        <w:tblW w:w="0" w:type="auto"/>
        <w:tblInd w:w="45" w:type="dxa"/>
        <w:tblLayout w:type="fixed"/>
        <w:tblLook w:val="0000" w:firstRow="0" w:lastRow="0" w:firstColumn="0" w:lastColumn="0" w:noHBand="0" w:noVBand="0"/>
      </w:tblPr>
      <w:tblGrid>
        <w:gridCol w:w="504"/>
        <w:gridCol w:w="7567"/>
        <w:gridCol w:w="1582"/>
      </w:tblGrid>
      <w:tr>
        <w:trPr>
          <w:trHeight w:val="360"/>
        </w:trPr>
        <w:tc>
          <w:tcPr>
            <w:tcW w:w="8071" w:type="dxa"/>
            <w:gridSpan w:val="2"/>
          </w:tcPr>
          <w:p>
            <w:pPr>
              <w:pStyle w:val="GesAbsatz"/>
            </w:pPr>
          </w:p>
        </w:tc>
        <w:tc>
          <w:tcPr>
            <w:tcW w:w="1582" w:type="dxa"/>
          </w:tcPr>
          <w:p>
            <w:pPr>
              <w:pStyle w:val="GesAbsatz"/>
              <w:jc w:val="center"/>
            </w:pPr>
            <w:r>
              <w:t>AW</w:t>
            </w:r>
          </w:p>
        </w:tc>
      </w:tr>
      <w:tr>
        <w:trPr>
          <w:trHeight w:val="360"/>
        </w:trPr>
        <w:tc>
          <w:tcPr>
            <w:tcW w:w="8071" w:type="dxa"/>
            <w:gridSpan w:val="2"/>
          </w:tcPr>
          <w:p>
            <w:pPr>
              <w:pStyle w:val="GesAbsatz"/>
            </w:pPr>
            <w:r>
              <w:t>Die Überprüfungsgebühr beträgt für jedes Gebäude</w:t>
            </w:r>
          </w:p>
        </w:tc>
        <w:tc>
          <w:tcPr>
            <w:tcW w:w="1582" w:type="dxa"/>
          </w:tcPr>
          <w:p>
            <w:pPr>
              <w:pStyle w:val="GesAbsatz"/>
              <w:jc w:val="center"/>
            </w:pPr>
            <w:r>
              <w:t>11,1</w:t>
            </w:r>
          </w:p>
        </w:tc>
      </w:tr>
      <w:tr>
        <w:trPr>
          <w:trHeight w:val="390"/>
        </w:trPr>
        <w:tc>
          <w:tcPr>
            <w:tcW w:w="8071" w:type="dxa"/>
            <w:gridSpan w:val="2"/>
          </w:tcPr>
          <w:p>
            <w:pPr>
              <w:pStyle w:val="GesAbsatz"/>
            </w:pPr>
            <w:r>
              <w:lastRenderedPageBreak/>
              <w:t>zuzüglich</w:t>
            </w:r>
          </w:p>
        </w:tc>
        <w:tc>
          <w:tcPr>
            <w:tcW w:w="1582" w:type="dxa"/>
          </w:tcPr>
          <w:p>
            <w:pPr>
              <w:pStyle w:val="GesAbsatz"/>
              <w:jc w:val="center"/>
            </w:pPr>
          </w:p>
        </w:tc>
      </w:tr>
      <w:tr>
        <w:trPr>
          <w:trHeight w:val="390"/>
        </w:trPr>
        <w:tc>
          <w:tcPr>
            <w:tcW w:w="504" w:type="dxa"/>
          </w:tcPr>
          <w:p>
            <w:pPr>
              <w:pStyle w:val="GesAbsatz"/>
            </w:pPr>
            <w:r>
              <w:t>1.</w:t>
            </w:r>
          </w:p>
        </w:tc>
        <w:tc>
          <w:tcPr>
            <w:tcW w:w="7567" w:type="dxa"/>
          </w:tcPr>
          <w:p>
            <w:pPr>
              <w:pStyle w:val="GesAbsatz"/>
            </w:pPr>
            <w:r>
              <w:t xml:space="preserve">für Abgasleitungen, Luft-Abgas-Systeme und Entlüftungsanlagen </w:t>
            </w:r>
          </w:p>
        </w:tc>
        <w:tc>
          <w:tcPr>
            <w:tcW w:w="1582" w:type="dxa"/>
          </w:tcPr>
          <w:p>
            <w:pPr>
              <w:pStyle w:val="GesAbsatz"/>
              <w:jc w:val="center"/>
            </w:pPr>
          </w:p>
        </w:tc>
      </w:tr>
      <w:tr>
        <w:trPr>
          <w:trHeight w:val="360"/>
        </w:trPr>
        <w:tc>
          <w:tcPr>
            <w:tcW w:w="504" w:type="dxa"/>
          </w:tcPr>
          <w:p>
            <w:pPr>
              <w:pStyle w:val="GesAbsatz"/>
            </w:pPr>
          </w:p>
        </w:tc>
        <w:tc>
          <w:tcPr>
            <w:tcW w:w="7567" w:type="dxa"/>
          </w:tcPr>
          <w:p>
            <w:pPr>
              <w:pStyle w:val="GesAbsatz"/>
            </w:pPr>
            <w:r>
              <w:t>pro Leitung oder Anlage</w:t>
            </w:r>
          </w:p>
        </w:tc>
        <w:tc>
          <w:tcPr>
            <w:tcW w:w="1582" w:type="dxa"/>
          </w:tcPr>
          <w:p>
            <w:pPr>
              <w:pStyle w:val="GesAbsatz"/>
              <w:jc w:val="center"/>
            </w:pPr>
            <w:r>
              <w:t>2,8</w:t>
            </w:r>
          </w:p>
        </w:tc>
      </w:tr>
      <w:tr>
        <w:trPr>
          <w:trHeight w:val="191"/>
        </w:trPr>
        <w:tc>
          <w:tcPr>
            <w:tcW w:w="504" w:type="dxa"/>
          </w:tcPr>
          <w:p>
            <w:pPr>
              <w:pStyle w:val="GesAbsatz"/>
            </w:pPr>
          </w:p>
        </w:tc>
        <w:tc>
          <w:tcPr>
            <w:tcW w:w="7567" w:type="dxa"/>
          </w:tcPr>
          <w:p>
            <w:pPr>
              <w:pStyle w:val="GesAbsatz"/>
            </w:pPr>
            <w:r>
              <w:t>und pro Stockwerk</w:t>
            </w:r>
          </w:p>
        </w:tc>
        <w:tc>
          <w:tcPr>
            <w:tcW w:w="1582" w:type="dxa"/>
          </w:tcPr>
          <w:p>
            <w:pPr>
              <w:pStyle w:val="GesAbsatz"/>
              <w:jc w:val="center"/>
            </w:pPr>
            <w:r>
              <w:t>0,42</w:t>
            </w:r>
          </w:p>
        </w:tc>
      </w:tr>
      <w:tr>
        <w:trPr>
          <w:trHeight w:val="268"/>
        </w:trPr>
        <w:tc>
          <w:tcPr>
            <w:tcW w:w="504" w:type="dxa"/>
          </w:tcPr>
          <w:p>
            <w:pPr>
              <w:pStyle w:val="GesAbsatz"/>
            </w:pPr>
            <w:r>
              <w:t>2.</w:t>
            </w:r>
          </w:p>
        </w:tc>
        <w:tc>
          <w:tcPr>
            <w:tcW w:w="7567" w:type="dxa"/>
          </w:tcPr>
          <w:p>
            <w:pPr>
              <w:pStyle w:val="GesAbsatz"/>
            </w:pPr>
            <w:r>
              <w:t>für Abgaswegeüberprüfung</w:t>
            </w:r>
          </w:p>
        </w:tc>
        <w:tc>
          <w:tcPr>
            <w:tcW w:w="1582" w:type="dxa"/>
          </w:tcPr>
          <w:p>
            <w:pPr>
              <w:pStyle w:val="GesAbsatz"/>
              <w:jc w:val="center"/>
            </w:pPr>
            <w:r>
              <w:t>15,2</w:t>
            </w:r>
          </w:p>
        </w:tc>
      </w:tr>
      <w:tr>
        <w:trPr>
          <w:trHeight w:val="544"/>
        </w:trPr>
        <w:tc>
          <w:tcPr>
            <w:tcW w:w="504" w:type="dxa"/>
          </w:tcPr>
          <w:p>
            <w:pPr>
              <w:pStyle w:val="GesAbsatz"/>
            </w:pPr>
          </w:p>
        </w:tc>
        <w:tc>
          <w:tcPr>
            <w:tcW w:w="7567" w:type="dxa"/>
          </w:tcPr>
          <w:p>
            <w:pPr>
              <w:pStyle w:val="GesAbsatz"/>
            </w:pPr>
            <w:r>
              <w:t xml:space="preserve">für jede weitere Abgaswegeüberprüfung in derselben Wohnung oder demselben Aufstellraum </w:t>
            </w:r>
          </w:p>
        </w:tc>
        <w:tc>
          <w:tcPr>
            <w:tcW w:w="1582" w:type="dxa"/>
          </w:tcPr>
          <w:p>
            <w:pPr>
              <w:pStyle w:val="GesAbsatz"/>
              <w:jc w:val="center"/>
            </w:pPr>
            <w:r>
              <w:t>7,7</w:t>
            </w:r>
          </w:p>
        </w:tc>
      </w:tr>
      <w:tr>
        <w:tc>
          <w:tcPr>
            <w:tcW w:w="504" w:type="dxa"/>
          </w:tcPr>
          <w:p>
            <w:pPr>
              <w:pStyle w:val="GesAbsatz"/>
            </w:pPr>
            <w:r>
              <w:t>3.</w:t>
            </w:r>
          </w:p>
        </w:tc>
        <w:tc>
          <w:tcPr>
            <w:tcW w:w="7567" w:type="dxa"/>
          </w:tcPr>
          <w:p>
            <w:pPr>
              <w:pStyle w:val="GesAbsatz"/>
            </w:pPr>
            <w:r>
              <w:t xml:space="preserve">für Belüftungsanlagen </w:t>
            </w:r>
          </w:p>
        </w:tc>
        <w:tc>
          <w:tcPr>
            <w:tcW w:w="1582" w:type="dxa"/>
          </w:tcPr>
          <w:p>
            <w:pPr>
              <w:pStyle w:val="GesAbsatz"/>
              <w:jc w:val="center"/>
            </w:pPr>
            <w:r>
              <w:t>1,0</w:t>
            </w:r>
          </w:p>
        </w:tc>
      </w:tr>
      <w:tr>
        <w:tc>
          <w:tcPr>
            <w:tcW w:w="504" w:type="dxa"/>
          </w:tcPr>
          <w:p>
            <w:pPr>
              <w:pStyle w:val="GesAbsatz"/>
            </w:pPr>
            <w:r>
              <w:t>4.</w:t>
            </w:r>
          </w:p>
        </w:tc>
        <w:tc>
          <w:tcPr>
            <w:tcW w:w="7567" w:type="dxa"/>
          </w:tcPr>
          <w:p>
            <w:pPr>
              <w:pStyle w:val="GesAbsatz"/>
            </w:pPr>
            <w:r>
              <w:t>für Verbindungsstücke von Ölbrennwertfeuerungsanlagen</w:t>
            </w:r>
          </w:p>
        </w:tc>
        <w:tc>
          <w:tcPr>
            <w:tcW w:w="1582" w:type="dxa"/>
          </w:tcPr>
          <w:p>
            <w:pPr>
              <w:pStyle w:val="GesAbsatz"/>
              <w:jc w:val="center"/>
            </w:pPr>
          </w:p>
        </w:tc>
      </w:tr>
      <w:tr>
        <w:tc>
          <w:tcPr>
            <w:tcW w:w="504" w:type="dxa"/>
          </w:tcPr>
          <w:p>
            <w:pPr>
              <w:pStyle w:val="GesAbsatz"/>
            </w:pPr>
          </w:p>
        </w:tc>
        <w:tc>
          <w:tcPr>
            <w:tcW w:w="7567" w:type="dxa"/>
          </w:tcPr>
          <w:p>
            <w:pPr>
              <w:pStyle w:val="GesAbsatz"/>
            </w:pPr>
            <w:r>
              <w:t>pro Verbindungsstück</w:t>
            </w:r>
          </w:p>
        </w:tc>
        <w:tc>
          <w:tcPr>
            <w:tcW w:w="1582" w:type="dxa"/>
          </w:tcPr>
          <w:p>
            <w:pPr>
              <w:pStyle w:val="GesAbsatz"/>
              <w:jc w:val="center"/>
            </w:pPr>
          </w:p>
        </w:tc>
      </w:tr>
      <w:tr>
        <w:tc>
          <w:tcPr>
            <w:tcW w:w="504" w:type="dxa"/>
          </w:tcPr>
          <w:p>
            <w:pPr>
              <w:pStyle w:val="GesAbsatz"/>
            </w:pPr>
          </w:p>
        </w:tc>
        <w:tc>
          <w:tcPr>
            <w:tcW w:w="7567" w:type="dxa"/>
          </w:tcPr>
          <w:p>
            <w:pPr>
              <w:pStyle w:val="GesAbsatz"/>
            </w:pPr>
            <w:r>
              <w:t>für das erste angefangene Meter</w:t>
            </w:r>
          </w:p>
        </w:tc>
        <w:tc>
          <w:tcPr>
            <w:tcW w:w="1582" w:type="dxa"/>
          </w:tcPr>
          <w:p>
            <w:pPr>
              <w:pStyle w:val="GesAbsatz"/>
              <w:jc w:val="center"/>
            </w:pPr>
            <w:r>
              <w:t>2,6</w:t>
            </w:r>
          </w:p>
        </w:tc>
      </w:tr>
      <w:tr>
        <w:tc>
          <w:tcPr>
            <w:tcW w:w="504" w:type="dxa"/>
          </w:tcPr>
          <w:p>
            <w:pPr>
              <w:pStyle w:val="GesAbsatz"/>
            </w:pPr>
          </w:p>
        </w:tc>
        <w:tc>
          <w:tcPr>
            <w:tcW w:w="7567" w:type="dxa"/>
          </w:tcPr>
          <w:p>
            <w:pPr>
              <w:pStyle w:val="GesAbsatz"/>
            </w:pPr>
            <w:r>
              <w:t>für jedes weitere angefangene Meter</w:t>
            </w:r>
          </w:p>
        </w:tc>
        <w:tc>
          <w:tcPr>
            <w:tcW w:w="1582" w:type="dxa"/>
          </w:tcPr>
          <w:p>
            <w:pPr>
              <w:pStyle w:val="GesAbsatz"/>
              <w:jc w:val="center"/>
            </w:pPr>
            <w:r>
              <w:t>1,0</w:t>
            </w:r>
          </w:p>
        </w:tc>
      </w:tr>
    </w:tbl>
    <w:p>
      <w:pPr>
        <w:pStyle w:val="berschrift3"/>
      </w:pPr>
      <w:bookmarkStart w:id="7" w:name="_Toc102884943"/>
      <w:r>
        <w:t>§ 6</w:t>
      </w:r>
      <w:r>
        <w:br/>
        <w:t>Gebühren und Auslagen für Messungen</w:t>
      </w:r>
      <w:bookmarkEnd w:id="7"/>
    </w:p>
    <w:p>
      <w:pPr>
        <w:pStyle w:val="GesAbsatz"/>
        <w:spacing w:after="120"/>
      </w:pPr>
      <w:r>
        <w:t>(1) Die Gebühren für Emissionsmessungen nach §§ 14 und 15 der Verordnung über Kleinfeuerungsanlagen (1. BImSchV) betragen pro Messung bei Feuerungsanlagen</w:t>
      </w:r>
    </w:p>
    <w:tbl>
      <w:tblPr>
        <w:tblW w:w="0" w:type="auto"/>
        <w:tblInd w:w="45" w:type="dxa"/>
        <w:tblLayout w:type="fixed"/>
        <w:tblLook w:val="0000" w:firstRow="0" w:lastRow="0" w:firstColumn="0" w:lastColumn="0" w:noHBand="0" w:noVBand="0"/>
      </w:tblPr>
      <w:tblGrid>
        <w:gridCol w:w="450"/>
        <w:gridCol w:w="3150"/>
        <w:gridCol w:w="2700"/>
        <w:gridCol w:w="3402"/>
      </w:tblGrid>
      <w:tr>
        <w:tc>
          <w:tcPr>
            <w:tcW w:w="3600" w:type="dxa"/>
            <w:gridSpan w:val="2"/>
          </w:tcPr>
          <w:p>
            <w:pPr>
              <w:pStyle w:val="GesAbsatz"/>
              <w:jc w:val="center"/>
            </w:pPr>
            <w:r>
              <w:t>bei Einsatz von</w:t>
            </w:r>
          </w:p>
        </w:tc>
        <w:tc>
          <w:tcPr>
            <w:tcW w:w="2700" w:type="dxa"/>
          </w:tcPr>
          <w:p>
            <w:pPr>
              <w:pStyle w:val="GesAbsatz"/>
              <w:jc w:val="center"/>
            </w:pPr>
            <w:r>
              <w:t>für die erste Messung</w:t>
            </w:r>
          </w:p>
        </w:tc>
        <w:tc>
          <w:tcPr>
            <w:tcW w:w="3402" w:type="dxa"/>
          </w:tcPr>
          <w:p>
            <w:pPr>
              <w:pStyle w:val="GesAbsatz"/>
              <w:jc w:val="center"/>
            </w:pPr>
            <w:r>
              <w:t>für jede weitere Messung in derselben Wohnung oder demselben Aufstellraum</w:t>
            </w:r>
          </w:p>
        </w:tc>
      </w:tr>
      <w:tr>
        <w:tc>
          <w:tcPr>
            <w:tcW w:w="3600" w:type="dxa"/>
            <w:gridSpan w:val="2"/>
          </w:tcPr>
          <w:p>
            <w:pPr>
              <w:pStyle w:val="GesAbsatz"/>
              <w:jc w:val="center"/>
            </w:pPr>
          </w:p>
        </w:tc>
        <w:tc>
          <w:tcPr>
            <w:tcW w:w="2700" w:type="dxa"/>
          </w:tcPr>
          <w:p>
            <w:pPr>
              <w:pStyle w:val="GesAbsatz"/>
              <w:jc w:val="center"/>
            </w:pPr>
            <w:r>
              <w:t>AW</w:t>
            </w:r>
          </w:p>
        </w:tc>
        <w:tc>
          <w:tcPr>
            <w:tcW w:w="3402" w:type="dxa"/>
          </w:tcPr>
          <w:p>
            <w:pPr>
              <w:pStyle w:val="GesAbsatz"/>
              <w:jc w:val="center"/>
            </w:pPr>
            <w:r>
              <w:t>AW</w:t>
            </w:r>
          </w:p>
        </w:tc>
      </w:tr>
      <w:tr>
        <w:tc>
          <w:tcPr>
            <w:tcW w:w="450" w:type="dxa"/>
          </w:tcPr>
          <w:p>
            <w:pPr>
              <w:pStyle w:val="GesAbsatz"/>
            </w:pPr>
            <w:r>
              <w:t>1.</w:t>
            </w:r>
          </w:p>
        </w:tc>
        <w:tc>
          <w:tcPr>
            <w:tcW w:w="3150" w:type="dxa"/>
          </w:tcPr>
          <w:p>
            <w:pPr>
              <w:pStyle w:val="GesAbsatz"/>
            </w:pPr>
            <w:r>
              <w:t>flüssigen Brennstoffen</w:t>
            </w:r>
          </w:p>
        </w:tc>
        <w:tc>
          <w:tcPr>
            <w:tcW w:w="2700" w:type="dxa"/>
          </w:tcPr>
          <w:p>
            <w:pPr>
              <w:pStyle w:val="GesAbsatz"/>
            </w:pPr>
          </w:p>
        </w:tc>
        <w:tc>
          <w:tcPr>
            <w:tcW w:w="3402" w:type="dxa"/>
          </w:tcPr>
          <w:p>
            <w:pPr>
              <w:pStyle w:val="GesAbsatz"/>
              <w:jc w:val="center"/>
            </w:pPr>
          </w:p>
        </w:tc>
      </w:tr>
      <w:tr>
        <w:tc>
          <w:tcPr>
            <w:tcW w:w="450" w:type="dxa"/>
          </w:tcPr>
          <w:p>
            <w:pPr>
              <w:pStyle w:val="GesAbsatz"/>
            </w:pPr>
          </w:p>
        </w:tc>
        <w:tc>
          <w:tcPr>
            <w:tcW w:w="3150" w:type="dxa"/>
          </w:tcPr>
          <w:p>
            <w:pPr>
              <w:pStyle w:val="GesAbsatz"/>
            </w:pPr>
            <w:r>
              <w:t>a) in Brennwertfeuerstätten</w:t>
            </w:r>
          </w:p>
        </w:tc>
        <w:tc>
          <w:tcPr>
            <w:tcW w:w="2700" w:type="dxa"/>
          </w:tcPr>
          <w:p>
            <w:pPr>
              <w:pStyle w:val="GesAbsatz"/>
              <w:jc w:val="center"/>
            </w:pPr>
            <w:r>
              <w:t>33,5</w:t>
            </w:r>
          </w:p>
        </w:tc>
        <w:tc>
          <w:tcPr>
            <w:tcW w:w="3402" w:type="dxa"/>
          </w:tcPr>
          <w:p>
            <w:pPr>
              <w:pStyle w:val="GesAbsatz"/>
              <w:jc w:val="center"/>
            </w:pPr>
            <w:r>
              <w:t>25,4</w:t>
            </w:r>
          </w:p>
        </w:tc>
      </w:tr>
      <w:tr>
        <w:tc>
          <w:tcPr>
            <w:tcW w:w="450" w:type="dxa"/>
          </w:tcPr>
          <w:p>
            <w:pPr>
              <w:pStyle w:val="GesAbsatz"/>
            </w:pPr>
          </w:p>
        </w:tc>
        <w:tc>
          <w:tcPr>
            <w:tcW w:w="3150" w:type="dxa"/>
          </w:tcPr>
          <w:p>
            <w:pPr>
              <w:pStyle w:val="GesAbsatz"/>
            </w:pPr>
            <w:r>
              <w:t>b) in den übrigen Feuerstätten</w:t>
            </w:r>
          </w:p>
        </w:tc>
        <w:tc>
          <w:tcPr>
            <w:tcW w:w="2700" w:type="dxa"/>
          </w:tcPr>
          <w:p>
            <w:pPr>
              <w:pStyle w:val="GesAbsatz"/>
              <w:jc w:val="center"/>
            </w:pPr>
            <w:r>
              <w:t>35,0</w:t>
            </w:r>
          </w:p>
        </w:tc>
        <w:tc>
          <w:tcPr>
            <w:tcW w:w="3402" w:type="dxa"/>
          </w:tcPr>
          <w:p>
            <w:pPr>
              <w:pStyle w:val="GesAbsatz"/>
              <w:jc w:val="center"/>
            </w:pPr>
            <w:r>
              <w:t>26,9</w:t>
            </w:r>
          </w:p>
        </w:tc>
      </w:tr>
      <w:tr>
        <w:tc>
          <w:tcPr>
            <w:tcW w:w="450" w:type="dxa"/>
          </w:tcPr>
          <w:p>
            <w:pPr>
              <w:pStyle w:val="GesAbsatz"/>
            </w:pPr>
            <w:r>
              <w:t>2.</w:t>
            </w:r>
          </w:p>
        </w:tc>
        <w:tc>
          <w:tcPr>
            <w:tcW w:w="3150" w:type="dxa"/>
          </w:tcPr>
          <w:p>
            <w:pPr>
              <w:pStyle w:val="GesAbsatz"/>
            </w:pPr>
            <w:r>
              <w:t>gasförmigen Brennstoffen</w:t>
            </w:r>
          </w:p>
        </w:tc>
        <w:tc>
          <w:tcPr>
            <w:tcW w:w="2700" w:type="dxa"/>
          </w:tcPr>
          <w:p>
            <w:pPr>
              <w:pStyle w:val="GesAbsatz"/>
              <w:jc w:val="center"/>
            </w:pPr>
            <w:r>
              <w:t>30,8</w:t>
            </w:r>
          </w:p>
        </w:tc>
        <w:tc>
          <w:tcPr>
            <w:tcW w:w="3402" w:type="dxa"/>
          </w:tcPr>
          <w:p>
            <w:pPr>
              <w:pStyle w:val="GesAbsatz"/>
              <w:jc w:val="center"/>
            </w:pPr>
            <w:r>
              <w:t>22,7</w:t>
            </w:r>
          </w:p>
        </w:tc>
      </w:tr>
      <w:tr>
        <w:tc>
          <w:tcPr>
            <w:tcW w:w="450" w:type="dxa"/>
          </w:tcPr>
          <w:p>
            <w:pPr>
              <w:pStyle w:val="GesAbsatz"/>
            </w:pPr>
            <w:r>
              <w:t>3.</w:t>
            </w:r>
          </w:p>
        </w:tc>
        <w:tc>
          <w:tcPr>
            <w:tcW w:w="3150" w:type="dxa"/>
          </w:tcPr>
          <w:p>
            <w:pPr>
              <w:pStyle w:val="GesAbsatz"/>
            </w:pPr>
            <w:r>
              <w:t>festen Brennstoffen</w:t>
            </w:r>
          </w:p>
        </w:tc>
        <w:tc>
          <w:tcPr>
            <w:tcW w:w="2700" w:type="dxa"/>
          </w:tcPr>
          <w:p>
            <w:pPr>
              <w:pStyle w:val="GesAbsatz"/>
              <w:jc w:val="center"/>
            </w:pPr>
            <w:r>
              <w:t>142,5</w:t>
            </w:r>
          </w:p>
        </w:tc>
        <w:tc>
          <w:tcPr>
            <w:tcW w:w="3402" w:type="dxa"/>
          </w:tcPr>
          <w:p>
            <w:pPr>
              <w:pStyle w:val="GesAbsatz"/>
              <w:jc w:val="center"/>
            </w:pPr>
            <w:r>
              <w:t>100,6</w:t>
            </w:r>
          </w:p>
        </w:tc>
      </w:tr>
    </w:tbl>
    <w:p>
      <w:pPr>
        <w:pStyle w:val="GesAbsatz"/>
      </w:pPr>
    </w:p>
    <w:p>
      <w:pPr>
        <w:pStyle w:val="GesAbsatz"/>
        <w:tabs>
          <w:tab w:val="clear" w:pos="425"/>
          <w:tab w:val="left" w:pos="3645"/>
          <w:tab w:val="left" w:pos="6345"/>
          <w:tab w:val="left" w:pos="9045"/>
        </w:tabs>
        <w:spacing w:after="120"/>
        <w:jc w:val="left"/>
      </w:pPr>
      <w:r>
        <w:t>(2) Die Gebühr für die Wiederholungsmessung des Kohlenmonoxidgehaltes im Abgas nach § 3 Abs. 3 Satz 3 der Kehr- und Überprüfungsordnung beträgt</w:t>
      </w:r>
    </w:p>
    <w:tbl>
      <w:tblPr>
        <w:tblW w:w="0" w:type="auto"/>
        <w:tblInd w:w="45" w:type="dxa"/>
        <w:tblLayout w:type="fixed"/>
        <w:tblLook w:val="0000" w:firstRow="0" w:lastRow="0" w:firstColumn="0" w:lastColumn="0" w:noHBand="0" w:noVBand="0"/>
      </w:tblPr>
      <w:tblGrid>
        <w:gridCol w:w="3600"/>
        <w:gridCol w:w="2700"/>
        <w:gridCol w:w="3402"/>
      </w:tblGrid>
      <w:tr>
        <w:tc>
          <w:tcPr>
            <w:tcW w:w="3600" w:type="dxa"/>
          </w:tcPr>
          <w:p>
            <w:pPr>
              <w:pStyle w:val="GesAbsatz"/>
            </w:pPr>
          </w:p>
        </w:tc>
        <w:tc>
          <w:tcPr>
            <w:tcW w:w="2700" w:type="dxa"/>
          </w:tcPr>
          <w:p>
            <w:pPr>
              <w:pStyle w:val="GesAbsatz"/>
              <w:jc w:val="center"/>
            </w:pPr>
            <w:r>
              <w:t>für die erste Messung</w:t>
            </w:r>
          </w:p>
        </w:tc>
        <w:tc>
          <w:tcPr>
            <w:tcW w:w="3402" w:type="dxa"/>
          </w:tcPr>
          <w:p>
            <w:pPr>
              <w:pStyle w:val="GesAbsatz"/>
              <w:jc w:val="center"/>
            </w:pPr>
            <w:r>
              <w:t>für jede weitere Messung in derselben Wohnung oder demselben Aufstellraum</w:t>
            </w:r>
          </w:p>
        </w:tc>
      </w:tr>
      <w:tr>
        <w:tc>
          <w:tcPr>
            <w:tcW w:w="3600" w:type="dxa"/>
          </w:tcPr>
          <w:p>
            <w:pPr>
              <w:pStyle w:val="GesAbsatz"/>
            </w:pPr>
          </w:p>
        </w:tc>
        <w:tc>
          <w:tcPr>
            <w:tcW w:w="2700" w:type="dxa"/>
          </w:tcPr>
          <w:p>
            <w:pPr>
              <w:pStyle w:val="GesAbsatz"/>
              <w:jc w:val="center"/>
            </w:pPr>
            <w:r>
              <w:t>AW</w:t>
            </w:r>
          </w:p>
        </w:tc>
        <w:tc>
          <w:tcPr>
            <w:tcW w:w="3402" w:type="dxa"/>
          </w:tcPr>
          <w:p>
            <w:pPr>
              <w:pStyle w:val="GesAbsatz"/>
              <w:jc w:val="center"/>
            </w:pPr>
            <w:r>
              <w:t>AW</w:t>
            </w:r>
          </w:p>
        </w:tc>
      </w:tr>
      <w:tr>
        <w:trPr>
          <w:trHeight w:val="390"/>
        </w:trPr>
        <w:tc>
          <w:tcPr>
            <w:tcW w:w="3600" w:type="dxa"/>
          </w:tcPr>
          <w:p>
            <w:pPr>
              <w:pStyle w:val="GesAbsatz"/>
            </w:pPr>
          </w:p>
        </w:tc>
        <w:tc>
          <w:tcPr>
            <w:tcW w:w="2700" w:type="dxa"/>
          </w:tcPr>
          <w:p>
            <w:pPr>
              <w:pStyle w:val="GesAbsatz"/>
              <w:jc w:val="center"/>
            </w:pPr>
            <w:r>
              <w:t>20,0</w:t>
            </w:r>
          </w:p>
        </w:tc>
        <w:tc>
          <w:tcPr>
            <w:tcW w:w="3402" w:type="dxa"/>
          </w:tcPr>
          <w:p>
            <w:pPr>
              <w:pStyle w:val="GesAbsatz"/>
              <w:jc w:val="center"/>
            </w:pPr>
            <w:r>
              <w:t>12,0</w:t>
            </w:r>
          </w:p>
        </w:tc>
      </w:tr>
    </w:tbl>
    <w:p>
      <w:pPr>
        <w:pStyle w:val="GesAbsatz"/>
      </w:pPr>
      <w:r>
        <w:t>(3) Für die Wiederholungsmessungen nach §§ 14 Abs. 4 und 15 Abs. 4 1. BImSchV werden die Gebühren nach Absatz 1 berechnet.</w:t>
      </w:r>
    </w:p>
    <w:p>
      <w:pPr>
        <w:pStyle w:val="GesAbsatz"/>
      </w:pPr>
      <w:r>
        <w:t>(4) Die Bezirksschornsteinfegermeisterin oder der Bezirksschornsteinfegermeister kann bei Feuerungsanlagen mit festen Brennstoffen neben den Gebühren gemäß Absatz 1 die Erstattung der Auslagen verlangen, die durch die Auswertung der Emissionsmessung entstehen.</w:t>
      </w:r>
    </w:p>
    <w:p>
      <w:pPr>
        <w:pStyle w:val="berschrift3"/>
      </w:pPr>
      <w:bookmarkStart w:id="8" w:name="_Toc102884944"/>
      <w:r>
        <w:lastRenderedPageBreak/>
        <w:t>§ 7</w:t>
      </w:r>
      <w:r>
        <w:br/>
        <w:t>Kombinierte Überprüfungs- und Messgebühren</w:t>
      </w:r>
      <w:bookmarkEnd w:id="8"/>
    </w:p>
    <w:p>
      <w:pPr>
        <w:pStyle w:val="GesAbsatz"/>
      </w:pPr>
      <w:r>
        <w:t>Werden Überprüfungs- und Messarbeiten an Gasfeuerstätten zusammen durchgeführt (§ 3 Abs. 3 letzter Satz der Kehr- und Überprüfungsordnung), beträgt die Gebühr</w:t>
      </w:r>
    </w:p>
    <w:tbl>
      <w:tblPr>
        <w:tblW w:w="0" w:type="auto"/>
        <w:tblInd w:w="45" w:type="dxa"/>
        <w:tblLayout w:type="fixed"/>
        <w:tblLook w:val="0000" w:firstRow="0" w:lastRow="0" w:firstColumn="0" w:lastColumn="0" w:noHBand="0" w:noVBand="0"/>
      </w:tblPr>
      <w:tblGrid>
        <w:gridCol w:w="450"/>
        <w:gridCol w:w="3150"/>
        <w:gridCol w:w="2700"/>
        <w:gridCol w:w="3402"/>
      </w:tblGrid>
      <w:tr>
        <w:tc>
          <w:tcPr>
            <w:tcW w:w="3600" w:type="dxa"/>
            <w:gridSpan w:val="2"/>
          </w:tcPr>
          <w:p>
            <w:pPr>
              <w:pStyle w:val="GesAbsatz"/>
            </w:pPr>
          </w:p>
        </w:tc>
        <w:tc>
          <w:tcPr>
            <w:tcW w:w="2700" w:type="dxa"/>
          </w:tcPr>
          <w:p>
            <w:pPr>
              <w:pStyle w:val="GesAbsatz"/>
              <w:jc w:val="center"/>
            </w:pPr>
            <w:r>
              <w:t>für die erste Überprüfung einschließlich Messung</w:t>
            </w:r>
          </w:p>
        </w:tc>
        <w:tc>
          <w:tcPr>
            <w:tcW w:w="3402" w:type="dxa"/>
          </w:tcPr>
          <w:p>
            <w:pPr>
              <w:pStyle w:val="GesAbsatz"/>
              <w:jc w:val="center"/>
            </w:pPr>
            <w:r>
              <w:t>für jede weitere Überprüfung einschließlich Messung in derselben Wohnung oder demselben Aufstellraum</w:t>
            </w:r>
          </w:p>
        </w:tc>
      </w:tr>
      <w:tr>
        <w:trPr>
          <w:trHeight w:val="270"/>
        </w:trPr>
        <w:tc>
          <w:tcPr>
            <w:tcW w:w="3600" w:type="dxa"/>
            <w:gridSpan w:val="2"/>
          </w:tcPr>
          <w:p>
            <w:pPr>
              <w:pStyle w:val="GesAbsatz"/>
            </w:pPr>
          </w:p>
        </w:tc>
        <w:tc>
          <w:tcPr>
            <w:tcW w:w="2700" w:type="dxa"/>
          </w:tcPr>
          <w:p>
            <w:pPr>
              <w:pStyle w:val="GesAbsatz"/>
              <w:jc w:val="center"/>
            </w:pPr>
            <w:r>
              <w:t>AW</w:t>
            </w:r>
          </w:p>
        </w:tc>
        <w:tc>
          <w:tcPr>
            <w:tcW w:w="3402" w:type="dxa"/>
          </w:tcPr>
          <w:p>
            <w:pPr>
              <w:pStyle w:val="GesAbsatz"/>
              <w:jc w:val="center"/>
            </w:pPr>
            <w:r>
              <w:t>AW</w:t>
            </w:r>
          </w:p>
        </w:tc>
      </w:tr>
      <w:tr>
        <w:tc>
          <w:tcPr>
            <w:tcW w:w="450" w:type="dxa"/>
          </w:tcPr>
          <w:p>
            <w:pPr>
              <w:pStyle w:val="GesAbsatz"/>
            </w:pPr>
            <w:r>
              <w:t>1.</w:t>
            </w:r>
          </w:p>
        </w:tc>
        <w:tc>
          <w:tcPr>
            <w:tcW w:w="3150" w:type="dxa"/>
          </w:tcPr>
          <w:p>
            <w:pPr>
              <w:pStyle w:val="GesAbsatz"/>
              <w:jc w:val="left"/>
            </w:pPr>
            <w:r>
              <w:t>Abgaswegeüberprüfung einschl. Kohlenmonoxidmessung</w:t>
            </w:r>
          </w:p>
        </w:tc>
        <w:tc>
          <w:tcPr>
            <w:tcW w:w="2700" w:type="dxa"/>
          </w:tcPr>
          <w:p>
            <w:pPr>
              <w:pStyle w:val="GesAbsatz"/>
              <w:jc w:val="center"/>
            </w:pPr>
          </w:p>
        </w:tc>
        <w:tc>
          <w:tcPr>
            <w:tcW w:w="3402" w:type="dxa"/>
          </w:tcPr>
          <w:p>
            <w:pPr>
              <w:pStyle w:val="GesAbsatz"/>
              <w:jc w:val="center"/>
            </w:pPr>
          </w:p>
        </w:tc>
      </w:tr>
      <w:tr>
        <w:tc>
          <w:tcPr>
            <w:tcW w:w="450" w:type="dxa"/>
          </w:tcPr>
          <w:p>
            <w:pPr>
              <w:pStyle w:val="GesAbsatz"/>
            </w:pPr>
          </w:p>
        </w:tc>
        <w:tc>
          <w:tcPr>
            <w:tcW w:w="3150" w:type="dxa"/>
          </w:tcPr>
          <w:p>
            <w:pPr>
              <w:pStyle w:val="GesAbsatz"/>
              <w:tabs>
                <w:tab w:val="clear" w:pos="425"/>
              </w:tabs>
              <w:ind w:left="356" w:hanging="356"/>
              <w:jc w:val="left"/>
            </w:pPr>
            <w:r>
              <w:t>a)</w:t>
            </w:r>
            <w:r>
              <w:tab/>
              <w:t>für Gasraumheizer und alle Gasfeuerstätten ohne Strömungssicherung</w:t>
            </w:r>
          </w:p>
        </w:tc>
        <w:tc>
          <w:tcPr>
            <w:tcW w:w="2700" w:type="dxa"/>
          </w:tcPr>
          <w:p>
            <w:pPr>
              <w:pStyle w:val="GesAbsatz"/>
              <w:numPr>
                <w:ilvl w:val="12"/>
                <w:numId w:val="0"/>
              </w:numPr>
              <w:jc w:val="center"/>
            </w:pPr>
            <w:r>
              <w:t>22,3</w:t>
            </w:r>
          </w:p>
        </w:tc>
        <w:tc>
          <w:tcPr>
            <w:tcW w:w="3402" w:type="dxa"/>
          </w:tcPr>
          <w:p>
            <w:pPr>
              <w:pStyle w:val="GesAbsatz"/>
              <w:numPr>
                <w:ilvl w:val="12"/>
                <w:numId w:val="0"/>
              </w:numPr>
              <w:jc w:val="center"/>
            </w:pPr>
            <w:r>
              <w:t>14,2</w:t>
            </w:r>
          </w:p>
        </w:tc>
      </w:tr>
      <w:tr>
        <w:tc>
          <w:tcPr>
            <w:tcW w:w="450" w:type="dxa"/>
          </w:tcPr>
          <w:p>
            <w:pPr>
              <w:pStyle w:val="GesAbsatz"/>
              <w:numPr>
                <w:ilvl w:val="12"/>
                <w:numId w:val="0"/>
              </w:numPr>
            </w:pPr>
          </w:p>
        </w:tc>
        <w:tc>
          <w:tcPr>
            <w:tcW w:w="3150" w:type="dxa"/>
          </w:tcPr>
          <w:p>
            <w:pPr>
              <w:pStyle w:val="GesAbsatz"/>
              <w:tabs>
                <w:tab w:val="clear" w:pos="425"/>
              </w:tabs>
              <w:ind w:left="356" w:right="153" w:hanging="356"/>
              <w:jc w:val="left"/>
            </w:pPr>
            <w:r>
              <w:t>b)</w:t>
            </w:r>
            <w:r>
              <w:tab/>
              <w:t>für alle übrigen Gasfeuerstätten</w:t>
            </w:r>
          </w:p>
        </w:tc>
        <w:tc>
          <w:tcPr>
            <w:tcW w:w="2700" w:type="dxa"/>
          </w:tcPr>
          <w:p>
            <w:pPr>
              <w:pStyle w:val="GesAbsatz"/>
              <w:jc w:val="center"/>
            </w:pPr>
            <w:r>
              <w:t>29,4</w:t>
            </w:r>
          </w:p>
        </w:tc>
        <w:tc>
          <w:tcPr>
            <w:tcW w:w="3402" w:type="dxa"/>
          </w:tcPr>
          <w:p>
            <w:pPr>
              <w:pStyle w:val="GesAbsatz"/>
              <w:jc w:val="center"/>
            </w:pPr>
            <w:r>
              <w:t>21,3</w:t>
            </w:r>
          </w:p>
        </w:tc>
      </w:tr>
      <w:tr>
        <w:tc>
          <w:tcPr>
            <w:tcW w:w="450" w:type="dxa"/>
          </w:tcPr>
          <w:p>
            <w:pPr>
              <w:pStyle w:val="GesAbsatz"/>
            </w:pPr>
            <w:r>
              <w:t>2.</w:t>
            </w:r>
          </w:p>
        </w:tc>
        <w:tc>
          <w:tcPr>
            <w:tcW w:w="3150" w:type="dxa"/>
          </w:tcPr>
          <w:p>
            <w:pPr>
              <w:pStyle w:val="GesAbsatz"/>
              <w:jc w:val="left"/>
            </w:pPr>
            <w:r>
              <w:t>Abgaswegeüberprüfung einschl. Emissions- und Kohlenmonoxidmessung</w:t>
            </w:r>
          </w:p>
        </w:tc>
        <w:tc>
          <w:tcPr>
            <w:tcW w:w="2700" w:type="dxa"/>
          </w:tcPr>
          <w:p>
            <w:pPr>
              <w:pStyle w:val="GesAbsatz"/>
              <w:jc w:val="center"/>
            </w:pPr>
            <w:r>
              <w:t>38,2</w:t>
            </w:r>
          </w:p>
        </w:tc>
        <w:tc>
          <w:tcPr>
            <w:tcW w:w="3402" w:type="dxa"/>
          </w:tcPr>
          <w:p>
            <w:pPr>
              <w:pStyle w:val="GesAbsatz"/>
              <w:jc w:val="center"/>
            </w:pPr>
            <w:r>
              <w:t>30,1</w:t>
            </w:r>
          </w:p>
        </w:tc>
      </w:tr>
      <w:tr>
        <w:tc>
          <w:tcPr>
            <w:tcW w:w="450" w:type="dxa"/>
          </w:tcPr>
          <w:p>
            <w:pPr>
              <w:pStyle w:val="GesAbsatz"/>
            </w:pPr>
            <w:r>
              <w:t>3.</w:t>
            </w:r>
          </w:p>
        </w:tc>
        <w:tc>
          <w:tcPr>
            <w:tcW w:w="3150" w:type="dxa"/>
          </w:tcPr>
          <w:p>
            <w:pPr>
              <w:pStyle w:val="GesAbsatz"/>
              <w:jc w:val="left"/>
            </w:pPr>
            <w:r>
              <w:t>Emissions- einschl. Kohlenmonoxidmessung</w:t>
            </w:r>
          </w:p>
        </w:tc>
        <w:tc>
          <w:tcPr>
            <w:tcW w:w="2700" w:type="dxa"/>
          </w:tcPr>
          <w:p>
            <w:pPr>
              <w:pStyle w:val="GesAbsatz"/>
              <w:jc w:val="center"/>
            </w:pPr>
            <w:r>
              <w:t>31,5</w:t>
            </w:r>
          </w:p>
        </w:tc>
        <w:tc>
          <w:tcPr>
            <w:tcW w:w="3402" w:type="dxa"/>
          </w:tcPr>
          <w:p>
            <w:pPr>
              <w:pStyle w:val="GesAbsatz"/>
              <w:jc w:val="center"/>
            </w:pPr>
            <w:r>
              <w:t>23,4</w:t>
            </w:r>
          </w:p>
        </w:tc>
      </w:tr>
    </w:tbl>
    <w:p>
      <w:pPr>
        <w:pStyle w:val="GesAbsatz"/>
      </w:pPr>
      <w:r>
        <w:t>Werden mehrere Kombinationen der Arbeiten in derselben Wohnung oder demselben Aufstellraum durchgeführt, wird für die zweite und jede weitere Kombination die reduzierte Gebühr berechnet.</w:t>
      </w:r>
    </w:p>
    <w:p>
      <w:pPr>
        <w:pStyle w:val="berschrift3"/>
      </w:pPr>
      <w:bookmarkStart w:id="9" w:name="_Toc102884945"/>
      <w:r>
        <w:t>§ 8</w:t>
      </w:r>
      <w:r>
        <w:br/>
        <w:t>Zusätzliche Kehrungen, Überprüfungen oder Messungen</w:t>
      </w:r>
      <w:bookmarkEnd w:id="9"/>
    </w:p>
    <w:p>
      <w:pPr>
        <w:pStyle w:val="GesAbsatz"/>
      </w:pPr>
      <w:r>
        <w:t xml:space="preserve">Werden zusätzliche Kehrungen, Überprüfungen oder Messungen von der zuständigen Ordnungsbehörde angeordnet oder von der Grundstückseigentümerin oder dem Grundstückseigentümer verlangt, so sind dafür die anteiligen Gebühren nach den §§ 4 bis 7 zu erheben. </w:t>
      </w:r>
    </w:p>
    <w:p>
      <w:pPr>
        <w:pStyle w:val="berschrift3"/>
      </w:pPr>
      <w:bookmarkStart w:id="10" w:name="_Toc102884946"/>
      <w:r>
        <w:t>§ 9</w:t>
      </w:r>
      <w:r>
        <w:br/>
        <w:t>Zuschläge</w:t>
      </w:r>
      <w:bookmarkEnd w:id="10"/>
    </w:p>
    <w:p>
      <w:pPr>
        <w:pStyle w:val="GesAbsatz"/>
      </w:pPr>
      <w:r>
        <w:t>Können Kehr- und Überprüfungsarbeiten oder Emissionsmessungen zu dem von der Bezirksschornsteinfegermeisterin oder dem Bezirksschornsteinfegermeister rechtzeitig angekündigten Termin aus Gründen, die die Grundstückseigentümerin, der Grundstückseigentümer oder die beauftragte Person zu vertreten hat, nicht ausgeführt werden, so ist ein Zuschlag von 6 AW zu entrichten.</w:t>
      </w:r>
    </w:p>
    <w:p>
      <w:pPr>
        <w:pStyle w:val="berschrift3"/>
      </w:pPr>
      <w:bookmarkStart w:id="11" w:name="_Toc102884947"/>
      <w:r>
        <w:t>§ 10</w:t>
      </w:r>
      <w:r>
        <w:br/>
        <w:t>Besondere Verfahren</w:t>
      </w:r>
      <w:bookmarkEnd w:id="11"/>
      <w:r>
        <w:t xml:space="preserve"> </w:t>
      </w:r>
    </w:p>
    <w:p>
      <w:pPr>
        <w:pStyle w:val="GesAbsatz"/>
      </w:pPr>
      <w:r>
        <w:t xml:space="preserve">Die Gebühr für besondere Verfahren, z.B. die Reinigung eines Schornsteines, in dem Hart- oder Glanzruß haftet, mit Spezialkehrgeräten oder das Ausbrennen eines solchen Schornsteines beträgt je Arbeitsstunde 60 AW. </w:t>
      </w:r>
    </w:p>
    <w:p>
      <w:pPr>
        <w:pStyle w:val="GesAbsatz"/>
      </w:pPr>
      <w:r>
        <w:t>Die Bezirksschornsteinfegermeisterin oder der Bezirksschornsteinfegermeister kann im Übrigen für die sonstigen Aufwendungen (Gestellung von Mitarbeiterinnen oder Mitarbeitern, Arbeitsmaterial usw.) Ersatz der baren Auslagen verlangen.</w:t>
      </w:r>
    </w:p>
    <w:p>
      <w:pPr>
        <w:pStyle w:val="berschrift3"/>
      </w:pPr>
      <w:bookmarkStart w:id="12" w:name="_Toc102884948"/>
      <w:r>
        <w:t>§ 11</w:t>
      </w:r>
      <w:r>
        <w:br/>
        <w:t>Prüfung und Begutachtung nach Baurecht</w:t>
      </w:r>
      <w:bookmarkEnd w:id="12"/>
    </w:p>
    <w:p>
      <w:pPr>
        <w:pStyle w:val="GesAbsatz"/>
      </w:pPr>
      <w:r>
        <w:t>(1) Die Gebühr für die Prüfung und Begutachtung von Abgasanlagen und das Ausstellen der Bescheinigung nach § 43 Abs. 7 der Landesbauordnung (BauO NRW) in Verbindung mit § 13 Abs. 1 Nrn. 4 und 9 SchfG einschließlich der Vorbesichtigung von Schornsteinen im Rohbauzustand oder der Druckprüfung von Abgasleitungen beträgt</w:t>
      </w:r>
    </w:p>
    <w:p>
      <w:pPr>
        <w:pStyle w:val="GesAbsatz"/>
      </w:pPr>
    </w:p>
    <w:tbl>
      <w:tblPr>
        <w:tblW w:w="0" w:type="auto"/>
        <w:tblInd w:w="45" w:type="dxa"/>
        <w:tblLayout w:type="fixed"/>
        <w:tblCellMar>
          <w:left w:w="45" w:type="dxa"/>
          <w:right w:w="45" w:type="dxa"/>
        </w:tblCellMar>
        <w:tblLook w:val="0000" w:firstRow="0" w:lastRow="0" w:firstColumn="0" w:lastColumn="0" w:noHBand="0" w:noVBand="0"/>
      </w:tblPr>
      <w:tblGrid>
        <w:gridCol w:w="8100"/>
        <w:gridCol w:w="1539"/>
      </w:tblGrid>
      <w:tr>
        <w:tc>
          <w:tcPr>
            <w:tcW w:w="8100" w:type="dxa"/>
          </w:tcPr>
          <w:p>
            <w:pPr>
              <w:pStyle w:val="GesAbsatz"/>
            </w:pPr>
          </w:p>
        </w:tc>
        <w:tc>
          <w:tcPr>
            <w:tcW w:w="1539" w:type="dxa"/>
          </w:tcPr>
          <w:p>
            <w:pPr>
              <w:pStyle w:val="GesAbsatz"/>
            </w:pPr>
            <w:r>
              <w:t>AW</w:t>
            </w:r>
          </w:p>
        </w:tc>
      </w:tr>
      <w:tr>
        <w:tc>
          <w:tcPr>
            <w:tcW w:w="8100" w:type="dxa"/>
          </w:tcPr>
          <w:p>
            <w:pPr>
              <w:pStyle w:val="GesAbsatz"/>
            </w:pPr>
            <w:r>
              <w:t>pro Gebäude</w:t>
            </w:r>
          </w:p>
        </w:tc>
        <w:tc>
          <w:tcPr>
            <w:tcW w:w="1539" w:type="dxa"/>
          </w:tcPr>
          <w:p>
            <w:pPr>
              <w:pStyle w:val="GesAbsatz"/>
            </w:pPr>
            <w:r>
              <w:t>85,9</w:t>
            </w:r>
          </w:p>
        </w:tc>
      </w:tr>
      <w:tr>
        <w:tc>
          <w:tcPr>
            <w:tcW w:w="8100" w:type="dxa"/>
          </w:tcPr>
          <w:p>
            <w:pPr>
              <w:pStyle w:val="GesAbsatz"/>
            </w:pPr>
            <w:r>
              <w:t>pro Abgasanlage</w:t>
            </w:r>
          </w:p>
        </w:tc>
        <w:tc>
          <w:tcPr>
            <w:tcW w:w="1539" w:type="dxa"/>
          </w:tcPr>
          <w:p>
            <w:pPr>
              <w:pStyle w:val="GesAbsatz"/>
            </w:pPr>
            <w:r>
              <w:t>25,2</w:t>
            </w:r>
          </w:p>
        </w:tc>
      </w:tr>
      <w:tr>
        <w:tc>
          <w:tcPr>
            <w:tcW w:w="8100" w:type="dxa"/>
          </w:tcPr>
          <w:p>
            <w:pPr>
              <w:pStyle w:val="GesAbsatz"/>
            </w:pPr>
            <w:r>
              <w:t>und pro Stockwerk</w:t>
            </w:r>
          </w:p>
        </w:tc>
        <w:tc>
          <w:tcPr>
            <w:tcW w:w="1539" w:type="dxa"/>
          </w:tcPr>
          <w:p>
            <w:pPr>
              <w:pStyle w:val="GesAbsatz"/>
            </w:pPr>
            <w:r>
              <w:t>10,1</w:t>
            </w:r>
          </w:p>
        </w:tc>
      </w:tr>
    </w:tbl>
    <w:p>
      <w:pPr>
        <w:pStyle w:val="GesAbsatz"/>
      </w:pPr>
    </w:p>
    <w:p>
      <w:pPr>
        <w:pStyle w:val="GesAbsatz"/>
      </w:pPr>
      <w:r>
        <w:t>(2) Für die Prüfung und Begutachtung von Schornsteinen ohne Vorbesichtigung im Rohbauzustand wird die Hälfte der Gebührensätze nach Absatz 1 erhoben.</w:t>
      </w:r>
    </w:p>
    <w:p>
      <w:pPr>
        <w:pStyle w:val="GesAbsatz"/>
      </w:pPr>
      <w:r>
        <w:t>Das Gleiche gilt auch für Abgasleitungen, die nur der Ringspaltmessung bedürfen.</w:t>
      </w:r>
    </w:p>
    <w:p>
      <w:pPr>
        <w:pStyle w:val="GesAbsatz"/>
      </w:pPr>
      <w:r>
        <w:t>(3) Für jede erforderliche Wiederholung der Druckprüfung von Abgasleitungen nach Absatz 1 wird die Hälfte der Gebührensätze nach Absatz 1 erhoben. Für jede erforderliche Wiederholung der Prüfung und Begutachtung nach Absatz 2 wird ein Viertel der Gebührensätze nach Absatz 1 erhoben.</w:t>
      </w:r>
    </w:p>
    <w:p>
      <w:pPr>
        <w:pStyle w:val="berschrift3"/>
      </w:pPr>
      <w:bookmarkStart w:id="13" w:name="_Toc102884949"/>
      <w:r>
        <w:t>§ 12</w:t>
      </w:r>
      <w:r>
        <w:br/>
        <w:t>Sonstige Prüfung und Begutachtung</w:t>
      </w:r>
      <w:bookmarkEnd w:id="13"/>
    </w:p>
    <w:p>
      <w:pPr>
        <w:pStyle w:val="GesAbsatz"/>
      </w:pPr>
      <w:r>
        <w:t>(1) Für die Überprüfung des Lüftungsverbundes gemäß § 4 Abs. 1 der Kehr - und Überprüfungsordnung sowie für sonstige Prüfungen und Begutachtungen nach § 13 Abs. 1 Nr. 4 SchfG beträgt die Gebühr 49 AW.</w:t>
      </w:r>
    </w:p>
    <w:p>
      <w:pPr>
        <w:pStyle w:val="GesAbsatz"/>
      </w:pPr>
      <w:r>
        <w:t>(2) Für sonstige Druck- oder Dichtheitsprüfungen werden die Kosten nach der erforderlichen Arbeitszeit und dem erforderlichen Arbeitsaufwand berechnet. Dabei ist die Arbeitsstunde mit 60 AW in Ansatz zu bringen.</w:t>
      </w:r>
    </w:p>
    <w:p>
      <w:pPr>
        <w:pStyle w:val="berschrift3"/>
      </w:pPr>
      <w:bookmarkStart w:id="14" w:name="_Toc102884950"/>
      <w:r>
        <w:t>§ 13</w:t>
      </w:r>
      <w:r>
        <w:br/>
        <w:t>Mahngebühr</w:t>
      </w:r>
      <w:bookmarkEnd w:id="14"/>
    </w:p>
    <w:p>
      <w:pPr>
        <w:pStyle w:val="GesAbsatz"/>
      </w:pPr>
      <w:r>
        <w:t xml:space="preserve">Wird eine fällige Gebühr innerhalb eines Monats nach Zustellung der Gebührenrechnung nicht bezahlt, so können für eine notwendige Mahnung nach erfolgloser Zahlungserinnerung zusätzlich 5 AW berechnet werden. </w:t>
      </w:r>
    </w:p>
    <w:p>
      <w:pPr>
        <w:pStyle w:val="berschrift3"/>
      </w:pPr>
      <w:bookmarkStart w:id="15" w:name="_Toc102884951"/>
      <w:r>
        <w:t>§ 14</w:t>
      </w:r>
      <w:r>
        <w:br/>
        <w:t>In-Kraft-Treten, Außer-Kraft-Treten</w:t>
      </w:r>
      <w:bookmarkEnd w:id="15"/>
    </w:p>
    <w:p>
      <w:pPr>
        <w:pStyle w:val="GesAbsatz"/>
      </w:pPr>
      <w:r>
        <w:t xml:space="preserve">Diese Verordnung tritt am 1. Januar 2001 in Kraft. </w:t>
      </w:r>
    </w:p>
    <w:p>
      <w:pPr>
        <w:pStyle w:val="GesAbsatz"/>
      </w:pPr>
      <w:r>
        <w:t>Gleichzeitig tritt die Kehr- und Überprüfungsgebührenordnung vom 27. November 1984 (GV. NRW. S. 738), zuletzt geändert durch Verordnung vom 17. November 1999 (GV. NRW. S. 641), außer Kraft. Diese Verordnung tritt mit Ablauf des 31. Dezember 2009 außer Kraft.</w:t>
      </w:r>
    </w:p>
    <w:p>
      <w:pPr>
        <w:pStyle w:val="GesAbsatz"/>
      </w:pPr>
    </w:p>
    <w:p/>
    <w:p/>
    <w:p/>
    <w:p/>
    <w:p/>
    <w:p/>
    <w:p/>
    <w:p/>
    <w:p/>
    <w:p>
      <w:r>
        <w:t xml:space="preserve">Suchworte:  Kehrordnung  Kehrverordnung  Kehrbuch   Kehrbücher    </w:t>
      </w:r>
    </w:p>
    <w:sectPr>
      <w:headerReference w:type="default" r:id="rId8"/>
      <w:footerReference w:type="default" r:id="rId9"/>
      <w:type w:val="continuous"/>
      <w:pgSz w:w="11906" w:h="16838" w:code="9"/>
      <w:pgMar w:top="1134" w:right="851" w:bottom="1134" w:left="1418" w:header="567" w:footer="851" w:gutter="0"/>
      <w:cols w:space="720" w:equalWidth="0">
        <w:col w:w="96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01.12.2000 (GV. NRW. S. 711 / SGV. NRW. 7125)</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r>
    <w:r>
      <w:rPr>
        <w:lang w:val="en-GB"/>
      </w:rPr>
      <w:t>Stand 30.10.2008 (GV. NRW. S. 676)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Archiv9.15</w:t>
    </w:r>
  </w:p>
  <w:p>
    <w:pPr>
      <w:pStyle w:val="Kopfzeile"/>
      <w:spacing w:after="0"/>
    </w:pPr>
    <w:r>
      <w:t>KÜGebO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44A26"/>
    <w:multiLevelType w:val="singleLevel"/>
    <w:tmpl w:val="D5ACABE4"/>
    <w:lvl w:ilvl="0">
      <w:start w:val="1"/>
      <w:numFmt w:val="lowerLetter"/>
      <w:lvlText w:val="%1)"/>
      <w:legacy w:legacy="1" w:legacySpace="0" w:legacyIndent="816"/>
      <w:lvlJc w:val="left"/>
      <w:pPr>
        <w:ind w:left="888" w:hanging="81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58D4C6-638D-4AFC-81DA-4AD628CE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7&amp;ugl_nr=7125&amp;bes_id=4931&amp;aufgehoben=J&amp;menu=1&amp;sg=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1423</Words>
  <Characters>10199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Kehr- und Überprüfungsgebührenordnung - KÜGebO</vt:lpstr>
    </vt:vector>
  </TitlesOfParts>
  <Company>LANUV NRW</Company>
  <LinksUpToDate>false</LinksUpToDate>
  <CharactersWithSpaces>11599</CharactersWithSpaces>
  <SharedDoc>false</SharedDoc>
  <HLinks>
    <vt:vector size="96" baseType="variant">
      <vt:variant>
        <vt:i4>1966130</vt:i4>
      </vt:variant>
      <vt:variant>
        <vt:i4>89</vt:i4>
      </vt:variant>
      <vt:variant>
        <vt:i4>0</vt:i4>
      </vt:variant>
      <vt:variant>
        <vt:i4>5</vt:i4>
      </vt:variant>
      <vt:variant>
        <vt:lpwstr/>
      </vt:variant>
      <vt:variant>
        <vt:lpwstr>_Toc102884951</vt:lpwstr>
      </vt:variant>
      <vt:variant>
        <vt:i4>1966130</vt:i4>
      </vt:variant>
      <vt:variant>
        <vt:i4>83</vt:i4>
      </vt:variant>
      <vt:variant>
        <vt:i4>0</vt:i4>
      </vt:variant>
      <vt:variant>
        <vt:i4>5</vt:i4>
      </vt:variant>
      <vt:variant>
        <vt:lpwstr/>
      </vt:variant>
      <vt:variant>
        <vt:lpwstr>_Toc102884950</vt:lpwstr>
      </vt:variant>
      <vt:variant>
        <vt:i4>2031666</vt:i4>
      </vt:variant>
      <vt:variant>
        <vt:i4>77</vt:i4>
      </vt:variant>
      <vt:variant>
        <vt:i4>0</vt:i4>
      </vt:variant>
      <vt:variant>
        <vt:i4>5</vt:i4>
      </vt:variant>
      <vt:variant>
        <vt:lpwstr/>
      </vt:variant>
      <vt:variant>
        <vt:lpwstr>_Toc102884949</vt:lpwstr>
      </vt:variant>
      <vt:variant>
        <vt:i4>2031666</vt:i4>
      </vt:variant>
      <vt:variant>
        <vt:i4>71</vt:i4>
      </vt:variant>
      <vt:variant>
        <vt:i4>0</vt:i4>
      </vt:variant>
      <vt:variant>
        <vt:i4>5</vt:i4>
      </vt:variant>
      <vt:variant>
        <vt:lpwstr/>
      </vt:variant>
      <vt:variant>
        <vt:lpwstr>_Toc102884948</vt:lpwstr>
      </vt:variant>
      <vt:variant>
        <vt:i4>2031666</vt:i4>
      </vt:variant>
      <vt:variant>
        <vt:i4>65</vt:i4>
      </vt:variant>
      <vt:variant>
        <vt:i4>0</vt:i4>
      </vt:variant>
      <vt:variant>
        <vt:i4>5</vt:i4>
      </vt:variant>
      <vt:variant>
        <vt:lpwstr/>
      </vt:variant>
      <vt:variant>
        <vt:lpwstr>_Toc102884947</vt:lpwstr>
      </vt:variant>
      <vt:variant>
        <vt:i4>2031666</vt:i4>
      </vt:variant>
      <vt:variant>
        <vt:i4>59</vt:i4>
      </vt:variant>
      <vt:variant>
        <vt:i4>0</vt:i4>
      </vt:variant>
      <vt:variant>
        <vt:i4>5</vt:i4>
      </vt:variant>
      <vt:variant>
        <vt:lpwstr/>
      </vt:variant>
      <vt:variant>
        <vt:lpwstr>_Toc102884946</vt:lpwstr>
      </vt:variant>
      <vt:variant>
        <vt:i4>2031666</vt:i4>
      </vt:variant>
      <vt:variant>
        <vt:i4>53</vt:i4>
      </vt:variant>
      <vt:variant>
        <vt:i4>0</vt:i4>
      </vt:variant>
      <vt:variant>
        <vt:i4>5</vt:i4>
      </vt:variant>
      <vt:variant>
        <vt:lpwstr/>
      </vt:variant>
      <vt:variant>
        <vt:lpwstr>_Toc102884945</vt:lpwstr>
      </vt:variant>
      <vt:variant>
        <vt:i4>2031666</vt:i4>
      </vt:variant>
      <vt:variant>
        <vt:i4>47</vt:i4>
      </vt:variant>
      <vt:variant>
        <vt:i4>0</vt:i4>
      </vt:variant>
      <vt:variant>
        <vt:i4>5</vt:i4>
      </vt:variant>
      <vt:variant>
        <vt:lpwstr/>
      </vt:variant>
      <vt:variant>
        <vt:lpwstr>_Toc102884944</vt:lpwstr>
      </vt:variant>
      <vt:variant>
        <vt:i4>2031666</vt:i4>
      </vt:variant>
      <vt:variant>
        <vt:i4>41</vt:i4>
      </vt:variant>
      <vt:variant>
        <vt:i4>0</vt:i4>
      </vt:variant>
      <vt:variant>
        <vt:i4>5</vt:i4>
      </vt:variant>
      <vt:variant>
        <vt:lpwstr/>
      </vt:variant>
      <vt:variant>
        <vt:lpwstr>_Toc102884943</vt:lpwstr>
      </vt:variant>
      <vt:variant>
        <vt:i4>2031666</vt:i4>
      </vt:variant>
      <vt:variant>
        <vt:i4>35</vt:i4>
      </vt:variant>
      <vt:variant>
        <vt:i4>0</vt:i4>
      </vt:variant>
      <vt:variant>
        <vt:i4>5</vt:i4>
      </vt:variant>
      <vt:variant>
        <vt:lpwstr/>
      </vt:variant>
      <vt:variant>
        <vt:lpwstr>_Toc102884942</vt:lpwstr>
      </vt:variant>
      <vt:variant>
        <vt:i4>2031666</vt:i4>
      </vt:variant>
      <vt:variant>
        <vt:i4>29</vt:i4>
      </vt:variant>
      <vt:variant>
        <vt:i4>0</vt:i4>
      </vt:variant>
      <vt:variant>
        <vt:i4>5</vt:i4>
      </vt:variant>
      <vt:variant>
        <vt:lpwstr/>
      </vt:variant>
      <vt:variant>
        <vt:lpwstr>_Toc102884941</vt:lpwstr>
      </vt:variant>
      <vt:variant>
        <vt:i4>2031666</vt:i4>
      </vt:variant>
      <vt:variant>
        <vt:i4>23</vt:i4>
      </vt:variant>
      <vt:variant>
        <vt:i4>0</vt:i4>
      </vt:variant>
      <vt:variant>
        <vt:i4>5</vt:i4>
      </vt:variant>
      <vt:variant>
        <vt:lpwstr/>
      </vt:variant>
      <vt:variant>
        <vt:lpwstr>_Toc102884940</vt:lpwstr>
      </vt:variant>
      <vt:variant>
        <vt:i4>1572914</vt:i4>
      </vt:variant>
      <vt:variant>
        <vt:i4>17</vt:i4>
      </vt:variant>
      <vt:variant>
        <vt:i4>0</vt:i4>
      </vt:variant>
      <vt:variant>
        <vt:i4>5</vt:i4>
      </vt:variant>
      <vt:variant>
        <vt:lpwstr/>
      </vt:variant>
      <vt:variant>
        <vt:lpwstr>_Toc102884939</vt:lpwstr>
      </vt:variant>
      <vt:variant>
        <vt:i4>1572914</vt:i4>
      </vt:variant>
      <vt:variant>
        <vt:i4>11</vt:i4>
      </vt:variant>
      <vt:variant>
        <vt:i4>0</vt:i4>
      </vt:variant>
      <vt:variant>
        <vt:i4>5</vt:i4>
      </vt:variant>
      <vt:variant>
        <vt:lpwstr/>
      </vt:variant>
      <vt:variant>
        <vt:lpwstr>_Toc102884938</vt:lpwstr>
      </vt:variant>
      <vt:variant>
        <vt:i4>1572914</vt:i4>
      </vt:variant>
      <vt:variant>
        <vt:i4>5</vt:i4>
      </vt:variant>
      <vt:variant>
        <vt:i4>0</vt:i4>
      </vt:variant>
      <vt:variant>
        <vt:i4>5</vt:i4>
      </vt:variant>
      <vt:variant>
        <vt:lpwstr/>
      </vt:variant>
      <vt:variant>
        <vt:lpwstr>_Toc102884937</vt:lpwstr>
      </vt:variant>
      <vt:variant>
        <vt:i4>1835087</vt:i4>
      </vt:variant>
      <vt:variant>
        <vt:i4>0</vt:i4>
      </vt:variant>
      <vt:variant>
        <vt:i4>0</vt:i4>
      </vt:variant>
      <vt:variant>
        <vt:i4>5</vt:i4>
      </vt:variant>
      <vt:variant>
        <vt:lpwstr>https://recht.nrw.de/lmi/owa/br_bes_text?anw_nr=2&amp;gld_nr=7&amp;ugl_nr=7125&amp;bes_id=4931&amp;aufgehoben=J&amp;menu=1&amp;sg=0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Kehr- und Überprüfungsgebührenordnung - KÜGebO</dc:title>
  <dc:subject>Verordnung über die Gebühren und Auslagen der Bezirksschornsteinfegermeisterinnen und Bezirksschornsteinfegermeister</dc:subject>
  <dc:creator>LANUV NRW</dc:creator>
  <cp:keywords/>
  <dc:description/>
  <cp:lastModifiedBy>Rüter, Dr., Ingo</cp:lastModifiedBy>
  <cp:revision>4</cp:revision>
  <dcterms:created xsi:type="dcterms:W3CDTF">2014-01-23T09:24:00Z</dcterms:created>
  <dcterms:modified xsi:type="dcterms:W3CDTF">2024-07-05T11:45:00Z</dcterms:modified>
</cp:coreProperties>
</file>