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97" w:rsidRDefault="00A27597">
      <w:pPr>
        <w:pStyle w:val="berschrift1"/>
      </w:pPr>
      <w:bookmarkStart w:id="0" w:name="_Toc383072489"/>
      <w:r>
        <w:t xml:space="preserve">Richtlinie </w:t>
      </w:r>
      <w:r w:rsidRPr="00393110">
        <w:t>98/34/EG</w:t>
      </w:r>
      <w:r>
        <w:t xml:space="preserve"> des Europäischen Parlaments und des Rates </w:t>
      </w:r>
      <w:r w:rsidR="009110F3">
        <w:t xml:space="preserve">vom 22. Juni 1998 </w:t>
      </w:r>
      <w:r>
        <w:t>über ein Informationsverfah</w:t>
      </w:r>
      <w:bookmarkStart w:id="1" w:name="_GoBack"/>
      <w:bookmarkEnd w:id="1"/>
      <w:r>
        <w:t xml:space="preserve">ren auf dem Gebiet der </w:t>
      </w:r>
      <w:r w:rsidR="00EC50B6">
        <w:br/>
      </w:r>
      <w:r>
        <w:t xml:space="preserve">Normen und technischen Vorschriften und der Vorschriften für die </w:t>
      </w:r>
      <w:r w:rsidR="00EC50B6">
        <w:br/>
      </w:r>
      <w:r>
        <w:t>Dienste der Informationsgesellschaft</w:t>
      </w:r>
      <w:bookmarkEnd w:id="0"/>
    </w:p>
    <w:p w:rsidR="00A27597" w:rsidRDefault="009110F3">
      <w:pPr>
        <w:pStyle w:val="GesAbsatz"/>
      </w:pPr>
      <w:r w:rsidRPr="009110F3">
        <w:rPr>
          <w:b/>
        </w:rPr>
        <w:t>Änderungen:</w:t>
      </w:r>
      <w:r>
        <w:t xml:space="preserve"> </w:t>
      </w:r>
      <w:r w:rsidR="00EC50B6" w:rsidRPr="00393110">
        <w:t>98/48/EG</w:t>
      </w:r>
      <w:r w:rsidR="00EC50B6" w:rsidRPr="00EC50B6">
        <w:t xml:space="preserve"> ABl. L 217 v</w:t>
      </w:r>
      <w:r w:rsidR="00EC50B6">
        <w:t>.</w:t>
      </w:r>
      <w:r w:rsidR="00EC50B6" w:rsidRPr="00EC50B6">
        <w:t xml:space="preserve"> </w:t>
      </w:r>
      <w:r w:rsidR="002E4999">
        <w:t>0</w:t>
      </w:r>
      <w:r w:rsidR="00EC50B6" w:rsidRPr="00EC50B6">
        <w:t>5.</w:t>
      </w:r>
      <w:r w:rsidR="002E4999">
        <w:t>0</w:t>
      </w:r>
      <w:r w:rsidR="00EC50B6" w:rsidRPr="00EC50B6">
        <w:t>8.1998 S. 18</w:t>
      </w:r>
      <w:r w:rsidR="00EC50B6">
        <w:t>;</w:t>
      </w:r>
      <w:r w:rsidR="005B6212">
        <w:t xml:space="preserve"> </w:t>
      </w:r>
      <w:r w:rsidR="005B6212" w:rsidRPr="00393110">
        <w:t>2006/96/EG</w:t>
      </w:r>
      <w:r w:rsidR="005B6212">
        <w:t xml:space="preserve"> ABl. L 363 v. 20.12.2006 S. 81;</w:t>
      </w:r>
      <w:r w:rsidR="0000598E">
        <w:t xml:space="preserve"> </w:t>
      </w:r>
      <w:r w:rsidR="0000598E" w:rsidRPr="00393110">
        <w:t>1025/2012</w:t>
      </w:r>
      <w:r w:rsidR="00932018" w:rsidRPr="00393110">
        <w:t>/EU</w:t>
      </w:r>
      <w:r w:rsidR="00932018">
        <w:t xml:space="preserve"> ABl. L 316 v. </w:t>
      </w:r>
      <w:r w:rsidR="00932018" w:rsidRPr="00932018">
        <w:t>14.11.2012</w:t>
      </w:r>
      <w:r w:rsidR="00932018">
        <w:t xml:space="preserve"> S. 12;</w:t>
      </w:r>
      <w:r w:rsidR="00331DD8">
        <w:t xml:space="preserve"> 2015/1535 </w:t>
      </w:r>
      <w:r w:rsidR="00331DD8" w:rsidRPr="00331DD8">
        <w:t xml:space="preserve">ABl. L 241 </w:t>
      </w:r>
      <w:r w:rsidR="00331DD8">
        <w:t xml:space="preserve">v. 17.9.2015 </w:t>
      </w:r>
      <w:r w:rsidR="00331DD8" w:rsidRPr="00331DD8">
        <w:t>S. 1</w:t>
      </w:r>
      <w:r w:rsidR="00331DD8">
        <w:t xml:space="preserve"> </w:t>
      </w:r>
    </w:p>
    <w:p w:rsidR="00E86A0D" w:rsidRPr="00393110" w:rsidRDefault="00393110">
      <w:pPr>
        <w:pStyle w:val="GesAbsatz"/>
        <w:rPr>
          <w:b/>
          <w:i/>
          <w:color w:val="FF0000"/>
          <w:sz w:val="22"/>
          <w:szCs w:val="22"/>
        </w:rPr>
      </w:pPr>
      <w:r w:rsidRPr="00393110">
        <w:rPr>
          <w:b/>
          <w:i/>
          <w:color w:val="FF0000"/>
          <w:sz w:val="22"/>
          <w:szCs w:val="22"/>
        </w:rPr>
        <w:t>Gültig bis 07.10.2015</w:t>
      </w:r>
    </w:p>
    <w:p w:rsidR="00A27597" w:rsidRPr="00AE02AC" w:rsidRDefault="00A27597">
      <w:pPr>
        <w:pStyle w:val="GesAbsatz"/>
        <w:jc w:val="center"/>
        <w:rPr>
          <w:b/>
          <w:sz w:val="22"/>
          <w:szCs w:val="22"/>
        </w:rPr>
      </w:pPr>
      <w:r w:rsidRPr="00AE02AC">
        <w:rPr>
          <w:b/>
          <w:sz w:val="22"/>
          <w:szCs w:val="22"/>
        </w:rPr>
        <w:t>Inhalt</w:t>
      </w:r>
      <w:r w:rsidR="00AE02AC">
        <w:rPr>
          <w:b/>
          <w:sz w:val="22"/>
          <w:szCs w:val="22"/>
        </w:rPr>
        <w:t>:</w:t>
      </w:r>
    </w:p>
    <w:p w:rsidR="002A51FD" w:rsidRDefault="004A3D34">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w:instrText>
      </w:r>
      <w:r>
        <w:rPr>
          <w:bCs/>
        </w:rPr>
        <w:fldChar w:fldCharType="separate"/>
      </w:r>
      <w:r w:rsidR="002A51FD">
        <w:rPr>
          <w:noProof/>
        </w:rPr>
        <w:t xml:space="preserve">Richtlinie </w:t>
      </w:r>
      <w:r w:rsidR="002A51FD" w:rsidRPr="00E86A0D">
        <w:rPr>
          <w:noProof/>
        </w:rPr>
        <w:t>98/34/EG</w:t>
      </w:r>
      <w:r w:rsidR="002A51FD">
        <w:rPr>
          <w:noProof/>
        </w:rPr>
        <w:tab/>
      </w:r>
      <w:r w:rsidR="002A51FD">
        <w:rPr>
          <w:noProof/>
        </w:rPr>
        <w:fldChar w:fldCharType="begin"/>
      </w:r>
      <w:r w:rsidR="002A51FD">
        <w:rPr>
          <w:noProof/>
        </w:rPr>
        <w:instrText xml:space="preserve"> PAGEREF _Toc383072489 \h </w:instrText>
      </w:r>
      <w:r w:rsidR="002A51FD">
        <w:rPr>
          <w:noProof/>
        </w:rPr>
      </w:r>
      <w:r w:rsidR="002A51FD">
        <w:rPr>
          <w:noProof/>
        </w:rPr>
        <w:fldChar w:fldCharType="separate"/>
      </w:r>
      <w:r w:rsidR="00EF7B07">
        <w:rPr>
          <w:noProof/>
        </w:rPr>
        <w:t>1</w:t>
      </w:r>
      <w:r w:rsidR="002A51FD">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_Toc383072490 \h </w:instrText>
      </w:r>
      <w:r>
        <w:rPr>
          <w:noProof/>
        </w:rPr>
      </w:r>
      <w:r>
        <w:rPr>
          <w:noProof/>
        </w:rPr>
        <w:fldChar w:fldCharType="separate"/>
      </w:r>
      <w:r w:rsidR="00EF7B07">
        <w:rPr>
          <w:noProof/>
        </w:rPr>
        <w:t>1</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2 gestrichen</w:t>
      </w:r>
      <w:r>
        <w:rPr>
          <w:noProof/>
        </w:rPr>
        <w:tab/>
      </w:r>
      <w:r>
        <w:rPr>
          <w:noProof/>
        </w:rPr>
        <w:fldChar w:fldCharType="begin"/>
      </w:r>
      <w:r>
        <w:rPr>
          <w:noProof/>
        </w:rPr>
        <w:instrText xml:space="preserve"> PAGEREF _Toc383072491 \h </w:instrText>
      </w:r>
      <w:r>
        <w:rPr>
          <w:noProof/>
        </w:rPr>
      </w:r>
      <w:r>
        <w:rPr>
          <w:noProof/>
        </w:rPr>
        <w:fldChar w:fldCharType="separate"/>
      </w:r>
      <w:r w:rsidR="00EF7B07">
        <w:rPr>
          <w:noProof/>
        </w:rPr>
        <w:t>3</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3 gestrichen</w:t>
      </w:r>
      <w:r>
        <w:rPr>
          <w:noProof/>
        </w:rPr>
        <w:tab/>
      </w:r>
      <w:r>
        <w:rPr>
          <w:noProof/>
        </w:rPr>
        <w:fldChar w:fldCharType="begin"/>
      </w:r>
      <w:r>
        <w:rPr>
          <w:noProof/>
        </w:rPr>
        <w:instrText xml:space="preserve"> PAGEREF _Toc383072492 \h </w:instrText>
      </w:r>
      <w:r>
        <w:rPr>
          <w:noProof/>
        </w:rPr>
      </w:r>
      <w:r>
        <w:rPr>
          <w:noProof/>
        </w:rPr>
        <w:fldChar w:fldCharType="separate"/>
      </w:r>
      <w:r w:rsidR="00EF7B07">
        <w:rPr>
          <w:noProof/>
        </w:rPr>
        <w:t>3</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4 gestrichen</w:t>
      </w:r>
      <w:r>
        <w:rPr>
          <w:noProof/>
        </w:rPr>
        <w:tab/>
      </w:r>
      <w:r>
        <w:rPr>
          <w:noProof/>
        </w:rPr>
        <w:fldChar w:fldCharType="begin"/>
      </w:r>
      <w:r>
        <w:rPr>
          <w:noProof/>
        </w:rPr>
        <w:instrText xml:space="preserve"> PAGEREF _Toc383072493 \h </w:instrText>
      </w:r>
      <w:r>
        <w:rPr>
          <w:noProof/>
        </w:rPr>
      </w:r>
      <w:r>
        <w:rPr>
          <w:noProof/>
        </w:rPr>
        <w:fldChar w:fldCharType="separate"/>
      </w:r>
      <w:r w:rsidR="00EF7B07">
        <w:rPr>
          <w:noProof/>
        </w:rPr>
        <w:t>3</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_Toc383072494 \h </w:instrText>
      </w:r>
      <w:r>
        <w:rPr>
          <w:noProof/>
        </w:rPr>
      </w:r>
      <w:r>
        <w:rPr>
          <w:noProof/>
        </w:rPr>
        <w:fldChar w:fldCharType="separate"/>
      </w:r>
      <w:r w:rsidR="00EF7B07">
        <w:rPr>
          <w:noProof/>
        </w:rPr>
        <w:t>3</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_Toc383072495 \h </w:instrText>
      </w:r>
      <w:r>
        <w:rPr>
          <w:noProof/>
        </w:rPr>
      </w:r>
      <w:r>
        <w:rPr>
          <w:noProof/>
        </w:rPr>
        <w:fldChar w:fldCharType="separate"/>
      </w:r>
      <w:r w:rsidR="00EF7B07">
        <w:rPr>
          <w:noProof/>
        </w:rPr>
        <w:t>3</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_Toc383072496 \h </w:instrText>
      </w:r>
      <w:r>
        <w:rPr>
          <w:noProof/>
        </w:rPr>
      </w:r>
      <w:r>
        <w:rPr>
          <w:noProof/>
        </w:rPr>
        <w:fldChar w:fldCharType="separate"/>
      </w:r>
      <w:r w:rsidR="00EF7B07">
        <w:rPr>
          <w:noProof/>
        </w:rPr>
        <w:t>4</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_Toc383072497 \h </w:instrText>
      </w:r>
      <w:r>
        <w:rPr>
          <w:noProof/>
        </w:rPr>
      </w:r>
      <w:r>
        <w:rPr>
          <w:noProof/>
        </w:rPr>
        <w:fldChar w:fldCharType="separate"/>
      </w:r>
      <w:r w:rsidR="00EF7B07">
        <w:rPr>
          <w:noProof/>
        </w:rPr>
        <w:t>4</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_Toc383072498 \h </w:instrText>
      </w:r>
      <w:r>
        <w:rPr>
          <w:noProof/>
        </w:rPr>
      </w:r>
      <w:r>
        <w:rPr>
          <w:noProof/>
        </w:rPr>
        <w:fldChar w:fldCharType="separate"/>
      </w:r>
      <w:r w:rsidR="00EF7B07">
        <w:rPr>
          <w:noProof/>
        </w:rPr>
        <w:t>5</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_Toc383072499 \h </w:instrText>
      </w:r>
      <w:r>
        <w:rPr>
          <w:noProof/>
        </w:rPr>
      </w:r>
      <w:r>
        <w:rPr>
          <w:noProof/>
        </w:rPr>
        <w:fldChar w:fldCharType="separate"/>
      </w:r>
      <w:r w:rsidR="00EF7B07">
        <w:rPr>
          <w:noProof/>
        </w:rPr>
        <w:t>6</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_Toc383072500 \h </w:instrText>
      </w:r>
      <w:r>
        <w:rPr>
          <w:noProof/>
        </w:rPr>
      </w:r>
      <w:r>
        <w:rPr>
          <w:noProof/>
        </w:rPr>
        <w:fldChar w:fldCharType="separate"/>
      </w:r>
      <w:r w:rsidR="00EF7B07">
        <w:rPr>
          <w:noProof/>
        </w:rPr>
        <w:t>7</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_Toc383072501 \h </w:instrText>
      </w:r>
      <w:r>
        <w:rPr>
          <w:noProof/>
        </w:rPr>
      </w:r>
      <w:r>
        <w:rPr>
          <w:noProof/>
        </w:rPr>
        <w:fldChar w:fldCharType="separate"/>
      </w:r>
      <w:r w:rsidR="00EF7B07">
        <w:rPr>
          <w:noProof/>
        </w:rPr>
        <w:t>7</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_Toc383072502 \h </w:instrText>
      </w:r>
      <w:r>
        <w:rPr>
          <w:noProof/>
        </w:rPr>
      </w:r>
      <w:r>
        <w:rPr>
          <w:noProof/>
        </w:rPr>
        <w:fldChar w:fldCharType="separate"/>
      </w:r>
      <w:r w:rsidR="00EF7B07">
        <w:rPr>
          <w:noProof/>
        </w:rPr>
        <w:t>7</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_Toc383072503 \h </w:instrText>
      </w:r>
      <w:r>
        <w:rPr>
          <w:noProof/>
        </w:rPr>
      </w:r>
      <w:r>
        <w:rPr>
          <w:noProof/>
        </w:rPr>
        <w:fldChar w:fldCharType="separate"/>
      </w:r>
      <w:r w:rsidR="00EF7B07">
        <w:rPr>
          <w:noProof/>
        </w:rPr>
        <w:t>7</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Artikel 15</w:t>
      </w:r>
      <w:r>
        <w:rPr>
          <w:noProof/>
        </w:rPr>
        <w:tab/>
      </w:r>
      <w:r>
        <w:rPr>
          <w:noProof/>
        </w:rPr>
        <w:fldChar w:fldCharType="begin"/>
      </w:r>
      <w:r>
        <w:rPr>
          <w:noProof/>
        </w:rPr>
        <w:instrText xml:space="preserve"> PAGEREF _Toc383072504 \h </w:instrText>
      </w:r>
      <w:r>
        <w:rPr>
          <w:noProof/>
        </w:rPr>
      </w:r>
      <w:r>
        <w:rPr>
          <w:noProof/>
        </w:rPr>
        <w:fldChar w:fldCharType="separate"/>
      </w:r>
      <w:r w:rsidR="00EF7B07">
        <w:rPr>
          <w:noProof/>
        </w:rPr>
        <w:t>7</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Anhang I. gestrichen</w:t>
      </w:r>
      <w:r>
        <w:rPr>
          <w:noProof/>
        </w:rPr>
        <w:tab/>
      </w:r>
      <w:r>
        <w:rPr>
          <w:noProof/>
        </w:rPr>
        <w:fldChar w:fldCharType="begin"/>
      </w:r>
      <w:r>
        <w:rPr>
          <w:noProof/>
        </w:rPr>
        <w:instrText xml:space="preserve"> PAGEREF _Toc383072505 \h </w:instrText>
      </w:r>
      <w:r>
        <w:rPr>
          <w:noProof/>
        </w:rPr>
      </w:r>
      <w:r>
        <w:rPr>
          <w:noProof/>
        </w:rPr>
        <w:fldChar w:fldCharType="separate"/>
      </w:r>
      <w:r w:rsidR="00EF7B07">
        <w:rPr>
          <w:noProof/>
        </w:rPr>
        <w:t>8</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Anhang II. Nationale Normungsgremien gestrichen</w:t>
      </w:r>
      <w:r>
        <w:rPr>
          <w:noProof/>
        </w:rPr>
        <w:tab/>
      </w:r>
      <w:r>
        <w:rPr>
          <w:noProof/>
        </w:rPr>
        <w:fldChar w:fldCharType="begin"/>
      </w:r>
      <w:r>
        <w:rPr>
          <w:noProof/>
        </w:rPr>
        <w:instrText xml:space="preserve"> PAGEREF _Toc383072506 \h </w:instrText>
      </w:r>
      <w:r>
        <w:rPr>
          <w:noProof/>
        </w:rPr>
      </w:r>
      <w:r>
        <w:rPr>
          <w:noProof/>
        </w:rPr>
        <w:fldChar w:fldCharType="separate"/>
      </w:r>
      <w:r w:rsidR="00EF7B07">
        <w:rPr>
          <w:noProof/>
        </w:rPr>
        <w:t>8</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Anhang III.</w:t>
      </w:r>
      <w:r>
        <w:rPr>
          <w:noProof/>
        </w:rPr>
        <w:tab/>
      </w:r>
      <w:r>
        <w:rPr>
          <w:noProof/>
        </w:rPr>
        <w:fldChar w:fldCharType="begin"/>
      </w:r>
      <w:r>
        <w:rPr>
          <w:noProof/>
        </w:rPr>
        <w:instrText xml:space="preserve"> PAGEREF _Toc383072507 \h </w:instrText>
      </w:r>
      <w:r>
        <w:rPr>
          <w:noProof/>
        </w:rPr>
      </w:r>
      <w:r>
        <w:rPr>
          <w:noProof/>
        </w:rPr>
        <w:fldChar w:fldCharType="separate"/>
      </w:r>
      <w:r w:rsidR="00EF7B07">
        <w:rPr>
          <w:noProof/>
        </w:rPr>
        <w:t>8</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Anhang IV. Entsprechungstabelle</w:t>
      </w:r>
      <w:r>
        <w:rPr>
          <w:noProof/>
        </w:rPr>
        <w:tab/>
      </w:r>
      <w:r>
        <w:rPr>
          <w:noProof/>
        </w:rPr>
        <w:fldChar w:fldCharType="begin"/>
      </w:r>
      <w:r>
        <w:rPr>
          <w:noProof/>
        </w:rPr>
        <w:instrText xml:space="preserve"> PAGEREF _Toc383072508 \h </w:instrText>
      </w:r>
      <w:r>
        <w:rPr>
          <w:noProof/>
        </w:rPr>
      </w:r>
      <w:r>
        <w:rPr>
          <w:noProof/>
        </w:rPr>
        <w:fldChar w:fldCharType="separate"/>
      </w:r>
      <w:r w:rsidR="00EF7B07">
        <w:rPr>
          <w:noProof/>
        </w:rPr>
        <w:t>9</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Anhang V.</w:t>
      </w:r>
      <w:r>
        <w:rPr>
          <w:noProof/>
        </w:rPr>
        <w:tab/>
      </w:r>
      <w:r>
        <w:rPr>
          <w:noProof/>
        </w:rPr>
        <w:fldChar w:fldCharType="begin"/>
      </w:r>
      <w:r>
        <w:rPr>
          <w:noProof/>
        </w:rPr>
        <w:instrText xml:space="preserve"> PAGEREF _Toc383072509 \h </w:instrText>
      </w:r>
      <w:r>
        <w:rPr>
          <w:noProof/>
        </w:rPr>
      </w:r>
      <w:r>
        <w:rPr>
          <w:noProof/>
        </w:rPr>
        <w:fldChar w:fldCharType="separate"/>
      </w:r>
      <w:r w:rsidR="00EF7B07">
        <w:rPr>
          <w:noProof/>
        </w:rPr>
        <w:t>10</w:t>
      </w:r>
      <w:r>
        <w:rPr>
          <w:noProof/>
        </w:rPr>
        <w:fldChar w:fldCharType="end"/>
      </w:r>
    </w:p>
    <w:p w:rsidR="002A51FD" w:rsidRDefault="002A51FD">
      <w:pPr>
        <w:pStyle w:val="Verzeichnis2"/>
        <w:rPr>
          <w:rFonts w:asciiTheme="minorHAnsi" w:eastAsiaTheme="minorEastAsia" w:hAnsiTheme="minorHAnsi" w:cstheme="minorBidi"/>
          <w:smallCaps w:val="0"/>
          <w:noProof/>
          <w:sz w:val="22"/>
          <w:szCs w:val="22"/>
        </w:rPr>
      </w:pPr>
      <w:r>
        <w:rPr>
          <w:noProof/>
        </w:rPr>
        <w:t>Anhang VI</w:t>
      </w:r>
      <w:r>
        <w:rPr>
          <w:noProof/>
        </w:rPr>
        <w:tab/>
      </w:r>
      <w:r>
        <w:rPr>
          <w:noProof/>
        </w:rPr>
        <w:fldChar w:fldCharType="begin"/>
      </w:r>
      <w:r>
        <w:rPr>
          <w:noProof/>
        </w:rPr>
        <w:instrText xml:space="preserve"> PAGEREF _Toc383072510 \h </w:instrText>
      </w:r>
      <w:r>
        <w:rPr>
          <w:noProof/>
        </w:rPr>
      </w:r>
      <w:r>
        <w:rPr>
          <w:noProof/>
        </w:rPr>
        <w:fldChar w:fldCharType="separate"/>
      </w:r>
      <w:r w:rsidR="00EF7B07">
        <w:rPr>
          <w:noProof/>
        </w:rPr>
        <w:t>10</w:t>
      </w:r>
      <w:r>
        <w:rPr>
          <w:noProof/>
        </w:rPr>
        <w:fldChar w:fldCharType="end"/>
      </w:r>
    </w:p>
    <w:p w:rsidR="00A27597" w:rsidRPr="002A51FD" w:rsidRDefault="004A3D34" w:rsidP="002A51FD">
      <w:pPr>
        <w:pStyle w:val="GesAbsatz"/>
      </w:pPr>
      <w:r>
        <w:rPr>
          <w:rFonts w:ascii="Times New Roman" w:hAnsi="Times New Roman"/>
          <w:bCs/>
          <w:color w:val="auto"/>
        </w:rPr>
        <w:fldChar w:fldCharType="end"/>
      </w:r>
    </w:p>
    <w:p w:rsidR="00A27597" w:rsidRDefault="00A27597" w:rsidP="00AE02AC">
      <w:pPr>
        <w:pStyle w:val="berschrift2"/>
      </w:pPr>
      <w:bookmarkStart w:id="2" w:name="_Toc383072490"/>
      <w:r>
        <w:t>Artikel 1</w:t>
      </w:r>
      <w:bookmarkEnd w:id="2"/>
    </w:p>
    <w:p w:rsidR="00A27597" w:rsidRDefault="00A27597">
      <w:pPr>
        <w:pStyle w:val="GesAbsatz"/>
      </w:pPr>
      <w:r>
        <w:t>Für diese Richtlinie gelten folgende Begriffsb</w:t>
      </w:r>
      <w:r w:rsidR="002A51FD">
        <w:t>estimmungen:</w:t>
      </w:r>
    </w:p>
    <w:p w:rsidR="00A27597" w:rsidRDefault="00143D7F" w:rsidP="00143D7F">
      <w:pPr>
        <w:pStyle w:val="GesAbsatz"/>
        <w:ind w:left="426" w:hanging="426"/>
      </w:pPr>
      <w:r>
        <w:t>1.</w:t>
      </w:r>
      <w:r>
        <w:tab/>
        <w:t>„</w:t>
      </w:r>
      <w:r w:rsidR="00A27597">
        <w:t>Erzeugnis</w:t>
      </w:r>
      <w:r>
        <w:t>“</w:t>
      </w:r>
      <w:r w:rsidR="00A27597">
        <w:t xml:space="preserve">: Erzeugnisse, die gewerblich hergestellt werden, und landwirtschaftliche Erzeugnisse, einschließlich Fischprodukte; </w:t>
      </w:r>
    </w:p>
    <w:p w:rsidR="00A27597" w:rsidRDefault="00143D7F" w:rsidP="00143D7F">
      <w:pPr>
        <w:pStyle w:val="GesAbsatz"/>
        <w:ind w:left="426" w:hanging="426"/>
      </w:pPr>
      <w:r>
        <w:t>2.</w:t>
      </w:r>
      <w:r>
        <w:tab/>
      </w:r>
      <w:r w:rsidR="000E585A">
        <w:t>„</w:t>
      </w:r>
      <w:r w:rsidR="00A27597">
        <w:t>Dienst</w:t>
      </w:r>
      <w:r w:rsidR="000E585A">
        <w:t>“</w:t>
      </w:r>
      <w:r w:rsidR="00A27597">
        <w:t>: eine Dienstleistung der Informationsgesellschaft, d</w:t>
      </w:r>
      <w:r w:rsidR="000E585A">
        <w:t>.</w:t>
      </w:r>
      <w:r w:rsidR="00A27597">
        <w:t>h</w:t>
      </w:r>
      <w:r w:rsidR="000E585A">
        <w:t>.</w:t>
      </w:r>
      <w:r w:rsidR="00A27597">
        <w:t xml:space="preserve"> jede in der Regel gegen Entgelt elektronisch im Fernabsatz und auf individuellen Abruf eines Empfä</w:t>
      </w:r>
      <w:r w:rsidR="000E585A">
        <w:t>ngers erbrachte Dienstleistung.</w:t>
      </w:r>
    </w:p>
    <w:p w:rsidR="00A27597" w:rsidRDefault="00A27597">
      <w:pPr>
        <w:pStyle w:val="GesAbsatz"/>
        <w:ind w:left="426"/>
      </w:pPr>
      <w:r>
        <w:t xml:space="preserve">Im Sinne dieser Definition bezeichnet der Ausdruck </w:t>
      </w:r>
    </w:p>
    <w:p w:rsidR="00A27597" w:rsidRDefault="000E585A" w:rsidP="000E585A">
      <w:pPr>
        <w:pStyle w:val="GesAbsatz"/>
        <w:tabs>
          <w:tab w:val="clear" w:pos="425"/>
        </w:tabs>
        <w:ind w:left="851" w:hanging="425"/>
      </w:pPr>
      <w:r>
        <w:t>-</w:t>
      </w:r>
      <w:r>
        <w:tab/>
        <w:t>„</w:t>
      </w:r>
      <w:r w:rsidR="00A27597">
        <w:t>im Fernabsatz erbrachte Dienstleistung</w:t>
      </w:r>
      <w:r>
        <w:t>“</w:t>
      </w:r>
      <w:r w:rsidR="00A27597">
        <w:t xml:space="preserve">: eine Dienstleistung, die ohne gleichzeitige physische Anwesenheit der Vertragsparteien erbracht wird; </w:t>
      </w:r>
    </w:p>
    <w:p w:rsidR="00A27597" w:rsidRDefault="000E585A" w:rsidP="000E585A">
      <w:pPr>
        <w:pStyle w:val="GesAbsatz"/>
        <w:tabs>
          <w:tab w:val="clear" w:pos="425"/>
        </w:tabs>
        <w:ind w:left="851" w:hanging="425"/>
      </w:pPr>
      <w:r>
        <w:t>-</w:t>
      </w:r>
      <w:r>
        <w:tab/>
        <w:t>„</w:t>
      </w:r>
      <w:r w:rsidR="00A27597">
        <w:t>elektronisch erbrachte Dienstleistung</w:t>
      </w:r>
      <w:r>
        <w:t>“</w:t>
      </w:r>
      <w:r w:rsidR="00A27597">
        <w:t xml:space="preserve">: eine Dienstleistung, die mittels Geräten für die elektronische Verarbeitung (einschließlich digitaler Kompression) und Speicherung von Daten am Ausgangspunkt gesendet und am Endpunkt empfangen wird und die vollständig über Draht, über Funk, auf optischem oder anderem elektromagnetischem Wege gesendet, weitergeleitet und empfangen wird; </w:t>
      </w:r>
    </w:p>
    <w:p w:rsidR="00A27597" w:rsidRDefault="000E585A" w:rsidP="000E585A">
      <w:pPr>
        <w:pStyle w:val="GesAbsatz"/>
        <w:tabs>
          <w:tab w:val="clear" w:pos="425"/>
        </w:tabs>
        <w:ind w:left="851" w:hanging="425"/>
      </w:pPr>
      <w:r>
        <w:t>-</w:t>
      </w:r>
      <w:r>
        <w:tab/>
        <w:t>„</w:t>
      </w:r>
      <w:r w:rsidR="00A27597">
        <w:t>auf individuellen Abruf eines Empfängers erbrachte Dienstleistung</w:t>
      </w:r>
      <w:r>
        <w:t>“</w:t>
      </w:r>
      <w:r w:rsidR="00A27597">
        <w:t xml:space="preserve">: eine Dienstleistung, die durch die Übertragung von Daten auf individuelle Anforderung erbracht wird. </w:t>
      </w:r>
    </w:p>
    <w:p w:rsidR="00A27597" w:rsidRDefault="00A27597">
      <w:pPr>
        <w:pStyle w:val="GesAbsatz"/>
        <w:ind w:firstLine="426"/>
      </w:pPr>
      <w:r>
        <w:t xml:space="preserve">Eine Beispielliste der nicht unter diese Definition fallenden Dienste findet sich in Anhang V. </w:t>
      </w:r>
    </w:p>
    <w:p w:rsidR="00A27597" w:rsidRDefault="00A27597">
      <w:pPr>
        <w:pStyle w:val="GesAbsatz"/>
        <w:ind w:firstLine="426"/>
      </w:pPr>
      <w:r>
        <w:t xml:space="preserve">Diese Richtlinie findet keine Anwendung auf: </w:t>
      </w:r>
    </w:p>
    <w:p w:rsidR="00A27597" w:rsidRDefault="000E585A" w:rsidP="000E585A">
      <w:pPr>
        <w:pStyle w:val="GesAbsatz"/>
        <w:tabs>
          <w:tab w:val="clear" w:pos="425"/>
        </w:tabs>
        <w:ind w:left="851" w:hanging="425"/>
      </w:pPr>
      <w:r>
        <w:t>-</w:t>
      </w:r>
      <w:r>
        <w:tab/>
      </w:r>
      <w:r w:rsidR="00A27597">
        <w:t xml:space="preserve">Hörfunkdienste; </w:t>
      </w:r>
    </w:p>
    <w:p w:rsidR="00A27597" w:rsidRDefault="000E585A" w:rsidP="000E585A">
      <w:pPr>
        <w:pStyle w:val="GesAbsatz"/>
        <w:tabs>
          <w:tab w:val="clear" w:pos="425"/>
        </w:tabs>
        <w:ind w:left="851" w:hanging="425"/>
      </w:pPr>
      <w:r>
        <w:lastRenderedPageBreak/>
        <w:t>-</w:t>
      </w:r>
      <w:r>
        <w:tab/>
      </w:r>
      <w:r w:rsidR="00A27597">
        <w:t>Fernsehdienste gemäß Artikel 1 Buchstabe a) der Richtlinie 89/552/EWG</w:t>
      </w:r>
      <w:r w:rsidR="009110F3">
        <w:rPr>
          <w:rStyle w:val="Funotenzeichen"/>
        </w:rPr>
        <w:footnoteReference w:id="1"/>
      </w:r>
      <w:r w:rsidR="00A27597">
        <w:t xml:space="preserve">. </w:t>
      </w:r>
    </w:p>
    <w:p w:rsidR="000E585A" w:rsidRDefault="000E585A" w:rsidP="000E585A">
      <w:pPr>
        <w:pStyle w:val="GesAbsatz"/>
        <w:tabs>
          <w:tab w:val="clear" w:pos="425"/>
        </w:tabs>
        <w:ind w:left="426" w:hanging="426"/>
      </w:pPr>
      <w:r>
        <w:t>3.</w:t>
      </w:r>
      <w:r>
        <w:tab/>
        <w:t>„</w:t>
      </w:r>
      <w:r w:rsidR="00A27597">
        <w:t>technische Spezifikation</w:t>
      </w:r>
      <w:r>
        <w:t>“</w:t>
      </w:r>
      <w:r w:rsidR="00A27597">
        <w:t>: Spezifikation, die in einem Schriftstück enthalten ist, das Merkmale für ein Erzeugnis vorschreibt, wie Qualitätsstufen, Gebrauchstauglichkeit, Sicherheit oder Abmessungen, einschließlich der Vorschriften über Verkaufsbezeichnung, Terminologie, Symbole, Prüfungen und Prüfverfahren, Verpackung, Kennzeichnung und Beschriftung des Erzeugnisses sowie über Konformitätsbewertungsverfahren.</w:t>
      </w:r>
    </w:p>
    <w:p w:rsidR="00A27597" w:rsidRDefault="00A27597" w:rsidP="000E585A">
      <w:pPr>
        <w:pStyle w:val="GesAbsatz"/>
        <w:tabs>
          <w:tab w:val="clear" w:pos="425"/>
        </w:tabs>
        <w:ind w:left="426"/>
      </w:pPr>
      <w:r>
        <w:t xml:space="preserve">Unter den Begriff </w:t>
      </w:r>
      <w:r w:rsidR="0078464C">
        <w:t>„</w:t>
      </w:r>
      <w:r>
        <w:t>technische Spezifikation</w:t>
      </w:r>
      <w:r w:rsidR="0078464C">
        <w:t>“</w:t>
      </w:r>
      <w:r>
        <w:t xml:space="preserve"> fallen ferner die Herstellungsmethoden und -verfahren für die landwirtschaftlichen Erzeugnisse gemäß Artikel 38 Absatz 1 des Vertrags, für die Erzeugnisse, die zur menschlichen und tierischen Ernährung bestimmt sind, für die Arzneimittel gemäß Artikel 1 der Richtlinie 65/65/EWG</w:t>
      </w:r>
      <w:r w:rsidR="00DA33C0">
        <w:rPr>
          <w:rStyle w:val="Funotenzeichen"/>
        </w:rPr>
        <w:footnoteReference w:id="2"/>
      </w:r>
      <w:r>
        <w:t xml:space="preserve"> des Rates sowie die Herstellungsmethoden und -verfahren für andere Erzeugnisse, sofern sie die Merkmale dieser Erzeugnisse beeinflussen; </w:t>
      </w:r>
    </w:p>
    <w:p w:rsidR="00A27597" w:rsidRDefault="0078464C" w:rsidP="0078464C">
      <w:pPr>
        <w:pStyle w:val="GesAbsatz"/>
        <w:ind w:left="426" w:hanging="426"/>
      </w:pPr>
      <w:r>
        <w:t>4.</w:t>
      </w:r>
      <w:r>
        <w:tab/>
        <w:t>„</w:t>
      </w:r>
      <w:r w:rsidR="00A27597">
        <w:t>sonstige Vorschrift</w:t>
      </w:r>
      <w:r>
        <w:t>“</w:t>
      </w:r>
      <w:r w:rsidR="00A27597">
        <w:t xml:space="preserve">: eine Vorschrift für ein Erzeugnis, die keine technische Spezifikation ist und insbesondere zum Schutz der Verbraucher oder der Umwelt erlassen wird und den Lebenszyklus des Erzeugnisses nach dem Inverkehrbringen betrifft, wie Vorschriften für Gebrauch, Wiederverwertung, Wiederverwendung oder Beseitigung, sofern diese Vorschriften die Zusammensetzung oder die Art des Erzeugnisses oder seine Vermarktung wesentlich beeinflussen können; </w:t>
      </w:r>
    </w:p>
    <w:p w:rsidR="0078464C" w:rsidRDefault="0078464C" w:rsidP="0078464C">
      <w:pPr>
        <w:pStyle w:val="GesAbsatz"/>
        <w:ind w:left="426" w:hanging="426"/>
      </w:pPr>
      <w:r>
        <w:t>5.</w:t>
      </w:r>
      <w:r>
        <w:tab/>
      </w:r>
      <w:r w:rsidR="00387C7A">
        <w:t>„</w:t>
      </w:r>
      <w:r w:rsidR="00A27597">
        <w:t>Vorschrift betreffend Dienste</w:t>
      </w:r>
      <w:r w:rsidR="00387C7A">
        <w:t>“</w:t>
      </w:r>
      <w:r w:rsidR="00A27597">
        <w:t>: eine allgemein gehaltene Vorschrift über den Zugang zu den Aktivitäten der unter Nummer 2 genannten Dienste und über deren Betreibung, insbesondere Bestimmungen über den Erbringer von Diensten, die Dienste und den Empfänger von Diensten, unter Ausschluß von Regelungen, die nicht speziell auf die unter dieser Nummer definierten Dienste abzielen.</w:t>
      </w:r>
    </w:p>
    <w:p w:rsidR="0078464C" w:rsidRDefault="0078464C" w:rsidP="0078464C">
      <w:pPr>
        <w:pStyle w:val="GesAbsatz"/>
        <w:ind w:left="426" w:hanging="426"/>
      </w:pPr>
      <w:r>
        <w:tab/>
      </w:r>
      <w:r w:rsidR="00A27597">
        <w:t>Diese Richtlinie gilt nicht für Vorschriften über Angelegenheiten, die einer Gemeinschaftsregelung im Bereich der Telekommunikationsdienste im Sinne der Richtlinie 90/387/EWG</w:t>
      </w:r>
      <w:r w:rsidR="009110F3">
        <w:rPr>
          <w:rStyle w:val="Funotenzeichen"/>
        </w:rPr>
        <w:footnoteReference w:id="3"/>
      </w:r>
      <w:r w:rsidR="00A27597">
        <w:t xml:space="preserve"> unterliegen.</w:t>
      </w:r>
    </w:p>
    <w:p w:rsidR="0078464C" w:rsidRDefault="0078464C" w:rsidP="0078464C">
      <w:pPr>
        <w:pStyle w:val="GesAbsatz"/>
        <w:ind w:left="426" w:hanging="426"/>
      </w:pPr>
      <w:r>
        <w:tab/>
      </w:r>
      <w:r w:rsidR="00A27597">
        <w:t>Diese Richtlinie gilt nicht für Vorschriften über Angelegenheiten, die einer Gemeinschaftsregelung im Bereich der in Anhang VI nicht erschöpfend aufgeführten Finanzdienstleistungen unterliegen.</w:t>
      </w:r>
    </w:p>
    <w:p w:rsidR="00A27597" w:rsidRDefault="0078464C" w:rsidP="0078464C">
      <w:pPr>
        <w:pStyle w:val="GesAbsatz"/>
        <w:ind w:left="426" w:hanging="426"/>
      </w:pPr>
      <w:r>
        <w:tab/>
      </w:r>
      <w:r w:rsidR="00A27597">
        <w:t>Diese Richtlinie gilt nicht für Vorschriften, die von geregelten Märkten im Sinne der Richtlinie</w:t>
      </w:r>
      <w:r>
        <w:t> </w:t>
      </w:r>
      <w:r w:rsidR="00A27597">
        <w:t xml:space="preserve">93/22/EWG, anderen Märkten oder Stellen, die auf diesen Märkten Clearing- oder Abrechnungsaufgaben wahrnehmen, erlassen werden oder hierfür gelten; ausgenommen hiervon ist Artikel 8 Absatz 3 der vorliegenden Richtlinie. </w:t>
      </w:r>
    </w:p>
    <w:p w:rsidR="00A27597" w:rsidRDefault="00A27597">
      <w:pPr>
        <w:pStyle w:val="GesAbsatz"/>
        <w:ind w:left="426"/>
      </w:pPr>
      <w:r>
        <w:t xml:space="preserve">Im Sinne dieser Definition </w:t>
      </w:r>
    </w:p>
    <w:p w:rsidR="00A27597" w:rsidRDefault="00195414" w:rsidP="00195414">
      <w:pPr>
        <w:pStyle w:val="GesAbsatz"/>
        <w:tabs>
          <w:tab w:val="clear" w:pos="425"/>
        </w:tabs>
        <w:ind w:left="851" w:hanging="425"/>
      </w:pPr>
      <w:r>
        <w:t>-</w:t>
      </w:r>
      <w:r>
        <w:tab/>
      </w:r>
      <w:r w:rsidR="00A27597">
        <w:t xml:space="preserve">gilt eine Vorschrift als speziell auf Dienste der Informationsgesellschaft abzielend, wenn sie nach ihrer Begründung und ihrem Wortlaut insgesamt oder in Form einzelner Bestimmungen ausdrücklich und gezielt auf die Regelung dieser Dienste abstellt; </w:t>
      </w:r>
    </w:p>
    <w:p w:rsidR="00A27597" w:rsidRDefault="00195414" w:rsidP="00195414">
      <w:pPr>
        <w:pStyle w:val="GesAbsatz"/>
        <w:tabs>
          <w:tab w:val="clear" w:pos="425"/>
        </w:tabs>
        <w:ind w:left="851" w:hanging="425"/>
      </w:pPr>
      <w:r>
        <w:t>-</w:t>
      </w:r>
      <w:r>
        <w:tab/>
      </w:r>
      <w:r w:rsidR="00A27597">
        <w:t xml:space="preserve">ist eine Vorschrift nicht als speziell auf die Dienste der Informationsgesellschaft abzielend zu betrachten, wenn sie sich lediglich indirekt oder im Sinne eines Nebeneffekts auf diese Dienste auswirkt. </w:t>
      </w:r>
    </w:p>
    <w:p w:rsidR="00A27597" w:rsidRDefault="0078464C" w:rsidP="00E42120">
      <w:pPr>
        <w:pStyle w:val="GesAbsatz"/>
        <w:ind w:left="426" w:hanging="426"/>
      </w:pPr>
      <w:r>
        <w:t>6.</w:t>
      </w:r>
      <w:r>
        <w:tab/>
      </w:r>
      <w:r w:rsidR="00A87CC2">
        <w:t>gestrichen</w:t>
      </w:r>
    </w:p>
    <w:p w:rsidR="00A87CC2" w:rsidRDefault="0078464C" w:rsidP="00A87CC2">
      <w:pPr>
        <w:pStyle w:val="GesAbsatz"/>
        <w:ind w:left="426" w:hanging="426"/>
      </w:pPr>
      <w:r>
        <w:t>7.</w:t>
      </w:r>
      <w:r>
        <w:tab/>
      </w:r>
      <w:r w:rsidR="00A87CC2">
        <w:t>gestrichen</w:t>
      </w:r>
    </w:p>
    <w:p w:rsidR="00A87CC2" w:rsidRDefault="0078464C" w:rsidP="00A87CC2">
      <w:pPr>
        <w:pStyle w:val="GesAbsatz"/>
        <w:ind w:left="426" w:hanging="426"/>
      </w:pPr>
      <w:r>
        <w:t>8</w:t>
      </w:r>
      <w:r>
        <w:tab/>
      </w:r>
      <w:r w:rsidR="00A87CC2">
        <w:t>gestrichen</w:t>
      </w:r>
    </w:p>
    <w:p w:rsidR="00A87CC2" w:rsidRDefault="0078464C" w:rsidP="00A87CC2">
      <w:pPr>
        <w:pStyle w:val="GesAbsatz"/>
        <w:ind w:left="426" w:hanging="426"/>
      </w:pPr>
      <w:r>
        <w:t>9.</w:t>
      </w:r>
      <w:r>
        <w:tab/>
      </w:r>
      <w:r w:rsidR="00A87CC2">
        <w:t>gestrichen</w:t>
      </w:r>
    </w:p>
    <w:p w:rsidR="00A87CC2" w:rsidRDefault="0078464C" w:rsidP="00A87CC2">
      <w:pPr>
        <w:pStyle w:val="GesAbsatz"/>
        <w:ind w:left="426" w:hanging="426"/>
      </w:pPr>
      <w:r>
        <w:t>10</w:t>
      </w:r>
      <w:r>
        <w:tab/>
      </w:r>
      <w:r w:rsidR="00A87CC2">
        <w:t>gestrichen</w:t>
      </w:r>
    </w:p>
    <w:p w:rsidR="00BA51BE" w:rsidRDefault="0078464C">
      <w:pPr>
        <w:pStyle w:val="GesAbsatz"/>
        <w:ind w:left="426" w:hanging="426"/>
      </w:pPr>
      <w:r>
        <w:t>11.</w:t>
      </w:r>
      <w:r>
        <w:tab/>
      </w:r>
      <w:r w:rsidR="00195414">
        <w:t>„</w:t>
      </w:r>
      <w:r w:rsidR="00A27597">
        <w:t>Technische Vorschrift</w:t>
      </w:r>
      <w:r w:rsidR="00BA51BE">
        <w:t>“</w:t>
      </w:r>
      <w:r w:rsidR="00A27597">
        <w:t xml:space="preserve">: Technische Spezifikationen oder sonstige Vorschriften oder Vorschriften betreffend Dienste, einschließlich der einschlägigen Verwaltungsvorschriften, deren Beachtung rechtlich oder de facto für das Inverkehrbringen, die Erbringung des Dienstes, die Niederlassung eines Erbringers von Diensten oder die Verwendung in einem Mitgliedstaat oder in einem großen Teil dieses Staates verbindlich ist, sowie </w:t>
      </w:r>
      <w:r>
        <w:t>–</w:t>
      </w:r>
      <w:r w:rsidR="00A27597">
        <w:t xml:space="preserve"> vorbehaltlich der in Artikel 10 genannten Bestimmungen </w:t>
      </w:r>
      <w:r>
        <w:t>–</w:t>
      </w:r>
      <w:r w:rsidR="00A27597">
        <w:t xml:space="preserve"> die Rechts- und Verwaltungsvorschriften der Mitgliedstaaten, mit denen Herstellung, Einfuhr, Inverkehrbringen oder Verwendung eines Erzeugnisses oder Erbringung oder Nutzung eines Dienstes oder die Niederlassung als Erbringe</w:t>
      </w:r>
      <w:r w:rsidR="00BA51BE">
        <w:t>r von Diensten verboten werden.</w:t>
      </w:r>
    </w:p>
    <w:p w:rsidR="00A27597" w:rsidRDefault="00BA51BE" w:rsidP="00BA51BE">
      <w:pPr>
        <w:pStyle w:val="GesAbsatz"/>
        <w:ind w:left="426" w:hanging="426"/>
      </w:pPr>
      <w:r>
        <w:tab/>
      </w:r>
      <w:r w:rsidR="00A27597">
        <w:t xml:space="preserve">Technische De-facto-Vorschriften sind insbesondere: </w:t>
      </w:r>
    </w:p>
    <w:p w:rsidR="00A27597" w:rsidRDefault="00BA51BE" w:rsidP="00BA51BE">
      <w:pPr>
        <w:pStyle w:val="GesAbsatz"/>
        <w:tabs>
          <w:tab w:val="clear" w:pos="425"/>
        </w:tabs>
        <w:ind w:left="851" w:hanging="425"/>
      </w:pPr>
      <w:r>
        <w:lastRenderedPageBreak/>
        <w:t>-</w:t>
      </w:r>
      <w:r>
        <w:tab/>
      </w:r>
      <w:r w:rsidR="00A27597">
        <w:t xml:space="preserve">die Rechts- oder Verwaltungsvorschriften eines Mitgliedstaats, in denen entweder auf technische Spezifikationen oder sonstige Vorschriften oder auf Vorschriften betreffend Dienste oder auf Berufskodizes oder Verhaltenskodizes, die ihrerseits einen Verweis auf technische Spezifikationen oder sonstige Vorschriften oder auf Vorschriften betreffend Dienste enthalten, verwiesen wird und deren Einhaltung eine Konformität mit den durch die genannten Rechts- oder Verwaltungsvorschriften festgelegten Bestimmungen vermuten </w:t>
      </w:r>
      <w:r>
        <w:t>l</w:t>
      </w:r>
      <w:r w:rsidR="0078464C">
        <w:t>ässt</w:t>
      </w:r>
      <w:r w:rsidR="00A27597">
        <w:t xml:space="preserve">; </w:t>
      </w:r>
    </w:p>
    <w:p w:rsidR="00A27597" w:rsidRDefault="00BA51BE" w:rsidP="00BA51BE">
      <w:pPr>
        <w:pStyle w:val="GesAbsatz"/>
        <w:tabs>
          <w:tab w:val="clear" w:pos="425"/>
        </w:tabs>
        <w:ind w:left="851" w:hanging="425"/>
      </w:pPr>
      <w:r>
        <w:t>-</w:t>
      </w:r>
      <w:r>
        <w:tab/>
      </w:r>
      <w:r w:rsidR="00A27597">
        <w:t xml:space="preserve">die freiwilligen Vereinbarungen, bei denen der Staat Vertragspartei ist und die im öffentlichen Interesse die Einhaltung von technischen Spezifikationen oder sonstigen Vorschriften oder von Vorschriften betreffend Dienste mit Ausnahme der Vergabevorschriften im öffentlichen Beschaffungswesen bezwecken; </w:t>
      </w:r>
    </w:p>
    <w:p w:rsidR="00A27597" w:rsidRDefault="00BA51BE" w:rsidP="00BA51BE">
      <w:pPr>
        <w:pStyle w:val="GesAbsatz"/>
        <w:tabs>
          <w:tab w:val="clear" w:pos="425"/>
        </w:tabs>
        <w:ind w:left="851" w:hanging="425"/>
      </w:pPr>
      <w:r>
        <w:t>-</w:t>
      </w:r>
      <w:r>
        <w:tab/>
      </w:r>
      <w:r w:rsidR="00A27597">
        <w:t xml:space="preserve">die technischen Spezifikationen oder sonstigen Vorschriften oder die Vorschriften betreffend Dienste, die mit steuerlichen oder finanziellen Maßnahmen verbunden sind, die auf den Verbrauch der Erzeugnisse oder die Inanspruchnahme der Dienste Einfluß haben, indem sie die Einhaltung dieser technischen Spezifikationen oder sonstigen Vorschriften oder Vorschriften betreffend Dienste fördern; dies gilt nicht für technische Spezifikationen oder sonstige Vorschriften oder Vorschriften betreffend Dienste, die die nationalen Systeme der sozialen Sicherheit betreffen. </w:t>
      </w:r>
    </w:p>
    <w:p w:rsidR="00A27597" w:rsidRDefault="00A27597">
      <w:pPr>
        <w:pStyle w:val="GesAbsatz"/>
        <w:tabs>
          <w:tab w:val="clear" w:pos="425"/>
        </w:tabs>
        <w:ind w:left="426"/>
      </w:pPr>
      <w:r>
        <w:t xml:space="preserve">Dies betrifft die technischen Vorschriften, die von den durch die Mitgliedstaaten benannten Behörden festgelegt werden und in einer von der Kommission vor dem 5. August 1999 im Rahmen des Ausschusses nach Artikel 5 zu erstellenden Liste aufgeführt sind. </w:t>
      </w:r>
    </w:p>
    <w:p w:rsidR="00A27597" w:rsidRDefault="00A27597">
      <w:pPr>
        <w:pStyle w:val="GesAbsatz"/>
        <w:ind w:firstLine="426"/>
      </w:pPr>
      <w:r>
        <w:t xml:space="preserve">Änderungen dieser Liste werden nach demselben Verfahren vorgenommen. </w:t>
      </w:r>
    </w:p>
    <w:p w:rsidR="00BA51BE" w:rsidRDefault="0078464C" w:rsidP="00BA51BE">
      <w:pPr>
        <w:pStyle w:val="GesAbsatz"/>
        <w:ind w:left="426" w:hanging="426"/>
      </w:pPr>
      <w:r>
        <w:t>12.</w:t>
      </w:r>
      <w:r>
        <w:tab/>
      </w:r>
      <w:r w:rsidR="00BA51BE">
        <w:t>„</w:t>
      </w:r>
      <w:r w:rsidR="00A27597">
        <w:t>Entwurf einer technischen Vorschrift</w:t>
      </w:r>
      <w:r w:rsidR="00BA51BE">
        <w:t>“</w:t>
      </w:r>
      <w:r w:rsidR="00A27597">
        <w:t xml:space="preserve">: Wortlaut einer technischen Spezifikation oder einer sonstigen Vorschrift oder einer Vorschrift betreffend Dienste einschließlich Verwaltungsvorschriften, der ausgearbeitet worden ist, um diese als technische Vorschrift festzuschreiben oder letztlich festschreiben zu lassen, und der sich im Stadium der Ausarbeitung befindet, in dem noch wesentliche Änderungen möglich sind. </w:t>
      </w:r>
    </w:p>
    <w:p w:rsidR="00A27597" w:rsidRDefault="00BA51BE" w:rsidP="00BA51BE">
      <w:pPr>
        <w:pStyle w:val="GesAbsatz"/>
        <w:ind w:left="426" w:hanging="426"/>
      </w:pPr>
      <w:r>
        <w:tab/>
      </w:r>
      <w:r w:rsidR="00A27597">
        <w:t xml:space="preserve">Diese Richtlinie gilt nicht für Maßnahmen, die die Mitgliedstaaten im Rahmen des Vertrags zum Schutz von Personen, insbesondere der Arbeitnehmer, bei der Verwendung von Erzeugnissen für erforderlich halten, sofern diese Maßnahmen keine Auswirkungen auf die Erzeugnisse haben. </w:t>
      </w:r>
    </w:p>
    <w:p w:rsidR="00A27597" w:rsidRDefault="00A27597">
      <w:pPr>
        <w:pStyle w:val="berschrift2"/>
      </w:pPr>
      <w:bookmarkStart w:id="3" w:name="_Toc383072491"/>
      <w:r w:rsidRPr="00BA51BE">
        <w:t>Artikel 2</w:t>
      </w:r>
      <w:r w:rsidR="00A87CC2">
        <w:br/>
      </w:r>
      <w:r w:rsidR="00A87CC2" w:rsidRPr="00A87CC2">
        <w:t>gestrichen</w:t>
      </w:r>
      <w:bookmarkEnd w:id="3"/>
      <w:r w:rsidR="00A87CC2">
        <w:br/>
      </w:r>
      <w:bookmarkStart w:id="4" w:name="_Toc383072492"/>
      <w:r>
        <w:t xml:space="preserve">Artikel </w:t>
      </w:r>
      <w:r w:rsidR="00A87CC2">
        <w:t>3</w:t>
      </w:r>
      <w:r w:rsidR="00A87CC2">
        <w:br/>
      </w:r>
      <w:r w:rsidR="00A87CC2" w:rsidRPr="00A87CC2">
        <w:t>gestrichen</w:t>
      </w:r>
      <w:bookmarkEnd w:id="4"/>
    </w:p>
    <w:p w:rsidR="00A27597" w:rsidRDefault="00A27597" w:rsidP="007F5F6A">
      <w:pPr>
        <w:pStyle w:val="berschrift2"/>
      </w:pPr>
      <w:bookmarkStart w:id="5" w:name="_Toc383072493"/>
      <w:r>
        <w:t>Artikel 4</w:t>
      </w:r>
      <w:r w:rsidR="00A87CC2">
        <w:br/>
      </w:r>
      <w:r w:rsidR="00A87CC2" w:rsidRPr="00A87CC2">
        <w:t>gestrichen</w:t>
      </w:r>
      <w:bookmarkEnd w:id="5"/>
    </w:p>
    <w:p w:rsidR="00A27597" w:rsidRDefault="00A27597" w:rsidP="007F5F6A">
      <w:pPr>
        <w:pStyle w:val="berschrift2"/>
      </w:pPr>
      <w:bookmarkStart w:id="6" w:name="_Toc383072494"/>
      <w:r>
        <w:t>Artikel 5</w:t>
      </w:r>
      <w:bookmarkEnd w:id="6"/>
      <w:r>
        <w:t xml:space="preserve"> </w:t>
      </w:r>
    </w:p>
    <w:p w:rsidR="00A27597" w:rsidRDefault="00A27597">
      <w:pPr>
        <w:pStyle w:val="GesAbsatz"/>
      </w:pPr>
      <w:r>
        <w:t xml:space="preserve">Es wird ein Ständiger Ausschuß aus von den Mitgliedstaaten ernannten Vertretern eingesetzt; diese können sich durch Sachverständige oder Berater unterstützen lassen; den Vorsitz im Ausschuß führt ein Vertreter der Kommission. </w:t>
      </w:r>
    </w:p>
    <w:p w:rsidR="00A27597" w:rsidRDefault="00A27597">
      <w:pPr>
        <w:pStyle w:val="GesAbsatz"/>
      </w:pPr>
      <w:r>
        <w:t xml:space="preserve">Der Ausschuß gibt sich eine Geschäftsordnung. </w:t>
      </w:r>
    </w:p>
    <w:p w:rsidR="00A27597" w:rsidRDefault="00A27597" w:rsidP="007F5F6A">
      <w:pPr>
        <w:pStyle w:val="berschrift2"/>
      </w:pPr>
      <w:bookmarkStart w:id="7" w:name="_Toc383072495"/>
      <w:r>
        <w:t>Artikel 6</w:t>
      </w:r>
      <w:bookmarkEnd w:id="7"/>
      <w:r>
        <w:t xml:space="preserve"> </w:t>
      </w:r>
    </w:p>
    <w:p w:rsidR="00A27597" w:rsidRDefault="00A27597">
      <w:pPr>
        <w:pStyle w:val="GesAbsatz"/>
      </w:pPr>
      <w:r>
        <w:t xml:space="preserve">(1) Der Ausschuß hält mindestens zweimal im Jahr Sitzungen ab. </w:t>
      </w:r>
    </w:p>
    <w:p w:rsidR="00A27597" w:rsidRDefault="00A27597">
      <w:pPr>
        <w:pStyle w:val="GesAbsatz"/>
      </w:pPr>
      <w:r>
        <w:t xml:space="preserve">Der Ausschuß tritt in besonderer Zusammensetzung zur Prüfung der Fragen in bezug auf die Dienste der Informationsgesellschaft zusammen. </w:t>
      </w:r>
    </w:p>
    <w:p w:rsidR="00A27597" w:rsidRDefault="00A27597">
      <w:pPr>
        <w:pStyle w:val="GesAbsatz"/>
      </w:pPr>
      <w:r>
        <w:t xml:space="preserve">(2) Die Kommission legt dem Ausschuß einen Bericht über die Einführung und Anwendung der Verfahren nach diese Richtlinie vor und unterbreitet ihm Vorschläge zur Beseitigung der bestehenden oder voraussichtlichen Handelshemmnisse. </w:t>
      </w:r>
    </w:p>
    <w:p w:rsidR="00A27597" w:rsidRDefault="00A27597">
      <w:pPr>
        <w:pStyle w:val="GesAbsatz"/>
      </w:pPr>
      <w:r>
        <w:t xml:space="preserve">(3) Der Ausschuß nimmt zu den Mitteilungen und Vorschlägen nach Absatz 2 Stellung, wobei er gegenüber der Kommission insbesondere anregen kann, </w:t>
      </w:r>
    </w:p>
    <w:p w:rsidR="00A27597" w:rsidRDefault="00E27CD1" w:rsidP="00E27CD1">
      <w:pPr>
        <w:pStyle w:val="GesAbsatz"/>
        <w:ind w:left="426" w:hanging="426"/>
      </w:pPr>
      <w:r>
        <w:t>-</w:t>
      </w:r>
      <w:r>
        <w:tab/>
      </w:r>
      <w:r w:rsidR="00A27597">
        <w:t xml:space="preserve">die europäischen Normungsgremien zu ersuchen, innerhalb einer bestimmten Frist eine europäische Norm zu erarbeiten; </w:t>
      </w:r>
    </w:p>
    <w:p w:rsidR="00A27597" w:rsidRDefault="00E27CD1" w:rsidP="00E27CD1">
      <w:pPr>
        <w:pStyle w:val="GesAbsatz"/>
        <w:ind w:left="426" w:hanging="426"/>
      </w:pPr>
      <w:r>
        <w:lastRenderedPageBreak/>
        <w:t>-</w:t>
      </w:r>
      <w:r>
        <w:tab/>
      </w:r>
      <w:r w:rsidR="00A27597">
        <w:t xml:space="preserve">darauf hinzuwirken, daß die betroffenen Mitgliedstaaten zur Verhinderung von Handelshemmnissen gegebenenfalls zunächst untereinander geeignete Schritte beschließen; </w:t>
      </w:r>
    </w:p>
    <w:p w:rsidR="00A27597" w:rsidRDefault="00E27CD1" w:rsidP="00E27CD1">
      <w:pPr>
        <w:pStyle w:val="GesAbsatz"/>
        <w:ind w:left="426" w:hanging="426"/>
      </w:pPr>
      <w:r>
        <w:t>-</w:t>
      </w:r>
      <w:r>
        <w:tab/>
      </w:r>
      <w:r w:rsidR="00A27597">
        <w:t xml:space="preserve">alle angemessenen Maßnahmen zu ergreifen; </w:t>
      </w:r>
    </w:p>
    <w:p w:rsidR="00A27597" w:rsidRDefault="00E27CD1" w:rsidP="00E27CD1">
      <w:pPr>
        <w:pStyle w:val="GesAbsatz"/>
        <w:ind w:left="426" w:hanging="426"/>
      </w:pPr>
      <w:r>
        <w:t>-</w:t>
      </w:r>
      <w:r>
        <w:tab/>
      </w:r>
      <w:r w:rsidR="00A27597">
        <w:t xml:space="preserve">die Gebiete zu ermitteln, für die sich eine Harmonisierung als notwendig erweist, und gegebenenfalls die entsprechenden Arbeiten zur Harmonisierung in einem bestimmten Bereich aufzunehmen. </w:t>
      </w:r>
    </w:p>
    <w:p w:rsidR="00A27597" w:rsidRDefault="00A27597">
      <w:pPr>
        <w:pStyle w:val="GesAbsatz"/>
      </w:pPr>
      <w:r>
        <w:t xml:space="preserve">(4) Der Ausschuß ist von der Kommission anzuhören </w:t>
      </w:r>
    </w:p>
    <w:p w:rsidR="00A27597" w:rsidRDefault="00E27CD1" w:rsidP="00E27CD1">
      <w:pPr>
        <w:pStyle w:val="GesAbsatz"/>
        <w:ind w:left="426" w:hanging="426"/>
      </w:pPr>
      <w:r>
        <w:t>a)</w:t>
      </w:r>
      <w:r>
        <w:tab/>
      </w:r>
      <w:r w:rsidR="0041250A" w:rsidRPr="00A87CC2">
        <w:t>gestrichen</w:t>
      </w:r>
    </w:p>
    <w:p w:rsidR="00A27597" w:rsidRDefault="00E27CD1" w:rsidP="00E27CD1">
      <w:pPr>
        <w:pStyle w:val="GesAbsatz"/>
        <w:ind w:left="426" w:hanging="426"/>
      </w:pPr>
      <w:r>
        <w:t>b)</w:t>
      </w:r>
      <w:r>
        <w:tab/>
      </w:r>
      <w:r w:rsidR="0041250A" w:rsidRPr="00A87CC2">
        <w:t>gestrichen</w:t>
      </w:r>
    </w:p>
    <w:p w:rsidR="00A27597" w:rsidRDefault="00E27CD1" w:rsidP="00E27CD1">
      <w:pPr>
        <w:pStyle w:val="GesAbsatz"/>
        <w:ind w:left="426" w:hanging="426"/>
      </w:pPr>
      <w:r>
        <w:t>c)</w:t>
      </w:r>
      <w:r>
        <w:tab/>
      </w:r>
      <w:r w:rsidR="00A27597">
        <w:t xml:space="preserve">bei der Wahl des praktischen Systems für den in dieser Richtlinie vorgesehenen Informationsaustausch sowie bei etwaigen Änderungen desselben; </w:t>
      </w:r>
    </w:p>
    <w:p w:rsidR="00A27597" w:rsidRDefault="00E27CD1" w:rsidP="00E27CD1">
      <w:pPr>
        <w:pStyle w:val="GesAbsatz"/>
        <w:ind w:left="426" w:hanging="426"/>
      </w:pPr>
      <w:r>
        <w:t>d)</w:t>
      </w:r>
      <w:r>
        <w:tab/>
      </w:r>
      <w:r w:rsidR="00A27597">
        <w:t xml:space="preserve">bei der Überprüfung der Arbeitsweise des aufgrund dieser Richtlinie geschaffenen Systems; </w:t>
      </w:r>
    </w:p>
    <w:p w:rsidR="00A27597" w:rsidRDefault="00E27CD1" w:rsidP="00E27CD1">
      <w:pPr>
        <w:pStyle w:val="GesAbsatz"/>
        <w:ind w:left="426" w:hanging="426"/>
      </w:pPr>
      <w:r>
        <w:t>e)</w:t>
      </w:r>
      <w:r>
        <w:tab/>
      </w:r>
      <w:r w:rsidR="0041250A" w:rsidRPr="00A87CC2">
        <w:t>gestrichen</w:t>
      </w:r>
    </w:p>
    <w:p w:rsidR="00A27597" w:rsidRDefault="00A27597">
      <w:pPr>
        <w:pStyle w:val="GesAbsatz"/>
      </w:pPr>
      <w:r>
        <w:t xml:space="preserve">(5) Der Ausschuß kann von der Kommission zu jedem ihr vorgelegten Vorentwurf einer technischen Vorschrift angehört werden. </w:t>
      </w:r>
    </w:p>
    <w:p w:rsidR="00A27597" w:rsidRDefault="00A27597">
      <w:pPr>
        <w:pStyle w:val="GesAbsatz"/>
      </w:pPr>
      <w:r>
        <w:t xml:space="preserve">(6) Der Ausschuß kann sich auf Antrag seines Vorsitzenden oder eines Mitgliedstaats mit jeder Frage im Zusammenhang mit der Durchführung dieser Richtlinie befassen. </w:t>
      </w:r>
    </w:p>
    <w:p w:rsidR="00A27597" w:rsidRDefault="00A27597">
      <w:pPr>
        <w:pStyle w:val="GesAbsatz"/>
      </w:pPr>
      <w:r>
        <w:t xml:space="preserve">(7) Die Arbeiten des Ausschusses und die ihm zur Verfügung zu stellenden Informationen sind vertraulich. </w:t>
      </w:r>
    </w:p>
    <w:p w:rsidR="00A27597" w:rsidRDefault="00A27597">
      <w:pPr>
        <w:pStyle w:val="GesAbsatz"/>
      </w:pPr>
      <w:r>
        <w:t xml:space="preserve">Der Ausschuß und die einzelstaatlichen Verwaltungen können jedoch unter Anwendung der nötigen Vorsichtsmaßnahmen natürliche und juristische Personen, die auch dem Privatsektor angehören können, als Sachverständige anhören. </w:t>
      </w:r>
    </w:p>
    <w:p w:rsidR="00A27597" w:rsidRDefault="00A27597">
      <w:pPr>
        <w:pStyle w:val="GesAbsatz"/>
      </w:pPr>
      <w:r>
        <w:t>(8) In bezug auf die Vorschriften betreffend Dienste können die Kommission und der Ausschuß natürliche oder juristische Personen aus Industrie oder Wissenschaft und, wenn möglich, repräsentative Gremien anhören, die in der Lage sind, ein Gutachten über die sozialen und gesellschaftlichen Ziele und Konsequenzen aller Entwürfe von Vorschriften betreffend Dienste abzugeben, und deren Stellungnahmen berücksichtigen, wen</w:t>
      </w:r>
      <w:r w:rsidR="00E27CD1">
        <w:t>n sie dazu aufgefordert werden.</w:t>
      </w:r>
    </w:p>
    <w:p w:rsidR="00A27597" w:rsidRDefault="00A27597" w:rsidP="00E27CD1">
      <w:pPr>
        <w:pStyle w:val="berschrift2"/>
      </w:pPr>
      <w:bookmarkStart w:id="8" w:name="_Toc383072496"/>
      <w:r>
        <w:t>Artikel 7</w:t>
      </w:r>
      <w:bookmarkEnd w:id="8"/>
      <w:r>
        <w:t xml:space="preserve"> </w:t>
      </w:r>
    </w:p>
    <w:p w:rsidR="00A27597" w:rsidRDefault="0041250A">
      <w:pPr>
        <w:pStyle w:val="GesAbsatz"/>
      </w:pPr>
      <w:r w:rsidRPr="0041250A">
        <w:t>Die Mitgliedstaaten übermitteln der Kommission gemäß Artikel 8 Absatz 1 sämtliche Aufträge an Normungsorganisationen zur Ausarbeitung technischer Spezifikationen oder einer Norm für bestimmte Erzeugnisse zwecks Festlegung einer technischen Vorschrift für diese Erzeugnisse in Form von Entwürfen technischer Vorschriften und geben dabei die Gründe der Festlegung an.</w:t>
      </w:r>
    </w:p>
    <w:p w:rsidR="00A27597" w:rsidRDefault="00A27597" w:rsidP="00E27CD1">
      <w:pPr>
        <w:pStyle w:val="berschrift2"/>
      </w:pPr>
      <w:bookmarkStart w:id="9" w:name="_Toc383072497"/>
      <w:r>
        <w:t>Artikel 8</w:t>
      </w:r>
      <w:bookmarkEnd w:id="9"/>
      <w:r>
        <w:t xml:space="preserve"> </w:t>
      </w:r>
    </w:p>
    <w:p w:rsidR="00A27597" w:rsidRDefault="00A27597">
      <w:pPr>
        <w:pStyle w:val="GesAbsatz"/>
      </w:pPr>
      <w:r>
        <w:t xml:space="preserve">(1) Vorbehaltlich des Artikels 10 übermitteln die Mitgliedstaaten der Kommission unverzüglich jeden Entwurf einer technischen Vorschrift, sofern es sich nicht um eine vollständige Übertragung einer internationalen oder europäischen Norm handelt; in diesem Fall reicht die Mitteilung aus, um welche Norm es sich handelt. Sie unterrichten die Kommission gleichzeitig in einer Mitteilung über die Gründe, die die Festlegung einer derartigen technischen Vorschrift erforderlich machen, es sei denn, die Gründe gehen bereits aus dem Entwurf hervor. </w:t>
      </w:r>
    </w:p>
    <w:p w:rsidR="00A27597" w:rsidRDefault="00A27597">
      <w:pPr>
        <w:pStyle w:val="GesAbsatz"/>
      </w:pPr>
      <w:r>
        <w:t xml:space="preserve">Gegebenenfalls - sofern dies noch nicht bei einer früheren Mitteilung geschehen ist - übermitteln die Mitgliedstaaten gleichzeitig den Wortlaut der hauptsächlich und unmittelbar betroffenen grundlegenden Rechts- und Verwaltungsvorschriften, wenn deren Wortlaut für die Beurteilung der Tragweite des Entwurfs einer technischen Vorschrift notwendig ist. </w:t>
      </w:r>
    </w:p>
    <w:p w:rsidR="00A27597" w:rsidRDefault="00A27597">
      <w:pPr>
        <w:pStyle w:val="GesAbsatz"/>
      </w:pPr>
      <w:r>
        <w:t xml:space="preserve">Die Mitgliedstaaten machen eine weitere Mitteilung in der vorgenannten Art und Weise, wenn sie an dem Entwurf einer technischen Vorschrift wesentliche Änderungen vornehmen, die den Anwendungsbereich ändern, den ursprünglichen Zeitpunkt für die Anwendung vorverlegen, Spezifikationen oder Vorschriften hinzufügen oder verschärfen. </w:t>
      </w:r>
    </w:p>
    <w:p w:rsidR="00A27597" w:rsidRDefault="00A27597">
      <w:pPr>
        <w:pStyle w:val="GesAbsatz"/>
      </w:pPr>
      <w:r>
        <w:t xml:space="preserve">Zielt der Entwurf einer technischen Vorschrift insbesondere darauf ab, das Inverkehrbringen oder die Verwendung eines Stoffes, einer Zubereitung oder eines chemischen Erzeugnisses aus Gründen des Gesundheits-, Verbraucher- oder Umweltschutzes einzuschränken, so übermitteln die Mitgliedstaaten, sofern verfügbar, ebenfalls eine Zusammenfassung aller zweckdienlichen Angaben über die betroffenen Stoffe, Zubereitungen oder Erzeugnisse sowie über bekannte und erhältliche Substitutionsprodukte oder die Fundstellen dieser Angaben sowie Angaben über die zu erwartenden Auswirkungen dieser Maßnahme auf Gesundheits-, Verbraucher- und Umweltschutz, sofern zweckmäßig mit einer Risikoanalyse, die im Fall eines bereits existierenden </w:t>
      </w:r>
      <w:r>
        <w:lastRenderedPageBreak/>
        <w:t>Stoffes nach den allgemeinen Grundsätzen für die Beurteilung der Gefahren chemischer Erzeugnisse im Sinne des Artikels 10 Absatz 4 der Verordnung (EWG) Nr. 793/93</w:t>
      </w:r>
      <w:r w:rsidR="00E27CD1">
        <w:rPr>
          <w:rStyle w:val="Funotenzeichen"/>
        </w:rPr>
        <w:footnoteReference w:id="4"/>
      </w:r>
      <w:r>
        <w:t xml:space="preserve"> und im Fall eines neuen Stoffes nach den Grundsätzen im Sinne des Artikels 3 Absatz 2 der Richtlinie 67/548/EWG</w:t>
      </w:r>
      <w:r w:rsidR="00E27CD1">
        <w:rPr>
          <w:rStyle w:val="Funotenzeichen"/>
        </w:rPr>
        <w:footnoteReference w:id="5"/>
      </w:r>
      <w:r w:rsidR="00E27CD1">
        <w:t xml:space="preserve"> durchgeführt wird.</w:t>
      </w:r>
    </w:p>
    <w:p w:rsidR="00A27597" w:rsidRDefault="00A27597">
      <w:pPr>
        <w:pStyle w:val="GesAbsatz"/>
      </w:pPr>
      <w:r>
        <w:t xml:space="preserve">Die Kommission unterrichtet die anderen Mitgliedstaaten unverzüglich über den Entwurf einer technischen Vorschrift und alle ihr zugegangenen Dokumente. Sie kann den Entwurf auch dem nach Artikel 5 eingesetzten Ausschuß und gegebenenfalls dem jeweils zuständigen Ausschuß zur Stellungnahme vorlegen. </w:t>
      </w:r>
    </w:p>
    <w:p w:rsidR="00A27597" w:rsidRDefault="00A27597">
      <w:pPr>
        <w:pStyle w:val="GesAbsatz"/>
      </w:pPr>
      <w:r>
        <w:t xml:space="preserve">In bezug auf die technischen Spezifikationen oder sonstigen Vorschriften oder Vorschriften betreffend Dienste nach Artikel 1 Nummer 11 Absatz 2 dritter Gedankenstrich können die Bemerkungen oder ausführlichen Stellungnahmen der Kommission oder der Mitgliedstaaten sich nur auf diejenigen Aspekte der Maßnahme, die möglicherweise ein Handelshemmnis oder - in bezug auf Vorschriften betreffend Dienste - ein Hindernis für den freien Dienstleistungsverkehr oder die Niederlassungsfreiheit von Betreibern darstellen, nicht aber auf den steuerlichen oder finanziellen Aspekt der Maßnahme beziehen. </w:t>
      </w:r>
    </w:p>
    <w:p w:rsidR="00A27597" w:rsidRDefault="00A27597">
      <w:pPr>
        <w:pStyle w:val="GesAbsatz"/>
      </w:pPr>
      <w:r>
        <w:t xml:space="preserve">(2) Die Kommission und die Mitgliedstaaten können bei dem Mitgliedstaat, der einen Entwurf einer technischen Vorschrift unterbreitet hat, Bemerkungen vorbringen, die dieser Mitgliedstaat bei der weiteren Ausarbeitung der technischen Vorschrift soweit wie möglich berücksichtigt. </w:t>
      </w:r>
    </w:p>
    <w:p w:rsidR="00A27597" w:rsidRDefault="00A27597">
      <w:pPr>
        <w:pStyle w:val="GesAbsatz"/>
      </w:pPr>
      <w:r>
        <w:t xml:space="preserve">(3) Die Mitgliedstaaten teilen der Kommission unverzüglich den endgültigen Wortlaut einer technischen Vorschrift mit. </w:t>
      </w:r>
    </w:p>
    <w:p w:rsidR="00A27597" w:rsidRDefault="00A27597">
      <w:pPr>
        <w:pStyle w:val="GesAbsatz"/>
      </w:pPr>
      <w:r>
        <w:t xml:space="preserve">(4) Die aufgrund dieses Artikels übermittelten Informationen gelten nicht als vertraulich, es sei denn, dies wird von dem notifizierenden Mitgliedstaat ausdrücklich beantragt. Ein solcher Antrag ist zu begründen. </w:t>
      </w:r>
    </w:p>
    <w:p w:rsidR="00A27597" w:rsidRDefault="00A27597">
      <w:pPr>
        <w:pStyle w:val="GesAbsatz"/>
      </w:pPr>
      <w:r>
        <w:t xml:space="preserve">Der in Artikel 5 genannte Ausschuß und die staatlichen Verwaltungen können im Fall eines solchen Antrags die Sachverständigenmeinung natürlicher oder juristischer Personen einholen, die gegebenenfalls im privaten Sektor tätig sind; sie lassen dabei die nötige Vorsicht walten. </w:t>
      </w:r>
    </w:p>
    <w:p w:rsidR="00A27597" w:rsidRDefault="00A27597">
      <w:pPr>
        <w:pStyle w:val="GesAbsatz"/>
      </w:pPr>
      <w:r>
        <w:t xml:space="preserve">(5) Ist ein Entwurf für technische Vorschriften Bestandteil einer Maßnahme, die aufgrund anderer verbindlicher Gemeinschaftsakte der Kommission im Entwurfsstadium mitgeteilt werden muß, so können die Mitgliedstaaten die Mitteilung gemäß Absatz 1 im Rahmen dieses anderen Rechtsakts übersenden, sofern förmlich darauf hingewiesen wird, daß die Mitteilung auch diese Richtlinie betrifft. </w:t>
      </w:r>
    </w:p>
    <w:p w:rsidR="00A27597" w:rsidRDefault="00A27597">
      <w:pPr>
        <w:pStyle w:val="GesAbsatz"/>
      </w:pPr>
      <w:r>
        <w:t xml:space="preserve">Reagiert die Kommission im Rahmen dieser Richtlinie nicht auf den Entwurf einer technischen Vorschrift, so hat dies keinen Einfluß auf eine Entscheidung, die aufgrund anderer Rechtsakte der Gemeinschaft getroffen werden könnte. </w:t>
      </w:r>
    </w:p>
    <w:p w:rsidR="00A27597" w:rsidRDefault="00A27597" w:rsidP="00CC1A28">
      <w:pPr>
        <w:pStyle w:val="berschrift2"/>
      </w:pPr>
      <w:bookmarkStart w:id="10" w:name="_Toc383072498"/>
      <w:r>
        <w:t>Artikel 9</w:t>
      </w:r>
      <w:bookmarkEnd w:id="10"/>
      <w:r>
        <w:t xml:space="preserve"> </w:t>
      </w:r>
    </w:p>
    <w:p w:rsidR="00A27597" w:rsidRDefault="00A27597">
      <w:pPr>
        <w:pStyle w:val="GesAbsatz"/>
      </w:pPr>
      <w:r>
        <w:t xml:space="preserve">(1) Die Mitgliedstaaten nehmen den Entwurf einer technischen Vorschrift nicht vor Ablauf von drei Monaten nach Eingang der Mitteilung gemäß Artikel 8 Absatz 1 bei der Kommission an. </w:t>
      </w:r>
    </w:p>
    <w:p w:rsidR="00A27597" w:rsidRDefault="00A27597">
      <w:pPr>
        <w:pStyle w:val="GesAbsatz"/>
      </w:pPr>
      <w:r>
        <w:t xml:space="preserve">(2) Die Mitgliedstaaten nehmen </w:t>
      </w:r>
    </w:p>
    <w:p w:rsidR="00A27597" w:rsidRDefault="00CC1A28" w:rsidP="00CC1A28">
      <w:pPr>
        <w:pStyle w:val="GesAbsatz"/>
        <w:ind w:left="426" w:hanging="426"/>
      </w:pPr>
      <w:r>
        <w:t>-</w:t>
      </w:r>
      <w:r>
        <w:tab/>
      </w:r>
      <w:r w:rsidR="00A27597">
        <w:t xml:space="preserve">den Entwurf einer technischen Vorschrift in Form einer freiwilligen Vereinbarung im Sinne des Artikels 1 Nummer 11 Unterabsatz 2 zweiter Gedankenstrich nicht vor Ablauf von vier Monaten </w:t>
      </w:r>
    </w:p>
    <w:p w:rsidR="00A27597" w:rsidRDefault="00CC1A28" w:rsidP="00CC1A28">
      <w:pPr>
        <w:pStyle w:val="GesAbsatz"/>
        <w:ind w:left="426" w:hanging="426"/>
      </w:pPr>
      <w:r>
        <w:t>-</w:t>
      </w:r>
      <w:r>
        <w:tab/>
      </w:r>
      <w:r w:rsidR="00A27597">
        <w:t xml:space="preserve">unbeschadet der Absätze 3, 4 und 5 jeden anderen Entwurf einer technischen Vorschrift (mit Ausnahme der Entwürfe betreffend Dienste) nicht vor Ablauf von sechs Monaten </w:t>
      </w:r>
    </w:p>
    <w:p w:rsidR="00A27597" w:rsidRDefault="00A27597" w:rsidP="00CC1A28">
      <w:pPr>
        <w:pStyle w:val="GesAbsatz"/>
      </w:pPr>
      <w:r>
        <w:t xml:space="preserve">nach Eingang der Mitteilung gemäß Artikel 8 Absatz 1 bei der Kommission an, wenn die Kommission oder ein anderer Mitgliedstaat innerhalb von drei Monaten nach Eingang eine ausführliche Stellungnahme abgibt, der zufolge die geplante Maßnahme Elemente enthält, die den freien Warenverkehr im Rahmen des Binnenmarktes beeinträchtigen könnten; </w:t>
      </w:r>
    </w:p>
    <w:p w:rsidR="00A27597" w:rsidRDefault="00CC1A28" w:rsidP="00CC1A28">
      <w:pPr>
        <w:pStyle w:val="GesAbsatz"/>
        <w:ind w:left="426" w:hanging="426"/>
      </w:pPr>
      <w:r>
        <w:t>-</w:t>
      </w:r>
      <w:r>
        <w:tab/>
      </w:r>
      <w:r w:rsidR="00A27597">
        <w:t xml:space="preserve">unbeschadet der Absätze 4 und 5 einen Entwurf einer Vorschrift betreffend Dienste nicht vor Ablauf von vier Monaten nach Eingang der Mitteilung gemäß Artikel 8 Absatz 1 bei der Kommission an, wenn die Kommission oder ein anderer Mitgliedstaat innerhalb von drei Monaten nach Eingang der Mitteilung eine ausführliche Stellungnahme abgibt, der zufolge die geplante Maßnahme Elemente enthält, die den freien Verkehr von Dienstleistungen oder die Niederlassungsfreiheit der Betreiber im Rahmen des Binnenmarktes beeinträchtigen könnten. </w:t>
      </w:r>
    </w:p>
    <w:p w:rsidR="00A27597" w:rsidRDefault="00A27597">
      <w:pPr>
        <w:pStyle w:val="GesAbsatz"/>
      </w:pPr>
      <w:r>
        <w:lastRenderedPageBreak/>
        <w:t xml:space="preserve">Die ausführlichen Stellungnahmen der Kommission oder der Mitgliedstaaten zu den Entwürfen von Vorschriften betreffend Dienste dürfen nicht die kulturpolitischen Maßnahmen, insbesondere im Bereich der audiovisuellen Medien, berühren, die gegebenenfalls von den Mitgliedstaaten im Einklang mit dem Gemeinschaftsrecht unter Berücksichtigung ihrer sprachlichen Vielfalt, der nationalen und regionalen Besonderheiten sowie ihres Kulturerbes getroffen werden. </w:t>
      </w:r>
    </w:p>
    <w:p w:rsidR="00A27597" w:rsidRDefault="00A27597">
      <w:pPr>
        <w:pStyle w:val="GesAbsatz"/>
      </w:pPr>
      <w:r>
        <w:t xml:space="preserve">Der betroffene Mitgliedstaat unterrichtet die Kommission über die Maßnahmen, die er aufgrund der ausführlichen Stellungnahmen zu ergreifen beabsichtigt. Die Kommission äußert sich zu diesen Maßnahmen. </w:t>
      </w:r>
    </w:p>
    <w:p w:rsidR="00A27597" w:rsidRDefault="00A27597">
      <w:pPr>
        <w:pStyle w:val="GesAbsatz"/>
      </w:pPr>
      <w:r>
        <w:t xml:space="preserve">Im Hinblick auf die Vorschriften betreffend Dienste nennt der betreffende Mitgliedstaat gegebenenfalls die Gründe, aus denen die ausführlichen Stellungnahmen nicht berücksichtigt werden können. </w:t>
      </w:r>
    </w:p>
    <w:p w:rsidR="00A27597" w:rsidRDefault="00A27597">
      <w:pPr>
        <w:pStyle w:val="GesAbsatz"/>
      </w:pPr>
      <w:r>
        <w:t xml:space="preserve">(3) Die Mitgliedstaaten nehmen den Entwurf einer technischen Vorschrift mit Ausnahme der Vorschriften betreffend Dienste nicht vor Ablauf von zwölf Monaten nach Eingang der Mitteilung gemäß Artikel 8 Absatz 1 bei der Kommission an, wenn die Kommission innerhalb von drei Monaten nach diesem Zeitpunkt ihre Absicht bekanntgibt, für den gleichen Gegenstand eine Richtlinie, eine Verordnung oder eine Entscheidung im Sinne des Artikel 189 EG-Vertrag vorzuschlagen oder zu erlassen. </w:t>
      </w:r>
    </w:p>
    <w:p w:rsidR="00A27597" w:rsidRDefault="00A27597">
      <w:pPr>
        <w:pStyle w:val="GesAbsatz"/>
      </w:pPr>
      <w:r>
        <w:t xml:space="preserve">(4) Die Mitgliedstaaten nehmen den Entwurf einer technischen Vorschrift nicht vor Ablauf von zwölf Monaten nach Eingang der Mitteilung gemäß Artikel 8 Absatz 1 bei der Kommission an, wenn die Kommission innerhalb von drei Monaten nach diesem Zeitpunkt die Feststellung bekanntgibt, daß der Entwurf der technischen Vorschrift einen Gegenstand betrifft, für welchen dem Rat ein Vorschlag für eine Richtlinie, eine Verordnung oder eine Entscheidung im Sinne des Artikels 189 des Vertrags vorgelegt worden ist. </w:t>
      </w:r>
    </w:p>
    <w:p w:rsidR="00A27597" w:rsidRDefault="00A27597">
      <w:pPr>
        <w:pStyle w:val="GesAbsatz"/>
      </w:pPr>
      <w:r>
        <w:t xml:space="preserve">(5) Legt der Rat innerhalb der Stillhaltefrist gemäß den Absätzen 3 und 4 einen gemeinsamen Standpunkt fest, so wird diese Frist vorbehaltlich des Absatzes 6 auf 18 Monate ausgedehnt. </w:t>
      </w:r>
    </w:p>
    <w:p w:rsidR="00A27597" w:rsidRDefault="00A27597">
      <w:pPr>
        <w:pStyle w:val="GesAbsatz"/>
      </w:pPr>
      <w:r>
        <w:t xml:space="preserve">(6) Die in den Absätzen 3, 4 und 5 genannten Pflichten entfallen, </w:t>
      </w:r>
    </w:p>
    <w:p w:rsidR="00A27597" w:rsidRDefault="00CC1A28" w:rsidP="00CC1A28">
      <w:pPr>
        <w:pStyle w:val="GesAbsatz"/>
        <w:ind w:left="426" w:hanging="426"/>
      </w:pPr>
      <w:r>
        <w:t>-</w:t>
      </w:r>
      <w:r>
        <w:tab/>
      </w:r>
      <w:r w:rsidR="00A27597">
        <w:t xml:space="preserve">wenn die Kommission den Mitgliedstaaten mitteilt, daß sie auf ihre Absicht verzichtet, einen verbindlichen Gemeinschaftsrechtsakt vorzuschlagen oder zu erlassen, oder </w:t>
      </w:r>
    </w:p>
    <w:p w:rsidR="00A27597" w:rsidRDefault="00CC1A28" w:rsidP="00CC1A28">
      <w:pPr>
        <w:pStyle w:val="GesAbsatz"/>
        <w:ind w:left="426" w:hanging="426"/>
      </w:pPr>
      <w:r>
        <w:t>-</w:t>
      </w:r>
      <w:r>
        <w:tab/>
      </w:r>
      <w:r w:rsidR="00A27597">
        <w:t xml:space="preserve">wenn die Kommission die Mitgliedstaaten von der Rücknahme ihres Entwurfs oder Vorschlags unterrichtet oder </w:t>
      </w:r>
    </w:p>
    <w:p w:rsidR="00A27597" w:rsidRDefault="00CC1A28" w:rsidP="00CC1A28">
      <w:pPr>
        <w:pStyle w:val="GesAbsatz"/>
        <w:ind w:left="426" w:hanging="426"/>
      </w:pPr>
      <w:r>
        <w:t>-</w:t>
      </w:r>
      <w:r>
        <w:tab/>
      </w:r>
      <w:r w:rsidR="00A27597">
        <w:t xml:space="preserve">sobald ein verbindlicher Gemeinschaftsrechtsakt von der Kommission oder vom Rat erlassen worden ist. </w:t>
      </w:r>
    </w:p>
    <w:p w:rsidR="00A27597" w:rsidRDefault="00A27597">
      <w:pPr>
        <w:pStyle w:val="GesAbsatz"/>
      </w:pPr>
      <w:r>
        <w:t xml:space="preserve">(7) Die Absätze 1 bis 5 gelten nicht, wenn ein Mitgliedstaat </w:t>
      </w:r>
    </w:p>
    <w:p w:rsidR="00A27597" w:rsidRDefault="00CC1A28" w:rsidP="00CC1A28">
      <w:pPr>
        <w:pStyle w:val="GesAbsatz"/>
        <w:ind w:left="426" w:hanging="426"/>
      </w:pPr>
      <w:r>
        <w:t>-</w:t>
      </w:r>
      <w:r>
        <w:tab/>
      </w:r>
      <w:r w:rsidR="00A27597">
        <w:t xml:space="preserve">aus dringenden Gründen, die durch eine ernste und unvorhersehbare Situation entstanden sind und sich auf den Schutz der Gesundheit von Menschen und Tieren, die Erhaltung von Pflanzen oder die Sicherheit und im Falle von Vorschriften betreffend Dienste auch auf die öffentliche Ordnung, insbesondere auf den Jugendschutz beziehen, gezwungen ist, ohne die Möglichkeit einer vorherigen Konsultation in kürzester Frist technische Vorschriften auszuarbeiten, um sie unverzüglich zu erlassen und in Kraft zu setzen, oder </w:t>
      </w:r>
    </w:p>
    <w:p w:rsidR="00A27597" w:rsidRDefault="00CC1A28" w:rsidP="00CC1A28">
      <w:pPr>
        <w:pStyle w:val="GesAbsatz"/>
        <w:ind w:left="426" w:hanging="426"/>
      </w:pPr>
      <w:r>
        <w:t>-</w:t>
      </w:r>
      <w:r>
        <w:tab/>
      </w:r>
      <w:r w:rsidR="00A27597">
        <w:t xml:space="preserve">aus dringenden Gründen, die durch eine ernste Situation entstanden sind und sich auf den Schutz der Sicherheit und der Integrität des Finanzsystems, insbesondere auf den Schutz der Einleger, der Anleger und der Versicherten, beziehen, gezwungen ist, unverzüglich Vorschriften betreffend die Finanzdienstleistungen zu erlassen und in Kraft zu setzen. </w:t>
      </w:r>
    </w:p>
    <w:p w:rsidR="00A27597" w:rsidRDefault="00A27597">
      <w:pPr>
        <w:pStyle w:val="GesAbsatz"/>
      </w:pPr>
      <w:r>
        <w:t xml:space="preserve">Der Mitgliedstaat begründet in der in Artikel 8 genannten Mitteilung die Dringlichkeit der betreffenden Maßnahmen. Die Kommission äußert sich binnen kürzester Frist zu dieser Mitteilung. Bei mißbräuchlicher Anwendung dieses Verfahrens trifft sie die erforderlichen Maßnahmen. Das Europäische Parlament wird von der Kommission regelmäßig unterrichtet. </w:t>
      </w:r>
    </w:p>
    <w:p w:rsidR="00A27597" w:rsidRDefault="00A27597" w:rsidP="00A948AF">
      <w:pPr>
        <w:pStyle w:val="berschrift2"/>
      </w:pPr>
      <w:bookmarkStart w:id="11" w:name="_Toc383072499"/>
      <w:r>
        <w:t>Artikel 10</w:t>
      </w:r>
      <w:bookmarkEnd w:id="11"/>
      <w:r>
        <w:t xml:space="preserve"> </w:t>
      </w:r>
    </w:p>
    <w:p w:rsidR="00A27597" w:rsidRDefault="00A27597">
      <w:pPr>
        <w:pStyle w:val="GesAbsatz"/>
      </w:pPr>
      <w:r>
        <w:t xml:space="preserve">(1) Die Artikel 8 und 9 gelten nicht für Rechts- und Verwaltungsvorschriften der Mitgliedstaaten oder für freiwillige Vereinbarungen, durch die die Mitgliedstaaten </w:t>
      </w:r>
    </w:p>
    <w:p w:rsidR="00A27597" w:rsidRDefault="00A948AF" w:rsidP="00A948AF">
      <w:pPr>
        <w:pStyle w:val="GesAbsatz"/>
        <w:ind w:left="426" w:hanging="426"/>
      </w:pPr>
      <w:r>
        <w:t>-</w:t>
      </w:r>
      <w:r>
        <w:tab/>
      </w:r>
      <w:r w:rsidR="00A27597">
        <w:t xml:space="preserve">den verbindlichen Gemeinschaftsrechtsakten, mit denen technische Spezifikationen oder Vorschriften betreffend Dienste in Kraft gesetzt werden, nachkommen; </w:t>
      </w:r>
    </w:p>
    <w:p w:rsidR="00A27597" w:rsidRDefault="00A948AF" w:rsidP="00A948AF">
      <w:pPr>
        <w:pStyle w:val="GesAbsatz"/>
        <w:ind w:left="426" w:hanging="426"/>
      </w:pPr>
      <w:r>
        <w:t>-</w:t>
      </w:r>
      <w:r>
        <w:tab/>
      </w:r>
      <w:r w:rsidR="00A27597">
        <w:t xml:space="preserve">die Verpflichtungen aus einem internationalen Übereinkommen erfüllen, wodurch gemeinsame technische Spezifikationen oder Vorschriften betreffend Dienste in der Gemeinschaft in Kraft gesetzt werden; </w:t>
      </w:r>
    </w:p>
    <w:p w:rsidR="00A27597" w:rsidRDefault="00A948AF" w:rsidP="00A948AF">
      <w:pPr>
        <w:pStyle w:val="GesAbsatz"/>
        <w:ind w:left="426" w:hanging="426"/>
      </w:pPr>
      <w:r>
        <w:t>-</w:t>
      </w:r>
      <w:r>
        <w:tab/>
      </w:r>
      <w:r w:rsidR="00A27597">
        <w:t xml:space="preserve">die Schutzklauseln in Anspruch nehmen, die in verbindlichen Gemeinschaftsrechtsakten enthalten sind; </w:t>
      </w:r>
    </w:p>
    <w:p w:rsidR="00A27597" w:rsidRDefault="00A948AF" w:rsidP="00A948AF">
      <w:pPr>
        <w:pStyle w:val="GesAbsatz"/>
        <w:ind w:left="426" w:hanging="426"/>
      </w:pPr>
      <w:r>
        <w:t>-</w:t>
      </w:r>
      <w:r>
        <w:tab/>
      </w:r>
      <w:r w:rsidR="00A27597">
        <w:t>Artikel 8 Absatz 1 der Richtlinie 92/59/EWG</w:t>
      </w:r>
      <w:r>
        <w:rPr>
          <w:rStyle w:val="Funotenzeichen"/>
        </w:rPr>
        <w:footnoteReference w:id="6"/>
      </w:r>
      <w:r w:rsidR="00A27597">
        <w:t xml:space="preserve"> anwenden; </w:t>
      </w:r>
    </w:p>
    <w:p w:rsidR="00A27597" w:rsidRDefault="00A948AF" w:rsidP="00A948AF">
      <w:pPr>
        <w:pStyle w:val="GesAbsatz"/>
        <w:ind w:left="426" w:hanging="426"/>
      </w:pPr>
      <w:r>
        <w:lastRenderedPageBreak/>
        <w:t>-</w:t>
      </w:r>
      <w:r>
        <w:tab/>
      </w:r>
      <w:r w:rsidR="00A27597">
        <w:t xml:space="preserve">lediglich einem Urteil des Gerichtshofs der Europäischen Gemeinschaften nachkommen; </w:t>
      </w:r>
    </w:p>
    <w:p w:rsidR="00A27597" w:rsidRDefault="00A948AF" w:rsidP="00A948AF">
      <w:pPr>
        <w:pStyle w:val="GesAbsatz"/>
        <w:ind w:left="426" w:hanging="426"/>
      </w:pPr>
      <w:r>
        <w:t>-</w:t>
      </w:r>
      <w:r>
        <w:tab/>
      </w:r>
      <w:r w:rsidR="00A27597">
        <w:t xml:space="preserve">lediglich eine technische Vorschrift im Sinne des Artikels 1 Nummer 11 zum Zweck der Beseitigung eines Handelshemmnisses oder - in bezug auf Vorschriften betreffend Dienste - eines Hemmnisses für den freien Dienstleistungsverkehr oder die Niederlassungsfreiheit von Betreibern entsprechend einem Antrag der Kommission ändern. </w:t>
      </w:r>
    </w:p>
    <w:p w:rsidR="00A27597" w:rsidRDefault="00A27597">
      <w:pPr>
        <w:pStyle w:val="GesAbsatz"/>
      </w:pPr>
      <w:r>
        <w:t xml:space="preserve">(2) Artikel 9 gilt nicht für Rechts- und Verwaltungsvorschriften, die die Mitgliedstaaten in bezug auf ein Herstellungsverbot erlassen, sofern diese Bestimmungen den freien Warenverkehr nicht behindern. </w:t>
      </w:r>
    </w:p>
    <w:p w:rsidR="00A27597" w:rsidRDefault="00A27597">
      <w:pPr>
        <w:pStyle w:val="GesAbsatz"/>
      </w:pPr>
      <w:r>
        <w:t xml:space="preserve">(3) Artikel 9 Absätze 3 bis 6 gilt nicht für freiwillige Vereinbarungen im Sinne des Artikels 1 Nummer 11 Unterabsatz 2 zweiter Gedankenstrich. </w:t>
      </w:r>
    </w:p>
    <w:p w:rsidR="00A27597" w:rsidRDefault="00A27597">
      <w:pPr>
        <w:pStyle w:val="GesAbsatz"/>
      </w:pPr>
      <w:r>
        <w:t xml:space="preserve">(4) Artikel 9 gilt nicht für technische Spezifikationen oder sonstige Vorschriften oder für Vorschriften betreffend Dienste im Sinne des Artikels 1 Nummer 11 Unterabsatz 2 dritter Gedankenstrich. </w:t>
      </w:r>
    </w:p>
    <w:p w:rsidR="00A27597" w:rsidRDefault="00A27597" w:rsidP="005E0CD5">
      <w:pPr>
        <w:pStyle w:val="berschrift2"/>
      </w:pPr>
      <w:bookmarkStart w:id="12" w:name="_Toc383072500"/>
      <w:r>
        <w:t>Artikel 11</w:t>
      </w:r>
      <w:bookmarkEnd w:id="12"/>
      <w:r>
        <w:t xml:space="preserve"> </w:t>
      </w:r>
    </w:p>
    <w:p w:rsidR="00A27597" w:rsidRDefault="00A27597">
      <w:pPr>
        <w:pStyle w:val="GesAbsatz"/>
      </w:pPr>
      <w:r>
        <w:t xml:space="preserve">Die Kommission erstattet dem Europäischen Parlament, dem Rat und dem Wirtschafts- und Sozialausschuß alle zwei Jahre Bericht über die Ergebnisse der Anwendung dieser Richtlinie. </w:t>
      </w:r>
      <w:r w:rsidR="00184F0D" w:rsidRPr="00184F0D">
        <w:t xml:space="preserve">Die Kommission veröffentlicht im Amtsblatt der Europäischen Union jährliche Statistiken über die </w:t>
      </w:r>
      <w:r w:rsidR="00184F0D">
        <w:t>eingegangenen Notifizierungen.</w:t>
      </w:r>
    </w:p>
    <w:p w:rsidR="00A27597" w:rsidRDefault="00A27597" w:rsidP="005E0CD5">
      <w:pPr>
        <w:pStyle w:val="berschrift2"/>
      </w:pPr>
      <w:bookmarkStart w:id="13" w:name="_Toc383072501"/>
      <w:r>
        <w:t>Artikel 12</w:t>
      </w:r>
      <w:bookmarkEnd w:id="13"/>
      <w:r>
        <w:t xml:space="preserve"> </w:t>
      </w:r>
    </w:p>
    <w:p w:rsidR="00A27597" w:rsidRDefault="00A27597">
      <w:pPr>
        <w:pStyle w:val="GesAbsatz"/>
      </w:pPr>
      <w:r>
        <w:t xml:space="preserve">Erlassen die Mitgliedstaaten eine technische Vorschrift, nehmen sie in dieser selbst oder durch einen Hinweis bei der amtlichen Veröffentlichung auf diese Richtlinie Bezug. Die Mitgliedstaaten regeln die Einzelheiten dieser Bezugnahme. </w:t>
      </w:r>
    </w:p>
    <w:p w:rsidR="00A27597" w:rsidRDefault="00A27597" w:rsidP="005E0CD5">
      <w:pPr>
        <w:pStyle w:val="berschrift2"/>
      </w:pPr>
      <w:bookmarkStart w:id="14" w:name="_Toc383072502"/>
      <w:r>
        <w:t>Artikel 13</w:t>
      </w:r>
      <w:bookmarkEnd w:id="14"/>
      <w:r>
        <w:t xml:space="preserve"> </w:t>
      </w:r>
    </w:p>
    <w:p w:rsidR="00A27597" w:rsidRDefault="00A27597">
      <w:pPr>
        <w:pStyle w:val="GesAbsatz"/>
      </w:pPr>
      <w:r>
        <w:t xml:space="preserve">(1) Die in Anhang III Teil A aufgeführten Richtlinien und Entscheidungen werden aufgehoben. Dies berührt nicht die Verpflichtungen der Mitgliedstaaten hinsichtlich der im Anhang III Teil B aufgeführten Umsetzungsfristen. </w:t>
      </w:r>
    </w:p>
    <w:p w:rsidR="00A27597" w:rsidRDefault="00A27597">
      <w:pPr>
        <w:pStyle w:val="GesAbsatz"/>
      </w:pPr>
      <w:r>
        <w:t xml:space="preserve">(2) Bezugnahmen auf die aufgehobenen Richtlinien und Entscheidungen gelten als Bezugnahmen auf die vorliegende Richtlinie und sind nach Maßgabe der Entsprechungstabelle in Anhang IV zu lesen. </w:t>
      </w:r>
    </w:p>
    <w:p w:rsidR="00A27597" w:rsidRDefault="00A27597" w:rsidP="005E0CD5">
      <w:pPr>
        <w:pStyle w:val="berschrift2"/>
      </w:pPr>
      <w:bookmarkStart w:id="15" w:name="_Toc383072503"/>
      <w:r>
        <w:t>Artikel 14</w:t>
      </w:r>
      <w:bookmarkEnd w:id="15"/>
      <w:r>
        <w:t xml:space="preserve"> </w:t>
      </w:r>
    </w:p>
    <w:p w:rsidR="00A27597" w:rsidRDefault="00A27597">
      <w:pPr>
        <w:pStyle w:val="GesAbsatz"/>
      </w:pPr>
      <w:r>
        <w:t xml:space="preserve">Diese Richtlinie tritt am 20. Tag nach ihrer Veröffentlichung im Amtsblatt der Europäischen Gemeinschaften in Kraft. </w:t>
      </w:r>
    </w:p>
    <w:p w:rsidR="00A27597" w:rsidRDefault="00A27597" w:rsidP="005E0CD5">
      <w:pPr>
        <w:pStyle w:val="berschrift2"/>
      </w:pPr>
      <w:bookmarkStart w:id="16" w:name="_Toc383072504"/>
      <w:r>
        <w:t>Artikel 15</w:t>
      </w:r>
      <w:bookmarkEnd w:id="16"/>
      <w:r>
        <w:t xml:space="preserve"> </w:t>
      </w:r>
    </w:p>
    <w:p w:rsidR="00A27597" w:rsidRDefault="00A27597">
      <w:pPr>
        <w:pStyle w:val="GesAbsatz"/>
      </w:pPr>
      <w:r>
        <w:t xml:space="preserve">Diese Richtlinie ist an die Mitgliedstaaten gerichtet. </w:t>
      </w:r>
    </w:p>
    <w:p w:rsidR="00A27597" w:rsidRDefault="00A27597">
      <w:pPr>
        <w:pStyle w:val="berschrift2"/>
        <w:jc w:val="left"/>
      </w:pPr>
      <w:r>
        <w:br w:type="page"/>
      </w:r>
      <w:bookmarkStart w:id="17" w:name="_Toc383072505"/>
      <w:r>
        <w:lastRenderedPageBreak/>
        <w:t>Anhang I.</w:t>
      </w:r>
      <w:r w:rsidR="005E0CD5">
        <w:br/>
      </w:r>
      <w:r w:rsidR="00184F0D" w:rsidRPr="00184F0D">
        <w:t>gestrichen</w:t>
      </w:r>
      <w:bookmarkEnd w:id="17"/>
    </w:p>
    <w:p w:rsidR="00A27597" w:rsidRDefault="00A27597">
      <w:pPr>
        <w:pStyle w:val="GesAbsatz"/>
      </w:pPr>
    </w:p>
    <w:p w:rsidR="00A27597" w:rsidRDefault="00A27597">
      <w:pPr>
        <w:pStyle w:val="berschrift2"/>
        <w:jc w:val="left"/>
      </w:pPr>
      <w:bookmarkStart w:id="18" w:name="_Toc383072506"/>
      <w:r>
        <w:t>Anhang II.</w:t>
      </w:r>
      <w:r w:rsidR="00AA5C1A">
        <w:br/>
      </w:r>
      <w:r>
        <w:t>Nationale Normungsgremien</w:t>
      </w:r>
      <w:r w:rsidR="00184F0D">
        <w:br/>
      </w:r>
      <w:r w:rsidR="00184F0D" w:rsidRPr="00184F0D">
        <w:t>gestrichen</w:t>
      </w:r>
      <w:bookmarkEnd w:id="18"/>
    </w:p>
    <w:p w:rsidR="00A27597" w:rsidRDefault="00A27597">
      <w:pPr>
        <w:pStyle w:val="berschrift2"/>
        <w:jc w:val="left"/>
      </w:pPr>
      <w:bookmarkStart w:id="19" w:name="_Toc383072507"/>
      <w:r>
        <w:t>Anhang III.</w:t>
      </w:r>
      <w:bookmarkEnd w:id="19"/>
    </w:p>
    <w:p w:rsidR="00A27597" w:rsidRPr="004F45AC" w:rsidRDefault="00A27597">
      <w:pPr>
        <w:pStyle w:val="GesAbsatz"/>
        <w:rPr>
          <w:b/>
        </w:rPr>
      </w:pPr>
      <w:r w:rsidRPr="004F45AC">
        <w:rPr>
          <w:b/>
        </w:rPr>
        <w:t>Teil A. Aufgehobene Richtlinien und Entscheidungen (gemäß Artikel 13)</w:t>
      </w:r>
    </w:p>
    <w:p w:rsidR="00A27597" w:rsidRDefault="00A27597">
      <w:pPr>
        <w:pStyle w:val="GesAbsatz"/>
      </w:pPr>
      <w:r>
        <w:t xml:space="preserve">Richtlinie 83/189/EWG des Rates und ihre nachfolgenden Änderungen </w:t>
      </w:r>
    </w:p>
    <w:p w:rsidR="00A27597" w:rsidRDefault="00A27597">
      <w:pPr>
        <w:pStyle w:val="GesAbsatz"/>
      </w:pPr>
      <w:r>
        <w:t xml:space="preserve">Richtlinie 88/182/EWG des Rates </w:t>
      </w:r>
    </w:p>
    <w:p w:rsidR="00A27597" w:rsidRDefault="00A27597">
      <w:pPr>
        <w:pStyle w:val="GesAbsatz"/>
      </w:pPr>
      <w:r>
        <w:t xml:space="preserve">Entscheidung 90/230/EWG der Kommission </w:t>
      </w:r>
    </w:p>
    <w:p w:rsidR="00A27597" w:rsidRDefault="00A27597">
      <w:pPr>
        <w:pStyle w:val="GesAbsatz"/>
      </w:pPr>
      <w:r>
        <w:t xml:space="preserve">Entscheidung 92/400/EWG der Kommission </w:t>
      </w:r>
    </w:p>
    <w:p w:rsidR="00A27597" w:rsidRDefault="00A27597">
      <w:pPr>
        <w:pStyle w:val="GesAbsatz"/>
      </w:pPr>
      <w:r>
        <w:t xml:space="preserve">Richtlinie 94/10/EG des Europäischen Parlaments und des Rates </w:t>
      </w:r>
    </w:p>
    <w:p w:rsidR="00A27597" w:rsidRDefault="00A27597">
      <w:pPr>
        <w:pStyle w:val="GesAbsatz"/>
      </w:pPr>
      <w:r>
        <w:t xml:space="preserve">Entscheidung 96/139/EG der Kommission </w:t>
      </w:r>
    </w:p>
    <w:p w:rsidR="009110F3" w:rsidRDefault="009110F3">
      <w:pPr>
        <w:pStyle w:val="GesAbsatz"/>
        <w:rPr>
          <w:b/>
        </w:rPr>
      </w:pPr>
    </w:p>
    <w:p w:rsidR="00A27597" w:rsidRDefault="00A27597">
      <w:pPr>
        <w:pStyle w:val="GesAbsatz"/>
        <w:rPr>
          <w:b/>
        </w:rPr>
      </w:pPr>
      <w:r w:rsidRPr="004F45AC">
        <w:rPr>
          <w:b/>
        </w:rPr>
        <w:t>Teil B. Liste der Fristen für die Umsetzung in innerstaatliches Recht (gemäß Artikel 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1"/>
        <w:gridCol w:w="3898"/>
      </w:tblGrid>
      <w:tr w:rsidR="00A27597">
        <w:tc>
          <w:tcPr>
            <w:tcW w:w="5461" w:type="dxa"/>
            <w:vAlign w:val="center"/>
          </w:tcPr>
          <w:p w:rsidR="00A27597" w:rsidRDefault="00A27597">
            <w:pPr>
              <w:pStyle w:val="GesAbsatz"/>
              <w:rPr>
                <w:b/>
              </w:rPr>
            </w:pPr>
            <w:r>
              <w:rPr>
                <w:b/>
              </w:rPr>
              <w:t xml:space="preserve">Richtlinie </w:t>
            </w:r>
          </w:p>
        </w:tc>
        <w:tc>
          <w:tcPr>
            <w:tcW w:w="3898" w:type="dxa"/>
            <w:vAlign w:val="center"/>
          </w:tcPr>
          <w:p w:rsidR="00A27597" w:rsidRDefault="00A27597">
            <w:pPr>
              <w:pStyle w:val="GesAbsatz"/>
              <w:rPr>
                <w:b/>
              </w:rPr>
            </w:pPr>
            <w:r>
              <w:rPr>
                <w:b/>
              </w:rPr>
              <w:t xml:space="preserve">Endgültiges Datum der Umsetzung </w:t>
            </w:r>
          </w:p>
        </w:tc>
      </w:tr>
      <w:tr w:rsidR="00A27597">
        <w:tc>
          <w:tcPr>
            <w:tcW w:w="5461" w:type="dxa"/>
          </w:tcPr>
          <w:p w:rsidR="00A27597" w:rsidRDefault="00A27597">
            <w:pPr>
              <w:pStyle w:val="GesAbsatz"/>
            </w:pPr>
            <w:r>
              <w:t xml:space="preserve">83/189/EWG (ABl. L 109 vom 26.04.1983, S. 8) </w:t>
            </w:r>
          </w:p>
        </w:tc>
        <w:tc>
          <w:tcPr>
            <w:tcW w:w="3898" w:type="dxa"/>
          </w:tcPr>
          <w:p w:rsidR="00A27597" w:rsidRDefault="00A27597">
            <w:pPr>
              <w:pStyle w:val="GesAbsatz"/>
            </w:pPr>
            <w:r>
              <w:t xml:space="preserve">31.03.1984 </w:t>
            </w:r>
          </w:p>
        </w:tc>
      </w:tr>
      <w:tr w:rsidR="00A27597">
        <w:tc>
          <w:tcPr>
            <w:tcW w:w="5461" w:type="dxa"/>
          </w:tcPr>
          <w:p w:rsidR="00A27597" w:rsidRDefault="00A27597">
            <w:pPr>
              <w:pStyle w:val="GesAbsatz"/>
            </w:pPr>
            <w:r>
              <w:t xml:space="preserve">88/182/EWG (ABl. L 81 vom 26.03.1988, S. 75) </w:t>
            </w:r>
          </w:p>
        </w:tc>
        <w:tc>
          <w:tcPr>
            <w:tcW w:w="3898" w:type="dxa"/>
          </w:tcPr>
          <w:p w:rsidR="00A27597" w:rsidRDefault="00A27597">
            <w:pPr>
              <w:pStyle w:val="GesAbsatz"/>
            </w:pPr>
            <w:r>
              <w:t xml:space="preserve">01.01.1989 </w:t>
            </w:r>
          </w:p>
        </w:tc>
      </w:tr>
      <w:tr w:rsidR="00A27597">
        <w:tc>
          <w:tcPr>
            <w:tcW w:w="5461" w:type="dxa"/>
          </w:tcPr>
          <w:p w:rsidR="00A27597" w:rsidRDefault="00A27597">
            <w:pPr>
              <w:pStyle w:val="GesAbsatz"/>
            </w:pPr>
            <w:r>
              <w:t xml:space="preserve">94/10/EG (ABl. L 100 vom 19.04.1994, S. 30) </w:t>
            </w:r>
          </w:p>
        </w:tc>
        <w:tc>
          <w:tcPr>
            <w:tcW w:w="3898" w:type="dxa"/>
          </w:tcPr>
          <w:p w:rsidR="00A27597" w:rsidRDefault="00A27597">
            <w:pPr>
              <w:pStyle w:val="GesAbsatz"/>
            </w:pPr>
            <w:r>
              <w:t xml:space="preserve">01.07.1995 </w:t>
            </w:r>
          </w:p>
        </w:tc>
      </w:tr>
    </w:tbl>
    <w:p w:rsidR="00A27597" w:rsidRDefault="00A27597">
      <w:pPr>
        <w:pStyle w:val="GesAbsatz"/>
      </w:pPr>
    </w:p>
    <w:p w:rsidR="00A27597" w:rsidRDefault="00A27597">
      <w:pPr>
        <w:pStyle w:val="GesAbsatz"/>
      </w:pPr>
    </w:p>
    <w:p w:rsidR="00A27597" w:rsidRDefault="00A27597">
      <w:pPr>
        <w:pStyle w:val="GesAbsatz"/>
      </w:pPr>
    </w:p>
    <w:p w:rsidR="00A27597" w:rsidRDefault="00A27597">
      <w:pPr>
        <w:pStyle w:val="berschrift2"/>
        <w:jc w:val="left"/>
      </w:pPr>
      <w:r>
        <w:br w:type="page"/>
      </w:r>
      <w:bookmarkStart w:id="20" w:name="_Toc383072508"/>
      <w:r w:rsidR="00AA5C1A">
        <w:lastRenderedPageBreak/>
        <w:t>Anhang IV.</w:t>
      </w:r>
      <w:r w:rsidR="00AA5C1A">
        <w:br/>
      </w:r>
      <w:r>
        <w:t>Entsprechungstabelle</w:t>
      </w:r>
      <w:bookmarkEnd w:id="20"/>
    </w:p>
    <w:p w:rsidR="00A27597" w:rsidRDefault="00A2759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3264"/>
      </w:tblGrid>
      <w:tr w:rsidR="00A27597">
        <w:tc>
          <w:tcPr>
            <w:tcW w:w="4224" w:type="dxa"/>
            <w:vAlign w:val="center"/>
          </w:tcPr>
          <w:p w:rsidR="00A27597" w:rsidRDefault="00A27597">
            <w:pPr>
              <w:pStyle w:val="GesAbsatz"/>
              <w:rPr>
                <w:b/>
              </w:rPr>
            </w:pPr>
            <w:r>
              <w:rPr>
                <w:b/>
              </w:rPr>
              <w:t xml:space="preserve">Richtlinie 83/189/EWG </w:t>
            </w:r>
          </w:p>
        </w:tc>
        <w:tc>
          <w:tcPr>
            <w:tcW w:w="3264" w:type="dxa"/>
            <w:vAlign w:val="center"/>
          </w:tcPr>
          <w:p w:rsidR="00A27597" w:rsidRDefault="00A27597">
            <w:pPr>
              <w:pStyle w:val="GesAbsatz"/>
              <w:rPr>
                <w:b/>
              </w:rPr>
            </w:pPr>
            <w:r>
              <w:rPr>
                <w:b/>
              </w:rPr>
              <w:t xml:space="preserve">Diese Richtlinie </w:t>
            </w:r>
          </w:p>
        </w:tc>
      </w:tr>
      <w:tr w:rsidR="00A27597">
        <w:tc>
          <w:tcPr>
            <w:tcW w:w="4224" w:type="dxa"/>
          </w:tcPr>
          <w:p w:rsidR="00A27597" w:rsidRDefault="00A27597">
            <w:pPr>
              <w:pStyle w:val="GesAbsatz"/>
            </w:pPr>
            <w:r>
              <w:t xml:space="preserve">Artikel 1 </w:t>
            </w:r>
          </w:p>
        </w:tc>
        <w:tc>
          <w:tcPr>
            <w:tcW w:w="3264" w:type="dxa"/>
          </w:tcPr>
          <w:p w:rsidR="00A27597" w:rsidRDefault="00A27597">
            <w:pPr>
              <w:pStyle w:val="GesAbsatz"/>
            </w:pPr>
            <w:r>
              <w:t xml:space="preserve">Artikel 1 </w:t>
            </w:r>
          </w:p>
        </w:tc>
      </w:tr>
      <w:tr w:rsidR="00A27597">
        <w:tc>
          <w:tcPr>
            <w:tcW w:w="4224" w:type="dxa"/>
          </w:tcPr>
          <w:p w:rsidR="00A27597" w:rsidRDefault="00A27597">
            <w:pPr>
              <w:pStyle w:val="GesAbsatz"/>
            </w:pPr>
            <w:r>
              <w:t xml:space="preserve">Artikel 2 </w:t>
            </w:r>
          </w:p>
        </w:tc>
        <w:tc>
          <w:tcPr>
            <w:tcW w:w="3264" w:type="dxa"/>
          </w:tcPr>
          <w:p w:rsidR="00A27597" w:rsidRDefault="00A27597">
            <w:pPr>
              <w:pStyle w:val="GesAbsatz"/>
            </w:pPr>
            <w:r>
              <w:t xml:space="preserve">Artikel 2 </w:t>
            </w:r>
          </w:p>
        </w:tc>
      </w:tr>
      <w:tr w:rsidR="00A27597">
        <w:tc>
          <w:tcPr>
            <w:tcW w:w="4224" w:type="dxa"/>
          </w:tcPr>
          <w:p w:rsidR="00A27597" w:rsidRDefault="00A27597">
            <w:pPr>
              <w:pStyle w:val="GesAbsatz"/>
            </w:pPr>
            <w:r>
              <w:t xml:space="preserve">Artikel 3 </w:t>
            </w:r>
          </w:p>
        </w:tc>
        <w:tc>
          <w:tcPr>
            <w:tcW w:w="3264" w:type="dxa"/>
          </w:tcPr>
          <w:p w:rsidR="00A27597" w:rsidRDefault="00A27597">
            <w:pPr>
              <w:pStyle w:val="GesAbsatz"/>
            </w:pPr>
            <w:r>
              <w:t xml:space="preserve">Artikel 3 </w:t>
            </w:r>
          </w:p>
        </w:tc>
      </w:tr>
      <w:tr w:rsidR="00A27597">
        <w:tc>
          <w:tcPr>
            <w:tcW w:w="4224" w:type="dxa"/>
          </w:tcPr>
          <w:p w:rsidR="00A27597" w:rsidRDefault="00A27597">
            <w:pPr>
              <w:pStyle w:val="GesAbsatz"/>
            </w:pPr>
            <w:r>
              <w:t xml:space="preserve">Artikel 4 </w:t>
            </w:r>
          </w:p>
        </w:tc>
        <w:tc>
          <w:tcPr>
            <w:tcW w:w="3264" w:type="dxa"/>
          </w:tcPr>
          <w:p w:rsidR="00A27597" w:rsidRDefault="00A27597">
            <w:pPr>
              <w:pStyle w:val="GesAbsatz"/>
            </w:pPr>
            <w:r>
              <w:t xml:space="preserve">Artikel 4 </w:t>
            </w:r>
          </w:p>
        </w:tc>
      </w:tr>
      <w:tr w:rsidR="00A27597">
        <w:tc>
          <w:tcPr>
            <w:tcW w:w="4224" w:type="dxa"/>
          </w:tcPr>
          <w:p w:rsidR="00A27597" w:rsidRDefault="00A27597">
            <w:pPr>
              <w:pStyle w:val="GesAbsatz"/>
            </w:pPr>
            <w:r>
              <w:t xml:space="preserve">Artikel 5 </w:t>
            </w:r>
          </w:p>
        </w:tc>
        <w:tc>
          <w:tcPr>
            <w:tcW w:w="3264" w:type="dxa"/>
          </w:tcPr>
          <w:p w:rsidR="00A27597" w:rsidRDefault="00A27597">
            <w:pPr>
              <w:pStyle w:val="GesAbsatz"/>
            </w:pPr>
            <w:r>
              <w:t xml:space="preserve">Artikel 5 </w:t>
            </w:r>
          </w:p>
        </w:tc>
      </w:tr>
      <w:tr w:rsidR="00A27597">
        <w:tc>
          <w:tcPr>
            <w:tcW w:w="4224" w:type="dxa"/>
          </w:tcPr>
          <w:p w:rsidR="00A27597" w:rsidRDefault="00A27597">
            <w:pPr>
              <w:pStyle w:val="GesAbsatz"/>
            </w:pPr>
            <w:r>
              <w:t xml:space="preserve">Artikel 6 </w:t>
            </w:r>
          </w:p>
        </w:tc>
        <w:tc>
          <w:tcPr>
            <w:tcW w:w="3264" w:type="dxa"/>
          </w:tcPr>
          <w:p w:rsidR="00A27597" w:rsidRDefault="00A27597">
            <w:pPr>
              <w:pStyle w:val="GesAbsatz"/>
            </w:pPr>
            <w:r>
              <w:t xml:space="preserve">Artikel 6 </w:t>
            </w:r>
          </w:p>
        </w:tc>
      </w:tr>
      <w:tr w:rsidR="00A27597">
        <w:tc>
          <w:tcPr>
            <w:tcW w:w="4224" w:type="dxa"/>
          </w:tcPr>
          <w:p w:rsidR="00A27597" w:rsidRDefault="00A27597">
            <w:pPr>
              <w:pStyle w:val="GesAbsatz"/>
            </w:pPr>
            <w:r>
              <w:t xml:space="preserve">Artikel 7 </w:t>
            </w:r>
          </w:p>
        </w:tc>
        <w:tc>
          <w:tcPr>
            <w:tcW w:w="3264" w:type="dxa"/>
          </w:tcPr>
          <w:p w:rsidR="00A27597" w:rsidRDefault="00A27597">
            <w:pPr>
              <w:pStyle w:val="GesAbsatz"/>
            </w:pPr>
            <w:r>
              <w:t xml:space="preserve">Artikel 7 </w:t>
            </w:r>
          </w:p>
        </w:tc>
      </w:tr>
      <w:tr w:rsidR="00A27597">
        <w:tc>
          <w:tcPr>
            <w:tcW w:w="4224" w:type="dxa"/>
          </w:tcPr>
          <w:p w:rsidR="00A27597" w:rsidRDefault="00A27597">
            <w:pPr>
              <w:pStyle w:val="GesAbsatz"/>
            </w:pPr>
            <w:r>
              <w:t xml:space="preserve">Artikel 8 </w:t>
            </w:r>
          </w:p>
        </w:tc>
        <w:tc>
          <w:tcPr>
            <w:tcW w:w="3264" w:type="dxa"/>
          </w:tcPr>
          <w:p w:rsidR="00A27597" w:rsidRDefault="00A27597">
            <w:pPr>
              <w:pStyle w:val="GesAbsatz"/>
            </w:pPr>
            <w:r>
              <w:t xml:space="preserve">Artikel 8 </w:t>
            </w:r>
          </w:p>
        </w:tc>
      </w:tr>
      <w:tr w:rsidR="00A27597">
        <w:tc>
          <w:tcPr>
            <w:tcW w:w="4224" w:type="dxa"/>
          </w:tcPr>
          <w:p w:rsidR="00A27597" w:rsidRDefault="00A27597">
            <w:pPr>
              <w:pStyle w:val="GesAbsatz"/>
            </w:pPr>
            <w:r>
              <w:t xml:space="preserve">Artikel 9 </w:t>
            </w:r>
          </w:p>
        </w:tc>
        <w:tc>
          <w:tcPr>
            <w:tcW w:w="3264" w:type="dxa"/>
          </w:tcPr>
          <w:p w:rsidR="00A27597" w:rsidRDefault="00A27597">
            <w:pPr>
              <w:pStyle w:val="GesAbsatz"/>
            </w:pPr>
            <w:r>
              <w:t xml:space="preserve">Artikel 9 </w:t>
            </w:r>
          </w:p>
        </w:tc>
      </w:tr>
      <w:tr w:rsidR="00A27597">
        <w:tc>
          <w:tcPr>
            <w:tcW w:w="4224" w:type="dxa"/>
          </w:tcPr>
          <w:p w:rsidR="00A27597" w:rsidRDefault="00A27597">
            <w:pPr>
              <w:pStyle w:val="GesAbsatz"/>
            </w:pPr>
            <w:r>
              <w:t xml:space="preserve">Artikel 10 </w:t>
            </w:r>
          </w:p>
        </w:tc>
        <w:tc>
          <w:tcPr>
            <w:tcW w:w="3264" w:type="dxa"/>
          </w:tcPr>
          <w:p w:rsidR="00A27597" w:rsidRDefault="00A27597">
            <w:pPr>
              <w:pStyle w:val="GesAbsatz"/>
            </w:pPr>
            <w:r>
              <w:t xml:space="preserve">Artikel 10 </w:t>
            </w:r>
          </w:p>
        </w:tc>
      </w:tr>
      <w:tr w:rsidR="00A27597">
        <w:tc>
          <w:tcPr>
            <w:tcW w:w="4224" w:type="dxa"/>
          </w:tcPr>
          <w:p w:rsidR="00A27597" w:rsidRDefault="00A27597">
            <w:pPr>
              <w:pStyle w:val="GesAbsatz"/>
            </w:pPr>
            <w:r>
              <w:t xml:space="preserve">Artikel 11 </w:t>
            </w:r>
          </w:p>
        </w:tc>
        <w:tc>
          <w:tcPr>
            <w:tcW w:w="3264" w:type="dxa"/>
          </w:tcPr>
          <w:p w:rsidR="00A27597" w:rsidRDefault="00A27597">
            <w:pPr>
              <w:pStyle w:val="GesAbsatz"/>
            </w:pPr>
            <w:r>
              <w:t xml:space="preserve">Artikel 11 </w:t>
            </w:r>
          </w:p>
        </w:tc>
      </w:tr>
      <w:tr w:rsidR="00A27597">
        <w:tc>
          <w:tcPr>
            <w:tcW w:w="4224" w:type="dxa"/>
          </w:tcPr>
          <w:p w:rsidR="00A27597" w:rsidRDefault="00A27597">
            <w:pPr>
              <w:pStyle w:val="GesAbsatz"/>
            </w:pPr>
            <w:r>
              <w:t xml:space="preserve">Artikel 12 </w:t>
            </w:r>
          </w:p>
        </w:tc>
        <w:tc>
          <w:tcPr>
            <w:tcW w:w="3264" w:type="dxa"/>
          </w:tcPr>
          <w:p w:rsidR="00A27597" w:rsidRDefault="00A27597">
            <w:pPr>
              <w:pStyle w:val="GesAbsatz"/>
            </w:pPr>
            <w:r>
              <w:t xml:space="preserve">Artikel 12 </w:t>
            </w:r>
          </w:p>
        </w:tc>
      </w:tr>
      <w:tr w:rsidR="00A27597">
        <w:tc>
          <w:tcPr>
            <w:tcW w:w="4224" w:type="dxa"/>
          </w:tcPr>
          <w:p w:rsidR="00A27597" w:rsidRDefault="00A27597">
            <w:pPr>
              <w:pStyle w:val="GesAbsatz"/>
            </w:pPr>
            <w:r>
              <w:t xml:space="preserve">- </w:t>
            </w:r>
          </w:p>
        </w:tc>
        <w:tc>
          <w:tcPr>
            <w:tcW w:w="3264" w:type="dxa"/>
          </w:tcPr>
          <w:p w:rsidR="00A27597" w:rsidRDefault="00A27597">
            <w:pPr>
              <w:pStyle w:val="GesAbsatz"/>
            </w:pPr>
            <w:r>
              <w:t xml:space="preserve">Artikel 13 </w:t>
            </w:r>
          </w:p>
        </w:tc>
      </w:tr>
      <w:tr w:rsidR="00A27597">
        <w:tc>
          <w:tcPr>
            <w:tcW w:w="4224" w:type="dxa"/>
          </w:tcPr>
          <w:p w:rsidR="00A27597" w:rsidRDefault="00A27597">
            <w:pPr>
              <w:pStyle w:val="GesAbsatz"/>
            </w:pPr>
            <w:r>
              <w:t xml:space="preserve">- </w:t>
            </w:r>
          </w:p>
        </w:tc>
        <w:tc>
          <w:tcPr>
            <w:tcW w:w="3264" w:type="dxa"/>
          </w:tcPr>
          <w:p w:rsidR="00A27597" w:rsidRDefault="00A27597">
            <w:pPr>
              <w:pStyle w:val="GesAbsatz"/>
            </w:pPr>
            <w:r>
              <w:t xml:space="preserve">Artikel 14 </w:t>
            </w:r>
          </w:p>
        </w:tc>
      </w:tr>
      <w:tr w:rsidR="00A27597">
        <w:tc>
          <w:tcPr>
            <w:tcW w:w="4224" w:type="dxa"/>
          </w:tcPr>
          <w:p w:rsidR="00A27597" w:rsidRDefault="00A27597">
            <w:pPr>
              <w:pStyle w:val="GesAbsatz"/>
            </w:pPr>
            <w:r>
              <w:t xml:space="preserve">- </w:t>
            </w:r>
          </w:p>
        </w:tc>
        <w:tc>
          <w:tcPr>
            <w:tcW w:w="3264" w:type="dxa"/>
          </w:tcPr>
          <w:p w:rsidR="00A27597" w:rsidRDefault="00A27597">
            <w:pPr>
              <w:pStyle w:val="GesAbsatz"/>
            </w:pPr>
            <w:r>
              <w:t xml:space="preserve">Artikel 15 </w:t>
            </w:r>
          </w:p>
        </w:tc>
      </w:tr>
      <w:tr w:rsidR="00A27597">
        <w:tc>
          <w:tcPr>
            <w:tcW w:w="4224" w:type="dxa"/>
          </w:tcPr>
          <w:p w:rsidR="00A27597" w:rsidRDefault="00A27597">
            <w:pPr>
              <w:pStyle w:val="GesAbsatz"/>
            </w:pPr>
            <w:r>
              <w:t xml:space="preserve">Anhang I </w:t>
            </w:r>
          </w:p>
        </w:tc>
        <w:tc>
          <w:tcPr>
            <w:tcW w:w="3264" w:type="dxa"/>
          </w:tcPr>
          <w:p w:rsidR="00A27597" w:rsidRDefault="00A27597">
            <w:pPr>
              <w:pStyle w:val="GesAbsatz"/>
            </w:pPr>
            <w:r>
              <w:t xml:space="preserve">Anhang I </w:t>
            </w:r>
          </w:p>
        </w:tc>
      </w:tr>
      <w:tr w:rsidR="00A27597">
        <w:tc>
          <w:tcPr>
            <w:tcW w:w="4224" w:type="dxa"/>
          </w:tcPr>
          <w:p w:rsidR="00A27597" w:rsidRDefault="00A27597">
            <w:pPr>
              <w:pStyle w:val="GesAbsatz"/>
            </w:pPr>
            <w:r>
              <w:t xml:space="preserve">Anhang II </w:t>
            </w:r>
          </w:p>
        </w:tc>
        <w:tc>
          <w:tcPr>
            <w:tcW w:w="3264" w:type="dxa"/>
          </w:tcPr>
          <w:p w:rsidR="00A27597" w:rsidRDefault="00A27597">
            <w:pPr>
              <w:pStyle w:val="GesAbsatz"/>
            </w:pPr>
            <w:r>
              <w:t xml:space="preserve">Anhang II </w:t>
            </w:r>
          </w:p>
        </w:tc>
      </w:tr>
      <w:tr w:rsidR="00A27597">
        <w:tc>
          <w:tcPr>
            <w:tcW w:w="4224" w:type="dxa"/>
          </w:tcPr>
          <w:p w:rsidR="00A27597" w:rsidRDefault="00A27597">
            <w:pPr>
              <w:pStyle w:val="GesAbsatz"/>
            </w:pPr>
            <w:r>
              <w:t xml:space="preserve">- </w:t>
            </w:r>
          </w:p>
        </w:tc>
        <w:tc>
          <w:tcPr>
            <w:tcW w:w="3264" w:type="dxa"/>
          </w:tcPr>
          <w:p w:rsidR="00A27597" w:rsidRDefault="00A27597">
            <w:pPr>
              <w:pStyle w:val="GesAbsatz"/>
            </w:pPr>
            <w:r>
              <w:t xml:space="preserve">Anhang III </w:t>
            </w:r>
          </w:p>
        </w:tc>
      </w:tr>
      <w:tr w:rsidR="00A27597">
        <w:tc>
          <w:tcPr>
            <w:tcW w:w="4224" w:type="dxa"/>
          </w:tcPr>
          <w:p w:rsidR="00A27597" w:rsidRDefault="00A27597">
            <w:pPr>
              <w:pStyle w:val="GesAbsatz"/>
            </w:pPr>
            <w:r>
              <w:t xml:space="preserve">- </w:t>
            </w:r>
          </w:p>
        </w:tc>
        <w:tc>
          <w:tcPr>
            <w:tcW w:w="3264" w:type="dxa"/>
          </w:tcPr>
          <w:p w:rsidR="00A27597" w:rsidRDefault="00A27597">
            <w:pPr>
              <w:pStyle w:val="GesAbsatz"/>
            </w:pPr>
            <w:r>
              <w:t xml:space="preserve">Anhang IV </w:t>
            </w:r>
          </w:p>
        </w:tc>
      </w:tr>
    </w:tbl>
    <w:p w:rsidR="00A27597" w:rsidRDefault="00A27597">
      <w:pPr>
        <w:pStyle w:val="GesAbsatz"/>
      </w:pPr>
    </w:p>
    <w:p w:rsidR="00A27597" w:rsidRDefault="00A27597">
      <w:pPr>
        <w:pStyle w:val="GesAbsatz"/>
      </w:pPr>
    </w:p>
    <w:p w:rsidR="00A27597" w:rsidRDefault="00A27597">
      <w:pPr>
        <w:pStyle w:val="GesAbsatz"/>
      </w:pPr>
    </w:p>
    <w:p w:rsidR="00A27597" w:rsidRDefault="00A27597">
      <w:pPr>
        <w:pStyle w:val="berschrift2"/>
        <w:jc w:val="left"/>
      </w:pPr>
      <w:r>
        <w:br w:type="page"/>
      </w:r>
      <w:bookmarkStart w:id="21" w:name="_Toc383072509"/>
      <w:r>
        <w:lastRenderedPageBreak/>
        <w:t>Anhang V.</w:t>
      </w:r>
      <w:bookmarkEnd w:id="21"/>
    </w:p>
    <w:p w:rsidR="00A27597" w:rsidRDefault="00A27597">
      <w:pPr>
        <w:pStyle w:val="GesAbsatz"/>
      </w:pPr>
      <w:r>
        <w:t xml:space="preserve">Beispielliste der nicht unter Artikel 1 Nummer 2 Unterabsatz 2 fallenden Dienste </w:t>
      </w:r>
    </w:p>
    <w:p w:rsidR="00A27597" w:rsidRDefault="00A27597">
      <w:pPr>
        <w:pStyle w:val="GesAbsatz"/>
        <w:rPr>
          <w:b/>
        </w:rPr>
      </w:pPr>
      <w:r>
        <w:rPr>
          <w:b/>
        </w:rPr>
        <w:t xml:space="preserve">1. Nicht </w:t>
      </w:r>
      <w:r w:rsidR="00AA5C1A">
        <w:rPr>
          <w:b/>
        </w:rPr>
        <w:t>„</w:t>
      </w:r>
      <w:r>
        <w:rPr>
          <w:b/>
        </w:rPr>
        <w:t>im Fernabsatz</w:t>
      </w:r>
      <w:r w:rsidR="00AA5C1A">
        <w:rPr>
          <w:b/>
        </w:rPr>
        <w:t>“</w:t>
      </w:r>
      <w:r>
        <w:rPr>
          <w:b/>
        </w:rPr>
        <w:t xml:space="preserve"> erbrachte Dienste </w:t>
      </w:r>
    </w:p>
    <w:p w:rsidR="00A27597" w:rsidRDefault="00A27597">
      <w:pPr>
        <w:pStyle w:val="GesAbsatz"/>
      </w:pPr>
      <w:r>
        <w:t xml:space="preserve">Dienste, bei deren Erbringung der Erbringer und der Empfänger gleichzeitig physisch anwesend sind, selbst wenn dabei elektronische Geräte benutzt werden: </w:t>
      </w:r>
    </w:p>
    <w:p w:rsidR="00A27597" w:rsidRDefault="00AA5C1A" w:rsidP="00AA5C1A">
      <w:pPr>
        <w:pStyle w:val="GesAbsatz"/>
        <w:tabs>
          <w:tab w:val="clear" w:pos="425"/>
        </w:tabs>
        <w:ind w:left="426" w:hanging="426"/>
      </w:pPr>
      <w:r>
        <w:t>a)</w:t>
      </w:r>
      <w:r>
        <w:tab/>
      </w:r>
      <w:r w:rsidR="00A27597">
        <w:t xml:space="preserve">Untersuchung oder Behandlung in der Praxis eines Arztes mit Hilfe elektronischer Geräte, aber in Anwesenheit des Patienten; </w:t>
      </w:r>
    </w:p>
    <w:p w:rsidR="00A27597" w:rsidRDefault="00AA5C1A" w:rsidP="00AA5C1A">
      <w:pPr>
        <w:pStyle w:val="GesAbsatz"/>
        <w:tabs>
          <w:tab w:val="clear" w:pos="425"/>
        </w:tabs>
        <w:ind w:left="426" w:hanging="426"/>
      </w:pPr>
      <w:r>
        <w:t>b)</w:t>
      </w:r>
      <w:r>
        <w:tab/>
      </w:r>
      <w:r w:rsidR="00A27597">
        <w:t xml:space="preserve">Konsultation eines elektronischen Katalogs in einem Geschäft in Anwesenheit des Kunden; </w:t>
      </w:r>
    </w:p>
    <w:p w:rsidR="00A27597" w:rsidRDefault="00AA5C1A" w:rsidP="00AA5C1A">
      <w:pPr>
        <w:pStyle w:val="GesAbsatz"/>
        <w:tabs>
          <w:tab w:val="clear" w:pos="425"/>
        </w:tabs>
        <w:ind w:left="426" w:hanging="426"/>
      </w:pPr>
      <w:r>
        <w:t>c)</w:t>
      </w:r>
      <w:r>
        <w:tab/>
      </w:r>
      <w:r w:rsidR="00A27597">
        <w:t xml:space="preserve">Buchung eines Flugtickets über ein Computernetz, wenn sie in einem Reisebüro in Anwesenheit des Kunden vorgenommen wird; </w:t>
      </w:r>
    </w:p>
    <w:p w:rsidR="00A27597" w:rsidRDefault="00AA5C1A" w:rsidP="00AA5C1A">
      <w:pPr>
        <w:pStyle w:val="GesAbsatz"/>
        <w:tabs>
          <w:tab w:val="clear" w:pos="425"/>
        </w:tabs>
        <w:ind w:left="426" w:hanging="426"/>
      </w:pPr>
      <w:r>
        <w:t>d)</w:t>
      </w:r>
      <w:r>
        <w:tab/>
      </w:r>
      <w:r w:rsidR="00A27597">
        <w:t xml:space="preserve">Bereitstellung elektronischer Spiele in einer Spielhalle in Anwesenheit des Benutzers. </w:t>
      </w:r>
    </w:p>
    <w:p w:rsidR="00A27597" w:rsidRDefault="00A27597">
      <w:pPr>
        <w:pStyle w:val="GesAbsatz"/>
        <w:rPr>
          <w:b/>
        </w:rPr>
      </w:pPr>
      <w:r>
        <w:rPr>
          <w:b/>
        </w:rPr>
        <w:t xml:space="preserve">2. Nicht </w:t>
      </w:r>
      <w:r w:rsidR="00AA5C1A">
        <w:rPr>
          <w:b/>
        </w:rPr>
        <w:t>„</w:t>
      </w:r>
      <w:r>
        <w:rPr>
          <w:b/>
        </w:rPr>
        <w:t>elektronisch</w:t>
      </w:r>
      <w:r w:rsidR="00AA5C1A">
        <w:rPr>
          <w:b/>
        </w:rPr>
        <w:t>“</w:t>
      </w:r>
      <w:r>
        <w:rPr>
          <w:b/>
        </w:rPr>
        <w:t xml:space="preserve"> erbrachte Dienste </w:t>
      </w:r>
    </w:p>
    <w:p w:rsidR="00A27597" w:rsidRDefault="00A27597">
      <w:pPr>
        <w:pStyle w:val="GesAbsatz"/>
      </w:pPr>
      <w:r>
        <w:t>-</w:t>
      </w:r>
      <w:r>
        <w:tab/>
        <w:t xml:space="preserve">Dienste, die zwar mit elektronischen Geräten, aber in materieller Form erbracht werden: </w:t>
      </w:r>
    </w:p>
    <w:p w:rsidR="00A27597" w:rsidRDefault="00AA5C1A" w:rsidP="00AA5C1A">
      <w:pPr>
        <w:pStyle w:val="GesAbsatz"/>
        <w:tabs>
          <w:tab w:val="clear" w:pos="425"/>
        </w:tabs>
        <w:ind w:left="851" w:hanging="425"/>
      </w:pPr>
      <w:r>
        <w:t>a)</w:t>
      </w:r>
      <w:r>
        <w:tab/>
      </w:r>
      <w:r w:rsidR="00A27597">
        <w:t xml:space="preserve">Geldausgabe- oder Fahrkartenautomaten; </w:t>
      </w:r>
    </w:p>
    <w:p w:rsidR="00A27597" w:rsidRDefault="00AA5C1A" w:rsidP="00AA5C1A">
      <w:pPr>
        <w:pStyle w:val="GesAbsatz"/>
        <w:tabs>
          <w:tab w:val="clear" w:pos="425"/>
        </w:tabs>
        <w:ind w:left="851" w:hanging="425"/>
      </w:pPr>
      <w:r>
        <w:t>b)</w:t>
      </w:r>
      <w:r>
        <w:tab/>
      </w:r>
      <w:r w:rsidR="00A27597">
        <w:t>Zugang zu gebührenpflichtigen Straßennetzen, Parkplätzen usw., auch wenn elektronische Geräte bei der Ein- und/oder Ausfahrt den Zugang kontrollieren und/oder die korrekte Gebührenentrichtung gewährleisten;</w:t>
      </w:r>
    </w:p>
    <w:p w:rsidR="00A27597" w:rsidRDefault="00A27597">
      <w:pPr>
        <w:pStyle w:val="GesAbsatz"/>
      </w:pPr>
      <w:r>
        <w:t>-</w:t>
      </w:r>
      <w:r>
        <w:tab/>
        <w:t xml:space="preserve">Offline-Dienste: Vertrieb von CD-ROM oder Software auf Disketten; </w:t>
      </w:r>
    </w:p>
    <w:p w:rsidR="00A27597" w:rsidRDefault="00A27597">
      <w:pPr>
        <w:pStyle w:val="GesAbsatz"/>
      </w:pPr>
      <w:r>
        <w:t>-</w:t>
      </w:r>
      <w:r>
        <w:tab/>
        <w:t xml:space="preserve">Dienste, die nicht über elektronische Verarbeitungs- und Speicherungssysteme erbracht werden: </w:t>
      </w:r>
    </w:p>
    <w:p w:rsidR="00A27597" w:rsidRDefault="00A27597" w:rsidP="00AA5C1A">
      <w:pPr>
        <w:pStyle w:val="GesAbsatz"/>
        <w:tabs>
          <w:tab w:val="clear" w:pos="425"/>
          <w:tab w:val="left" w:pos="851"/>
        </w:tabs>
        <w:ind w:left="426"/>
      </w:pPr>
      <w:r>
        <w:t>a)</w:t>
      </w:r>
      <w:r>
        <w:tab/>
        <w:t xml:space="preserve">Sprachtelefondienste; </w:t>
      </w:r>
    </w:p>
    <w:p w:rsidR="00A27597" w:rsidRDefault="00A27597" w:rsidP="00AA5C1A">
      <w:pPr>
        <w:pStyle w:val="GesAbsatz"/>
        <w:tabs>
          <w:tab w:val="clear" w:pos="425"/>
          <w:tab w:val="left" w:pos="851"/>
        </w:tabs>
        <w:ind w:left="426"/>
      </w:pPr>
      <w:r>
        <w:t>b)</w:t>
      </w:r>
      <w:r>
        <w:tab/>
        <w:t xml:space="preserve">Telefax-/Telexdienste; </w:t>
      </w:r>
    </w:p>
    <w:p w:rsidR="00A27597" w:rsidRDefault="00A27597" w:rsidP="00AA5C1A">
      <w:pPr>
        <w:pStyle w:val="GesAbsatz"/>
        <w:tabs>
          <w:tab w:val="clear" w:pos="425"/>
          <w:tab w:val="left" w:pos="851"/>
        </w:tabs>
        <w:ind w:left="426"/>
      </w:pPr>
      <w:r>
        <w:t>c)</w:t>
      </w:r>
      <w:r>
        <w:tab/>
        <w:t xml:space="preserve">über Sprachtelefon oder Telefax erbrachte Dienste; </w:t>
      </w:r>
    </w:p>
    <w:p w:rsidR="00A27597" w:rsidRDefault="00A27597" w:rsidP="00AA5C1A">
      <w:pPr>
        <w:pStyle w:val="GesAbsatz"/>
        <w:tabs>
          <w:tab w:val="clear" w:pos="425"/>
          <w:tab w:val="left" w:pos="851"/>
        </w:tabs>
        <w:ind w:left="426"/>
      </w:pPr>
      <w:r>
        <w:t>d)</w:t>
      </w:r>
      <w:r>
        <w:tab/>
        <w:t xml:space="preserve">medizinische Beratung per Telefon/Telefax; </w:t>
      </w:r>
    </w:p>
    <w:p w:rsidR="00A27597" w:rsidRDefault="00A27597" w:rsidP="00AA5C1A">
      <w:pPr>
        <w:pStyle w:val="GesAbsatz"/>
        <w:tabs>
          <w:tab w:val="clear" w:pos="425"/>
          <w:tab w:val="left" w:pos="851"/>
        </w:tabs>
        <w:ind w:left="426"/>
      </w:pPr>
      <w:r>
        <w:t>e)</w:t>
      </w:r>
      <w:r>
        <w:tab/>
        <w:t xml:space="preserve">anwaltliche Beratung per Telefon/Telefax; </w:t>
      </w:r>
    </w:p>
    <w:p w:rsidR="00A27597" w:rsidRDefault="00A27597" w:rsidP="00AA5C1A">
      <w:pPr>
        <w:pStyle w:val="GesAbsatz"/>
        <w:tabs>
          <w:tab w:val="clear" w:pos="425"/>
          <w:tab w:val="left" w:pos="851"/>
        </w:tabs>
        <w:ind w:left="426"/>
      </w:pPr>
      <w:r>
        <w:t>f)</w:t>
      </w:r>
      <w:r>
        <w:tab/>
        <w:t>Direktmarketing per Telefon/Telefax.</w:t>
      </w:r>
    </w:p>
    <w:p w:rsidR="00A27597" w:rsidRDefault="00A27597">
      <w:pPr>
        <w:pStyle w:val="GesAbsatz"/>
        <w:rPr>
          <w:b/>
        </w:rPr>
      </w:pPr>
      <w:r>
        <w:rPr>
          <w:b/>
        </w:rPr>
        <w:t xml:space="preserve">3. Nicht </w:t>
      </w:r>
      <w:r w:rsidR="00AA5C1A">
        <w:rPr>
          <w:b/>
        </w:rPr>
        <w:t>„</w:t>
      </w:r>
      <w:r>
        <w:rPr>
          <w:b/>
        </w:rPr>
        <w:t>auf individuellen Abruf eines Empfängers</w:t>
      </w:r>
      <w:r w:rsidR="00AA5C1A">
        <w:rPr>
          <w:b/>
        </w:rPr>
        <w:t>“</w:t>
      </w:r>
      <w:r>
        <w:rPr>
          <w:b/>
        </w:rPr>
        <w:t xml:space="preserve"> erbrachte Dienste </w:t>
      </w:r>
    </w:p>
    <w:p w:rsidR="00A27597" w:rsidRDefault="00A27597">
      <w:pPr>
        <w:pStyle w:val="GesAbsatz"/>
      </w:pPr>
      <w:r>
        <w:t xml:space="preserve">Dienste, die im Wege einer Übertragung von Daten ohne individuellen Abruf gleichzeitig für eine unbegrenzte Zahl von einzelnen Empfängern erbracht werden (Punkt-zu-Mehrpunkt-Übertragung): </w:t>
      </w:r>
    </w:p>
    <w:p w:rsidR="00A27597" w:rsidRDefault="00AA5C1A" w:rsidP="00AA5C1A">
      <w:pPr>
        <w:pStyle w:val="GesAbsatz"/>
        <w:tabs>
          <w:tab w:val="clear" w:pos="425"/>
        </w:tabs>
        <w:ind w:left="426" w:hanging="426"/>
      </w:pPr>
      <w:r>
        <w:t>a)</w:t>
      </w:r>
      <w:r>
        <w:tab/>
      </w:r>
      <w:r w:rsidR="00A27597">
        <w:t xml:space="preserve">Fernsehdienste (einschließlich zeitversetzter Video-Abruf) nach Artikel 1 Buchstabe a) der Richtlinie 89/552/EWG; </w:t>
      </w:r>
    </w:p>
    <w:p w:rsidR="00A27597" w:rsidRDefault="00AA5C1A" w:rsidP="00AA5C1A">
      <w:pPr>
        <w:pStyle w:val="GesAbsatz"/>
        <w:tabs>
          <w:tab w:val="clear" w:pos="425"/>
        </w:tabs>
        <w:ind w:left="426" w:hanging="426"/>
      </w:pPr>
      <w:r>
        <w:t>b)</w:t>
      </w:r>
      <w:r>
        <w:tab/>
      </w:r>
      <w:r w:rsidR="00A27597">
        <w:t xml:space="preserve">Hörfunkdienste; </w:t>
      </w:r>
    </w:p>
    <w:p w:rsidR="00A27597" w:rsidRDefault="00AA5C1A" w:rsidP="00AA5C1A">
      <w:pPr>
        <w:pStyle w:val="GesAbsatz"/>
        <w:tabs>
          <w:tab w:val="clear" w:pos="425"/>
        </w:tabs>
        <w:ind w:left="426" w:hanging="426"/>
      </w:pPr>
      <w:r>
        <w:t>c)</w:t>
      </w:r>
      <w:r>
        <w:tab/>
      </w:r>
      <w:r w:rsidR="00A27597">
        <w:t xml:space="preserve">Teletext (über Fernsehsignal). </w:t>
      </w:r>
    </w:p>
    <w:p w:rsidR="00A27597" w:rsidRDefault="00A27597">
      <w:pPr>
        <w:pStyle w:val="berschrift2"/>
        <w:jc w:val="left"/>
      </w:pPr>
      <w:bookmarkStart w:id="22" w:name="_Toc383072510"/>
      <w:r>
        <w:t>Anhang VI</w:t>
      </w:r>
      <w:bookmarkEnd w:id="22"/>
    </w:p>
    <w:p w:rsidR="00A27597" w:rsidRDefault="00A27597">
      <w:pPr>
        <w:pStyle w:val="GesAbsatz"/>
      </w:pPr>
      <w:r>
        <w:t xml:space="preserve">Nicht erschöpfende Liste der Finanzdienstleistungen nach Artikel 1 Nummer 5 Unterabsatz 3 </w:t>
      </w:r>
    </w:p>
    <w:p w:rsidR="00A27597" w:rsidRDefault="00A27597">
      <w:pPr>
        <w:pStyle w:val="GesAbsatz"/>
      </w:pPr>
      <w:r>
        <w:t>-</w:t>
      </w:r>
      <w:r>
        <w:tab/>
        <w:t xml:space="preserve">Wertpapierdienstleistungen; </w:t>
      </w:r>
    </w:p>
    <w:p w:rsidR="00A27597" w:rsidRDefault="00A27597">
      <w:pPr>
        <w:pStyle w:val="GesAbsatz"/>
      </w:pPr>
      <w:r>
        <w:t>-</w:t>
      </w:r>
      <w:r>
        <w:tab/>
        <w:t xml:space="preserve">Versicherungs- und Rückversicherungsgeschäfte; </w:t>
      </w:r>
    </w:p>
    <w:p w:rsidR="00A27597" w:rsidRDefault="00A27597">
      <w:pPr>
        <w:pStyle w:val="GesAbsatz"/>
      </w:pPr>
      <w:r>
        <w:t>-</w:t>
      </w:r>
      <w:r>
        <w:tab/>
        <w:t xml:space="preserve">Bankdienstleistungen; </w:t>
      </w:r>
    </w:p>
    <w:p w:rsidR="00A27597" w:rsidRDefault="00A27597">
      <w:pPr>
        <w:pStyle w:val="GesAbsatz"/>
      </w:pPr>
      <w:r>
        <w:t>-</w:t>
      </w:r>
      <w:r>
        <w:tab/>
        <w:t xml:space="preserve">Tätigkeiten im Zusammenhang mit Pensionsfonds; </w:t>
      </w:r>
    </w:p>
    <w:p w:rsidR="00A27597" w:rsidRDefault="00A27597">
      <w:pPr>
        <w:pStyle w:val="GesAbsatz"/>
      </w:pPr>
      <w:r>
        <w:t>-</w:t>
      </w:r>
      <w:r>
        <w:tab/>
        <w:t xml:space="preserve">Dienstleistungen im Zusammenhang mit Termin- oder Optionsgeschäften. </w:t>
      </w:r>
    </w:p>
    <w:p w:rsidR="00A27597" w:rsidRDefault="00A27597">
      <w:pPr>
        <w:pStyle w:val="GesAbsatz"/>
      </w:pPr>
      <w:r>
        <w:t xml:space="preserve">Diese Dienstleistungen umfassen insbesondere: </w:t>
      </w:r>
    </w:p>
    <w:p w:rsidR="00A27597" w:rsidRDefault="00AA5C1A" w:rsidP="00AA5C1A">
      <w:pPr>
        <w:pStyle w:val="GesAbsatz"/>
        <w:ind w:left="426" w:hanging="426"/>
      </w:pPr>
      <w:r>
        <w:t>a)</w:t>
      </w:r>
      <w:r>
        <w:tab/>
      </w:r>
      <w:r w:rsidR="00A27597">
        <w:t xml:space="preserve">Wertpapierdienstleistungen gemäß dem Anhang der Richtlinie 93/22/EWG; Dienstleistungen von Wertpapierfirmen für gemeinsame Anlagen; </w:t>
      </w:r>
    </w:p>
    <w:p w:rsidR="00A27597" w:rsidRDefault="00AA5C1A" w:rsidP="00AA5C1A">
      <w:pPr>
        <w:pStyle w:val="GesAbsatz"/>
        <w:ind w:left="426" w:hanging="426"/>
      </w:pPr>
      <w:r>
        <w:t>b)</w:t>
      </w:r>
      <w:r>
        <w:tab/>
      </w:r>
      <w:r w:rsidR="00A27597">
        <w:t xml:space="preserve">Dienstleistungen im Zusammenhang mit den im Anhang der Richtlinie 89/646/EWG genannten Tätigkeiten, für die die gegenseitige Anerkennung gilt; </w:t>
      </w:r>
    </w:p>
    <w:p w:rsidR="00A27597" w:rsidRDefault="00AA5C1A" w:rsidP="00AA5C1A">
      <w:pPr>
        <w:pStyle w:val="GesAbsatz"/>
        <w:ind w:left="426" w:hanging="426"/>
      </w:pPr>
      <w:r>
        <w:t>c)</w:t>
      </w:r>
      <w:r>
        <w:tab/>
      </w:r>
      <w:r w:rsidR="00A27597">
        <w:t xml:space="preserve">Versicherungs- und Rückversicherungsgeschäfte gemäß </w:t>
      </w:r>
    </w:p>
    <w:p w:rsidR="00A27597" w:rsidRDefault="00A27597" w:rsidP="00AA5C1A">
      <w:pPr>
        <w:pStyle w:val="GesAbsatz"/>
        <w:ind w:left="851" w:hanging="425"/>
      </w:pPr>
      <w:r>
        <w:t>-</w:t>
      </w:r>
      <w:r>
        <w:tab/>
        <w:t xml:space="preserve">Artikel 1 der Richtlinie 73/239/EWG, </w:t>
      </w:r>
    </w:p>
    <w:p w:rsidR="00A27597" w:rsidRDefault="00A27597" w:rsidP="00AA5C1A">
      <w:pPr>
        <w:pStyle w:val="GesAbsatz"/>
        <w:ind w:left="851" w:hanging="425"/>
      </w:pPr>
      <w:r>
        <w:lastRenderedPageBreak/>
        <w:t>-</w:t>
      </w:r>
      <w:r>
        <w:tab/>
        <w:t xml:space="preserve">dem Anhang der Richtlinie 79/267/EWG, </w:t>
      </w:r>
    </w:p>
    <w:p w:rsidR="00A27597" w:rsidRDefault="00A27597" w:rsidP="00AA5C1A">
      <w:pPr>
        <w:pStyle w:val="GesAbsatz"/>
        <w:ind w:left="851" w:hanging="425"/>
      </w:pPr>
      <w:r>
        <w:t>-</w:t>
      </w:r>
      <w:r>
        <w:tab/>
        <w:t xml:space="preserve">der Richtlinie 64/225/EWG, </w:t>
      </w:r>
    </w:p>
    <w:p w:rsidR="00A27597" w:rsidRDefault="00A27597" w:rsidP="00AA5C1A">
      <w:pPr>
        <w:pStyle w:val="GesAbsatz"/>
        <w:ind w:left="851" w:hanging="425"/>
      </w:pPr>
      <w:r>
        <w:t>-</w:t>
      </w:r>
      <w:r>
        <w:tab/>
        <w:t>den Richtlinien 92/49/EWG und 92/96/EWG.</w:t>
      </w:r>
    </w:p>
    <w:p w:rsidR="00D63B64" w:rsidRDefault="00D63B64" w:rsidP="00AA5C1A">
      <w:pPr>
        <w:pStyle w:val="GesAbsatz"/>
        <w:ind w:left="851" w:hanging="425"/>
      </w:pPr>
    </w:p>
    <w:p w:rsidR="00D63B64" w:rsidRDefault="00D63B64" w:rsidP="00AA5C1A">
      <w:pPr>
        <w:pStyle w:val="GesAbsatz"/>
        <w:ind w:left="851" w:hanging="425"/>
      </w:pPr>
    </w:p>
    <w:p w:rsidR="00D63B64" w:rsidRDefault="00D63B64" w:rsidP="00AA5C1A">
      <w:pPr>
        <w:pStyle w:val="GesAbsatz"/>
        <w:ind w:left="851" w:hanging="425"/>
      </w:pPr>
    </w:p>
    <w:p w:rsidR="00D63B64" w:rsidRDefault="00D63B64" w:rsidP="00AA5C1A">
      <w:pPr>
        <w:pStyle w:val="GesAbsatz"/>
        <w:ind w:left="851" w:hanging="425"/>
      </w:pPr>
    </w:p>
    <w:p w:rsidR="00D63B64" w:rsidRDefault="00D63B64" w:rsidP="00AA5C1A">
      <w:pPr>
        <w:pStyle w:val="GesAbsatz"/>
        <w:ind w:left="851" w:hanging="425"/>
      </w:pPr>
    </w:p>
    <w:p w:rsidR="00D63B64" w:rsidRDefault="00D63B64" w:rsidP="00AA5C1A">
      <w:pPr>
        <w:pStyle w:val="GesAbsatz"/>
        <w:ind w:left="851" w:hanging="425"/>
      </w:pPr>
    </w:p>
    <w:sectPr w:rsidR="00D63B64">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3F" w:rsidRDefault="001A6F3F">
      <w:r>
        <w:separator/>
      </w:r>
    </w:p>
  </w:endnote>
  <w:endnote w:type="continuationSeparator" w:id="0">
    <w:p w:rsidR="001A6F3F" w:rsidRDefault="001A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B6" w:rsidRDefault="00EC50B6">
    <w:pPr>
      <w:framePr w:wrap="around" w:vAnchor="text" w:hAnchor="margin" w:xAlign="right" w:y="1"/>
    </w:pPr>
    <w:r>
      <w:fldChar w:fldCharType="begin"/>
    </w:r>
    <w:r>
      <w:instrText xml:space="preserve">PAGE  </w:instrText>
    </w:r>
    <w:r>
      <w:fldChar w:fldCharType="end"/>
    </w:r>
  </w:p>
  <w:p w:rsidR="00EC50B6" w:rsidRDefault="00EC50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B6" w:rsidRPr="002E4999" w:rsidRDefault="00EC50B6" w:rsidP="002E4999">
    <w:pPr>
      <w:pStyle w:val="Fuzeile"/>
    </w:pPr>
    <w:r>
      <w:tab/>
      <w:t xml:space="preserve">22.06.1998 (ABl. </w:t>
    </w:r>
    <w:r w:rsidR="00692041" w:rsidRPr="002E4999">
      <w:t xml:space="preserve">L 204 </w:t>
    </w:r>
    <w:r>
      <w:t xml:space="preserve">v. 21.07.1998 </w:t>
    </w:r>
    <w:r w:rsidRPr="002E4999">
      <w:t>S. 37)</w:t>
    </w:r>
    <w:r w:rsidRPr="002E4999">
      <w:tab/>
      <w:t xml:space="preserve">Seite </w:t>
    </w:r>
    <w:r w:rsidRPr="002E4999">
      <w:fldChar w:fldCharType="begin"/>
    </w:r>
    <w:r w:rsidRPr="002E4999">
      <w:instrText xml:space="preserve"> PAGE  \* MERGEFORMAT </w:instrText>
    </w:r>
    <w:r w:rsidRPr="002E4999">
      <w:fldChar w:fldCharType="separate"/>
    </w:r>
    <w:r w:rsidR="007F7AE9">
      <w:rPr>
        <w:noProof/>
      </w:rPr>
      <w:t>11</w:t>
    </w:r>
    <w:r w:rsidRPr="002E4999">
      <w:fldChar w:fldCharType="end"/>
    </w:r>
  </w:p>
  <w:p w:rsidR="00EC50B6" w:rsidRPr="00692041" w:rsidRDefault="00EC50B6" w:rsidP="002E4999">
    <w:pPr>
      <w:pStyle w:val="Fuzeile"/>
      <w:rPr>
        <w:lang w:val="en-US"/>
      </w:rPr>
    </w:pPr>
    <w:r w:rsidRPr="002E4999">
      <w:tab/>
    </w:r>
    <w:r w:rsidRPr="00692041">
      <w:rPr>
        <w:lang w:val="en-US"/>
      </w:rPr>
      <w:t xml:space="preserve">Stand </w:t>
    </w:r>
    <w:r w:rsidR="00A262AF" w:rsidRPr="00692041">
      <w:rPr>
        <w:lang w:val="en-US"/>
      </w:rPr>
      <w:t>25.10.2012</w:t>
    </w:r>
    <w:r w:rsidRPr="00692041">
      <w:rPr>
        <w:lang w:val="en-US"/>
      </w:rPr>
      <w:t xml:space="preserve"> (</w:t>
    </w:r>
    <w:r w:rsidR="00A262AF" w:rsidRPr="00692041">
      <w:rPr>
        <w:lang w:val="en-US"/>
      </w:rPr>
      <w:t>ABl. L 316 v. 14.11.2012 S. 12</w:t>
    </w:r>
    <w:r w:rsidRPr="0069204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3F" w:rsidRDefault="001A6F3F">
      <w:r>
        <w:separator/>
      </w:r>
    </w:p>
  </w:footnote>
  <w:footnote w:type="continuationSeparator" w:id="0">
    <w:p w:rsidR="001A6F3F" w:rsidRDefault="001A6F3F">
      <w:r>
        <w:continuationSeparator/>
      </w:r>
    </w:p>
  </w:footnote>
  <w:footnote w:id="1">
    <w:p w:rsidR="00EC50B6" w:rsidRDefault="00EC50B6">
      <w:pPr>
        <w:pStyle w:val="Funotentext"/>
      </w:pPr>
      <w:r>
        <w:rPr>
          <w:rStyle w:val="Funotenzeichen"/>
        </w:rPr>
        <w:footnoteRef/>
      </w:r>
      <w:r>
        <w:t xml:space="preserve"> ABl. L 298 vom 17.10.1989, S. 23. Richtlinie geändert durch die Richtlinie 97/36/EG (ABl. L 202 vom 30.07.1997, S. 1).</w:t>
      </w:r>
    </w:p>
  </w:footnote>
  <w:footnote w:id="2">
    <w:p w:rsidR="00EC50B6" w:rsidRDefault="00EC50B6">
      <w:pPr>
        <w:pStyle w:val="Funotentext"/>
      </w:pPr>
      <w:r>
        <w:rPr>
          <w:rStyle w:val="Funotenzeichen"/>
        </w:rPr>
        <w:footnoteRef/>
      </w:r>
      <w:r>
        <w:t xml:space="preserve">  Richtlinie 65/65/EWG des Rates vom 26. Januar 1965 zur Angleichung der Rechts- und Verwaltungsvorschriften über Arzneimittel (ABl. 22 vom 09.02.1965, S. 369/65). Zuletzt geändert durch die Richtlinie 93/39/EWG (ABl. L 214 vom 24.08.1993, S. 22).</w:t>
      </w:r>
    </w:p>
  </w:footnote>
  <w:footnote w:id="3">
    <w:p w:rsidR="00EC50B6" w:rsidRDefault="00EC50B6">
      <w:pPr>
        <w:pStyle w:val="Funotentext"/>
      </w:pPr>
      <w:r>
        <w:rPr>
          <w:rStyle w:val="Funotenzeichen"/>
        </w:rPr>
        <w:footnoteRef/>
      </w:r>
      <w:r>
        <w:t xml:space="preserve"> ABl. L 192 vom 24.07.1990, S. 1. Richtlinie geändert durch die Richtlinie 97/51/EG (ABl. L 295 vom 29.10.1997, S. 23).</w:t>
      </w:r>
    </w:p>
  </w:footnote>
  <w:footnote w:id="4">
    <w:p w:rsidR="00EC50B6" w:rsidRDefault="00EC50B6">
      <w:pPr>
        <w:pStyle w:val="Funotentext"/>
      </w:pPr>
      <w:r>
        <w:rPr>
          <w:rStyle w:val="Funotenzeichen"/>
        </w:rPr>
        <w:footnoteRef/>
      </w:r>
      <w:r>
        <w:t xml:space="preserve"> Verordnung (EWG) Nr. 793/93 des Rates vom 23. März 1993 zur Bewertung und Kontrolle der Umweltrisiken chemischer Altstoffe (ABl. L 84 vom 05.04.1993, S. 1).</w:t>
      </w:r>
    </w:p>
  </w:footnote>
  <w:footnote w:id="5">
    <w:p w:rsidR="00EC50B6" w:rsidRDefault="00EC50B6">
      <w:pPr>
        <w:pStyle w:val="Funotentext"/>
      </w:pPr>
      <w:r>
        <w:rPr>
          <w:rStyle w:val="Funotenzeichen"/>
        </w:rPr>
        <w:footnoteRef/>
      </w:r>
      <w:r>
        <w:t xml:space="preserve"> Richtlinie 67/548/EWG des Rates vom 27. Juni 1967 zur Angleichung der Rechts- und Verwaltungsvorschriften für die Einstufung, Verpackung und Kennzeichnung gefährlicher Stoffe (ABl. 196 vom 16.08.1967, S. 1). Richtlinie geändert durch die Richtlinie 92/32/EWG (ABl. L 154 vom 05.06.1992, S. 1).</w:t>
      </w:r>
    </w:p>
  </w:footnote>
  <w:footnote w:id="6">
    <w:p w:rsidR="00EC50B6" w:rsidRDefault="00EC50B6">
      <w:pPr>
        <w:pStyle w:val="Funotentext"/>
      </w:pPr>
      <w:r>
        <w:rPr>
          <w:rStyle w:val="Funotenzeichen"/>
        </w:rPr>
        <w:footnoteRef/>
      </w:r>
      <w:r>
        <w:t xml:space="preserve"> Richtlinie 92/59/EWG des Rates vom 19. Juni 1992 über die allgemeine Produktsicherheit (ABl. L 228 vom 11.08.1992, S.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B6" w:rsidRDefault="007F7AE9" w:rsidP="002E4999">
    <w:pPr>
      <w:pStyle w:val="Kopfzeile0"/>
    </w:pPr>
    <w:r>
      <w:t>Archiv8.41</w:t>
    </w:r>
  </w:p>
  <w:p w:rsidR="00EC50B6" w:rsidRDefault="00EC50B6" w:rsidP="00AE02AC">
    <w:pPr>
      <w:pStyle w:val="Kopfzeile"/>
    </w:pPr>
    <w:r>
      <w:t>Notifizierungsrichtlinie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CF2"/>
    <w:multiLevelType w:val="singleLevel"/>
    <w:tmpl w:val="95BA93D6"/>
    <w:lvl w:ilvl="0">
      <w:start w:val="1"/>
      <w:numFmt w:val="lowerLetter"/>
      <w:lvlText w:val="%1)"/>
      <w:lvlJc w:val="left"/>
      <w:pPr>
        <w:tabs>
          <w:tab w:val="num" w:pos="420"/>
        </w:tabs>
        <w:ind w:left="420" w:hanging="420"/>
      </w:pPr>
      <w:rPr>
        <w:rFonts w:hint="default"/>
      </w:rPr>
    </w:lvl>
  </w:abstractNum>
  <w:abstractNum w:abstractNumId="1" w15:restartNumberingAfterBreak="0">
    <w:nsid w:val="059D01D3"/>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080970C3"/>
    <w:multiLevelType w:val="singleLevel"/>
    <w:tmpl w:val="EE863DD2"/>
    <w:lvl w:ilvl="0">
      <w:start w:val="3"/>
      <w:numFmt w:val="decimal"/>
      <w:lvlText w:val="%1."/>
      <w:lvlJc w:val="left"/>
      <w:pPr>
        <w:tabs>
          <w:tab w:val="num" w:pos="360"/>
        </w:tabs>
        <w:ind w:left="360" w:hanging="360"/>
      </w:pPr>
    </w:lvl>
  </w:abstractNum>
  <w:abstractNum w:abstractNumId="3" w15:restartNumberingAfterBreak="0">
    <w:nsid w:val="0C793476"/>
    <w:multiLevelType w:val="singleLevel"/>
    <w:tmpl w:val="3AE864DE"/>
    <w:lvl w:ilvl="0">
      <w:start w:val="1"/>
      <w:numFmt w:val="bullet"/>
      <w:lvlText w:val="-"/>
      <w:lvlJc w:val="left"/>
      <w:pPr>
        <w:tabs>
          <w:tab w:val="num" w:pos="360"/>
        </w:tabs>
        <w:ind w:left="357" w:hanging="357"/>
      </w:pPr>
      <w:rPr>
        <w:sz w:val="16"/>
      </w:rPr>
    </w:lvl>
  </w:abstractNum>
  <w:abstractNum w:abstractNumId="4" w15:restartNumberingAfterBreak="0">
    <w:nsid w:val="108C7F86"/>
    <w:multiLevelType w:val="singleLevel"/>
    <w:tmpl w:val="3AE864DE"/>
    <w:lvl w:ilvl="0">
      <w:start w:val="1"/>
      <w:numFmt w:val="bullet"/>
      <w:lvlText w:val="-"/>
      <w:lvlJc w:val="left"/>
      <w:pPr>
        <w:tabs>
          <w:tab w:val="num" w:pos="360"/>
        </w:tabs>
        <w:ind w:left="357" w:hanging="357"/>
      </w:pPr>
      <w:rPr>
        <w:sz w:val="16"/>
      </w:rPr>
    </w:lvl>
  </w:abstractNum>
  <w:abstractNum w:abstractNumId="5" w15:restartNumberingAfterBreak="0">
    <w:nsid w:val="17541BB0"/>
    <w:multiLevelType w:val="singleLevel"/>
    <w:tmpl w:val="A834519C"/>
    <w:lvl w:ilvl="0">
      <w:start w:val="1"/>
      <w:numFmt w:val="lowerLetter"/>
      <w:lvlText w:val="%1)"/>
      <w:lvlJc w:val="left"/>
      <w:pPr>
        <w:tabs>
          <w:tab w:val="num" w:pos="360"/>
        </w:tabs>
        <w:ind w:left="360" w:hanging="360"/>
      </w:pPr>
    </w:lvl>
  </w:abstractNum>
  <w:abstractNum w:abstractNumId="6" w15:restartNumberingAfterBreak="0">
    <w:nsid w:val="180D52E1"/>
    <w:multiLevelType w:val="singleLevel"/>
    <w:tmpl w:val="3AE864DE"/>
    <w:lvl w:ilvl="0">
      <w:start w:val="1"/>
      <w:numFmt w:val="bullet"/>
      <w:lvlText w:val="-"/>
      <w:lvlJc w:val="left"/>
      <w:pPr>
        <w:tabs>
          <w:tab w:val="num" w:pos="360"/>
        </w:tabs>
        <w:ind w:left="357" w:hanging="357"/>
      </w:pPr>
      <w:rPr>
        <w:sz w:val="16"/>
      </w:rPr>
    </w:lvl>
  </w:abstractNum>
  <w:abstractNum w:abstractNumId="7" w15:restartNumberingAfterBreak="0">
    <w:nsid w:val="189543B6"/>
    <w:multiLevelType w:val="singleLevel"/>
    <w:tmpl w:val="3AE864DE"/>
    <w:lvl w:ilvl="0">
      <w:start w:val="1"/>
      <w:numFmt w:val="bullet"/>
      <w:lvlText w:val="-"/>
      <w:lvlJc w:val="left"/>
      <w:pPr>
        <w:tabs>
          <w:tab w:val="num" w:pos="360"/>
        </w:tabs>
        <w:ind w:left="357" w:hanging="357"/>
      </w:pPr>
      <w:rPr>
        <w:sz w:val="16"/>
      </w:rPr>
    </w:lvl>
  </w:abstractNum>
  <w:abstractNum w:abstractNumId="8" w15:restartNumberingAfterBreak="0">
    <w:nsid w:val="18AB1F81"/>
    <w:multiLevelType w:val="singleLevel"/>
    <w:tmpl w:val="95BA93D6"/>
    <w:lvl w:ilvl="0">
      <w:start w:val="1"/>
      <w:numFmt w:val="lowerLetter"/>
      <w:lvlText w:val="%1)"/>
      <w:lvlJc w:val="left"/>
      <w:pPr>
        <w:tabs>
          <w:tab w:val="num" w:pos="420"/>
        </w:tabs>
        <w:ind w:left="420" w:hanging="420"/>
      </w:pPr>
      <w:rPr>
        <w:rFonts w:hint="default"/>
      </w:rPr>
    </w:lvl>
  </w:abstractNum>
  <w:abstractNum w:abstractNumId="9" w15:restartNumberingAfterBreak="0">
    <w:nsid w:val="18B76C69"/>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1BBA75F8"/>
    <w:multiLevelType w:val="singleLevel"/>
    <w:tmpl w:val="99526506"/>
    <w:lvl w:ilvl="0">
      <w:start w:val="5"/>
      <w:numFmt w:val="bullet"/>
      <w:lvlText w:val="-"/>
      <w:lvlJc w:val="left"/>
      <w:pPr>
        <w:tabs>
          <w:tab w:val="num" w:pos="360"/>
        </w:tabs>
        <w:ind w:left="360" w:hanging="360"/>
      </w:pPr>
      <w:rPr>
        <w:rFonts w:hint="default"/>
      </w:rPr>
    </w:lvl>
  </w:abstractNum>
  <w:abstractNum w:abstractNumId="11" w15:restartNumberingAfterBreak="0">
    <w:nsid w:val="1E7116E9"/>
    <w:multiLevelType w:val="singleLevel"/>
    <w:tmpl w:val="A834519C"/>
    <w:lvl w:ilvl="0">
      <w:start w:val="1"/>
      <w:numFmt w:val="lowerLetter"/>
      <w:lvlText w:val="%1)"/>
      <w:lvlJc w:val="left"/>
      <w:pPr>
        <w:tabs>
          <w:tab w:val="num" w:pos="360"/>
        </w:tabs>
        <w:ind w:left="360" w:hanging="360"/>
      </w:pPr>
    </w:lvl>
  </w:abstractNum>
  <w:abstractNum w:abstractNumId="12" w15:restartNumberingAfterBreak="0">
    <w:nsid w:val="1E8765AE"/>
    <w:multiLevelType w:val="singleLevel"/>
    <w:tmpl w:val="95BA93D6"/>
    <w:lvl w:ilvl="0">
      <w:start w:val="1"/>
      <w:numFmt w:val="lowerLetter"/>
      <w:lvlText w:val="%1)"/>
      <w:lvlJc w:val="left"/>
      <w:pPr>
        <w:tabs>
          <w:tab w:val="num" w:pos="420"/>
        </w:tabs>
        <w:ind w:left="420" w:hanging="420"/>
      </w:pPr>
      <w:rPr>
        <w:rFonts w:hint="default"/>
      </w:rPr>
    </w:lvl>
  </w:abstractNum>
  <w:abstractNum w:abstractNumId="13" w15:restartNumberingAfterBreak="0">
    <w:nsid w:val="23B62CDA"/>
    <w:multiLevelType w:val="singleLevel"/>
    <w:tmpl w:val="3AE864DE"/>
    <w:lvl w:ilvl="0">
      <w:start w:val="1"/>
      <w:numFmt w:val="bullet"/>
      <w:lvlText w:val="-"/>
      <w:lvlJc w:val="left"/>
      <w:pPr>
        <w:tabs>
          <w:tab w:val="num" w:pos="360"/>
        </w:tabs>
        <w:ind w:left="357" w:hanging="357"/>
      </w:pPr>
      <w:rPr>
        <w:sz w:val="16"/>
      </w:rPr>
    </w:lvl>
  </w:abstractNum>
  <w:abstractNum w:abstractNumId="14" w15:restartNumberingAfterBreak="0">
    <w:nsid w:val="26BE7E14"/>
    <w:multiLevelType w:val="singleLevel"/>
    <w:tmpl w:val="3AE864DE"/>
    <w:lvl w:ilvl="0">
      <w:start w:val="1"/>
      <w:numFmt w:val="bullet"/>
      <w:lvlText w:val="-"/>
      <w:lvlJc w:val="left"/>
      <w:pPr>
        <w:tabs>
          <w:tab w:val="num" w:pos="360"/>
        </w:tabs>
        <w:ind w:left="357" w:hanging="357"/>
      </w:pPr>
      <w:rPr>
        <w:sz w:val="16"/>
      </w:rPr>
    </w:lvl>
  </w:abstractNum>
  <w:abstractNum w:abstractNumId="15" w15:restartNumberingAfterBreak="0">
    <w:nsid w:val="287A080D"/>
    <w:multiLevelType w:val="singleLevel"/>
    <w:tmpl w:val="E65A9C26"/>
    <w:lvl w:ilvl="0">
      <w:start w:val="2"/>
      <w:numFmt w:val="bullet"/>
      <w:lvlText w:val="-"/>
      <w:lvlJc w:val="left"/>
      <w:pPr>
        <w:tabs>
          <w:tab w:val="num" w:pos="420"/>
        </w:tabs>
        <w:ind w:left="420" w:hanging="420"/>
      </w:pPr>
      <w:rPr>
        <w:rFonts w:hint="default"/>
      </w:rPr>
    </w:lvl>
  </w:abstractNum>
  <w:abstractNum w:abstractNumId="16" w15:restartNumberingAfterBreak="0">
    <w:nsid w:val="31107E1F"/>
    <w:multiLevelType w:val="singleLevel"/>
    <w:tmpl w:val="926A7B5E"/>
    <w:lvl w:ilvl="0">
      <w:start w:val="12"/>
      <w:numFmt w:val="decimal"/>
      <w:lvlText w:val="%1."/>
      <w:lvlJc w:val="left"/>
      <w:pPr>
        <w:tabs>
          <w:tab w:val="num" w:pos="420"/>
        </w:tabs>
        <w:ind w:left="420" w:hanging="420"/>
      </w:pPr>
      <w:rPr>
        <w:rFonts w:hint="default"/>
      </w:rPr>
    </w:lvl>
  </w:abstractNum>
  <w:abstractNum w:abstractNumId="17" w15:restartNumberingAfterBreak="0">
    <w:nsid w:val="358A2D7A"/>
    <w:multiLevelType w:val="singleLevel"/>
    <w:tmpl w:val="C6D44570"/>
    <w:lvl w:ilvl="0">
      <w:start w:val="1"/>
      <w:numFmt w:val="lowerLetter"/>
      <w:lvlText w:val="%1)"/>
      <w:lvlJc w:val="left"/>
      <w:pPr>
        <w:tabs>
          <w:tab w:val="num" w:pos="420"/>
        </w:tabs>
        <w:ind w:left="420" w:hanging="420"/>
      </w:pPr>
      <w:rPr>
        <w:rFonts w:hint="default"/>
      </w:rPr>
    </w:lvl>
  </w:abstractNum>
  <w:abstractNum w:abstractNumId="18" w15:restartNumberingAfterBreak="0">
    <w:nsid w:val="3637279C"/>
    <w:multiLevelType w:val="singleLevel"/>
    <w:tmpl w:val="3AE864DE"/>
    <w:lvl w:ilvl="0">
      <w:start w:val="1"/>
      <w:numFmt w:val="bullet"/>
      <w:lvlText w:val="-"/>
      <w:lvlJc w:val="left"/>
      <w:pPr>
        <w:tabs>
          <w:tab w:val="num" w:pos="360"/>
        </w:tabs>
        <w:ind w:left="357" w:hanging="357"/>
      </w:pPr>
      <w:rPr>
        <w:sz w:val="16"/>
      </w:rPr>
    </w:lvl>
  </w:abstractNum>
  <w:abstractNum w:abstractNumId="19" w15:restartNumberingAfterBreak="0">
    <w:nsid w:val="3B0607A8"/>
    <w:multiLevelType w:val="singleLevel"/>
    <w:tmpl w:val="DAC2D1B4"/>
    <w:lvl w:ilvl="0">
      <w:start w:val="1"/>
      <w:numFmt w:val="decimal"/>
      <w:lvlText w:val="%1."/>
      <w:lvlJc w:val="left"/>
      <w:pPr>
        <w:tabs>
          <w:tab w:val="num" w:pos="420"/>
        </w:tabs>
        <w:ind w:left="420" w:hanging="420"/>
      </w:pPr>
      <w:rPr>
        <w:rFonts w:hint="default"/>
      </w:rPr>
    </w:lvl>
  </w:abstractNum>
  <w:abstractNum w:abstractNumId="20" w15:restartNumberingAfterBreak="0">
    <w:nsid w:val="3C6F2023"/>
    <w:multiLevelType w:val="singleLevel"/>
    <w:tmpl w:val="2536EE52"/>
    <w:lvl w:ilvl="0">
      <w:start w:val="1"/>
      <w:numFmt w:val="lowerLetter"/>
      <w:lvlText w:val="%1)"/>
      <w:lvlJc w:val="left"/>
      <w:pPr>
        <w:tabs>
          <w:tab w:val="num" w:pos="420"/>
        </w:tabs>
        <w:ind w:left="420" w:hanging="420"/>
      </w:pPr>
      <w:rPr>
        <w:rFonts w:hint="default"/>
      </w:rPr>
    </w:lvl>
  </w:abstractNum>
  <w:abstractNum w:abstractNumId="21" w15:restartNumberingAfterBreak="0">
    <w:nsid w:val="405D00FC"/>
    <w:multiLevelType w:val="singleLevel"/>
    <w:tmpl w:val="FCAA9DE2"/>
    <w:lvl w:ilvl="0">
      <w:start w:val="6"/>
      <w:numFmt w:val="decimal"/>
      <w:lvlText w:val="%1."/>
      <w:lvlJc w:val="left"/>
      <w:pPr>
        <w:tabs>
          <w:tab w:val="num" w:pos="360"/>
        </w:tabs>
        <w:ind w:left="360" w:hanging="360"/>
      </w:pPr>
    </w:lvl>
  </w:abstractNum>
  <w:abstractNum w:abstractNumId="22" w15:restartNumberingAfterBreak="0">
    <w:nsid w:val="43141ED2"/>
    <w:multiLevelType w:val="singleLevel"/>
    <w:tmpl w:val="3AE864DE"/>
    <w:lvl w:ilvl="0">
      <w:start w:val="1"/>
      <w:numFmt w:val="bullet"/>
      <w:lvlText w:val="-"/>
      <w:lvlJc w:val="left"/>
      <w:pPr>
        <w:tabs>
          <w:tab w:val="num" w:pos="360"/>
        </w:tabs>
        <w:ind w:left="357" w:hanging="357"/>
      </w:pPr>
      <w:rPr>
        <w:sz w:val="16"/>
      </w:rPr>
    </w:lvl>
  </w:abstractNum>
  <w:abstractNum w:abstractNumId="23" w15:restartNumberingAfterBreak="0">
    <w:nsid w:val="4ABD7C77"/>
    <w:multiLevelType w:val="singleLevel"/>
    <w:tmpl w:val="3AE864DE"/>
    <w:lvl w:ilvl="0">
      <w:start w:val="1"/>
      <w:numFmt w:val="bullet"/>
      <w:lvlText w:val="-"/>
      <w:lvlJc w:val="left"/>
      <w:pPr>
        <w:tabs>
          <w:tab w:val="num" w:pos="360"/>
        </w:tabs>
        <w:ind w:left="357" w:hanging="357"/>
      </w:pPr>
      <w:rPr>
        <w:sz w:val="16"/>
      </w:rPr>
    </w:lvl>
  </w:abstractNum>
  <w:abstractNum w:abstractNumId="24" w15:restartNumberingAfterBreak="0">
    <w:nsid w:val="4BED1167"/>
    <w:multiLevelType w:val="singleLevel"/>
    <w:tmpl w:val="3AE864DE"/>
    <w:lvl w:ilvl="0">
      <w:start w:val="1"/>
      <w:numFmt w:val="bullet"/>
      <w:lvlText w:val="-"/>
      <w:lvlJc w:val="left"/>
      <w:pPr>
        <w:tabs>
          <w:tab w:val="num" w:pos="360"/>
        </w:tabs>
        <w:ind w:left="357" w:hanging="357"/>
      </w:pPr>
      <w:rPr>
        <w:sz w:val="16"/>
      </w:rPr>
    </w:lvl>
  </w:abstractNum>
  <w:abstractNum w:abstractNumId="25" w15:restartNumberingAfterBreak="0">
    <w:nsid w:val="504E1805"/>
    <w:multiLevelType w:val="singleLevel"/>
    <w:tmpl w:val="A834519C"/>
    <w:lvl w:ilvl="0">
      <w:start w:val="1"/>
      <w:numFmt w:val="lowerLetter"/>
      <w:lvlText w:val="%1)"/>
      <w:lvlJc w:val="left"/>
      <w:pPr>
        <w:tabs>
          <w:tab w:val="num" w:pos="360"/>
        </w:tabs>
        <w:ind w:left="360" w:hanging="360"/>
      </w:pPr>
    </w:lvl>
  </w:abstractNum>
  <w:abstractNum w:abstractNumId="26" w15:restartNumberingAfterBreak="0">
    <w:nsid w:val="580D22DF"/>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582C4E32"/>
    <w:multiLevelType w:val="singleLevel"/>
    <w:tmpl w:val="3AE864DE"/>
    <w:lvl w:ilvl="0">
      <w:start w:val="1"/>
      <w:numFmt w:val="bullet"/>
      <w:lvlText w:val="-"/>
      <w:lvlJc w:val="left"/>
      <w:pPr>
        <w:tabs>
          <w:tab w:val="num" w:pos="360"/>
        </w:tabs>
        <w:ind w:left="357" w:hanging="357"/>
      </w:pPr>
      <w:rPr>
        <w:sz w:val="16"/>
      </w:rPr>
    </w:lvl>
  </w:abstractNum>
  <w:abstractNum w:abstractNumId="28" w15:restartNumberingAfterBreak="0">
    <w:nsid w:val="5B0B70C1"/>
    <w:multiLevelType w:val="singleLevel"/>
    <w:tmpl w:val="3AE864DE"/>
    <w:lvl w:ilvl="0">
      <w:start w:val="1"/>
      <w:numFmt w:val="bullet"/>
      <w:lvlText w:val="-"/>
      <w:lvlJc w:val="left"/>
      <w:pPr>
        <w:tabs>
          <w:tab w:val="num" w:pos="360"/>
        </w:tabs>
        <w:ind w:left="357" w:hanging="357"/>
      </w:pPr>
      <w:rPr>
        <w:sz w:val="16"/>
      </w:rPr>
    </w:lvl>
  </w:abstractNum>
  <w:abstractNum w:abstractNumId="29" w15:restartNumberingAfterBreak="0">
    <w:nsid w:val="60E03C92"/>
    <w:multiLevelType w:val="singleLevel"/>
    <w:tmpl w:val="95BA93D6"/>
    <w:lvl w:ilvl="0">
      <w:start w:val="1"/>
      <w:numFmt w:val="lowerLetter"/>
      <w:lvlText w:val="%1)"/>
      <w:lvlJc w:val="left"/>
      <w:pPr>
        <w:tabs>
          <w:tab w:val="num" w:pos="420"/>
        </w:tabs>
        <w:ind w:left="420" w:hanging="420"/>
      </w:pPr>
      <w:rPr>
        <w:rFonts w:hint="default"/>
      </w:rPr>
    </w:lvl>
  </w:abstractNum>
  <w:abstractNum w:abstractNumId="30" w15:restartNumberingAfterBreak="0">
    <w:nsid w:val="6B4A4F1C"/>
    <w:multiLevelType w:val="singleLevel"/>
    <w:tmpl w:val="3AE864DE"/>
    <w:lvl w:ilvl="0">
      <w:start w:val="1"/>
      <w:numFmt w:val="bullet"/>
      <w:lvlText w:val="-"/>
      <w:lvlJc w:val="left"/>
      <w:pPr>
        <w:tabs>
          <w:tab w:val="num" w:pos="360"/>
        </w:tabs>
        <w:ind w:left="357" w:hanging="357"/>
      </w:pPr>
      <w:rPr>
        <w:sz w:val="16"/>
      </w:rPr>
    </w:lvl>
  </w:abstractNum>
  <w:abstractNum w:abstractNumId="31" w15:restartNumberingAfterBreak="0">
    <w:nsid w:val="7EDD286D"/>
    <w:multiLevelType w:val="singleLevel"/>
    <w:tmpl w:val="3AE864DE"/>
    <w:lvl w:ilvl="0">
      <w:start w:val="1"/>
      <w:numFmt w:val="bullet"/>
      <w:lvlText w:val="-"/>
      <w:lvlJc w:val="left"/>
      <w:pPr>
        <w:tabs>
          <w:tab w:val="num" w:pos="360"/>
        </w:tabs>
        <w:ind w:left="357" w:hanging="357"/>
      </w:pPr>
      <w:rPr>
        <w:sz w:val="16"/>
      </w:rPr>
    </w:lvl>
  </w:abstractNum>
  <w:num w:numId="1">
    <w:abstractNumId w:val="10"/>
  </w:num>
  <w:num w:numId="2">
    <w:abstractNumId w:val="9"/>
  </w:num>
  <w:num w:numId="3">
    <w:abstractNumId w:val="19"/>
  </w:num>
  <w:num w:numId="4">
    <w:abstractNumId w:val="22"/>
  </w:num>
  <w:num w:numId="5">
    <w:abstractNumId w:val="15"/>
  </w:num>
  <w:num w:numId="6">
    <w:abstractNumId w:val="31"/>
  </w:num>
  <w:num w:numId="7">
    <w:abstractNumId w:val="4"/>
  </w:num>
  <w:num w:numId="8">
    <w:abstractNumId w:val="7"/>
  </w:num>
  <w:num w:numId="9">
    <w:abstractNumId w:val="26"/>
  </w:num>
  <w:num w:numId="10">
    <w:abstractNumId w:val="2"/>
  </w:num>
  <w:num w:numId="11">
    <w:abstractNumId w:val="23"/>
  </w:num>
  <w:num w:numId="12">
    <w:abstractNumId w:val="21"/>
  </w:num>
  <w:num w:numId="13">
    <w:abstractNumId w:val="16"/>
  </w:num>
  <w:num w:numId="14">
    <w:abstractNumId w:val="14"/>
  </w:num>
  <w:num w:numId="15">
    <w:abstractNumId w:val="3"/>
  </w:num>
  <w:num w:numId="16">
    <w:abstractNumId w:val="27"/>
  </w:num>
  <w:num w:numId="17">
    <w:abstractNumId w:val="6"/>
  </w:num>
  <w:num w:numId="18">
    <w:abstractNumId w:val="25"/>
  </w:num>
  <w:num w:numId="19">
    <w:abstractNumId w:val="20"/>
  </w:num>
  <w:num w:numId="20">
    <w:abstractNumId w:val="13"/>
  </w:num>
  <w:num w:numId="21">
    <w:abstractNumId w:val="30"/>
  </w:num>
  <w:num w:numId="22">
    <w:abstractNumId w:val="18"/>
  </w:num>
  <w:num w:numId="23">
    <w:abstractNumId w:val="24"/>
  </w:num>
  <w:num w:numId="24">
    <w:abstractNumId w:val="28"/>
  </w:num>
  <w:num w:numId="25">
    <w:abstractNumId w:val="1"/>
  </w:num>
  <w:num w:numId="26">
    <w:abstractNumId w:val="17"/>
  </w:num>
  <w:num w:numId="27">
    <w:abstractNumId w:val="11"/>
  </w:num>
  <w:num w:numId="28">
    <w:abstractNumId w:val="8"/>
  </w:num>
  <w:num w:numId="29">
    <w:abstractNumId w:val="0"/>
  </w:num>
  <w:num w:numId="30">
    <w:abstractNumId w:val="12"/>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26"/>
    <w:rsid w:val="0000598E"/>
    <w:rsid w:val="000E585A"/>
    <w:rsid w:val="0011030F"/>
    <w:rsid w:val="00143D7F"/>
    <w:rsid w:val="00172275"/>
    <w:rsid w:val="00184F0D"/>
    <w:rsid w:val="00195414"/>
    <w:rsid w:val="001A6F3F"/>
    <w:rsid w:val="002A51FD"/>
    <w:rsid w:val="002E4999"/>
    <w:rsid w:val="00331DD8"/>
    <w:rsid w:val="003558A4"/>
    <w:rsid w:val="00387C7A"/>
    <w:rsid w:val="00393110"/>
    <w:rsid w:val="003D7F26"/>
    <w:rsid w:val="0041250A"/>
    <w:rsid w:val="004722A5"/>
    <w:rsid w:val="00477AFD"/>
    <w:rsid w:val="004A3D34"/>
    <w:rsid w:val="004F45AC"/>
    <w:rsid w:val="005B6212"/>
    <w:rsid w:val="005E0CD5"/>
    <w:rsid w:val="00683E60"/>
    <w:rsid w:val="00692041"/>
    <w:rsid w:val="0078464C"/>
    <w:rsid w:val="007F5F6A"/>
    <w:rsid w:val="007F7AE9"/>
    <w:rsid w:val="008B498C"/>
    <w:rsid w:val="00910AB1"/>
    <w:rsid w:val="009110F3"/>
    <w:rsid w:val="00932018"/>
    <w:rsid w:val="00957D91"/>
    <w:rsid w:val="0096114B"/>
    <w:rsid w:val="00A262AF"/>
    <w:rsid w:val="00A27597"/>
    <w:rsid w:val="00A87856"/>
    <w:rsid w:val="00A87CC2"/>
    <w:rsid w:val="00A948AF"/>
    <w:rsid w:val="00AA5C1A"/>
    <w:rsid w:val="00AE02AC"/>
    <w:rsid w:val="00B21287"/>
    <w:rsid w:val="00B46FAD"/>
    <w:rsid w:val="00B47FE7"/>
    <w:rsid w:val="00BA51BE"/>
    <w:rsid w:val="00C3083E"/>
    <w:rsid w:val="00CC1A28"/>
    <w:rsid w:val="00D22AD8"/>
    <w:rsid w:val="00D25400"/>
    <w:rsid w:val="00D63B64"/>
    <w:rsid w:val="00D92BCE"/>
    <w:rsid w:val="00DA33C0"/>
    <w:rsid w:val="00E27CD1"/>
    <w:rsid w:val="00E42120"/>
    <w:rsid w:val="00E86A0D"/>
    <w:rsid w:val="00E90DE2"/>
    <w:rsid w:val="00EC50B6"/>
    <w:rsid w:val="00EF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222C29"/>
  <w15:docId w15:val="{E6029969-6B13-41FB-B377-F20CF7BF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499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E4999"/>
    <w:pPr>
      <w:keepNext/>
      <w:spacing w:after="120"/>
      <w:jc w:val="center"/>
      <w:outlineLvl w:val="0"/>
    </w:pPr>
    <w:rPr>
      <w:b/>
      <w:kern w:val="28"/>
      <w:sz w:val="28"/>
    </w:rPr>
  </w:style>
  <w:style w:type="paragraph" w:styleId="berschrift2">
    <w:name w:val="heading 2"/>
    <w:basedOn w:val="Standard"/>
    <w:next w:val="GesAbsatz"/>
    <w:qFormat/>
    <w:rsid w:val="002E4999"/>
    <w:pPr>
      <w:keepNext/>
      <w:spacing w:before="240"/>
      <w:jc w:val="center"/>
      <w:outlineLvl w:val="1"/>
    </w:pPr>
    <w:rPr>
      <w:b/>
      <w:sz w:val="24"/>
    </w:rPr>
  </w:style>
  <w:style w:type="paragraph" w:styleId="berschrift3">
    <w:name w:val="heading 3"/>
    <w:basedOn w:val="Standard"/>
    <w:next w:val="GesAbsatz"/>
    <w:qFormat/>
    <w:rsid w:val="002E4999"/>
    <w:pPr>
      <w:keepNext/>
      <w:spacing w:before="240" w:after="180"/>
      <w:jc w:val="center"/>
      <w:outlineLvl w:val="2"/>
    </w:pPr>
    <w:rPr>
      <w:b/>
    </w:rPr>
  </w:style>
  <w:style w:type="paragraph" w:styleId="berschrift4">
    <w:name w:val="heading 4"/>
    <w:basedOn w:val="Standard"/>
    <w:next w:val="Standard"/>
    <w:rsid w:val="002E4999"/>
    <w:pPr>
      <w:keepNext/>
      <w:spacing w:before="240"/>
      <w:outlineLvl w:val="3"/>
    </w:pPr>
  </w:style>
  <w:style w:type="paragraph" w:styleId="berschrift5">
    <w:name w:val="heading 5"/>
    <w:basedOn w:val="Standard"/>
    <w:next w:val="Standard"/>
    <w:link w:val="berschrift5Zchn"/>
    <w:rsid w:val="002E499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2E4999"/>
    <w:pPr>
      <w:spacing w:before="100"/>
    </w:pPr>
    <w:rPr>
      <w:color w:val="000000"/>
    </w:rPr>
  </w:style>
  <w:style w:type="paragraph" w:styleId="Kopfzeile">
    <w:name w:val="header"/>
    <w:basedOn w:val="Standard"/>
    <w:qFormat/>
    <w:rsid w:val="002E4999"/>
    <w:pPr>
      <w:tabs>
        <w:tab w:val="center" w:pos="4536"/>
        <w:tab w:val="right" w:pos="9072"/>
      </w:tabs>
      <w:spacing w:before="0" w:after="120"/>
      <w:jc w:val="right"/>
    </w:pPr>
  </w:style>
  <w:style w:type="paragraph" w:styleId="Fuzeile">
    <w:name w:val="footer"/>
    <w:basedOn w:val="Standard"/>
    <w:qFormat/>
    <w:rsid w:val="002E4999"/>
    <w:pPr>
      <w:tabs>
        <w:tab w:val="clear" w:pos="425"/>
        <w:tab w:val="right" w:pos="8505"/>
        <w:tab w:val="right" w:pos="9639"/>
      </w:tabs>
      <w:spacing w:before="0" w:after="0"/>
      <w:jc w:val="left"/>
    </w:pPr>
    <w:rPr>
      <w:sz w:val="16"/>
    </w:rPr>
  </w:style>
  <w:style w:type="character" w:styleId="Funotenzeichen">
    <w:name w:val="footnote reference"/>
    <w:qFormat/>
    <w:rsid w:val="002E4999"/>
    <w:rPr>
      <w:sz w:val="20"/>
      <w:szCs w:val="20"/>
      <w:vertAlign w:val="superscript"/>
    </w:rPr>
  </w:style>
  <w:style w:type="paragraph" w:styleId="Funotentext">
    <w:name w:val="footnote text"/>
    <w:basedOn w:val="Standard"/>
    <w:qFormat/>
    <w:rsid w:val="002E4999"/>
    <w:pPr>
      <w:spacing w:before="0" w:after="0"/>
    </w:pPr>
    <w:rPr>
      <w:sz w:val="16"/>
    </w:rPr>
  </w:style>
  <w:style w:type="character" w:styleId="Seitenzahl">
    <w:name w:val="page number"/>
    <w:semiHidden/>
    <w:rsid w:val="002E4999"/>
    <w:rPr>
      <w:rFonts w:ascii="Arial" w:hAnsi="Arial"/>
      <w:sz w:val="16"/>
    </w:rPr>
  </w:style>
  <w:style w:type="paragraph" w:styleId="Verzeichnis1">
    <w:name w:val="toc 1"/>
    <w:basedOn w:val="Verzeichnis3"/>
    <w:next w:val="Standard"/>
    <w:uiPriority w:val="39"/>
    <w:rsid w:val="002E4999"/>
    <w:pPr>
      <w:spacing w:before="120" w:after="120"/>
      <w:ind w:left="0"/>
    </w:pPr>
    <w:rPr>
      <w:b/>
      <w:i w:val="0"/>
      <w:caps/>
    </w:rPr>
  </w:style>
  <w:style w:type="paragraph" w:styleId="Verzeichnis2">
    <w:name w:val="toc 2"/>
    <w:basedOn w:val="Standard"/>
    <w:next w:val="Standard"/>
    <w:uiPriority w:val="39"/>
    <w:rsid w:val="002E499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E499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2E499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E499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E499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E499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E499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E499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E4999"/>
    <w:rPr>
      <w:color w:val="0000FF"/>
      <w:u w:val="single"/>
    </w:rPr>
  </w:style>
  <w:style w:type="character" w:styleId="BesuchterLink">
    <w:name w:val="FollowedHyperlink"/>
    <w:rsid w:val="00EC50B6"/>
    <w:rPr>
      <w:color w:val="800080"/>
      <w:u w:val="single"/>
    </w:rPr>
  </w:style>
  <w:style w:type="paragraph" w:customStyle="1" w:styleId="Kopfzeile0">
    <w:name w:val="Kopfzeile0"/>
    <w:basedOn w:val="Standard"/>
    <w:next w:val="Kopfzeile"/>
    <w:qFormat/>
    <w:rsid w:val="002E4999"/>
    <w:pPr>
      <w:spacing w:before="0" w:after="0"/>
      <w:jc w:val="right"/>
    </w:pPr>
    <w:rPr>
      <w:b/>
      <w:sz w:val="24"/>
    </w:rPr>
  </w:style>
  <w:style w:type="character" w:customStyle="1" w:styleId="berschrift5Zchn">
    <w:name w:val="Überschrift 5 Zchn"/>
    <w:basedOn w:val="Absatz-Standardschriftart"/>
    <w:link w:val="berschrift5"/>
    <w:rsid w:val="002E49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75B7-DAA0-45C0-82B2-4DFB60B9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3698</Words>
  <Characters>25459</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RL 98/34/EG - Notifizierungsrichtlinie</vt:lpstr>
    </vt:vector>
  </TitlesOfParts>
  <Company>LUA</Company>
  <LinksUpToDate>false</LinksUpToDate>
  <CharactersWithSpaces>29099</CharactersWithSpaces>
  <SharedDoc>false</SharedDoc>
  <HLinks>
    <vt:vector size="18" baseType="variant">
      <vt:variant>
        <vt:i4>5767197</vt:i4>
      </vt:variant>
      <vt:variant>
        <vt:i4>6</vt:i4>
      </vt:variant>
      <vt:variant>
        <vt:i4>0</vt:i4>
      </vt:variant>
      <vt:variant>
        <vt:i4>5</vt:i4>
      </vt:variant>
      <vt:variant>
        <vt:lpwstr>http://eur-lex.europa.eu/LexUriServ/LexUriServ.do?uri=OJ:L:2006:363:0081:0106:DE:PDF</vt:lpwstr>
      </vt:variant>
      <vt:variant>
        <vt:lpwstr/>
      </vt:variant>
      <vt:variant>
        <vt:i4>6029402</vt:i4>
      </vt:variant>
      <vt:variant>
        <vt:i4>3</vt:i4>
      </vt:variant>
      <vt:variant>
        <vt:i4>0</vt:i4>
      </vt:variant>
      <vt:variant>
        <vt:i4>5</vt:i4>
      </vt:variant>
      <vt:variant>
        <vt:lpwstr>http://eur-lex.europa.eu/LexUriServ/site/de/oj/1998/l_217/l_21719980805de00180026.pdf</vt:lpwstr>
      </vt:variant>
      <vt:variant>
        <vt:lpwstr/>
      </vt:variant>
      <vt:variant>
        <vt:i4>5898320</vt:i4>
      </vt:variant>
      <vt:variant>
        <vt:i4>0</vt:i4>
      </vt:variant>
      <vt:variant>
        <vt:i4>0</vt:i4>
      </vt:variant>
      <vt:variant>
        <vt:i4>5</vt:i4>
      </vt:variant>
      <vt:variant>
        <vt:lpwstr>http://eur-lex.europa.eu/LexUriServ/site/de/oj/1998/l_204/l_20419980721de00370048.pdf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 98/34/EG - Notifizierungsrichtlinie</dc:title>
  <dc:subject/>
  <dc:creator>LUA</dc:creator>
  <cp:keywords/>
  <dc:description>durchgesehen 11.2006</dc:description>
  <cp:lastModifiedBy>Rüter, Dr., Ingo</cp:lastModifiedBy>
  <cp:revision>11</cp:revision>
  <cp:lastPrinted>1900-12-31T22:00:00Z</cp:lastPrinted>
  <dcterms:created xsi:type="dcterms:W3CDTF">2014-03-20T08:58:00Z</dcterms:created>
  <dcterms:modified xsi:type="dcterms:W3CDTF">2020-08-13T12:21:00Z</dcterms:modified>
</cp:coreProperties>
</file>