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715" w:rsidRPr="00D3202F" w:rsidRDefault="00AE6715" w:rsidP="00D3202F">
      <w:pPr>
        <w:pStyle w:val="berschrift1"/>
      </w:pPr>
      <w:bookmarkStart w:id="0" w:name="_Toc432490647"/>
      <w:r w:rsidRPr="00D3202F">
        <w:t xml:space="preserve">Verordnung zur Umsetzung der Richtlinie 2000/76/EG </w:t>
      </w:r>
      <w:r w:rsidRPr="00D3202F">
        <w:br/>
        <w:t>über die Verbrennung von Abfällen - AbwAbfverbrVO</w:t>
      </w:r>
      <w:bookmarkEnd w:id="0"/>
    </w:p>
    <w:p w:rsidR="00AE6715" w:rsidRDefault="00AE6715">
      <w:pPr>
        <w:pStyle w:val="GesAbsatz"/>
        <w:jc w:val="center"/>
      </w:pPr>
      <w:r>
        <w:t>vom 31. Juli 2003</w:t>
      </w:r>
    </w:p>
    <w:p w:rsidR="00B1321A" w:rsidRPr="005F76C1" w:rsidRDefault="00B1321A" w:rsidP="00B1321A">
      <w:pPr>
        <w:pStyle w:val="GesAbsatz"/>
        <w:jc w:val="left"/>
        <w:rPr>
          <w:b/>
          <w:i/>
          <w:color w:val="FF0000"/>
          <w:sz w:val="24"/>
          <w:szCs w:val="24"/>
        </w:rPr>
      </w:pPr>
      <w:r w:rsidRPr="005F76C1">
        <w:rPr>
          <w:b/>
          <w:i/>
          <w:color w:val="FF0000"/>
          <w:sz w:val="24"/>
          <w:szCs w:val="24"/>
        </w:rPr>
        <w:t>Gültig bis 15.07.2016.</w:t>
      </w:r>
    </w:p>
    <w:p w:rsidR="00B1321A" w:rsidRDefault="009F63CE" w:rsidP="00B1321A">
      <w:pPr>
        <w:pStyle w:val="GesAbsatz"/>
      </w:pPr>
      <w:hyperlink r:id="rId8" w:history="1">
        <w:r w:rsidR="00B1321A" w:rsidRPr="009F63CE">
          <w:rPr>
            <w:rStyle w:val="Hyperlink"/>
          </w:rPr>
          <w:t>Link zur Vorschrift im SGV. NRW. 77</w:t>
        </w:r>
        <w:r w:rsidRPr="009F63CE">
          <w:rPr>
            <w:rStyle w:val="Hyperlink"/>
          </w:rPr>
          <w:t>:</w:t>
        </w:r>
      </w:hyperlink>
    </w:p>
    <w:p w:rsidR="00D3202F" w:rsidRDefault="00AE6715">
      <w:pPr>
        <w:pStyle w:val="GesAbsatz"/>
        <w:jc w:val="center"/>
        <w:rPr>
          <w:b/>
          <w:bCs/>
          <w:sz w:val="22"/>
        </w:rPr>
      </w:pPr>
      <w:r>
        <w:rPr>
          <w:b/>
          <w:bCs/>
          <w:sz w:val="22"/>
        </w:rPr>
        <w:t>Inhalt:</w:t>
      </w:r>
    </w:p>
    <w:p w:rsidR="00D3202F" w:rsidRDefault="00D3202F">
      <w:pPr>
        <w:pStyle w:val="Verzeichnis1"/>
        <w:rPr>
          <w:rFonts w:asciiTheme="minorHAnsi" w:eastAsiaTheme="minorEastAsia" w:hAnsiTheme="minorHAnsi" w:cstheme="minorBidi"/>
          <w:b w:val="0"/>
          <w:caps w:val="0"/>
          <w:noProof/>
          <w:sz w:val="22"/>
          <w:szCs w:val="22"/>
        </w:rPr>
      </w:pPr>
      <w:r>
        <w:rPr>
          <w:b w:val="0"/>
          <w:bCs/>
          <w:sz w:val="22"/>
        </w:rPr>
        <w:fldChar w:fldCharType="begin"/>
      </w:r>
      <w:r>
        <w:rPr>
          <w:b w:val="0"/>
          <w:bCs/>
          <w:sz w:val="22"/>
        </w:rPr>
        <w:instrText xml:space="preserve"> TOC \o "1-3" \h \z </w:instrText>
      </w:r>
      <w:r>
        <w:rPr>
          <w:b w:val="0"/>
          <w:bCs/>
          <w:sz w:val="22"/>
        </w:rPr>
        <w:fldChar w:fldCharType="separate"/>
      </w:r>
      <w:hyperlink w:anchor="_Toc432490647" w:history="1">
        <w:r w:rsidRPr="00920775">
          <w:rPr>
            <w:rStyle w:val="Hyperlink"/>
            <w:noProof/>
          </w:rPr>
          <w:t>Verordnung zur Umsetzung der Richtlinie 2000/76/EG  über die Verbrennung von Abfällen - AbwAbfverbrVO</w:t>
        </w:r>
        <w:r>
          <w:rPr>
            <w:noProof/>
            <w:webHidden/>
          </w:rPr>
          <w:tab/>
        </w:r>
        <w:r>
          <w:rPr>
            <w:noProof/>
            <w:webHidden/>
          </w:rPr>
          <w:fldChar w:fldCharType="begin"/>
        </w:r>
        <w:r>
          <w:rPr>
            <w:noProof/>
            <w:webHidden/>
          </w:rPr>
          <w:instrText xml:space="preserve"> PAGEREF _Toc432490647 \h </w:instrText>
        </w:r>
        <w:r>
          <w:rPr>
            <w:noProof/>
            <w:webHidden/>
          </w:rPr>
        </w:r>
        <w:r>
          <w:rPr>
            <w:noProof/>
            <w:webHidden/>
          </w:rPr>
          <w:fldChar w:fldCharType="separate"/>
        </w:r>
        <w:r w:rsidR="00B1321A">
          <w:rPr>
            <w:noProof/>
            <w:webHidden/>
          </w:rPr>
          <w:t>1</w:t>
        </w:r>
        <w:r>
          <w:rPr>
            <w:noProof/>
            <w:webHidden/>
          </w:rPr>
          <w:fldChar w:fldCharType="end"/>
        </w:r>
      </w:hyperlink>
    </w:p>
    <w:p w:rsidR="00D3202F" w:rsidRDefault="007A4EA9">
      <w:pPr>
        <w:pStyle w:val="Verzeichnis2"/>
        <w:rPr>
          <w:rFonts w:asciiTheme="minorHAnsi" w:eastAsiaTheme="minorEastAsia" w:hAnsiTheme="minorHAnsi" w:cstheme="minorBidi"/>
          <w:smallCaps w:val="0"/>
          <w:noProof/>
          <w:sz w:val="22"/>
          <w:szCs w:val="22"/>
        </w:rPr>
      </w:pPr>
      <w:hyperlink w:anchor="_Toc432490648" w:history="1">
        <w:r w:rsidR="00D3202F" w:rsidRPr="00920775">
          <w:rPr>
            <w:rStyle w:val="Hyperlink"/>
            <w:noProof/>
          </w:rPr>
          <w:t>Artikel 1</w:t>
        </w:r>
        <w:r w:rsidR="00D3202F">
          <w:rPr>
            <w:noProof/>
            <w:webHidden/>
          </w:rPr>
          <w:tab/>
        </w:r>
        <w:r w:rsidR="00D3202F">
          <w:rPr>
            <w:noProof/>
            <w:webHidden/>
          </w:rPr>
          <w:fldChar w:fldCharType="begin"/>
        </w:r>
        <w:r w:rsidR="00D3202F">
          <w:rPr>
            <w:noProof/>
            <w:webHidden/>
          </w:rPr>
          <w:instrText xml:space="preserve"> PAGEREF _Toc432490648 \h </w:instrText>
        </w:r>
        <w:r w:rsidR="00D3202F">
          <w:rPr>
            <w:noProof/>
            <w:webHidden/>
          </w:rPr>
        </w:r>
        <w:r w:rsidR="00D3202F">
          <w:rPr>
            <w:noProof/>
            <w:webHidden/>
          </w:rPr>
          <w:fldChar w:fldCharType="separate"/>
        </w:r>
        <w:r w:rsidR="00B1321A">
          <w:rPr>
            <w:noProof/>
            <w:webHidden/>
          </w:rPr>
          <w:t>1</w:t>
        </w:r>
        <w:r w:rsidR="00D3202F">
          <w:rPr>
            <w:noProof/>
            <w:webHidden/>
          </w:rPr>
          <w:fldChar w:fldCharType="end"/>
        </w:r>
      </w:hyperlink>
    </w:p>
    <w:p w:rsidR="00D3202F" w:rsidRDefault="007A4EA9">
      <w:pPr>
        <w:pStyle w:val="Verzeichnis3"/>
        <w:rPr>
          <w:rFonts w:asciiTheme="minorHAnsi" w:eastAsiaTheme="minorEastAsia" w:hAnsiTheme="minorHAnsi" w:cstheme="minorBidi"/>
          <w:i w:val="0"/>
          <w:noProof/>
          <w:sz w:val="22"/>
          <w:szCs w:val="22"/>
        </w:rPr>
      </w:pPr>
      <w:hyperlink w:anchor="_Toc432490649" w:history="1">
        <w:r w:rsidR="00D3202F" w:rsidRPr="00920775">
          <w:rPr>
            <w:rStyle w:val="Hyperlink"/>
            <w:noProof/>
          </w:rPr>
          <w:t>§ 1 Zweck</w:t>
        </w:r>
        <w:r w:rsidR="00D3202F">
          <w:rPr>
            <w:noProof/>
            <w:webHidden/>
          </w:rPr>
          <w:tab/>
        </w:r>
        <w:r w:rsidR="00D3202F">
          <w:rPr>
            <w:noProof/>
            <w:webHidden/>
          </w:rPr>
          <w:fldChar w:fldCharType="begin"/>
        </w:r>
        <w:r w:rsidR="00D3202F">
          <w:rPr>
            <w:noProof/>
            <w:webHidden/>
          </w:rPr>
          <w:instrText xml:space="preserve"> PAGEREF _Toc432490649 \h </w:instrText>
        </w:r>
        <w:r w:rsidR="00D3202F">
          <w:rPr>
            <w:noProof/>
            <w:webHidden/>
          </w:rPr>
        </w:r>
        <w:r w:rsidR="00D3202F">
          <w:rPr>
            <w:noProof/>
            <w:webHidden/>
          </w:rPr>
          <w:fldChar w:fldCharType="separate"/>
        </w:r>
        <w:r w:rsidR="00B1321A">
          <w:rPr>
            <w:noProof/>
            <w:webHidden/>
          </w:rPr>
          <w:t>1</w:t>
        </w:r>
        <w:r w:rsidR="00D3202F">
          <w:rPr>
            <w:noProof/>
            <w:webHidden/>
          </w:rPr>
          <w:fldChar w:fldCharType="end"/>
        </w:r>
      </w:hyperlink>
    </w:p>
    <w:p w:rsidR="00D3202F" w:rsidRDefault="007A4EA9">
      <w:pPr>
        <w:pStyle w:val="Verzeichnis3"/>
        <w:rPr>
          <w:rFonts w:asciiTheme="minorHAnsi" w:eastAsiaTheme="minorEastAsia" w:hAnsiTheme="minorHAnsi" w:cstheme="minorBidi"/>
          <w:i w:val="0"/>
          <w:noProof/>
          <w:sz w:val="22"/>
          <w:szCs w:val="22"/>
        </w:rPr>
      </w:pPr>
      <w:hyperlink w:anchor="_Toc432490650" w:history="1">
        <w:r w:rsidR="00D3202F" w:rsidRPr="00920775">
          <w:rPr>
            <w:rStyle w:val="Hyperlink"/>
            <w:noProof/>
          </w:rPr>
          <w:t>§ 2  Anwendungsbereich</w:t>
        </w:r>
        <w:r w:rsidR="00D3202F">
          <w:rPr>
            <w:noProof/>
            <w:webHidden/>
          </w:rPr>
          <w:tab/>
        </w:r>
        <w:r w:rsidR="00D3202F">
          <w:rPr>
            <w:noProof/>
            <w:webHidden/>
          </w:rPr>
          <w:fldChar w:fldCharType="begin"/>
        </w:r>
        <w:r w:rsidR="00D3202F">
          <w:rPr>
            <w:noProof/>
            <w:webHidden/>
          </w:rPr>
          <w:instrText xml:space="preserve"> PAGEREF _Toc432490650 \h </w:instrText>
        </w:r>
        <w:r w:rsidR="00D3202F">
          <w:rPr>
            <w:noProof/>
            <w:webHidden/>
          </w:rPr>
        </w:r>
        <w:r w:rsidR="00D3202F">
          <w:rPr>
            <w:noProof/>
            <w:webHidden/>
          </w:rPr>
          <w:fldChar w:fldCharType="separate"/>
        </w:r>
        <w:r w:rsidR="00B1321A">
          <w:rPr>
            <w:noProof/>
            <w:webHidden/>
          </w:rPr>
          <w:t>1</w:t>
        </w:r>
        <w:r w:rsidR="00D3202F">
          <w:rPr>
            <w:noProof/>
            <w:webHidden/>
          </w:rPr>
          <w:fldChar w:fldCharType="end"/>
        </w:r>
      </w:hyperlink>
    </w:p>
    <w:p w:rsidR="00D3202F" w:rsidRDefault="007A4EA9">
      <w:pPr>
        <w:pStyle w:val="Verzeichnis3"/>
        <w:rPr>
          <w:rFonts w:asciiTheme="minorHAnsi" w:eastAsiaTheme="minorEastAsia" w:hAnsiTheme="minorHAnsi" w:cstheme="minorBidi"/>
          <w:i w:val="0"/>
          <w:noProof/>
          <w:sz w:val="22"/>
          <w:szCs w:val="22"/>
        </w:rPr>
      </w:pPr>
      <w:hyperlink w:anchor="_Toc432490651" w:history="1">
        <w:r w:rsidR="00D3202F" w:rsidRPr="00920775">
          <w:rPr>
            <w:rStyle w:val="Hyperlink"/>
            <w:noProof/>
          </w:rPr>
          <w:t>§ 3  Berechnung der Frachten bei Vermischung</w:t>
        </w:r>
        <w:r w:rsidR="00D3202F">
          <w:rPr>
            <w:noProof/>
            <w:webHidden/>
          </w:rPr>
          <w:tab/>
        </w:r>
        <w:r w:rsidR="00D3202F">
          <w:rPr>
            <w:noProof/>
            <w:webHidden/>
          </w:rPr>
          <w:fldChar w:fldCharType="begin"/>
        </w:r>
        <w:r w:rsidR="00D3202F">
          <w:rPr>
            <w:noProof/>
            <w:webHidden/>
          </w:rPr>
          <w:instrText xml:space="preserve"> PAGEREF _Toc432490651 \h </w:instrText>
        </w:r>
        <w:r w:rsidR="00D3202F">
          <w:rPr>
            <w:noProof/>
            <w:webHidden/>
          </w:rPr>
        </w:r>
        <w:r w:rsidR="00D3202F">
          <w:rPr>
            <w:noProof/>
            <w:webHidden/>
          </w:rPr>
          <w:fldChar w:fldCharType="separate"/>
        </w:r>
        <w:r w:rsidR="00B1321A">
          <w:rPr>
            <w:noProof/>
            <w:webHidden/>
          </w:rPr>
          <w:t>1</w:t>
        </w:r>
        <w:r w:rsidR="00D3202F">
          <w:rPr>
            <w:noProof/>
            <w:webHidden/>
          </w:rPr>
          <w:fldChar w:fldCharType="end"/>
        </w:r>
      </w:hyperlink>
    </w:p>
    <w:p w:rsidR="00D3202F" w:rsidRDefault="007A4EA9">
      <w:pPr>
        <w:pStyle w:val="Verzeichnis3"/>
        <w:rPr>
          <w:rFonts w:asciiTheme="minorHAnsi" w:eastAsiaTheme="minorEastAsia" w:hAnsiTheme="minorHAnsi" w:cstheme="minorBidi"/>
          <w:i w:val="0"/>
          <w:noProof/>
          <w:sz w:val="22"/>
          <w:szCs w:val="22"/>
        </w:rPr>
      </w:pPr>
      <w:hyperlink w:anchor="_Toc432490652" w:history="1">
        <w:r w:rsidR="00D3202F" w:rsidRPr="00920775">
          <w:rPr>
            <w:rStyle w:val="Hyperlink"/>
            <w:noProof/>
          </w:rPr>
          <w:t>§ 4  Mess- und Überwachungsanforderungen</w:t>
        </w:r>
        <w:r w:rsidR="00D3202F">
          <w:rPr>
            <w:noProof/>
            <w:webHidden/>
          </w:rPr>
          <w:tab/>
        </w:r>
        <w:r w:rsidR="00D3202F">
          <w:rPr>
            <w:noProof/>
            <w:webHidden/>
          </w:rPr>
          <w:fldChar w:fldCharType="begin"/>
        </w:r>
        <w:r w:rsidR="00D3202F">
          <w:rPr>
            <w:noProof/>
            <w:webHidden/>
          </w:rPr>
          <w:instrText xml:space="preserve"> PAGEREF _Toc432490652 \h </w:instrText>
        </w:r>
        <w:r w:rsidR="00D3202F">
          <w:rPr>
            <w:noProof/>
            <w:webHidden/>
          </w:rPr>
        </w:r>
        <w:r w:rsidR="00D3202F">
          <w:rPr>
            <w:noProof/>
            <w:webHidden/>
          </w:rPr>
          <w:fldChar w:fldCharType="separate"/>
        </w:r>
        <w:r w:rsidR="00B1321A">
          <w:rPr>
            <w:noProof/>
            <w:webHidden/>
          </w:rPr>
          <w:t>1</w:t>
        </w:r>
        <w:r w:rsidR="00D3202F">
          <w:rPr>
            <w:noProof/>
            <w:webHidden/>
          </w:rPr>
          <w:fldChar w:fldCharType="end"/>
        </w:r>
      </w:hyperlink>
    </w:p>
    <w:p w:rsidR="00D3202F" w:rsidRDefault="007A4EA9">
      <w:pPr>
        <w:pStyle w:val="Verzeichnis3"/>
        <w:rPr>
          <w:rFonts w:asciiTheme="minorHAnsi" w:eastAsiaTheme="minorEastAsia" w:hAnsiTheme="minorHAnsi" w:cstheme="minorBidi"/>
          <w:i w:val="0"/>
          <w:noProof/>
          <w:sz w:val="22"/>
          <w:szCs w:val="22"/>
        </w:rPr>
      </w:pPr>
      <w:hyperlink w:anchor="_Toc432490653" w:history="1">
        <w:r w:rsidR="00D3202F" w:rsidRPr="00920775">
          <w:rPr>
            <w:rStyle w:val="Hyperlink"/>
            <w:noProof/>
          </w:rPr>
          <w:t>§ 5  Berichtspflichten, Information der Öffentlichkeit</w:t>
        </w:r>
        <w:r w:rsidR="00D3202F">
          <w:rPr>
            <w:noProof/>
            <w:webHidden/>
          </w:rPr>
          <w:tab/>
        </w:r>
        <w:r w:rsidR="00D3202F">
          <w:rPr>
            <w:noProof/>
            <w:webHidden/>
          </w:rPr>
          <w:fldChar w:fldCharType="begin"/>
        </w:r>
        <w:r w:rsidR="00D3202F">
          <w:rPr>
            <w:noProof/>
            <w:webHidden/>
          </w:rPr>
          <w:instrText xml:space="preserve"> PAGEREF _Toc432490653 \h </w:instrText>
        </w:r>
        <w:r w:rsidR="00D3202F">
          <w:rPr>
            <w:noProof/>
            <w:webHidden/>
          </w:rPr>
        </w:r>
        <w:r w:rsidR="00D3202F">
          <w:rPr>
            <w:noProof/>
            <w:webHidden/>
          </w:rPr>
          <w:fldChar w:fldCharType="separate"/>
        </w:r>
        <w:r w:rsidR="00B1321A">
          <w:rPr>
            <w:noProof/>
            <w:webHidden/>
          </w:rPr>
          <w:t>2</w:t>
        </w:r>
        <w:r w:rsidR="00D3202F">
          <w:rPr>
            <w:noProof/>
            <w:webHidden/>
          </w:rPr>
          <w:fldChar w:fldCharType="end"/>
        </w:r>
      </w:hyperlink>
    </w:p>
    <w:p w:rsidR="00D3202F" w:rsidRDefault="007A4EA9">
      <w:pPr>
        <w:pStyle w:val="Verzeichnis3"/>
        <w:rPr>
          <w:rFonts w:asciiTheme="minorHAnsi" w:eastAsiaTheme="minorEastAsia" w:hAnsiTheme="minorHAnsi" w:cstheme="minorBidi"/>
          <w:i w:val="0"/>
          <w:noProof/>
          <w:sz w:val="22"/>
          <w:szCs w:val="22"/>
        </w:rPr>
      </w:pPr>
      <w:hyperlink w:anchor="_Toc432490654" w:history="1">
        <w:r w:rsidR="00D3202F" w:rsidRPr="00920775">
          <w:rPr>
            <w:rStyle w:val="Hyperlink"/>
            <w:noProof/>
          </w:rPr>
          <w:t>§ 6  Vorhandene Einleitungen</w:t>
        </w:r>
        <w:r w:rsidR="00D3202F">
          <w:rPr>
            <w:noProof/>
            <w:webHidden/>
          </w:rPr>
          <w:tab/>
        </w:r>
        <w:r w:rsidR="00D3202F">
          <w:rPr>
            <w:noProof/>
            <w:webHidden/>
          </w:rPr>
          <w:fldChar w:fldCharType="begin"/>
        </w:r>
        <w:r w:rsidR="00D3202F">
          <w:rPr>
            <w:noProof/>
            <w:webHidden/>
          </w:rPr>
          <w:instrText xml:space="preserve"> PAGEREF _Toc432490654 \h </w:instrText>
        </w:r>
        <w:r w:rsidR="00D3202F">
          <w:rPr>
            <w:noProof/>
            <w:webHidden/>
          </w:rPr>
        </w:r>
        <w:r w:rsidR="00D3202F">
          <w:rPr>
            <w:noProof/>
            <w:webHidden/>
          </w:rPr>
          <w:fldChar w:fldCharType="separate"/>
        </w:r>
        <w:r w:rsidR="00B1321A">
          <w:rPr>
            <w:noProof/>
            <w:webHidden/>
          </w:rPr>
          <w:t>2</w:t>
        </w:r>
        <w:r w:rsidR="00D3202F">
          <w:rPr>
            <w:noProof/>
            <w:webHidden/>
          </w:rPr>
          <w:fldChar w:fldCharType="end"/>
        </w:r>
      </w:hyperlink>
    </w:p>
    <w:p w:rsidR="00D3202F" w:rsidRDefault="007A4EA9">
      <w:pPr>
        <w:pStyle w:val="Verzeichnis3"/>
        <w:rPr>
          <w:rFonts w:asciiTheme="minorHAnsi" w:eastAsiaTheme="minorEastAsia" w:hAnsiTheme="minorHAnsi" w:cstheme="minorBidi"/>
          <w:i w:val="0"/>
          <w:noProof/>
          <w:sz w:val="22"/>
          <w:szCs w:val="22"/>
        </w:rPr>
      </w:pPr>
      <w:hyperlink w:anchor="_Toc432490655" w:history="1">
        <w:r w:rsidR="00D3202F" w:rsidRPr="00920775">
          <w:rPr>
            <w:rStyle w:val="Hyperlink"/>
            <w:noProof/>
          </w:rPr>
          <w:t>§ 7  Ordnungswidrigkeiten</w:t>
        </w:r>
        <w:r w:rsidR="00D3202F">
          <w:rPr>
            <w:noProof/>
            <w:webHidden/>
          </w:rPr>
          <w:tab/>
        </w:r>
        <w:r w:rsidR="00D3202F">
          <w:rPr>
            <w:noProof/>
            <w:webHidden/>
          </w:rPr>
          <w:fldChar w:fldCharType="begin"/>
        </w:r>
        <w:r w:rsidR="00D3202F">
          <w:rPr>
            <w:noProof/>
            <w:webHidden/>
          </w:rPr>
          <w:instrText xml:space="preserve"> PAGEREF _Toc432490655 \h </w:instrText>
        </w:r>
        <w:r w:rsidR="00D3202F">
          <w:rPr>
            <w:noProof/>
            <w:webHidden/>
          </w:rPr>
        </w:r>
        <w:r w:rsidR="00D3202F">
          <w:rPr>
            <w:noProof/>
            <w:webHidden/>
          </w:rPr>
          <w:fldChar w:fldCharType="separate"/>
        </w:r>
        <w:r w:rsidR="00B1321A">
          <w:rPr>
            <w:noProof/>
            <w:webHidden/>
          </w:rPr>
          <w:t>2</w:t>
        </w:r>
        <w:r w:rsidR="00D3202F">
          <w:rPr>
            <w:noProof/>
            <w:webHidden/>
          </w:rPr>
          <w:fldChar w:fldCharType="end"/>
        </w:r>
      </w:hyperlink>
    </w:p>
    <w:p w:rsidR="00D3202F" w:rsidRDefault="007A4EA9">
      <w:pPr>
        <w:pStyle w:val="Verzeichnis3"/>
        <w:rPr>
          <w:rFonts w:asciiTheme="minorHAnsi" w:eastAsiaTheme="minorEastAsia" w:hAnsiTheme="minorHAnsi" w:cstheme="minorBidi"/>
          <w:i w:val="0"/>
          <w:noProof/>
          <w:sz w:val="22"/>
          <w:szCs w:val="22"/>
        </w:rPr>
      </w:pPr>
      <w:hyperlink w:anchor="_Toc432490656" w:history="1">
        <w:r w:rsidR="00D3202F" w:rsidRPr="00920775">
          <w:rPr>
            <w:rStyle w:val="Hyperlink"/>
            <w:noProof/>
          </w:rPr>
          <w:t>§ 8  In-Kraft-Treten</w:t>
        </w:r>
        <w:r w:rsidR="00D3202F">
          <w:rPr>
            <w:noProof/>
            <w:webHidden/>
          </w:rPr>
          <w:tab/>
        </w:r>
        <w:r w:rsidR="00D3202F">
          <w:rPr>
            <w:noProof/>
            <w:webHidden/>
          </w:rPr>
          <w:fldChar w:fldCharType="begin"/>
        </w:r>
        <w:r w:rsidR="00D3202F">
          <w:rPr>
            <w:noProof/>
            <w:webHidden/>
          </w:rPr>
          <w:instrText xml:space="preserve"> PAGEREF _Toc432490656 \h </w:instrText>
        </w:r>
        <w:r w:rsidR="00D3202F">
          <w:rPr>
            <w:noProof/>
            <w:webHidden/>
          </w:rPr>
        </w:r>
        <w:r w:rsidR="00D3202F">
          <w:rPr>
            <w:noProof/>
            <w:webHidden/>
          </w:rPr>
          <w:fldChar w:fldCharType="separate"/>
        </w:r>
        <w:r w:rsidR="00B1321A">
          <w:rPr>
            <w:noProof/>
            <w:webHidden/>
          </w:rPr>
          <w:t>2</w:t>
        </w:r>
        <w:r w:rsidR="00D3202F">
          <w:rPr>
            <w:noProof/>
            <w:webHidden/>
          </w:rPr>
          <w:fldChar w:fldCharType="end"/>
        </w:r>
      </w:hyperlink>
    </w:p>
    <w:p w:rsidR="00D3202F" w:rsidRDefault="007A4EA9">
      <w:pPr>
        <w:pStyle w:val="Verzeichnis2"/>
        <w:rPr>
          <w:rFonts w:asciiTheme="minorHAnsi" w:eastAsiaTheme="minorEastAsia" w:hAnsiTheme="minorHAnsi" w:cstheme="minorBidi"/>
          <w:smallCaps w:val="0"/>
          <w:noProof/>
          <w:sz w:val="22"/>
          <w:szCs w:val="22"/>
        </w:rPr>
      </w:pPr>
      <w:hyperlink w:anchor="_Toc432490657" w:history="1">
        <w:r w:rsidR="00D3202F" w:rsidRPr="00920775">
          <w:rPr>
            <w:rStyle w:val="Hyperlink"/>
            <w:noProof/>
          </w:rPr>
          <w:t xml:space="preserve">Artikel 2 </w:t>
        </w:r>
        <w:r w:rsidR="00D3202F" w:rsidRPr="00920775">
          <w:rPr>
            <w:rStyle w:val="Hyperlink"/>
            <w:bCs/>
            <w:noProof/>
          </w:rPr>
          <w:t>Berichtspflicht gegenüber der Landesregierung</w:t>
        </w:r>
        <w:r w:rsidR="00D3202F">
          <w:rPr>
            <w:noProof/>
            <w:webHidden/>
          </w:rPr>
          <w:tab/>
        </w:r>
        <w:r w:rsidR="00D3202F">
          <w:rPr>
            <w:noProof/>
            <w:webHidden/>
          </w:rPr>
          <w:fldChar w:fldCharType="begin"/>
        </w:r>
        <w:r w:rsidR="00D3202F">
          <w:rPr>
            <w:noProof/>
            <w:webHidden/>
          </w:rPr>
          <w:instrText xml:space="preserve"> PAGEREF _Toc432490657 \h </w:instrText>
        </w:r>
        <w:r w:rsidR="00D3202F">
          <w:rPr>
            <w:noProof/>
            <w:webHidden/>
          </w:rPr>
        </w:r>
        <w:r w:rsidR="00D3202F">
          <w:rPr>
            <w:noProof/>
            <w:webHidden/>
          </w:rPr>
          <w:fldChar w:fldCharType="separate"/>
        </w:r>
        <w:r w:rsidR="00B1321A">
          <w:rPr>
            <w:noProof/>
            <w:webHidden/>
          </w:rPr>
          <w:t>2</w:t>
        </w:r>
        <w:r w:rsidR="00D3202F">
          <w:rPr>
            <w:noProof/>
            <w:webHidden/>
          </w:rPr>
          <w:fldChar w:fldCharType="end"/>
        </w:r>
      </w:hyperlink>
    </w:p>
    <w:p w:rsidR="00AE6715" w:rsidRPr="00D3202F" w:rsidRDefault="00D3202F" w:rsidP="00D3202F">
      <w:pPr>
        <w:pStyle w:val="GesAbsatz"/>
      </w:pPr>
      <w:r>
        <w:fldChar w:fldCharType="end"/>
      </w:r>
    </w:p>
    <w:p w:rsidR="00AE6715" w:rsidRDefault="00AE6715">
      <w:pPr>
        <w:pStyle w:val="GesAbsatz"/>
      </w:pPr>
      <w:r>
        <w:t xml:space="preserve">Auf Grund des § 2a des Wassergesetzes für das Land Nordrhein-Westfalen (Landeswassergesetz </w:t>
      </w:r>
      <w:r w:rsidR="007A4EA9">
        <w:t>-</w:t>
      </w:r>
      <w:r>
        <w:t xml:space="preserve"> LWG) in der Fassung vom 5. März 1995 (GV. NRW. S. 926), zuletzt geändert durch Gesetz vom 25. Septe</w:t>
      </w:r>
      <w:r>
        <w:t>m</w:t>
      </w:r>
      <w:r>
        <w:t>ber</w:t>
      </w:r>
      <w:r w:rsidR="006E1E39">
        <w:t xml:space="preserve"> </w:t>
      </w:r>
      <w:r>
        <w:t>2001 (GV. NRW. S. 708), wird verordnet:</w:t>
      </w:r>
    </w:p>
    <w:p w:rsidR="00AE6715" w:rsidRDefault="00AE6715">
      <w:pPr>
        <w:pStyle w:val="berschrift2"/>
      </w:pPr>
      <w:bookmarkStart w:id="1" w:name="_Toc432490648"/>
      <w:r>
        <w:t>Artikel 1</w:t>
      </w:r>
      <w:bookmarkEnd w:id="1"/>
    </w:p>
    <w:p w:rsidR="00AE6715" w:rsidRDefault="00AE6715">
      <w:pPr>
        <w:pStyle w:val="berschrift3"/>
      </w:pPr>
      <w:bookmarkStart w:id="2" w:name="_Toc432490649"/>
      <w:r>
        <w:t>§ 1</w:t>
      </w:r>
      <w:r>
        <w:br/>
        <w:t>Zweck</w:t>
      </w:r>
      <w:bookmarkEnd w:id="2"/>
    </w:p>
    <w:p w:rsidR="00AE6715" w:rsidRDefault="00AE6715">
      <w:pPr>
        <w:pStyle w:val="GesAbsatz"/>
      </w:pPr>
      <w:r>
        <w:t>Diese Verordnung dient der Umsetzung von wasserrechtlichen Vorschriften der Richtlinie 2000/76/EG des Europäischen Parlaments und des Rates vom 4. Dezember 2000 über die Verbrennung von Abfällen (ABl. EG Nr. L 322 S. 91), soweit die Verordnung über Anforderungen an das Einleiten von Abwasser in Gewä</w:t>
      </w:r>
      <w:r>
        <w:t>s</w:t>
      </w:r>
      <w:r>
        <w:t xml:space="preserve">ser (Abwasserverordnung </w:t>
      </w:r>
      <w:r w:rsidR="007A4EA9">
        <w:t>-</w:t>
      </w:r>
      <w:bookmarkStart w:id="3" w:name="_GoBack"/>
      <w:bookmarkEnd w:id="3"/>
      <w:r>
        <w:t xml:space="preserve"> AbwV) in der Fassung der Bekanntmachung vom 15. Oktober 2002 (BGBl. I S.</w:t>
      </w:r>
      <w:r w:rsidR="006E1E39">
        <w:t xml:space="preserve"> </w:t>
      </w:r>
      <w:r>
        <w:t>4047, 4550) nicht die notwendigen Regelungen enthält.</w:t>
      </w:r>
    </w:p>
    <w:p w:rsidR="00AE6715" w:rsidRDefault="00AE6715">
      <w:pPr>
        <w:pStyle w:val="berschrift3"/>
      </w:pPr>
      <w:bookmarkStart w:id="4" w:name="_Toc432490650"/>
      <w:r>
        <w:t xml:space="preserve">§ 2 </w:t>
      </w:r>
      <w:r>
        <w:br/>
        <w:t>Anwendungsbereich</w:t>
      </w:r>
      <w:bookmarkEnd w:id="4"/>
    </w:p>
    <w:p w:rsidR="00AE6715" w:rsidRDefault="00AE6715">
      <w:pPr>
        <w:pStyle w:val="GesAbsatz"/>
      </w:pPr>
      <w:r>
        <w:t>Diese Verordnung gilt für das Einleiten von Abwasser im Sinne des Anhangs 33 Teil A der Abwasserveror</w:t>
      </w:r>
      <w:r>
        <w:t>d</w:t>
      </w:r>
      <w:r>
        <w:t xml:space="preserve">nung in Gewässer und öffentliche Abwasseranlagen. </w:t>
      </w:r>
    </w:p>
    <w:p w:rsidR="00AE6715" w:rsidRDefault="00AE6715">
      <w:pPr>
        <w:pStyle w:val="berschrift3"/>
      </w:pPr>
      <w:bookmarkStart w:id="5" w:name="_Toc432490651"/>
      <w:r>
        <w:t xml:space="preserve">§ 3 </w:t>
      </w:r>
      <w:r>
        <w:br/>
        <w:t>Berechnung der Frachten bei Vermischung</w:t>
      </w:r>
      <w:bookmarkEnd w:id="5"/>
    </w:p>
    <w:p w:rsidR="00AE6715" w:rsidRDefault="00AE6715">
      <w:pPr>
        <w:pStyle w:val="GesAbsatz"/>
      </w:pPr>
      <w:r>
        <w:t>Im Falle der Vermischung von Abwasser im Sinne des § 2 mit Abwasser aus anderen Herkunftsbereichen hat der jeweilige Betreiber die Frachten für die in Anhang 33 Teil D Abs. 1 und 2 der Abwasserverordnung genannten Stoffe als Grundlage für die behördliche Festlegung der Anforderungen zu berechnen. Weiterg</w:t>
      </w:r>
      <w:r>
        <w:t>e</w:t>
      </w:r>
      <w:r>
        <w:t>hende Anforderungen, die zur Erreichung von Bewirtschaftungszielen nach §§ 25a und 25b des Wasse</w:t>
      </w:r>
      <w:r>
        <w:t>r</w:t>
      </w:r>
      <w:r>
        <w:t>haushaltsgesetzes erforderlich sind, bleiben unberührt.</w:t>
      </w:r>
    </w:p>
    <w:p w:rsidR="00AE6715" w:rsidRDefault="00AE6715">
      <w:pPr>
        <w:pStyle w:val="berschrift3"/>
      </w:pPr>
      <w:bookmarkStart w:id="6" w:name="_Toc432490652"/>
      <w:r>
        <w:t xml:space="preserve">§ 4 </w:t>
      </w:r>
      <w:r>
        <w:br/>
        <w:t>Mess- und Überwachungsanforderungen</w:t>
      </w:r>
      <w:bookmarkEnd w:id="6"/>
    </w:p>
    <w:p w:rsidR="00AE6715" w:rsidRDefault="00AE6715">
      <w:pPr>
        <w:pStyle w:val="GesAbsatz"/>
      </w:pPr>
      <w:r>
        <w:t>(1) In die wasserrechtliche Zulassung für das Einleiten von Abwasser in Gewässer oder die Genehmigung für das Einleiten in öffentliche Abwasseranlagen sind mindestens die in den Absätzen 2 bis 5 festgelegten Mess- und Überwachungsanforderungen aufzunehmen.</w:t>
      </w:r>
    </w:p>
    <w:p w:rsidR="00AE6715" w:rsidRDefault="00AE6715">
      <w:pPr>
        <w:pStyle w:val="GesAbsatz"/>
      </w:pPr>
      <w:r>
        <w:t xml:space="preserve">(2) Die Probenahme- oder Messstellen werden von der zuständigen Behörde festgelegt. </w:t>
      </w:r>
    </w:p>
    <w:p w:rsidR="00AE6715" w:rsidRDefault="00AE6715">
      <w:pPr>
        <w:pStyle w:val="GesAbsatz"/>
      </w:pPr>
      <w:r>
        <w:lastRenderedPageBreak/>
        <w:t>(3) Der Einleiter hat die zur Überwachung der Emissionsanforderungen geeigneten Messgeräte einzubauen und Verfahren anzuwenden. Soweit Geräte für die automatische Überwachung der Emissionen in das Wa</w:t>
      </w:r>
      <w:r>
        <w:t>s</w:t>
      </w:r>
      <w:r>
        <w:t xml:space="preserve">ser eingesetzt werden, </w:t>
      </w:r>
      <w:proofErr w:type="gramStart"/>
      <w:r>
        <w:t>ist</w:t>
      </w:r>
      <w:proofErr w:type="gramEnd"/>
      <w:r>
        <w:t xml:space="preserve"> der ordnungsgemäße Einbau und das Funktionieren zu kontrollieren. Ein Überw</w:t>
      </w:r>
      <w:r>
        <w:t>a</w:t>
      </w:r>
      <w:r>
        <w:t>chungstest ist jährlich durchzuführen. Die Kalibrierung muss mindestens alle drei Jahre anhand von parall</w:t>
      </w:r>
      <w:r>
        <w:t>e</w:t>
      </w:r>
      <w:r>
        <w:t xml:space="preserve">len Messungen nach den Referenzmethoden erfolgen. </w:t>
      </w:r>
    </w:p>
    <w:p w:rsidR="00AE6715" w:rsidRDefault="00AE6715">
      <w:pPr>
        <w:pStyle w:val="GesAbsatz"/>
      </w:pPr>
      <w:r>
        <w:t>(4) Am Ort der Abwassereinleitung in das Gewässer, der Einleitung in die öffentliche Abwasseranlage oder vor der Vermischung des Abwassers mit anderen am Standort anfallenden Abwässern sind mindestens fo</w:t>
      </w:r>
      <w:r>
        <w:t>l</w:t>
      </w:r>
      <w:r>
        <w:t>gende Messungen vorzunehmen:</w:t>
      </w:r>
    </w:p>
    <w:p w:rsidR="00AE6715" w:rsidRDefault="00AE6715">
      <w:pPr>
        <w:pStyle w:val="GesAbsatz"/>
        <w:ind w:left="426" w:hanging="426"/>
      </w:pPr>
      <w:r>
        <w:t>a)</w:t>
      </w:r>
      <w:r>
        <w:tab/>
        <w:t>kontinuierliche Messung des pH-Wertes, der Temperatur und des Durchflusses;</w:t>
      </w:r>
    </w:p>
    <w:p w:rsidR="00AE6715" w:rsidRDefault="00AE6715">
      <w:pPr>
        <w:pStyle w:val="GesAbsatz"/>
        <w:ind w:left="426" w:hanging="426"/>
      </w:pPr>
      <w:r>
        <w:t>b)</w:t>
      </w:r>
      <w:r>
        <w:tab/>
        <w:t>tägliche Messung der Gesamtmenge an suspendierten Feststoffen mittels qualifizierter Stichprobe oder durchflussproportionaler repräsentativer Probenahme über eine Dauer von 24 Stunden;</w:t>
      </w:r>
    </w:p>
    <w:p w:rsidR="00AE6715" w:rsidRDefault="00AE6715">
      <w:pPr>
        <w:pStyle w:val="GesAbsatz"/>
        <w:ind w:left="426" w:hanging="426"/>
      </w:pPr>
      <w:r>
        <w:t>c)</w:t>
      </w:r>
      <w:r>
        <w:tab/>
        <w:t>mindestens monatliche Messung der in Anhang 33 Teil D Abs. 1 der Abwasserverordnung aufgeführten Parameter mit Ausnahme der Dioxine und Furane mittels einer durchflussproportionalen repräsentat</w:t>
      </w:r>
      <w:r>
        <w:t>i</w:t>
      </w:r>
      <w:r>
        <w:t>ven Probenahme über eine Dauer von 24 Stunden;</w:t>
      </w:r>
    </w:p>
    <w:p w:rsidR="00AE6715" w:rsidRDefault="00AE6715">
      <w:pPr>
        <w:pStyle w:val="GesAbsatz"/>
        <w:ind w:left="426" w:hanging="426"/>
      </w:pPr>
      <w:r>
        <w:t>d)</w:t>
      </w:r>
      <w:r>
        <w:tab/>
        <w:t>mindestens halbjährliche Messung der Dioxine und Furane, während der ersten 12 Betriebsmonate mindestens alle drei Monate. Die zuständige Behörde kann Messperioden festsetzen, wenn Emission</w:t>
      </w:r>
      <w:r>
        <w:t>s</w:t>
      </w:r>
      <w:r>
        <w:t>anforderungen für polyzyklische aromatische Kohlenwasserstoffe oder andere Parameter festgelegt sind.</w:t>
      </w:r>
    </w:p>
    <w:p w:rsidR="00AE6715" w:rsidRDefault="00AE6715">
      <w:pPr>
        <w:pStyle w:val="GesAbsatz"/>
      </w:pPr>
      <w:r>
        <w:t>(5) Die Messungen sind unter Beachtung der in der Abwasserverordnung festgelegten Probenahme- und Analyseverfahren durchzuführen. Die Messergebnisse müssen auf geeignete Weise aufgezeichnet, vera</w:t>
      </w:r>
      <w:r>
        <w:t>r</w:t>
      </w:r>
      <w:r>
        <w:t>beitet und dargestellt werden.</w:t>
      </w:r>
    </w:p>
    <w:p w:rsidR="00AE6715" w:rsidRDefault="00AE6715">
      <w:pPr>
        <w:pStyle w:val="GesAbsatz"/>
      </w:pPr>
      <w:r>
        <w:t>(6) Ergibt sich aus den Messungen, dass die nach Maßgabe der wasserrechtlichen Zulassung oder Gene</w:t>
      </w:r>
      <w:r>
        <w:t>h</w:t>
      </w:r>
      <w:r>
        <w:t>migung oder des Anhangs 33 der Abwasserverordnung festgesetzten Emissionsanforderungen nicht eing</w:t>
      </w:r>
      <w:r>
        <w:t>e</w:t>
      </w:r>
      <w:r>
        <w:t>halten sind, ist die zuständige Behörde hiervon unverzüglich zu unterrichten.</w:t>
      </w:r>
    </w:p>
    <w:p w:rsidR="00AE6715" w:rsidRDefault="00AE6715">
      <w:pPr>
        <w:pStyle w:val="berschrift3"/>
      </w:pPr>
      <w:bookmarkStart w:id="7" w:name="_Toc432490653"/>
      <w:r>
        <w:t xml:space="preserve">§ 5 </w:t>
      </w:r>
      <w:r>
        <w:br/>
        <w:t>Berichtspflichten, Information der Öffentlichkeit</w:t>
      </w:r>
      <w:bookmarkEnd w:id="7"/>
    </w:p>
    <w:p w:rsidR="00AE6715" w:rsidRDefault="00AE6715">
      <w:pPr>
        <w:pStyle w:val="GesAbsatz"/>
      </w:pPr>
      <w:r>
        <w:t>Für Einleitungen von Abwasser im Sinne des § 2, das aus Anlagen mit einer Nennkapazität von zwei To</w:t>
      </w:r>
      <w:r>
        <w:t>n</w:t>
      </w:r>
      <w:r>
        <w:t>nen pro Stunde oder mehr stammt, ist der Öffentlichkeit ungeachtet des Artikels 15 Abs. 2 der Richtl</w:t>
      </w:r>
      <w:r>
        <w:t>i</w:t>
      </w:r>
      <w:r>
        <w:t>nie 96/61/EG des Rates vom 24. September 1996 über die integrierte Vermeidung und Verminderung der Umweltverschmutzung (ABl. EG Nr. L 257 S. 26) ein jährlicher Bericht über die Überwachung der Einleitung zugänglich zu machen. In dem Bericht ist zumindest Rechenschaft über die Emissionen in das Gewässer oder die öffentliche Abwasseranlage abzulegen. Der Einleiter hat den Bericht der zuständigen Behörde vo</w:t>
      </w:r>
      <w:r>
        <w:t>r</w:t>
      </w:r>
      <w:r>
        <w:t>zulegen.</w:t>
      </w:r>
    </w:p>
    <w:p w:rsidR="00AE6715" w:rsidRDefault="00AE6715">
      <w:pPr>
        <w:pStyle w:val="berschrift3"/>
      </w:pPr>
      <w:bookmarkStart w:id="8" w:name="_Toc432490654"/>
      <w:r>
        <w:t xml:space="preserve">§ 6 </w:t>
      </w:r>
      <w:r>
        <w:br/>
        <w:t>Vorhandene Einleitungen</w:t>
      </w:r>
      <w:bookmarkEnd w:id="8"/>
    </w:p>
    <w:p w:rsidR="00AE6715" w:rsidRDefault="00AE6715">
      <w:pPr>
        <w:pStyle w:val="GesAbsatz"/>
      </w:pPr>
      <w:r>
        <w:t>Für Einleitungen im Sinne des § 2 aus Anlagen, die vor dem 1. August 2002 rechtmäßig in Betrieb waren oder mit deren Bau zu diesem Zeitpunkt rechtmäßig begonnen worden war, gelten die Anforderungen dieser Verordnung mit Wirkung vom 28. Dezember 2005.</w:t>
      </w:r>
    </w:p>
    <w:p w:rsidR="00AE6715" w:rsidRDefault="00AE6715">
      <w:pPr>
        <w:pStyle w:val="berschrift3"/>
      </w:pPr>
      <w:bookmarkStart w:id="9" w:name="_Toc432490655"/>
      <w:r>
        <w:t xml:space="preserve">§ 7 </w:t>
      </w:r>
      <w:r>
        <w:br/>
        <w:t>Ordnungswidrigkeiten</w:t>
      </w:r>
      <w:bookmarkEnd w:id="9"/>
    </w:p>
    <w:p w:rsidR="00AE6715" w:rsidRDefault="00AE6715">
      <w:pPr>
        <w:pStyle w:val="GesAbsatz"/>
      </w:pPr>
      <w:r>
        <w:t>Nach § 161 Abs. 1 Nr. 4 des Landeswassergesetzes handelt ordnungswidrig, wer vorsätzlich oder fahrlässig seinen Verpflichtungen nach §§ 3, 4 und 5 nicht, nicht richtig, nicht vollständig oder nicht rechtzeitig nac</w:t>
      </w:r>
      <w:r>
        <w:t>h</w:t>
      </w:r>
      <w:r>
        <w:t>kommt.</w:t>
      </w:r>
    </w:p>
    <w:p w:rsidR="00AE6715" w:rsidRDefault="00AE6715">
      <w:pPr>
        <w:pStyle w:val="berschrift3"/>
      </w:pPr>
      <w:bookmarkStart w:id="10" w:name="_Toc432490656"/>
      <w:r>
        <w:t xml:space="preserve">§ 8 </w:t>
      </w:r>
      <w:r>
        <w:br/>
        <w:t>In-Kraft-Treten</w:t>
      </w:r>
      <w:bookmarkEnd w:id="10"/>
    </w:p>
    <w:p w:rsidR="00AE6715" w:rsidRDefault="00AE6715">
      <w:pPr>
        <w:pStyle w:val="GesAbsatz"/>
      </w:pPr>
      <w:r>
        <w:t>Diese Verordnung tritt am Tage nach der Verkündung in Kraft.</w:t>
      </w:r>
    </w:p>
    <w:p w:rsidR="00AE6715" w:rsidRDefault="00AE6715">
      <w:pPr>
        <w:pStyle w:val="berschrift2"/>
        <w:rPr>
          <w:bCs/>
        </w:rPr>
      </w:pPr>
      <w:bookmarkStart w:id="11" w:name="_Toc432490657"/>
      <w:r>
        <w:t>Artikel 2</w:t>
      </w:r>
      <w:r>
        <w:br/>
      </w:r>
      <w:r>
        <w:rPr>
          <w:bCs/>
        </w:rPr>
        <w:t>Berichtspflicht gegenüber der Landesregierung</w:t>
      </w:r>
      <w:bookmarkEnd w:id="11"/>
    </w:p>
    <w:p w:rsidR="00AE6715" w:rsidRDefault="00AE6715">
      <w:pPr>
        <w:pStyle w:val="GesAbsatz"/>
      </w:pPr>
      <w:r>
        <w:t>Der Landesregierung wird rechtzeitig vor Ablauf von fünf Jahren nach In-Kraft-Treten der Verordnung durch das Ministerium für Umwelt und Naturschutz, Landwirtschaft und Verbraucherschutz ein Bericht vorgelegt.</w:t>
      </w:r>
    </w:p>
    <w:sectPr w:rsidR="00AE6715">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356" w:rsidRDefault="00883356">
      <w:r>
        <w:separator/>
      </w:r>
    </w:p>
  </w:endnote>
  <w:endnote w:type="continuationSeparator" w:id="0">
    <w:p w:rsidR="00883356" w:rsidRDefault="00883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1C5" w:rsidRDefault="001B21C5">
    <w:pPr>
      <w:pStyle w:val="Fuzeile"/>
      <w:framePr w:wrap="around" w:vAnchor="text" w:hAnchor="margin" w:xAlign="right" w:y="1"/>
    </w:pPr>
    <w:r>
      <w:fldChar w:fldCharType="begin"/>
    </w:r>
    <w:r>
      <w:instrText xml:space="preserve">PAGE  </w:instrText>
    </w:r>
    <w:r>
      <w:fldChar w:fldCharType="end"/>
    </w:r>
  </w:p>
  <w:p w:rsidR="001B21C5" w:rsidRDefault="001B21C5">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1C5" w:rsidRDefault="001B21C5" w:rsidP="00D3202F">
    <w:pPr>
      <w:pStyle w:val="Fuzeile"/>
    </w:pPr>
    <w:r>
      <w:tab/>
      <w:t>Stand 31.07.2003 (GV. NRW. S. 517, ber. S. 616 / SGV. NRW. 77)</w:t>
    </w:r>
    <w:r>
      <w:tab/>
      <w:t xml:space="preserve">Seite </w:t>
    </w:r>
    <w:r>
      <w:fldChar w:fldCharType="begin"/>
    </w:r>
    <w:r>
      <w:instrText xml:space="preserve"> PAGE  \* MERGEFORMAT </w:instrText>
    </w:r>
    <w:r>
      <w:fldChar w:fldCharType="separate"/>
    </w:r>
    <w:r w:rsidR="007A4EA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356" w:rsidRDefault="00883356">
      <w:r>
        <w:separator/>
      </w:r>
    </w:p>
  </w:footnote>
  <w:footnote w:type="continuationSeparator" w:id="0">
    <w:p w:rsidR="00883356" w:rsidRDefault="00883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1C5" w:rsidRDefault="005545D5" w:rsidP="00D3202F">
    <w:pPr>
      <w:pStyle w:val="Kopfzeile0"/>
    </w:pPr>
    <w:r>
      <w:t>Archiv7.71</w:t>
    </w:r>
  </w:p>
  <w:p w:rsidR="001B21C5" w:rsidRDefault="001B21C5">
    <w:pPr>
      <w:pStyle w:val="Kopfzeile"/>
    </w:pPr>
    <w:r>
      <w:t>AbwAbfverbrVO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AA2"/>
    <w:rsid w:val="001B21C5"/>
    <w:rsid w:val="003109D2"/>
    <w:rsid w:val="0039319C"/>
    <w:rsid w:val="005545D5"/>
    <w:rsid w:val="005D201F"/>
    <w:rsid w:val="005F5610"/>
    <w:rsid w:val="006E1E39"/>
    <w:rsid w:val="007A4EA9"/>
    <w:rsid w:val="00883356"/>
    <w:rsid w:val="009E591A"/>
    <w:rsid w:val="009F63CE"/>
    <w:rsid w:val="00A32780"/>
    <w:rsid w:val="00AE6715"/>
    <w:rsid w:val="00B1321A"/>
    <w:rsid w:val="00B8056F"/>
    <w:rsid w:val="00C00F3D"/>
    <w:rsid w:val="00D3202F"/>
    <w:rsid w:val="00E738E2"/>
    <w:rsid w:val="00EB1A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3202F"/>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D3202F"/>
    <w:pPr>
      <w:keepNext/>
      <w:spacing w:after="120"/>
      <w:jc w:val="center"/>
      <w:outlineLvl w:val="0"/>
    </w:pPr>
    <w:rPr>
      <w:b/>
      <w:kern w:val="28"/>
      <w:sz w:val="28"/>
    </w:rPr>
  </w:style>
  <w:style w:type="paragraph" w:styleId="berschrift2">
    <w:name w:val="heading 2"/>
    <w:basedOn w:val="Standard"/>
    <w:next w:val="GesAbsatz"/>
    <w:qFormat/>
    <w:rsid w:val="00D3202F"/>
    <w:pPr>
      <w:keepNext/>
      <w:spacing w:before="240"/>
      <w:jc w:val="center"/>
      <w:outlineLvl w:val="1"/>
    </w:pPr>
    <w:rPr>
      <w:b/>
      <w:sz w:val="24"/>
    </w:rPr>
  </w:style>
  <w:style w:type="paragraph" w:styleId="berschrift3">
    <w:name w:val="heading 3"/>
    <w:basedOn w:val="Standard"/>
    <w:next w:val="GesAbsatz"/>
    <w:qFormat/>
    <w:rsid w:val="00D3202F"/>
    <w:pPr>
      <w:keepNext/>
      <w:spacing w:before="240" w:after="180"/>
      <w:jc w:val="center"/>
      <w:outlineLvl w:val="2"/>
    </w:pPr>
    <w:rPr>
      <w:b/>
    </w:rPr>
  </w:style>
  <w:style w:type="paragraph" w:styleId="berschrift4">
    <w:name w:val="heading 4"/>
    <w:basedOn w:val="Standard"/>
    <w:next w:val="Standard"/>
    <w:rsid w:val="00D3202F"/>
    <w:pPr>
      <w:keepNext/>
      <w:spacing w:before="240"/>
      <w:outlineLvl w:val="3"/>
    </w:pPr>
  </w:style>
  <w:style w:type="paragraph" w:styleId="berschrift5">
    <w:name w:val="heading 5"/>
    <w:basedOn w:val="Standard"/>
    <w:next w:val="Standard"/>
    <w:rsid w:val="00D3202F"/>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D3202F"/>
    <w:pPr>
      <w:tabs>
        <w:tab w:val="center" w:pos="4536"/>
        <w:tab w:val="right" w:pos="9072"/>
      </w:tabs>
      <w:spacing w:before="0" w:after="120"/>
      <w:jc w:val="right"/>
    </w:pPr>
  </w:style>
  <w:style w:type="paragraph" w:styleId="Fuzeile">
    <w:name w:val="footer"/>
    <w:basedOn w:val="Standard"/>
    <w:qFormat/>
    <w:rsid w:val="00D3202F"/>
    <w:pPr>
      <w:tabs>
        <w:tab w:val="clear" w:pos="425"/>
        <w:tab w:val="right" w:pos="8505"/>
        <w:tab w:val="right" w:pos="9639"/>
      </w:tabs>
      <w:spacing w:before="0" w:after="0"/>
      <w:jc w:val="left"/>
    </w:pPr>
    <w:rPr>
      <w:sz w:val="16"/>
    </w:rPr>
  </w:style>
  <w:style w:type="paragraph" w:styleId="Verzeichnis2">
    <w:name w:val="toc 2"/>
    <w:basedOn w:val="Standard"/>
    <w:next w:val="Standard"/>
    <w:uiPriority w:val="39"/>
    <w:rsid w:val="00D3202F"/>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rsid w:val="00D3202F"/>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D3202F"/>
    <w:pPr>
      <w:spacing w:before="0" w:after="0"/>
    </w:pPr>
    <w:rPr>
      <w:sz w:val="16"/>
    </w:rPr>
  </w:style>
  <w:style w:type="paragraph" w:styleId="Verzeichnis1">
    <w:name w:val="toc 1"/>
    <w:basedOn w:val="Verzeichnis3"/>
    <w:next w:val="Standard"/>
    <w:uiPriority w:val="39"/>
    <w:rsid w:val="00D3202F"/>
    <w:pPr>
      <w:spacing w:before="120" w:after="120"/>
      <w:ind w:left="0"/>
    </w:pPr>
    <w:rPr>
      <w:b/>
      <w:i w:val="0"/>
      <w:caps/>
    </w:rPr>
  </w:style>
  <w:style w:type="paragraph" w:customStyle="1" w:styleId="GesAbsatz">
    <w:name w:val="GesAbsatz"/>
    <w:basedOn w:val="Standard"/>
    <w:qFormat/>
    <w:rsid w:val="00D3202F"/>
    <w:pPr>
      <w:spacing w:before="100"/>
    </w:pPr>
    <w:rPr>
      <w:color w:val="000000"/>
    </w:rPr>
  </w:style>
  <w:style w:type="paragraph" w:styleId="Verzeichnis4">
    <w:name w:val="toc 4"/>
    <w:basedOn w:val="Standard"/>
    <w:next w:val="Standard"/>
    <w:semiHidden/>
    <w:rsid w:val="00D3202F"/>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D3202F"/>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D3202F"/>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D3202F"/>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D3202F"/>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D3202F"/>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D3202F"/>
    <w:rPr>
      <w:color w:val="0000FF"/>
      <w:u w:val="single"/>
    </w:rPr>
  </w:style>
  <w:style w:type="character" w:styleId="BesuchterHyperlink">
    <w:name w:val="FollowedHyperlink"/>
    <w:basedOn w:val="Absatz-Standardschriftart"/>
    <w:rsid w:val="009E591A"/>
    <w:rPr>
      <w:color w:val="800080"/>
      <w:u w:val="single"/>
    </w:rPr>
  </w:style>
  <w:style w:type="character" w:styleId="Funotenzeichen">
    <w:name w:val="footnote reference"/>
    <w:qFormat/>
    <w:rsid w:val="00D3202F"/>
    <w:rPr>
      <w:sz w:val="20"/>
      <w:szCs w:val="20"/>
      <w:vertAlign w:val="superscript"/>
    </w:rPr>
  </w:style>
  <w:style w:type="paragraph" w:customStyle="1" w:styleId="Kopfzeile0">
    <w:name w:val="Kopfzeile0"/>
    <w:basedOn w:val="Standard"/>
    <w:next w:val="Kopfzeile"/>
    <w:qFormat/>
    <w:rsid w:val="00D3202F"/>
    <w:pPr>
      <w:spacing w:before="0" w:after="0"/>
      <w:jc w:val="right"/>
    </w:pPr>
    <w:rPr>
      <w:b/>
      <w:sz w:val="24"/>
    </w:rPr>
  </w:style>
  <w:style w:type="character" w:styleId="Seitenzahl">
    <w:name w:val="page number"/>
    <w:rsid w:val="00D3202F"/>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3202F"/>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D3202F"/>
    <w:pPr>
      <w:keepNext/>
      <w:spacing w:after="120"/>
      <w:jc w:val="center"/>
      <w:outlineLvl w:val="0"/>
    </w:pPr>
    <w:rPr>
      <w:b/>
      <w:kern w:val="28"/>
      <w:sz w:val="28"/>
    </w:rPr>
  </w:style>
  <w:style w:type="paragraph" w:styleId="berschrift2">
    <w:name w:val="heading 2"/>
    <w:basedOn w:val="Standard"/>
    <w:next w:val="GesAbsatz"/>
    <w:qFormat/>
    <w:rsid w:val="00D3202F"/>
    <w:pPr>
      <w:keepNext/>
      <w:spacing w:before="240"/>
      <w:jc w:val="center"/>
      <w:outlineLvl w:val="1"/>
    </w:pPr>
    <w:rPr>
      <w:b/>
      <w:sz w:val="24"/>
    </w:rPr>
  </w:style>
  <w:style w:type="paragraph" w:styleId="berschrift3">
    <w:name w:val="heading 3"/>
    <w:basedOn w:val="Standard"/>
    <w:next w:val="GesAbsatz"/>
    <w:qFormat/>
    <w:rsid w:val="00D3202F"/>
    <w:pPr>
      <w:keepNext/>
      <w:spacing w:before="240" w:after="180"/>
      <w:jc w:val="center"/>
      <w:outlineLvl w:val="2"/>
    </w:pPr>
    <w:rPr>
      <w:b/>
    </w:rPr>
  </w:style>
  <w:style w:type="paragraph" w:styleId="berschrift4">
    <w:name w:val="heading 4"/>
    <w:basedOn w:val="Standard"/>
    <w:next w:val="Standard"/>
    <w:rsid w:val="00D3202F"/>
    <w:pPr>
      <w:keepNext/>
      <w:spacing w:before="240"/>
      <w:outlineLvl w:val="3"/>
    </w:pPr>
  </w:style>
  <w:style w:type="paragraph" w:styleId="berschrift5">
    <w:name w:val="heading 5"/>
    <w:basedOn w:val="Standard"/>
    <w:next w:val="Standard"/>
    <w:rsid w:val="00D3202F"/>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D3202F"/>
    <w:pPr>
      <w:tabs>
        <w:tab w:val="center" w:pos="4536"/>
        <w:tab w:val="right" w:pos="9072"/>
      </w:tabs>
      <w:spacing w:before="0" w:after="120"/>
      <w:jc w:val="right"/>
    </w:pPr>
  </w:style>
  <w:style w:type="paragraph" w:styleId="Fuzeile">
    <w:name w:val="footer"/>
    <w:basedOn w:val="Standard"/>
    <w:qFormat/>
    <w:rsid w:val="00D3202F"/>
    <w:pPr>
      <w:tabs>
        <w:tab w:val="clear" w:pos="425"/>
        <w:tab w:val="right" w:pos="8505"/>
        <w:tab w:val="right" w:pos="9639"/>
      </w:tabs>
      <w:spacing w:before="0" w:after="0"/>
      <w:jc w:val="left"/>
    </w:pPr>
    <w:rPr>
      <w:sz w:val="16"/>
    </w:rPr>
  </w:style>
  <w:style w:type="paragraph" w:styleId="Verzeichnis2">
    <w:name w:val="toc 2"/>
    <w:basedOn w:val="Standard"/>
    <w:next w:val="Standard"/>
    <w:uiPriority w:val="39"/>
    <w:rsid w:val="00D3202F"/>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rsid w:val="00D3202F"/>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D3202F"/>
    <w:pPr>
      <w:spacing w:before="0" w:after="0"/>
    </w:pPr>
    <w:rPr>
      <w:sz w:val="16"/>
    </w:rPr>
  </w:style>
  <w:style w:type="paragraph" w:styleId="Verzeichnis1">
    <w:name w:val="toc 1"/>
    <w:basedOn w:val="Verzeichnis3"/>
    <w:next w:val="Standard"/>
    <w:uiPriority w:val="39"/>
    <w:rsid w:val="00D3202F"/>
    <w:pPr>
      <w:spacing w:before="120" w:after="120"/>
      <w:ind w:left="0"/>
    </w:pPr>
    <w:rPr>
      <w:b/>
      <w:i w:val="0"/>
      <w:caps/>
    </w:rPr>
  </w:style>
  <w:style w:type="paragraph" w:customStyle="1" w:styleId="GesAbsatz">
    <w:name w:val="GesAbsatz"/>
    <w:basedOn w:val="Standard"/>
    <w:qFormat/>
    <w:rsid w:val="00D3202F"/>
    <w:pPr>
      <w:spacing w:before="100"/>
    </w:pPr>
    <w:rPr>
      <w:color w:val="000000"/>
    </w:rPr>
  </w:style>
  <w:style w:type="paragraph" w:styleId="Verzeichnis4">
    <w:name w:val="toc 4"/>
    <w:basedOn w:val="Standard"/>
    <w:next w:val="Standard"/>
    <w:semiHidden/>
    <w:rsid w:val="00D3202F"/>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D3202F"/>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D3202F"/>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D3202F"/>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D3202F"/>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D3202F"/>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D3202F"/>
    <w:rPr>
      <w:color w:val="0000FF"/>
      <w:u w:val="single"/>
    </w:rPr>
  </w:style>
  <w:style w:type="character" w:styleId="BesuchterHyperlink">
    <w:name w:val="FollowedHyperlink"/>
    <w:basedOn w:val="Absatz-Standardschriftart"/>
    <w:rsid w:val="009E591A"/>
    <w:rPr>
      <w:color w:val="800080"/>
      <w:u w:val="single"/>
    </w:rPr>
  </w:style>
  <w:style w:type="character" w:styleId="Funotenzeichen">
    <w:name w:val="footnote reference"/>
    <w:qFormat/>
    <w:rsid w:val="00D3202F"/>
    <w:rPr>
      <w:sz w:val="20"/>
      <w:szCs w:val="20"/>
      <w:vertAlign w:val="superscript"/>
    </w:rPr>
  </w:style>
  <w:style w:type="paragraph" w:customStyle="1" w:styleId="Kopfzeile0">
    <w:name w:val="Kopfzeile0"/>
    <w:basedOn w:val="Standard"/>
    <w:next w:val="Kopfzeile"/>
    <w:qFormat/>
    <w:rsid w:val="00D3202F"/>
    <w:pPr>
      <w:spacing w:before="0" w:after="0"/>
      <w:jc w:val="right"/>
    </w:pPr>
    <w:rPr>
      <w:b/>
      <w:sz w:val="24"/>
    </w:rPr>
  </w:style>
  <w:style w:type="character" w:styleId="Seitenzahl">
    <w:name w:val="page number"/>
    <w:rsid w:val="00D3202F"/>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v.recht.nrw.de/lmi/owa/br_bes_text?anw_nr=2&amp;gld_nr=7&amp;ugl_nr=77&amp;bes_id=5182&amp;aufgehoben=J&amp;menu=1&amp;sg=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5173C-D751-4985-A162-0310ABE6C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Pages>
  <Words>823</Words>
  <Characters>5971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VO zur Umsetzung der Richtlinie 200/76/EG über die Verbrennung von Abfällen</vt:lpstr>
    </vt:vector>
  </TitlesOfParts>
  <Company>LUA</Company>
  <LinksUpToDate>false</LinksUpToDate>
  <CharactersWithSpaces>6781</CharactersWithSpaces>
  <SharedDoc>false</SharedDoc>
  <HLinks>
    <vt:vector size="72" baseType="variant">
      <vt:variant>
        <vt:i4>1310773</vt:i4>
      </vt:variant>
      <vt:variant>
        <vt:i4>65</vt:i4>
      </vt:variant>
      <vt:variant>
        <vt:i4>0</vt:i4>
      </vt:variant>
      <vt:variant>
        <vt:i4>5</vt:i4>
      </vt:variant>
      <vt:variant>
        <vt:lpwstr/>
      </vt:variant>
      <vt:variant>
        <vt:lpwstr>_Toc130712556</vt:lpwstr>
      </vt:variant>
      <vt:variant>
        <vt:i4>1310773</vt:i4>
      </vt:variant>
      <vt:variant>
        <vt:i4>59</vt:i4>
      </vt:variant>
      <vt:variant>
        <vt:i4>0</vt:i4>
      </vt:variant>
      <vt:variant>
        <vt:i4>5</vt:i4>
      </vt:variant>
      <vt:variant>
        <vt:lpwstr/>
      </vt:variant>
      <vt:variant>
        <vt:lpwstr>_Toc130712555</vt:lpwstr>
      </vt:variant>
      <vt:variant>
        <vt:i4>1310773</vt:i4>
      </vt:variant>
      <vt:variant>
        <vt:i4>53</vt:i4>
      </vt:variant>
      <vt:variant>
        <vt:i4>0</vt:i4>
      </vt:variant>
      <vt:variant>
        <vt:i4>5</vt:i4>
      </vt:variant>
      <vt:variant>
        <vt:lpwstr/>
      </vt:variant>
      <vt:variant>
        <vt:lpwstr>_Toc130712554</vt:lpwstr>
      </vt:variant>
      <vt:variant>
        <vt:i4>1310773</vt:i4>
      </vt:variant>
      <vt:variant>
        <vt:i4>47</vt:i4>
      </vt:variant>
      <vt:variant>
        <vt:i4>0</vt:i4>
      </vt:variant>
      <vt:variant>
        <vt:i4>5</vt:i4>
      </vt:variant>
      <vt:variant>
        <vt:lpwstr/>
      </vt:variant>
      <vt:variant>
        <vt:lpwstr>_Toc130712553</vt:lpwstr>
      </vt:variant>
      <vt:variant>
        <vt:i4>1310773</vt:i4>
      </vt:variant>
      <vt:variant>
        <vt:i4>41</vt:i4>
      </vt:variant>
      <vt:variant>
        <vt:i4>0</vt:i4>
      </vt:variant>
      <vt:variant>
        <vt:i4>5</vt:i4>
      </vt:variant>
      <vt:variant>
        <vt:lpwstr/>
      </vt:variant>
      <vt:variant>
        <vt:lpwstr>_Toc130712552</vt:lpwstr>
      </vt:variant>
      <vt:variant>
        <vt:i4>1310773</vt:i4>
      </vt:variant>
      <vt:variant>
        <vt:i4>35</vt:i4>
      </vt:variant>
      <vt:variant>
        <vt:i4>0</vt:i4>
      </vt:variant>
      <vt:variant>
        <vt:i4>5</vt:i4>
      </vt:variant>
      <vt:variant>
        <vt:lpwstr/>
      </vt:variant>
      <vt:variant>
        <vt:lpwstr>_Toc130712551</vt:lpwstr>
      </vt:variant>
      <vt:variant>
        <vt:i4>1310773</vt:i4>
      </vt:variant>
      <vt:variant>
        <vt:i4>29</vt:i4>
      </vt:variant>
      <vt:variant>
        <vt:i4>0</vt:i4>
      </vt:variant>
      <vt:variant>
        <vt:i4>5</vt:i4>
      </vt:variant>
      <vt:variant>
        <vt:lpwstr/>
      </vt:variant>
      <vt:variant>
        <vt:lpwstr>_Toc130712550</vt:lpwstr>
      </vt:variant>
      <vt:variant>
        <vt:i4>1376309</vt:i4>
      </vt:variant>
      <vt:variant>
        <vt:i4>23</vt:i4>
      </vt:variant>
      <vt:variant>
        <vt:i4>0</vt:i4>
      </vt:variant>
      <vt:variant>
        <vt:i4>5</vt:i4>
      </vt:variant>
      <vt:variant>
        <vt:lpwstr/>
      </vt:variant>
      <vt:variant>
        <vt:lpwstr>_Toc130712549</vt:lpwstr>
      </vt:variant>
      <vt:variant>
        <vt:i4>1376309</vt:i4>
      </vt:variant>
      <vt:variant>
        <vt:i4>17</vt:i4>
      </vt:variant>
      <vt:variant>
        <vt:i4>0</vt:i4>
      </vt:variant>
      <vt:variant>
        <vt:i4>5</vt:i4>
      </vt:variant>
      <vt:variant>
        <vt:lpwstr/>
      </vt:variant>
      <vt:variant>
        <vt:lpwstr>_Toc130712548</vt:lpwstr>
      </vt:variant>
      <vt:variant>
        <vt:i4>1376309</vt:i4>
      </vt:variant>
      <vt:variant>
        <vt:i4>11</vt:i4>
      </vt:variant>
      <vt:variant>
        <vt:i4>0</vt:i4>
      </vt:variant>
      <vt:variant>
        <vt:i4>5</vt:i4>
      </vt:variant>
      <vt:variant>
        <vt:lpwstr/>
      </vt:variant>
      <vt:variant>
        <vt:lpwstr>_Toc130712547</vt:lpwstr>
      </vt:variant>
      <vt:variant>
        <vt:i4>1376309</vt:i4>
      </vt:variant>
      <vt:variant>
        <vt:i4>5</vt:i4>
      </vt:variant>
      <vt:variant>
        <vt:i4>0</vt:i4>
      </vt:variant>
      <vt:variant>
        <vt:i4>5</vt:i4>
      </vt:variant>
      <vt:variant>
        <vt:lpwstr/>
      </vt:variant>
      <vt:variant>
        <vt:lpwstr>_Toc130712546</vt:lpwstr>
      </vt:variant>
      <vt:variant>
        <vt:i4>2359411</vt:i4>
      </vt:variant>
      <vt:variant>
        <vt:i4>0</vt:i4>
      </vt:variant>
      <vt:variant>
        <vt:i4>0</vt:i4>
      </vt:variant>
      <vt:variant>
        <vt:i4>5</vt:i4>
      </vt:variant>
      <vt:variant>
        <vt:lpwstr>https://recht.nrw.de/lmi/owa/br_bes_text?anw_nr=2&amp;gld_nr=7&amp;ugl_nr=77&amp;bes_id=5182&amp;aufgehoben=N&amp;menu=1&amp;sg=0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 zur Umsetzung der Richtlinie 200/76/EG über die Verbrennung von Abfällen</dc:title>
  <dc:subject>AbwAbfverbrVO</dc:subject>
  <dc:creator>Natrop</dc:creator>
  <dc:description>durchgesehen 3.2006</dc:description>
  <cp:lastModifiedBy>rueter</cp:lastModifiedBy>
  <cp:revision>6</cp:revision>
  <cp:lastPrinted>1900-12-31T22:00:00Z</cp:lastPrinted>
  <dcterms:created xsi:type="dcterms:W3CDTF">2016-07-20T14:47:00Z</dcterms:created>
  <dcterms:modified xsi:type="dcterms:W3CDTF">2016-09-20T12:00:00Z</dcterms:modified>
</cp:coreProperties>
</file>