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C68" w:rsidRDefault="00037C68" w:rsidP="008E1007">
      <w:pPr>
        <w:pStyle w:val="berschrift1"/>
      </w:pPr>
      <w:bookmarkStart w:id="0" w:name="_Toc420654407"/>
      <w:r>
        <w:t>ENTSCHEIDUNG DER KOMMISSION</w:t>
      </w:r>
      <w:r w:rsidR="008E1007">
        <w:t xml:space="preserve"> </w:t>
      </w:r>
      <w:hyperlink r:id="rId8" w:history="1">
        <w:r w:rsidR="008E1007" w:rsidRPr="00502A6A">
          <w:rPr>
            <w:rStyle w:val="Hyperlink"/>
          </w:rPr>
          <w:t>2006/1013/EG</w:t>
        </w:r>
      </w:hyperlink>
      <w:r w:rsidR="008E1007">
        <w:t xml:space="preserve"> </w:t>
      </w:r>
      <w:r>
        <w:t>vom</w:t>
      </w:r>
      <w:r w:rsidR="008E1007">
        <w:br/>
      </w:r>
      <w:r>
        <w:t>22. Dezember 2006</w:t>
      </w:r>
      <w:r w:rsidR="008E1007">
        <w:t xml:space="preserve"> </w:t>
      </w:r>
      <w:r>
        <w:t>über einen Antr</w:t>
      </w:r>
      <w:r w:rsidR="008E1007">
        <w:t>ag Deutschlands auf Genehmigung</w:t>
      </w:r>
      <w:r w:rsidR="008E1007">
        <w:br/>
      </w:r>
      <w:r>
        <w:t>einer Ausnahmeregelung auf der Grundlage der</w:t>
      </w:r>
      <w:r w:rsidR="008E1007">
        <w:t xml:space="preserve"> Richtlinie 91/676/EWG</w:t>
      </w:r>
      <w:r w:rsidR="008E1007">
        <w:br/>
      </w:r>
      <w:r>
        <w:t>des Rates zum Schutz der</w:t>
      </w:r>
      <w:bookmarkStart w:id="1" w:name="_GoBack"/>
      <w:bookmarkEnd w:id="1"/>
      <w:r>
        <w:t xml:space="preserve"> Gewässer vor Verun</w:t>
      </w:r>
      <w:r w:rsidR="008E1007">
        <w:t>reinigung durch Nitrate</w:t>
      </w:r>
      <w:r w:rsidR="008E1007">
        <w:br/>
      </w:r>
      <w:r>
        <w:t>aus</w:t>
      </w:r>
      <w:r w:rsidR="008E1007">
        <w:t xml:space="preserve"> </w:t>
      </w:r>
      <w:r>
        <w:t>landwirtschaftlichen Quellen</w:t>
      </w:r>
      <w:bookmarkEnd w:id="0"/>
    </w:p>
    <w:p w:rsidR="00F847EF" w:rsidRPr="00F847EF" w:rsidRDefault="00F847EF" w:rsidP="00037C68">
      <w:pPr>
        <w:pStyle w:val="GesAbsatz"/>
        <w:rPr>
          <w:b/>
          <w:i/>
          <w:color w:val="FF0000"/>
          <w:sz w:val="22"/>
          <w:szCs w:val="22"/>
        </w:rPr>
      </w:pPr>
      <w:r w:rsidRPr="00F847EF">
        <w:rPr>
          <w:b/>
          <w:i/>
          <w:color w:val="FF0000"/>
          <w:sz w:val="22"/>
          <w:szCs w:val="22"/>
        </w:rPr>
        <w:t>Gültig bis 31.12.2013.</w:t>
      </w:r>
    </w:p>
    <w:p w:rsidR="00037C68" w:rsidRDefault="004A5A1B" w:rsidP="00037C68">
      <w:pPr>
        <w:pStyle w:val="GesAbsatz"/>
      </w:pPr>
      <w:r w:rsidRPr="004A5A1B">
        <w:rPr>
          <w:b/>
        </w:rPr>
        <w:t>Änderungen:</w:t>
      </w:r>
      <w:r>
        <w:t xml:space="preserve"> </w:t>
      </w:r>
      <w:hyperlink r:id="rId9" w:history="1">
        <w:r w:rsidRPr="004A6DBA">
          <w:rPr>
            <w:rStyle w:val="Hyperlink"/>
          </w:rPr>
          <w:t>2009/753/EG</w:t>
        </w:r>
      </w:hyperlink>
      <w:r>
        <w:t xml:space="preserve"> </w:t>
      </w:r>
      <w:r w:rsidRPr="004A5A1B">
        <w:t>ABl. L 268 v</w:t>
      </w:r>
      <w:r>
        <w:t>.</w:t>
      </w:r>
      <w:r w:rsidRPr="004A5A1B">
        <w:t xml:space="preserve"> 13.10.2009 S. 35</w:t>
      </w:r>
      <w:r>
        <w:t>;</w:t>
      </w:r>
    </w:p>
    <w:p w:rsidR="00F847EF" w:rsidRDefault="00F847EF" w:rsidP="00037C68">
      <w:pPr>
        <w:pStyle w:val="GesAbsatz"/>
      </w:pPr>
    </w:p>
    <w:p w:rsidR="00A50A31" w:rsidRDefault="008E1007" w:rsidP="008E1007">
      <w:pPr>
        <w:pStyle w:val="GesAbsatz"/>
        <w:jc w:val="center"/>
        <w:rPr>
          <w:b/>
          <w:sz w:val="22"/>
          <w:szCs w:val="22"/>
        </w:rPr>
      </w:pPr>
      <w:r w:rsidRPr="008E1007">
        <w:rPr>
          <w:b/>
          <w:sz w:val="22"/>
          <w:szCs w:val="22"/>
        </w:rPr>
        <w:t>Inhalt:</w:t>
      </w:r>
    </w:p>
    <w:p w:rsidR="00A50A31" w:rsidRDefault="00A50A31">
      <w:pPr>
        <w:pStyle w:val="Verzeichnis1"/>
        <w:tabs>
          <w:tab w:val="clear" w:pos="9638"/>
          <w:tab w:val="right" w:leader="dot" w:pos="9628"/>
        </w:tabs>
        <w:rPr>
          <w:rFonts w:asciiTheme="minorHAnsi" w:eastAsiaTheme="minorEastAsia" w:hAnsiTheme="minorHAnsi" w:cstheme="minorBidi"/>
          <w:b w:val="0"/>
          <w:bCs/>
          <w:caps w:val="0"/>
          <w:noProof/>
          <w:sz w:val="22"/>
          <w:szCs w:val="22"/>
        </w:rPr>
      </w:pPr>
      <w:r>
        <w:rPr>
          <w:b w:val="0"/>
          <w:sz w:val="22"/>
          <w:szCs w:val="22"/>
        </w:rPr>
        <w:fldChar w:fldCharType="begin"/>
      </w:r>
      <w:r>
        <w:rPr>
          <w:b w:val="0"/>
          <w:sz w:val="22"/>
          <w:szCs w:val="22"/>
        </w:rPr>
        <w:instrText xml:space="preserve"> TOC \o "1-3" \h \z \u </w:instrText>
      </w:r>
      <w:r>
        <w:rPr>
          <w:b w:val="0"/>
          <w:sz w:val="22"/>
          <w:szCs w:val="22"/>
        </w:rPr>
        <w:fldChar w:fldCharType="separate"/>
      </w:r>
      <w:hyperlink w:anchor="_Toc420654407" w:history="1">
        <w:r w:rsidRPr="00616CF9">
          <w:rPr>
            <w:rStyle w:val="Hyperlink"/>
            <w:noProof/>
          </w:rPr>
          <w:t>ENTSCHEIDUNG DER KOMMISSION 2006/1013/EG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_Toc420654407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847EF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A50A31" w:rsidRDefault="00780E3E">
      <w:pPr>
        <w:pStyle w:val="Verzeichnis2"/>
        <w:tabs>
          <w:tab w:val="clear" w:pos="9638"/>
          <w:tab w:val="right" w:leader="dot" w:pos="9628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420654408" w:history="1">
        <w:r w:rsidR="00A50A31" w:rsidRPr="00616CF9">
          <w:rPr>
            <w:rStyle w:val="Hyperlink"/>
            <w:noProof/>
          </w:rPr>
          <w:t>Artikel 1</w:t>
        </w:r>
        <w:r w:rsidR="00A50A31">
          <w:rPr>
            <w:noProof/>
            <w:webHidden/>
          </w:rPr>
          <w:tab/>
        </w:r>
        <w:r w:rsidR="00A50A31">
          <w:rPr>
            <w:noProof/>
            <w:webHidden/>
          </w:rPr>
          <w:fldChar w:fldCharType="begin"/>
        </w:r>
        <w:r w:rsidR="00A50A31">
          <w:rPr>
            <w:noProof/>
            <w:webHidden/>
          </w:rPr>
          <w:instrText xml:space="preserve"> PAGEREF _Toc420654408 \h </w:instrText>
        </w:r>
        <w:r w:rsidR="00A50A31">
          <w:rPr>
            <w:noProof/>
            <w:webHidden/>
          </w:rPr>
        </w:r>
        <w:r w:rsidR="00A50A31">
          <w:rPr>
            <w:noProof/>
            <w:webHidden/>
          </w:rPr>
          <w:fldChar w:fldCharType="separate"/>
        </w:r>
        <w:r w:rsidR="00F847EF">
          <w:rPr>
            <w:noProof/>
            <w:webHidden/>
          </w:rPr>
          <w:t>2</w:t>
        </w:r>
        <w:r w:rsidR="00A50A31">
          <w:rPr>
            <w:noProof/>
            <w:webHidden/>
          </w:rPr>
          <w:fldChar w:fldCharType="end"/>
        </w:r>
      </w:hyperlink>
    </w:p>
    <w:p w:rsidR="00A50A31" w:rsidRDefault="00780E3E">
      <w:pPr>
        <w:pStyle w:val="Verzeichnis2"/>
        <w:tabs>
          <w:tab w:val="clear" w:pos="9638"/>
          <w:tab w:val="right" w:leader="dot" w:pos="9628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420654409" w:history="1">
        <w:r w:rsidR="00A50A31" w:rsidRPr="00616CF9">
          <w:rPr>
            <w:rStyle w:val="Hyperlink"/>
            <w:noProof/>
          </w:rPr>
          <w:t>Artikel 2 Begriffsbestimmungen</w:t>
        </w:r>
        <w:r w:rsidR="00A50A31">
          <w:rPr>
            <w:noProof/>
            <w:webHidden/>
          </w:rPr>
          <w:tab/>
        </w:r>
        <w:r w:rsidR="00A50A31">
          <w:rPr>
            <w:noProof/>
            <w:webHidden/>
          </w:rPr>
          <w:fldChar w:fldCharType="begin"/>
        </w:r>
        <w:r w:rsidR="00A50A31">
          <w:rPr>
            <w:noProof/>
            <w:webHidden/>
          </w:rPr>
          <w:instrText xml:space="preserve"> PAGEREF _Toc420654409 \h </w:instrText>
        </w:r>
        <w:r w:rsidR="00A50A31">
          <w:rPr>
            <w:noProof/>
            <w:webHidden/>
          </w:rPr>
        </w:r>
        <w:r w:rsidR="00A50A31">
          <w:rPr>
            <w:noProof/>
            <w:webHidden/>
          </w:rPr>
          <w:fldChar w:fldCharType="separate"/>
        </w:r>
        <w:r w:rsidR="00F847EF">
          <w:rPr>
            <w:noProof/>
            <w:webHidden/>
          </w:rPr>
          <w:t>2</w:t>
        </w:r>
        <w:r w:rsidR="00A50A31">
          <w:rPr>
            <w:noProof/>
            <w:webHidden/>
          </w:rPr>
          <w:fldChar w:fldCharType="end"/>
        </w:r>
      </w:hyperlink>
    </w:p>
    <w:p w:rsidR="00A50A31" w:rsidRDefault="00780E3E">
      <w:pPr>
        <w:pStyle w:val="Verzeichnis2"/>
        <w:tabs>
          <w:tab w:val="clear" w:pos="9638"/>
          <w:tab w:val="right" w:leader="dot" w:pos="9628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420654410" w:history="1">
        <w:r w:rsidR="00A50A31" w:rsidRPr="00616CF9">
          <w:rPr>
            <w:rStyle w:val="Hyperlink"/>
            <w:noProof/>
          </w:rPr>
          <w:t>Artikel 3 Geltungsbereich</w:t>
        </w:r>
        <w:r w:rsidR="00A50A31">
          <w:rPr>
            <w:noProof/>
            <w:webHidden/>
          </w:rPr>
          <w:tab/>
        </w:r>
        <w:r w:rsidR="00A50A31">
          <w:rPr>
            <w:noProof/>
            <w:webHidden/>
          </w:rPr>
          <w:fldChar w:fldCharType="begin"/>
        </w:r>
        <w:r w:rsidR="00A50A31">
          <w:rPr>
            <w:noProof/>
            <w:webHidden/>
          </w:rPr>
          <w:instrText xml:space="preserve"> PAGEREF _Toc420654410 \h </w:instrText>
        </w:r>
        <w:r w:rsidR="00A50A31">
          <w:rPr>
            <w:noProof/>
            <w:webHidden/>
          </w:rPr>
        </w:r>
        <w:r w:rsidR="00A50A31">
          <w:rPr>
            <w:noProof/>
            <w:webHidden/>
          </w:rPr>
          <w:fldChar w:fldCharType="separate"/>
        </w:r>
        <w:r w:rsidR="00F847EF">
          <w:rPr>
            <w:noProof/>
            <w:webHidden/>
          </w:rPr>
          <w:t>2</w:t>
        </w:r>
        <w:r w:rsidR="00A50A31">
          <w:rPr>
            <w:noProof/>
            <w:webHidden/>
          </w:rPr>
          <w:fldChar w:fldCharType="end"/>
        </w:r>
      </w:hyperlink>
    </w:p>
    <w:p w:rsidR="00A50A31" w:rsidRDefault="00780E3E">
      <w:pPr>
        <w:pStyle w:val="Verzeichnis2"/>
        <w:tabs>
          <w:tab w:val="clear" w:pos="9638"/>
          <w:tab w:val="right" w:leader="dot" w:pos="9628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420654411" w:history="1">
        <w:r w:rsidR="00A50A31" w:rsidRPr="00616CF9">
          <w:rPr>
            <w:rStyle w:val="Hyperlink"/>
            <w:noProof/>
          </w:rPr>
          <w:t>Artikel 4 Jährliche Genehmigung und Verpflichtung</w:t>
        </w:r>
        <w:r w:rsidR="00A50A31">
          <w:rPr>
            <w:noProof/>
            <w:webHidden/>
          </w:rPr>
          <w:tab/>
        </w:r>
        <w:r w:rsidR="00A50A31">
          <w:rPr>
            <w:noProof/>
            <w:webHidden/>
          </w:rPr>
          <w:fldChar w:fldCharType="begin"/>
        </w:r>
        <w:r w:rsidR="00A50A31">
          <w:rPr>
            <w:noProof/>
            <w:webHidden/>
          </w:rPr>
          <w:instrText xml:space="preserve"> PAGEREF _Toc420654411 \h </w:instrText>
        </w:r>
        <w:r w:rsidR="00A50A31">
          <w:rPr>
            <w:noProof/>
            <w:webHidden/>
          </w:rPr>
        </w:r>
        <w:r w:rsidR="00A50A31">
          <w:rPr>
            <w:noProof/>
            <w:webHidden/>
          </w:rPr>
          <w:fldChar w:fldCharType="separate"/>
        </w:r>
        <w:r w:rsidR="00F847EF">
          <w:rPr>
            <w:noProof/>
            <w:webHidden/>
          </w:rPr>
          <w:t>2</w:t>
        </w:r>
        <w:r w:rsidR="00A50A31">
          <w:rPr>
            <w:noProof/>
            <w:webHidden/>
          </w:rPr>
          <w:fldChar w:fldCharType="end"/>
        </w:r>
      </w:hyperlink>
    </w:p>
    <w:p w:rsidR="00A50A31" w:rsidRDefault="00780E3E">
      <w:pPr>
        <w:pStyle w:val="Verzeichnis2"/>
        <w:tabs>
          <w:tab w:val="clear" w:pos="9638"/>
          <w:tab w:val="right" w:leader="dot" w:pos="9628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420654412" w:history="1">
        <w:r w:rsidR="00A50A31" w:rsidRPr="00616CF9">
          <w:rPr>
            <w:rStyle w:val="Hyperlink"/>
            <w:noProof/>
          </w:rPr>
          <w:t>Artikel 5 Ausbringen von Dung und anderen Düngemitteln</w:t>
        </w:r>
        <w:r w:rsidR="00A50A31">
          <w:rPr>
            <w:noProof/>
            <w:webHidden/>
          </w:rPr>
          <w:tab/>
        </w:r>
        <w:r w:rsidR="00A50A31">
          <w:rPr>
            <w:noProof/>
            <w:webHidden/>
          </w:rPr>
          <w:fldChar w:fldCharType="begin"/>
        </w:r>
        <w:r w:rsidR="00A50A31">
          <w:rPr>
            <w:noProof/>
            <w:webHidden/>
          </w:rPr>
          <w:instrText xml:space="preserve"> PAGEREF _Toc420654412 \h </w:instrText>
        </w:r>
        <w:r w:rsidR="00A50A31">
          <w:rPr>
            <w:noProof/>
            <w:webHidden/>
          </w:rPr>
        </w:r>
        <w:r w:rsidR="00A50A31">
          <w:rPr>
            <w:noProof/>
            <w:webHidden/>
          </w:rPr>
          <w:fldChar w:fldCharType="separate"/>
        </w:r>
        <w:r w:rsidR="00F847EF">
          <w:rPr>
            <w:noProof/>
            <w:webHidden/>
          </w:rPr>
          <w:t>3</w:t>
        </w:r>
        <w:r w:rsidR="00A50A31">
          <w:rPr>
            <w:noProof/>
            <w:webHidden/>
          </w:rPr>
          <w:fldChar w:fldCharType="end"/>
        </w:r>
      </w:hyperlink>
    </w:p>
    <w:p w:rsidR="00A50A31" w:rsidRDefault="00780E3E">
      <w:pPr>
        <w:pStyle w:val="Verzeichnis2"/>
        <w:tabs>
          <w:tab w:val="clear" w:pos="9638"/>
          <w:tab w:val="right" w:leader="dot" w:pos="9628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420654413" w:history="1">
        <w:r w:rsidR="00A50A31" w:rsidRPr="00616CF9">
          <w:rPr>
            <w:rStyle w:val="Hyperlink"/>
            <w:noProof/>
          </w:rPr>
          <w:t>Artikel 6 Bodenbewirtschaftung</w:t>
        </w:r>
        <w:r w:rsidR="00A50A31">
          <w:rPr>
            <w:noProof/>
            <w:webHidden/>
          </w:rPr>
          <w:tab/>
        </w:r>
        <w:r w:rsidR="00A50A31">
          <w:rPr>
            <w:noProof/>
            <w:webHidden/>
          </w:rPr>
          <w:fldChar w:fldCharType="begin"/>
        </w:r>
        <w:r w:rsidR="00A50A31">
          <w:rPr>
            <w:noProof/>
            <w:webHidden/>
          </w:rPr>
          <w:instrText xml:space="preserve"> PAGEREF _Toc420654413 \h </w:instrText>
        </w:r>
        <w:r w:rsidR="00A50A31">
          <w:rPr>
            <w:noProof/>
            <w:webHidden/>
          </w:rPr>
        </w:r>
        <w:r w:rsidR="00A50A31">
          <w:rPr>
            <w:noProof/>
            <w:webHidden/>
          </w:rPr>
          <w:fldChar w:fldCharType="separate"/>
        </w:r>
        <w:r w:rsidR="00F847EF">
          <w:rPr>
            <w:noProof/>
            <w:webHidden/>
          </w:rPr>
          <w:t>3</w:t>
        </w:r>
        <w:r w:rsidR="00A50A31">
          <w:rPr>
            <w:noProof/>
            <w:webHidden/>
          </w:rPr>
          <w:fldChar w:fldCharType="end"/>
        </w:r>
      </w:hyperlink>
    </w:p>
    <w:p w:rsidR="00A50A31" w:rsidRDefault="00780E3E">
      <w:pPr>
        <w:pStyle w:val="Verzeichnis2"/>
        <w:tabs>
          <w:tab w:val="clear" w:pos="9638"/>
          <w:tab w:val="right" w:leader="dot" w:pos="9628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420654414" w:history="1">
        <w:r w:rsidR="00A50A31" w:rsidRPr="00616CF9">
          <w:rPr>
            <w:rStyle w:val="Hyperlink"/>
            <w:noProof/>
          </w:rPr>
          <w:t>Artikel 7 Andere Maßnahmen</w:t>
        </w:r>
        <w:r w:rsidR="00A50A31">
          <w:rPr>
            <w:noProof/>
            <w:webHidden/>
          </w:rPr>
          <w:tab/>
        </w:r>
        <w:r w:rsidR="00A50A31">
          <w:rPr>
            <w:noProof/>
            <w:webHidden/>
          </w:rPr>
          <w:fldChar w:fldCharType="begin"/>
        </w:r>
        <w:r w:rsidR="00A50A31">
          <w:rPr>
            <w:noProof/>
            <w:webHidden/>
          </w:rPr>
          <w:instrText xml:space="preserve"> PAGEREF _Toc420654414 \h </w:instrText>
        </w:r>
        <w:r w:rsidR="00A50A31">
          <w:rPr>
            <w:noProof/>
            <w:webHidden/>
          </w:rPr>
        </w:r>
        <w:r w:rsidR="00A50A31">
          <w:rPr>
            <w:noProof/>
            <w:webHidden/>
          </w:rPr>
          <w:fldChar w:fldCharType="separate"/>
        </w:r>
        <w:r w:rsidR="00F847EF">
          <w:rPr>
            <w:noProof/>
            <w:webHidden/>
          </w:rPr>
          <w:t>4</w:t>
        </w:r>
        <w:r w:rsidR="00A50A31">
          <w:rPr>
            <w:noProof/>
            <w:webHidden/>
          </w:rPr>
          <w:fldChar w:fldCharType="end"/>
        </w:r>
      </w:hyperlink>
    </w:p>
    <w:p w:rsidR="00A50A31" w:rsidRDefault="00780E3E">
      <w:pPr>
        <w:pStyle w:val="Verzeichnis2"/>
        <w:tabs>
          <w:tab w:val="clear" w:pos="9638"/>
          <w:tab w:val="right" w:leader="dot" w:pos="9628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420654415" w:history="1">
        <w:r w:rsidR="00A50A31" w:rsidRPr="00616CF9">
          <w:rPr>
            <w:rStyle w:val="Hyperlink"/>
            <w:noProof/>
          </w:rPr>
          <w:t>Artikel 8 Überwachung</w:t>
        </w:r>
        <w:r w:rsidR="00A50A31">
          <w:rPr>
            <w:noProof/>
            <w:webHidden/>
          </w:rPr>
          <w:tab/>
        </w:r>
        <w:r w:rsidR="00A50A31">
          <w:rPr>
            <w:noProof/>
            <w:webHidden/>
          </w:rPr>
          <w:fldChar w:fldCharType="begin"/>
        </w:r>
        <w:r w:rsidR="00A50A31">
          <w:rPr>
            <w:noProof/>
            <w:webHidden/>
          </w:rPr>
          <w:instrText xml:space="preserve"> PAGEREF _Toc420654415 \h </w:instrText>
        </w:r>
        <w:r w:rsidR="00A50A31">
          <w:rPr>
            <w:noProof/>
            <w:webHidden/>
          </w:rPr>
        </w:r>
        <w:r w:rsidR="00A50A31">
          <w:rPr>
            <w:noProof/>
            <w:webHidden/>
          </w:rPr>
          <w:fldChar w:fldCharType="separate"/>
        </w:r>
        <w:r w:rsidR="00F847EF">
          <w:rPr>
            <w:noProof/>
            <w:webHidden/>
          </w:rPr>
          <w:t>4</w:t>
        </w:r>
        <w:r w:rsidR="00A50A31">
          <w:rPr>
            <w:noProof/>
            <w:webHidden/>
          </w:rPr>
          <w:fldChar w:fldCharType="end"/>
        </w:r>
      </w:hyperlink>
    </w:p>
    <w:p w:rsidR="00A50A31" w:rsidRDefault="00780E3E">
      <w:pPr>
        <w:pStyle w:val="Verzeichnis2"/>
        <w:tabs>
          <w:tab w:val="clear" w:pos="9638"/>
          <w:tab w:val="right" w:leader="dot" w:pos="9628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420654416" w:history="1">
        <w:r w:rsidR="00A50A31" w:rsidRPr="00616CF9">
          <w:rPr>
            <w:rStyle w:val="Hyperlink"/>
            <w:noProof/>
          </w:rPr>
          <w:t>Artikel 9 Kontrollen</w:t>
        </w:r>
        <w:r w:rsidR="00A50A31">
          <w:rPr>
            <w:noProof/>
            <w:webHidden/>
          </w:rPr>
          <w:tab/>
        </w:r>
        <w:r w:rsidR="00A50A31">
          <w:rPr>
            <w:noProof/>
            <w:webHidden/>
          </w:rPr>
          <w:fldChar w:fldCharType="begin"/>
        </w:r>
        <w:r w:rsidR="00A50A31">
          <w:rPr>
            <w:noProof/>
            <w:webHidden/>
          </w:rPr>
          <w:instrText xml:space="preserve"> PAGEREF _Toc420654416 \h </w:instrText>
        </w:r>
        <w:r w:rsidR="00A50A31">
          <w:rPr>
            <w:noProof/>
            <w:webHidden/>
          </w:rPr>
        </w:r>
        <w:r w:rsidR="00A50A31">
          <w:rPr>
            <w:noProof/>
            <w:webHidden/>
          </w:rPr>
          <w:fldChar w:fldCharType="separate"/>
        </w:r>
        <w:r w:rsidR="00F847EF">
          <w:rPr>
            <w:noProof/>
            <w:webHidden/>
          </w:rPr>
          <w:t>4</w:t>
        </w:r>
        <w:r w:rsidR="00A50A31">
          <w:rPr>
            <w:noProof/>
            <w:webHidden/>
          </w:rPr>
          <w:fldChar w:fldCharType="end"/>
        </w:r>
      </w:hyperlink>
    </w:p>
    <w:p w:rsidR="00A50A31" w:rsidRDefault="00780E3E">
      <w:pPr>
        <w:pStyle w:val="Verzeichnis2"/>
        <w:tabs>
          <w:tab w:val="clear" w:pos="9638"/>
          <w:tab w:val="right" w:leader="dot" w:pos="9628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420654417" w:history="1">
        <w:r w:rsidR="00A50A31" w:rsidRPr="00616CF9">
          <w:rPr>
            <w:rStyle w:val="Hyperlink"/>
            <w:noProof/>
          </w:rPr>
          <w:t>Artikel 10 Berichterstattung</w:t>
        </w:r>
        <w:r w:rsidR="00A50A31">
          <w:rPr>
            <w:noProof/>
            <w:webHidden/>
          </w:rPr>
          <w:tab/>
        </w:r>
        <w:r w:rsidR="00A50A31">
          <w:rPr>
            <w:noProof/>
            <w:webHidden/>
          </w:rPr>
          <w:fldChar w:fldCharType="begin"/>
        </w:r>
        <w:r w:rsidR="00A50A31">
          <w:rPr>
            <w:noProof/>
            <w:webHidden/>
          </w:rPr>
          <w:instrText xml:space="preserve"> PAGEREF _Toc420654417 \h </w:instrText>
        </w:r>
        <w:r w:rsidR="00A50A31">
          <w:rPr>
            <w:noProof/>
            <w:webHidden/>
          </w:rPr>
        </w:r>
        <w:r w:rsidR="00A50A31">
          <w:rPr>
            <w:noProof/>
            <w:webHidden/>
          </w:rPr>
          <w:fldChar w:fldCharType="separate"/>
        </w:r>
        <w:r w:rsidR="00F847EF">
          <w:rPr>
            <w:noProof/>
            <w:webHidden/>
          </w:rPr>
          <w:t>4</w:t>
        </w:r>
        <w:r w:rsidR="00A50A31">
          <w:rPr>
            <w:noProof/>
            <w:webHidden/>
          </w:rPr>
          <w:fldChar w:fldCharType="end"/>
        </w:r>
      </w:hyperlink>
    </w:p>
    <w:p w:rsidR="00A50A31" w:rsidRDefault="00780E3E">
      <w:pPr>
        <w:pStyle w:val="Verzeichnis2"/>
        <w:tabs>
          <w:tab w:val="clear" w:pos="9638"/>
          <w:tab w:val="right" w:leader="dot" w:pos="9628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420654418" w:history="1">
        <w:r w:rsidR="00A50A31" w:rsidRPr="00616CF9">
          <w:rPr>
            <w:rStyle w:val="Hyperlink"/>
            <w:noProof/>
          </w:rPr>
          <w:t>Artikel 11 Gültigkeit</w:t>
        </w:r>
        <w:r w:rsidR="00A50A31">
          <w:rPr>
            <w:noProof/>
            <w:webHidden/>
          </w:rPr>
          <w:tab/>
        </w:r>
        <w:r w:rsidR="00A50A31">
          <w:rPr>
            <w:noProof/>
            <w:webHidden/>
          </w:rPr>
          <w:fldChar w:fldCharType="begin"/>
        </w:r>
        <w:r w:rsidR="00A50A31">
          <w:rPr>
            <w:noProof/>
            <w:webHidden/>
          </w:rPr>
          <w:instrText xml:space="preserve"> PAGEREF _Toc420654418 \h </w:instrText>
        </w:r>
        <w:r w:rsidR="00A50A31">
          <w:rPr>
            <w:noProof/>
            <w:webHidden/>
          </w:rPr>
        </w:r>
        <w:r w:rsidR="00A50A31">
          <w:rPr>
            <w:noProof/>
            <w:webHidden/>
          </w:rPr>
          <w:fldChar w:fldCharType="separate"/>
        </w:r>
        <w:r w:rsidR="00F847EF">
          <w:rPr>
            <w:noProof/>
            <w:webHidden/>
          </w:rPr>
          <w:t>4</w:t>
        </w:r>
        <w:r w:rsidR="00A50A31">
          <w:rPr>
            <w:noProof/>
            <w:webHidden/>
          </w:rPr>
          <w:fldChar w:fldCharType="end"/>
        </w:r>
      </w:hyperlink>
    </w:p>
    <w:p w:rsidR="00A50A31" w:rsidRDefault="00780E3E">
      <w:pPr>
        <w:pStyle w:val="Verzeichnis2"/>
        <w:tabs>
          <w:tab w:val="clear" w:pos="9638"/>
          <w:tab w:val="right" w:leader="dot" w:pos="9628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420654419" w:history="1">
        <w:r w:rsidR="00A50A31" w:rsidRPr="00616CF9">
          <w:rPr>
            <w:rStyle w:val="Hyperlink"/>
            <w:noProof/>
          </w:rPr>
          <w:t>Artikel 12</w:t>
        </w:r>
        <w:r w:rsidR="00A50A31">
          <w:rPr>
            <w:noProof/>
            <w:webHidden/>
          </w:rPr>
          <w:tab/>
        </w:r>
        <w:r w:rsidR="00A50A31">
          <w:rPr>
            <w:noProof/>
            <w:webHidden/>
          </w:rPr>
          <w:fldChar w:fldCharType="begin"/>
        </w:r>
        <w:r w:rsidR="00A50A31">
          <w:rPr>
            <w:noProof/>
            <w:webHidden/>
          </w:rPr>
          <w:instrText xml:space="preserve"> PAGEREF _Toc420654419 \h </w:instrText>
        </w:r>
        <w:r w:rsidR="00A50A31">
          <w:rPr>
            <w:noProof/>
            <w:webHidden/>
          </w:rPr>
        </w:r>
        <w:r w:rsidR="00A50A31">
          <w:rPr>
            <w:noProof/>
            <w:webHidden/>
          </w:rPr>
          <w:fldChar w:fldCharType="separate"/>
        </w:r>
        <w:r w:rsidR="00F847EF">
          <w:rPr>
            <w:noProof/>
            <w:webHidden/>
          </w:rPr>
          <w:t>5</w:t>
        </w:r>
        <w:r w:rsidR="00A50A31">
          <w:rPr>
            <w:noProof/>
            <w:webHidden/>
          </w:rPr>
          <w:fldChar w:fldCharType="end"/>
        </w:r>
      </w:hyperlink>
    </w:p>
    <w:p w:rsidR="008E1007" w:rsidRPr="004F47C0" w:rsidRDefault="00A50A31" w:rsidP="004F47C0">
      <w:pPr>
        <w:pStyle w:val="GesAbsatz"/>
      </w:pPr>
      <w:r>
        <w:fldChar w:fldCharType="end"/>
      </w:r>
    </w:p>
    <w:p w:rsidR="00037C68" w:rsidRDefault="00037C68" w:rsidP="00037C68">
      <w:pPr>
        <w:pStyle w:val="GesAbsatz"/>
      </w:pPr>
      <w:r>
        <w:t>DIE KOMMISSION DER EUROPÄISCHEN GEMEINSCHAFTEN —</w:t>
      </w:r>
    </w:p>
    <w:p w:rsidR="00037C68" w:rsidRDefault="00037C68" w:rsidP="00037C68">
      <w:pPr>
        <w:pStyle w:val="GesAbsatz"/>
      </w:pPr>
      <w:r>
        <w:t>gestützt auf den Vertrag zur Gründung der Europäischen</w:t>
      </w:r>
      <w:r w:rsidR="008E1007">
        <w:t xml:space="preserve"> </w:t>
      </w:r>
      <w:r>
        <w:t>Gemeinschaft,</w:t>
      </w:r>
    </w:p>
    <w:p w:rsidR="00037C68" w:rsidRDefault="00037C68" w:rsidP="00037C68">
      <w:pPr>
        <w:pStyle w:val="GesAbsatz"/>
      </w:pPr>
      <w:r>
        <w:t>gestützt auf die Richtlinie 91/676/EWG des Rates vom</w:t>
      </w:r>
      <w:r w:rsidR="008E1007">
        <w:t xml:space="preserve"> </w:t>
      </w:r>
      <w:r>
        <w:t>12. Dezember 1991 zum Schutz der Gewässer vor Verunreinigung</w:t>
      </w:r>
      <w:r w:rsidR="008E1007">
        <w:t xml:space="preserve"> </w:t>
      </w:r>
      <w:r>
        <w:t>durch Nitrate aus landwirtschaftlichen Quellen</w:t>
      </w:r>
      <w:r w:rsidR="008E1007">
        <w:rPr>
          <w:rStyle w:val="Funotenzeichen"/>
        </w:rPr>
        <w:footnoteReference w:id="1"/>
      </w:r>
      <w:r>
        <w:t>, insbesondere</w:t>
      </w:r>
      <w:r w:rsidR="008E1007">
        <w:t xml:space="preserve"> </w:t>
      </w:r>
      <w:r>
        <w:t>auf Anhang III Absatz 2 U</w:t>
      </w:r>
      <w:r>
        <w:t>n</w:t>
      </w:r>
      <w:r>
        <w:t>terabsatz 3,</w:t>
      </w:r>
    </w:p>
    <w:p w:rsidR="00037C68" w:rsidRDefault="00037C68" w:rsidP="00037C68">
      <w:pPr>
        <w:pStyle w:val="GesAbsatz"/>
      </w:pPr>
      <w:r>
        <w:t>in Erwägung nachstehender Gründe:</w:t>
      </w:r>
    </w:p>
    <w:p w:rsidR="00037C68" w:rsidRDefault="00037C68" w:rsidP="00037C68">
      <w:pPr>
        <w:pStyle w:val="GesAbsatz"/>
      </w:pPr>
      <w:r>
        <w:t>(1) Beabsichtigt ein Mitgliedstaat, eine andere jährliche</w:t>
      </w:r>
      <w:r w:rsidR="008E1007">
        <w:t xml:space="preserve"> </w:t>
      </w:r>
      <w:r>
        <w:t>Höchstmenge von Dung pro Hektar zuzulassen als in</w:t>
      </w:r>
      <w:r w:rsidR="008E1007">
        <w:t xml:space="preserve"> </w:t>
      </w:r>
      <w:r>
        <w:t>Anhang III Absatz 2 Unterabsatz 2 erster Satz der Richtlinie</w:t>
      </w:r>
      <w:r w:rsidR="008E1007">
        <w:t xml:space="preserve"> </w:t>
      </w:r>
      <w:r>
        <w:t>91/676/EWG festgelegt ist, so ist diese Menge so zu</w:t>
      </w:r>
      <w:r w:rsidR="008E1007">
        <w:t xml:space="preserve"> </w:t>
      </w:r>
      <w:r>
        <w:t>bemessen, dass die Erreichung der in Artikel 1 dieser</w:t>
      </w:r>
      <w:r w:rsidR="008E1007">
        <w:t xml:space="preserve"> </w:t>
      </w:r>
      <w:r>
        <w:t>Richtlinie genannten Ziele nicht beeinträchtigt wird,</w:t>
      </w:r>
      <w:r w:rsidR="008E1007">
        <w:t xml:space="preserve"> </w:t>
      </w:r>
      <w:r>
        <w:t>wobei die Menge anhand objektiver Kriterien zu begründen</w:t>
      </w:r>
      <w:r w:rsidR="008E1007">
        <w:t xml:space="preserve"> </w:t>
      </w:r>
      <w:r>
        <w:t>ist, wie z. B. im vorliegenden Fall durch lange Wachstumsphasen</w:t>
      </w:r>
      <w:r w:rsidR="008E1007">
        <w:t xml:space="preserve"> </w:t>
      </w:r>
      <w:r>
        <w:t>und Pflanzen mit hohem Stickstoffbedarf.</w:t>
      </w:r>
    </w:p>
    <w:p w:rsidR="00037C68" w:rsidRDefault="00037C68" w:rsidP="00037C68">
      <w:pPr>
        <w:pStyle w:val="GesAbsatz"/>
      </w:pPr>
      <w:r>
        <w:t>(2) Deutschland hat bei der Kommission einen Antrag auf</w:t>
      </w:r>
      <w:r w:rsidR="008E1007">
        <w:t xml:space="preserve"> </w:t>
      </w:r>
      <w:r>
        <w:t>Ausnahmegenehmigung gemäß Anhang III A</w:t>
      </w:r>
      <w:r>
        <w:t>b</w:t>
      </w:r>
      <w:r>
        <w:t>satz</w:t>
      </w:r>
      <w:r w:rsidR="008E1007">
        <w:t> </w:t>
      </w:r>
      <w:r>
        <w:t>2</w:t>
      </w:r>
      <w:r w:rsidR="008E1007">
        <w:t xml:space="preserve"> </w:t>
      </w:r>
      <w:r>
        <w:t>Unterabsatz 3 in Verbindung mit Unterabsatz 2 Buchstabe</w:t>
      </w:r>
      <w:r w:rsidR="008E1007">
        <w:t xml:space="preserve"> </w:t>
      </w:r>
      <w:r>
        <w:t>b) der Richtlinie 91/676/EWG eingereicht.</w:t>
      </w:r>
    </w:p>
    <w:p w:rsidR="00037C68" w:rsidRDefault="00037C68" w:rsidP="00037C68">
      <w:pPr>
        <w:pStyle w:val="GesAbsatz"/>
      </w:pPr>
      <w:r>
        <w:t>(3) Mit dem Antrag auf eine Ausnahmegenehmigung beabsichtigt</w:t>
      </w:r>
      <w:r w:rsidR="008E1007">
        <w:t xml:space="preserve"> </w:t>
      </w:r>
      <w:r>
        <w:t>Deutschland, die Ausbringung von 230 kg Stickstoff</w:t>
      </w:r>
      <w:r w:rsidR="008E1007">
        <w:t xml:space="preserve"> </w:t>
      </w:r>
      <w:r>
        <w:t>pro Hektar und Jahr aus Viehdung für intensiv</w:t>
      </w:r>
      <w:r w:rsidR="008E1007">
        <w:t xml:space="preserve"> </w:t>
      </w:r>
      <w:r>
        <w:t>bewirtschaftetes Grünland bestimmter Betriebe zu gestatten.</w:t>
      </w:r>
      <w:r w:rsidR="008E1007">
        <w:t xml:space="preserve"> </w:t>
      </w:r>
      <w:r>
        <w:t>Die Ausbringung von Stickstoff aus Viehdung auf</w:t>
      </w:r>
      <w:r w:rsidR="008E1007">
        <w:t xml:space="preserve"> </w:t>
      </w:r>
      <w:r>
        <w:t>den Ackerkulturen dieser Betriebe würde jedoch 170 kg</w:t>
      </w:r>
      <w:r w:rsidR="008E1007">
        <w:t xml:space="preserve"> </w:t>
      </w:r>
      <w:r>
        <w:t>Stickstoff pro Hektar und Jahr nicht übersteigen.</w:t>
      </w:r>
    </w:p>
    <w:p w:rsidR="00037C68" w:rsidRDefault="00037C68" w:rsidP="00037C68">
      <w:pPr>
        <w:pStyle w:val="GesAbsatz"/>
      </w:pPr>
      <w:r>
        <w:t>(4) Von der Ausnahmeregelung wären etwa 13</w:t>
      </w:r>
      <w:r w:rsidR="008E1007">
        <w:t> </w:t>
      </w:r>
      <w:r>
        <w:t>500 Betriebe,</w:t>
      </w:r>
      <w:r w:rsidR="008E1007">
        <w:t xml:space="preserve"> </w:t>
      </w:r>
      <w:r>
        <w:t>500</w:t>
      </w:r>
      <w:r w:rsidR="008E1007">
        <w:t> </w:t>
      </w:r>
      <w:r>
        <w:t>000 Hektar und 11</w:t>
      </w:r>
      <w:r w:rsidR="008E1007">
        <w:t> </w:t>
      </w:r>
      <w:r>
        <w:t>600 Tonnen Stickstoff pro Jahr</w:t>
      </w:r>
      <w:r w:rsidR="008E1007">
        <w:t xml:space="preserve"> </w:t>
      </w:r>
      <w:r>
        <w:t>betroffen, was jeweils 2,4 % der Betriebe, 2,9 % der landwirtschaftlich</w:t>
      </w:r>
      <w:r w:rsidR="008E1007">
        <w:t xml:space="preserve"> </w:t>
      </w:r>
      <w:r>
        <w:t>genutzten Fläche und 0,7 % des gesamten</w:t>
      </w:r>
      <w:r w:rsidR="008E1007">
        <w:t xml:space="preserve"> </w:t>
      </w:r>
      <w:r>
        <w:t>Stickstoffs aus Viehdung entspricht. Die Betriebe sind</w:t>
      </w:r>
      <w:r w:rsidR="008E1007">
        <w:t xml:space="preserve"> </w:t>
      </w:r>
      <w:r>
        <w:t>hauptsächlich in Bayern (Oberbayern), Baden Württemberg</w:t>
      </w:r>
      <w:r w:rsidR="008E1007">
        <w:t xml:space="preserve"> </w:t>
      </w:r>
      <w:r>
        <w:t>(Landkreis Tübingen), Niedersachsen (Landkreise</w:t>
      </w:r>
      <w:r w:rsidR="008E1007">
        <w:t xml:space="preserve"> </w:t>
      </w:r>
      <w:r>
        <w:t>Lüneburg, Weser-Ems) und Schle</w:t>
      </w:r>
      <w:r>
        <w:t>s</w:t>
      </w:r>
      <w:r>
        <w:t>wig-Holstein angesiedelt.</w:t>
      </w:r>
    </w:p>
    <w:p w:rsidR="00037C68" w:rsidRDefault="00037C68" w:rsidP="00037C68">
      <w:pPr>
        <w:pStyle w:val="GesAbsatz"/>
      </w:pPr>
      <w:r>
        <w:t>(5) Die deutschen Rechtsvorschriften zur Umsetzung der</w:t>
      </w:r>
      <w:r w:rsidR="008E1007">
        <w:t xml:space="preserve"> </w:t>
      </w:r>
      <w:r>
        <w:t>Richtlinie 91/676/EWG, die Düngemittelverordnung vom</w:t>
      </w:r>
      <w:r w:rsidR="008E1007">
        <w:t xml:space="preserve"> </w:t>
      </w:r>
      <w:r>
        <w:t>10. Januar 2006, BGBl. I Nr. 2/2006, zuletzt geändert</w:t>
      </w:r>
      <w:r w:rsidR="008E1007">
        <w:t xml:space="preserve"> </w:t>
      </w:r>
      <w:r>
        <w:t>am 27. September 2006, BGBl. I Nr. 44/2006, wurden</w:t>
      </w:r>
      <w:r w:rsidR="008E1007">
        <w:t xml:space="preserve"> </w:t>
      </w:r>
      <w:r>
        <w:t>verabschiedet und gelten auch für die beantragte Ausnahmegenehmigung.</w:t>
      </w:r>
    </w:p>
    <w:p w:rsidR="00037C68" w:rsidRDefault="00037C68" w:rsidP="00037C68">
      <w:pPr>
        <w:pStyle w:val="GesAbsatz"/>
      </w:pPr>
      <w:r>
        <w:t>(6) Aus den von Deutschland zusammen mit dem dritten</w:t>
      </w:r>
      <w:r w:rsidR="008E1007">
        <w:t xml:space="preserve"> </w:t>
      </w:r>
      <w:r>
        <w:t>Bericht 2000-2003 über die Umsetzung der Nitrat-Richtlinie</w:t>
      </w:r>
      <w:r w:rsidR="008E1007">
        <w:t xml:space="preserve"> </w:t>
      </w:r>
      <w:r>
        <w:t>und mit dem Antrag auf Genehmigung einer Ausnahmeregelung</w:t>
      </w:r>
      <w:r w:rsidR="008E1007">
        <w:t xml:space="preserve"> </w:t>
      </w:r>
      <w:r>
        <w:t xml:space="preserve">übermittelten Wasserdaten geht </w:t>
      </w:r>
      <w:r>
        <w:lastRenderedPageBreak/>
        <w:t>hervor,</w:t>
      </w:r>
      <w:r w:rsidR="008E1007">
        <w:t xml:space="preserve"> </w:t>
      </w:r>
      <w:r>
        <w:t>dass die Nitratkonzentration in Oberflächengewässern im</w:t>
      </w:r>
      <w:r w:rsidR="008E1007">
        <w:t xml:space="preserve"> </w:t>
      </w:r>
      <w:r>
        <w:t>Vergleich zum Zeitraum 1991-1994 an 83</w:t>
      </w:r>
      <w:r w:rsidR="008E1007">
        <w:t> </w:t>
      </w:r>
      <w:r>
        <w:t>% der Überwachungsstellen</w:t>
      </w:r>
      <w:r w:rsidR="008E1007">
        <w:t xml:space="preserve"> </w:t>
      </w:r>
      <w:r>
        <w:t>zurückgegangen und an 9 % der Überwachungsstellen</w:t>
      </w:r>
      <w:r w:rsidR="008E1007">
        <w:t xml:space="preserve"> </w:t>
      </w:r>
      <w:r>
        <w:t>stabil geblieben ist. Was das Grundwasser</w:t>
      </w:r>
      <w:r w:rsidR="008E1007">
        <w:t xml:space="preserve"> </w:t>
      </w:r>
      <w:r>
        <w:t>angeht, so zeigt das zur Bewertung der Umsetzung</w:t>
      </w:r>
      <w:r w:rsidR="008E1007">
        <w:t xml:space="preserve"> </w:t>
      </w:r>
      <w:r>
        <w:t>der Richtlinie 91/676/EWG ei</w:t>
      </w:r>
      <w:r>
        <w:t>n</w:t>
      </w:r>
      <w:r>
        <w:t>gerichtete Überwachungssystem,</w:t>
      </w:r>
      <w:r w:rsidR="008E1007">
        <w:t xml:space="preserve"> </w:t>
      </w:r>
      <w:r>
        <w:t>dass die Nitratkonzentration im Vergleichzeitraum</w:t>
      </w:r>
      <w:r w:rsidR="008E1007">
        <w:t xml:space="preserve"> </w:t>
      </w:r>
      <w:r>
        <w:t>an etwa 50 % der Überwachungsstellen niedriger</w:t>
      </w:r>
      <w:r w:rsidR="008E1007">
        <w:t xml:space="preserve"> </w:t>
      </w:r>
      <w:r>
        <w:t>und an etwa 15 % gleich geblieben ist.</w:t>
      </w:r>
    </w:p>
    <w:p w:rsidR="00037C68" w:rsidRDefault="00037C68" w:rsidP="00037C68">
      <w:pPr>
        <w:pStyle w:val="GesAbsatz"/>
      </w:pPr>
      <w:r>
        <w:t>(7) Der Viehbestand ging zurück, insbesondere im Hinblick</w:t>
      </w:r>
      <w:r w:rsidR="008E1007">
        <w:t xml:space="preserve"> </w:t>
      </w:r>
      <w:r>
        <w:t>auf die Rinderbestände (-25 %). Die Ausbringung von</w:t>
      </w:r>
      <w:r w:rsidR="008E1007">
        <w:t xml:space="preserve"> </w:t>
      </w:r>
      <w:r>
        <w:t>Stickstoff aus Viehdung pro Hektar und Jahr ging zwischen</w:t>
      </w:r>
      <w:r w:rsidR="008E1007">
        <w:t xml:space="preserve"> </w:t>
      </w:r>
      <w:r>
        <w:t>1991-1993 und 2002-2004 um 11 % zurück; der</w:t>
      </w:r>
      <w:r w:rsidR="008E1007">
        <w:t xml:space="preserve"> </w:t>
      </w:r>
      <w:r>
        <w:t>Stickstoffüberschuss nahm im selben Zeitraum von 120</w:t>
      </w:r>
      <w:r w:rsidR="008E1007">
        <w:t xml:space="preserve"> </w:t>
      </w:r>
      <w:r>
        <w:t>auf 101 kg pro Hektar ab.</w:t>
      </w:r>
    </w:p>
    <w:p w:rsidR="00037C68" w:rsidRDefault="00037C68" w:rsidP="00037C68">
      <w:pPr>
        <w:pStyle w:val="GesAbsatz"/>
      </w:pPr>
      <w:r>
        <w:t>(8) Gemäß Artikel 3 Absatz 5 der Richtlinie 91/676/EWG</w:t>
      </w:r>
      <w:r w:rsidR="008E1007">
        <w:t xml:space="preserve"> </w:t>
      </w:r>
      <w:r>
        <w:t>wendet Deutschland ein Aktionsprogramm auf sein</w:t>
      </w:r>
      <w:r w:rsidR="008E1007">
        <w:t xml:space="preserve"> </w:t>
      </w:r>
      <w:r>
        <w:t>gesamtes Hoheitsgebiet an.</w:t>
      </w:r>
    </w:p>
    <w:p w:rsidR="00037C68" w:rsidRDefault="00037C68" w:rsidP="00037C68">
      <w:pPr>
        <w:pStyle w:val="GesAbsatz"/>
      </w:pPr>
      <w:r>
        <w:t>(9) Die von Deutschland mit dem Antrag eingereichten</w:t>
      </w:r>
      <w:r w:rsidR="008E1007">
        <w:t xml:space="preserve"> </w:t>
      </w:r>
      <w:r>
        <w:t>Unterlagen zeigen, dass die beantragte Menge von 230 kg</w:t>
      </w:r>
      <w:r w:rsidR="008E1007">
        <w:t xml:space="preserve"> </w:t>
      </w:r>
      <w:r>
        <w:t>Stickstoff aus Viehdung pro Hektar und Jahr für Intensivgrünland</w:t>
      </w:r>
      <w:r w:rsidR="008E1007">
        <w:t xml:space="preserve"> </w:t>
      </w:r>
      <w:r>
        <w:t>aufgrund objektiver Kriterien wie etwa langer</w:t>
      </w:r>
      <w:r w:rsidR="008E1007">
        <w:t xml:space="preserve"> </w:t>
      </w:r>
      <w:r>
        <w:t>Wachstumsphasen und Pflanzen mit hohem Stickstoffbedarf</w:t>
      </w:r>
      <w:r w:rsidR="008E1007">
        <w:t xml:space="preserve"> </w:t>
      </w:r>
      <w:r>
        <w:t>begründet ist.</w:t>
      </w:r>
    </w:p>
    <w:p w:rsidR="00037C68" w:rsidRDefault="00037C68" w:rsidP="00037C68">
      <w:pPr>
        <w:pStyle w:val="GesAbsatz"/>
      </w:pPr>
      <w:r>
        <w:t>(10) Die Kommission ist nach Prüfung des deutschen Antrags</w:t>
      </w:r>
      <w:r w:rsidR="008E1007">
        <w:t xml:space="preserve"> </w:t>
      </w:r>
      <w:r>
        <w:t>der Ansicht, dass die beantragte Menge von 230 kg Stickstoff</w:t>
      </w:r>
      <w:r w:rsidR="008E1007">
        <w:t xml:space="preserve"> </w:t>
      </w:r>
      <w:r>
        <w:t>aus Viehdung je Hektar und Jahr die Ziele der Richtlinie</w:t>
      </w:r>
      <w:r w:rsidR="008E1007">
        <w:t xml:space="preserve"> </w:t>
      </w:r>
      <w:r>
        <w:t>91/676/EWG nicht beeinträchtigen wird, sofern</w:t>
      </w:r>
      <w:r w:rsidR="008E1007">
        <w:t xml:space="preserve"> </w:t>
      </w:r>
      <w:r>
        <w:t>bestimmte strenge Auflagen erfüllt werden.</w:t>
      </w:r>
    </w:p>
    <w:p w:rsidR="00037C68" w:rsidRDefault="00037C68" w:rsidP="00037C68">
      <w:pPr>
        <w:pStyle w:val="GesAbsatz"/>
      </w:pPr>
      <w:r>
        <w:t>(11) Diese Entscheidung hat im Zusammenhang mit dem</w:t>
      </w:r>
      <w:r w:rsidR="008E1007">
        <w:t xml:space="preserve"> </w:t>
      </w:r>
      <w:r>
        <w:t>aktuellen Aktionsprogramm 2006-2009 Anwe</w:t>
      </w:r>
      <w:r>
        <w:t>n</w:t>
      </w:r>
      <w:r>
        <w:t>dung zu</w:t>
      </w:r>
      <w:r w:rsidR="008E1007">
        <w:t xml:space="preserve"> </w:t>
      </w:r>
      <w:r>
        <w:t>finden.</w:t>
      </w:r>
    </w:p>
    <w:p w:rsidR="00037C68" w:rsidRDefault="00037C68" w:rsidP="00037C68">
      <w:pPr>
        <w:pStyle w:val="GesAbsatz"/>
      </w:pPr>
      <w:r>
        <w:t>(12) Die in dieser Entscheidung vorgesehenen Maßnahmen</w:t>
      </w:r>
      <w:r w:rsidR="008E1007">
        <w:t xml:space="preserve"> </w:t>
      </w:r>
      <w:r>
        <w:t>entsprechen der Stellungnahme des gemäß Artikel 9 der</w:t>
      </w:r>
      <w:r w:rsidR="008E1007">
        <w:t xml:space="preserve"> </w:t>
      </w:r>
      <w:r>
        <w:t>Richtlinie 91/676/EWG eingesetzten Nitratausschusses —</w:t>
      </w:r>
    </w:p>
    <w:p w:rsidR="00037C68" w:rsidRDefault="00037C68" w:rsidP="00037C68">
      <w:pPr>
        <w:pStyle w:val="GesAbsatz"/>
      </w:pPr>
      <w:r>
        <w:t>HAT FOLGENDE ENTSCHEIDUNG ERLASSEN:</w:t>
      </w:r>
    </w:p>
    <w:p w:rsidR="00037C68" w:rsidRDefault="00037C68" w:rsidP="008E1007">
      <w:pPr>
        <w:pStyle w:val="berschrift2"/>
      </w:pPr>
      <w:bookmarkStart w:id="2" w:name="_Toc420654408"/>
      <w:r>
        <w:t>Artikel 1</w:t>
      </w:r>
      <w:bookmarkEnd w:id="2"/>
    </w:p>
    <w:p w:rsidR="00037C68" w:rsidRDefault="00037C68" w:rsidP="00037C68">
      <w:pPr>
        <w:pStyle w:val="GesAbsatz"/>
      </w:pPr>
      <w:r>
        <w:t>Dem mit Schreiben vom 1. Februar 2006 gestellten Antrag</w:t>
      </w:r>
      <w:r w:rsidR="008E1007">
        <w:t xml:space="preserve"> </w:t>
      </w:r>
      <w:r>
        <w:t>Deutschlands auf Genehmigung einer Menge Viehdung, die die</w:t>
      </w:r>
      <w:r w:rsidR="008E1007">
        <w:t xml:space="preserve"> </w:t>
      </w:r>
      <w:r>
        <w:t>in Anhang III Absatz 2 Unterabsatz 2 erster Satz der Richtlinie</w:t>
      </w:r>
      <w:r w:rsidR="008E1007">
        <w:t xml:space="preserve"> </w:t>
      </w:r>
      <w:r>
        <w:t>91/676/EWG festgelegte Menge übersteigt, wird unter den in</w:t>
      </w:r>
      <w:r w:rsidR="008E1007">
        <w:t xml:space="preserve"> </w:t>
      </w:r>
      <w:r>
        <w:t>dieser Entscheidung festgelegten genannten Bedingungen stattgeg</w:t>
      </w:r>
      <w:r>
        <w:t>e</w:t>
      </w:r>
      <w:r>
        <w:t>ben.</w:t>
      </w:r>
    </w:p>
    <w:p w:rsidR="00037C68" w:rsidRDefault="00037C68" w:rsidP="008E1007">
      <w:pPr>
        <w:pStyle w:val="berschrift2"/>
      </w:pPr>
      <w:bookmarkStart w:id="3" w:name="_Toc420654409"/>
      <w:r>
        <w:t>Artikel 2</w:t>
      </w:r>
      <w:r w:rsidR="008E1007">
        <w:br/>
      </w:r>
      <w:r>
        <w:t>Begriffsbestimmungen</w:t>
      </w:r>
      <w:bookmarkEnd w:id="3"/>
    </w:p>
    <w:p w:rsidR="00037C68" w:rsidRDefault="00037C68" w:rsidP="00037C68">
      <w:pPr>
        <w:pStyle w:val="GesAbsatz"/>
      </w:pPr>
      <w:r>
        <w:t>Für die Zwecke dieser Entscheidung gelten folgende Begriffsbestimmungen:</w:t>
      </w:r>
    </w:p>
    <w:p w:rsidR="00037C68" w:rsidRDefault="00037C68" w:rsidP="008E1007">
      <w:pPr>
        <w:pStyle w:val="GesAbsatz"/>
        <w:ind w:left="426" w:hanging="426"/>
      </w:pPr>
      <w:r>
        <w:t>(a)</w:t>
      </w:r>
      <w:r w:rsidR="008E1007">
        <w:tab/>
      </w:r>
      <w:r>
        <w:t>„Rinderhaltungsbetriebe“ sind Haltungsbetriebe mit mehr als</w:t>
      </w:r>
      <w:r w:rsidR="008E1007">
        <w:t xml:space="preserve"> </w:t>
      </w:r>
      <w:r>
        <w:t>drei Großvieheinheiten, wobei mindestens zwei Drittel der</w:t>
      </w:r>
      <w:r w:rsidR="008E1007">
        <w:t xml:space="preserve"> </w:t>
      </w:r>
      <w:r>
        <w:t>Vieheinheiten Rinder sind.</w:t>
      </w:r>
    </w:p>
    <w:p w:rsidR="00037C68" w:rsidRDefault="00037C68" w:rsidP="008E1007">
      <w:pPr>
        <w:pStyle w:val="GesAbsatz"/>
        <w:ind w:left="426" w:hanging="426"/>
      </w:pPr>
      <w:r>
        <w:t>(b)</w:t>
      </w:r>
      <w:r w:rsidR="008E1007">
        <w:tab/>
      </w:r>
      <w:r>
        <w:t>„Intensivgrünland“ ist Dauergrünland oder Wechselgrünland</w:t>
      </w:r>
      <w:r w:rsidR="008E1007">
        <w:t xml:space="preserve"> </w:t>
      </w:r>
      <w:r>
        <w:t>(letzteres meist mit einer Standzeit von weniger als vier Jahren),</w:t>
      </w:r>
      <w:r w:rsidR="008E1007">
        <w:t xml:space="preserve"> </w:t>
      </w:r>
      <w:r>
        <w:t>mit mindestens vier Schnitten pro Jahr oder drei</w:t>
      </w:r>
      <w:r w:rsidR="008E1007">
        <w:t xml:space="preserve"> </w:t>
      </w:r>
      <w:r>
        <w:t>Schnitten plus Weidenutzung.</w:t>
      </w:r>
    </w:p>
    <w:p w:rsidR="00037C68" w:rsidRDefault="00037C68" w:rsidP="008E1007">
      <w:pPr>
        <w:pStyle w:val="berschrift2"/>
      </w:pPr>
      <w:bookmarkStart w:id="4" w:name="_Toc420654410"/>
      <w:r>
        <w:t>Artikel 3</w:t>
      </w:r>
      <w:r w:rsidR="008E1007">
        <w:br/>
      </w:r>
      <w:r>
        <w:t>Geltungsbereich</w:t>
      </w:r>
      <w:bookmarkEnd w:id="4"/>
    </w:p>
    <w:p w:rsidR="00037C68" w:rsidRDefault="00037C68" w:rsidP="00037C68">
      <w:pPr>
        <w:pStyle w:val="GesAbsatz"/>
      </w:pPr>
      <w:r>
        <w:t>Diese Entscheidung gilt für den Einzelfall und gemäß den in den</w:t>
      </w:r>
      <w:r w:rsidR="008E1007">
        <w:t xml:space="preserve"> </w:t>
      </w:r>
      <w:r>
        <w:t>Artikeln 4, 5 und 6 genannten Auflagen für Rinderhaltungsbetriebe</w:t>
      </w:r>
      <w:r w:rsidR="008E1007">
        <w:t xml:space="preserve"> </w:t>
      </w:r>
      <w:r>
        <w:t>und ist beschränkt auf Intensivgrünland.</w:t>
      </w:r>
    </w:p>
    <w:p w:rsidR="00037C68" w:rsidRDefault="00037C68" w:rsidP="008E1007">
      <w:pPr>
        <w:pStyle w:val="berschrift2"/>
      </w:pPr>
      <w:bookmarkStart w:id="5" w:name="_Toc420654411"/>
      <w:r>
        <w:t>Artikel 4</w:t>
      </w:r>
      <w:r w:rsidR="008E1007">
        <w:br/>
      </w:r>
      <w:r>
        <w:t>Jährliche Genehmigung und Verpflichtung</w:t>
      </w:r>
      <w:bookmarkEnd w:id="5"/>
    </w:p>
    <w:p w:rsidR="00037C68" w:rsidRDefault="00037C68" w:rsidP="008E1007">
      <w:pPr>
        <w:pStyle w:val="GesAbsatz"/>
        <w:ind w:left="426" w:hanging="426"/>
      </w:pPr>
      <w:r>
        <w:t>1.</w:t>
      </w:r>
      <w:r w:rsidR="008E1007">
        <w:tab/>
      </w:r>
      <w:r>
        <w:t>Landwirte, die die Ausnahmeregelung nutzen wollen, stellen</w:t>
      </w:r>
      <w:r w:rsidR="008E1007">
        <w:t xml:space="preserve"> </w:t>
      </w:r>
      <w:r>
        <w:t>bei der zuständigen Behörde jährlich einen Antrag.</w:t>
      </w:r>
    </w:p>
    <w:p w:rsidR="00037C68" w:rsidRDefault="00037C68" w:rsidP="008E1007">
      <w:pPr>
        <w:pStyle w:val="GesAbsatz"/>
        <w:ind w:left="426" w:hanging="426"/>
      </w:pPr>
      <w:r>
        <w:t>2.</w:t>
      </w:r>
      <w:r w:rsidR="008E1007">
        <w:tab/>
      </w:r>
      <w:r>
        <w:t>Gleichzeitig mit dem gemäß Absatz 1 gestellten jährlichen</w:t>
      </w:r>
      <w:r w:rsidR="008E1007">
        <w:t xml:space="preserve"> </w:t>
      </w:r>
      <w:r>
        <w:t>Antrag verpflichten sie sich schriftlich zur Einhaltung der in den</w:t>
      </w:r>
      <w:r w:rsidR="008E1007">
        <w:t xml:space="preserve"> </w:t>
      </w:r>
      <w:r>
        <w:t>Artikeln 5 und 6 beschriebenen Auflagen.</w:t>
      </w:r>
    </w:p>
    <w:p w:rsidR="00037C68" w:rsidRDefault="00037C68" w:rsidP="008E1007">
      <w:pPr>
        <w:pStyle w:val="GesAbsatz"/>
        <w:ind w:left="426" w:hanging="426"/>
      </w:pPr>
      <w:r>
        <w:t>3.</w:t>
      </w:r>
      <w:r w:rsidR="008E1007">
        <w:tab/>
      </w:r>
      <w:r>
        <w:t>Die zuständigen Behörden stellen sicher, dass sämtliche</w:t>
      </w:r>
      <w:r w:rsidR="008E1007">
        <w:t xml:space="preserve"> </w:t>
      </w:r>
      <w:r>
        <w:t>Anträge auf Ausnahmegenehmigung einer Verwaltungskontrolle</w:t>
      </w:r>
      <w:r w:rsidR="008E1007">
        <w:t xml:space="preserve"> </w:t>
      </w:r>
      <w:r>
        <w:t>unterliegen. Ergibt die von den nationalen Behörden durchgeführte</w:t>
      </w:r>
      <w:r w:rsidR="008E1007">
        <w:t xml:space="preserve"> </w:t>
      </w:r>
      <w:r>
        <w:t>Kontrolle der in Absatz 1 genannten Anträge, dass die in</w:t>
      </w:r>
      <w:r w:rsidR="008E1007">
        <w:t xml:space="preserve"> </w:t>
      </w:r>
      <w:r>
        <w:t>den Artikeln 5 und 6 festgelegten Auflagen nicht erfüllt we</w:t>
      </w:r>
      <w:r>
        <w:t>r</w:t>
      </w:r>
      <w:r>
        <w:t>den,</w:t>
      </w:r>
      <w:r w:rsidR="008E1007">
        <w:t xml:space="preserve"> </w:t>
      </w:r>
      <w:r>
        <w:t>wird der Antragsteller hiervon unterrichtet. In diesem Fall gilt</w:t>
      </w:r>
      <w:r w:rsidR="008E1007">
        <w:t xml:space="preserve"> </w:t>
      </w:r>
      <w:r>
        <w:t>der Antrag als abgelehnt.</w:t>
      </w:r>
    </w:p>
    <w:p w:rsidR="00037C68" w:rsidRDefault="00037C68" w:rsidP="008E1007">
      <w:pPr>
        <w:pStyle w:val="berschrift2"/>
      </w:pPr>
      <w:bookmarkStart w:id="6" w:name="_Toc420654412"/>
      <w:r>
        <w:lastRenderedPageBreak/>
        <w:t>Artikel 5</w:t>
      </w:r>
      <w:r w:rsidR="008E1007">
        <w:br/>
      </w:r>
      <w:r>
        <w:t>Ausbringen von Dung und anderen Düngemitteln</w:t>
      </w:r>
      <w:bookmarkEnd w:id="6"/>
    </w:p>
    <w:p w:rsidR="00037C68" w:rsidRDefault="00037C68" w:rsidP="008E1007">
      <w:pPr>
        <w:pStyle w:val="GesAbsatz"/>
        <w:ind w:left="426" w:hanging="426"/>
      </w:pPr>
      <w:r>
        <w:t>1.</w:t>
      </w:r>
      <w:r w:rsidR="008E1007">
        <w:tab/>
      </w:r>
      <w:r>
        <w:t>Die Menge Viehdung, die jedes Jahr auf Intensivgrünland</w:t>
      </w:r>
      <w:r w:rsidR="008E1007">
        <w:t xml:space="preserve"> </w:t>
      </w:r>
      <w:r>
        <w:t>auch von den Tieren selbst ausgebracht wird, darf bei Rinderhaltungsbetrieben</w:t>
      </w:r>
      <w:r w:rsidR="008E1007">
        <w:t xml:space="preserve"> </w:t>
      </w:r>
      <w:r>
        <w:t>vorbehaltlich der in den Absätzen 2 bis 9</w:t>
      </w:r>
      <w:r w:rsidR="008E1007">
        <w:t xml:space="preserve"> </w:t>
      </w:r>
      <w:r>
        <w:t>genannten Bedingungen nicht mehr als 230 kg Stickstoff pro</w:t>
      </w:r>
      <w:r w:rsidR="008E1007">
        <w:t xml:space="preserve"> </w:t>
      </w:r>
      <w:r>
        <w:t>Hektar enthalten.</w:t>
      </w:r>
    </w:p>
    <w:p w:rsidR="00037C68" w:rsidRDefault="00037C68" w:rsidP="008E1007">
      <w:pPr>
        <w:pStyle w:val="GesAbsatz"/>
        <w:ind w:left="426" w:hanging="426"/>
      </w:pPr>
      <w:r>
        <w:t>2.</w:t>
      </w:r>
      <w:r w:rsidR="008E1007">
        <w:tab/>
      </w:r>
      <w:r>
        <w:t>Der Gesamtstickstoffeintrag muss dem Stickstoffbedarf der</w:t>
      </w:r>
      <w:r w:rsidR="008E1007">
        <w:t xml:space="preserve"> </w:t>
      </w:r>
      <w:r>
        <w:t>betreffenden Kultur entsprechen und das Stickstoffangebot des</w:t>
      </w:r>
      <w:r w:rsidR="008E1007">
        <w:t xml:space="preserve"> </w:t>
      </w:r>
      <w:r>
        <w:t>Bodens berücksichtigen.</w:t>
      </w:r>
    </w:p>
    <w:p w:rsidR="00037C68" w:rsidRDefault="00037C68" w:rsidP="008E1007">
      <w:pPr>
        <w:pStyle w:val="GesAbsatz"/>
        <w:ind w:left="426" w:hanging="426"/>
      </w:pPr>
      <w:r>
        <w:t>3.</w:t>
      </w:r>
      <w:r w:rsidR="008E1007">
        <w:tab/>
      </w:r>
      <w:r>
        <w:t>Jeder landwirtschaftliche Betrieb führt einen Düngeplan, in</w:t>
      </w:r>
      <w:r w:rsidR="008E1007">
        <w:t xml:space="preserve"> </w:t>
      </w:r>
      <w:r>
        <w:t>den die Fruchtfolge und die geplante Au</w:t>
      </w:r>
      <w:r>
        <w:t>s</w:t>
      </w:r>
      <w:r>
        <w:t>bringung von Viehdung</w:t>
      </w:r>
      <w:r w:rsidR="008E1007">
        <w:t xml:space="preserve"> </w:t>
      </w:r>
      <w:r>
        <w:t>sowie von Stickstoff- und Phosphatdüngern eingetragen</w:t>
      </w:r>
      <w:r w:rsidR="008E1007">
        <w:t xml:space="preserve"> </w:t>
      </w:r>
      <w:r>
        <w:t>wird. Jeder Betrieb muss spätestens ab dem 1. Februar diesen</w:t>
      </w:r>
      <w:r w:rsidR="008E1007">
        <w:t xml:space="preserve"> </w:t>
      </w:r>
      <w:r>
        <w:t>Plan für jedes Kalenderjahr vorweisen können.</w:t>
      </w:r>
    </w:p>
    <w:p w:rsidR="00037C68" w:rsidRDefault="00037C68" w:rsidP="00037C68">
      <w:pPr>
        <w:pStyle w:val="GesAbsatz"/>
      </w:pPr>
      <w:r>
        <w:t>Der Düngeplan muss folgende Angaben enthalten:</w:t>
      </w:r>
    </w:p>
    <w:p w:rsidR="00037C68" w:rsidRDefault="00037C68" w:rsidP="008E1007">
      <w:pPr>
        <w:pStyle w:val="GesAbsatz"/>
        <w:ind w:left="426" w:hanging="426"/>
      </w:pPr>
      <w:r>
        <w:t>(a)</w:t>
      </w:r>
      <w:r w:rsidR="008E1007">
        <w:tab/>
      </w:r>
      <w:r>
        <w:t>Größe des Viehbestands, Erläuterung der Haltungs- und</w:t>
      </w:r>
      <w:r w:rsidR="008E1007">
        <w:t xml:space="preserve"> </w:t>
      </w:r>
      <w:r>
        <w:t>Lagersysteme, einschließlich Angaben zur gelagerten Dungmenge;</w:t>
      </w:r>
    </w:p>
    <w:p w:rsidR="00037C68" w:rsidRDefault="00037C68" w:rsidP="008E1007">
      <w:pPr>
        <w:pStyle w:val="GesAbsatz"/>
        <w:ind w:left="426" w:hanging="426"/>
      </w:pPr>
      <w:r>
        <w:t>(b)</w:t>
      </w:r>
      <w:r w:rsidR="008E1007">
        <w:tab/>
      </w:r>
      <w:r>
        <w:t>Berechnung des Stickstoff- und Phosphoranteils des im</w:t>
      </w:r>
      <w:r w:rsidR="008E1007">
        <w:t xml:space="preserve"> </w:t>
      </w:r>
      <w:r>
        <w:t>Betrieb selbst erzeugten Dungs (abzüglich der Verluste bei</w:t>
      </w:r>
      <w:r w:rsidR="008E1007">
        <w:t xml:space="preserve"> </w:t>
      </w:r>
      <w:r>
        <w:t>der Haltung und Lagerung);</w:t>
      </w:r>
    </w:p>
    <w:p w:rsidR="00037C68" w:rsidRDefault="00037C68" w:rsidP="008E1007">
      <w:pPr>
        <w:pStyle w:val="GesAbsatz"/>
        <w:ind w:left="426" w:hanging="426"/>
      </w:pPr>
      <w:r>
        <w:t>(c)</w:t>
      </w:r>
      <w:r w:rsidR="008E1007">
        <w:tab/>
      </w:r>
      <w:r>
        <w:t>Fruchtfolge und Anbaufläche für Intensivgrünland und für</w:t>
      </w:r>
      <w:r w:rsidR="008E1007">
        <w:t xml:space="preserve"> </w:t>
      </w:r>
      <w:r>
        <w:t>jede Kultur, einschließlich einer Skizze der Lage der einzelnen</w:t>
      </w:r>
      <w:r w:rsidR="008E1007">
        <w:t xml:space="preserve"> </w:t>
      </w:r>
      <w:r>
        <w:t>Felder;</w:t>
      </w:r>
    </w:p>
    <w:p w:rsidR="00037C68" w:rsidRDefault="00037C68" w:rsidP="00037C68">
      <w:pPr>
        <w:pStyle w:val="GesAbsatz"/>
      </w:pPr>
      <w:r>
        <w:t>(d)</w:t>
      </w:r>
      <w:r w:rsidR="008E1007">
        <w:tab/>
      </w:r>
      <w:r>
        <w:t>der absehbare Stickstoff- und Phosphorbedarf der Kulturen;</w:t>
      </w:r>
    </w:p>
    <w:p w:rsidR="00037C68" w:rsidRDefault="00037C68" w:rsidP="008E1007">
      <w:pPr>
        <w:pStyle w:val="GesAbsatz"/>
        <w:ind w:left="426" w:hanging="426"/>
      </w:pPr>
      <w:r>
        <w:t>(e)</w:t>
      </w:r>
      <w:r w:rsidR="008E1007">
        <w:tab/>
      </w:r>
      <w:r>
        <w:t>Menge und Art des Dungs, der nicht in dem Betrieb verwendet</w:t>
      </w:r>
      <w:r w:rsidR="008E1007">
        <w:t xml:space="preserve"> </w:t>
      </w:r>
      <w:r>
        <w:t>wird oder der vom Betrieb verbracht oder von ihm aufgenommen</w:t>
      </w:r>
      <w:r w:rsidR="008E1007">
        <w:t xml:space="preserve"> </w:t>
      </w:r>
      <w:r>
        <w:t>wird;</w:t>
      </w:r>
    </w:p>
    <w:p w:rsidR="00037C68" w:rsidRDefault="00037C68" w:rsidP="008E1007">
      <w:pPr>
        <w:pStyle w:val="GesAbsatz"/>
        <w:ind w:left="426" w:hanging="426"/>
      </w:pPr>
      <w:r>
        <w:t>(f)</w:t>
      </w:r>
      <w:r w:rsidR="008E1007">
        <w:tab/>
      </w:r>
      <w:r>
        <w:t>Beitrag aus der Mineralisierung der organischen Substanz im</w:t>
      </w:r>
      <w:r w:rsidR="008E1007">
        <w:t xml:space="preserve"> </w:t>
      </w:r>
      <w:r>
        <w:t>Boden, mengenmäßige Erfassung des im Boden vorhandenen</w:t>
      </w:r>
      <w:r w:rsidR="008E1007">
        <w:t xml:space="preserve"> </w:t>
      </w:r>
      <w:r>
        <w:t>Stickstoffs zu Beginn der Wachstumssaison und Beitrag</w:t>
      </w:r>
      <w:r w:rsidR="008E1007">
        <w:t xml:space="preserve"> </w:t>
      </w:r>
      <w:r>
        <w:t>aus Resten der Vorkultur und aus Leguminosen;</w:t>
      </w:r>
    </w:p>
    <w:p w:rsidR="00037C68" w:rsidRDefault="00037C68" w:rsidP="008E1007">
      <w:pPr>
        <w:pStyle w:val="GesAbsatz"/>
        <w:ind w:left="426" w:hanging="426"/>
      </w:pPr>
      <w:r>
        <w:t>(g)</w:t>
      </w:r>
      <w:r w:rsidR="008E1007">
        <w:tab/>
      </w:r>
      <w:r>
        <w:t>Ausbringung von Stickstoff und Phosphor auf jedes Feld</w:t>
      </w:r>
      <w:r w:rsidR="008E1007">
        <w:t xml:space="preserve"> </w:t>
      </w:r>
      <w:r>
        <w:t>mittels Dung (bei hinsichtlich der Kultur und der Bodenart</w:t>
      </w:r>
      <w:r w:rsidR="008E1007">
        <w:t xml:space="preserve"> </w:t>
      </w:r>
      <w:r>
        <w:t>homogenen Parzellen);</w:t>
      </w:r>
    </w:p>
    <w:p w:rsidR="00037C68" w:rsidRDefault="00037C68" w:rsidP="00037C68">
      <w:pPr>
        <w:pStyle w:val="GesAbsatz"/>
      </w:pPr>
      <w:r>
        <w:t>(h)</w:t>
      </w:r>
      <w:r w:rsidR="008E1007">
        <w:tab/>
      </w:r>
      <w:r>
        <w:t>Ausbringung von Stickstoff und Phosphor auf jedes Feld</w:t>
      </w:r>
      <w:r w:rsidR="008E1007">
        <w:t xml:space="preserve"> </w:t>
      </w:r>
      <w:r>
        <w:t>mittels chemischer oder sonstiger Düngemittel.</w:t>
      </w:r>
    </w:p>
    <w:p w:rsidR="00037C68" w:rsidRDefault="00037C68" w:rsidP="00037C68">
      <w:pPr>
        <w:pStyle w:val="GesAbsatz"/>
      </w:pPr>
      <w:r>
        <w:t>Die Pläne müssen spätestens sieben Tage nach etwaigen Änderungen</w:t>
      </w:r>
      <w:r w:rsidR="008E1007">
        <w:t xml:space="preserve"> </w:t>
      </w:r>
      <w:r>
        <w:t>der Bewirtschaftung aktualisiert we</w:t>
      </w:r>
      <w:r>
        <w:t>r</w:t>
      </w:r>
      <w:r>
        <w:t>den, um sicherzustellen,</w:t>
      </w:r>
      <w:r w:rsidR="008E1007">
        <w:t xml:space="preserve"> </w:t>
      </w:r>
      <w:r>
        <w:t>dass sie die tatsächlichen Bewirtschaftungspraktiken</w:t>
      </w:r>
      <w:r w:rsidR="008E1007">
        <w:t xml:space="preserve"> </w:t>
      </w:r>
      <w:r>
        <w:t>widerspiegeln.</w:t>
      </w:r>
    </w:p>
    <w:p w:rsidR="00037C68" w:rsidRDefault="00037C68" w:rsidP="008E1007">
      <w:pPr>
        <w:pStyle w:val="GesAbsatz"/>
        <w:ind w:left="426" w:hanging="426"/>
      </w:pPr>
      <w:r>
        <w:t>4.</w:t>
      </w:r>
      <w:r w:rsidR="008E1007">
        <w:tab/>
      </w:r>
      <w:r>
        <w:t>Für jeden Betrieb werden Düngekonten geführt. Sie werden</w:t>
      </w:r>
      <w:r w:rsidR="008E1007">
        <w:t xml:space="preserve"> </w:t>
      </w:r>
      <w:r>
        <w:t>der zuständigen Behörde für jedes Kale</w:t>
      </w:r>
      <w:r>
        <w:t>n</w:t>
      </w:r>
      <w:r>
        <w:t>derjahr vorgelegt.</w:t>
      </w:r>
    </w:p>
    <w:p w:rsidR="00037C68" w:rsidRDefault="00037C68" w:rsidP="008E1007">
      <w:pPr>
        <w:pStyle w:val="GesAbsatz"/>
        <w:ind w:left="426" w:hanging="426"/>
      </w:pPr>
      <w:r>
        <w:t>5.</w:t>
      </w:r>
      <w:r w:rsidR="008E1007">
        <w:tab/>
      </w:r>
      <w:r>
        <w:t>Jeder landwirtschaftliche Betrieb, dem eine individuelle</w:t>
      </w:r>
      <w:r w:rsidR="008E1007">
        <w:t xml:space="preserve"> </w:t>
      </w:r>
      <w:r>
        <w:t>Ausnahmegenehmigung erteilt wurde, akze</w:t>
      </w:r>
      <w:r>
        <w:t>p</w:t>
      </w:r>
      <w:r>
        <w:t>tiert, dass die in</w:t>
      </w:r>
      <w:r w:rsidR="008E1007">
        <w:t xml:space="preserve"> </w:t>
      </w:r>
      <w:r>
        <w:t>Artikel 4 Absatz 1 genannte Dungausbringung, der Düngeplan</w:t>
      </w:r>
      <w:r w:rsidR="008E1007">
        <w:t xml:space="preserve"> </w:t>
      </w:r>
      <w:r>
        <w:t>und die Düngekonten kontrolliert werden können.</w:t>
      </w:r>
    </w:p>
    <w:p w:rsidR="00037C68" w:rsidRDefault="00037C68" w:rsidP="008E1007">
      <w:pPr>
        <w:pStyle w:val="GesAbsatz"/>
        <w:ind w:left="426" w:hanging="426"/>
      </w:pPr>
      <w:r>
        <w:t>6.</w:t>
      </w:r>
      <w:r w:rsidR="008E1007">
        <w:tab/>
      </w:r>
      <w:r>
        <w:t>Jeder landwirtschaftliche Betrieb, dem eine individuelle</w:t>
      </w:r>
      <w:r w:rsidR="008E1007">
        <w:t xml:space="preserve"> </w:t>
      </w:r>
      <w:r>
        <w:t>Ausnahmegenehmigung erteilt wurde, führt mindestens alle vier</w:t>
      </w:r>
      <w:r w:rsidR="008E1007">
        <w:t xml:space="preserve"> </w:t>
      </w:r>
      <w:r>
        <w:t>Jahre für jede landwirtschaftliche Fläche, die hinsichtlich des</w:t>
      </w:r>
      <w:r w:rsidR="008E1007">
        <w:t xml:space="preserve"> </w:t>
      </w:r>
      <w:r>
        <w:t>Fruchtwechsels und der Bodenmerkmale homogen ist, regelmäßig</w:t>
      </w:r>
      <w:r w:rsidR="008E1007">
        <w:t xml:space="preserve"> </w:t>
      </w:r>
      <w:r>
        <w:t>Bodenanalysen auf Stickstoff und Phosphor durch. G</w:t>
      </w:r>
      <w:r>
        <w:t>e</w:t>
      </w:r>
      <w:r>
        <w:t>fordert</w:t>
      </w:r>
      <w:r w:rsidR="008E1007">
        <w:t xml:space="preserve"> </w:t>
      </w:r>
      <w:r>
        <w:t>wird mindestens eine Analyse je 5 Hektar Land.</w:t>
      </w:r>
    </w:p>
    <w:p w:rsidR="00037C68" w:rsidRDefault="00037C68" w:rsidP="008E1007">
      <w:pPr>
        <w:pStyle w:val="GesAbsatz"/>
        <w:ind w:left="426" w:hanging="426"/>
      </w:pPr>
      <w:r>
        <w:t>7.</w:t>
      </w:r>
      <w:r w:rsidR="008E1007">
        <w:tab/>
      </w:r>
      <w:r>
        <w:t>Der nach dem Verfahren in den Paragraphen 5 und 6 der</w:t>
      </w:r>
      <w:r w:rsidR="008E1007">
        <w:t xml:space="preserve"> </w:t>
      </w:r>
      <w:r>
        <w:t>Düngeverordnung vom 10. Januar 2006 b</w:t>
      </w:r>
      <w:r>
        <w:t>e</w:t>
      </w:r>
      <w:r>
        <w:t>rechnete Phosphatüberschuss</w:t>
      </w:r>
      <w:r w:rsidR="008E1007">
        <w:t xml:space="preserve"> </w:t>
      </w:r>
      <w:r>
        <w:t>des Betriebs während des vorangegangenen Jahres</w:t>
      </w:r>
      <w:r w:rsidR="008E1007">
        <w:t xml:space="preserve"> </w:t>
      </w:r>
      <w:r>
        <w:t>darf 20 kg pro He</w:t>
      </w:r>
      <w:r>
        <w:t>k</w:t>
      </w:r>
      <w:r>
        <w:t>tar nicht überschreiten.</w:t>
      </w:r>
    </w:p>
    <w:p w:rsidR="00037C68" w:rsidRDefault="00037C68" w:rsidP="00037C68">
      <w:pPr>
        <w:pStyle w:val="GesAbsatz"/>
      </w:pPr>
      <w:r>
        <w:t>8.</w:t>
      </w:r>
      <w:r w:rsidR="008E1007">
        <w:tab/>
      </w:r>
      <w:r>
        <w:t>Vor der Ansaat von Gras im Herbst darf kein Dung ausgebracht</w:t>
      </w:r>
      <w:r w:rsidR="008E1007">
        <w:t xml:space="preserve"> </w:t>
      </w:r>
      <w:r>
        <w:t>werden.</w:t>
      </w:r>
    </w:p>
    <w:p w:rsidR="00037C68" w:rsidRDefault="00037C68" w:rsidP="00037C68">
      <w:pPr>
        <w:pStyle w:val="GesAbsatz"/>
      </w:pPr>
      <w:r>
        <w:t>9.</w:t>
      </w:r>
      <w:r w:rsidR="008E1007">
        <w:tab/>
      </w:r>
      <w:r>
        <w:t>Bei der Dungausbringung sind emissionsarme Techniken</w:t>
      </w:r>
      <w:r w:rsidR="008E1007">
        <w:t xml:space="preserve"> </w:t>
      </w:r>
      <w:r>
        <w:t>zu verwenden.</w:t>
      </w:r>
    </w:p>
    <w:p w:rsidR="00037C68" w:rsidRDefault="00037C68" w:rsidP="008E1007">
      <w:pPr>
        <w:pStyle w:val="berschrift2"/>
      </w:pPr>
      <w:bookmarkStart w:id="7" w:name="_Toc420654413"/>
      <w:r>
        <w:t>Artikel 6</w:t>
      </w:r>
      <w:r w:rsidR="008E1007">
        <w:br/>
      </w:r>
      <w:r>
        <w:t>Bodenbewirtschaftung</w:t>
      </w:r>
      <w:bookmarkEnd w:id="7"/>
    </w:p>
    <w:p w:rsidR="00037C68" w:rsidRDefault="00037C68" w:rsidP="00037C68">
      <w:pPr>
        <w:pStyle w:val="GesAbsatz"/>
      </w:pPr>
      <w:r>
        <w:t>Landwirte, denen eine individuelle Ausnahmegenehmigung für</w:t>
      </w:r>
      <w:r w:rsidR="008E1007">
        <w:t xml:space="preserve"> </w:t>
      </w:r>
      <w:r>
        <w:t>Intensivgrünland erteilt wurde, ergreifen fo</w:t>
      </w:r>
      <w:r>
        <w:t>l</w:t>
      </w:r>
      <w:r>
        <w:t>gende Maßnahmen:</w:t>
      </w:r>
    </w:p>
    <w:p w:rsidR="00037C68" w:rsidRDefault="00037C68" w:rsidP="00037C68">
      <w:pPr>
        <w:pStyle w:val="GesAbsatz"/>
      </w:pPr>
      <w:r>
        <w:t>(a)</w:t>
      </w:r>
      <w:r w:rsidR="008E1007">
        <w:tab/>
      </w:r>
      <w:r>
        <w:t>Wechselgrünland wird im Frühjahr umgepflügt.</w:t>
      </w:r>
    </w:p>
    <w:p w:rsidR="00037C68" w:rsidRDefault="00037C68" w:rsidP="00B42388">
      <w:pPr>
        <w:pStyle w:val="GesAbsatz"/>
        <w:ind w:left="426" w:hanging="426"/>
      </w:pPr>
      <w:r>
        <w:t>(b)</w:t>
      </w:r>
      <w:r w:rsidR="008E1007">
        <w:tab/>
      </w:r>
      <w:r>
        <w:t>Intensivgrünland umfasst keine Leguminosen oder andere</w:t>
      </w:r>
      <w:r w:rsidR="008E1007">
        <w:t xml:space="preserve"> </w:t>
      </w:r>
      <w:r>
        <w:t>Pflanzen, die atmosphärischen Stickstoff binden. Dies gilt</w:t>
      </w:r>
      <w:r w:rsidR="008E1007">
        <w:t xml:space="preserve"> </w:t>
      </w:r>
      <w:r>
        <w:t>jedoch nicht für den Durchwuchs von Klee im Gras bei</w:t>
      </w:r>
      <w:r w:rsidR="008E1007">
        <w:t xml:space="preserve"> </w:t>
      </w:r>
      <w:r>
        <w:t>weniger als 50 % Klee.</w:t>
      </w:r>
    </w:p>
    <w:p w:rsidR="00037C68" w:rsidRDefault="00037C68" w:rsidP="008E1007">
      <w:pPr>
        <w:pStyle w:val="berschrift2"/>
      </w:pPr>
      <w:bookmarkStart w:id="8" w:name="_Toc420654414"/>
      <w:r>
        <w:lastRenderedPageBreak/>
        <w:t>Artikel 7</w:t>
      </w:r>
      <w:r w:rsidR="008E1007">
        <w:br/>
      </w:r>
      <w:r>
        <w:t>Andere Maßnahmen</w:t>
      </w:r>
      <w:bookmarkEnd w:id="8"/>
    </w:p>
    <w:p w:rsidR="00037C68" w:rsidRDefault="00037C68" w:rsidP="00037C68">
      <w:pPr>
        <w:pStyle w:val="GesAbsatz"/>
      </w:pPr>
      <w:r>
        <w:t>Deutschland stellt sicher, dass die Ausnahmeregelung unbeschadet</w:t>
      </w:r>
      <w:r w:rsidR="008E1007">
        <w:t xml:space="preserve"> </w:t>
      </w:r>
      <w:r>
        <w:t>der Maßnahmen gilt, die zur Einhaltung anderer Gemeinschaftsvorschriften</w:t>
      </w:r>
      <w:r w:rsidR="008E1007">
        <w:t xml:space="preserve"> </w:t>
      </w:r>
      <w:r>
        <w:t>im Umweltbereich erforderlich sind.</w:t>
      </w:r>
    </w:p>
    <w:p w:rsidR="00037C68" w:rsidRDefault="00037C68" w:rsidP="008E1007">
      <w:pPr>
        <w:pStyle w:val="berschrift2"/>
      </w:pPr>
      <w:bookmarkStart w:id="9" w:name="_Toc420654415"/>
      <w:r>
        <w:t>Artikel 8</w:t>
      </w:r>
      <w:r w:rsidR="008E1007">
        <w:br/>
      </w:r>
      <w:r>
        <w:t>Überwachung</w:t>
      </w:r>
      <w:bookmarkEnd w:id="9"/>
    </w:p>
    <w:p w:rsidR="00037C68" w:rsidRDefault="00037C68" w:rsidP="008E1007">
      <w:pPr>
        <w:pStyle w:val="GesAbsatz"/>
        <w:ind w:left="426" w:hanging="426"/>
      </w:pPr>
      <w:r>
        <w:t>1.</w:t>
      </w:r>
      <w:r w:rsidR="008E1007">
        <w:tab/>
      </w:r>
      <w:r>
        <w:t>Die zuständige Behörde erstellt und aktualisiert jährlich</w:t>
      </w:r>
      <w:r w:rsidR="008E1007">
        <w:t xml:space="preserve"> </w:t>
      </w:r>
      <w:r>
        <w:t>Karten, aus denen der jeweilige Anteil an lan</w:t>
      </w:r>
      <w:r>
        <w:t>d</w:t>
      </w:r>
      <w:r>
        <w:t>wirtschaftlichen</w:t>
      </w:r>
      <w:r w:rsidR="008E1007">
        <w:t xml:space="preserve"> </w:t>
      </w:r>
      <w:r>
        <w:t>Betrieben, Viehbestand und landwirtschaftlichen Flächen, für die</w:t>
      </w:r>
      <w:r w:rsidR="008E1007">
        <w:t xml:space="preserve"> </w:t>
      </w:r>
      <w:r>
        <w:t>je Landkreis eine ind</w:t>
      </w:r>
      <w:r>
        <w:t>i</w:t>
      </w:r>
      <w:r>
        <w:t>viduelle Ausnahmegenehmigung erteilt</w:t>
      </w:r>
      <w:r w:rsidR="008E1007">
        <w:t xml:space="preserve"> </w:t>
      </w:r>
      <w:r>
        <w:t>wurde, ersichtlich ist. Diese Karten werden der Kommission jährlich</w:t>
      </w:r>
      <w:r w:rsidR="008E1007">
        <w:t xml:space="preserve"> </w:t>
      </w:r>
      <w:r>
        <w:t>vorgelegt, erstmals vor Ende 2007.</w:t>
      </w:r>
    </w:p>
    <w:p w:rsidR="00037C68" w:rsidRDefault="00037C68" w:rsidP="008E1007">
      <w:pPr>
        <w:pStyle w:val="GesAbsatz"/>
        <w:ind w:left="426" w:hanging="426"/>
      </w:pPr>
      <w:r>
        <w:t>2.</w:t>
      </w:r>
      <w:r w:rsidR="008E1007">
        <w:tab/>
      </w:r>
      <w:r>
        <w:t>Für Probenahmen aus Oberflächenwasser und oberflächennahem</w:t>
      </w:r>
      <w:r w:rsidR="008E1007">
        <w:t xml:space="preserve"> </w:t>
      </w:r>
      <w:r>
        <w:t>Grundwasser wird ein Überw</w:t>
      </w:r>
      <w:r>
        <w:t>a</w:t>
      </w:r>
      <w:r>
        <w:t>chungsnetz aufgebaut</w:t>
      </w:r>
      <w:r w:rsidR="008E1007">
        <w:t xml:space="preserve"> </w:t>
      </w:r>
      <w:r>
        <w:t>und unterhalten, um die Auswirkungen der Ausnahmegenehmigungen</w:t>
      </w:r>
      <w:r w:rsidR="008E1007">
        <w:t xml:space="preserve"> </w:t>
      </w:r>
      <w:r>
        <w:t>auf die Wasserqualität bewerten zu können. Das bestehende</w:t>
      </w:r>
      <w:r w:rsidR="008E1007">
        <w:t xml:space="preserve"> </w:t>
      </w:r>
      <w:r>
        <w:t>Grundwasserüberwachungsnetz zur Feststellung landwirtschaftlicher</w:t>
      </w:r>
      <w:r w:rsidR="008E1007">
        <w:t xml:space="preserve"> </w:t>
      </w:r>
      <w:r>
        <w:t>Verschmutzungen und das Überwachungsnetz für</w:t>
      </w:r>
      <w:r w:rsidR="008E1007">
        <w:t xml:space="preserve"> </w:t>
      </w:r>
      <w:r>
        <w:t>Oberflächenwasser wird dazu in Gebieten verstärkt, in denen</w:t>
      </w:r>
      <w:r w:rsidR="008E1007">
        <w:t xml:space="preserve"> </w:t>
      </w:r>
      <w:r>
        <w:t>die landwirtschaftlichen Betriebe, denen eine individuelle Ausnahme</w:t>
      </w:r>
      <w:r w:rsidR="008E1007">
        <w:t xml:space="preserve"> </w:t>
      </w:r>
      <w:r>
        <w:t>zug</w:t>
      </w:r>
      <w:r>
        <w:t>e</w:t>
      </w:r>
      <w:r>
        <w:t>standen wurde, einen Anteil von mindestens 3 %</w:t>
      </w:r>
      <w:r w:rsidR="008E1007">
        <w:t xml:space="preserve"> </w:t>
      </w:r>
      <w:r>
        <w:t>sämtlicher landwirtschaftlicher Betriebe erreichen.</w:t>
      </w:r>
    </w:p>
    <w:p w:rsidR="00037C68" w:rsidRDefault="00037C68" w:rsidP="008E1007">
      <w:pPr>
        <w:pStyle w:val="GesAbsatz"/>
        <w:ind w:left="426" w:hanging="426"/>
      </w:pPr>
      <w:r>
        <w:t>3.</w:t>
      </w:r>
      <w:r w:rsidR="008E1007">
        <w:tab/>
      </w:r>
      <w:r>
        <w:t>Mittels Überprüfungen und Nährstoffanalysen werden</w:t>
      </w:r>
      <w:r w:rsidR="008E1007">
        <w:t xml:space="preserve"> </w:t>
      </w:r>
      <w:r>
        <w:t>Daten zur lokalen Flächennutzung, zur Fruchtfo</w:t>
      </w:r>
      <w:r>
        <w:t>l</w:t>
      </w:r>
      <w:r>
        <w:t>ge sowie zu den</w:t>
      </w:r>
      <w:r w:rsidR="008E1007">
        <w:t xml:space="preserve"> </w:t>
      </w:r>
      <w:r>
        <w:t>Praktiken in landwirtschaftlichen Betrieben, denen eine individuelle</w:t>
      </w:r>
      <w:r w:rsidR="008E1007">
        <w:t xml:space="preserve"> </w:t>
      </w:r>
      <w:r>
        <w:t>Ausnahmegene</w:t>
      </w:r>
      <w:r>
        <w:t>h</w:t>
      </w:r>
      <w:r>
        <w:t>migung erteilt wurde, erhoben. Diese</w:t>
      </w:r>
      <w:r w:rsidR="008E1007">
        <w:t xml:space="preserve"> </w:t>
      </w:r>
      <w:r>
        <w:t>Daten können für modellgestützte Berechnungen der Nitratau</w:t>
      </w:r>
      <w:r>
        <w:t>s</w:t>
      </w:r>
      <w:r>
        <w:t>waschung</w:t>
      </w:r>
      <w:r w:rsidR="008E1007">
        <w:t xml:space="preserve"> </w:t>
      </w:r>
      <w:r>
        <w:t>und Phosphorverluste auf Intensivgrünland dienen,</w:t>
      </w:r>
      <w:r w:rsidR="008E1007">
        <w:t xml:space="preserve"> </w:t>
      </w:r>
      <w:r>
        <w:t>auf denen pro Hektar und Jahr bis zu 230 kg Stickstoff in Form</w:t>
      </w:r>
      <w:r w:rsidR="008E1007">
        <w:t xml:space="preserve"> </w:t>
      </w:r>
      <w:r>
        <w:t>von Viehdung ausgebracht werden.</w:t>
      </w:r>
    </w:p>
    <w:p w:rsidR="00037C68" w:rsidRDefault="00037C68" w:rsidP="008E1007">
      <w:pPr>
        <w:pStyle w:val="GesAbsatz"/>
        <w:ind w:left="426" w:hanging="426"/>
      </w:pPr>
      <w:r>
        <w:t>4.</w:t>
      </w:r>
      <w:r w:rsidR="008E1007">
        <w:tab/>
      </w:r>
      <w:r>
        <w:t>Um Daten über den Stickstoffgehalt des Wassers, das die</w:t>
      </w:r>
      <w:r w:rsidR="008E1007">
        <w:t xml:space="preserve"> </w:t>
      </w:r>
      <w:r>
        <w:t>Wurzelzone verlässt und in den Grundwa</w:t>
      </w:r>
      <w:r>
        <w:t>s</w:t>
      </w:r>
      <w:r>
        <w:t>serkörper eintritt,</w:t>
      </w:r>
      <w:r w:rsidR="008E1007">
        <w:t xml:space="preserve"> </w:t>
      </w:r>
      <w:r>
        <w:t>sowie über die Stickstoffauswaschung aus Ober- und Unterboden,</w:t>
      </w:r>
      <w:r w:rsidR="008E1007">
        <w:t xml:space="preserve"> </w:t>
      </w:r>
      <w:r>
        <w:t>sowohl unter den Bedingungen der Ausnahmeregelung als</w:t>
      </w:r>
      <w:r w:rsidR="008E1007">
        <w:t xml:space="preserve"> </w:t>
      </w:r>
      <w:r>
        <w:t>auch ohne diese Ausnahmeregelung zu erhalten, werden in Wassereinzugsgebieten</w:t>
      </w:r>
      <w:r w:rsidR="008E1007">
        <w:t xml:space="preserve"> </w:t>
      </w:r>
      <w:r>
        <w:t>mit hauptsächlich landwirtschaftlicher Nutzung</w:t>
      </w:r>
      <w:r w:rsidR="008E1007">
        <w:t xml:space="preserve"> </w:t>
      </w:r>
      <w:r>
        <w:t>Überwachungsstellen eingeric</w:t>
      </w:r>
      <w:r>
        <w:t>h</w:t>
      </w:r>
      <w:r>
        <w:t>tet.</w:t>
      </w:r>
    </w:p>
    <w:p w:rsidR="00037C68" w:rsidRDefault="00037C68" w:rsidP="008E1007">
      <w:pPr>
        <w:pStyle w:val="berschrift2"/>
      </w:pPr>
      <w:bookmarkStart w:id="10" w:name="_Toc420654416"/>
      <w:r>
        <w:t>Artikel 9</w:t>
      </w:r>
      <w:r w:rsidR="008E1007">
        <w:br/>
      </w:r>
      <w:r>
        <w:t>Kontrollen</w:t>
      </w:r>
      <w:bookmarkEnd w:id="10"/>
    </w:p>
    <w:p w:rsidR="00037C68" w:rsidRDefault="00037C68" w:rsidP="0044610E">
      <w:pPr>
        <w:pStyle w:val="GesAbsatz"/>
        <w:ind w:left="426" w:hanging="426"/>
      </w:pPr>
      <w:r>
        <w:t>1.</w:t>
      </w:r>
      <w:r w:rsidR="008E1007">
        <w:tab/>
      </w:r>
      <w:r>
        <w:t>Die zuständigen Behörden führen bei sämtlichen landwirtschaftlichen</w:t>
      </w:r>
      <w:r w:rsidR="0044610E">
        <w:t xml:space="preserve"> </w:t>
      </w:r>
      <w:r>
        <w:t>Betrieben mit individueller Au</w:t>
      </w:r>
      <w:r>
        <w:t>s</w:t>
      </w:r>
      <w:r>
        <w:t>nahmegenehmigung</w:t>
      </w:r>
      <w:r w:rsidR="0044610E">
        <w:t xml:space="preserve"> </w:t>
      </w:r>
      <w:r>
        <w:t>Verwaltungskontrollen durch, um festzustellen, ob die Höchstmenge</w:t>
      </w:r>
      <w:r w:rsidR="0044610E">
        <w:t xml:space="preserve"> </w:t>
      </w:r>
      <w:r>
        <w:t>von 230 kg Stickstoff je Hektar und Jahr aus Viehdung</w:t>
      </w:r>
      <w:r w:rsidR="0044610E">
        <w:t xml:space="preserve"> </w:t>
      </w:r>
      <w:r>
        <w:t>von Weidevieh, die Normen für die Gesamtausbringung von</w:t>
      </w:r>
      <w:r w:rsidR="0044610E">
        <w:t xml:space="preserve"> </w:t>
      </w:r>
      <w:r>
        <w:t>Stickstoff und Phosphat und die Auflagen für die Bodennutzung</w:t>
      </w:r>
      <w:r w:rsidR="0044610E">
        <w:t xml:space="preserve"> </w:t>
      </w:r>
      <w:r>
        <w:t>eingehalten wurden.</w:t>
      </w:r>
    </w:p>
    <w:p w:rsidR="00037C68" w:rsidRDefault="00037C68" w:rsidP="0044610E">
      <w:pPr>
        <w:pStyle w:val="GesAbsatz"/>
        <w:ind w:left="426" w:hanging="426"/>
      </w:pPr>
      <w:r>
        <w:t>2.</w:t>
      </w:r>
      <w:r w:rsidR="0044610E">
        <w:tab/>
      </w:r>
      <w:r>
        <w:t>Es wird ein Inspektionsprogramm aufgestellt, das sich auf</w:t>
      </w:r>
      <w:r w:rsidR="0044610E">
        <w:t xml:space="preserve"> </w:t>
      </w:r>
      <w:r>
        <w:t>die Faktoren Risikoanalyse, Ergebnisse der Kontrollen des Vorjahres</w:t>
      </w:r>
      <w:r w:rsidR="0044610E">
        <w:t xml:space="preserve"> </w:t>
      </w:r>
      <w:r>
        <w:t>sowie auf die Ergebnisse der stichprobenartigen Kontrollen</w:t>
      </w:r>
      <w:r w:rsidR="0044610E">
        <w:t xml:space="preserve"> </w:t>
      </w:r>
      <w:r>
        <w:t>der Einhaltung der Vorschriften aus der Umsetzung der</w:t>
      </w:r>
      <w:r w:rsidR="0044610E">
        <w:t xml:space="preserve"> </w:t>
      </w:r>
      <w:r>
        <w:t>Richtlinie 91/676/EWG stützt. Die Vor-Ort-Kontrollen decken</w:t>
      </w:r>
      <w:r w:rsidR="0044610E">
        <w:t xml:space="preserve"> </w:t>
      </w:r>
      <w:r>
        <w:t>mi</w:t>
      </w:r>
      <w:r>
        <w:t>n</w:t>
      </w:r>
      <w:r>
        <w:t>destens 3</w:t>
      </w:r>
      <w:r w:rsidR="0044610E">
        <w:t> </w:t>
      </w:r>
      <w:r>
        <w:t>% der Betriebe ab, die von einer individuellen Ausnahmeregelung</w:t>
      </w:r>
      <w:r w:rsidR="0044610E">
        <w:t xml:space="preserve"> </w:t>
      </w:r>
      <w:r>
        <w:t>in Bezug auf die Bedi</w:t>
      </w:r>
      <w:r>
        <w:t>n</w:t>
      </w:r>
      <w:r>
        <w:t>gungen gemäß Artikel 5</w:t>
      </w:r>
      <w:r w:rsidR="0044610E">
        <w:t xml:space="preserve"> </w:t>
      </w:r>
      <w:r>
        <w:t>und 6 profitieren.</w:t>
      </w:r>
    </w:p>
    <w:p w:rsidR="00037C68" w:rsidRDefault="00037C68" w:rsidP="0044610E">
      <w:pPr>
        <w:pStyle w:val="berschrift2"/>
      </w:pPr>
      <w:bookmarkStart w:id="11" w:name="_Toc420654417"/>
      <w:r>
        <w:t>Artikel 10</w:t>
      </w:r>
      <w:r w:rsidR="0044610E">
        <w:br/>
      </w:r>
      <w:r>
        <w:t>Berichterstattung</w:t>
      </w:r>
      <w:bookmarkEnd w:id="11"/>
    </w:p>
    <w:p w:rsidR="00037C68" w:rsidRDefault="00037C68" w:rsidP="0044610E">
      <w:pPr>
        <w:pStyle w:val="GesAbsatz"/>
        <w:ind w:left="426" w:hanging="426"/>
      </w:pPr>
      <w:r>
        <w:t>1.</w:t>
      </w:r>
      <w:r w:rsidR="0044610E">
        <w:tab/>
      </w:r>
      <w:r>
        <w:t>Die zuständige Behörde übermittelt der Kommission jährlich</w:t>
      </w:r>
      <w:r w:rsidR="0044610E">
        <w:t xml:space="preserve"> </w:t>
      </w:r>
      <w:r>
        <w:t>die Ergebnisse der Überwachung zusa</w:t>
      </w:r>
      <w:r>
        <w:t>m</w:t>
      </w:r>
      <w:r>
        <w:t>men mit einem kurzen</w:t>
      </w:r>
      <w:r w:rsidR="0044610E">
        <w:t xml:space="preserve"> </w:t>
      </w:r>
      <w:r>
        <w:t>Bericht über die Entwicklung der Wasserqualität und die</w:t>
      </w:r>
      <w:r w:rsidR="0044610E">
        <w:t xml:space="preserve"> </w:t>
      </w:r>
      <w:r>
        <w:t>Auswertungspraxis. Der Bericht muss Angaben darüber enthalten,</w:t>
      </w:r>
      <w:r w:rsidR="0044610E">
        <w:t xml:space="preserve"> </w:t>
      </w:r>
      <w:r>
        <w:t>wie die Umsetzung der Ausnahmebedingungen mittels Ko</w:t>
      </w:r>
      <w:r>
        <w:t>n</w:t>
      </w:r>
      <w:r>
        <w:t>trollen</w:t>
      </w:r>
      <w:r w:rsidR="0044610E">
        <w:t xml:space="preserve"> </w:t>
      </w:r>
      <w:r>
        <w:t>einzelner Betriebe bewertet wurde sowie Angaben zu</w:t>
      </w:r>
      <w:r w:rsidR="0044610E">
        <w:t xml:space="preserve"> </w:t>
      </w:r>
      <w:r>
        <w:t>Betrieben, bei denen bei Verwaltungsko</w:t>
      </w:r>
      <w:r>
        <w:t>n</w:t>
      </w:r>
      <w:r>
        <w:t>trollen und Vor-Ort-Kontrollen eine Nichteinhaltung der Vorschriften festgestellt</w:t>
      </w:r>
      <w:r w:rsidR="0044610E">
        <w:t xml:space="preserve"> </w:t>
      </w:r>
      <w:r>
        <w:t>wurde. Der erste Bericht wird bis spätestens Juni 2008 und</w:t>
      </w:r>
      <w:r w:rsidR="0044610E">
        <w:t xml:space="preserve"> </w:t>
      </w:r>
      <w:r>
        <w:t>anschließend jedes Jahr spätestens im Juni vorgelegt.</w:t>
      </w:r>
    </w:p>
    <w:p w:rsidR="00037C68" w:rsidRDefault="00037C68" w:rsidP="0044610E">
      <w:pPr>
        <w:pStyle w:val="GesAbsatz"/>
        <w:ind w:left="426" w:hanging="426"/>
      </w:pPr>
      <w:r>
        <w:t>2.</w:t>
      </w:r>
      <w:r w:rsidR="0044610E">
        <w:tab/>
      </w:r>
      <w:r>
        <w:t>Die Ergebnisse werden von der Kommission bei einem</w:t>
      </w:r>
      <w:r w:rsidR="0044610E">
        <w:t xml:space="preserve"> </w:t>
      </w:r>
      <w:r>
        <w:t>etwaigen neuen Antrag auf eine Ausnahmeg</w:t>
      </w:r>
      <w:r>
        <w:t>e</w:t>
      </w:r>
      <w:r>
        <w:t>nehmigung berücksichtigt.</w:t>
      </w:r>
    </w:p>
    <w:p w:rsidR="00037C68" w:rsidRDefault="00037C68" w:rsidP="0044610E">
      <w:pPr>
        <w:pStyle w:val="berschrift2"/>
      </w:pPr>
      <w:bookmarkStart w:id="12" w:name="_Toc420654418"/>
      <w:r>
        <w:t>Artikel 11</w:t>
      </w:r>
      <w:r w:rsidR="0044610E">
        <w:br/>
      </w:r>
      <w:r>
        <w:t>Gültigkeit</w:t>
      </w:r>
      <w:bookmarkEnd w:id="12"/>
    </w:p>
    <w:p w:rsidR="00A50A31" w:rsidRDefault="00A50A31" w:rsidP="00F847EF">
      <w:pPr>
        <w:pStyle w:val="GesAbsatz"/>
      </w:pPr>
      <w:r w:rsidRPr="00A50A31">
        <w:t>Diese Entscheidung findet im Zusammenhang mit dem deutschen</w:t>
      </w:r>
      <w:r>
        <w:rPr>
          <w:b/>
        </w:rPr>
        <w:t xml:space="preserve"> </w:t>
      </w:r>
      <w:r w:rsidRPr="00A50A31">
        <w:t>Aktionsprogramm (Düngeverordnung vom 10. Januar</w:t>
      </w:r>
      <w:r>
        <w:rPr>
          <w:b/>
        </w:rPr>
        <w:t xml:space="preserve"> </w:t>
      </w:r>
      <w:r w:rsidRPr="00A50A31">
        <w:t>2006) bis z</w:t>
      </w:r>
      <w:r>
        <w:t>um 31. Dezember 2013 Anwendung.</w:t>
      </w:r>
    </w:p>
    <w:p w:rsidR="00037C68" w:rsidRDefault="00037C68" w:rsidP="0044610E">
      <w:pPr>
        <w:pStyle w:val="berschrift2"/>
      </w:pPr>
      <w:bookmarkStart w:id="13" w:name="_Toc420654419"/>
      <w:r>
        <w:lastRenderedPageBreak/>
        <w:t>Artikel 12</w:t>
      </w:r>
      <w:bookmarkEnd w:id="13"/>
    </w:p>
    <w:p w:rsidR="00037C68" w:rsidRDefault="00037C68" w:rsidP="00037C68">
      <w:pPr>
        <w:pStyle w:val="GesAbsatz"/>
      </w:pPr>
      <w:r>
        <w:t>Diese Entscheidung ist an die Bundesrepublik Deutschland</w:t>
      </w:r>
      <w:r w:rsidR="0044610E">
        <w:t xml:space="preserve"> </w:t>
      </w:r>
      <w:r>
        <w:t>gerichtet.</w:t>
      </w:r>
    </w:p>
    <w:p w:rsidR="00A50A31" w:rsidRDefault="00A50A31" w:rsidP="00037C68">
      <w:pPr>
        <w:pStyle w:val="GesAbsatz"/>
      </w:pPr>
    </w:p>
    <w:p w:rsidR="00A50A31" w:rsidRDefault="00A50A31" w:rsidP="00037C68">
      <w:pPr>
        <w:pStyle w:val="GesAbsatz"/>
      </w:pPr>
    </w:p>
    <w:sectPr w:rsidR="00A50A31">
      <w:headerReference w:type="default" r:id="rId10"/>
      <w:footerReference w:type="even" r:id="rId11"/>
      <w:footerReference w:type="default" r:id="rId12"/>
      <w:pgSz w:w="11907" w:h="16840" w:code="9"/>
      <w:pgMar w:top="1134" w:right="851" w:bottom="1134" w:left="1418" w:header="567" w:footer="85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43B3" w:rsidRDefault="002F43B3">
      <w:r>
        <w:separator/>
      </w:r>
    </w:p>
  </w:endnote>
  <w:endnote w:type="continuationSeparator" w:id="0">
    <w:p w:rsidR="002F43B3" w:rsidRDefault="002F43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4C38" w:rsidRDefault="00654C38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654C38" w:rsidRDefault="00654C38">
    <w:pPr>
      <w:pStyle w:val="Fuzeil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4C38" w:rsidRPr="004F47C0" w:rsidRDefault="00654C38" w:rsidP="004F47C0">
    <w:pPr>
      <w:pStyle w:val="Fuzeile"/>
    </w:pPr>
    <w:r>
      <w:tab/>
      <w:t xml:space="preserve">22.12.2006 (ABl. L </w:t>
    </w:r>
    <w:r w:rsidRPr="004F47C0">
      <w:t>382 v. 28.12.2006</w:t>
    </w:r>
    <w:r w:rsidR="00193449" w:rsidRPr="004F47C0">
      <w:t xml:space="preserve"> S. 1</w:t>
    </w:r>
    <w:r w:rsidRPr="004F47C0">
      <w:t>)</w:t>
    </w:r>
    <w:r w:rsidRPr="004F47C0">
      <w:tab/>
      <w:t xml:space="preserve">Seite </w:t>
    </w:r>
    <w:r w:rsidRPr="004F47C0">
      <w:fldChar w:fldCharType="begin"/>
    </w:r>
    <w:r w:rsidRPr="004F47C0">
      <w:instrText xml:space="preserve"> PAGE  \* MERGEFORMAT </w:instrText>
    </w:r>
    <w:r w:rsidRPr="004F47C0">
      <w:fldChar w:fldCharType="separate"/>
    </w:r>
    <w:r w:rsidR="00780E3E">
      <w:rPr>
        <w:noProof/>
      </w:rPr>
      <w:t>1</w:t>
    </w:r>
    <w:r w:rsidRPr="004F47C0">
      <w:fldChar w:fldCharType="end"/>
    </w:r>
  </w:p>
  <w:p w:rsidR="00A50A31" w:rsidRPr="00F847EF" w:rsidRDefault="00A50A31" w:rsidP="004F47C0">
    <w:pPr>
      <w:pStyle w:val="Fuzeile"/>
      <w:rPr>
        <w:lang w:val="en-US"/>
      </w:rPr>
    </w:pPr>
    <w:r w:rsidRPr="004F47C0">
      <w:tab/>
    </w:r>
    <w:r w:rsidRPr="005D6262">
      <w:rPr>
        <w:lang w:val="en-US"/>
      </w:rPr>
      <w:t>Stand 12.10.2009 (ABl. L 268</w:t>
    </w:r>
    <w:r w:rsidRPr="00F847EF">
      <w:rPr>
        <w:lang w:val="en-US"/>
      </w:rPr>
      <w:t xml:space="preserve"> v. 13.10.2009 S. 35</w:t>
    </w:r>
    <w:r>
      <w:rPr>
        <w:lang w:val="en-US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43B3" w:rsidRDefault="002F43B3">
      <w:r>
        <w:separator/>
      </w:r>
    </w:p>
  </w:footnote>
  <w:footnote w:type="continuationSeparator" w:id="0">
    <w:p w:rsidR="002F43B3" w:rsidRDefault="002F43B3">
      <w:r>
        <w:continuationSeparator/>
      </w:r>
    </w:p>
  </w:footnote>
  <w:footnote w:id="1">
    <w:p w:rsidR="00654C38" w:rsidRDefault="00654C38">
      <w:pPr>
        <w:pStyle w:val="Funotentext"/>
      </w:pPr>
      <w:r>
        <w:rPr>
          <w:rStyle w:val="Funotenzeichen"/>
        </w:rPr>
        <w:footnoteRef/>
      </w:r>
      <w:r>
        <w:t xml:space="preserve"> ABl. L 375 vom 31.12.1991, S. 1.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4C38" w:rsidRDefault="00780E3E" w:rsidP="004F47C0">
    <w:pPr>
      <w:pStyle w:val="Kopfzeile0"/>
    </w:pPr>
    <w:r>
      <w:t>Archiv7.62</w:t>
    </w:r>
  </w:p>
  <w:p w:rsidR="00654C38" w:rsidRDefault="00654C38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C68"/>
    <w:rsid w:val="0001451A"/>
    <w:rsid w:val="00037C68"/>
    <w:rsid w:val="00077EF0"/>
    <w:rsid w:val="00093D90"/>
    <w:rsid w:val="000B208E"/>
    <w:rsid w:val="000D1520"/>
    <w:rsid w:val="00150B0A"/>
    <w:rsid w:val="001715DF"/>
    <w:rsid w:val="00192A8A"/>
    <w:rsid w:val="00193449"/>
    <w:rsid w:val="001C1083"/>
    <w:rsid w:val="00243AFC"/>
    <w:rsid w:val="002B3267"/>
    <w:rsid w:val="002D5542"/>
    <w:rsid w:val="002F43B3"/>
    <w:rsid w:val="00313F0C"/>
    <w:rsid w:val="00323F09"/>
    <w:rsid w:val="003621A6"/>
    <w:rsid w:val="003A6E25"/>
    <w:rsid w:val="003B24A9"/>
    <w:rsid w:val="00404262"/>
    <w:rsid w:val="00406F32"/>
    <w:rsid w:val="00412824"/>
    <w:rsid w:val="0044610E"/>
    <w:rsid w:val="00463F31"/>
    <w:rsid w:val="004964D0"/>
    <w:rsid w:val="004A5A1B"/>
    <w:rsid w:val="004A6DBA"/>
    <w:rsid w:val="004F2A9F"/>
    <w:rsid w:val="004F47C0"/>
    <w:rsid w:val="00502A6A"/>
    <w:rsid w:val="00557465"/>
    <w:rsid w:val="005D6262"/>
    <w:rsid w:val="005F13E6"/>
    <w:rsid w:val="006242A7"/>
    <w:rsid w:val="0063668C"/>
    <w:rsid w:val="00654C38"/>
    <w:rsid w:val="00666321"/>
    <w:rsid w:val="00697151"/>
    <w:rsid w:val="006D0AB0"/>
    <w:rsid w:val="006F7DCB"/>
    <w:rsid w:val="007237DB"/>
    <w:rsid w:val="00780E3E"/>
    <w:rsid w:val="007F5C17"/>
    <w:rsid w:val="008223AA"/>
    <w:rsid w:val="008D6200"/>
    <w:rsid w:val="008E1007"/>
    <w:rsid w:val="00917506"/>
    <w:rsid w:val="00963345"/>
    <w:rsid w:val="00A50A31"/>
    <w:rsid w:val="00A95D02"/>
    <w:rsid w:val="00AB20F7"/>
    <w:rsid w:val="00B42388"/>
    <w:rsid w:val="00B466D3"/>
    <w:rsid w:val="00C72EBD"/>
    <w:rsid w:val="00D03264"/>
    <w:rsid w:val="00D54555"/>
    <w:rsid w:val="00D750EF"/>
    <w:rsid w:val="00D86C52"/>
    <w:rsid w:val="00DB2935"/>
    <w:rsid w:val="00DC1020"/>
    <w:rsid w:val="00E751D6"/>
    <w:rsid w:val="00EB5006"/>
    <w:rsid w:val="00F61E0B"/>
    <w:rsid w:val="00F72779"/>
    <w:rsid w:val="00F762F4"/>
    <w:rsid w:val="00F84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qFormat="1"/>
    <w:lsdException w:name="header" w:qFormat="1"/>
    <w:lsdException w:name="footer" w:qFormat="1"/>
    <w:lsdException w:name="caption" w:semiHidden="1" w:unhideWhenUsed="1" w:qFormat="1"/>
    <w:lsdException w:name="footnote reference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4F47C0"/>
    <w:pPr>
      <w:tabs>
        <w:tab w:val="left" w:pos="425"/>
      </w:tabs>
      <w:overflowPunct w:val="0"/>
      <w:autoSpaceDE w:val="0"/>
      <w:autoSpaceDN w:val="0"/>
      <w:adjustRightInd w:val="0"/>
      <w:spacing w:before="60" w:after="60"/>
      <w:jc w:val="both"/>
      <w:textAlignment w:val="baseline"/>
    </w:pPr>
    <w:rPr>
      <w:rFonts w:ascii="Arial" w:hAnsi="Arial"/>
    </w:rPr>
  </w:style>
  <w:style w:type="paragraph" w:styleId="berschrift1">
    <w:name w:val="heading 1"/>
    <w:basedOn w:val="Standard"/>
    <w:next w:val="GesAbsatz"/>
    <w:qFormat/>
    <w:rsid w:val="004F47C0"/>
    <w:pPr>
      <w:keepNext/>
      <w:spacing w:after="120"/>
      <w:jc w:val="center"/>
      <w:outlineLvl w:val="0"/>
    </w:pPr>
    <w:rPr>
      <w:b/>
      <w:kern w:val="28"/>
      <w:sz w:val="28"/>
    </w:rPr>
  </w:style>
  <w:style w:type="paragraph" w:styleId="berschrift2">
    <w:name w:val="heading 2"/>
    <w:basedOn w:val="Standard"/>
    <w:next w:val="GesAbsatz"/>
    <w:qFormat/>
    <w:rsid w:val="004F47C0"/>
    <w:pPr>
      <w:keepNext/>
      <w:spacing w:before="240"/>
      <w:jc w:val="center"/>
      <w:outlineLvl w:val="1"/>
    </w:pPr>
    <w:rPr>
      <w:b/>
      <w:sz w:val="24"/>
    </w:rPr>
  </w:style>
  <w:style w:type="paragraph" w:styleId="berschrift3">
    <w:name w:val="heading 3"/>
    <w:basedOn w:val="Standard"/>
    <w:next w:val="GesAbsatz"/>
    <w:qFormat/>
    <w:rsid w:val="004F47C0"/>
    <w:pPr>
      <w:keepNext/>
      <w:spacing w:before="240" w:after="180"/>
      <w:jc w:val="center"/>
      <w:outlineLvl w:val="2"/>
    </w:pPr>
    <w:rPr>
      <w:b/>
    </w:rPr>
  </w:style>
  <w:style w:type="paragraph" w:styleId="berschrift4">
    <w:name w:val="heading 4"/>
    <w:basedOn w:val="Standard"/>
    <w:next w:val="Standard"/>
    <w:rsid w:val="004F47C0"/>
    <w:pPr>
      <w:keepNext/>
      <w:spacing w:before="240"/>
      <w:outlineLvl w:val="3"/>
    </w:pPr>
  </w:style>
  <w:style w:type="paragraph" w:styleId="berschrift5">
    <w:name w:val="heading 5"/>
    <w:basedOn w:val="Standard"/>
    <w:next w:val="Standard"/>
    <w:rsid w:val="004F47C0"/>
    <w:pPr>
      <w:spacing w:before="120"/>
      <w:ind w:left="709" w:hanging="709"/>
      <w:outlineLvl w:val="4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qFormat/>
    <w:rsid w:val="004F47C0"/>
    <w:pPr>
      <w:tabs>
        <w:tab w:val="center" w:pos="4536"/>
        <w:tab w:val="right" w:pos="9072"/>
      </w:tabs>
      <w:spacing w:before="0" w:after="120"/>
      <w:jc w:val="right"/>
    </w:pPr>
  </w:style>
  <w:style w:type="paragraph" w:styleId="Fuzeile">
    <w:name w:val="footer"/>
    <w:basedOn w:val="Standard"/>
    <w:qFormat/>
    <w:rsid w:val="004F47C0"/>
    <w:pPr>
      <w:tabs>
        <w:tab w:val="clear" w:pos="425"/>
        <w:tab w:val="right" w:pos="8505"/>
        <w:tab w:val="right" w:pos="9639"/>
      </w:tabs>
      <w:spacing w:before="0" w:after="0"/>
      <w:jc w:val="left"/>
    </w:pPr>
    <w:rPr>
      <w:sz w:val="16"/>
    </w:rPr>
  </w:style>
  <w:style w:type="character" w:styleId="Seitenzahl">
    <w:name w:val="page number"/>
    <w:semiHidden/>
    <w:rsid w:val="004F47C0"/>
    <w:rPr>
      <w:rFonts w:ascii="Arial" w:hAnsi="Arial"/>
      <w:sz w:val="16"/>
    </w:rPr>
  </w:style>
  <w:style w:type="paragraph" w:styleId="Verzeichnis2">
    <w:name w:val="toc 2"/>
    <w:basedOn w:val="Standard"/>
    <w:next w:val="Standard"/>
    <w:rsid w:val="004F47C0"/>
    <w:pPr>
      <w:tabs>
        <w:tab w:val="clear" w:pos="425"/>
        <w:tab w:val="right" w:leader="dot" w:pos="9638"/>
      </w:tabs>
      <w:spacing w:before="0" w:after="0"/>
      <w:jc w:val="left"/>
    </w:pPr>
    <w:rPr>
      <w:rFonts w:ascii="Times New Roman" w:hAnsi="Times New Roman"/>
      <w:smallCaps/>
    </w:rPr>
  </w:style>
  <w:style w:type="paragraph" w:styleId="Verzeichnis3">
    <w:name w:val="toc 3"/>
    <w:basedOn w:val="Standard"/>
    <w:next w:val="Standard"/>
    <w:semiHidden/>
    <w:rsid w:val="004F47C0"/>
    <w:pPr>
      <w:tabs>
        <w:tab w:val="clear" w:pos="425"/>
        <w:tab w:val="right" w:leader="dot" w:pos="9638"/>
      </w:tabs>
      <w:spacing w:before="0" w:after="0"/>
      <w:ind w:left="200"/>
      <w:jc w:val="left"/>
    </w:pPr>
    <w:rPr>
      <w:rFonts w:ascii="Times New Roman" w:hAnsi="Times New Roman"/>
      <w:i/>
    </w:rPr>
  </w:style>
  <w:style w:type="paragraph" w:styleId="Funotentext">
    <w:name w:val="footnote text"/>
    <w:basedOn w:val="Standard"/>
    <w:qFormat/>
    <w:rsid w:val="004F47C0"/>
    <w:pPr>
      <w:spacing w:before="0" w:after="0"/>
    </w:pPr>
    <w:rPr>
      <w:sz w:val="16"/>
    </w:rPr>
  </w:style>
  <w:style w:type="paragraph" w:styleId="Verzeichnis1">
    <w:name w:val="toc 1"/>
    <w:basedOn w:val="Verzeichnis3"/>
    <w:next w:val="Standard"/>
    <w:rsid w:val="004F47C0"/>
    <w:pPr>
      <w:spacing w:before="120" w:after="120"/>
      <w:ind w:left="0"/>
    </w:pPr>
    <w:rPr>
      <w:b/>
      <w:i w:val="0"/>
      <w:caps/>
    </w:rPr>
  </w:style>
  <w:style w:type="paragraph" w:customStyle="1" w:styleId="GesAbsatz">
    <w:name w:val="GesAbsatz"/>
    <w:basedOn w:val="Standard"/>
    <w:qFormat/>
    <w:rsid w:val="004F47C0"/>
    <w:pPr>
      <w:spacing w:before="100"/>
    </w:pPr>
    <w:rPr>
      <w:color w:val="000000"/>
    </w:rPr>
  </w:style>
  <w:style w:type="paragraph" w:styleId="Verzeichnis4">
    <w:name w:val="toc 4"/>
    <w:basedOn w:val="Standard"/>
    <w:next w:val="Standard"/>
    <w:semiHidden/>
    <w:rsid w:val="004F47C0"/>
    <w:pPr>
      <w:tabs>
        <w:tab w:val="clear" w:pos="425"/>
        <w:tab w:val="right" w:leader="dot" w:pos="9638"/>
      </w:tabs>
      <w:spacing w:before="0" w:after="0"/>
      <w:ind w:left="400"/>
      <w:jc w:val="left"/>
    </w:pPr>
    <w:rPr>
      <w:rFonts w:ascii="Times New Roman" w:hAnsi="Times New Roman"/>
      <w:sz w:val="18"/>
    </w:rPr>
  </w:style>
  <w:style w:type="character" w:styleId="Funotenzeichen">
    <w:name w:val="footnote reference"/>
    <w:qFormat/>
    <w:rsid w:val="004F47C0"/>
    <w:rPr>
      <w:sz w:val="20"/>
      <w:szCs w:val="20"/>
      <w:vertAlign w:val="superscript"/>
    </w:rPr>
  </w:style>
  <w:style w:type="paragraph" w:styleId="Verzeichnis5">
    <w:name w:val="toc 5"/>
    <w:basedOn w:val="Standard"/>
    <w:next w:val="Standard"/>
    <w:semiHidden/>
    <w:rsid w:val="004F47C0"/>
    <w:pPr>
      <w:tabs>
        <w:tab w:val="clear" w:pos="425"/>
        <w:tab w:val="right" w:leader="dot" w:pos="9638"/>
      </w:tabs>
      <w:spacing w:before="0" w:after="0"/>
      <w:ind w:left="600"/>
      <w:jc w:val="left"/>
    </w:pPr>
    <w:rPr>
      <w:rFonts w:ascii="Times New Roman" w:hAnsi="Times New Roman"/>
      <w:sz w:val="18"/>
    </w:rPr>
  </w:style>
  <w:style w:type="paragraph" w:styleId="Verzeichnis6">
    <w:name w:val="toc 6"/>
    <w:basedOn w:val="Standard"/>
    <w:next w:val="Standard"/>
    <w:semiHidden/>
    <w:rsid w:val="004F47C0"/>
    <w:pPr>
      <w:tabs>
        <w:tab w:val="clear" w:pos="425"/>
        <w:tab w:val="right" w:leader="dot" w:pos="9638"/>
      </w:tabs>
      <w:spacing w:before="0" w:after="0"/>
      <w:ind w:left="800"/>
      <w:jc w:val="left"/>
    </w:pPr>
    <w:rPr>
      <w:rFonts w:ascii="Times New Roman" w:hAnsi="Times New Roman"/>
      <w:sz w:val="18"/>
    </w:rPr>
  </w:style>
  <w:style w:type="paragraph" w:styleId="Verzeichnis7">
    <w:name w:val="toc 7"/>
    <w:basedOn w:val="Standard"/>
    <w:next w:val="Standard"/>
    <w:semiHidden/>
    <w:rsid w:val="004F47C0"/>
    <w:pPr>
      <w:tabs>
        <w:tab w:val="clear" w:pos="425"/>
        <w:tab w:val="right" w:leader="dot" w:pos="9638"/>
      </w:tabs>
      <w:spacing w:before="0" w:after="0"/>
      <w:ind w:left="1000"/>
      <w:jc w:val="left"/>
    </w:pPr>
    <w:rPr>
      <w:rFonts w:ascii="Times New Roman" w:hAnsi="Times New Roman"/>
      <w:sz w:val="18"/>
    </w:rPr>
  </w:style>
  <w:style w:type="paragraph" w:styleId="Verzeichnis8">
    <w:name w:val="toc 8"/>
    <w:basedOn w:val="Standard"/>
    <w:next w:val="Standard"/>
    <w:semiHidden/>
    <w:rsid w:val="004F47C0"/>
    <w:pPr>
      <w:tabs>
        <w:tab w:val="clear" w:pos="425"/>
        <w:tab w:val="right" w:leader="dot" w:pos="9638"/>
      </w:tabs>
      <w:spacing w:before="0" w:after="0"/>
      <w:ind w:left="1200"/>
      <w:jc w:val="left"/>
    </w:pPr>
    <w:rPr>
      <w:rFonts w:ascii="Times New Roman" w:hAnsi="Times New Roman"/>
      <w:sz w:val="18"/>
    </w:rPr>
  </w:style>
  <w:style w:type="paragraph" w:styleId="Verzeichnis9">
    <w:name w:val="toc 9"/>
    <w:basedOn w:val="Standard"/>
    <w:next w:val="Standard"/>
    <w:semiHidden/>
    <w:rsid w:val="004F47C0"/>
    <w:pPr>
      <w:tabs>
        <w:tab w:val="clear" w:pos="425"/>
        <w:tab w:val="right" w:leader="dot" w:pos="9638"/>
      </w:tabs>
      <w:spacing w:before="0" w:after="0"/>
      <w:ind w:left="1400"/>
      <w:jc w:val="left"/>
    </w:pPr>
    <w:rPr>
      <w:rFonts w:ascii="Times New Roman" w:hAnsi="Times New Roman"/>
      <w:sz w:val="18"/>
    </w:rPr>
  </w:style>
  <w:style w:type="character" w:styleId="Hyperlink">
    <w:name w:val="Hyperlink"/>
    <w:rsid w:val="004F47C0"/>
    <w:rPr>
      <w:color w:val="0000FF"/>
      <w:u w:val="single"/>
    </w:rPr>
  </w:style>
  <w:style w:type="character" w:styleId="BesuchterHyperlink">
    <w:name w:val="FollowedHyperlink"/>
    <w:basedOn w:val="Absatz-Standardschriftart"/>
    <w:rsid w:val="007237DB"/>
    <w:rPr>
      <w:color w:val="800080" w:themeColor="followedHyperlink"/>
      <w:u w:val="single"/>
    </w:rPr>
  </w:style>
  <w:style w:type="paragraph" w:customStyle="1" w:styleId="Kopfzeile0">
    <w:name w:val="Kopfzeile0"/>
    <w:basedOn w:val="Standard"/>
    <w:next w:val="Kopfzeile"/>
    <w:qFormat/>
    <w:rsid w:val="004F47C0"/>
    <w:pPr>
      <w:spacing w:before="0" w:after="0"/>
      <w:jc w:val="right"/>
    </w:pPr>
    <w:rPr>
      <w:b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qFormat="1"/>
    <w:lsdException w:name="header" w:qFormat="1"/>
    <w:lsdException w:name="footer" w:qFormat="1"/>
    <w:lsdException w:name="caption" w:semiHidden="1" w:unhideWhenUsed="1" w:qFormat="1"/>
    <w:lsdException w:name="footnote reference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4F47C0"/>
    <w:pPr>
      <w:tabs>
        <w:tab w:val="left" w:pos="425"/>
      </w:tabs>
      <w:overflowPunct w:val="0"/>
      <w:autoSpaceDE w:val="0"/>
      <w:autoSpaceDN w:val="0"/>
      <w:adjustRightInd w:val="0"/>
      <w:spacing w:before="60" w:after="60"/>
      <w:jc w:val="both"/>
      <w:textAlignment w:val="baseline"/>
    </w:pPr>
    <w:rPr>
      <w:rFonts w:ascii="Arial" w:hAnsi="Arial"/>
    </w:rPr>
  </w:style>
  <w:style w:type="paragraph" w:styleId="berschrift1">
    <w:name w:val="heading 1"/>
    <w:basedOn w:val="Standard"/>
    <w:next w:val="GesAbsatz"/>
    <w:qFormat/>
    <w:rsid w:val="004F47C0"/>
    <w:pPr>
      <w:keepNext/>
      <w:spacing w:after="120"/>
      <w:jc w:val="center"/>
      <w:outlineLvl w:val="0"/>
    </w:pPr>
    <w:rPr>
      <w:b/>
      <w:kern w:val="28"/>
      <w:sz w:val="28"/>
    </w:rPr>
  </w:style>
  <w:style w:type="paragraph" w:styleId="berschrift2">
    <w:name w:val="heading 2"/>
    <w:basedOn w:val="Standard"/>
    <w:next w:val="GesAbsatz"/>
    <w:qFormat/>
    <w:rsid w:val="004F47C0"/>
    <w:pPr>
      <w:keepNext/>
      <w:spacing w:before="240"/>
      <w:jc w:val="center"/>
      <w:outlineLvl w:val="1"/>
    </w:pPr>
    <w:rPr>
      <w:b/>
      <w:sz w:val="24"/>
    </w:rPr>
  </w:style>
  <w:style w:type="paragraph" w:styleId="berschrift3">
    <w:name w:val="heading 3"/>
    <w:basedOn w:val="Standard"/>
    <w:next w:val="GesAbsatz"/>
    <w:qFormat/>
    <w:rsid w:val="004F47C0"/>
    <w:pPr>
      <w:keepNext/>
      <w:spacing w:before="240" w:after="180"/>
      <w:jc w:val="center"/>
      <w:outlineLvl w:val="2"/>
    </w:pPr>
    <w:rPr>
      <w:b/>
    </w:rPr>
  </w:style>
  <w:style w:type="paragraph" w:styleId="berschrift4">
    <w:name w:val="heading 4"/>
    <w:basedOn w:val="Standard"/>
    <w:next w:val="Standard"/>
    <w:rsid w:val="004F47C0"/>
    <w:pPr>
      <w:keepNext/>
      <w:spacing w:before="240"/>
      <w:outlineLvl w:val="3"/>
    </w:pPr>
  </w:style>
  <w:style w:type="paragraph" w:styleId="berschrift5">
    <w:name w:val="heading 5"/>
    <w:basedOn w:val="Standard"/>
    <w:next w:val="Standard"/>
    <w:rsid w:val="004F47C0"/>
    <w:pPr>
      <w:spacing w:before="120"/>
      <w:ind w:left="709" w:hanging="709"/>
      <w:outlineLvl w:val="4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qFormat/>
    <w:rsid w:val="004F47C0"/>
    <w:pPr>
      <w:tabs>
        <w:tab w:val="center" w:pos="4536"/>
        <w:tab w:val="right" w:pos="9072"/>
      </w:tabs>
      <w:spacing w:before="0" w:after="120"/>
      <w:jc w:val="right"/>
    </w:pPr>
  </w:style>
  <w:style w:type="paragraph" w:styleId="Fuzeile">
    <w:name w:val="footer"/>
    <w:basedOn w:val="Standard"/>
    <w:qFormat/>
    <w:rsid w:val="004F47C0"/>
    <w:pPr>
      <w:tabs>
        <w:tab w:val="clear" w:pos="425"/>
        <w:tab w:val="right" w:pos="8505"/>
        <w:tab w:val="right" w:pos="9639"/>
      </w:tabs>
      <w:spacing w:before="0" w:after="0"/>
      <w:jc w:val="left"/>
    </w:pPr>
    <w:rPr>
      <w:sz w:val="16"/>
    </w:rPr>
  </w:style>
  <w:style w:type="character" w:styleId="Seitenzahl">
    <w:name w:val="page number"/>
    <w:semiHidden/>
    <w:rsid w:val="004F47C0"/>
    <w:rPr>
      <w:rFonts w:ascii="Arial" w:hAnsi="Arial"/>
      <w:sz w:val="16"/>
    </w:rPr>
  </w:style>
  <w:style w:type="paragraph" w:styleId="Verzeichnis2">
    <w:name w:val="toc 2"/>
    <w:basedOn w:val="Standard"/>
    <w:next w:val="Standard"/>
    <w:rsid w:val="004F47C0"/>
    <w:pPr>
      <w:tabs>
        <w:tab w:val="clear" w:pos="425"/>
        <w:tab w:val="right" w:leader="dot" w:pos="9638"/>
      </w:tabs>
      <w:spacing w:before="0" w:after="0"/>
      <w:jc w:val="left"/>
    </w:pPr>
    <w:rPr>
      <w:rFonts w:ascii="Times New Roman" w:hAnsi="Times New Roman"/>
      <w:smallCaps/>
    </w:rPr>
  </w:style>
  <w:style w:type="paragraph" w:styleId="Verzeichnis3">
    <w:name w:val="toc 3"/>
    <w:basedOn w:val="Standard"/>
    <w:next w:val="Standard"/>
    <w:semiHidden/>
    <w:rsid w:val="004F47C0"/>
    <w:pPr>
      <w:tabs>
        <w:tab w:val="clear" w:pos="425"/>
        <w:tab w:val="right" w:leader="dot" w:pos="9638"/>
      </w:tabs>
      <w:spacing w:before="0" w:after="0"/>
      <w:ind w:left="200"/>
      <w:jc w:val="left"/>
    </w:pPr>
    <w:rPr>
      <w:rFonts w:ascii="Times New Roman" w:hAnsi="Times New Roman"/>
      <w:i/>
    </w:rPr>
  </w:style>
  <w:style w:type="paragraph" w:styleId="Funotentext">
    <w:name w:val="footnote text"/>
    <w:basedOn w:val="Standard"/>
    <w:qFormat/>
    <w:rsid w:val="004F47C0"/>
    <w:pPr>
      <w:spacing w:before="0" w:after="0"/>
    </w:pPr>
    <w:rPr>
      <w:sz w:val="16"/>
    </w:rPr>
  </w:style>
  <w:style w:type="paragraph" w:styleId="Verzeichnis1">
    <w:name w:val="toc 1"/>
    <w:basedOn w:val="Verzeichnis3"/>
    <w:next w:val="Standard"/>
    <w:rsid w:val="004F47C0"/>
    <w:pPr>
      <w:spacing w:before="120" w:after="120"/>
      <w:ind w:left="0"/>
    </w:pPr>
    <w:rPr>
      <w:b/>
      <w:i w:val="0"/>
      <w:caps/>
    </w:rPr>
  </w:style>
  <w:style w:type="paragraph" w:customStyle="1" w:styleId="GesAbsatz">
    <w:name w:val="GesAbsatz"/>
    <w:basedOn w:val="Standard"/>
    <w:qFormat/>
    <w:rsid w:val="004F47C0"/>
    <w:pPr>
      <w:spacing w:before="100"/>
    </w:pPr>
    <w:rPr>
      <w:color w:val="000000"/>
    </w:rPr>
  </w:style>
  <w:style w:type="paragraph" w:styleId="Verzeichnis4">
    <w:name w:val="toc 4"/>
    <w:basedOn w:val="Standard"/>
    <w:next w:val="Standard"/>
    <w:semiHidden/>
    <w:rsid w:val="004F47C0"/>
    <w:pPr>
      <w:tabs>
        <w:tab w:val="clear" w:pos="425"/>
        <w:tab w:val="right" w:leader="dot" w:pos="9638"/>
      </w:tabs>
      <w:spacing w:before="0" w:after="0"/>
      <w:ind w:left="400"/>
      <w:jc w:val="left"/>
    </w:pPr>
    <w:rPr>
      <w:rFonts w:ascii="Times New Roman" w:hAnsi="Times New Roman"/>
      <w:sz w:val="18"/>
    </w:rPr>
  </w:style>
  <w:style w:type="character" w:styleId="Funotenzeichen">
    <w:name w:val="footnote reference"/>
    <w:qFormat/>
    <w:rsid w:val="004F47C0"/>
    <w:rPr>
      <w:sz w:val="20"/>
      <w:szCs w:val="20"/>
      <w:vertAlign w:val="superscript"/>
    </w:rPr>
  </w:style>
  <w:style w:type="paragraph" w:styleId="Verzeichnis5">
    <w:name w:val="toc 5"/>
    <w:basedOn w:val="Standard"/>
    <w:next w:val="Standard"/>
    <w:semiHidden/>
    <w:rsid w:val="004F47C0"/>
    <w:pPr>
      <w:tabs>
        <w:tab w:val="clear" w:pos="425"/>
        <w:tab w:val="right" w:leader="dot" w:pos="9638"/>
      </w:tabs>
      <w:spacing w:before="0" w:after="0"/>
      <w:ind w:left="600"/>
      <w:jc w:val="left"/>
    </w:pPr>
    <w:rPr>
      <w:rFonts w:ascii="Times New Roman" w:hAnsi="Times New Roman"/>
      <w:sz w:val="18"/>
    </w:rPr>
  </w:style>
  <w:style w:type="paragraph" w:styleId="Verzeichnis6">
    <w:name w:val="toc 6"/>
    <w:basedOn w:val="Standard"/>
    <w:next w:val="Standard"/>
    <w:semiHidden/>
    <w:rsid w:val="004F47C0"/>
    <w:pPr>
      <w:tabs>
        <w:tab w:val="clear" w:pos="425"/>
        <w:tab w:val="right" w:leader="dot" w:pos="9638"/>
      </w:tabs>
      <w:spacing w:before="0" w:after="0"/>
      <w:ind w:left="800"/>
      <w:jc w:val="left"/>
    </w:pPr>
    <w:rPr>
      <w:rFonts w:ascii="Times New Roman" w:hAnsi="Times New Roman"/>
      <w:sz w:val="18"/>
    </w:rPr>
  </w:style>
  <w:style w:type="paragraph" w:styleId="Verzeichnis7">
    <w:name w:val="toc 7"/>
    <w:basedOn w:val="Standard"/>
    <w:next w:val="Standard"/>
    <w:semiHidden/>
    <w:rsid w:val="004F47C0"/>
    <w:pPr>
      <w:tabs>
        <w:tab w:val="clear" w:pos="425"/>
        <w:tab w:val="right" w:leader="dot" w:pos="9638"/>
      </w:tabs>
      <w:spacing w:before="0" w:after="0"/>
      <w:ind w:left="1000"/>
      <w:jc w:val="left"/>
    </w:pPr>
    <w:rPr>
      <w:rFonts w:ascii="Times New Roman" w:hAnsi="Times New Roman"/>
      <w:sz w:val="18"/>
    </w:rPr>
  </w:style>
  <w:style w:type="paragraph" w:styleId="Verzeichnis8">
    <w:name w:val="toc 8"/>
    <w:basedOn w:val="Standard"/>
    <w:next w:val="Standard"/>
    <w:semiHidden/>
    <w:rsid w:val="004F47C0"/>
    <w:pPr>
      <w:tabs>
        <w:tab w:val="clear" w:pos="425"/>
        <w:tab w:val="right" w:leader="dot" w:pos="9638"/>
      </w:tabs>
      <w:spacing w:before="0" w:after="0"/>
      <w:ind w:left="1200"/>
      <w:jc w:val="left"/>
    </w:pPr>
    <w:rPr>
      <w:rFonts w:ascii="Times New Roman" w:hAnsi="Times New Roman"/>
      <w:sz w:val="18"/>
    </w:rPr>
  </w:style>
  <w:style w:type="paragraph" w:styleId="Verzeichnis9">
    <w:name w:val="toc 9"/>
    <w:basedOn w:val="Standard"/>
    <w:next w:val="Standard"/>
    <w:semiHidden/>
    <w:rsid w:val="004F47C0"/>
    <w:pPr>
      <w:tabs>
        <w:tab w:val="clear" w:pos="425"/>
        <w:tab w:val="right" w:leader="dot" w:pos="9638"/>
      </w:tabs>
      <w:spacing w:before="0" w:after="0"/>
      <w:ind w:left="1400"/>
      <w:jc w:val="left"/>
    </w:pPr>
    <w:rPr>
      <w:rFonts w:ascii="Times New Roman" w:hAnsi="Times New Roman"/>
      <w:sz w:val="18"/>
    </w:rPr>
  </w:style>
  <w:style w:type="character" w:styleId="Hyperlink">
    <w:name w:val="Hyperlink"/>
    <w:rsid w:val="004F47C0"/>
    <w:rPr>
      <w:color w:val="0000FF"/>
      <w:u w:val="single"/>
    </w:rPr>
  </w:style>
  <w:style w:type="character" w:styleId="BesuchterHyperlink">
    <w:name w:val="FollowedHyperlink"/>
    <w:basedOn w:val="Absatz-Standardschriftart"/>
    <w:rsid w:val="007237DB"/>
    <w:rPr>
      <w:color w:val="800080" w:themeColor="followedHyperlink"/>
      <w:u w:val="single"/>
    </w:rPr>
  </w:style>
  <w:style w:type="paragraph" w:customStyle="1" w:styleId="Kopfzeile0">
    <w:name w:val="Kopfzeile0"/>
    <w:basedOn w:val="Standard"/>
    <w:next w:val="Kopfzeile"/>
    <w:qFormat/>
    <w:rsid w:val="004F47C0"/>
    <w:pPr>
      <w:spacing w:before="0" w:after="0"/>
      <w:jc w:val="right"/>
    </w:pPr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ur-lex.europa.eu/LexUriServ/LexUriServ.do?uri=OJ:L:2006:382:0001:0004:DE:PDF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eur-lex.europa.eu/legal-content/DE/TXT/PDF/?uri=CELEX:32009D0753&amp;from=DE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rueter\Anwendungsdaten\Microsoft\Templates\VTU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4AE826-6419-4EE9-A979-79AC0CFAD8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VTU.dotx</Template>
  <TotalTime>0</TotalTime>
  <Pages>5</Pages>
  <Words>1840</Words>
  <Characters>13099</Characters>
  <Application>Microsoft Office Word</Application>
  <DocSecurity>0</DocSecurity>
  <Lines>109</Lines>
  <Paragraphs>29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Entscheidung der Kommission vom 22.12.2006 - 2006/1013/EG</vt:lpstr>
    </vt:vector>
  </TitlesOfParts>
  <Company>LANUV NRW</Company>
  <LinksUpToDate>false</LinksUpToDate>
  <CharactersWithSpaces>14910</CharactersWithSpaces>
  <SharedDoc>false</SharedDoc>
  <HLinks>
    <vt:vector size="84" baseType="variant">
      <vt:variant>
        <vt:i4>1769526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_Toc156878690</vt:lpwstr>
      </vt:variant>
      <vt:variant>
        <vt:i4>1703990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_Toc156878689</vt:lpwstr>
      </vt:variant>
      <vt:variant>
        <vt:i4>1703990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_Toc156878688</vt:lpwstr>
      </vt:variant>
      <vt:variant>
        <vt:i4>1703990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_Toc156878687</vt:lpwstr>
      </vt:variant>
      <vt:variant>
        <vt:i4>1703990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_Toc156878686</vt:lpwstr>
      </vt:variant>
      <vt:variant>
        <vt:i4>1703990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_Toc156878685</vt:lpwstr>
      </vt:variant>
      <vt:variant>
        <vt:i4>1703990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_Toc156878684</vt:lpwstr>
      </vt:variant>
      <vt:variant>
        <vt:i4>1703990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_Toc156878683</vt:lpwstr>
      </vt:variant>
      <vt:variant>
        <vt:i4>1703990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_Toc156878682</vt:lpwstr>
      </vt:variant>
      <vt:variant>
        <vt:i4>1703990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_Toc156878681</vt:lpwstr>
      </vt:variant>
      <vt:variant>
        <vt:i4>1703990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_Toc156878680</vt:lpwstr>
      </vt:variant>
      <vt:variant>
        <vt:i4>1376310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_Toc156878679</vt:lpwstr>
      </vt:variant>
      <vt:variant>
        <vt:i4>1376310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_Toc156878678</vt:lpwstr>
      </vt:variant>
      <vt:variant>
        <vt:i4>5636119</vt:i4>
      </vt:variant>
      <vt:variant>
        <vt:i4>0</vt:i4>
      </vt:variant>
      <vt:variant>
        <vt:i4>0</vt:i4>
      </vt:variant>
      <vt:variant>
        <vt:i4>5</vt:i4>
      </vt:variant>
      <vt:variant>
        <vt:lpwstr>http://eur-lex.europa.eu/LexUriServ/LexUriServ.do?uri=OJ:L:2006:382:0001:0004:DE:PDF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Entscheidung der Kommission vom 22.12.2006 - 2006/1013/EG</dc:title>
  <dc:subject>Genehmigung einer Ausnahmeregelung auf der Grundlage der Richtlinie 91/676/EWG</dc:subject>
  <dc:creator>Natrop</dc:creator>
  <cp:lastModifiedBy>rueter</cp:lastModifiedBy>
  <cp:revision>2</cp:revision>
  <cp:lastPrinted>2004-12-14T11:08:00Z</cp:lastPrinted>
  <dcterms:created xsi:type="dcterms:W3CDTF">2015-06-02T06:53:00Z</dcterms:created>
  <dcterms:modified xsi:type="dcterms:W3CDTF">2015-06-02T06:53:00Z</dcterms:modified>
</cp:coreProperties>
</file>