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A5" w:rsidRPr="00CC1249" w:rsidRDefault="006F18A5" w:rsidP="00CC1249">
      <w:pPr>
        <w:pStyle w:val="berschrift1"/>
      </w:pPr>
      <w:bookmarkStart w:id="0" w:name="_Toc417446041"/>
      <w:bookmarkStart w:id="1" w:name="_Toc467045420"/>
      <w:bookmarkStart w:id="2" w:name="_Toc132080904"/>
      <w:r>
        <w:t>Ric</w:t>
      </w:r>
      <w:bookmarkStart w:id="3" w:name="_GoBack"/>
      <w:bookmarkEnd w:id="3"/>
      <w:r>
        <w:t xml:space="preserve">htlinie des Rates </w:t>
      </w:r>
      <w:hyperlink r:id="rId8" w:history="1">
        <w:r w:rsidR="00C55F67" w:rsidRPr="00422EB1">
          <w:rPr>
            <w:rStyle w:val="Hyperlink"/>
          </w:rPr>
          <w:t>76/160/EWG</w:t>
        </w:r>
      </w:hyperlink>
      <w:r w:rsidR="00C55F67">
        <w:t xml:space="preserve"> </w:t>
      </w:r>
      <w:r>
        <w:t xml:space="preserve">vom 8. Dezember 1975 über </w:t>
      </w:r>
      <w:r w:rsidR="00C55F67">
        <w:br/>
      </w:r>
      <w:r>
        <w:t>die Qualität der Badegewässer</w:t>
      </w:r>
      <w:bookmarkEnd w:id="0"/>
      <w:bookmarkEnd w:id="1"/>
      <w:bookmarkEnd w:id="2"/>
    </w:p>
    <w:p w:rsidR="0011407B" w:rsidRPr="003975EE" w:rsidRDefault="0011407B" w:rsidP="0011407B">
      <w:pPr>
        <w:pStyle w:val="GesAbsatz"/>
        <w:rPr>
          <w:b/>
          <w:i/>
          <w:color w:val="FF0000"/>
          <w:sz w:val="22"/>
          <w:szCs w:val="22"/>
        </w:rPr>
      </w:pPr>
      <w:r w:rsidRPr="003975EE">
        <w:rPr>
          <w:b/>
          <w:i/>
          <w:color w:val="FF0000"/>
          <w:sz w:val="22"/>
          <w:szCs w:val="22"/>
        </w:rPr>
        <w:t>Gemäß Art. 17 der Richtlinie 2006/7/EG wird diese Richtlinie mit Wirkung vom 31.12.2014 aufgehoben.</w:t>
      </w:r>
    </w:p>
    <w:p w:rsidR="006F18A5" w:rsidRDefault="00324026" w:rsidP="009B31A4">
      <w:pPr>
        <w:pStyle w:val="GesAbsatz"/>
        <w:rPr>
          <w:snapToGrid w:val="0"/>
        </w:rPr>
      </w:pPr>
      <w:r w:rsidRPr="006B5380">
        <w:rPr>
          <w:b/>
        </w:rPr>
        <w:t>Änderungen:</w:t>
      </w:r>
      <w:r w:rsidRPr="00324026">
        <w:t xml:space="preserve"> </w:t>
      </w:r>
      <w:hyperlink r:id="rId9" w:history="1">
        <w:r w:rsidR="009A0E9C" w:rsidRPr="00DB39DB">
          <w:rPr>
            <w:rStyle w:val="Hyperlink"/>
          </w:rPr>
          <w:t>91/692/EWG</w:t>
        </w:r>
      </w:hyperlink>
      <w:r w:rsidRPr="00324026">
        <w:t xml:space="preserve"> ABl. L 377 v</w:t>
      </w:r>
      <w:r>
        <w:t>.</w:t>
      </w:r>
      <w:r w:rsidRPr="00324026">
        <w:t xml:space="preserve"> 31.12.1991 S. 48</w:t>
      </w:r>
      <w:r>
        <w:t xml:space="preserve">; </w:t>
      </w:r>
      <w:hyperlink r:id="rId10" w:history="1">
        <w:r w:rsidRPr="00EE486D">
          <w:rPr>
            <w:rStyle w:val="Hyperlink"/>
          </w:rPr>
          <w:t>807/200</w:t>
        </w:r>
        <w:r w:rsidR="00B83E2B" w:rsidRPr="00EE486D">
          <w:rPr>
            <w:rStyle w:val="Hyperlink"/>
          </w:rPr>
          <w:t>3/EG</w:t>
        </w:r>
      </w:hyperlink>
      <w:r w:rsidRPr="00EE486D">
        <w:t xml:space="preserve"> ABl. L 122</w:t>
      </w:r>
      <w:r w:rsidRPr="00324026">
        <w:t xml:space="preserve"> vom 16.5.2003 S. 36</w:t>
      </w:r>
      <w:r w:rsidR="00B83E2B">
        <w:t>;</w:t>
      </w:r>
      <w:r w:rsidR="0087219D">
        <w:t xml:space="preserve"> </w:t>
      </w:r>
      <w:hyperlink r:id="rId11" w:history="1">
        <w:r w:rsidR="0087219D" w:rsidRPr="00AA3AD9">
          <w:rPr>
            <w:rStyle w:val="Hyperlink"/>
            <w:snapToGrid w:val="0"/>
          </w:rPr>
          <w:t>1137/2008/EG</w:t>
        </w:r>
      </w:hyperlink>
      <w:r w:rsidR="0087219D">
        <w:rPr>
          <w:snapToGrid w:val="0"/>
        </w:rPr>
        <w:t xml:space="preserve"> ABl. L 331 v. 21.11.2008 S. 1 Inkrafttreten 11.12.2008;</w:t>
      </w:r>
    </w:p>
    <w:p w:rsidR="00AB1DC6" w:rsidRDefault="00AB1DC6" w:rsidP="009B31A4">
      <w:pPr>
        <w:pStyle w:val="GesAbsatz"/>
      </w:pPr>
    </w:p>
    <w:p w:rsidR="006F18A5" w:rsidRDefault="006F18A5">
      <w:pPr>
        <w:pStyle w:val="GesAbsatz"/>
        <w:jc w:val="center"/>
        <w:rPr>
          <w:b/>
          <w:sz w:val="22"/>
        </w:rPr>
      </w:pPr>
      <w:bookmarkStart w:id="4" w:name="_Toc417446042"/>
      <w:r>
        <w:rPr>
          <w:b/>
          <w:sz w:val="22"/>
        </w:rPr>
        <w:t>Inhalt</w:t>
      </w:r>
      <w:bookmarkEnd w:id="4"/>
      <w:r>
        <w:rPr>
          <w:b/>
          <w:sz w:val="22"/>
        </w:rPr>
        <w:t>:</w:t>
      </w:r>
    </w:p>
    <w:p w:rsidR="00C55F67" w:rsidRDefault="00C55F67">
      <w:pPr>
        <w:pStyle w:val="Verzeichnis1"/>
        <w:tabs>
          <w:tab w:val="clear" w:pos="9638"/>
          <w:tab w:val="right" w:leader="dot" w:pos="9627"/>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Richtlinie des Rates 76/160/EWG vom 8. Dezember 1975 über  die Qualität der Badege</w:t>
      </w:r>
      <w:r>
        <w:rPr>
          <w:noProof/>
        </w:rPr>
        <w:softHyphen/>
        <w:t>wässer</w:t>
      </w:r>
      <w:r>
        <w:rPr>
          <w:noProof/>
        </w:rPr>
        <w:tab/>
      </w:r>
      <w:r>
        <w:rPr>
          <w:noProof/>
        </w:rPr>
        <w:fldChar w:fldCharType="begin"/>
      </w:r>
      <w:r>
        <w:rPr>
          <w:noProof/>
        </w:rPr>
        <w:instrText xml:space="preserve"> PAGEREF _Toc132080904 \h </w:instrText>
      </w:r>
      <w:r>
        <w:rPr>
          <w:noProof/>
        </w:rPr>
      </w:r>
      <w:r>
        <w:rPr>
          <w:noProof/>
        </w:rPr>
        <w:fldChar w:fldCharType="separate"/>
      </w:r>
      <w:r w:rsidR="005E4E5B">
        <w:rPr>
          <w:noProof/>
        </w:rPr>
        <w:t>1</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1</w:t>
      </w:r>
      <w:r>
        <w:rPr>
          <w:noProof/>
        </w:rPr>
        <w:tab/>
      </w:r>
      <w:r>
        <w:rPr>
          <w:noProof/>
        </w:rPr>
        <w:fldChar w:fldCharType="begin"/>
      </w:r>
      <w:r>
        <w:rPr>
          <w:noProof/>
        </w:rPr>
        <w:instrText xml:space="preserve"> PAGEREF _Toc132080905 \h </w:instrText>
      </w:r>
      <w:r>
        <w:rPr>
          <w:noProof/>
        </w:rPr>
      </w:r>
      <w:r>
        <w:rPr>
          <w:noProof/>
        </w:rPr>
        <w:fldChar w:fldCharType="separate"/>
      </w:r>
      <w:r w:rsidR="005E4E5B">
        <w:rPr>
          <w:noProof/>
        </w:rPr>
        <w:t>2</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2</w:t>
      </w:r>
      <w:r>
        <w:rPr>
          <w:noProof/>
        </w:rPr>
        <w:tab/>
      </w:r>
      <w:r>
        <w:rPr>
          <w:noProof/>
        </w:rPr>
        <w:fldChar w:fldCharType="begin"/>
      </w:r>
      <w:r>
        <w:rPr>
          <w:noProof/>
        </w:rPr>
        <w:instrText xml:space="preserve"> PAGEREF _Toc132080906 \h </w:instrText>
      </w:r>
      <w:r>
        <w:rPr>
          <w:noProof/>
        </w:rPr>
      </w:r>
      <w:r>
        <w:rPr>
          <w:noProof/>
        </w:rPr>
        <w:fldChar w:fldCharType="separate"/>
      </w:r>
      <w:r w:rsidR="005E4E5B">
        <w:rPr>
          <w:noProof/>
        </w:rPr>
        <w:t>2</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3</w:t>
      </w:r>
      <w:r>
        <w:rPr>
          <w:noProof/>
        </w:rPr>
        <w:tab/>
      </w:r>
      <w:r>
        <w:rPr>
          <w:noProof/>
        </w:rPr>
        <w:fldChar w:fldCharType="begin"/>
      </w:r>
      <w:r>
        <w:rPr>
          <w:noProof/>
        </w:rPr>
        <w:instrText xml:space="preserve"> PAGEREF _Toc132080907 \h </w:instrText>
      </w:r>
      <w:r>
        <w:rPr>
          <w:noProof/>
        </w:rPr>
      </w:r>
      <w:r>
        <w:rPr>
          <w:noProof/>
        </w:rPr>
        <w:fldChar w:fldCharType="separate"/>
      </w:r>
      <w:r w:rsidR="005E4E5B">
        <w:rPr>
          <w:noProof/>
        </w:rPr>
        <w:t>2</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4</w:t>
      </w:r>
      <w:r>
        <w:rPr>
          <w:noProof/>
        </w:rPr>
        <w:tab/>
      </w:r>
      <w:r>
        <w:rPr>
          <w:noProof/>
        </w:rPr>
        <w:fldChar w:fldCharType="begin"/>
      </w:r>
      <w:r>
        <w:rPr>
          <w:noProof/>
        </w:rPr>
        <w:instrText xml:space="preserve"> PAGEREF _Toc132080908 \h </w:instrText>
      </w:r>
      <w:r>
        <w:rPr>
          <w:noProof/>
        </w:rPr>
      </w:r>
      <w:r>
        <w:rPr>
          <w:noProof/>
        </w:rPr>
        <w:fldChar w:fldCharType="separate"/>
      </w:r>
      <w:r w:rsidR="005E4E5B">
        <w:rPr>
          <w:noProof/>
        </w:rPr>
        <w:t>2</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5</w:t>
      </w:r>
      <w:r>
        <w:rPr>
          <w:noProof/>
        </w:rPr>
        <w:tab/>
      </w:r>
      <w:r>
        <w:rPr>
          <w:noProof/>
        </w:rPr>
        <w:fldChar w:fldCharType="begin"/>
      </w:r>
      <w:r>
        <w:rPr>
          <w:noProof/>
        </w:rPr>
        <w:instrText xml:space="preserve"> PAGEREF _Toc132080909 \h </w:instrText>
      </w:r>
      <w:r>
        <w:rPr>
          <w:noProof/>
        </w:rPr>
      </w:r>
      <w:r>
        <w:rPr>
          <w:noProof/>
        </w:rPr>
        <w:fldChar w:fldCharType="separate"/>
      </w:r>
      <w:r w:rsidR="005E4E5B">
        <w:rPr>
          <w:noProof/>
        </w:rPr>
        <w:t>3</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6</w:t>
      </w:r>
      <w:r>
        <w:rPr>
          <w:noProof/>
        </w:rPr>
        <w:tab/>
      </w:r>
      <w:r>
        <w:rPr>
          <w:noProof/>
        </w:rPr>
        <w:fldChar w:fldCharType="begin"/>
      </w:r>
      <w:r>
        <w:rPr>
          <w:noProof/>
        </w:rPr>
        <w:instrText xml:space="preserve"> PAGEREF _Toc132080910 \h </w:instrText>
      </w:r>
      <w:r>
        <w:rPr>
          <w:noProof/>
        </w:rPr>
      </w:r>
      <w:r>
        <w:rPr>
          <w:noProof/>
        </w:rPr>
        <w:fldChar w:fldCharType="separate"/>
      </w:r>
      <w:r w:rsidR="005E4E5B">
        <w:rPr>
          <w:noProof/>
        </w:rPr>
        <w:t>3</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7</w:t>
      </w:r>
      <w:r>
        <w:rPr>
          <w:noProof/>
        </w:rPr>
        <w:tab/>
      </w:r>
      <w:r>
        <w:rPr>
          <w:noProof/>
        </w:rPr>
        <w:fldChar w:fldCharType="begin"/>
      </w:r>
      <w:r>
        <w:rPr>
          <w:noProof/>
        </w:rPr>
        <w:instrText xml:space="preserve"> PAGEREF _Toc132080911 \h </w:instrText>
      </w:r>
      <w:r>
        <w:rPr>
          <w:noProof/>
        </w:rPr>
      </w:r>
      <w:r>
        <w:rPr>
          <w:noProof/>
        </w:rPr>
        <w:fldChar w:fldCharType="separate"/>
      </w:r>
      <w:r w:rsidR="005E4E5B">
        <w:rPr>
          <w:noProof/>
        </w:rPr>
        <w:t>3</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8</w:t>
      </w:r>
      <w:r>
        <w:rPr>
          <w:noProof/>
        </w:rPr>
        <w:tab/>
      </w:r>
      <w:r>
        <w:rPr>
          <w:noProof/>
        </w:rPr>
        <w:fldChar w:fldCharType="begin"/>
      </w:r>
      <w:r>
        <w:rPr>
          <w:noProof/>
        </w:rPr>
        <w:instrText xml:space="preserve"> PAGEREF _Toc132080912 \h </w:instrText>
      </w:r>
      <w:r>
        <w:rPr>
          <w:noProof/>
        </w:rPr>
      </w:r>
      <w:r>
        <w:rPr>
          <w:noProof/>
        </w:rPr>
        <w:fldChar w:fldCharType="separate"/>
      </w:r>
      <w:r w:rsidR="005E4E5B">
        <w:rPr>
          <w:noProof/>
        </w:rPr>
        <w:t>4</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9</w:t>
      </w:r>
      <w:r>
        <w:rPr>
          <w:noProof/>
        </w:rPr>
        <w:tab/>
      </w:r>
      <w:r>
        <w:rPr>
          <w:noProof/>
        </w:rPr>
        <w:fldChar w:fldCharType="begin"/>
      </w:r>
      <w:r>
        <w:rPr>
          <w:noProof/>
        </w:rPr>
        <w:instrText xml:space="preserve"> PAGEREF _Toc132080913 \h </w:instrText>
      </w:r>
      <w:r>
        <w:rPr>
          <w:noProof/>
        </w:rPr>
      </w:r>
      <w:r>
        <w:rPr>
          <w:noProof/>
        </w:rPr>
        <w:fldChar w:fldCharType="separate"/>
      </w:r>
      <w:r w:rsidR="005E4E5B">
        <w:rPr>
          <w:noProof/>
        </w:rPr>
        <w:t>4</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10</w:t>
      </w:r>
      <w:r>
        <w:rPr>
          <w:noProof/>
        </w:rPr>
        <w:tab/>
      </w:r>
      <w:r>
        <w:rPr>
          <w:noProof/>
        </w:rPr>
        <w:fldChar w:fldCharType="begin"/>
      </w:r>
      <w:r>
        <w:rPr>
          <w:noProof/>
        </w:rPr>
        <w:instrText xml:space="preserve"> PAGEREF _Toc132080914 \h </w:instrText>
      </w:r>
      <w:r>
        <w:rPr>
          <w:noProof/>
        </w:rPr>
      </w:r>
      <w:r>
        <w:rPr>
          <w:noProof/>
        </w:rPr>
        <w:fldChar w:fldCharType="separate"/>
      </w:r>
      <w:r w:rsidR="005E4E5B">
        <w:rPr>
          <w:noProof/>
        </w:rPr>
        <w:t>4</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11</w:t>
      </w:r>
      <w:r>
        <w:rPr>
          <w:noProof/>
        </w:rPr>
        <w:tab/>
      </w:r>
      <w:r>
        <w:rPr>
          <w:noProof/>
        </w:rPr>
        <w:fldChar w:fldCharType="begin"/>
      </w:r>
      <w:r>
        <w:rPr>
          <w:noProof/>
        </w:rPr>
        <w:instrText xml:space="preserve"> PAGEREF _Toc132080915 \h </w:instrText>
      </w:r>
      <w:r>
        <w:rPr>
          <w:noProof/>
        </w:rPr>
      </w:r>
      <w:r>
        <w:rPr>
          <w:noProof/>
        </w:rPr>
        <w:fldChar w:fldCharType="separate"/>
      </w:r>
      <w:r w:rsidR="005E4E5B">
        <w:rPr>
          <w:noProof/>
        </w:rPr>
        <w:t>4</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12</w:t>
      </w:r>
      <w:r>
        <w:rPr>
          <w:noProof/>
        </w:rPr>
        <w:tab/>
      </w:r>
      <w:r>
        <w:rPr>
          <w:noProof/>
        </w:rPr>
        <w:fldChar w:fldCharType="begin"/>
      </w:r>
      <w:r>
        <w:rPr>
          <w:noProof/>
        </w:rPr>
        <w:instrText xml:space="preserve"> PAGEREF _Toc132080916 \h </w:instrText>
      </w:r>
      <w:r>
        <w:rPr>
          <w:noProof/>
        </w:rPr>
      </w:r>
      <w:r>
        <w:rPr>
          <w:noProof/>
        </w:rPr>
        <w:fldChar w:fldCharType="separate"/>
      </w:r>
      <w:r w:rsidR="005E4E5B">
        <w:rPr>
          <w:noProof/>
        </w:rPr>
        <w:t>4</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13</w:t>
      </w:r>
      <w:r>
        <w:rPr>
          <w:noProof/>
        </w:rPr>
        <w:tab/>
      </w:r>
      <w:r>
        <w:rPr>
          <w:noProof/>
        </w:rPr>
        <w:fldChar w:fldCharType="begin"/>
      </w:r>
      <w:r>
        <w:rPr>
          <w:noProof/>
        </w:rPr>
        <w:instrText xml:space="preserve"> PAGEREF _Toc132080917 \h </w:instrText>
      </w:r>
      <w:r>
        <w:rPr>
          <w:noProof/>
        </w:rPr>
      </w:r>
      <w:r>
        <w:rPr>
          <w:noProof/>
        </w:rPr>
        <w:fldChar w:fldCharType="separate"/>
      </w:r>
      <w:r w:rsidR="005E4E5B">
        <w:rPr>
          <w:noProof/>
        </w:rPr>
        <w:t>4</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Artikel 14</w:t>
      </w:r>
      <w:r>
        <w:rPr>
          <w:noProof/>
        </w:rPr>
        <w:tab/>
      </w:r>
      <w:r>
        <w:rPr>
          <w:noProof/>
        </w:rPr>
        <w:fldChar w:fldCharType="begin"/>
      </w:r>
      <w:r>
        <w:rPr>
          <w:noProof/>
        </w:rPr>
        <w:instrText xml:space="preserve"> PAGEREF _Toc132080918 \h </w:instrText>
      </w:r>
      <w:r>
        <w:rPr>
          <w:noProof/>
        </w:rPr>
      </w:r>
      <w:r>
        <w:rPr>
          <w:noProof/>
        </w:rPr>
        <w:fldChar w:fldCharType="separate"/>
      </w:r>
      <w:r w:rsidR="005E4E5B">
        <w:rPr>
          <w:noProof/>
        </w:rPr>
        <w:t>4</w:t>
      </w:r>
      <w:r>
        <w:rPr>
          <w:noProof/>
        </w:rPr>
        <w:fldChar w:fldCharType="end"/>
      </w:r>
    </w:p>
    <w:p w:rsidR="00C55F67" w:rsidRDefault="00C55F67">
      <w:pPr>
        <w:pStyle w:val="Verzeichnis2"/>
        <w:tabs>
          <w:tab w:val="clear" w:pos="9638"/>
          <w:tab w:val="right" w:leader="dot" w:pos="9627"/>
        </w:tabs>
        <w:rPr>
          <w:smallCaps w:val="0"/>
          <w:noProof/>
          <w:sz w:val="24"/>
          <w:szCs w:val="24"/>
        </w:rPr>
      </w:pPr>
      <w:r>
        <w:rPr>
          <w:noProof/>
        </w:rPr>
        <w:t>Anhang Qualitätsanforderungen an Badegewässer</w:t>
      </w:r>
      <w:r>
        <w:rPr>
          <w:noProof/>
        </w:rPr>
        <w:tab/>
      </w:r>
      <w:r>
        <w:rPr>
          <w:noProof/>
        </w:rPr>
        <w:fldChar w:fldCharType="begin"/>
      </w:r>
      <w:r>
        <w:rPr>
          <w:noProof/>
        </w:rPr>
        <w:instrText xml:space="preserve"> PAGEREF _Toc132080919 \h </w:instrText>
      </w:r>
      <w:r>
        <w:rPr>
          <w:noProof/>
        </w:rPr>
      </w:r>
      <w:r>
        <w:rPr>
          <w:noProof/>
        </w:rPr>
        <w:fldChar w:fldCharType="separate"/>
      </w:r>
      <w:r w:rsidR="005E4E5B">
        <w:rPr>
          <w:noProof/>
        </w:rPr>
        <w:t>5</w:t>
      </w:r>
      <w:r>
        <w:rPr>
          <w:noProof/>
        </w:rPr>
        <w:fldChar w:fldCharType="end"/>
      </w:r>
    </w:p>
    <w:p w:rsidR="006F18A5" w:rsidRDefault="00C55F67" w:rsidP="00CC1249">
      <w:pPr>
        <w:pStyle w:val="GesAbsatz"/>
      </w:pPr>
      <w:r>
        <w:fldChar w:fldCharType="end"/>
      </w:r>
    </w:p>
    <w:p w:rsidR="006F18A5" w:rsidRPr="00CC1249" w:rsidRDefault="006F18A5" w:rsidP="00CC1249">
      <w:pPr>
        <w:pStyle w:val="GesAbsatz"/>
        <w:rPr>
          <w:b/>
        </w:rPr>
      </w:pPr>
      <w:r w:rsidRPr="00CC1249">
        <w:rPr>
          <w:b/>
        </w:rPr>
        <w:t>Der Rat der Europäischen Gemeinschaften</w:t>
      </w:r>
    </w:p>
    <w:p w:rsidR="006F18A5" w:rsidRDefault="006F18A5">
      <w:pPr>
        <w:pStyle w:val="GesAbsatz"/>
      </w:pPr>
      <w:r>
        <w:t>gestützt auf den Vertrag zur Gründung der Europäischen Wirtschaftsgemeinschaft, insbesondere auf Artikel 100 und 235,</w:t>
      </w:r>
    </w:p>
    <w:p w:rsidR="006F18A5" w:rsidRDefault="006F18A5">
      <w:pPr>
        <w:pStyle w:val="GesAbsatz"/>
      </w:pPr>
      <w:r>
        <w:t>auf Vorschlag der Kommission,</w:t>
      </w:r>
    </w:p>
    <w:p w:rsidR="006F18A5" w:rsidRDefault="006F18A5">
      <w:pPr>
        <w:pStyle w:val="GesAbsatz"/>
      </w:pPr>
      <w:r>
        <w:t>nach Stellungnahme des Europäischen Parlaments</w:t>
      </w:r>
      <w:r>
        <w:rPr>
          <w:rStyle w:val="Funotenzeichen"/>
        </w:rPr>
        <w:footnoteReference w:id="1"/>
      </w:r>
      <w:r>
        <w:t>,</w:t>
      </w:r>
    </w:p>
    <w:p w:rsidR="006F18A5" w:rsidRDefault="006F18A5">
      <w:pPr>
        <w:pStyle w:val="GesAbsatz"/>
      </w:pPr>
      <w:r>
        <w:t>nach Stellungnahme des Wirtschafts- und Sozialausschusses</w:t>
      </w:r>
      <w:r>
        <w:rPr>
          <w:rStyle w:val="Funotenzeichen"/>
        </w:rPr>
        <w:footnoteReference w:id="2"/>
      </w:r>
      <w:r>
        <w:t>,</w:t>
      </w:r>
    </w:p>
    <w:p w:rsidR="006F18A5" w:rsidRDefault="006F18A5">
      <w:pPr>
        <w:pStyle w:val="GesAbsatz"/>
      </w:pPr>
      <w:r>
        <w:t>in Erwägung nachstehender Gründe:</w:t>
      </w:r>
    </w:p>
    <w:p w:rsidR="006F18A5" w:rsidRDefault="006F18A5">
      <w:pPr>
        <w:pStyle w:val="GesAbsatz"/>
      </w:pPr>
      <w:r>
        <w:t>Zum Schutz der Umwelt und der Volksgesundheit ist es erforderlich, die Verunreinigung der Badegewässer herabzusetzen und sie vor weiterer Qualitätsverminderung zu bewahren.</w:t>
      </w:r>
    </w:p>
    <w:p w:rsidR="006F18A5" w:rsidRDefault="006F18A5">
      <w:pPr>
        <w:pStyle w:val="GesAbsatz"/>
      </w:pPr>
      <w:r>
        <w:t>Eine Überwachung der Badegewässer ist notwendig, um im Rahmen des Gemeinsamen Marktes die Ziele der Gemeinschaft hinsichtlich der Verbesserung der Lebensbedingungen, einer harmonischen Entwicklung des Wirtschaftslebens in der gesamten Gemeinschaft und einer stetigen und ausgewogenen Wirtschaft</w:t>
      </w:r>
      <w:r>
        <w:t>s</w:t>
      </w:r>
      <w:r>
        <w:t>ausweitung zu erreichen.</w:t>
      </w:r>
    </w:p>
    <w:p w:rsidR="006F18A5" w:rsidRDefault="006F18A5">
      <w:pPr>
        <w:pStyle w:val="GesAbsatz"/>
      </w:pPr>
      <w:r>
        <w:t>Es gibt auf diesem Gebiet bestimmte Rechts- und Verwaltungsvorschriften der Mitgliedstaaten, die unmitte</w:t>
      </w:r>
      <w:r>
        <w:t>l</w:t>
      </w:r>
      <w:r>
        <w:t>bare Auswirkung auf das Funktionieren des Gemeinsamen Marktes haben; jedoch sind im Vertrag nicht alle für diesen Bereich erforderlichen Befugnisse vorgesehen.</w:t>
      </w:r>
    </w:p>
    <w:p w:rsidR="006F18A5" w:rsidRDefault="006F18A5">
      <w:pPr>
        <w:pStyle w:val="GesAbsatz"/>
      </w:pPr>
      <w:r>
        <w:t>Das Aktionsprogramm de</w:t>
      </w:r>
      <w:r w:rsidR="00322C21">
        <w:t>r</w:t>
      </w:r>
      <w:r>
        <w:t xml:space="preserve"> Europäischen Gemeinschaften für den Umweltschutz</w:t>
      </w:r>
      <w:r>
        <w:rPr>
          <w:rStyle w:val="Funotenzeichen"/>
        </w:rPr>
        <w:footnoteReference w:id="3"/>
      </w:r>
      <w:r>
        <w:t xml:space="preserve"> sieht die gemeinsame Erarbeitung von Qualitätszielen zur Festlegung der Anforderungen, denen ein Umweltmedium genügen muß, insbesondere die Definition der Parameter für Wasser einschließlich der Badegewässer, vor.</w:t>
      </w:r>
    </w:p>
    <w:p w:rsidR="006F18A5" w:rsidRDefault="006F18A5">
      <w:pPr>
        <w:pStyle w:val="GesAbsatz"/>
      </w:pPr>
      <w:r>
        <w:t>Zur Erreichung dieser Qualitätsziele müssen die Mitgliedstaaten Grenzwerte festlegen, die bestimmten P</w:t>
      </w:r>
      <w:r>
        <w:t>a</w:t>
      </w:r>
      <w:r>
        <w:t>rametern entsprechen. Die Badegewässer müssen diesen Werten binnen zehn Jahren nach der Bekanntg</w:t>
      </w:r>
      <w:r>
        <w:t>a</w:t>
      </w:r>
      <w:r>
        <w:t>be dieser Richtlinie entsprechen.</w:t>
      </w:r>
    </w:p>
    <w:p w:rsidR="006F18A5" w:rsidRDefault="006F18A5">
      <w:pPr>
        <w:pStyle w:val="GesAbsatz"/>
      </w:pPr>
      <w:r>
        <w:lastRenderedPageBreak/>
        <w:t>Es ist vorgesehen, daß die Badegewässer unter bestimmten Umständen als den Werten der sich auf sie beziehenden Parametern entsprechend angesehen werden, auch wenn ein bestimmter Anteil der während der Badesaison entnommenen Proben die im Anhang angegebenen Grenzwerte überschreitet.</w:t>
      </w:r>
    </w:p>
    <w:p w:rsidR="006F18A5" w:rsidRDefault="006F18A5">
      <w:pPr>
        <w:pStyle w:val="GesAbsatz"/>
      </w:pPr>
      <w:r>
        <w:t>Um eine gewisse Geschmeidigkeit bei der Anwendung der Richtlinie zu erzielen, müssen die Mitgliedstaaten die Möglichkeit haben, Ausnahmen vorzusehen. Diese Ausnahmen dürfen indessen die zwingenden Erfo</w:t>
      </w:r>
      <w:r>
        <w:t>r</w:t>
      </w:r>
      <w:r>
        <w:t>dernisse zum Schutz der Volksgesundheit nicht außer acht lassen.</w:t>
      </w:r>
    </w:p>
    <w:p w:rsidR="006F18A5" w:rsidRDefault="006F18A5">
      <w:pPr>
        <w:pStyle w:val="GesAbsatz"/>
      </w:pPr>
      <w:r>
        <w:t>Der technische Fortschritt macht eine rasche Anpassung der im Anhang aufgeführten technischen Vorschri</w:t>
      </w:r>
      <w:r>
        <w:t>f</w:t>
      </w:r>
      <w:r>
        <w:t>ten erforderlich. Um die Durchführung der hierfür erforderlichen Maßnahmen zu erleichtern, muß ein Verfa</w:t>
      </w:r>
      <w:r>
        <w:t>h</w:t>
      </w:r>
      <w:r>
        <w:t>ren eingeführt werden, das im Rahmen eines Ausschusses für die Anpassung an den technischen Fortschritt eine enge Zusammenarbeit zwischen den Mitgliedstaaten und der Kommission vorsieht.</w:t>
      </w:r>
    </w:p>
    <w:p w:rsidR="006F18A5" w:rsidRDefault="006F18A5">
      <w:pPr>
        <w:pStyle w:val="GesAbsatz"/>
      </w:pPr>
      <w:r>
        <w:t>Die Öffentlichkeit interessiert sich in zunehmendem Maße für die Fragen, die mit der Umwelt und der Ve</w:t>
      </w:r>
      <w:r>
        <w:t>r</w:t>
      </w:r>
      <w:r>
        <w:t>besserung der Umweltqualität zusammenhängen. Sie muß daher objektiv über die Qualität der Badegewä</w:t>
      </w:r>
      <w:r>
        <w:t>s</w:t>
      </w:r>
      <w:r w:rsidR="00322C21">
        <w:t>ser unterrichtet werden -</w:t>
      </w:r>
    </w:p>
    <w:p w:rsidR="006F18A5" w:rsidRPr="00CC1249" w:rsidRDefault="006F18A5" w:rsidP="00CC1249">
      <w:pPr>
        <w:pStyle w:val="GesAbsatz"/>
        <w:rPr>
          <w:b/>
          <w:bCs/>
        </w:rPr>
      </w:pPr>
      <w:r w:rsidRPr="00CC1249">
        <w:rPr>
          <w:b/>
          <w:bCs/>
        </w:rPr>
        <w:t>hat folgende Richtlinie erlassen:</w:t>
      </w:r>
    </w:p>
    <w:p w:rsidR="006F18A5" w:rsidRDefault="006F18A5">
      <w:pPr>
        <w:pStyle w:val="berschrift2"/>
      </w:pPr>
      <w:bookmarkStart w:id="5" w:name="_Toc417446043"/>
      <w:bookmarkStart w:id="6" w:name="_Toc467045421"/>
      <w:bookmarkStart w:id="7" w:name="_Toc132080905"/>
      <w:r>
        <w:t>Artikel 1</w:t>
      </w:r>
      <w:bookmarkEnd w:id="5"/>
      <w:bookmarkEnd w:id="6"/>
      <w:bookmarkEnd w:id="7"/>
    </w:p>
    <w:p w:rsidR="006F18A5" w:rsidRDefault="006F18A5" w:rsidP="005E4E5B">
      <w:pPr>
        <w:pStyle w:val="GesAbsatz"/>
      </w:pPr>
      <w:r>
        <w:t>(1) Diese Richtlinie betrifft die Qualitätsanforderungen an Badegewässer mit Ausnahme von Wasser für th</w:t>
      </w:r>
      <w:r>
        <w:t>e</w:t>
      </w:r>
      <w:r>
        <w:t>rapeutische Zwecke und Wasser für Schwimmbecken.</w:t>
      </w:r>
    </w:p>
    <w:p w:rsidR="006F18A5" w:rsidRDefault="006F18A5" w:rsidP="005E4E5B">
      <w:pPr>
        <w:pStyle w:val="GesAbsatz"/>
      </w:pPr>
      <w:r>
        <w:t>(2) Im Sinne dieser Richtlinie versteht man unter:</w:t>
      </w:r>
    </w:p>
    <w:p w:rsidR="006F18A5" w:rsidRDefault="006F18A5" w:rsidP="005E4E5B">
      <w:pPr>
        <w:pStyle w:val="GesAbsatz"/>
        <w:ind w:left="426" w:hanging="426"/>
      </w:pPr>
      <w:r>
        <w:t>a)</w:t>
      </w:r>
      <w:r>
        <w:tab/>
        <w:t>„Badegewässer“ die fließenden oder stehenden Binnengewässer oder Teile dieser Gewässer sowie Meerwasser, in denen das Baden</w:t>
      </w:r>
    </w:p>
    <w:p w:rsidR="006F18A5" w:rsidRDefault="006F18A5" w:rsidP="005E4E5B">
      <w:pPr>
        <w:pStyle w:val="GesAbsatz"/>
        <w:tabs>
          <w:tab w:val="clear" w:pos="425"/>
        </w:tabs>
        <w:ind w:left="851" w:hanging="425"/>
      </w:pPr>
      <w:r>
        <w:t>-</w:t>
      </w:r>
      <w:r>
        <w:tab/>
        <w:t>von den zuständigen Behörden eines jeden Mitgliedstaat</w:t>
      </w:r>
      <w:r w:rsidR="00322C21">
        <w:t>e</w:t>
      </w:r>
      <w:r>
        <w:t>s ausdrücklich gestattet ist oder</w:t>
      </w:r>
    </w:p>
    <w:p w:rsidR="006F18A5" w:rsidRDefault="006F18A5" w:rsidP="005E4E5B">
      <w:pPr>
        <w:pStyle w:val="GesAbsatz"/>
        <w:tabs>
          <w:tab w:val="clear" w:pos="425"/>
        </w:tabs>
        <w:ind w:left="851" w:hanging="425"/>
      </w:pPr>
      <w:r>
        <w:t>-</w:t>
      </w:r>
      <w:r>
        <w:tab/>
        <w:t>nicht untersagt ist und in denen üblicherweise eine große Anzahl von Personen badet;</w:t>
      </w:r>
    </w:p>
    <w:p w:rsidR="006F18A5" w:rsidRDefault="006F18A5" w:rsidP="005E4E5B">
      <w:pPr>
        <w:pStyle w:val="GesAbsatz"/>
        <w:ind w:left="426" w:hanging="426"/>
      </w:pPr>
      <w:r>
        <w:t>b)</w:t>
      </w:r>
      <w:r>
        <w:tab/>
        <w:t xml:space="preserve">„Badegebiet“ die Stelle, an der sich Badegewässer befinden; </w:t>
      </w:r>
    </w:p>
    <w:p w:rsidR="006F18A5" w:rsidRDefault="006F18A5" w:rsidP="005E4E5B">
      <w:pPr>
        <w:pStyle w:val="GesAbsatz"/>
        <w:ind w:left="426" w:hanging="426"/>
      </w:pPr>
      <w:r>
        <w:t>c)</w:t>
      </w:r>
      <w:r>
        <w:tab/>
        <w:t>„Badesaison“ den Zeitraum, in dem unter Berücksichtigung der örtlichen Gepflogenheiten einschließlich der etwaigen örtlichen Badevorschriften sowie der meteorologischen Verhältnisse mit einem starken Zustrom von Badenden gerechnet werden kann.</w:t>
      </w:r>
      <w:bookmarkStart w:id="8" w:name="_Toc417446044"/>
      <w:bookmarkStart w:id="9" w:name="_Toc467045422"/>
      <w:r>
        <w:t xml:space="preserve"> </w:t>
      </w:r>
    </w:p>
    <w:p w:rsidR="006F18A5" w:rsidRDefault="006F18A5">
      <w:pPr>
        <w:pStyle w:val="berschrift2"/>
      </w:pPr>
      <w:bookmarkStart w:id="10" w:name="_Toc132080906"/>
      <w:r>
        <w:t>Artikel 2</w:t>
      </w:r>
      <w:bookmarkEnd w:id="8"/>
      <w:bookmarkEnd w:id="9"/>
      <w:bookmarkEnd w:id="10"/>
    </w:p>
    <w:p w:rsidR="006F18A5" w:rsidRDefault="006F18A5">
      <w:pPr>
        <w:pStyle w:val="GesAbsatz"/>
      </w:pPr>
      <w:r>
        <w:t>Die auf Badegewässer anwendbaren chemisch-physikalischen und mikrobiologischen Parameter sind im Anhang, der Bestandteil dieser Richtlinie ist, aufgeführt.</w:t>
      </w:r>
    </w:p>
    <w:p w:rsidR="006F18A5" w:rsidRDefault="006F18A5">
      <w:pPr>
        <w:pStyle w:val="berschrift2"/>
      </w:pPr>
      <w:bookmarkStart w:id="11" w:name="_Toc417446045"/>
      <w:bookmarkStart w:id="12" w:name="_Toc467045423"/>
      <w:bookmarkStart w:id="13" w:name="_Toc132080907"/>
      <w:r>
        <w:t>Artikel 3</w:t>
      </w:r>
      <w:bookmarkEnd w:id="11"/>
      <w:bookmarkEnd w:id="12"/>
      <w:bookmarkEnd w:id="13"/>
    </w:p>
    <w:p w:rsidR="006F18A5" w:rsidRDefault="006F18A5">
      <w:pPr>
        <w:pStyle w:val="GesAbsatz"/>
      </w:pPr>
      <w:r>
        <w:t>(1) Die Mitgliedstaaten legen für alle Badegebiete oder für jedes einzelne Badegebiet die auf Badegewässer anwendbaren Werte für die im Anhang aufgeführten Parameter fest.</w:t>
      </w:r>
    </w:p>
    <w:p w:rsidR="006F18A5" w:rsidRDefault="006F18A5">
      <w:pPr>
        <w:pStyle w:val="GesAbsatz"/>
      </w:pPr>
      <w:r>
        <w:t>Bei den Parametern, für die keine Werte im Anhang angegeben sind, brauchen die Mitgliedstaaten keine Werte nach Unterabsatz 1 festzusetzen, solange die Zahlen noch nicht festgelegt sind.</w:t>
      </w:r>
    </w:p>
    <w:p w:rsidR="006F18A5" w:rsidRDefault="006F18A5">
      <w:pPr>
        <w:pStyle w:val="GesAbsatz"/>
      </w:pPr>
      <w:r>
        <w:t>(2) Die nach Absatz 1 festgelegten Werte dürfen nicht weniger streng sein als die in Spalte 1 des Anhangs angegebenen Werte.</w:t>
      </w:r>
    </w:p>
    <w:p w:rsidR="006F18A5" w:rsidRDefault="006F18A5">
      <w:pPr>
        <w:pStyle w:val="GesAbsatz"/>
      </w:pPr>
      <w:r>
        <w:t>(3) Sind in Spalte G des Anhangs Werte mit oder ohne entsprechenden Wert in Spalte I desselben Anhangs aufgeführt, so bemühen sich die Mitgliedstaaten, sie vorbehaltlich des Artikels 7 als Leitwerte einzuhalten.</w:t>
      </w:r>
    </w:p>
    <w:p w:rsidR="006F18A5" w:rsidRDefault="006F18A5">
      <w:pPr>
        <w:pStyle w:val="berschrift2"/>
      </w:pPr>
      <w:bookmarkStart w:id="14" w:name="_Toc417446046"/>
      <w:bookmarkStart w:id="15" w:name="_Toc467045424"/>
      <w:bookmarkStart w:id="16" w:name="_Toc132080908"/>
      <w:r>
        <w:t>Artikel 4</w:t>
      </w:r>
      <w:bookmarkEnd w:id="14"/>
      <w:bookmarkEnd w:id="15"/>
      <w:bookmarkEnd w:id="16"/>
    </w:p>
    <w:p w:rsidR="006F18A5" w:rsidRDefault="006F18A5">
      <w:pPr>
        <w:pStyle w:val="GesAbsatz"/>
      </w:pPr>
      <w:r>
        <w:t>(1) Die Mitgliedstaaten treffen die notwendigen Maßnahmen, um sicherzustellen, daß die Qualität der Bad</w:t>
      </w:r>
      <w:r>
        <w:t>e</w:t>
      </w:r>
      <w:r>
        <w:t>gewässer binnen zehn Jahren nach Bekanntgabe dieser Richtlinie den gemäß Artikel 3 festgelegten Gren</w:t>
      </w:r>
      <w:r>
        <w:t>z</w:t>
      </w:r>
      <w:r>
        <w:t>werten entspricht.</w:t>
      </w:r>
    </w:p>
    <w:p w:rsidR="006F18A5" w:rsidRDefault="006F18A5">
      <w:pPr>
        <w:pStyle w:val="GesAbsatz"/>
      </w:pPr>
      <w:r>
        <w:t>(2) Die Mitgliedstaaten sorgen dafür, daß in den Badegebieten, die die zuständigen Behörden der Mitglie</w:t>
      </w:r>
      <w:r>
        <w:t>d</w:t>
      </w:r>
      <w:r>
        <w:t>staaten nach der Bekanntgabe dieser Richtlinie schaffen und die speziell zum Baden eingerichtet werden, die im Anhang vorgesehenen Werte I mit dem Beginn des Badebetriebs eingehalten werden. Jedoch bra</w:t>
      </w:r>
      <w:r>
        <w:t>u</w:t>
      </w:r>
      <w:r>
        <w:t>chen in den innerhalb von zwei Jahren nach der Bekanntgabe dieser Richtlinie geschaffenen Badegebieten diese Werte erst zum Ende dieses Zeitraums eingehalten werden.</w:t>
      </w:r>
    </w:p>
    <w:p w:rsidR="006F18A5" w:rsidRDefault="006F18A5">
      <w:pPr>
        <w:pStyle w:val="GesAbsatz"/>
      </w:pPr>
      <w:r>
        <w:t xml:space="preserve">(3) In Ausnahmefällen können die Mitgliedstaaten Abweichungen von der in Absatz 1 vorgesehenen Frist von zehn Jahren zulassen. Die Begründung einer solchen Ausnahme muß der Kommission an Hand eines </w:t>
      </w:r>
      <w:r>
        <w:lastRenderedPageBreak/>
        <w:t>Plans zur Bewirtschaftung der Gewässer in dem betreffenden Gebiet innerhalb kürzester Zeit, spätestens jedoch binnen sechs Jahren nach Bekanntgabe dieser Richtlinie, mitgeteilt werden. Die Kommission prüft diese Begründung eingehend und unterbreitet gegebenenfalls dem Rat entsprechende Vorschläge.</w:t>
      </w:r>
    </w:p>
    <w:p w:rsidR="006F18A5" w:rsidRDefault="006F18A5">
      <w:pPr>
        <w:pStyle w:val="GesAbsatz"/>
      </w:pPr>
      <w:r>
        <w:t>(4) Bei den grenznahen Meeresgewässern und den grenzüberschreitenden Gewässern, die die Qualität der Badegewässer eines anderen Mitgliedstaats beeinflussen, werden die für die Badegebiete aus den gemei</w:t>
      </w:r>
      <w:r>
        <w:t>n</w:t>
      </w:r>
      <w:r>
        <w:t>samen Qualitätszielen zu ziehenden Folgerungen nach gegenseitiger Abstimmung durch die Anrainersta</w:t>
      </w:r>
      <w:r>
        <w:t>a</w:t>
      </w:r>
      <w:r>
        <w:t>ten festgelegt.</w:t>
      </w:r>
    </w:p>
    <w:p w:rsidR="006F18A5" w:rsidRDefault="006F18A5">
      <w:pPr>
        <w:pStyle w:val="GesAbsatz"/>
      </w:pPr>
      <w:r>
        <w:t>Die Kommission kann sich an dieser gegenseitigen Abstimmung beteiligen.</w:t>
      </w:r>
    </w:p>
    <w:p w:rsidR="006F18A5" w:rsidRDefault="006F18A5">
      <w:pPr>
        <w:pStyle w:val="berschrift2"/>
      </w:pPr>
      <w:bookmarkStart w:id="17" w:name="_Toc417446047"/>
      <w:bookmarkStart w:id="18" w:name="_Toc467045425"/>
      <w:bookmarkStart w:id="19" w:name="_Toc132080909"/>
      <w:r>
        <w:t>Artikel 5</w:t>
      </w:r>
      <w:bookmarkEnd w:id="17"/>
      <w:bookmarkEnd w:id="18"/>
      <w:bookmarkEnd w:id="19"/>
    </w:p>
    <w:p w:rsidR="006F18A5" w:rsidRDefault="006F18A5">
      <w:pPr>
        <w:pStyle w:val="GesAbsatz"/>
      </w:pPr>
      <w:r>
        <w:t>(1) Im Rahmen der Anwendung des Artikels 4 werden die Badegewässer als den betreffenden Parametern entsprechend angesehen, wenn die gemäß der im Anhang vorgesehenen Häufigkeit an derselben Schöp</w:t>
      </w:r>
      <w:r>
        <w:t>f</w:t>
      </w:r>
      <w:r>
        <w:t>stelle vorgenommenen Probenahmen erweisen, daß sie den Werten der Parameter für die betreffende Wa</w:t>
      </w:r>
      <w:r>
        <w:t>s</w:t>
      </w:r>
      <w:r>
        <w:t>serqualität</w:t>
      </w:r>
    </w:p>
    <w:p w:rsidR="006F18A5" w:rsidRDefault="00B37E8C" w:rsidP="00B37E8C">
      <w:pPr>
        <w:pStyle w:val="GesAbsatz"/>
        <w:tabs>
          <w:tab w:val="clear" w:pos="425"/>
        </w:tabs>
        <w:ind w:left="426" w:hanging="426"/>
      </w:pPr>
      <w:r>
        <w:t>-</w:t>
      </w:r>
      <w:r>
        <w:tab/>
      </w:r>
      <w:r w:rsidR="00322C21">
        <w:t>b</w:t>
      </w:r>
      <w:r w:rsidR="006F18A5">
        <w:t>ei 95 % der Proben im Falle der Parameter, die mit den in Spalte 1 des Anhangs angegebenen Par</w:t>
      </w:r>
      <w:r w:rsidR="006F18A5">
        <w:t>a</w:t>
      </w:r>
      <w:r w:rsidR="006F18A5">
        <w:t>metern übereinstimmen,</w:t>
      </w:r>
    </w:p>
    <w:p w:rsidR="006F18A5" w:rsidRDefault="00B37E8C" w:rsidP="00B37E8C">
      <w:pPr>
        <w:pStyle w:val="GesAbsatz"/>
        <w:tabs>
          <w:tab w:val="clear" w:pos="425"/>
        </w:tabs>
        <w:ind w:left="426" w:hanging="426"/>
      </w:pPr>
      <w:r>
        <w:t>-</w:t>
      </w:r>
      <w:r>
        <w:tab/>
      </w:r>
      <w:r w:rsidR="006F18A5">
        <w:t>bei 90 % der Proben in allen anderen Fällen, mit Ausnahmen der Parameter „Gesamtcoliforme Bakt</w:t>
      </w:r>
      <w:r w:rsidR="006F18A5">
        <w:t>e</w:t>
      </w:r>
      <w:r w:rsidR="006F18A5">
        <w:t xml:space="preserve">rien“ und „Faekalcoliforme Bakterien“, bei denen der Prozentsatz der Probenahmen 80 % betragen kann, </w:t>
      </w:r>
    </w:p>
    <w:p w:rsidR="006F18A5" w:rsidRDefault="006F18A5">
      <w:pPr>
        <w:pStyle w:val="GesAbsatz"/>
      </w:pPr>
      <w:r>
        <w:t>entsprechen, und wenn bei den 5 %, 10 % bzw. 20 % der Proben, die diesen nicht entsprechen,</w:t>
      </w:r>
    </w:p>
    <w:p w:rsidR="006F18A5" w:rsidRDefault="00B37E8C" w:rsidP="00B37E8C">
      <w:pPr>
        <w:pStyle w:val="GesAbsatz"/>
        <w:tabs>
          <w:tab w:val="clear" w:pos="425"/>
        </w:tabs>
        <w:ind w:left="426" w:hanging="426"/>
      </w:pPr>
      <w:r>
        <w:t>-</w:t>
      </w:r>
      <w:r>
        <w:tab/>
      </w:r>
      <w:r w:rsidR="006F18A5">
        <w:t>die Meßwerte nicht mehr als 50 % vom Wert der betreffenden Parameter abweichen, mit Ausnahme der mikrobiologischen Parameter, des pH-Wertes und des gelösten Sauerstoffs;</w:t>
      </w:r>
    </w:p>
    <w:p w:rsidR="006F18A5" w:rsidRDefault="00B37E8C" w:rsidP="00B37E8C">
      <w:pPr>
        <w:pStyle w:val="GesAbsatz"/>
        <w:tabs>
          <w:tab w:val="clear" w:pos="425"/>
        </w:tabs>
        <w:ind w:left="426" w:hanging="426"/>
      </w:pPr>
      <w:r>
        <w:t>-</w:t>
      </w:r>
      <w:r>
        <w:tab/>
      </w:r>
      <w:r w:rsidR="006F18A5">
        <w:t>aufeinanderfolgende Wasserproben, die in statistisch brauchbarer Zeitfolge entnommen werden, nicht von den betreffenden Parametern abweichen.</w:t>
      </w:r>
    </w:p>
    <w:p w:rsidR="006F18A5" w:rsidRDefault="006F18A5">
      <w:pPr>
        <w:pStyle w:val="GesAbsatz"/>
      </w:pPr>
      <w:r>
        <w:t>(2) Überschreitungen der in Artikel 3 vorgesehenen Werte bleiben für die in Absatz 1 genannten Prozentsä</w:t>
      </w:r>
      <w:r>
        <w:t>t</w:t>
      </w:r>
      <w:r>
        <w:t>ze unberücksichtigt, sofern sie als Folge von Überschwemmungen, Naturkatastrophen oder außergewöhnl</w:t>
      </w:r>
      <w:r>
        <w:t>i</w:t>
      </w:r>
      <w:r>
        <w:t>chen Witterungsbedingungen auftreten.</w:t>
      </w:r>
    </w:p>
    <w:p w:rsidR="006F18A5" w:rsidRDefault="006F18A5">
      <w:pPr>
        <w:pStyle w:val="berschrift2"/>
      </w:pPr>
      <w:bookmarkStart w:id="20" w:name="_Toc417446048"/>
      <w:bookmarkStart w:id="21" w:name="_Toc467045426"/>
      <w:bookmarkStart w:id="22" w:name="_Toc132080910"/>
      <w:r>
        <w:t>Artikel 6</w:t>
      </w:r>
      <w:bookmarkEnd w:id="20"/>
      <w:bookmarkEnd w:id="21"/>
      <w:bookmarkEnd w:id="22"/>
    </w:p>
    <w:p w:rsidR="006F18A5" w:rsidRDefault="006F18A5">
      <w:pPr>
        <w:pStyle w:val="GesAbsatz"/>
      </w:pPr>
      <w:r>
        <w:t>(1) Die zuständigen Behörden der Mitgliedstaaten führen die Probenahmen durch, deren Mindesthäufigkeit im Anhang festgelegt wird.</w:t>
      </w:r>
    </w:p>
    <w:p w:rsidR="006F18A5" w:rsidRDefault="006F18A5">
      <w:pPr>
        <w:pStyle w:val="GesAbsatz"/>
      </w:pPr>
      <w:r>
        <w:t>(2) Proben werden an den Stellen entnommen, wo durchschnittlich der stärkste tägliche Badebetrieb herrscht. Sie werden vorzugsweise 30 cm unter der Wasseroberfläche entnommen; dies gilt jedoch nicht für Mineralölproben, die an der Wasseroberfläche entnommen werden. Die Probenahme beginnt zwei Wochen vor Anfang der Badesaison.</w:t>
      </w:r>
    </w:p>
    <w:p w:rsidR="006F18A5" w:rsidRDefault="006F18A5">
      <w:pPr>
        <w:pStyle w:val="GesAbsatz"/>
      </w:pPr>
      <w:r>
        <w:t>(3) Bei fließenden Gewässern werden die Bedingungen stromaufwärts, bei stehenden Binnengewässern oder Meeresgewässern die Bedingungen in der Nachbarschaft in regelmäßigen Zeitabständen an Ort und Stelle genau untersucht, um die geographischen und topographischen Gegebenheiten, den Umfang und die Art aller verunreinigenden und möglicherweise verunreinigenden eingeleiteten und eingebrachten Stoffe und ihre Bedeutung im Verhältnis zur Entfernung von dem Badegebiet festzustellen.</w:t>
      </w:r>
    </w:p>
    <w:p w:rsidR="006F18A5" w:rsidRDefault="006F18A5">
      <w:pPr>
        <w:pStyle w:val="GesAbsatz"/>
      </w:pPr>
      <w:r>
        <w:t>(4) Ergibt eine Prüfung durch eine zuständige Behörde oder eine Probenahme und Probenanalyse, daß ein Einleiten und Einbringen von Stoffen, durch die die Qualität des Badewassers herabgesetzt werden kann, vorliegt bzw. zu vermuten ist, so werden zusätzliche Probenahmen durchgeführt. Zusätzliche Probenahmen werden auch dann durchgeführt, wenn ein Rückgang der Wasserqualität anderweitig vermutet wird.</w:t>
      </w:r>
    </w:p>
    <w:p w:rsidR="006F18A5" w:rsidRDefault="006F18A5">
      <w:pPr>
        <w:pStyle w:val="GesAbsatz"/>
      </w:pPr>
      <w:r>
        <w:t>(5) Die Analyseverfahren (Referenzmethoden) für die betreffenden Parameter sind im Anhang angegeben. Laboratorien, die andere Verfahren verwenden, müssen sich vergewissern, daß die Ergebnisse den im A</w:t>
      </w:r>
      <w:r>
        <w:t>n</w:t>
      </w:r>
      <w:r>
        <w:t>hang angegebenen Ergebnissen gleichwertig oder mit ihnen vergleichbar sind.</w:t>
      </w:r>
    </w:p>
    <w:p w:rsidR="006F18A5" w:rsidRDefault="006F18A5">
      <w:pPr>
        <w:pStyle w:val="berschrift2"/>
      </w:pPr>
      <w:bookmarkStart w:id="23" w:name="_Toc417446049"/>
      <w:bookmarkStart w:id="24" w:name="_Toc467045427"/>
      <w:bookmarkStart w:id="25" w:name="_Toc132080911"/>
      <w:r>
        <w:t>Artikel 7</w:t>
      </w:r>
      <w:bookmarkEnd w:id="23"/>
      <w:bookmarkEnd w:id="24"/>
      <w:bookmarkEnd w:id="25"/>
    </w:p>
    <w:p w:rsidR="006F18A5" w:rsidRDefault="006F18A5">
      <w:pPr>
        <w:pStyle w:val="GesAbsatz"/>
      </w:pPr>
      <w:r>
        <w:t>(1) Die Anwendung der auf Grund dieser Richtlinie getroffenen Maßnahmen darf weder unmittelbar noch mittelbar eine Verschlechterung des derzeitigen Gütezustands der Badegewässer bewirken.</w:t>
      </w:r>
    </w:p>
    <w:p w:rsidR="006F18A5" w:rsidRDefault="006F18A5">
      <w:pPr>
        <w:pStyle w:val="GesAbsatz"/>
      </w:pPr>
      <w:r>
        <w:t>(2) Es steht den Mitgliedstaaten jederzeit frei, für die Badegewässer strengere Werte festzulegen, als sie in dieser Richtlinie vorgesehen sind.</w:t>
      </w:r>
    </w:p>
    <w:p w:rsidR="006F18A5" w:rsidRDefault="006F18A5">
      <w:pPr>
        <w:pStyle w:val="berschrift2"/>
      </w:pPr>
      <w:bookmarkStart w:id="26" w:name="_Toc417446050"/>
      <w:bookmarkStart w:id="27" w:name="_Toc467045428"/>
      <w:bookmarkStart w:id="28" w:name="_Toc132080912"/>
      <w:r>
        <w:lastRenderedPageBreak/>
        <w:t>Artikel 8</w:t>
      </w:r>
      <w:bookmarkEnd w:id="26"/>
      <w:bookmarkEnd w:id="27"/>
      <w:bookmarkEnd w:id="28"/>
    </w:p>
    <w:p w:rsidR="006F18A5" w:rsidRDefault="006F18A5">
      <w:pPr>
        <w:pStyle w:val="GesAbsatz"/>
      </w:pPr>
      <w:r>
        <w:t>Abweichungen von dieser Richtlinie sind zulässig:</w:t>
      </w:r>
    </w:p>
    <w:p w:rsidR="006F18A5" w:rsidRDefault="00B37E8C" w:rsidP="00B37E8C">
      <w:pPr>
        <w:pStyle w:val="GesAbsatz"/>
        <w:tabs>
          <w:tab w:val="clear" w:pos="425"/>
        </w:tabs>
        <w:ind w:left="426" w:hanging="426"/>
      </w:pPr>
      <w:r>
        <w:t>a)</w:t>
      </w:r>
      <w:r>
        <w:tab/>
      </w:r>
      <w:r w:rsidR="006F18A5">
        <w:t>bei bestimmten Parametern, die im Anhang mit (0) gekennzeichnet sind, wenn außergewöhnliche m</w:t>
      </w:r>
      <w:r w:rsidR="006F18A5">
        <w:t>e</w:t>
      </w:r>
      <w:r w:rsidR="006F18A5">
        <w:t>teorologische oder geographische Verhältnisse vorliegen;</w:t>
      </w:r>
    </w:p>
    <w:p w:rsidR="006F18A5" w:rsidRDefault="00B37E8C" w:rsidP="00B37E8C">
      <w:pPr>
        <w:pStyle w:val="GesAbsatz"/>
        <w:tabs>
          <w:tab w:val="clear" w:pos="425"/>
        </w:tabs>
        <w:ind w:left="426" w:hanging="426"/>
      </w:pPr>
      <w:r>
        <w:t>b)</w:t>
      </w:r>
      <w:r>
        <w:tab/>
      </w:r>
      <w:r w:rsidR="006F18A5">
        <w:t>wenn die Badegewässer eine natürliche Anreicherung mit bestimmten Stoffen über die im Anhang fes</w:t>
      </w:r>
      <w:r w:rsidR="006F18A5">
        <w:t>t</w:t>
      </w:r>
      <w:r w:rsidR="006F18A5">
        <w:t>gelegten Grenzwerte hinaus erfahren.</w:t>
      </w:r>
    </w:p>
    <w:p w:rsidR="006F18A5" w:rsidRDefault="006F18A5">
      <w:pPr>
        <w:pStyle w:val="GesAbsatz"/>
      </w:pPr>
      <w:r>
        <w:t>Unter natürlicher Anreicherung ist der Prozeß zu verstehen, durch den ein bestimmtes Wasservolumen ohne Eingriff des Menschen gewisse im Boden enthaltene Stoffe aufnimmt.</w:t>
      </w:r>
    </w:p>
    <w:p w:rsidR="006F18A5" w:rsidRDefault="006F18A5">
      <w:pPr>
        <w:pStyle w:val="GesAbsatz"/>
      </w:pPr>
      <w:r>
        <w:t>Abweichungen gemäß diesem Artikel entbinden in keinem Fall von den zwingenden Erfordernissen zum Schutz der Volksgesundheit.</w:t>
      </w:r>
    </w:p>
    <w:p w:rsidR="006F18A5" w:rsidRDefault="006F18A5">
      <w:pPr>
        <w:pStyle w:val="GesAbsatz"/>
      </w:pPr>
      <w:r>
        <w:t>Nimmt ein Mitgliedstaat eine Abweichung vor, so teilt er der Kommission dies unverzüglich unter Angabe der Gründe und der Dauer mit.</w:t>
      </w:r>
    </w:p>
    <w:p w:rsidR="006F18A5" w:rsidRDefault="006F18A5">
      <w:pPr>
        <w:pStyle w:val="berschrift2"/>
      </w:pPr>
      <w:bookmarkStart w:id="29" w:name="_Toc417446051"/>
      <w:bookmarkStart w:id="30" w:name="_Toc467045429"/>
      <w:bookmarkStart w:id="31" w:name="_Toc132080913"/>
      <w:r>
        <w:t>Artikel 9</w:t>
      </w:r>
      <w:bookmarkEnd w:id="29"/>
      <w:bookmarkEnd w:id="30"/>
      <w:bookmarkEnd w:id="31"/>
    </w:p>
    <w:p w:rsidR="0087219D" w:rsidRDefault="0087219D" w:rsidP="0087219D">
      <w:pPr>
        <w:pStyle w:val="GesAbsatz"/>
      </w:pPr>
      <w:r>
        <w:t>Die Kommission erlässt die Änderungen, die zur Anpassung der im Anhang dieser Richtlinie enthaltenen Parameterwerte G und I sowie der Analyseverfahren an den technischen Fortschritt notwendig sind.</w:t>
      </w:r>
    </w:p>
    <w:p w:rsidR="006F18A5" w:rsidRDefault="0087219D" w:rsidP="0087219D">
      <w:pPr>
        <w:pStyle w:val="GesAbsatz"/>
      </w:pPr>
      <w:r>
        <w:t>Diese Maßnahmen zur Änderung nicht wesentlicher Bestimmungen dieser Richtlinie werden nach dem in Artikel 11 Absatz 2 genannten Regelungsverfahren mit Kontrolle erlassen.“</w:t>
      </w:r>
    </w:p>
    <w:p w:rsidR="006F18A5" w:rsidRDefault="006F18A5">
      <w:pPr>
        <w:pStyle w:val="berschrift2"/>
      </w:pPr>
      <w:bookmarkStart w:id="32" w:name="_Toc417446052"/>
      <w:bookmarkStart w:id="33" w:name="_Toc467045430"/>
      <w:bookmarkStart w:id="34" w:name="_Toc132080914"/>
      <w:r>
        <w:t>Artikel 10</w:t>
      </w:r>
      <w:bookmarkEnd w:id="32"/>
      <w:bookmarkEnd w:id="33"/>
      <w:bookmarkEnd w:id="34"/>
    </w:p>
    <w:p w:rsidR="00AB4261" w:rsidRPr="00AB4261" w:rsidRDefault="00AB4261" w:rsidP="00AB4261">
      <w:pPr>
        <w:pStyle w:val="GesAbsatz"/>
      </w:pPr>
      <w:bookmarkStart w:id="35" w:name="_Toc417446053"/>
      <w:bookmarkStart w:id="36" w:name="_Toc467045431"/>
      <w:r w:rsidRPr="00AB4261">
        <w:t xml:space="preserve">(1) Es wird ein Ausschuß für die Anpassung an den technischen Fortschritt eingesetzt, im folgenden </w:t>
      </w:r>
      <w:r w:rsidR="001F23F9">
        <w:t>„</w:t>
      </w:r>
      <w:r w:rsidRPr="00AB4261">
        <w:t>der Ausschuß" genannt, der sich aus Vertretern der Mitgliedstaaten zusammensetzt und in dem ein Vertreter de</w:t>
      </w:r>
      <w:r>
        <w:t>r Kommission den Vorsitz führt.</w:t>
      </w:r>
    </w:p>
    <w:p w:rsidR="00AB4261" w:rsidRDefault="00AB4261" w:rsidP="00AB4261">
      <w:pPr>
        <w:pStyle w:val="GesAbsatz"/>
      </w:pPr>
      <w:r w:rsidRPr="00AB4261">
        <w:t>(2) gestriche</w:t>
      </w:r>
      <w:r>
        <w:t>n</w:t>
      </w:r>
    </w:p>
    <w:p w:rsidR="00AB4261" w:rsidRDefault="00AB4261" w:rsidP="00AB4261">
      <w:pPr>
        <w:pStyle w:val="berschrift2"/>
      </w:pPr>
      <w:bookmarkStart w:id="37" w:name="_Toc132080915"/>
      <w:r>
        <w:t>Artikel 11</w:t>
      </w:r>
      <w:bookmarkEnd w:id="37"/>
    </w:p>
    <w:p w:rsidR="00AB4261" w:rsidRPr="00AB4261" w:rsidRDefault="00AB4261" w:rsidP="00AB4261">
      <w:pPr>
        <w:pStyle w:val="GesAbsatz"/>
      </w:pPr>
      <w:r w:rsidRPr="00AB4261">
        <w:t>(1) Die Kommission wird von dem Ausschu</w:t>
      </w:r>
      <w:r>
        <w:t>ß</w:t>
      </w:r>
      <w:r w:rsidRPr="00AB4261">
        <w:t xml:space="preserve"> zur Anpassung an den technischen Fortschritt unter</w:t>
      </w:r>
      <w:r>
        <w:t>stützt.</w:t>
      </w:r>
    </w:p>
    <w:p w:rsidR="00AB4261" w:rsidRPr="00AB4261" w:rsidRDefault="00AB4261" w:rsidP="0087219D">
      <w:pPr>
        <w:pStyle w:val="GesAbsatz"/>
      </w:pPr>
      <w:r w:rsidRPr="00AB4261">
        <w:t>(2)</w:t>
      </w:r>
      <w:r w:rsidR="0087219D" w:rsidRPr="0087219D">
        <w:t xml:space="preserve"> </w:t>
      </w:r>
      <w:r w:rsidR="0087219D">
        <w:t>Wird auf diesen Absatz Bezug genommen, so gelten Artikel 5a Absätze 1 bis 4 und Artikel 7 des B</w:t>
      </w:r>
      <w:r w:rsidR="0087219D">
        <w:t>e</w:t>
      </w:r>
      <w:r w:rsidR="0087219D">
        <w:t>schlusses 1999/468/EG unter Beachtung von dessen Artikel 8.“</w:t>
      </w:r>
    </w:p>
    <w:p w:rsidR="006F18A5" w:rsidRDefault="006F18A5">
      <w:pPr>
        <w:pStyle w:val="berschrift2"/>
      </w:pPr>
      <w:bookmarkStart w:id="38" w:name="_Toc132080916"/>
      <w:r>
        <w:t>Artikel 12</w:t>
      </w:r>
      <w:bookmarkEnd w:id="35"/>
      <w:bookmarkEnd w:id="36"/>
      <w:bookmarkEnd w:id="38"/>
    </w:p>
    <w:p w:rsidR="006F18A5" w:rsidRDefault="006F18A5">
      <w:pPr>
        <w:pStyle w:val="GesAbsatz"/>
      </w:pPr>
      <w:r>
        <w:t>(1) Die Mitgliedstaaten setzen die erforderlichen Rechts- und Verwaltungsvorschriften in Kraft, um dieser Richtlinie binnen zwei Jahren nach ihrer Bekanntgabe nachzukommen. Sie setzen die Kommission hiervon unverzüglich in Kenntnis.</w:t>
      </w:r>
    </w:p>
    <w:p w:rsidR="006F18A5" w:rsidRDefault="006F18A5">
      <w:pPr>
        <w:pStyle w:val="GesAbsatz"/>
      </w:pPr>
      <w:r>
        <w:t>(2) Die Mitgliedstaaten übermitteln der Kommission den Wortlaut der wichtigsten innerstaatlichen Rechtsvo</w:t>
      </w:r>
      <w:r>
        <w:t>r</w:t>
      </w:r>
      <w:r>
        <w:t>schriften, die sie auf dem unter diese Richtlinie fallenden Gebiet erlassen.</w:t>
      </w:r>
    </w:p>
    <w:p w:rsidR="006F18A5" w:rsidRDefault="006F18A5">
      <w:pPr>
        <w:pStyle w:val="berschrift2"/>
      </w:pPr>
      <w:bookmarkStart w:id="39" w:name="_Toc417446054"/>
      <w:bookmarkStart w:id="40" w:name="_Toc467045432"/>
      <w:bookmarkStart w:id="41" w:name="_Toc132080917"/>
      <w:r>
        <w:t>Artikel 13</w:t>
      </w:r>
      <w:bookmarkEnd w:id="39"/>
      <w:bookmarkEnd w:id="40"/>
      <w:bookmarkEnd w:id="41"/>
    </w:p>
    <w:p w:rsidR="001F23F9" w:rsidRDefault="00AB4261">
      <w:pPr>
        <w:pStyle w:val="GesAbsatz"/>
      </w:pPr>
      <w:r w:rsidRPr="00AB4261">
        <w:t>Die Mitgliedstaaten übermitteln der Kommission jedes Jahr und erstmals am 31. Dezember 1993 einen B</w:t>
      </w:r>
      <w:r w:rsidRPr="00AB4261">
        <w:t>e</w:t>
      </w:r>
      <w:r w:rsidRPr="00AB4261">
        <w:t>richt über die Durchführung dieser Richtlinie im laufenden Jahr. Dieser Bericht ist anhand eines von der Kommission nach dem Verfahren des Artikels 6 der Richtlinie 91/692/EWG</w:t>
      </w:r>
      <w:r w:rsidR="001F23F9">
        <w:rPr>
          <w:rStyle w:val="Funotenzeichen"/>
        </w:rPr>
        <w:footnoteReference w:id="4"/>
      </w:r>
      <w:r w:rsidRPr="00AB4261">
        <w:t xml:space="preserve"> ausgearbeiteten Fragebogens oder Schemas zu erstellen. Der Fragebogen bzw. das Schema wird den Mitgliedstaaten sechs Monate vor Beginn des Berichtszeitraums übersandt. Der Bericht ist bei der Kommission vor Ablauf des betreffenden Jahres einzureichen. </w:t>
      </w:r>
    </w:p>
    <w:p w:rsidR="006F18A5" w:rsidRPr="00AB4261" w:rsidRDefault="00AB4261">
      <w:pPr>
        <w:pStyle w:val="GesAbsatz"/>
      </w:pPr>
      <w:r w:rsidRPr="00AB4261">
        <w:t>Die Kommission veröffentlicht innerhalb von vier Monaten nach Erhalt der einzelstaatlichen Berichte einen Gemeinschaftsbericht über die Durchführung dieser Richtlinie.</w:t>
      </w:r>
    </w:p>
    <w:p w:rsidR="006F18A5" w:rsidRDefault="006F18A5">
      <w:pPr>
        <w:pStyle w:val="berschrift2"/>
      </w:pPr>
      <w:bookmarkStart w:id="42" w:name="_Toc417446055"/>
      <w:bookmarkStart w:id="43" w:name="_Toc467045433"/>
      <w:bookmarkStart w:id="44" w:name="_Toc132080918"/>
      <w:r>
        <w:t>Artikel 14</w:t>
      </w:r>
      <w:bookmarkEnd w:id="42"/>
      <w:bookmarkEnd w:id="43"/>
      <w:bookmarkEnd w:id="44"/>
    </w:p>
    <w:p w:rsidR="006F18A5" w:rsidRDefault="006F18A5" w:rsidP="00CC1249">
      <w:pPr>
        <w:pStyle w:val="GesAbsatz"/>
      </w:pPr>
      <w:r>
        <w:t>Diese Richtlinie ist an die Mitgliedstaaten gerichtet.</w:t>
      </w:r>
    </w:p>
    <w:p w:rsidR="006F18A5" w:rsidRDefault="00BC0846">
      <w:pPr>
        <w:pStyle w:val="berschrift2"/>
        <w:jc w:val="left"/>
      </w:pPr>
      <w:bookmarkStart w:id="45" w:name="_Toc417446056"/>
      <w:bookmarkStart w:id="46" w:name="_Toc467045434"/>
      <w:r>
        <w:br w:type="page"/>
      </w:r>
      <w:bookmarkStart w:id="47" w:name="_Toc132080919"/>
      <w:r w:rsidR="006F18A5">
        <w:lastRenderedPageBreak/>
        <w:t>Anhang</w:t>
      </w:r>
      <w:bookmarkStart w:id="48" w:name="_Toc417446057"/>
      <w:bookmarkEnd w:id="45"/>
      <w:r>
        <w:br/>
      </w:r>
      <w:r w:rsidR="006F18A5">
        <w:t>Qualitätsanforderungen an Badegewässer</w:t>
      </w:r>
      <w:bookmarkEnd w:id="46"/>
      <w:bookmarkEnd w:id="47"/>
      <w:bookmarkEnd w:id="48"/>
    </w:p>
    <w:p w:rsidR="006F18A5" w:rsidRDefault="006F18A5" w:rsidP="005E4E5B">
      <w:pPr>
        <w:pStyle w:val="GesAbsatz"/>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67"/>
        <w:gridCol w:w="1985"/>
        <w:gridCol w:w="1134"/>
        <w:gridCol w:w="1063"/>
        <w:gridCol w:w="1418"/>
        <w:gridCol w:w="3465"/>
      </w:tblGrid>
      <w:tr w:rsidR="006F18A5" w:rsidRPr="005E4E5B">
        <w:trPr>
          <w:tblHeader/>
        </w:trPr>
        <w:tc>
          <w:tcPr>
            <w:tcW w:w="567" w:type="dxa"/>
            <w:tcBorders>
              <w:top w:val="single" w:sz="6" w:space="0" w:color="auto"/>
              <w:left w:val="single" w:sz="6" w:space="0" w:color="auto"/>
              <w:bottom w:val="single" w:sz="6" w:space="0" w:color="auto"/>
              <w:right w:val="single" w:sz="6" w:space="0" w:color="auto"/>
            </w:tcBorders>
          </w:tcPr>
          <w:p w:rsidR="006F18A5" w:rsidRPr="005E4E5B" w:rsidRDefault="006F18A5" w:rsidP="005E4E5B">
            <w:pPr>
              <w:pStyle w:val="GesAbsatz"/>
              <w:jc w:val="center"/>
              <w:rPr>
                <w:b/>
              </w:rPr>
            </w:pPr>
          </w:p>
        </w:tc>
        <w:tc>
          <w:tcPr>
            <w:tcW w:w="1985" w:type="dxa"/>
            <w:tcBorders>
              <w:top w:val="single" w:sz="6" w:space="0" w:color="auto"/>
              <w:left w:val="single" w:sz="6" w:space="0" w:color="auto"/>
              <w:bottom w:val="single" w:sz="6" w:space="0" w:color="auto"/>
              <w:right w:val="single" w:sz="6" w:space="0" w:color="auto"/>
            </w:tcBorders>
          </w:tcPr>
          <w:p w:rsidR="006F18A5" w:rsidRPr="005E4E5B" w:rsidRDefault="006F18A5" w:rsidP="005E4E5B">
            <w:pPr>
              <w:pStyle w:val="GesAbsatz"/>
              <w:jc w:val="center"/>
              <w:rPr>
                <w:b/>
              </w:rPr>
            </w:pPr>
            <w:r w:rsidRPr="005E4E5B">
              <w:rPr>
                <w:b/>
              </w:rPr>
              <w:t>Parameter</w:t>
            </w:r>
          </w:p>
        </w:tc>
        <w:tc>
          <w:tcPr>
            <w:tcW w:w="1134" w:type="dxa"/>
            <w:tcBorders>
              <w:top w:val="single" w:sz="6" w:space="0" w:color="auto"/>
              <w:left w:val="single" w:sz="6" w:space="0" w:color="auto"/>
              <w:bottom w:val="single" w:sz="6" w:space="0" w:color="auto"/>
              <w:right w:val="single" w:sz="6" w:space="0" w:color="auto"/>
            </w:tcBorders>
          </w:tcPr>
          <w:p w:rsidR="006F18A5" w:rsidRPr="005E4E5B" w:rsidRDefault="006F18A5" w:rsidP="005E4E5B">
            <w:pPr>
              <w:pStyle w:val="GesAbsatz"/>
              <w:jc w:val="center"/>
              <w:rPr>
                <w:b/>
              </w:rPr>
            </w:pPr>
            <w:r w:rsidRPr="005E4E5B">
              <w:rPr>
                <w:b/>
              </w:rPr>
              <w:t>G</w:t>
            </w:r>
          </w:p>
        </w:tc>
        <w:tc>
          <w:tcPr>
            <w:tcW w:w="1063" w:type="dxa"/>
            <w:tcBorders>
              <w:top w:val="single" w:sz="6" w:space="0" w:color="auto"/>
              <w:left w:val="single" w:sz="6" w:space="0" w:color="auto"/>
              <w:bottom w:val="single" w:sz="6" w:space="0" w:color="auto"/>
              <w:right w:val="single" w:sz="6" w:space="0" w:color="auto"/>
            </w:tcBorders>
          </w:tcPr>
          <w:p w:rsidR="006F18A5" w:rsidRPr="005E4E5B" w:rsidRDefault="006F18A5" w:rsidP="005E4E5B">
            <w:pPr>
              <w:pStyle w:val="GesAbsatz"/>
              <w:jc w:val="center"/>
              <w:rPr>
                <w:b/>
              </w:rPr>
            </w:pPr>
            <w:r w:rsidRPr="005E4E5B">
              <w:rPr>
                <w:b/>
              </w:rPr>
              <w:t>I</w:t>
            </w:r>
          </w:p>
        </w:tc>
        <w:tc>
          <w:tcPr>
            <w:tcW w:w="1418" w:type="dxa"/>
            <w:tcBorders>
              <w:top w:val="single" w:sz="6" w:space="0" w:color="auto"/>
              <w:left w:val="single" w:sz="6" w:space="0" w:color="auto"/>
              <w:bottom w:val="single" w:sz="6" w:space="0" w:color="auto"/>
              <w:right w:val="single" w:sz="6" w:space="0" w:color="auto"/>
            </w:tcBorders>
          </w:tcPr>
          <w:p w:rsidR="006F18A5" w:rsidRPr="005E4E5B" w:rsidRDefault="00CC1249" w:rsidP="005E4E5B">
            <w:pPr>
              <w:pStyle w:val="GesAbsatz"/>
              <w:jc w:val="center"/>
              <w:rPr>
                <w:b/>
              </w:rPr>
            </w:pPr>
            <w:r w:rsidRPr="005E4E5B">
              <w:rPr>
                <w:b/>
              </w:rPr>
              <w:t>Mindesthä</w:t>
            </w:r>
            <w:r w:rsidRPr="005E4E5B">
              <w:rPr>
                <w:b/>
              </w:rPr>
              <w:t>u</w:t>
            </w:r>
            <w:r w:rsidR="006F18A5" w:rsidRPr="005E4E5B">
              <w:rPr>
                <w:b/>
              </w:rPr>
              <w:t>figkeit der Probenahme</w:t>
            </w:r>
          </w:p>
        </w:tc>
        <w:tc>
          <w:tcPr>
            <w:tcW w:w="3465" w:type="dxa"/>
            <w:tcBorders>
              <w:top w:val="single" w:sz="6" w:space="0" w:color="auto"/>
              <w:left w:val="single" w:sz="6" w:space="0" w:color="auto"/>
              <w:bottom w:val="nil"/>
              <w:right w:val="single" w:sz="6" w:space="0" w:color="auto"/>
            </w:tcBorders>
          </w:tcPr>
          <w:p w:rsidR="006F18A5" w:rsidRPr="005E4E5B" w:rsidRDefault="006F18A5" w:rsidP="005E4E5B">
            <w:pPr>
              <w:pStyle w:val="GesAbsatz"/>
              <w:jc w:val="center"/>
              <w:rPr>
                <w:b/>
              </w:rPr>
            </w:pPr>
            <w:r w:rsidRPr="005E4E5B">
              <w:rPr>
                <w:b/>
              </w:rPr>
              <w:t>Analysen- oder Prüfungsverfahren</w:t>
            </w:r>
          </w:p>
        </w:tc>
      </w:tr>
      <w:tr w:rsidR="00F20EB8" w:rsidRPr="00581365">
        <w:tc>
          <w:tcPr>
            <w:tcW w:w="567" w:type="dxa"/>
            <w:tcBorders>
              <w:top w:val="single" w:sz="6" w:space="0" w:color="auto"/>
              <w:left w:val="single" w:sz="6" w:space="0" w:color="auto"/>
              <w:bottom w:val="single" w:sz="6" w:space="0" w:color="auto"/>
              <w:right w:val="single" w:sz="6" w:space="0" w:color="auto"/>
            </w:tcBorders>
          </w:tcPr>
          <w:p w:rsidR="00F20EB8" w:rsidRPr="00581365" w:rsidRDefault="00F20EB8" w:rsidP="005E4E5B">
            <w:pPr>
              <w:pStyle w:val="GesAbsatz"/>
              <w:jc w:val="left"/>
            </w:pPr>
          </w:p>
        </w:tc>
        <w:tc>
          <w:tcPr>
            <w:tcW w:w="1985" w:type="dxa"/>
            <w:tcBorders>
              <w:top w:val="single" w:sz="6" w:space="0" w:color="auto"/>
              <w:left w:val="single" w:sz="6" w:space="0" w:color="auto"/>
              <w:bottom w:val="single" w:sz="6" w:space="0" w:color="auto"/>
              <w:right w:val="single" w:sz="6" w:space="0" w:color="auto"/>
            </w:tcBorders>
          </w:tcPr>
          <w:p w:rsidR="00F20EB8" w:rsidRPr="00581365" w:rsidRDefault="00F20EB8" w:rsidP="005E4E5B">
            <w:pPr>
              <w:pStyle w:val="GesAbsatz"/>
              <w:jc w:val="left"/>
            </w:pPr>
            <w:r w:rsidRPr="00581365">
              <w:t>Mikrobiologische Parameter</w:t>
            </w:r>
          </w:p>
        </w:tc>
        <w:tc>
          <w:tcPr>
            <w:tcW w:w="1134" w:type="dxa"/>
            <w:tcBorders>
              <w:top w:val="single" w:sz="6" w:space="0" w:color="auto"/>
              <w:left w:val="single" w:sz="6" w:space="0" w:color="auto"/>
              <w:bottom w:val="single" w:sz="6" w:space="0" w:color="auto"/>
              <w:right w:val="single" w:sz="6" w:space="0" w:color="auto"/>
            </w:tcBorders>
          </w:tcPr>
          <w:p w:rsidR="00F20EB8" w:rsidRPr="00581365" w:rsidRDefault="00F20EB8" w:rsidP="005E4E5B">
            <w:pPr>
              <w:pStyle w:val="GesAbsatz"/>
              <w:jc w:val="left"/>
            </w:pPr>
          </w:p>
        </w:tc>
        <w:tc>
          <w:tcPr>
            <w:tcW w:w="1063" w:type="dxa"/>
            <w:tcBorders>
              <w:top w:val="single" w:sz="6" w:space="0" w:color="auto"/>
              <w:left w:val="single" w:sz="6" w:space="0" w:color="auto"/>
              <w:bottom w:val="single" w:sz="6" w:space="0" w:color="auto"/>
              <w:right w:val="single" w:sz="6" w:space="0" w:color="auto"/>
            </w:tcBorders>
          </w:tcPr>
          <w:p w:rsidR="00F20EB8" w:rsidRPr="00581365" w:rsidRDefault="00F20EB8" w:rsidP="005E4E5B">
            <w:pPr>
              <w:pStyle w:val="GesAbsatz"/>
              <w:jc w:val="left"/>
            </w:pPr>
          </w:p>
        </w:tc>
        <w:tc>
          <w:tcPr>
            <w:tcW w:w="1418" w:type="dxa"/>
            <w:tcBorders>
              <w:top w:val="single" w:sz="6" w:space="0" w:color="auto"/>
              <w:left w:val="single" w:sz="6" w:space="0" w:color="auto"/>
              <w:bottom w:val="single" w:sz="6" w:space="0" w:color="auto"/>
              <w:right w:val="single" w:sz="6" w:space="0" w:color="auto"/>
            </w:tcBorders>
          </w:tcPr>
          <w:p w:rsidR="00F20EB8" w:rsidRPr="00581365" w:rsidRDefault="00F20EB8" w:rsidP="005E4E5B">
            <w:pPr>
              <w:pStyle w:val="GesAbsatz"/>
              <w:jc w:val="left"/>
            </w:pPr>
          </w:p>
        </w:tc>
        <w:tc>
          <w:tcPr>
            <w:tcW w:w="3465" w:type="dxa"/>
            <w:tcBorders>
              <w:top w:val="single" w:sz="6" w:space="0" w:color="auto"/>
              <w:left w:val="single" w:sz="6" w:space="0" w:color="auto"/>
              <w:bottom w:val="nil"/>
              <w:right w:val="single" w:sz="6" w:space="0" w:color="auto"/>
            </w:tcBorders>
          </w:tcPr>
          <w:p w:rsidR="00F20EB8" w:rsidRPr="00581365" w:rsidRDefault="00F20EB8" w:rsidP="005E4E5B">
            <w:pPr>
              <w:pStyle w:val="GesAbsatz"/>
              <w:jc w:val="left"/>
            </w:pPr>
          </w:p>
        </w:tc>
      </w:tr>
      <w:tr w:rsidR="006F18A5">
        <w:tc>
          <w:tcPr>
            <w:tcW w:w="567" w:type="dxa"/>
            <w:tcBorders>
              <w:top w:val="nil"/>
              <w:bottom w:val="nil"/>
              <w:right w:val="single" w:sz="6" w:space="0" w:color="auto"/>
            </w:tcBorders>
          </w:tcPr>
          <w:p w:rsidR="006F18A5" w:rsidRDefault="006F18A5" w:rsidP="005E4E5B">
            <w:pPr>
              <w:pStyle w:val="GesAbsatz"/>
              <w:jc w:val="left"/>
            </w:pPr>
            <w:r>
              <w:t>1</w:t>
            </w:r>
          </w:p>
        </w:tc>
        <w:tc>
          <w:tcPr>
            <w:tcW w:w="1985" w:type="dxa"/>
            <w:tcBorders>
              <w:top w:val="nil"/>
              <w:left w:val="nil"/>
              <w:bottom w:val="nil"/>
              <w:right w:val="single" w:sz="6" w:space="0" w:color="auto"/>
            </w:tcBorders>
          </w:tcPr>
          <w:p w:rsidR="006F18A5" w:rsidRDefault="006F18A5" w:rsidP="005E4E5B">
            <w:pPr>
              <w:pStyle w:val="GesAbsatz"/>
              <w:jc w:val="left"/>
            </w:pPr>
            <w:r>
              <w:t>Gesamtcoliforme</w:t>
            </w:r>
          </w:p>
          <w:p w:rsidR="006F18A5" w:rsidRDefault="006F18A5" w:rsidP="005E4E5B">
            <w:pPr>
              <w:pStyle w:val="GesAbsatz"/>
              <w:jc w:val="left"/>
            </w:pPr>
            <w:r>
              <w:t>Bakterien /100 ml</w:t>
            </w:r>
          </w:p>
        </w:tc>
        <w:tc>
          <w:tcPr>
            <w:tcW w:w="1134" w:type="dxa"/>
            <w:tcBorders>
              <w:top w:val="nil"/>
              <w:left w:val="nil"/>
              <w:bottom w:val="nil"/>
              <w:right w:val="single" w:sz="6" w:space="0" w:color="auto"/>
            </w:tcBorders>
          </w:tcPr>
          <w:p w:rsidR="006F18A5" w:rsidRDefault="006F18A5" w:rsidP="005E4E5B">
            <w:pPr>
              <w:pStyle w:val="GesAbsatz"/>
              <w:jc w:val="left"/>
            </w:pPr>
            <w:r>
              <w:t>500</w:t>
            </w:r>
          </w:p>
        </w:tc>
        <w:tc>
          <w:tcPr>
            <w:tcW w:w="1063" w:type="dxa"/>
            <w:tcBorders>
              <w:top w:val="nil"/>
              <w:left w:val="nil"/>
              <w:bottom w:val="nil"/>
              <w:right w:val="single" w:sz="6" w:space="0" w:color="auto"/>
            </w:tcBorders>
          </w:tcPr>
          <w:p w:rsidR="006F18A5" w:rsidRDefault="006F18A5" w:rsidP="005E4E5B">
            <w:pPr>
              <w:pStyle w:val="GesAbsatz"/>
              <w:jc w:val="left"/>
            </w:pPr>
            <w:r>
              <w:t>10000</w:t>
            </w:r>
          </w:p>
        </w:tc>
        <w:tc>
          <w:tcPr>
            <w:tcW w:w="1418" w:type="dxa"/>
            <w:tcBorders>
              <w:top w:val="nil"/>
              <w:left w:val="nil"/>
              <w:bottom w:val="nil"/>
              <w:right w:val="nil"/>
            </w:tcBorders>
          </w:tcPr>
          <w:p w:rsidR="006F18A5" w:rsidRDefault="006F18A5" w:rsidP="005E4E5B">
            <w:pPr>
              <w:pStyle w:val="GesAbsatz"/>
              <w:jc w:val="left"/>
            </w:pPr>
            <w:r>
              <w:t>14tägig (1)</w:t>
            </w:r>
          </w:p>
        </w:tc>
        <w:tc>
          <w:tcPr>
            <w:tcW w:w="3465" w:type="dxa"/>
            <w:tcBorders>
              <w:top w:val="single" w:sz="6" w:space="0" w:color="auto"/>
              <w:left w:val="single" w:sz="6" w:space="0" w:color="auto"/>
              <w:bottom w:val="nil"/>
              <w:right w:val="single" w:sz="6" w:space="0" w:color="auto"/>
            </w:tcBorders>
          </w:tcPr>
          <w:p w:rsidR="006F18A5" w:rsidRDefault="006F18A5" w:rsidP="005E4E5B">
            <w:pPr>
              <w:pStyle w:val="GesAbsatz"/>
              <w:jc w:val="left"/>
            </w:pPr>
            <w:r>
              <w:t>Fermentation im Mehrfachansatz. Bei positiven Ausfall Überführen in Nachweismilieu. Auszählen (wah</w:t>
            </w:r>
            <w:r>
              <w:t>r</w:t>
            </w:r>
            <w:r>
              <w:t xml:space="preserve">scheinlichste Zahl) </w:t>
            </w:r>
          </w:p>
          <w:p w:rsidR="006F18A5" w:rsidRDefault="006F18A5" w:rsidP="005E4E5B">
            <w:pPr>
              <w:pStyle w:val="GesAbsatz"/>
              <w:jc w:val="left"/>
            </w:pPr>
            <w:r>
              <w:t>oder</w:t>
            </w:r>
          </w:p>
        </w:tc>
      </w:tr>
      <w:tr w:rsidR="006F18A5">
        <w:tc>
          <w:tcPr>
            <w:tcW w:w="567" w:type="dxa"/>
            <w:tcBorders>
              <w:top w:val="single" w:sz="6" w:space="0" w:color="auto"/>
              <w:bottom w:val="single" w:sz="6" w:space="0" w:color="auto"/>
              <w:right w:val="single" w:sz="6" w:space="0" w:color="auto"/>
            </w:tcBorders>
          </w:tcPr>
          <w:p w:rsidR="006F18A5" w:rsidRDefault="006F18A5" w:rsidP="005E4E5B">
            <w:pPr>
              <w:pStyle w:val="GesAbsatz"/>
              <w:jc w:val="left"/>
            </w:pPr>
            <w:r>
              <w:t>2</w:t>
            </w:r>
          </w:p>
        </w:tc>
        <w:tc>
          <w:tcPr>
            <w:tcW w:w="1985"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Faekalcoliforme</w:t>
            </w:r>
          </w:p>
          <w:p w:rsidR="006F18A5" w:rsidRDefault="006F18A5" w:rsidP="005E4E5B">
            <w:pPr>
              <w:pStyle w:val="GesAbsatz"/>
              <w:jc w:val="left"/>
            </w:pPr>
            <w:r>
              <w:t>Bakterien /100 ml</w:t>
            </w:r>
          </w:p>
        </w:tc>
        <w:tc>
          <w:tcPr>
            <w:tcW w:w="1134"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100</w:t>
            </w:r>
          </w:p>
        </w:tc>
        <w:tc>
          <w:tcPr>
            <w:tcW w:w="1063"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2000</w:t>
            </w:r>
          </w:p>
        </w:tc>
        <w:tc>
          <w:tcPr>
            <w:tcW w:w="1418"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14tägig (1)</w:t>
            </w:r>
          </w:p>
        </w:tc>
        <w:tc>
          <w:tcPr>
            <w:tcW w:w="3465" w:type="dxa"/>
            <w:tcBorders>
              <w:top w:val="nil"/>
              <w:left w:val="nil"/>
              <w:bottom w:val="single" w:sz="6" w:space="0" w:color="auto"/>
              <w:right w:val="single" w:sz="6" w:space="0" w:color="auto"/>
            </w:tcBorders>
          </w:tcPr>
          <w:p w:rsidR="006F18A5" w:rsidRDefault="006F18A5" w:rsidP="005E4E5B">
            <w:pPr>
              <w:pStyle w:val="GesAbsatz"/>
              <w:jc w:val="left"/>
            </w:pPr>
            <w:r>
              <w:t>Filtration über Membran und Kultur auf geeignetem Milieu wie Milch-Zucker-Tergitol-Agar, Endo-Agar, 0,4 %ige Teepol-Nährbouillon, Umpfla</w:t>
            </w:r>
            <w:r w:rsidR="005E4E5B">
              <w:t>n</w:t>
            </w:r>
            <w:r>
              <w:t>z</w:t>
            </w:r>
            <w:r w:rsidR="00F20EB8">
              <w:t>ung</w:t>
            </w:r>
            <w:r>
              <w:t xml:space="preserve"> und Identifizierung verdächtiger Kolonien.</w:t>
            </w:r>
          </w:p>
          <w:p w:rsidR="006F18A5" w:rsidRDefault="006F18A5" w:rsidP="005E4E5B">
            <w:pPr>
              <w:pStyle w:val="GesAbsatz"/>
              <w:jc w:val="left"/>
            </w:pPr>
            <w:r>
              <w:t>Bei 1. und 2. unterschiedliche Bebr</w:t>
            </w:r>
            <w:r>
              <w:t>ü</w:t>
            </w:r>
            <w:r>
              <w:t>tungstemperatur, je nachdem ob gesamtcoliforme oder faekalcolifo</w:t>
            </w:r>
            <w:r>
              <w:t>r</w:t>
            </w:r>
            <w:r>
              <w:t>me Bakterien bestimmt werden.</w:t>
            </w:r>
          </w:p>
        </w:tc>
      </w:tr>
      <w:tr w:rsidR="006F18A5">
        <w:tc>
          <w:tcPr>
            <w:tcW w:w="567" w:type="dxa"/>
            <w:tcBorders>
              <w:top w:val="single" w:sz="6" w:space="0" w:color="auto"/>
              <w:bottom w:val="single" w:sz="6" w:space="0" w:color="auto"/>
              <w:right w:val="single" w:sz="6" w:space="0" w:color="auto"/>
            </w:tcBorders>
          </w:tcPr>
          <w:p w:rsidR="006F18A5" w:rsidRDefault="006F18A5" w:rsidP="005E4E5B">
            <w:pPr>
              <w:pStyle w:val="GesAbsatz"/>
              <w:jc w:val="left"/>
            </w:pPr>
            <w:r>
              <w:t>3</w:t>
            </w:r>
          </w:p>
        </w:tc>
        <w:tc>
          <w:tcPr>
            <w:tcW w:w="1985"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Streptococcus</w:t>
            </w:r>
          </w:p>
          <w:p w:rsidR="006F18A5" w:rsidRDefault="006F18A5" w:rsidP="005E4E5B">
            <w:pPr>
              <w:pStyle w:val="GesAbsatz"/>
              <w:jc w:val="left"/>
            </w:pPr>
            <w:r>
              <w:t>faec. /100 ml</w:t>
            </w:r>
          </w:p>
        </w:tc>
        <w:tc>
          <w:tcPr>
            <w:tcW w:w="1134" w:type="dxa"/>
            <w:tcBorders>
              <w:top w:val="nil"/>
              <w:left w:val="nil"/>
              <w:bottom w:val="single" w:sz="6" w:space="0" w:color="auto"/>
              <w:right w:val="single" w:sz="6" w:space="0" w:color="auto"/>
            </w:tcBorders>
          </w:tcPr>
          <w:p w:rsidR="006F18A5" w:rsidRDefault="006F18A5" w:rsidP="005E4E5B">
            <w:pPr>
              <w:pStyle w:val="GesAbsatz"/>
              <w:jc w:val="left"/>
            </w:pPr>
            <w:r>
              <w:t>100</w:t>
            </w:r>
          </w:p>
        </w:tc>
        <w:tc>
          <w:tcPr>
            <w:tcW w:w="1063" w:type="dxa"/>
            <w:tcBorders>
              <w:top w:val="nil"/>
              <w:left w:val="nil"/>
              <w:bottom w:val="single" w:sz="6" w:space="0" w:color="auto"/>
              <w:right w:val="single" w:sz="6" w:space="0" w:color="auto"/>
            </w:tcBorders>
          </w:tcPr>
          <w:p w:rsidR="006F18A5" w:rsidRDefault="006F18A5" w:rsidP="005E4E5B">
            <w:pPr>
              <w:pStyle w:val="GesAbsatz"/>
              <w:jc w:val="left"/>
            </w:pPr>
            <w:r>
              <w:t>-</w:t>
            </w:r>
          </w:p>
        </w:tc>
        <w:tc>
          <w:tcPr>
            <w:tcW w:w="1418" w:type="dxa"/>
            <w:tcBorders>
              <w:top w:val="nil"/>
              <w:left w:val="nil"/>
              <w:bottom w:val="single" w:sz="6" w:space="0" w:color="auto"/>
              <w:right w:val="single" w:sz="6" w:space="0" w:color="auto"/>
            </w:tcBorders>
          </w:tcPr>
          <w:p w:rsidR="006F18A5" w:rsidRDefault="006F18A5" w:rsidP="005E4E5B">
            <w:pPr>
              <w:pStyle w:val="GesAbsatz"/>
              <w:jc w:val="left"/>
            </w:pPr>
            <w:r>
              <w:t>(2)</w:t>
            </w:r>
          </w:p>
        </w:tc>
        <w:tc>
          <w:tcPr>
            <w:tcW w:w="3465" w:type="dxa"/>
            <w:tcBorders>
              <w:top w:val="nil"/>
              <w:left w:val="nil"/>
              <w:bottom w:val="nil"/>
            </w:tcBorders>
          </w:tcPr>
          <w:p w:rsidR="006F18A5" w:rsidRDefault="006F18A5" w:rsidP="005E4E5B">
            <w:pPr>
              <w:pStyle w:val="GesAbsatz"/>
              <w:jc w:val="left"/>
            </w:pPr>
            <w:r>
              <w:t>Litskysche Methode.</w:t>
            </w:r>
          </w:p>
          <w:p w:rsidR="006F18A5" w:rsidRDefault="006F18A5" w:rsidP="005E4E5B">
            <w:pPr>
              <w:pStyle w:val="GesAbsatz"/>
              <w:jc w:val="left"/>
            </w:pPr>
            <w:r>
              <w:t>Auszählen (wahrscheinlichste Zahl)</w:t>
            </w:r>
          </w:p>
          <w:p w:rsidR="006F18A5" w:rsidRDefault="006F18A5" w:rsidP="005E4E5B">
            <w:pPr>
              <w:pStyle w:val="GesAbsatz"/>
              <w:jc w:val="left"/>
            </w:pPr>
            <w:r>
              <w:t>oder</w:t>
            </w:r>
          </w:p>
          <w:p w:rsidR="006F18A5" w:rsidRDefault="006F18A5" w:rsidP="005E4E5B">
            <w:pPr>
              <w:pStyle w:val="GesAbsatz"/>
              <w:jc w:val="left"/>
            </w:pPr>
            <w:r>
              <w:t>Filtration über Membran. Kultur auf geeignetem Nährboden</w:t>
            </w:r>
            <w:r w:rsidR="00F20EB8">
              <w:t>.</w:t>
            </w:r>
          </w:p>
        </w:tc>
      </w:tr>
      <w:tr w:rsidR="006F18A5">
        <w:tc>
          <w:tcPr>
            <w:tcW w:w="567" w:type="dxa"/>
            <w:tcBorders>
              <w:top w:val="single" w:sz="6" w:space="0" w:color="auto"/>
              <w:bottom w:val="single" w:sz="6" w:space="0" w:color="auto"/>
              <w:right w:val="single" w:sz="6" w:space="0" w:color="auto"/>
            </w:tcBorders>
          </w:tcPr>
          <w:p w:rsidR="006F18A5" w:rsidRDefault="006F18A5" w:rsidP="005E4E5B">
            <w:pPr>
              <w:pStyle w:val="GesAbsatz"/>
              <w:jc w:val="left"/>
            </w:pPr>
            <w:r>
              <w:t>4</w:t>
            </w:r>
          </w:p>
        </w:tc>
        <w:tc>
          <w:tcPr>
            <w:tcW w:w="1985"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Salmonellen /1 l</w:t>
            </w:r>
          </w:p>
        </w:tc>
        <w:tc>
          <w:tcPr>
            <w:tcW w:w="1134"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w:t>
            </w:r>
          </w:p>
        </w:tc>
        <w:tc>
          <w:tcPr>
            <w:tcW w:w="1063"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0</w:t>
            </w:r>
          </w:p>
        </w:tc>
        <w:tc>
          <w:tcPr>
            <w:tcW w:w="1418"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(2)</w:t>
            </w:r>
          </w:p>
        </w:tc>
        <w:tc>
          <w:tcPr>
            <w:tcW w:w="3465" w:type="dxa"/>
            <w:tcBorders>
              <w:top w:val="single" w:sz="6" w:space="0" w:color="auto"/>
              <w:left w:val="nil"/>
              <w:bottom w:val="nil"/>
            </w:tcBorders>
          </w:tcPr>
          <w:p w:rsidR="006F18A5" w:rsidRDefault="006F18A5" w:rsidP="005E4E5B">
            <w:pPr>
              <w:pStyle w:val="GesAbsatz"/>
              <w:jc w:val="left"/>
            </w:pPr>
            <w:r>
              <w:t>Konzentration durch Filtrieren über Membran. Impfen auf Standard-Nährboden. Anreicherung, Überfü</w:t>
            </w:r>
            <w:r>
              <w:t>h</w:t>
            </w:r>
            <w:r>
              <w:t>rung auf Isolierungs-Agar-Agar, Ide</w:t>
            </w:r>
            <w:r>
              <w:t>n</w:t>
            </w:r>
            <w:r>
              <w:t>tifizierung.</w:t>
            </w:r>
          </w:p>
        </w:tc>
      </w:tr>
      <w:tr w:rsidR="006F18A5">
        <w:tc>
          <w:tcPr>
            <w:tcW w:w="567" w:type="dxa"/>
            <w:tcBorders>
              <w:top w:val="single" w:sz="6" w:space="0" w:color="auto"/>
              <w:bottom w:val="single" w:sz="6" w:space="0" w:color="auto"/>
              <w:right w:val="single" w:sz="6" w:space="0" w:color="auto"/>
            </w:tcBorders>
          </w:tcPr>
          <w:p w:rsidR="006F18A5" w:rsidRDefault="006F18A5" w:rsidP="005E4E5B">
            <w:pPr>
              <w:pStyle w:val="GesAbsatz"/>
              <w:jc w:val="left"/>
            </w:pPr>
            <w:r>
              <w:t>5</w:t>
            </w:r>
          </w:p>
        </w:tc>
        <w:tc>
          <w:tcPr>
            <w:tcW w:w="1985"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Darmviren PFU/10</w:t>
            </w:r>
            <w:r>
              <w:rPr>
                <w:vertAlign w:val="subscript"/>
              </w:rPr>
              <w:t xml:space="preserve"> </w:t>
            </w:r>
            <w:r w:rsidRPr="00FA61DE">
              <w:t>l</w:t>
            </w:r>
          </w:p>
        </w:tc>
        <w:tc>
          <w:tcPr>
            <w:tcW w:w="1134"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w:t>
            </w:r>
          </w:p>
        </w:tc>
        <w:tc>
          <w:tcPr>
            <w:tcW w:w="1063"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0</w:t>
            </w:r>
          </w:p>
        </w:tc>
        <w:tc>
          <w:tcPr>
            <w:tcW w:w="1418"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(2)</w:t>
            </w:r>
          </w:p>
        </w:tc>
        <w:tc>
          <w:tcPr>
            <w:tcW w:w="3465" w:type="dxa"/>
            <w:tcBorders>
              <w:top w:val="single" w:sz="6" w:space="0" w:color="auto"/>
              <w:left w:val="nil"/>
              <w:bottom w:val="nil"/>
            </w:tcBorders>
          </w:tcPr>
          <w:p w:rsidR="006F18A5" w:rsidRDefault="006F18A5" w:rsidP="005E4E5B">
            <w:pPr>
              <w:pStyle w:val="GesAbsatz"/>
              <w:jc w:val="left"/>
            </w:pPr>
            <w:r>
              <w:t>Konzentration durch Filtrieren, Au</w:t>
            </w:r>
            <w:r>
              <w:t>s</w:t>
            </w:r>
            <w:r>
              <w:t>flocken oder Zentrifugieren; Bestät</w:t>
            </w:r>
            <w:r>
              <w:t>i</w:t>
            </w:r>
            <w:r>
              <w:t>gung</w:t>
            </w:r>
            <w:r w:rsidR="00F20EB8">
              <w:t>.</w:t>
            </w:r>
          </w:p>
        </w:tc>
      </w:tr>
      <w:tr w:rsidR="00F20EB8">
        <w:tc>
          <w:tcPr>
            <w:tcW w:w="567" w:type="dxa"/>
            <w:tcBorders>
              <w:top w:val="single" w:sz="6" w:space="0" w:color="auto"/>
              <w:bottom w:val="single" w:sz="6" w:space="0" w:color="auto"/>
              <w:right w:val="single" w:sz="6" w:space="0" w:color="auto"/>
            </w:tcBorders>
          </w:tcPr>
          <w:p w:rsidR="00F20EB8" w:rsidRDefault="00F20EB8">
            <w:pPr>
              <w:tabs>
                <w:tab w:val="clear" w:pos="425"/>
                <w:tab w:val="decimal" w:pos="284"/>
              </w:tabs>
              <w:ind w:right="-142"/>
            </w:pPr>
          </w:p>
        </w:tc>
        <w:tc>
          <w:tcPr>
            <w:tcW w:w="1985" w:type="dxa"/>
            <w:tcBorders>
              <w:top w:val="single" w:sz="6" w:space="0" w:color="auto"/>
              <w:left w:val="nil"/>
              <w:bottom w:val="single" w:sz="6" w:space="0" w:color="auto"/>
              <w:right w:val="single" w:sz="6" w:space="0" w:color="auto"/>
            </w:tcBorders>
          </w:tcPr>
          <w:p w:rsidR="00F20EB8" w:rsidRPr="005E4E5B" w:rsidRDefault="00F20EB8" w:rsidP="005E4E5B">
            <w:pPr>
              <w:pStyle w:val="GesAbsatz"/>
              <w:jc w:val="left"/>
              <w:rPr>
                <w:b/>
              </w:rPr>
            </w:pPr>
            <w:r w:rsidRPr="005E4E5B">
              <w:rPr>
                <w:b/>
              </w:rPr>
              <w:t>Physikalische und chemische Par</w:t>
            </w:r>
            <w:r w:rsidRPr="005E4E5B">
              <w:rPr>
                <w:b/>
              </w:rPr>
              <w:t>a</w:t>
            </w:r>
            <w:r w:rsidRPr="005E4E5B">
              <w:rPr>
                <w:b/>
              </w:rPr>
              <w:t>meter</w:t>
            </w:r>
          </w:p>
        </w:tc>
        <w:tc>
          <w:tcPr>
            <w:tcW w:w="1134" w:type="dxa"/>
            <w:tcBorders>
              <w:top w:val="single" w:sz="6" w:space="0" w:color="auto"/>
              <w:left w:val="nil"/>
              <w:bottom w:val="single" w:sz="6" w:space="0" w:color="auto"/>
              <w:right w:val="single" w:sz="6" w:space="0" w:color="auto"/>
            </w:tcBorders>
          </w:tcPr>
          <w:p w:rsidR="00F20EB8" w:rsidRDefault="00F20EB8">
            <w:pPr>
              <w:tabs>
                <w:tab w:val="clear" w:pos="425"/>
                <w:tab w:val="decimal" w:pos="567"/>
              </w:tabs>
            </w:pPr>
          </w:p>
        </w:tc>
        <w:tc>
          <w:tcPr>
            <w:tcW w:w="1063" w:type="dxa"/>
            <w:tcBorders>
              <w:top w:val="single" w:sz="6" w:space="0" w:color="auto"/>
              <w:left w:val="nil"/>
              <w:bottom w:val="single" w:sz="6" w:space="0" w:color="auto"/>
              <w:right w:val="single" w:sz="6" w:space="0" w:color="auto"/>
            </w:tcBorders>
          </w:tcPr>
          <w:p w:rsidR="00F20EB8" w:rsidRDefault="00F20EB8">
            <w:pPr>
              <w:tabs>
                <w:tab w:val="clear" w:pos="425"/>
                <w:tab w:val="decimal" w:pos="567"/>
              </w:tabs>
            </w:pPr>
          </w:p>
        </w:tc>
        <w:tc>
          <w:tcPr>
            <w:tcW w:w="1418" w:type="dxa"/>
            <w:tcBorders>
              <w:top w:val="single" w:sz="6" w:space="0" w:color="auto"/>
              <w:left w:val="nil"/>
              <w:bottom w:val="single" w:sz="6" w:space="0" w:color="auto"/>
              <w:right w:val="single" w:sz="6" w:space="0" w:color="auto"/>
            </w:tcBorders>
          </w:tcPr>
          <w:p w:rsidR="00F20EB8" w:rsidRDefault="00F20EB8">
            <w:pPr>
              <w:tabs>
                <w:tab w:val="clear" w:pos="425"/>
              </w:tabs>
            </w:pPr>
          </w:p>
        </w:tc>
        <w:tc>
          <w:tcPr>
            <w:tcW w:w="3465" w:type="dxa"/>
            <w:tcBorders>
              <w:top w:val="single" w:sz="6" w:space="0" w:color="auto"/>
              <w:left w:val="nil"/>
              <w:bottom w:val="nil"/>
            </w:tcBorders>
          </w:tcPr>
          <w:p w:rsidR="00F20EB8" w:rsidRDefault="00F20EB8">
            <w:pPr>
              <w:tabs>
                <w:tab w:val="clear" w:pos="425"/>
              </w:tabs>
            </w:pPr>
          </w:p>
        </w:tc>
      </w:tr>
      <w:tr w:rsidR="006F18A5">
        <w:tc>
          <w:tcPr>
            <w:tcW w:w="567" w:type="dxa"/>
            <w:tcBorders>
              <w:top w:val="single" w:sz="6" w:space="0" w:color="auto"/>
              <w:bottom w:val="single" w:sz="6" w:space="0" w:color="auto"/>
              <w:right w:val="single" w:sz="6" w:space="0" w:color="auto"/>
            </w:tcBorders>
          </w:tcPr>
          <w:p w:rsidR="006F18A5" w:rsidRDefault="006F18A5" w:rsidP="005E4E5B">
            <w:pPr>
              <w:pStyle w:val="GesAbsatz"/>
              <w:jc w:val="left"/>
            </w:pPr>
            <w:r>
              <w:t>6</w:t>
            </w:r>
          </w:p>
        </w:tc>
        <w:tc>
          <w:tcPr>
            <w:tcW w:w="1985"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pH</w:t>
            </w:r>
          </w:p>
        </w:tc>
        <w:tc>
          <w:tcPr>
            <w:tcW w:w="1134"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w:t>
            </w:r>
          </w:p>
        </w:tc>
        <w:tc>
          <w:tcPr>
            <w:tcW w:w="1063"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6-9</w:t>
            </w:r>
          </w:p>
        </w:tc>
        <w:tc>
          <w:tcPr>
            <w:tcW w:w="1418"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(2)</w:t>
            </w:r>
          </w:p>
        </w:tc>
        <w:tc>
          <w:tcPr>
            <w:tcW w:w="3465" w:type="dxa"/>
            <w:tcBorders>
              <w:top w:val="single" w:sz="6" w:space="0" w:color="auto"/>
              <w:left w:val="nil"/>
              <w:bottom w:val="nil"/>
            </w:tcBorders>
          </w:tcPr>
          <w:p w:rsidR="006F18A5" w:rsidRDefault="006F18A5" w:rsidP="005E4E5B">
            <w:pPr>
              <w:pStyle w:val="GesAbsatz"/>
              <w:jc w:val="left"/>
            </w:pPr>
            <w:r>
              <w:t>Elektrometrie mit Eichung auf pH</w:t>
            </w:r>
            <w:r w:rsidR="00F20EB8">
              <w:t xml:space="preserve"> </w:t>
            </w:r>
            <w:r>
              <w:t>7 und 9</w:t>
            </w:r>
          </w:p>
        </w:tc>
      </w:tr>
      <w:tr w:rsidR="006F18A5">
        <w:tc>
          <w:tcPr>
            <w:tcW w:w="567" w:type="dxa"/>
            <w:tcBorders>
              <w:top w:val="single" w:sz="6" w:space="0" w:color="auto"/>
              <w:bottom w:val="nil"/>
              <w:right w:val="single" w:sz="6" w:space="0" w:color="auto"/>
            </w:tcBorders>
          </w:tcPr>
          <w:p w:rsidR="006F18A5" w:rsidRDefault="006F18A5" w:rsidP="005E4E5B">
            <w:pPr>
              <w:pStyle w:val="GesAbsatz"/>
              <w:jc w:val="left"/>
            </w:pPr>
            <w:r>
              <w:t>7</w:t>
            </w:r>
          </w:p>
        </w:tc>
        <w:tc>
          <w:tcPr>
            <w:tcW w:w="1985" w:type="dxa"/>
            <w:tcBorders>
              <w:top w:val="single" w:sz="6" w:space="0" w:color="auto"/>
              <w:left w:val="nil"/>
              <w:bottom w:val="nil"/>
              <w:right w:val="single" w:sz="6" w:space="0" w:color="auto"/>
            </w:tcBorders>
          </w:tcPr>
          <w:p w:rsidR="006F18A5" w:rsidRDefault="006F18A5" w:rsidP="005E4E5B">
            <w:pPr>
              <w:pStyle w:val="GesAbsatz"/>
              <w:jc w:val="left"/>
            </w:pPr>
            <w:r>
              <w:t>Färbung</w:t>
            </w:r>
          </w:p>
        </w:tc>
        <w:tc>
          <w:tcPr>
            <w:tcW w:w="1134" w:type="dxa"/>
            <w:tcBorders>
              <w:top w:val="single" w:sz="6" w:space="0" w:color="auto"/>
              <w:left w:val="nil"/>
              <w:bottom w:val="nil"/>
              <w:right w:val="single" w:sz="6" w:space="0" w:color="auto"/>
            </w:tcBorders>
          </w:tcPr>
          <w:p w:rsidR="006F18A5" w:rsidRDefault="006F18A5" w:rsidP="005E4E5B">
            <w:pPr>
              <w:pStyle w:val="GesAbsatz"/>
              <w:jc w:val="left"/>
            </w:pPr>
            <w:r>
              <w:t>--</w:t>
            </w:r>
          </w:p>
        </w:tc>
        <w:tc>
          <w:tcPr>
            <w:tcW w:w="1063" w:type="dxa"/>
            <w:tcBorders>
              <w:top w:val="single" w:sz="6" w:space="0" w:color="auto"/>
              <w:left w:val="nil"/>
              <w:bottom w:val="nil"/>
              <w:right w:val="single" w:sz="6" w:space="0" w:color="auto"/>
            </w:tcBorders>
          </w:tcPr>
          <w:p w:rsidR="006F18A5" w:rsidRDefault="006F18A5" w:rsidP="005E4E5B">
            <w:pPr>
              <w:pStyle w:val="GesAbsatz"/>
              <w:jc w:val="left"/>
            </w:pPr>
            <w:r>
              <w:t>keine anomale Änderung der Fä</w:t>
            </w:r>
            <w:r>
              <w:t>r</w:t>
            </w:r>
            <w:r>
              <w:t>bung (0)-</w:t>
            </w:r>
          </w:p>
        </w:tc>
        <w:tc>
          <w:tcPr>
            <w:tcW w:w="1418" w:type="dxa"/>
            <w:tcBorders>
              <w:top w:val="single" w:sz="6" w:space="0" w:color="auto"/>
              <w:left w:val="nil"/>
              <w:bottom w:val="nil"/>
              <w:right w:val="single" w:sz="6" w:space="0" w:color="auto"/>
            </w:tcBorders>
          </w:tcPr>
          <w:p w:rsidR="006F18A5" w:rsidRDefault="006F18A5" w:rsidP="005E4E5B">
            <w:pPr>
              <w:pStyle w:val="GesAbsatz"/>
              <w:jc w:val="left"/>
            </w:pPr>
            <w:r>
              <w:t>14tägig (1)</w:t>
            </w:r>
          </w:p>
        </w:tc>
        <w:tc>
          <w:tcPr>
            <w:tcW w:w="3465" w:type="dxa"/>
            <w:tcBorders>
              <w:top w:val="single" w:sz="6" w:space="0" w:color="auto"/>
              <w:left w:val="nil"/>
              <w:bottom w:val="nil"/>
            </w:tcBorders>
          </w:tcPr>
          <w:p w:rsidR="006F18A5" w:rsidRDefault="006F18A5" w:rsidP="005E4E5B">
            <w:pPr>
              <w:pStyle w:val="GesAbsatz"/>
              <w:jc w:val="left"/>
            </w:pPr>
            <w:r>
              <w:t>Besichtigungsprüfung</w:t>
            </w:r>
          </w:p>
          <w:p w:rsidR="00FA61DE" w:rsidRDefault="00FA61DE" w:rsidP="005E4E5B">
            <w:pPr>
              <w:pStyle w:val="GesAbsatz"/>
              <w:jc w:val="left"/>
            </w:pPr>
          </w:p>
          <w:p w:rsidR="006F18A5" w:rsidRDefault="006F18A5" w:rsidP="005E4E5B">
            <w:pPr>
              <w:pStyle w:val="GesAbsatz"/>
              <w:jc w:val="left"/>
            </w:pPr>
            <w:r>
              <w:t>oder</w:t>
            </w:r>
          </w:p>
        </w:tc>
      </w:tr>
      <w:tr w:rsidR="00FA61DE">
        <w:tc>
          <w:tcPr>
            <w:tcW w:w="567" w:type="dxa"/>
            <w:tcBorders>
              <w:top w:val="nil"/>
              <w:bottom w:val="single" w:sz="6" w:space="0" w:color="auto"/>
              <w:right w:val="single" w:sz="6" w:space="0" w:color="auto"/>
            </w:tcBorders>
          </w:tcPr>
          <w:p w:rsidR="00FA61DE" w:rsidRDefault="00FA61DE" w:rsidP="005E4E5B">
            <w:pPr>
              <w:pStyle w:val="GesAbsatz"/>
              <w:jc w:val="left"/>
            </w:pPr>
          </w:p>
        </w:tc>
        <w:tc>
          <w:tcPr>
            <w:tcW w:w="1985" w:type="dxa"/>
            <w:tcBorders>
              <w:top w:val="nil"/>
              <w:left w:val="nil"/>
              <w:bottom w:val="single" w:sz="6" w:space="0" w:color="auto"/>
              <w:right w:val="single" w:sz="6" w:space="0" w:color="auto"/>
            </w:tcBorders>
          </w:tcPr>
          <w:p w:rsidR="00FA61DE" w:rsidRDefault="00FA61DE" w:rsidP="005E4E5B">
            <w:pPr>
              <w:pStyle w:val="GesAbsatz"/>
              <w:jc w:val="left"/>
            </w:pPr>
          </w:p>
        </w:tc>
        <w:tc>
          <w:tcPr>
            <w:tcW w:w="1134" w:type="dxa"/>
            <w:tcBorders>
              <w:top w:val="nil"/>
              <w:left w:val="nil"/>
              <w:bottom w:val="single" w:sz="6" w:space="0" w:color="auto"/>
              <w:right w:val="single" w:sz="6" w:space="0" w:color="auto"/>
            </w:tcBorders>
          </w:tcPr>
          <w:p w:rsidR="00FA61DE" w:rsidRDefault="00FA61DE" w:rsidP="005E4E5B">
            <w:pPr>
              <w:pStyle w:val="GesAbsatz"/>
              <w:jc w:val="left"/>
            </w:pPr>
            <w:r>
              <w:t>-</w:t>
            </w:r>
          </w:p>
        </w:tc>
        <w:tc>
          <w:tcPr>
            <w:tcW w:w="1063" w:type="dxa"/>
            <w:tcBorders>
              <w:top w:val="nil"/>
              <w:left w:val="nil"/>
              <w:bottom w:val="single" w:sz="6" w:space="0" w:color="auto"/>
              <w:right w:val="single" w:sz="6" w:space="0" w:color="auto"/>
            </w:tcBorders>
          </w:tcPr>
          <w:p w:rsidR="00FA61DE" w:rsidRDefault="00FA61DE" w:rsidP="005E4E5B">
            <w:pPr>
              <w:pStyle w:val="GesAbsatz"/>
              <w:jc w:val="left"/>
            </w:pPr>
            <w:r>
              <w:t>-</w:t>
            </w:r>
          </w:p>
        </w:tc>
        <w:tc>
          <w:tcPr>
            <w:tcW w:w="1418" w:type="dxa"/>
            <w:tcBorders>
              <w:top w:val="nil"/>
              <w:left w:val="nil"/>
              <w:bottom w:val="single" w:sz="6" w:space="0" w:color="auto"/>
              <w:right w:val="single" w:sz="6" w:space="0" w:color="auto"/>
            </w:tcBorders>
          </w:tcPr>
          <w:p w:rsidR="00FA61DE" w:rsidRDefault="00FA61DE" w:rsidP="005E4E5B">
            <w:pPr>
              <w:pStyle w:val="GesAbsatz"/>
              <w:jc w:val="left"/>
            </w:pPr>
            <w:r>
              <w:t>(2)</w:t>
            </w:r>
          </w:p>
        </w:tc>
        <w:tc>
          <w:tcPr>
            <w:tcW w:w="3465" w:type="dxa"/>
            <w:tcBorders>
              <w:top w:val="nil"/>
              <w:left w:val="nil"/>
              <w:bottom w:val="single" w:sz="6" w:space="0" w:color="auto"/>
            </w:tcBorders>
          </w:tcPr>
          <w:p w:rsidR="00FA61DE" w:rsidRDefault="00FA61DE" w:rsidP="005E4E5B">
            <w:pPr>
              <w:pStyle w:val="GesAbsatz"/>
              <w:jc w:val="left"/>
            </w:pPr>
            <w:r>
              <w:t>photometrische Prüfung nach Platin-Kobalt-Eichskala</w:t>
            </w:r>
          </w:p>
        </w:tc>
      </w:tr>
      <w:tr w:rsidR="00F20EB8">
        <w:tblPrEx>
          <w:tblBorders>
            <w:insideH w:val="single" w:sz="6" w:space="0" w:color="auto"/>
            <w:insideV w:val="single" w:sz="6" w:space="0" w:color="auto"/>
          </w:tblBorders>
        </w:tblPrEx>
        <w:tc>
          <w:tcPr>
            <w:tcW w:w="567" w:type="dxa"/>
            <w:tcBorders>
              <w:bottom w:val="nil"/>
            </w:tcBorders>
          </w:tcPr>
          <w:p w:rsidR="00F20EB8" w:rsidRDefault="00F20EB8" w:rsidP="005E4E5B">
            <w:pPr>
              <w:pStyle w:val="GesAbsatz"/>
              <w:jc w:val="left"/>
            </w:pPr>
            <w:r>
              <w:t>8</w:t>
            </w:r>
          </w:p>
        </w:tc>
        <w:tc>
          <w:tcPr>
            <w:tcW w:w="1985" w:type="dxa"/>
            <w:vMerge w:val="restart"/>
            <w:tcBorders>
              <w:bottom w:val="nil"/>
            </w:tcBorders>
          </w:tcPr>
          <w:p w:rsidR="00F20EB8" w:rsidRDefault="00F20EB8" w:rsidP="005E4E5B">
            <w:pPr>
              <w:pStyle w:val="GesAbsatz"/>
              <w:jc w:val="left"/>
            </w:pPr>
            <w:r>
              <w:t>Mineralöle mg/l</w:t>
            </w:r>
          </w:p>
        </w:tc>
        <w:tc>
          <w:tcPr>
            <w:tcW w:w="1134" w:type="dxa"/>
            <w:tcBorders>
              <w:bottom w:val="nil"/>
            </w:tcBorders>
          </w:tcPr>
          <w:p w:rsidR="00F20EB8" w:rsidRDefault="00F20EB8" w:rsidP="005E4E5B">
            <w:pPr>
              <w:pStyle w:val="GesAbsatz"/>
              <w:jc w:val="left"/>
            </w:pPr>
            <w:r>
              <w:t>-</w:t>
            </w:r>
          </w:p>
        </w:tc>
        <w:tc>
          <w:tcPr>
            <w:tcW w:w="1063" w:type="dxa"/>
            <w:tcBorders>
              <w:bottom w:val="nil"/>
            </w:tcBorders>
          </w:tcPr>
          <w:p w:rsidR="00F20EB8" w:rsidRDefault="00F20EB8" w:rsidP="005E4E5B">
            <w:pPr>
              <w:pStyle w:val="GesAbsatz"/>
              <w:jc w:val="left"/>
            </w:pPr>
            <w:r>
              <w:t>kein sicht</w:t>
            </w:r>
            <w:r>
              <w:softHyphen/>
            </w:r>
            <w:r>
              <w:lastRenderedPageBreak/>
              <w:t>barer Film auf der Wasser</w:t>
            </w:r>
            <w:r>
              <w:softHyphen/>
              <w:t>oberfl</w:t>
            </w:r>
            <w:r>
              <w:t>ä</w:t>
            </w:r>
            <w:r>
              <w:t>che, kein Geruch</w:t>
            </w:r>
          </w:p>
        </w:tc>
        <w:tc>
          <w:tcPr>
            <w:tcW w:w="1418" w:type="dxa"/>
            <w:tcBorders>
              <w:bottom w:val="nil"/>
            </w:tcBorders>
          </w:tcPr>
          <w:p w:rsidR="00F20EB8" w:rsidRDefault="00F20EB8" w:rsidP="005E4E5B">
            <w:pPr>
              <w:pStyle w:val="GesAbsatz"/>
              <w:jc w:val="left"/>
            </w:pPr>
            <w:r>
              <w:lastRenderedPageBreak/>
              <w:t>14tägig (1)</w:t>
            </w:r>
          </w:p>
        </w:tc>
        <w:tc>
          <w:tcPr>
            <w:tcW w:w="3465" w:type="dxa"/>
            <w:tcBorders>
              <w:bottom w:val="nil"/>
            </w:tcBorders>
          </w:tcPr>
          <w:p w:rsidR="00F20EB8" w:rsidRDefault="00F20EB8" w:rsidP="005E4E5B">
            <w:pPr>
              <w:pStyle w:val="GesAbsatz"/>
              <w:jc w:val="left"/>
            </w:pPr>
            <w:r>
              <w:t>Besichtigungs- und Geruchsprüfung</w:t>
            </w:r>
          </w:p>
          <w:p w:rsidR="00F20EB8" w:rsidRDefault="00F20EB8" w:rsidP="005E4E5B">
            <w:pPr>
              <w:pStyle w:val="GesAbsatz"/>
              <w:jc w:val="left"/>
            </w:pPr>
            <w:r>
              <w:lastRenderedPageBreak/>
              <w:t>oder</w:t>
            </w:r>
          </w:p>
          <w:p w:rsidR="00F20EB8" w:rsidRDefault="00F20EB8" w:rsidP="005E4E5B">
            <w:pPr>
              <w:pStyle w:val="GesAbsatz"/>
              <w:jc w:val="left"/>
            </w:pPr>
          </w:p>
        </w:tc>
      </w:tr>
      <w:tr w:rsidR="00F20EB8">
        <w:tblPrEx>
          <w:tblBorders>
            <w:insideH w:val="single" w:sz="6" w:space="0" w:color="auto"/>
            <w:insideV w:val="single" w:sz="6" w:space="0" w:color="auto"/>
          </w:tblBorders>
        </w:tblPrEx>
        <w:tc>
          <w:tcPr>
            <w:tcW w:w="567" w:type="dxa"/>
            <w:tcBorders>
              <w:top w:val="nil"/>
            </w:tcBorders>
          </w:tcPr>
          <w:p w:rsidR="00F20EB8" w:rsidRDefault="00F20EB8" w:rsidP="005E4E5B">
            <w:pPr>
              <w:pStyle w:val="GesAbsatz"/>
              <w:jc w:val="left"/>
            </w:pPr>
          </w:p>
        </w:tc>
        <w:tc>
          <w:tcPr>
            <w:tcW w:w="1985" w:type="dxa"/>
            <w:vMerge/>
            <w:tcBorders>
              <w:top w:val="nil"/>
            </w:tcBorders>
          </w:tcPr>
          <w:p w:rsidR="00F20EB8" w:rsidRDefault="00F20EB8" w:rsidP="005E4E5B">
            <w:pPr>
              <w:pStyle w:val="GesAbsatz"/>
              <w:jc w:val="left"/>
            </w:pPr>
          </w:p>
        </w:tc>
        <w:tc>
          <w:tcPr>
            <w:tcW w:w="1134" w:type="dxa"/>
            <w:tcBorders>
              <w:top w:val="nil"/>
            </w:tcBorders>
          </w:tcPr>
          <w:p w:rsidR="00F20EB8" w:rsidRDefault="00F20EB8" w:rsidP="005E4E5B">
            <w:pPr>
              <w:pStyle w:val="GesAbsatz"/>
              <w:jc w:val="left"/>
            </w:pPr>
            <w:r>
              <w:sym w:font="Symbol" w:char="F0A3"/>
            </w:r>
            <w:r>
              <w:t xml:space="preserve"> 0,3</w:t>
            </w:r>
          </w:p>
        </w:tc>
        <w:tc>
          <w:tcPr>
            <w:tcW w:w="1063" w:type="dxa"/>
            <w:tcBorders>
              <w:top w:val="nil"/>
            </w:tcBorders>
          </w:tcPr>
          <w:p w:rsidR="00F20EB8" w:rsidRDefault="00F20EB8" w:rsidP="005E4E5B">
            <w:pPr>
              <w:pStyle w:val="GesAbsatz"/>
              <w:jc w:val="left"/>
            </w:pPr>
            <w:r>
              <w:t>-</w:t>
            </w:r>
          </w:p>
        </w:tc>
        <w:tc>
          <w:tcPr>
            <w:tcW w:w="1418" w:type="dxa"/>
            <w:tcBorders>
              <w:top w:val="nil"/>
            </w:tcBorders>
          </w:tcPr>
          <w:p w:rsidR="00F20EB8" w:rsidRDefault="00F20EB8" w:rsidP="005E4E5B">
            <w:pPr>
              <w:pStyle w:val="GesAbsatz"/>
              <w:jc w:val="left"/>
            </w:pPr>
            <w:r>
              <w:t>(2)</w:t>
            </w:r>
          </w:p>
        </w:tc>
        <w:tc>
          <w:tcPr>
            <w:tcW w:w="3465" w:type="dxa"/>
            <w:tcBorders>
              <w:top w:val="nil"/>
            </w:tcBorders>
          </w:tcPr>
          <w:p w:rsidR="00F20EB8" w:rsidRDefault="00F20EB8" w:rsidP="005E4E5B">
            <w:pPr>
              <w:pStyle w:val="GesAbsatz"/>
              <w:jc w:val="left"/>
            </w:pPr>
            <w:r>
              <w:t>Extraktion an ausreichendem Was</w:t>
            </w:r>
            <w:r>
              <w:softHyphen/>
              <w:t>servolumen und Wiegen des Tr</w:t>
            </w:r>
            <w:r>
              <w:t>o</w:t>
            </w:r>
            <w:r>
              <w:t>ckenrückstands</w:t>
            </w:r>
          </w:p>
        </w:tc>
      </w:tr>
      <w:tr w:rsidR="006F18A5">
        <w:tblPrEx>
          <w:tblBorders>
            <w:insideH w:val="single" w:sz="6" w:space="0" w:color="auto"/>
            <w:insideV w:val="single" w:sz="6" w:space="0" w:color="auto"/>
          </w:tblBorders>
        </w:tblPrEx>
        <w:tc>
          <w:tcPr>
            <w:tcW w:w="567" w:type="dxa"/>
            <w:tcBorders>
              <w:bottom w:val="nil"/>
            </w:tcBorders>
          </w:tcPr>
          <w:p w:rsidR="006F18A5" w:rsidRDefault="006F18A5" w:rsidP="005E4E5B">
            <w:pPr>
              <w:pStyle w:val="GesAbsatz"/>
              <w:jc w:val="left"/>
            </w:pPr>
            <w:r>
              <w:t>9</w:t>
            </w:r>
          </w:p>
        </w:tc>
        <w:tc>
          <w:tcPr>
            <w:tcW w:w="1985" w:type="dxa"/>
            <w:tcBorders>
              <w:bottom w:val="nil"/>
            </w:tcBorders>
          </w:tcPr>
          <w:p w:rsidR="006F18A5" w:rsidRDefault="006F18A5" w:rsidP="005E4E5B">
            <w:pPr>
              <w:pStyle w:val="GesAbsatz"/>
              <w:jc w:val="left"/>
            </w:pPr>
            <w:r>
              <w:t>Tenside, die auf Methylenblau rea</w:t>
            </w:r>
            <w:r>
              <w:softHyphen/>
              <w:t>gieren</w:t>
            </w:r>
            <w:r w:rsidR="001C7C48">
              <w:br/>
            </w:r>
            <w:r>
              <w:t>mg/l (Natriumla</w:t>
            </w:r>
            <w:r>
              <w:t>u</w:t>
            </w:r>
            <w:r>
              <w:t>rylsulfat)</w:t>
            </w:r>
          </w:p>
        </w:tc>
        <w:tc>
          <w:tcPr>
            <w:tcW w:w="1134" w:type="dxa"/>
            <w:tcBorders>
              <w:bottom w:val="nil"/>
            </w:tcBorders>
          </w:tcPr>
          <w:p w:rsidR="006F18A5" w:rsidRDefault="006F18A5" w:rsidP="005E4E5B">
            <w:pPr>
              <w:pStyle w:val="GesAbsatz"/>
              <w:jc w:val="left"/>
            </w:pPr>
            <w:r>
              <w:t>-</w:t>
            </w:r>
          </w:p>
        </w:tc>
        <w:tc>
          <w:tcPr>
            <w:tcW w:w="1063" w:type="dxa"/>
            <w:tcBorders>
              <w:bottom w:val="nil"/>
            </w:tcBorders>
          </w:tcPr>
          <w:p w:rsidR="006F18A5" w:rsidRDefault="006F18A5" w:rsidP="005E4E5B">
            <w:pPr>
              <w:pStyle w:val="GesAbsatz"/>
              <w:jc w:val="left"/>
            </w:pPr>
            <w:r>
              <w:t>keine an</w:t>
            </w:r>
            <w:r>
              <w:softHyphen/>
              <w:t>haltende Schau</w:t>
            </w:r>
            <w:r>
              <w:t>m</w:t>
            </w:r>
            <w:r>
              <w:t>bildung</w:t>
            </w:r>
          </w:p>
        </w:tc>
        <w:tc>
          <w:tcPr>
            <w:tcW w:w="1418" w:type="dxa"/>
            <w:tcBorders>
              <w:bottom w:val="nil"/>
            </w:tcBorders>
          </w:tcPr>
          <w:p w:rsidR="006F18A5" w:rsidRDefault="006F18A5" w:rsidP="005E4E5B">
            <w:pPr>
              <w:pStyle w:val="GesAbsatz"/>
              <w:jc w:val="left"/>
            </w:pPr>
            <w:r>
              <w:t>14tägig (1)</w:t>
            </w:r>
          </w:p>
        </w:tc>
        <w:tc>
          <w:tcPr>
            <w:tcW w:w="3465" w:type="dxa"/>
            <w:tcBorders>
              <w:bottom w:val="nil"/>
            </w:tcBorders>
          </w:tcPr>
          <w:p w:rsidR="006F18A5" w:rsidRDefault="006F18A5" w:rsidP="005E4E5B">
            <w:pPr>
              <w:pStyle w:val="GesAbsatz"/>
              <w:jc w:val="left"/>
            </w:pPr>
            <w:r>
              <w:t>Besichtigungsprüfung</w:t>
            </w:r>
          </w:p>
          <w:p w:rsidR="001C7C48" w:rsidRDefault="001C7C48" w:rsidP="005E4E5B">
            <w:pPr>
              <w:pStyle w:val="GesAbsatz"/>
              <w:jc w:val="left"/>
            </w:pPr>
          </w:p>
          <w:p w:rsidR="006F18A5" w:rsidRDefault="006F18A5" w:rsidP="005E4E5B">
            <w:pPr>
              <w:pStyle w:val="GesAbsatz"/>
              <w:jc w:val="left"/>
            </w:pPr>
            <w:r>
              <w:t>oder</w:t>
            </w:r>
          </w:p>
        </w:tc>
      </w:tr>
      <w:tr w:rsidR="00FB595A">
        <w:tblPrEx>
          <w:tblBorders>
            <w:insideH w:val="single" w:sz="6" w:space="0" w:color="auto"/>
            <w:insideV w:val="single" w:sz="6" w:space="0" w:color="auto"/>
          </w:tblBorders>
        </w:tblPrEx>
        <w:tc>
          <w:tcPr>
            <w:tcW w:w="567" w:type="dxa"/>
            <w:tcBorders>
              <w:top w:val="nil"/>
            </w:tcBorders>
          </w:tcPr>
          <w:p w:rsidR="00FB595A" w:rsidRDefault="00FB595A" w:rsidP="005E4E5B">
            <w:pPr>
              <w:pStyle w:val="GesAbsatz"/>
              <w:jc w:val="left"/>
            </w:pPr>
          </w:p>
        </w:tc>
        <w:tc>
          <w:tcPr>
            <w:tcW w:w="1985" w:type="dxa"/>
            <w:tcBorders>
              <w:top w:val="nil"/>
            </w:tcBorders>
          </w:tcPr>
          <w:p w:rsidR="00FB595A" w:rsidRDefault="00FB595A" w:rsidP="005E4E5B">
            <w:pPr>
              <w:pStyle w:val="GesAbsatz"/>
              <w:jc w:val="left"/>
            </w:pPr>
          </w:p>
        </w:tc>
        <w:tc>
          <w:tcPr>
            <w:tcW w:w="1134" w:type="dxa"/>
            <w:tcBorders>
              <w:top w:val="nil"/>
            </w:tcBorders>
          </w:tcPr>
          <w:p w:rsidR="00FB595A" w:rsidRDefault="00FB595A" w:rsidP="005E4E5B">
            <w:pPr>
              <w:pStyle w:val="GesAbsatz"/>
              <w:jc w:val="left"/>
            </w:pPr>
            <w:r>
              <w:sym w:font="Symbol" w:char="F0A3"/>
            </w:r>
            <w:r>
              <w:t xml:space="preserve"> 0,3</w:t>
            </w:r>
          </w:p>
        </w:tc>
        <w:tc>
          <w:tcPr>
            <w:tcW w:w="1063" w:type="dxa"/>
            <w:tcBorders>
              <w:top w:val="nil"/>
            </w:tcBorders>
          </w:tcPr>
          <w:p w:rsidR="00FB595A" w:rsidRDefault="00FB595A" w:rsidP="005E4E5B">
            <w:pPr>
              <w:pStyle w:val="GesAbsatz"/>
              <w:jc w:val="left"/>
            </w:pPr>
          </w:p>
        </w:tc>
        <w:tc>
          <w:tcPr>
            <w:tcW w:w="1418" w:type="dxa"/>
            <w:tcBorders>
              <w:top w:val="nil"/>
            </w:tcBorders>
          </w:tcPr>
          <w:p w:rsidR="00FB595A" w:rsidRDefault="00FB595A" w:rsidP="005E4E5B">
            <w:pPr>
              <w:pStyle w:val="GesAbsatz"/>
              <w:jc w:val="left"/>
            </w:pPr>
            <w:r>
              <w:t>(2)</w:t>
            </w:r>
          </w:p>
        </w:tc>
        <w:tc>
          <w:tcPr>
            <w:tcW w:w="3465" w:type="dxa"/>
            <w:tcBorders>
              <w:top w:val="nil"/>
            </w:tcBorders>
          </w:tcPr>
          <w:p w:rsidR="00FB595A" w:rsidRDefault="00FB595A" w:rsidP="005E4E5B">
            <w:pPr>
              <w:pStyle w:val="GesAbsatz"/>
              <w:jc w:val="left"/>
            </w:pPr>
            <w:r>
              <w:t>Methylenblauverfahren - absorpt</w:t>
            </w:r>
            <w:r>
              <w:t>i</w:t>
            </w:r>
            <w:r>
              <w:t>onsspektrophotometrisch</w:t>
            </w:r>
          </w:p>
        </w:tc>
      </w:tr>
      <w:tr w:rsidR="006F18A5">
        <w:tblPrEx>
          <w:tblBorders>
            <w:insideH w:val="single" w:sz="6" w:space="0" w:color="auto"/>
            <w:insideV w:val="single" w:sz="6" w:space="0" w:color="auto"/>
          </w:tblBorders>
        </w:tblPrEx>
        <w:tc>
          <w:tcPr>
            <w:tcW w:w="567" w:type="dxa"/>
            <w:tcBorders>
              <w:bottom w:val="nil"/>
            </w:tcBorders>
          </w:tcPr>
          <w:p w:rsidR="006F18A5" w:rsidRDefault="006F18A5" w:rsidP="005E4E5B">
            <w:pPr>
              <w:pStyle w:val="GesAbsatz"/>
              <w:jc w:val="left"/>
            </w:pPr>
            <w:r>
              <w:t>10</w:t>
            </w:r>
          </w:p>
        </w:tc>
        <w:tc>
          <w:tcPr>
            <w:tcW w:w="1985" w:type="dxa"/>
            <w:tcBorders>
              <w:bottom w:val="nil"/>
            </w:tcBorders>
          </w:tcPr>
          <w:p w:rsidR="006F18A5" w:rsidRDefault="006F18A5" w:rsidP="005E4E5B">
            <w:pPr>
              <w:pStyle w:val="GesAbsatz"/>
              <w:jc w:val="left"/>
            </w:pPr>
            <w:r>
              <w:t>Phenol mg/l</w:t>
            </w:r>
            <w:r w:rsidR="00F20EB8">
              <w:br/>
            </w:r>
            <w:r>
              <w:t>(Phenol-Zahl)</w:t>
            </w:r>
            <w:r w:rsidR="00F20EB8">
              <w:t xml:space="preserve"> </w:t>
            </w:r>
            <w:r>
              <w:t>C</w:t>
            </w:r>
            <w:r>
              <w:rPr>
                <w:vertAlign w:val="subscript"/>
              </w:rPr>
              <w:t>6</w:t>
            </w:r>
            <w:r>
              <w:t>H</w:t>
            </w:r>
            <w:r>
              <w:rPr>
                <w:vertAlign w:val="subscript"/>
              </w:rPr>
              <w:t>5</w:t>
            </w:r>
            <w:r>
              <w:t>OH</w:t>
            </w:r>
          </w:p>
        </w:tc>
        <w:tc>
          <w:tcPr>
            <w:tcW w:w="1134" w:type="dxa"/>
            <w:tcBorders>
              <w:bottom w:val="nil"/>
            </w:tcBorders>
          </w:tcPr>
          <w:p w:rsidR="006F18A5" w:rsidRDefault="006F18A5" w:rsidP="005E4E5B">
            <w:pPr>
              <w:pStyle w:val="GesAbsatz"/>
              <w:jc w:val="left"/>
            </w:pPr>
            <w:r>
              <w:t>-</w:t>
            </w:r>
          </w:p>
        </w:tc>
        <w:tc>
          <w:tcPr>
            <w:tcW w:w="1063" w:type="dxa"/>
            <w:tcBorders>
              <w:bottom w:val="nil"/>
            </w:tcBorders>
          </w:tcPr>
          <w:p w:rsidR="006F18A5" w:rsidRDefault="006F18A5" w:rsidP="005E4E5B">
            <w:pPr>
              <w:pStyle w:val="GesAbsatz"/>
              <w:jc w:val="left"/>
            </w:pPr>
            <w:r>
              <w:t>kein spe</w:t>
            </w:r>
            <w:r>
              <w:softHyphen/>
              <w:t>zifischer Geruch</w:t>
            </w:r>
          </w:p>
        </w:tc>
        <w:tc>
          <w:tcPr>
            <w:tcW w:w="1418" w:type="dxa"/>
            <w:tcBorders>
              <w:bottom w:val="nil"/>
            </w:tcBorders>
          </w:tcPr>
          <w:p w:rsidR="006F18A5" w:rsidRDefault="006F18A5" w:rsidP="005E4E5B">
            <w:pPr>
              <w:pStyle w:val="GesAbsatz"/>
              <w:jc w:val="left"/>
            </w:pPr>
            <w:r>
              <w:t>14tägig (1)</w:t>
            </w:r>
          </w:p>
          <w:p w:rsidR="006F18A5" w:rsidRDefault="006F18A5" w:rsidP="005E4E5B">
            <w:pPr>
              <w:pStyle w:val="GesAbsatz"/>
              <w:jc w:val="left"/>
            </w:pPr>
          </w:p>
        </w:tc>
        <w:tc>
          <w:tcPr>
            <w:tcW w:w="3465" w:type="dxa"/>
            <w:tcBorders>
              <w:bottom w:val="nil"/>
            </w:tcBorders>
          </w:tcPr>
          <w:p w:rsidR="006F18A5" w:rsidRDefault="006F18A5" w:rsidP="005E4E5B">
            <w:pPr>
              <w:pStyle w:val="GesAbsatz"/>
              <w:jc w:val="left"/>
            </w:pPr>
            <w:r>
              <w:t xml:space="preserve">Überprüfung auf spezifischen Geruch nach Phenol </w:t>
            </w:r>
          </w:p>
          <w:p w:rsidR="006F18A5" w:rsidRDefault="006F18A5" w:rsidP="005E4E5B">
            <w:pPr>
              <w:pStyle w:val="GesAbsatz"/>
              <w:jc w:val="left"/>
            </w:pPr>
            <w:r>
              <w:t>oder</w:t>
            </w:r>
          </w:p>
        </w:tc>
      </w:tr>
      <w:tr w:rsidR="00F20EB8">
        <w:tblPrEx>
          <w:tblBorders>
            <w:insideH w:val="single" w:sz="6" w:space="0" w:color="auto"/>
            <w:insideV w:val="single" w:sz="6" w:space="0" w:color="auto"/>
          </w:tblBorders>
        </w:tblPrEx>
        <w:tc>
          <w:tcPr>
            <w:tcW w:w="567" w:type="dxa"/>
            <w:tcBorders>
              <w:top w:val="nil"/>
            </w:tcBorders>
          </w:tcPr>
          <w:p w:rsidR="00F20EB8" w:rsidRDefault="00F20EB8" w:rsidP="005E4E5B">
            <w:pPr>
              <w:pStyle w:val="GesAbsatz"/>
              <w:jc w:val="left"/>
            </w:pPr>
          </w:p>
        </w:tc>
        <w:tc>
          <w:tcPr>
            <w:tcW w:w="1985" w:type="dxa"/>
            <w:tcBorders>
              <w:top w:val="nil"/>
            </w:tcBorders>
          </w:tcPr>
          <w:p w:rsidR="00F20EB8" w:rsidRDefault="00F20EB8" w:rsidP="005E4E5B">
            <w:pPr>
              <w:pStyle w:val="GesAbsatz"/>
              <w:jc w:val="left"/>
            </w:pPr>
          </w:p>
        </w:tc>
        <w:tc>
          <w:tcPr>
            <w:tcW w:w="1134" w:type="dxa"/>
            <w:tcBorders>
              <w:top w:val="nil"/>
            </w:tcBorders>
          </w:tcPr>
          <w:p w:rsidR="00F20EB8" w:rsidRDefault="00F20EB8" w:rsidP="005E4E5B">
            <w:pPr>
              <w:pStyle w:val="GesAbsatz"/>
              <w:jc w:val="left"/>
            </w:pPr>
            <w:r>
              <w:sym w:font="Symbol" w:char="F0A3"/>
            </w:r>
            <w:r>
              <w:t xml:space="preserve"> 0,005</w:t>
            </w:r>
          </w:p>
        </w:tc>
        <w:tc>
          <w:tcPr>
            <w:tcW w:w="1063" w:type="dxa"/>
            <w:tcBorders>
              <w:top w:val="nil"/>
            </w:tcBorders>
          </w:tcPr>
          <w:p w:rsidR="00F20EB8" w:rsidRDefault="00F20EB8" w:rsidP="005E4E5B">
            <w:pPr>
              <w:pStyle w:val="GesAbsatz"/>
              <w:jc w:val="left"/>
            </w:pPr>
            <w:r>
              <w:sym w:font="Symbol" w:char="F0A3"/>
            </w:r>
            <w:r>
              <w:t xml:space="preserve"> 0,05</w:t>
            </w:r>
          </w:p>
        </w:tc>
        <w:tc>
          <w:tcPr>
            <w:tcW w:w="1418" w:type="dxa"/>
            <w:tcBorders>
              <w:top w:val="nil"/>
            </w:tcBorders>
          </w:tcPr>
          <w:p w:rsidR="00F20EB8" w:rsidRDefault="00F20EB8" w:rsidP="005E4E5B">
            <w:pPr>
              <w:pStyle w:val="GesAbsatz"/>
              <w:jc w:val="left"/>
            </w:pPr>
            <w:r>
              <w:t>(2)</w:t>
            </w:r>
          </w:p>
        </w:tc>
        <w:tc>
          <w:tcPr>
            <w:tcW w:w="3465" w:type="dxa"/>
            <w:tcBorders>
              <w:top w:val="nil"/>
            </w:tcBorders>
          </w:tcPr>
          <w:p w:rsidR="00F20EB8" w:rsidRDefault="00F20EB8" w:rsidP="005E4E5B">
            <w:pPr>
              <w:pStyle w:val="GesAbsatz"/>
              <w:jc w:val="left"/>
            </w:pPr>
            <w:r>
              <w:t>Absorptionsspektrophotometrie</w:t>
            </w:r>
            <w:r>
              <w:br/>
              <w:t>4-AAP-Methode (4-Aminoantipyrin)</w:t>
            </w:r>
          </w:p>
        </w:tc>
      </w:tr>
      <w:tr w:rsidR="006F18A5">
        <w:tblPrEx>
          <w:tblBorders>
            <w:insideH w:val="single" w:sz="6" w:space="0" w:color="auto"/>
            <w:insideV w:val="single" w:sz="6" w:space="0" w:color="auto"/>
          </w:tblBorders>
        </w:tblPrEx>
        <w:tc>
          <w:tcPr>
            <w:tcW w:w="567" w:type="dxa"/>
          </w:tcPr>
          <w:p w:rsidR="006F18A5" w:rsidRDefault="006F18A5" w:rsidP="005E4E5B">
            <w:pPr>
              <w:pStyle w:val="GesAbsatz"/>
              <w:jc w:val="left"/>
            </w:pPr>
            <w:r>
              <w:t>11</w:t>
            </w:r>
          </w:p>
        </w:tc>
        <w:tc>
          <w:tcPr>
            <w:tcW w:w="1985" w:type="dxa"/>
          </w:tcPr>
          <w:p w:rsidR="006F18A5" w:rsidRDefault="006F18A5" w:rsidP="005E4E5B">
            <w:pPr>
              <w:pStyle w:val="GesAbsatz"/>
              <w:jc w:val="left"/>
            </w:pPr>
            <w:r>
              <w:t>Transparenz m</w:t>
            </w:r>
          </w:p>
        </w:tc>
        <w:tc>
          <w:tcPr>
            <w:tcW w:w="1134" w:type="dxa"/>
          </w:tcPr>
          <w:p w:rsidR="006F18A5" w:rsidRDefault="006F18A5" w:rsidP="005E4E5B">
            <w:pPr>
              <w:pStyle w:val="GesAbsatz"/>
              <w:jc w:val="left"/>
            </w:pPr>
            <w:r>
              <w:t>2</w:t>
            </w:r>
          </w:p>
        </w:tc>
        <w:tc>
          <w:tcPr>
            <w:tcW w:w="1063" w:type="dxa"/>
          </w:tcPr>
          <w:p w:rsidR="006F18A5" w:rsidRDefault="006F18A5" w:rsidP="005E4E5B">
            <w:pPr>
              <w:pStyle w:val="GesAbsatz"/>
              <w:jc w:val="left"/>
            </w:pPr>
            <w:r>
              <w:t>1(0)</w:t>
            </w:r>
          </w:p>
        </w:tc>
        <w:tc>
          <w:tcPr>
            <w:tcW w:w="1418" w:type="dxa"/>
          </w:tcPr>
          <w:p w:rsidR="006F18A5" w:rsidRDefault="006F18A5" w:rsidP="005E4E5B">
            <w:pPr>
              <w:pStyle w:val="GesAbsatz"/>
              <w:jc w:val="left"/>
            </w:pPr>
            <w:r>
              <w:t>14tägig (1)</w:t>
            </w:r>
          </w:p>
        </w:tc>
        <w:tc>
          <w:tcPr>
            <w:tcW w:w="3465" w:type="dxa"/>
          </w:tcPr>
          <w:p w:rsidR="006F18A5" w:rsidRDefault="006F18A5" w:rsidP="005E4E5B">
            <w:pPr>
              <w:pStyle w:val="GesAbsatz"/>
              <w:jc w:val="left"/>
            </w:pPr>
            <w:r>
              <w:t>Secchi-Scheibe</w:t>
            </w:r>
          </w:p>
        </w:tc>
      </w:tr>
      <w:tr w:rsidR="006F18A5">
        <w:tblPrEx>
          <w:tblBorders>
            <w:insideH w:val="single" w:sz="6" w:space="0" w:color="auto"/>
            <w:insideV w:val="single" w:sz="6" w:space="0" w:color="auto"/>
          </w:tblBorders>
        </w:tblPrEx>
        <w:tc>
          <w:tcPr>
            <w:tcW w:w="567" w:type="dxa"/>
          </w:tcPr>
          <w:p w:rsidR="006F18A5" w:rsidRDefault="006F18A5" w:rsidP="005E4E5B">
            <w:pPr>
              <w:pStyle w:val="GesAbsatz"/>
              <w:jc w:val="left"/>
            </w:pPr>
            <w:r>
              <w:t>12</w:t>
            </w:r>
          </w:p>
        </w:tc>
        <w:tc>
          <w:tcPr>
            <w:tcW w:w="1985" w:type="dxa"/>
          </w:tcPr>
          <w:p w:rsidR="006F18A5" w:rsidRDefault="006F18A5" w:rsidP="005E4E5B">
            <w:pPr>
              <w:pStyle w:val="GesAbsatz"/>
              <w:jc w:val="left"/>
            </w:pPr>
            <w:r>
              <w:t>Gelöster Sauerstoff %-Sättigung O</w:t>
            </w:r>
            <w:r>
              <w:rPr>
                <w:vertAlign w:val="subscript"/>
              </w:rPr>
              <w:t>2</w:t>
            </w:r>
          </w:p>
        </w:tc>
        <w:tc>
          <w:tcPr>
            <w:tcW w:w="1134" w:type="dxa"/>
          </w:tcPr>
          <w:p w:rsidR="006F18A5" w:rsidRDefault="006F18A5" w:rsidP="005E4E5B">
            <w:pPr>
              <w:pStyle w:val="GesAbsatz"/>
              <w:jc w:val="left"/>
            </w:pPr>
            <w:r>
              <w:t>80-120</w:t>
            </w:r>
          </w:p>
        </w:tc>
        <w:tc>
          <w:tcPr>
            <w:tcW w:w="1063" w:type="dxa"/>
          </w:tcPr>
          <w:p w:rsidR="006F18A5" w:rsidRDefault="006F18A5" w:rsidP="005E4E5B">
            <w:pPr>
              <w:pStyle w:val="GesAbsatz"/>
              <w:jc w:val="left"/>
            </w:pPr>
            <w:r>
              <w:t>-</w:t>
            </w:r>
          </w:p>
        </w:tc>
        <w:tc>
          <w:tcPr>
            <w:tcW w:w="1418" w:type="dxa"/>
          </w:tcPr>
          <w:p w:rsidR="006F18A5" w:rsidRDefault="006F18A5" w:rsidP="005E4E5B">
            <w:pPr>
              <w:pStyle w:val="GesAbsatz"/>
              <w:jc w:val="left"/>
            </w:pPr>
            <w:r>
              <w:t>(2)</w:t>
            </w:r>
          </w:p>
        </w:tc>
        <w:tc>
          <w:tcPr>
            <w:tcW w:w="3465" w:type="dxa"/>
          </w:tcPr>
          <w:p w:rsidR="006F18A5" w:rsidRDefault="006F18A5" w:rsidP="005E4E5B">
            <w:pPr>
              <w:pStyle w:val="GesAbsatz"/>
              <w:jc w:val="left"/>
            </w:pPr>
            <w:r>
              <w:t>Winkler-Methode oder elektrometri</w:t>
            </w:r>
            <w:r>
              <w:softHyphen/>
              <w:t>sche Methode (Sauerstoffmesser)</w:t>
            </w:r>
          </w:p>
        </w:tc>
      </w:tr>
      <w:tr w:rsidR="006F18A5">
        <w:tblPrEx>
          <w:tblBorders>
            <w:insideH w:val="single" w:sz="6" w:space="0" w:color="auto"/>
            <w:insideV w:val="single" w:sz="6" w:space="0" w:color="auto"/>
          </w:tblBorders>
        </w:tblPrEx>
        <w:tc>
          <w:tcPr>
            <w:tcW w:w="567" w:type="dxa"/>
          </w:tcPr>
          <w:p w:rsidR="006F18A5" w:rsidRDefault="006F18A5" w:rsidP="005E4E5B">
            <w:pPr>
              <w:pStyle w:val="GesAbsatz"/>
              <w:jc w:val="left"/>
            </w:pPr>
            <w:r>
              <w:t>13</w:t>
            </w:r>
          </w:p>
        </w:tc>
        <w:tc>
          <w:tcPr>
            <w:tcW w:w="1985" w:type="dxa"/>
          </w:tcPr>
          <w:p w:rsidR="006F18A5" w:rsidRDefault="006F18A5" w:rsidP="005E4E5B">
            <w:pPr>
              <w:pStyle w:val="GesAbsatz"/>
              <w:jc w:val="left"/>
            </w:pPr>
            <w:r>
              <w:t>Teer-Rückstände und schwimmende Körper wie Holz, Kunststoff, Fl</w:t>
            </w:r>
            <w:r>
              <w:t>a</w:t>
            </w:r>
            <w:r>
              <w:t>schen, Gefäße aus Glas, Kunststoff, Gummi oder sonst</w:t>
            </w:r>
            <w:r>
              <w:t>i</w:t>
            </w:r>
            <w:r>
              <w:t>gen Stoffen. Bruch oder Splitter</w:t>
            </w:r>
          </w:p>
        </w:tc>
        <w:tc>
          <w:tcPr>
            <w:tcW w:w="1134" w:type="dxa"/>
          </w:tcPr>
          <w:p w:rsidR="006F18A5" w:rsidRDefault="006F18A5" w:rsidP="005E4E5B">
            <w:pPr>
              <w:pStyle w:val="GesAbsatz"/>
              <w:jc w:val="left"/>
            </w:pPr>
            <w:r>
              <w:t>keine</w:t>
            </w:r>
          </w:p>
        </w:tc>
        <w:tc>
          <w:tcPr>
            <w:tcW w:w="1063" w:type="dxa"/>
          </w:tcPr>
          <w:p w:rsidR="006F18A5" w:rsidRDefault="006F18A5" w:rsidP="005E4E5B">
            <w:pPr>
              <w:pStyle w:val="GesAbsatz"/>
              <w:jc w:val="left"/>
            </w:pPr>
          </w:p>
        </w:tc>
        <w:tc>
          <w:tcPr>
            <w:tcW w:w="1418" w:type="dxa"/>
          </w:tcPr>
          <w:p w:rsidR="006F18A5" w:rsidRDefault="006F18A5" w:rsidP="005E4E5B">
            <w:pPr>
              <w:pStyle w:val="GesAbsatz"/>
              <w:jc w:val="left"/>
            </w:pPr>
            <w:r>
              <w:t>14tägig (1)</w:t>
            </w:r>
          </w:p>
        </w:tc>
        <w:tc>
          <w:tcPr>
            <w:tcW w:w="3465" w:type="dxa"/>
          </w:tcPr>
          <w:p w:rsidR="006F18A5" w:rsidRDefault="006F18A5" w:rsidP="005E4E5B">
            <w:pPr>
              <w:pStyle w:val="GesAbsatz"/>
              <w:jc w:val="left"/>
            </w:pPr>
            <w:r>
              <w:t>Besichtigungsprüfung</w:t>
            </w:r>
          </w:p>
        </w:tc>
      </w:tr>
      <w:tr w:rsidR="006F18A5">
        <w:tblPrEx>
          <w:tblBorders>
            <w:insideH w:val="single" w:sz="6" w:space="0" w:color="auto"/>
            <w:insideV w:val="single" w:sz="6" w:space="0" w:color="auto"/>
          </w:tblBorders>
        </w:tblPrEx>
        <w:tc>
          <w:tcPr>
            <w:tcW w:w="567" w:type="dxa"/>
          </w:tcPr>
          <w:p w:rsidR="006F18A5" w:rsidRDefault="006F18A5" w:rsidP="005E4E5B">
            <w:pPr>
              <w:pStyle w:val="GesAbsatz"/>
              <w:jc w:val="left"/>
            </w:pPr>
            <w:r>
              <w:t>14</w:t>
            </w:r>
          </w:p>
        </w:tc>
        <w:tc>
          <w:tcPr>
            <w:tcW w:w="1985" w:type="dxa"/>
          </w:tcPr>
          <w:p w:rsidR="006F18A5" w:rsidRDefault="006F18A5" w:rsidP="005E4E5B">
            <w:pPr>
              <w:pStyle w:val="GesAbsatz"/>
              <w:jc w:val="left"/>
            </w:pPr>
            <w:r>
              <w:t>Ammoniak mg/l NH</w:t>
            </w:r>
            <w:r>
              <w:rPr>
                <w:vertAlign w:val="subscript"/>
              </w:rPr>
              <w:t>4</w:t>
            </w:r>
          </w:p>
        </w:tc>
        <w:tc>
          <w:tcPr>
            <w:tcW w:w="1134" w:type="dxa"/>
          </w:tcPr>
          <w:p w:rsidR="006F18A5" w:rsidRDefault="006F18A5" w:rsidP="005E4E5B">
            <w:pPr>
              <w:pStyle w:val="GesAbsatz"/>
              <w:jc w:val="left"/>
            </w:pPr>
          </w:p>
        </w:tc>
        <w:tc>
          <w:tcPr>
            <w:tcW w:w="1063" w:type="dxa"/>
          </w:tcPr>
          <w:p w:rsidR="006F18A5" w:rsidRDefault="006F18A5" w:rsidP="005E4E5B">
            <w:pPr>
              <w:pStyle w:val="GesAbsatz"/>
              <w:jc w:val="left"/>
            </w:pPr>
          </w:p>
        </w:tc>
        <w:tc>
          <w:tcPr>
            <w:tcW w:w="1418" w:type="dxa"/>
          </w:tcPr>
          <w:p w:rsidR="006F18A5" w:rsidRDefault="006F18A5" w:rsidP="005E4E5B">
            <w:pPr>
              <w:pStyle w:val="GesAbsatz"/>
              <w:jc w:val="left"/>
            </w:pPr>
            <w:r>
              <w:t>(3)</w:t>
            </w:r>
          </w:p>
        </w:tc>
        <w:tc>
          <w:tcPr>
            <w:tcW w:w="3465" w:type="dxa"/>
          </w:tcPr>
          <w:p w:rsidR="006F18A5" w:rsidRDefault="006F18A5" w:rsidP="005E4E5B">
            <w:pPr>
              <w:pStyle w:val="GesAbsatz"/>
              <w:jc w:val="left"/>
            </w:pPr>
            <w:r>
              <w:t>Absorptions-Spektrophotometer - Nessler-Reagenz - oder Indopheno</w:t>
            </w:r>
            <w:r>
              <w:t>l</w:t>
            </w:r>
            <w:r>
              <w:t>blau-Methode</w:t>
            </w:r>
          </w:p>
        </w:tc>
      </w:tr>
      <w:tr w:rsidR="006F18A5">
        <w:tblPrEx>
          <w:tblBorders>
            <w:insideH w:val="single" w:sz="6" w:space="0" w:color="auto"/>
            <w:insideV w:val="single" w:sz="6" w:space="0" w:color="auto"/>
          </w:tblBorders>
        </w:tblPrEx>
        <w:tc>
          <w:tcPr>
            <w:tcW w:w="567" w:type="dxa"/>
          </w:tcPr>
          <w:p w:rsidR="006F18A5" w:rsidRDefault="006F18A5" w:rsidP="005E4E5B">
            <w:pPr>
              <w:pStyle w:val="GesAbsatz"/>
              <w:jc w:val="left"/>
            </w:pPr>
            <w:r>
              <w:t>15</w:t>
            </w:r>
          </w:p>
        </w:tc>
        <w:tc>
          <w:tcPr>
            <w:tcW w:w="1985" w:type="dxa"/>
          </w:tcPr>
          <w:p w:rsidR="006F18A5" w:rsidRDefault="006F18A5" w:rsidP="005E4E5B">
            <w:pPr>
              <w:pStyle w:val="GesAbsatz"/>
              <w:jc w:val="left"/>
            </w:pPr>
            <w:r>
              <w:t>Kjeldahl-Stickstoff mg/l N</w:t>
            </w:r>
          </w:p>
        </w:tc>
        <w:tc>
          <w:tcPr>
            <w:tcW w:w="1134" w:type="dxa"/>
          </w:tcPr>
          <w:p w:rsidR="006F18A5" w:rsidRDefault="006F18A5" w:rsidP="005E4E5B">
            <w:pPr>
              <w:pStyle w:val="GesAbsatz"/>
              <w:jc w:val="left"/>
            </w:pPr>
          </w:p>
        </w:tc>
        <w:tc>
          <w:tcPr>
            <w:tcW w:w="1063" w:type="dxa"/>
          </w:tcPr>
          <w:p w:rsidR="006F18A5" w:rsidRDefault="006F18A5" w:rsidP="005E4E5B">
            <w:pPr>
              <w:pStyle w:val="GesAbsatz"/>
              <w:jc w:val="left"/>
            </w:pPr>
          </w:p>
        </w:tc>
        <w:tc>
          <w:tcPr>
            <w:tcW w:w="1418" w:type="dxa"/>
          </w:tcPr>
          <w:p w:rsidR="006F18A5" w:rsidRDefault="006F18A5" w:rsidP="005E4E5B">
            <w:pPr>
              <w:pStyle w:val="GesAbsatz"/>
              <w:jc w:val="left"/>
            </w:pPr>
            <w:r>
              <w:t>(3)</w:t>
            </w:r>
          </w:p>
        </w:tc>
        <w:tc>
          <w:tcPr>
            <w:tcW w:w="3465" w:type="dxa"/>
          </w:tcPr>
          <w:p w:rsidR="006F18A5" w:rsidRDefault="006F18A5" w:rsidP="005E4E5B">
            <w:pPr>
              <w:pStyle w:val="GesAbsatz"/>
              <w:jc w:val="left"/>
            </w:pPr>
            <w:r>
              <w:t>Kjeldahl-Methode</w:t>
            </w:r>
          </w:p>
        </w:tc>
      </w:tr>
      <w:tr w:rsidR="00F20EB8">
        <w:tblPrEx>
          <w:tblBorders>
            <w:insideH w:val="single" w:sz="6" w:space="0" w:color="auto"/>
            <w:insideV w:val="single" w:sz="6" w:space="0" w:color="auto"/>
          </w:tblBorders>
        </w:tblPrEx>
        <w:tc>
          <w:tcPr>
            <w:tcW w:w="567" w:type="dxa"/>
          </w:tcPr>
          <w:p w:rsidR="00F20EB8" w:rsidRDefault="00F20EB8">
            <w:pPr>
              <w:tabs>
                <w:tab w:val="clear" w:pos="425"/>
                <w:tab w:val="decimal" w:pos="284"/>
              </w:tabs>
              <w:ind w:right="-142"/>
            </w:pPr>
          </w:p>
        </w:tc>
        <w:tc>
          <w:tcPr>
            <w:tcW w:w="1985" w:type="dxa"/>
          </w:tcPr>
          <w:p w:rsidR="00F20EB8" w:rsidRPr="005E4E5B" w:rsidRDefault="00F20EB8" w:rsidP="005E4E5B">
            <w:pPr>
              <w:pStyle w:val="GesAbsatz"/>
              <w:jc w:val="left"/>
              <w:rPr>
                <w:b/>
              </w:rPr>
            </w:pPr>
            <w:r w:rsidRPr="005E4E5B">
              <w:rPr>
                <w:b/>
              </w:rPr>
              <w:t>Andere Stoffe, die als Zeichen von Verschmutzung gelten</w:t>
            </w:r>
          </w:p>
        </w:tc>
        <w:tc>
          <w:tcPr>
            <w:tcW w:w="1134" w:type="dxa"/>
          </w:tcPr>
          <w:p w:rsidR="00F20EB8" w:rsidRDefault="00F20EB8">
            <w:pPr>
              <w:tabs>
                <w:tab w:val="clear" w:pos="425"/>
                <w:tab w:val="decimal" w:pos="567"/>
              </w:tabs>
            </w:pPr>
          </w:p>
        </w:tc>
        <w:tc>
          <w:tcPr>
            <w:tcW w:w="1063" w:type="dxa"/>
          </w:tcPr>
          <w:p w:rsidR="00F20EB8" w:rsidRDefault="00F20EB8" w:rsidP="00F20EB8">
            <w:pPr>
              <w:tabs>
                <w:tab w:val="clear" w:pos="425"/>
                <w:tab w:val="decimal" w:pos="567"/>
              </w:tabs>
              <w:jc w:val="left"/>
            </w:pPr>
          </w:p>
        </w:tc>
        <w:tc>
          <w:tcPr>
            <w:tcW w:w="1418" w:type="dxa"/>
          </w:tcPr>
          <w:p w:rsidR="00F20EB8" w:rsidRDefault="00F20EB8">
            <w:pPr>
              <w:tabs>
                <w:tab w:val="clear" w:pos="425"/>
              </w:tabs>
            </w:pPr>
          </w:p>
        </w:tc>
        <w:tc>
          <w:tcPr>
            <w:tcW w:w="3465" w:type="dxa"/>
          </w:tcPr>
          <w:p w:rsidR="00F20EB8" w:rsidRDefault="00F20EB8">
            <w:pPr>
              <w:tabs>
                <w:tab w:val="clear" w:pos="425"/>
              </w:tabs>
            </w:pPr>
          </w:p>
        </w:tc>
      </w:tr>
      <w:tr w:rsidR="006F18A5">
        <w:tblPrEx>
          <w:tblBorders>
            <w:insideH w:val="single" w:sz="6" w:space="0" w:color="auto"/>
            <w:insideV w:val="single" w:sz="6" w:space="0" w:color="auto"/>
          </w:tblBorders>
        </w:tblPrEx>
        <w:tc>
          <w:tcPr>
            <w:tcW w:w="567" w:type="dxa"/>
          </w:tcPr>
          <w:p w:rsidR="006F18A5" w:rsidRDefault="006F18A5" w:rsidP="005E4E5B">
            <w:pPr>
              <w:pStyle w:val="GesAbsatz"/>
              <w:jc w:val="left"/>
            </w:pPr>
            <w:r>
              <w:t>16</w:t>
            </w:r>
          </w:p>
        </w:tc>
        <w:tc>
          <w:tcPr>
            <w:tcW w:w="1985" w:type="dxa"/>
          </w:tcPr>
          <w:p w:rsidR="006F18A5" w:rsidRDefault="006F18A5" w:rsidP="005E4E5B">
            <w:pPr>
              <w:pStyle w:val="GesAbsatz"/>
              <w:jc w:val="left"/>
            </w:pPr>
            <w:r>
              <w:t>Pestizide mg/l</w:t>
            </w:r>
            <w:r w:rsidR="00F20EB8">
              <w:br/>
            </w:r>
            <w:r>
              <w:t>(Parathion, HCH, Dieldrin)</w:t>
            </w:r>
          </w:p>
        </w:tc>
        <w:tc>
          <w:tcPr>
            <w:tcW w:w="1134" w:type="dxa"/>
          </w:tcPr>
          <w:p w:rsidR="006F18A5" w:rsidRDefault="006F18A5" w:rsidP="005E4E5B">
            <w:pPr>
              <w:pStyle w:val="GesAbsatz"/>
              <w:jc w:val="left"/>
            </w:pPr>
          </w:p>
        </w:tc>
        <w:tc>
          <w:tcPr>
            <w:tcW w:w="1063" w:type="dxa"/>
          </w:tcPr>
          <w:p w:rsidR="006F18A5" w:rsidRDefault="006F18A5" w:rsidP="005E4E5B">
            <w:pPr>
              <w:pStyle w:val="GesAbsatz"/>
              <w:jc w:val="left"/>
            </w:pPr>
          </w:p>
        </w:tc>
        <w:tc>
          <w:tcPr>
            <w:tcW w:w="1418" w:type="dxa"/>
          </w:tcPr>
          <w:p w:rsidR="006F18A5" w:rsidRDefault="006F18A5" w:rsidP="005E4E5B">
            <w:pPr>
              <w:pStyle w:val="GesAbsatz"/>
              <w:jc w:val="left"/>
            </w:pPr>
            <w:r>
              <w:t>(2)</w:t>
            </w:r>
          </w:p>
        </w:tc>
        <w:tc>
          <w:tcPr>
            <w:tcW w:w="3465" w:type="dxa"/>
          </w:tcPr>
          <w:p w:rsidR="006F18A5" w:rsidRDefault="006F18A5" w:rsidP="005E4E5B">
            <w:pPr>
              <w:pStyle w:val="GesAbsatz"/>
              <w:jc w:val="left"/>
            </w:pPr>
            <w:r>
              <w:t>Extraktion mit geeigneten Lösung</w:t>
            </w:r>
            <w:r>
              <w:t>s</w:t>
            </w:r>
            <w:r>
              <w:t>mitteln und chromatographische Bestimmung</w:t>
            </w:r>
          </w:p>
        </w:tc>
      </w:tr>
      <w:tr w:rsidR="006F18A5">
        <w:tc>
          <w:tcPr>
            <w:tcW w:w="567" w:type="dxa"/>
            <w:tcBorders>
              <w:top w:val="single" w:sz="6" w:space="0" w:color="auto"/>
              <w:bottom w:val="single" w:sz="6" w:space="0" w:color="auto"/>
              <w:right w:val="single" w:sz="6" w:space="0" w:color="auto"/>
            </w:tcBorders>
          </w:tcPr>
          <w:p w:rsidR="006F18A5" w:rsidRDefault="006F18A5" w:rsidP="005E4E5B">
            <w:pPr>
              <w:pStyle w:val="GesAbsatz"/>
              <w:jc w:val="left"/>
            </w:pPr>
            <w:r>
              <w:t>17</w:t>
            </w:r>
          </w:p>
        </w:tc>
        <w:tc>
          <w:tcPr>
            <w:tcW w:w="1985"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Schwermetalle wie:</w:t>
            </w:r>
          </w:p>
          <w:p w:rsidR="006F18A5" w:rsidRDefault="006F18A5" w:rsidP="005E4E5B">
            <w:pPr>
              <w:pStyle w:val="GesAbsatz"/>
              <w:jc w:val="left"/>
            </w:pPr>
            <w:r>
              <w:t>Arsen mg/l</w:t>
            </w:r>
            <w:r w:rsidR="00FA61DE">
              <w:tab/>
            </w:r>
            <w:r>
              <w:t>As</w:t>
            </w:r>
          </w:p>
          <w:p w:rsidR="006F18A5" w:rsidRPr="00AB1DC6" w:rsidRDefault="006F18A5" w:rsidP="00CC0F29">
            <w:pPr>
              <w:pStyle w:val="GesAbsatz"/>
              <w:tabs>
                <w:tab w:val="clear" w:pos="425"/>
                <w:tab w:val="left" w:pos="1276"/>
              </w:tabs>
              <w:jc w:val="left"/>
              <w:rPr>
                <w:lang w:val="nl-NL"/>
              </w:rPr>
            </w:pPr>
            <w:r w:rsidRPr="00AB1DC6">
              <w:rPr>
                <w:lang w:val="nl-NL"/>
              </w:rPr>
              <w:lastRenderedPageBreak/>
              <w:t>Kadmium</w:t>
            </w:r>
            <w:r w:rsidR="00FA61DE" w:rsidRPr="00AB1DC6">
              <w:rPr>
                <w:lang w:val="nl-NL"/>
              </w:rPr>
              <w:tab/>
            </w:r>
            <w:r w:rsidRPr="00AB1DC6">
              <w:rPr>
                <w:lang w:val="nl-NL"/>
              </w:rPr>
              <w:t>Cd</w:t>
            </w:r>
          </w:p>
          <w:p w:rsidR="006F18A5" w:rsidRPr="00AB1DC6" w:rsidRDefault="006F18A5" w:rsidP="005E4E5B">
            <w:pPr>
              <w:pStyle w:val="GesAbsatz"/>
              <w:tabs>
                <w:tab w:val="clear" w:pos="425"/>
                <w:tab w:val="left" w:pos="1276"/>
              </w:tabs>
              <w:jc w:val="left"/>
              <w:rPr>
                <w:lang w:val="nl-NL"/>
              </w:rPr>
            </w:pPr>
            <w:r w:rsidRPr="00AB1DC6">
              <w:rPr>
                <w:lang w:val="nl-NL"/>
              </w:rPr>
              <w:t>Chrom VI</w:t>
            </w:r>
            <w:r w:rsidR="00FA61DE" w:rsidRPr="00AB1DC6">
              <w:rPr>
                <w:lang w:val="nl-NL"/>
              </w:rPr>
              <w:tab/>
            </w:r>
            <w:r w:rsidRPr="00AB1DC6">
              <w:rPr>
                <w:lang w:val="nl-NL"/>
              </w:rPr>
              <w:t>Cr VI</w:t>
            </w:r>
          </w:p>
          <w:p w:rsidR="006F18A5" w:rsidRPr="00AB1DC6" w:rsidRDefault="006F18A5" w:rsidP="005E4E5B">
            <w:pPr>
              <w:pStyle w:val="GesAbsatz"/>
              <w:tabs>
                <w:tab w:val="clear" w:pos="425"/>
                <w:tab w:val="left" w:pos="1276"/>
              </w:tabs>
              <w:jc w:val="left"/>
              <w:rPr>
                <w:lang w:val="nl-NL"/>
              </w:rPr>
            </w:pPr>
            <w:r w:rsidRPr="00AB1DC6">
              <w:rPr>
                <w:lang w:val="nl-NL"/>
              </w:rPr>
              <w:t>Blei</w:t>
            </w:r>
            <w:r w:rsidR="00FA61DE" w:rsidRPr="00AB1DC6">
              <w:rPr>
                <w:lang w:val="nl-NL"/>
              </w:rPr>
              <w:tab/>
            </w:r>
            <w:r w:rsidRPr="00AB1DC6">
              <w:rPr>
                <w:lang w:val="nl-NL"/>
              </w:rPr>
              <w:t>Pb</w:t>
            </w:r>
          </w:p>
          <w:p w:rsidR="006F18A5" w:rsidRDefault="006F18A5" w:rsidP="005E4E5B">
            <w:pPr>
              <w:pStyle w:val="GesAbsatz"/>
              <w:tabs>
                <w:tab w:val="clear" w:pos="425"/>
                <w:tab w:val="left" w:pos="1276"/>
              </w:tabs>
              <w:jc w:val="left"/>
            </w:pPr>
            <w:r>
              <w:t>Quecksilber</w:t>
            </w:r>
            <w:r w:rsidR="00FA61DE">
              <w:tab/>
            </w:r>
            <w:r>
              <w:t>Hg</w:t>
            </w:r>
          </w:p>
        </w:tc>
        <w:tc>
          <w:tcPr>
            <w:tcW w:w="1134" w:type="dxa"/>
            <w:tcBorders>
              <w:top w:val="single" w:sz="6" w:space="0" w:color="auto"/>
              <w:left w:val="nil"/>
              <w:bottom w:val="single" w:sz="6" w:space="0" w:color="auto"/>
              <w:right w:val="single" w:sz="6" w:space="0" w:color="auto"/>
            </w:tcBorders>
          </w:tcPr>
          <w:p w:rsidR="006F18A5" w:rsidRDefault="006F18A5" w:rsidP="005E4E5B">
            <w:pPr>
              <w:pStyle w:val="GesAbsatz"/>
              <w:jc w:val="left"/>
            </w:pPr>
          </w:p>
        </w:tc>
        <w:tc>
          <w:tcPr>
            <w:tcW w:w="1063" w:type="dxa"/>
            <w:tcBorders>
              <w:top w:val="single" w:sz="6" w:space="0" w:color="auto"/>
              <w:left w:val="nil"/>
              <w:bottom w:val="single" w:sz="6" w:space="0" w:color="auto"/>
              <w:right w:val="single" w:sz="6" w:space="0" w:color="auto"/>
            </w:tcBorders>
          </w:tcPr>
          <w:p w:rsidR="006F18A5" w:rsidRDefault="006F18A5" w:rsidP="005E4E5B">
            <w:pPr>
              <w:pStyle w:val="GesAbsatz"/>
              <w:jc w:val="left"/>
            </w:pPr>
          </w:p>
        </w:tc>
        <w:tc>
          <w:tcPr>
            <w:tcW w:w="1418"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(2)</w:t>
            </w:r>
          </w:p>
        </w:tc>
        <w:tc>
          <w:tcPr>
            <w:tcW w:w="3465" w:type="dxa"/>
            <w:tcBorders>
              <w:top w:val="single" w:sz="6" w:space="0" w:color="auto"/>
              <w:left w:val="nil"/>
              <w:bottom w:val="single" w:sz="6" w:space="0" w:color="auto"/>
            </w:tcBorders>
          </w:tcPr>
          <w:p w:rsidR="006F18A5" w:rsidRDefault="006F18A5" w:rsidP="005E4E5B">
            <w:pPr>
              <w:pStyle w:val="GesAbsatz"/>
              <w:jc w:val="left"/>
            </w:pPr>
          </w:p>
          <w:p w:rsidR="00FA61DE" w:rsidRDefault="00FA61DE" w:rsidP="005E4E5B">
            <w:pPr>
              <w:pStyle w:val="GesAbsatz"/>
              <w:jc w:val="left"/>
            </w:pPr>
          </w:p>
          <w:p w:rsidR="006F18A5" w:rsidRDefault="006F18A5" w:rsidP="005E4E5B">
            <w:pPr>
              <w:pStyle w:val="GesAbsatz"/>
              <w:jc w:val="left"/>
            </w:pPr>
            <w:r>
              <w:lastRenderedPageBreak/>
              <w:t>Atomabsorption, gegebenenfalls mit vorheriger Extraktion</w:t>
            </w:r>
          </w:p>
        </w:tc>
      </w:tr>
      <w:tr w:rsidR="006F18A5">
        <w:tc>
          <w:tcPr>
            <w:tcW w:w="567" w:type="dxa"/>
            <w:tcBorders>
              <w:top w:val="single" w:sz="6" w:space="0" w:color="auto"/>
              <w:bottom w:val="single" w:sz="6" w:space="0" w:color="auto"/>
              <w:right w:val="single" w:sz="6" w:space="0" w:color="auto"/>
            </w:tcBorders>
          </w:tcPr>
          <w:p w:rsidR="006F18A5" w:rsidRDefault="006F18A5" w:rsidP="005E4E5B">
            <w:pPr>
              <w:pStyle w:val="GesAbsatz"/>
              <w:jc w:val="left"/>
            </w:pPr>
            <w:r>
              <w:lastRenderedPageBreak/>
              <w:t>18</w:t>
            </w:r>
          </w:p>
        </w:tc>
        <w:tc>
          <w:tcPr>
            <w:tcW w:w="1985"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Cyanide mg/l Cn</w:t>
            </w:r>
          </w:p>
        </w:tc>
        <w:tc>
          <w:tcPr>
            <w:tcW w:w="1134" w:type="dxa"/>
            <w:tcBorders>
              <w:top w:val="single" w:sz="6" w:space="0" w:color="auto"/>
              <w:left w:val="nil"/>
              <w:bottom w:val="single" w:sz="6" w:space="0" w:color="auto"/>
              <w:right w:val="single" w:sz="6" w:space="0" w:color="auto"/>
            </w:tcBorders>
          </w:tcPr>
          <w:p w:rsidR="006F18A5" w:rsidRDefault="006F18A5" w:rsidP="005E4E5B">
            <w:pPr>
              <w:pStyle w:val="GesAbsatz"/>
              <w:jc w:val="left"/>
            </w:pPr>
          </w:p>
        </w:tc>
        <w:tc>
          <w:tcPr>
            <w:tcW w:w="1063" w:type="dxa"/>
            <w:tcBorders>
              <w:top w:val="single" w:sz="6" w:space="0" w:color="auto"/>
              <w:left w:val="nil"/>
              <w:bottom w:val="single" w:sz="6" w:space="0" w:color="auto"/>
              <w:right w:val="single" w:sz="6" w:space="0" w:color="auto"/>
            </w:tcBorders>
          </w:tcPr>
          <w:p w:rsidR="006F18A5" w:rsidRDefault="006F18A5" w:rsidP="005E4E5B">
            <w:pPr>
              <w:pStyle w:val="GesAbsatz"/>
              <w:jc w:val="left"/>
            </w:pPr>
          </w:p>
        </w:tc>
        <w:tc>
          <w:tcPr>
            <w:tcW w:w="1418"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(2)</w:t>
            </w:r>
          </w:p>
        </w:tc>
        <w:tc>
          <w:tcPr>
            <w:tcW w:w="3465" w:type="dxa"/>
            <w:tcBorders>
              <w:top w:val="single" w:sz="6" w:space="0" w:color="auto"/>
              <w:left w:val="nil"/>
              <w:bottom w:val="single" w:sz="6" w:space="0" w:color="auto"/>
            </w:tcBorders>
          </w:tcPr>
          <w:p w:rsidR="006F18A5" w:rsidRDefault="006F18A5" w:rsidP="005E4E5B">
            <w:pPr>
              <w:pStyle w:val="GesAbsatz"/>
              <w:jc w:val="left"/>
            </w:pPr>
            <w:r>
              <w:t>Absorptionsspektrophotometrie mi</w:t>
            </w:r>
            <w:r>
              <w:t>t</w:t>
            </w:r>
            <w:r>
              <w:t>tels spezifischer Reagenzien</w:t>
            </w:r>
          </w:p>
        </w:tc>
      </w:tr>
      <w:tr w:rsidR="006F18A5">
        <w:tc>
          <w:tcPr>
            <w:tcW w:w="567" w:type="dxa"/>
            <w:tcBorders>
              <w:top w:val="single" w:sz="6" w:space="0" w:color="auto"/>
              <w:bottom w:val="single" w:sz="6" w:space="0" w:color="auto"/>
              <w:right w:val="single" w:sz="6" w:space="0" w:color="auto"/>
            </w:tcBorders>
          </w:tcPr>
          <w:p w:rsidR="006F18A5" w:rsidRDefault="006F18A5" w:rsidP="005E4E5B">
            <w:pPr>
              <w:pStyle w:val="GesAbsatz"/>
              <w:jc w:val="left"/>
            </w:pPr>
            <w:r>
              <w:t>19</w:t>
            </w:r>
          </w:p>
        </w:tc>
        <w:tc>
          <w:tcPr>
            <w:tcW w:w="1985" w:type="dxa"/>
            <w:tcBorders>
              <w:top w:val="single" w:sz="6" w:space="0" w:color="auto"/>
              <w:left w:val="nil"/>
              <w:bottom w:val="single" w:sz="6" w:space="0" w:color="auto"/>
              <w:right w:val="single" w:sz="6" w:space="0" w:color="auto"/>
            </w:tcBorders>
          </w:tcPr>
          <w:p w:rsidR="006F18A5" w:rsidRPr="0005729B" w:rsidRDefault="006F18A5" w:rsidP="005E4E5B">
            <w:pPr>
              <w:pStyle w:val="GesAbsatz"/>
              <w:jc w:val="left"/>
              <w:rPr>
                <w:lang w:val="it-IT"/>
              </w:rPr>
            </w:pPr>
            <w:r w:rsidRPr="0005729B">
              <w:rPr>
                <w:lang w:val="it-IT"/>
              </w:rPr>
              <w:t xml:space="preserve">Nitrate u. Phosphate </w:t>
            </w:r>
            <w:r w:rsidR="00FA61DE" w:rsidRPr="0005729B">
              <w:rPr>
                <w:lang w:val="it-IT"/>
              </w:rPr>
              <w:t>mg/l NO</w:t>
            </w:r>
            <w:r w:rsidR="00FA61DE">
              <w:rPr>
                <w:vertAlign w:val="subscript"/>
                <w:lang w:val="it-IT"/>
              </w:rPr>
              <w:t xml:space="preserve">3  </w:t>
            </w:r>
            <w:r w:rsidRPr="0005729B">
              <w:rPr>
                <w:lang w:val="it-IT"/>
              </w:rPr>
              <w:t>PO</w:t>
            </w:r>
            <w:r w:rsidRPr="0005729B">
              <w:rPr>
                <w:vertAlign w:val="subscript"/>
                <w:lang w:val="it-IT"/>
              </w:rPr>
              <w:t>4</w:t>
            </w:r>
          </w:p>
        </w:tc>
        <w:tc>
          <w:tcPr>
            <w:tcW w:w="1134" w:type="dxa"/>
            <w:tcBorders>
              <w:top w:val="single" w:sz="6" w:space="0" w:color="auto"/>
              <w:left w:val="nil"/>
              <w:bottom w:val="single" w:sz="6" w:space="0" w:color="auto"/>
              <w:right w:val="single" w:sz="6" w:space="0" w:color="auto"/>
            </w:tcBorders>
          </w:tcPr>
          <w:p w:rsidR="006F18A5" w:rsidRPr="0005729B" w:rsidRDefault="006F18A5" w:rsidP="005E4E5B">
            <w:pPr>
              <w:pStyle w:val="GesAbsatz"/>
              <w:jc w:val="left"/>
              <w:rPr>
                <w:lang w:val="it-IT"/>
              </w:rPr>
            </w:pPr>
          </w:p>
        </w:tc>
        <w:tc>
          <w:tcPr>
            <w:tcW w:w="1063" w:type="dxa"/>
            <w:tcBorders>
              <w:top w:val="single" w:sz="6" w:space="0" w:color="auto"/>
              <w:left w:val="nil"/>
              <w:bottom w:val="single" w:sz="6" w:space="0" w:color="auto"/>
              <w:right w:val="single" w:sz="6" w:space="0" w:color="auto"/>
            </w:tcBorders>
          </w:tcPr>
          <w:p w:rsidR="006F18A5" w:rsidRPr="0005729B" w:rsidRDefault="006F18A5" w:rsidP="005E4E5B">
            <w:pPr>
              <w:pStyle w:val="GesAbsatz"/>
              <w:jc w:val="left"/>
              <w:rPr>
                <w:lang w:val="it-IT"/>
              </w:rPr>
            </w:pPr>
          </w:p>
        </w:tc>
        <w:tc>
          <w:tcPr>
            <w:tcW w:w="1418" w:type="dxa"/>
            <w:tcBorders>
              <w:top w:val="single" w:sz="6" w:space="0" w:color="auto"/>
              <w:left w:val="nil"/>
              <w:bottom w:val="single" w:sz="6" w:space="0" w:color="auto"/>
              <w:right w:val="single" w:sz="6" w:space="0" w:color="auto"/>
            </w:tcBorders>
          </w:tcPr>
          <w:p w:rsidR="006F18A5" w:rsidRDefault="006F18A5" w:rsidP="005E4E5B">
            <w:pPr>
              <w:pStyle w:val="GesAbsatz"/>
              <w:jc w:val="left"/>
            </w:pPr>
            <w:r>
              <w:t>(3)</w:t>
            </w:r>
          </w:p>
        </w:tc>
        <w:tc>
          <w:tcPr>
            <w:tcW w:w="3465" w:type="dxa"/>
            <w:tcBorders>
              <w:top w:val="nil"/>
              <w:left w:val="nil"/>
            </w:tcBorders>
          </w:tcPr>
          <w:p w:rsidR="006F18A5" w:rsidRDefault="006F18A5" w:rsidP="005E4E5B">
            <w:pPr>
              <w:pStyle w:val="GesAbsatz"/>
              <w:jc w:val="left"/>
            </w:pPr>
            <w:r>
              <w:t>Absorptionsspektrophotometrie mi</w:t>
            </w:r>
            <w:r>
              <w:t>t</w:t>
            </w:r>
            <w:r>
              <w:t>tels spezifischer Reagenzien</w:t>
            </w:r>
          </w:p>
        </w:tc>
      </w:tr>
    </w:tbl>
    <w:p w:rsidR="006F18A5" w:rsidRDefault="006F18A5" w:rsidP="00CC1249">
      <w:pPr>
        <w:pStyle w:val="GesAbsatz"/>
      </w:pPr>
    </w:p>
    <w:p w:rsidR="006F18A5" w:rsidRDefault="006F18A5" w:rsidP="00FA61DE">
      <w:pPr>
        <w:pStyle w:val="GesAbsatz"/>
      </w:pPr>
      <w:r>
        <w:t>G</w:t>
      </w:r>
      <w:r>
        <w:tab/>
        <w:t>= (</w:t>
      </w:r>
      <w:r w:rsidRPr="00745EE4">
        <w:rPr>
          <w:lang w:val="en-US"/>
        </w:rPr>
        <w:t>guide</w:t>
      </w:r>
      <w:r>
        <w:t>) = Leitwert</w:t>
      </w:r>
    </w:p>
    <w:p w:rsidR="006F18A5" w:rsidRDefault="006F18A5" w:rsidP="00FA61DE">
      <w:pPr>
        <w:pStyle w:val="GesAbsatz"/>
      </w:pPr>
      <w:r>
        <w:t>I</w:t>
      </w:r>
      <w:r>
        <w:tab/>
        <w:t>= (imperativ) = zwingender Wert.</w:t>
      </w:r>
    </w:p>
    <w:p w:rsidR="006F18A5" w:rsidRDefault="006F18A5" w:rsidP="00FA61DE">
      <w:pPr>
        <w:pStyle w:val="GesAbsatz"/>
        <w:ind w:left="426" w:hanging="426"/>
      </w:pPr>
      <w:r>
        <w:t>(0)</w:t>
      </w:r>
      <w:r>
        <w:tab/>
        <w:t>Überschreitung der Grenzwerte bei außergewöhnlichen geographischen oder meteorologischen Ve</w:t>
      </w:r>
      <w:r>
        <w:t>r</w:t>
      </w:r>
      <w:r>
        <w:t>hältnissen vorgesehen.</w:t>
      </w:r>
    </w:p>
    <w:p w:rsidR="006F18A5" w:rsidRDefault="006F18A5" w:rsidP="00FA61DE">
      <w:pPr>
        <w:pStyle w:val="GesAbsatz"/>
        <w:ind w:left="426" w:hanging="426"/>
      </w:pPr>
      <w:r>
        <w:t>(1)</w:t>
      </w:r>
      <w:r>
        <w:tab/>
        <w:t>Hat eine in früheren Jahren durchgeführte Probenahme Ergebnisse erbracht, die sehr viel günstiger sind als die Anforderungen dieses Anhangs und ist kein neuer Faktor hinzugekommen, der die Qualität der Gewässer verringert haben könnte, so können die zuständigen Behörden die Häufigkeit der Prob</w:t>
      </w:r>
      <w:r>
        <w:t>e</w:t>
      </w:r>
      <w:r>
        <w:t>nahmen um einen Faktor 2 verringern.</w:t>
      </w:r>
    </w:p>
    <w:p w:rsidR="006F18A5" w:rsidRDefault="006F18A5" w:rsidP="00FA61DE">
      <w:pPr>
        <w:pStyle w:val="GesAbsatz"/>
        <w:ind w:left="426" w:hanging="426"/>
      </w:pPr>
      <w:r>
        <w:t>(2)</w:t>
      </w:r>
      <w:r>
        <w:tab/>
        <w:t>Der Gehalt ist von den zuständigen Behörden zu überprüfen, wenn eine Untersuchung in dem Badeg</w:t>
      </w:r>
      <w:r>
        <w:t>e</w:t>
      </w:r>
      <w:r>
        <w:t>biet das Vorhanden sein dieser Stoffe möglich erscheinen oder auf eine Verschlechterung der Wasse</w:t>
      </w:r>
      <w:r>
        <w:t>r</w:t>
      </w:r>
      <w:r>
        <w:t>qualität schließen läßt.</w:t>
      </w:r>
    </w:p>
    <w:p w:rsidR="006F18A5" w:rsidRDefault="006F18A5" w:rsidP="00FA61DE">
      <w:pPr>
        <w:pStyle w:val="GesAbsatz"/>
        <w:ind w:left="426" w:hanging="426"/>
      </w:pPr>
      <w:r>
        <w:t>(3)</w:t>
      </w:r>
      <w:r>
        <w:tab/>
        <w:t>Diese Parameter müssen von den zuständigen Behörden überprüft werden, wenn die Tendenz zur E</w:t>
      </w:r>
      <w:r>
        <w:t>u</w:t>
      </w:r>
      <w:r>
        <w:t>trophierung der Gewässer besteht.</w:t>
      </w:r>
    </w:p>
    <w:p w:rsidR="006F18A5" w:rsidRDefault="006F18A5" w:rsidP="00CC1249">
      <w:pPr>
        <w:pStyle w:val="GesAbsatz"/>
      </w:pPr>
    </w:p>
    <w:sectPr w:rsidR="006F18A5">
      <w:headerReference w:type="default" r:id="rId12"/>
      <w:footerReference w:type="even" r:id="rId13"/>
      <w:footerReference w:type="default" r:id="rId14"/>
      <w:pgSz w:w="11906" w:h="16838"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F4" w:rsidRDefault="00D73FF4">
      <w:r>
        <w:separator/>
      </w:r>
    </w:p>
  </w:endnote>
  <w:endnote w:type="continuationSeparator" w:id="0">
    <w:p w:rsidR="00D73FF4" w:rsidRDefault="00D7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E4" w:rsidRDefault="00745EE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45EE4" w:rsidRDefault="00745EE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E4" w:rsidRPr="005E4E5B" w:rsidRDefault="00745EE4" w:rsidP="005E4E5B">
    <w:pPr>
      <w:pStyle w:val="Fuzeile"/>
    </w:pPr>
    <w:r w:rsidRPr="005E4E5B">
      <w:tab/>
    </w:r>
    <w:r w:rsidR="00422EB1" w:rsidRPr="005E4E5B">
      <w:t>0</w:t>
    </w:r>
    <w:r w:rsidRPr="005E4E5B">
      <w:t xml:space="preserve">8.12.1975 (ABl. L 31 v. </w:t>
    </w:r>
    <w:r w:rsidR="00422EB1" w:rsidRPr="005E4E5B">
      <w:t>0</w:t>
    </w:r>
    <w:r w:rsidRPr="005E4E5B">
      <w:t>5.</w:t>
    </w:r>
    <w:r w:rsidR="00422EB1" w:rsidRPr="005E4E5B">
      <w:t>0</w:t>
    </w:r>
    <w:r w:rsidRPr="005E4E5B">
      <w:t>2.1976 S. 1)</w:t>
    </w:r>
    <w:r w:rsidRPr="005E4E5B">
      <w:tab/>
      <w:t xml:space="preserve">Seite </w:t>
    </w:r>
    <w:r w:rsidRPr="005E4E5B">
      <w:fldChar w:fldCharType="begin"/>
    </w:r>
    <w:r w:rsidRPr="005E4E5B">
      <w:instrText xml:space="preserve"> PAGE  \* MERGEFORMAT </w:instrText>
    </w:r>
    <w:r w:rsidRPr="005E4E5B">
      <w:fldChar w:fldCharType="separate"/>
    </w:r>
    <w:r w:rsidR="00120EF6">
      <w:rPr>
        <w:noProof/>
      </w:rPr>
      <w:t>1</w:t>
    </w:r>
    <w:r w:rsidRPr="005E4E5B">
      <w:fldChar w:fldCharType="end"/>
    </w:r>
  </w:p>
  <w:p w:rsidR="00745EE4" w:rsidRPr="005E4E5B" w:rsidRDefault="00745EE4" w:rsidP="005E4E5B">
    <w:pPr>
      <w:pStyle w:val="Fuzeile"/>
    </w:pPr>
    <w:r w:rsidRPr="005E4E5B">
      <w:tab/>
      <w:t>Stand 22.10.2008 (ABl. L 311 v. 21.11.2008 S.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F4" w:rsidRDefault="00D73FF4">
      <w:r>
        <w:separator/>
      </w:r>
    </w:p>
  </w:footnote>
  <w:footnote w:type="continuationSeparator" w:id="0">
    <w:p w:rsidR="00D73FF4" w:rsidRDefault="00D73FF4">
      <w:r>
        <w:continuationSeparator/>
      </w:r>
    </w:p>
  </w:footnote>
  <w:footnote w:id="1">
    <w:p w:rsidR="00745EE4" w:rsidRDefault="00745EE4">
      <w:pPr>
        <w:pStyle w:val="Funotentext"/>
      </w:pPr>
      <w:r>
        <w:rPr>
          <w:rStyle w:val="Funotenzeichen"/>
        </w:rPr>
        <w:footnoteRef/>
      </w:r>
      <w:r>
        <w:t xml:space="preserve"> ABl. Nr. C 128 vom 9.6.1975, S. 13</w:t>
      </w:r>
    </w:p>
  </w:footnote>
  <w:footnote w:id="2">
    <w:p w:rsidR="00745EE4" w:rsidRDefault="00745EE4">
      <w:pPr>
        <w:pStyle w:val="Funotentext"/>
      </w:pPr>
      <w:r>
        <w:rPr>
          <w:rStyle w:val="Funotenzeichen"/>
        </w:rPr>
        <w:footnoteRef/>
      </w:r>
      <w:r>
        <w:t xml:space="preserve"> ABl. Nr. C 286 vom 15.12.1975, S. 5</w:t>
      </w:r>
    </w:p>
  </w:footnote>
  <w:footnote w:id="3">
    <w:p w:rsidR="00745EE4" w:rsidRDefault="00745EE4">
      <w:pPr>
        <w:pStyle w:val="Funotentext"/>
      </w:pPr>
      <w:r>
        <w:rPr>
          <w:rStyle w:val="Funotenzeichen"/>
        </w:rPr>
        <w:footnoteRef/>
      </w:r>
      <w:r>
        <w:t xml:space="preserve"> ABl. Nr. C 112 vom 20.12.1973, S. 3</w:t>
      </w:r>
    </w:p>
  </w:footnote>
  <w:footnote w:id="4">
    <w:p w:rsidR="00745EE4" w:rsidRPr="001F23F9" w:rsidRDefault="00745EE4">
      <w:pPr>
        <w:pStyle w:val="Funotentext"/>
        <w:rPr>
          <w:szCs w:val="16"/>
        </w:rPr>
      </w:pPr>
      <w:r w:rsidRPr="001F23F9">
        <w:rPr>
          <w:rStyle w:val="Funotenzeichen"/>
          <w:szCs w:val="16"/>
        </w:rPr>
        <w:footnoteRef/>
      </w:r>
      <w:r w:rsidRPr="001F23F9">
        <w:rPr>
          <w:szCs w:val="16"/>
        </w:rPr>
        <w:t xml:space="preserve"> ABl. L 377 vom 31.12.1991, S.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E4" w:rsidRDefault="00120EF6" w:rsidP="00CC1249">
    <w:pPr>
      <w:pStyle w:val="Kopfzeile0"/>
    </w:pPr>
    <w:r>
      <w:t>Archiv7.61</w:t>
    </w:r>
  </w:p>
  <w:p w:rsidR="00745EE4" w:rsidRDefault="00745E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D3D6870"/>
    <w:multiLevelType w:val="singleLevel"/>
    <w:tmpl w:val="2B3859D8"/>
    <w:lvl w:ilvl="0">
      <w:start w:val="1"/>
      <w:numFmt w:val="lowerLetter"/>
      <w:lvlText w:val="%1)"/>
      <w:legacy w:legacy="1" w:legacySpace="0" w:legacyIndent="283"/>
      <w:lvlJc w:val="left"/>
      <w:pPr>
        <w:ind w:left="567" w:hanging="283"/>
      </w:pPr>
    </w:lvl>
  </w:abstractNum>
  <w:abstractNum w:abstractNumId="2">
    <w:nsid w:val="2F0C0A05"/>
    <w:multiLevelType w:val="singleLevel"/>
    <w:tmpl w:val="2B3859D8"/>
    <w:lvl w:ilvl="0">
      <w:start w:val="1"/>
      <w:numFmt w:val="lowerLetter"/>
      <w:lvlText w:val="%1)"/>
      <w:legacy w:legacy="1" w:legacySpace="0" w:legacyIndent="283"/>
      <w:lvlJc w:val="left"/>
      <w:pPr>
        <w:ind w:left="567" w:hanging="283"/>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9B"/>
    <w:rsid w:val="0005729B"/>
    <w:rsid w:val="0006160F"/>
    <w:rsid w:val="0011407B"/>
    <w:rsid w:val="00120EF6"/>
    <w:rsid w:val="001566FF"/>
    <w:rsid w:val="001C7C48"/>
    <w:rsid w:val="001F23F9"/>
    <w:rsid w:val="00211333"/>
    <w:rsid w:val="002E587C"/>
    <w:rsid w:val="00316069"/>
    <w:rsid w:val="00322C21"/>
    <w:rsid w:val="00324026"/>
    <w:rsid w:val="00347995"/>
    <w:rsid w:val="00374A02"/>
    <w:rsid w:val="003975EE"/>
    <w:rsid w:val="003A6B17"/>
    <w:rsid w:val="00420480"/>
    <w:rsid w:val="00422EB1"/>
    <w:rsid w:val="00446C9F"/>
    <w:rsid w:val="00581365"/>
    <w:rsid w:val="005E4E5B"/>
    <w:rsid w:val="00620C44"/>
    <w:rsid w:val="006B5380"/>
    <w:rsid w:val="006F18A5"/>
    <w:rsid w:val="00745EE4"/>
    <w:rsid w:val="008061DC"/>
    <w:rsid w:val="0087219D"/>
    <w:rsid w:val="008756AF"/>
    <w:rsid w:val="008928B0"/>
    <w:rsid w:val="008A24D7"/>
    <w:rsid w:val="0090779B"/>
    <w:rsid w:val="009944FD"/>
    <w:rsid w:val="009A0E9C"/>
    <w:rsid w:val="009B31A4"/>
    <w:rsid w:val="00A27A31"/>
    <w:rsid w:val="00AB1DC6"/>
    <w:rsid w:val="00AB4261"/>
    <w:rsid w:val="00B37E8C"/>
    <w:rsid w:val="00B51CC5"/>
    <w:rsid w:val="00B55C42"/>
    <w:rsid w:val="00B62CE2"/>
    <w:rsid w:val="00B83E2B"/>
    <w:rsid w:val="00BC0846"/>
    <w:rsid w:val="00C17D66"/>
    <w:rsid w:val="00C30802"/>
    <w:rsid w:val="00C55F67"/>
    <w:rsid w:val="00C81A61"/>
    <w:rsid w:val="00CC0F29"/>
    <w:rsid w:val="00CC1249"/>
    <w:rsid w:val="00CD3045"/>
    <w:rsid w:val="00D53EF1"/>
    <w:rsid w:val="00D73FF4"/>
    <w:rsid w:val="00E45205"/>
    <w:rsid w:val="00E51E5E"/>
    <w:rsid w:val="00EE486D"/>
    <w:rsid w:val="00F20EB8"/>
    <w:rsid w:val="00F669AE"/>
    <w:rsid w:val="00FA61DE"/>
    <w:rsid w:val="00FB5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C124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CC1249"/>
    <w:pPr>
      <w:keepNext/>
      <w:spacing w:after="120"/>
      <w:jc w:val="center"/>
      <w:outlineLvl w:val="0"/>
    </w:pPr>
    <w:rPr>
      <w:b/>
      <w:kern w:val="28"/>
      <w:sz w:val="28"/>
    </w:rPr>
  </w:style>
  <w:style w:type="paragraph" w:styleId="berschrift2">
    <w:name w:val="heading 2"/>
    <w:basedOn w:val="Standard"/>
    <w:next w:val="GesAbsatz"/>
    <w:qFormat/>
    <w:rsid w:val="00CC1249"/>
    <w:pPr>
      <w:keepNext/>
      <w:spacing w:before="240"/>
      <w:jc w:val="center"/>
      <w:outlineLvl w:val="1"/>
    </w:pPr>
    <w:rPr>
      <w:b/>
      <w:sz w:val="24"/>
    </w:rPr>
  </w:style>
  <w:style w:type="paragraph" w:styleId="berschrift3">
    <w:name w:val="heading 3"/>
    <w:basedOn w:val="Standard"/>
    <w:next w:val="GesAbsatz"/>
    <w:qFormat/>
    <w:rsid w:val="00CC1249"/>
    <w:pPr>
      <w:keepNext/>
      <w:spacing w:before="240" w:after="180"/>
      <w:jc w:val="center"/>
      <w:outlineLvl w:val="2"/>
    </w:pPr>
    <w:rPr>
      <w:b/>
    </w:rPr>
  </w:style>
  <w:style w:type="paragraph" w:styleId="berschrift4">
    <w:name w:val="heading 4"/>
    <w:basedOn w:val="Standard"/>
    <w:next w:val="Standard"/>
    <w:rsid w:val="00CC1249"/>
    <w:pPr>
      <w:keepNext/>
      <w:spacing w:before="240"/>
      <w:outlineLvl w:val="3"/>
    </w:pPr>
  </w:style>
  <w:style w:type="paragraph" w:styleId="berschrift5">
    <w:name w:val="heading 5"/>
    <w:basedOn w:val="Standard"/>
    <w:next w:val="Standard"/>
    <w:rsid w:val="00CC124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CC1249"/>
    <w:pPr>
      <w:tabs>
        <w:tab w:val="center" w:pos="4536"/>
        <w:tab w:val="right" w:pos="9072"/>
      </w:tabs>
      <w:spacing w:before="0" w:after="120"/>
      <w:jc w:val="right"/>
    </w:pPr>
  </w:style>
  <w:style w:type="paragraph" w:styleId="Fuzeile">
    <w:name w:val="footer"/>
    <w:basedOn w:val="Standard"/>
    <w:qFormat/>
    <w:rsid w:val="00CC1249"/>
    <w:pPr>
      <w:tabs>
        <w:tab w:val="clear" w:pos="425"/>
        <w:tab w:val="right" w:pos="8505"/>
        <w:tab w:val="right" w:pos="9639"/>
      </w:tabs>
      <w:spacing w:before="0" w:after="0"/>
      <w:jc w:val="left"/>
    </w:pPr>
    <w:rPr>
      <w:sz w:val="16"/>
    </w:rPr>
  </w:style>
  <w:style w:type="character" w:styleId="Seitenzahl">
    <w:name w:val="page number"/>
    <w:rsid w:val="00CC1249"/>
    <w:rPr>
      <w:rFonts w:ascii="Arial" w:hAnsi="Arial"/>
      <w:sz w:val="16"/>
    </w:rPr>
  </w:style>
  <w:style w:type="paragraph" w:styleId="Verzeichnis2">
    <w:name w:val="toc 2"/>
    <w:basedOn w:val="Standard"/>
    <w:next w:val="Standard"/>
    <w:semiHidden/>
    <w:rsid w:val="00CC124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CC124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CC1249"/>
    <w:pPr>
      <w:spacing w:before="0" w:after="0"/>
    </w:pPr>
    <w:rPr>
      <w:sz w:val="16"/>
    </w:rPr>
  </w:style>
  <w:style w:type="paragraph" w:styleId="Verzeichnis1">
    <w:name w:val="toc 1"/>
    <w:basedOn w:val="Verzeichnis3"/>
    <w:next w:val="Standard"/>
    <w:semiHidden/>
    <w:rsid w:val="00CC1249"/>
    <w:pPr>
      <w:spacing w:before="120" w:after="120"/>
      <w:ind w:left="0"/>
    </w:pPr>
    <w:rPr>
      <w:b/>
      <w:i w:val="0"/>
      <w:caps/>
    </w:rPr>
  </w:style>
  <w:style w:type="paragraph" w:customStyle="1" w:styleId="GesAbsatz">
    <w:name w:val="GesAbsatz"/>
    <w:basedOn w:val="Standard"/>
    <w:qFormat/>
    <w:rsid w:val="00CC1249"/>
    <w:pPr>
      <w:spacing w:before="100"/>
    </w:pPr>
    <w:rPr>
      <w:color w:val="000000"/>
    </w:rPr>
  </w:style>
  <w:style w:type="paragraph" w:styleId="Verzeichnis4">
    <w:name w:val="toc 4"/>
    <w:basedOn w:val="Standard"/>
    <w:next w:val="Standard"/>
    <w:semiHidden/>
    <w:rsid w:val="00CC124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CC1249"/>
    <w:rPr>
      <w:sz w:val="20"/>
      <w:szCs w:val="20"/>
      <w:vertAlign w:val="superscript"/>
    </w:rPr>
  </w:style>
  <w:style w:type="paragraph" w:styleId="Verzeichnis5">
    <w:name w:val="toc 5"/>
    <w:basedOn w:val="Standard"/>
    <w:next w:val="Standard"/>
    <w:semiHidden/>
    <w:rsid w:val="00CC124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CC124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CC124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CC124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CC124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CC1249"/>
    <w:rPr>
      <w:color w:val="0000FF"/>
      <w:u w:val="single"/>
    </w:rPr>
  </w:style>
  <w:style w:type="character" w:styleId="BesuchterHyperlink">
    <w:name w:val="FollowedHyperlink"/>
    <w:rsid w:val="00C55F67"/>
    <w:rPr>
      <w:color w:val="800080"/>
      <w:u w:val="single"/>
    </w:rPr>
  </w:style>
  <w:style w:type="paragraph" w:customStyle="1" w:styleId="Kopfzeile0">
    <w:name w:val="Kopfzeile0"/>
    <w:basedOn w:val="Standard"/>
    <w:next w:val="Kopfzeile"/>
    <w:qFormat/>
    <w:rsid w:val="00CC1249"/>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C124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CC1249"/>
    <w:pPr>
      <w:keepNext/>
      <w:spacing w:after="120"/>
      <w:jc w:val="center"/>
      <w:outlineLvl w:val="0"/>
    </w:pPr>
    <w:rPr>
      <w:b/>
      <w:kern w:val="28"/>
      <w:sz w:val="28"/>
    </w:rPr>
  </w:style>
  <w:style w:type="paragraph" w:styleId="berschrift2">
    <w:name w:val="heading 2"/>
    <w:basedOn w:val="Standard"/>
    <w:next w:val="GesAbsatz"/>
    <w:qFormat/>
    <w:rsid w:val="00CC1249"/>
    <w:pPr>
      <w:keepNext/>
      <w:spacing w:before="240"/>
      <w:jc w:val="center"/>
      <w:outlineLvl w:val="1"/>
    </w:pPr>
    <w:rPr>
      <w:b/>
      <w:sz w:val="24"/>
    </w:rPr>
  </w:style>
  <w:style w:type="paragraph" w:styleId="berschrift3">
    <w:name w:val="heading 3"/>
    <w:basedOn w:val="Standard"/>
    <w:next w:val="GesAbsatz"/>
    <w:qFormat/>
    <w:rsid w:val="00CC1249"/>
    <w:pPr>
      <w:keepNext/>
      <w:spacing w:before="240" w:after="180"/>
      <w:jc w:val="center"/>
      <w:outlineLvl w:val="2"/>
    </w:pPr>
    <w:rPr>
      <w:b/>
    </w:rPr>
  </w:style>
  <w:style w:type="paragraph" w:styleId="berschrift4">
    <w:name w:val="heading 4"/>
    <w:basedOn w:val="Standard"/>
    <w:next w:val="Standard"/>
    <w:rsid w:val="00CC1249"/>
    <w:pPr>
      <w:keepNext/>
      <w:spacing w:before="240"/>
      <w:outlineLvl w:val="3"/>
    </w:pPr>
  </w:style>
  <w:style w:type="paragraph" w:styleId="berschrift5">
    <w:name w:val="heading 5"/>
    <w:basedOn w:val="Standard"/>
    <w:next w:val="Standard"/>
    <w:rsid w:val="00CC124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CC1249"/>
    <w:pPr>
      <w:tabs>
        <w:tab w:val="center" w:pos="4536"/>
        <w:tab w:val="right" w:pos="9072"/>
      </w:tabs>
      <w:spacing w:before="0" w:after="120"/>
      <w:jc w:val="right"/>
    </w:pPr>
  </w:style>
  <w:style w:type="paragraph" w:styleId="Fuzeile">
    <w:name w:val="footer"/>
    <w:basedOn w:val="Standard"/>
    <w:qFormat/>
    <w:rsid w:val="00CC1249"/>
    <w:pPr>
      <w:tabs>
        <w:tab w:val="clear" w:pos="425"/>
        <w:tab w:val="right" w:pos="8505"/>
        <w:tab w:val="right" w:pos="9639"/>
      </w:tabs>
      <w:spacing w:before="0" w:after="0"/>
      <w:jc w:val="left"/>
    </w:pPr>
    <w:rPr>
      <w:sz w:val="16"/>
    </w:rPr>
  </w:style>
  <w:style w:type="character" w:styleId="Seitenzahl">
    <w:name w:val="page number"/>
    <w:rsid w:val="00CC1249"/>
    <w:rPr>
      <w:rFonts w:ascii="Arial" w:hAnsi="Arial"/>
      <w:sz w:val="16"/>
    </w:rPr>
  </w:style>
  <w:style w:type="paragraph" w:styleId="Verzeichnis2">
    <w:name w:val="toc 2"/>
    <w:basedOn w:val="Standard"/>
    <w:next w:val="Standard"/>
    <w:semiHidden/>
    <w:rsid w:val="00CC124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CC124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CC1249"/>
    <w:pPr>
      <w:spacing w:before="0" w:after="0"/>
    </w:pPr>
    <w:rPr>
      <w:sz w:val="16"/>
    </w:rPr>
  </w:style>
  <w:style w:type="paragraph" w:styleId="Verzeichnis1">
    <w:name w:val="toc 1"/>
    <w:basedOn w:val="Verzeichnis3"/>
    <w:next w:val="Standard"/>
    <w:semiHidden/>
    <w:rsid w:val="00CC1249"/>
    <w:pPr>
      <w:spacing w:before="120" w:after="120"/>
      <w:ind w:left="0"/>
    </w:pPr>
    <w:rPr>
      <w:b/>
      <w:i w:val="0"/>
      <w:caps/>
    </w:rPr>
  </w:style>
  <w:style w:type="paragraph" w:customStyle="1" w:styleId="GesAbsatz">
    <w:name w:val="GesAbsatz"/>
    <w:basedOn w:val="Standard"/>
    <w:qFormat/>
    <w:rsid w:val="00CC1249"/>
    <w:pPr>
      <w:spacing w:before="100"/>
    </w:pPr>
    <w:rPr>
      <w:color w:val="000000"/>
    </w:rPr>
  </w:style>
  <w:style w:type="paragraph" w:styleId="Verzeichnis4">
    <w:name w:val="toc 4"/>
    <w:basedOn w:val="Standard"/>
    <w:next w:val="Standard"/>
    <w:semiHidden/>
    <w:rsid w:val="00CC124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CC1249"/>
    <w:rPr>
      <w:sz w:val="20"/>
      <w:szCs w:val="20"/>
      <w:vertAlign w:val="superscript"/>
    </w:rPr>
  </w:style>
  <w:style w:type="paragraph" w:styleId="Verzeichnis5">
    <w:name w:val="toc 5"/>
    <w:basedOn w:val="Standard"/>
    <w:next w:val="Standard"/>
    <w:semiHidden/>
    <w:rsid w:val="00CC124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CC124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CC124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CC124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CC124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CC1249"/>
    <w:rPr>
      <w:color w:val="0000FF"/>
      <w:u w:val="single"/>
    </w:rPr>
  </w:style>
  <w:style w:type="character" w:styleId="BesuchterHyperlink">
    <w:name w:val="FollowedHyperlink"/>
    <w:rsid w:val="00C55F67"/>
    <w:rPr>
      <w:color w:val="800080"/>
      <w:u w:val="single"/>
    </w:rPr>
  </w:style>
  <w:style w:type="paragraph" w:customStyle="1" w:styleId="Kopfzeile0">
    <w:name w:val="Kopfzeile0"/>
    <w:basedOn w:val="Standard"/>
    <w:next w:val="Kopfzeile"/>
    <w:qFormat/>
    <w:rsid w:val="00CC1249"/>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4298">
      <w:bodyDiv w:val="1"/>
      <w:marLeft w:val="0"/>
      <w:marRight w:val="0"/>
      <w:marTop w:val="0"/>
      <w:marBottom w:val="0"/>
      <w:divBdr>
        <w:top w:val="none" w:sz="0" w:space="0" w:color="auto"/>
        <w:left w:val="none" w:sz="0" w:space="0" w:color="auto"/>
        <w:bottom w:val="none" w:sz="0" w:space="0" w:color="auto"/>
        <w:right w:val="none" w:sz="0" w:space="0" w:color="auto"/>
      </w:divBdr>
    </w:div>
    <w:div w:id="39316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76L0160&amp;from=D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lex.europa.eu/LexUriServ/LexUriServ.do?uri=OJ:L:2008:311:0001:0054: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xUriServ/LexUriServ.do?uri=OJ:L:2003:122:0036:0062:DE:PDF" TargetMode="External"/><Relationship Id="rId4" Type="http://schemas.openxmlformats.org/officeDocument/2006/relationships/settings" Target="settings.xml"/><Relationship Id="rId9" Type="http://schemas.openxmlformats.org/officeDocument/2006/relationships/hyperlink" Target="http://eur-lex.europa.eu/legal-content/DE/TXT/PDF/?uri=CELEX:31991L0692&amp;from=D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2231</Words>
  <Characters>15612</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Richtlinie des Rates vom 8. Dezember 1975 über die Qualität der Badegewässer (76/160/EWG)</vt:lpstr>
    </vt:vector>
  </TitlesOfParts>
  <Company>LANUV NRW</Company>
  <LinksUpToDate>false</LinksUpToDate>
  <CharactersWithSpaces>17808</CharactersWithSpaces>
  <SharedDoc>false</SharedDoc>
  <HLinks>
    <vt:vector size="12" baseType="variant">
      <vt:variant>
        <vt:i4>5898266</vt:i4>
      </vt:variant>
      <vt:variant>
        <vt:i4>3</vt:i4>
      </vt:variant>
      <vt:variant>
        <vt:i4>0</vt:i4>
      </vt:variant>
      <vt:variant>
        <vt:i4>5</vt:i4>
      </vt:variant>
      <vt:variant>
        <vt:lpwstr>http://eur-lex.europa.eu/LexUriServ/LexUriServ.do?uri=OJ:L:2008:311:0001:0054:DE:PDF</vt:lpwstr>
      </vt:variant>
      <vt:variant>
        <vt:lpwstr/>
      </vt:variant>
      <vt:variant>
        <vt:i4>6094869</vt:i4>
      </vt:variant>
      <vt:variant>
        <vt:i4>0</vt:i4>
      </vt:variant>
      <vt:variant>
        <vt:i4>0</vt:i4>
      </vt:variant>
      <vt:variant>
        <vt:i4>5</vt:i4>
      </vt:variant>
      <vt:variant>
        <vt:lpwstr>http://eur-lex.europa.eu/LexUriServ/LexUriServ.do?uri=OJ:L:2003:122:0036:0062:DE:PDF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8. Dezember 1975 über die Qualität der Badegewässer (76/160/EWG)</dc:title>
  <dc:creator>LANUV NRW</dc:creator>
  <dc:description>durchgesehen 01.2005</dc:description>
  <cp:lastModifiedBy>rueter</cp:lastModifiedBy>
  <cp:revision>2</cp:revision>
  <cp:lastPrinted>2005-01-14T10:52:00Z</cp:lastPrinted>
  <dcterms:created xsi:type="dcterms:W3CDTF">2015-06-02T06:42:00Z</dcterms:created>
  <dcterms:modified xsi:type="dcterms:W3CDTF">2015-06-02T06:42:00Z</dcterms:modified>
</cp:coreProperties>
</file>