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4C4" w:rsidRDefault="00B674C4" w:rsidP="00B674C4">
      <w:pPr>
        <w:pStyle w:val="berschrift1"/>
      </w:pPr>
      <w:bookmarkStart w:id="0" w:name="_Toc417195486"/>
      <w:bookmarkStart w:id="1" w:name="_Toc473610579"/>
      <w:bookmarkStart w:id="2" w:name="_Toc129490536"/>
      <w:bookmarkStart w:id="3" w:name="_GoBack"/>
      <w:bookmarkEnd w:id="3"/>
      <w:r>
        <w:t xml:space="preserve">Richtlinie des Rates </w:t>
      </w:r>
      <w:hyperlink r:id="rId7" w:history="1">
        <w:r w:rsidRPr="00620832">
          <w:rPr>
            <w:rStyle w:val="Hyperlink"/>
          </w:rPr>
          <w:t>78/659/EWG</w:t>
        </w:r>
      </w:hyperlink>
      <w:r>
        <w:t xml:space="preserve"> vom </w:t>
      </w:r>
      <w:smartTag w:uri="urn:schemas-microsoft-com:office:smarttags" w:element="date">
        <w:smartTagPr>
          <w:attr w:name="Year" w:val="1978"/>
          <w:attr w:name="Day" w:val="18"/>
          <w:attr w:name="Month" w:val="7"/>
          <w:attr w:name="ls" w:val="trans"/>
        </w:smartTagPr>
        <w:r>
          <w:t>18. Juli 1978</w:t>
        </w:r>
      </w:smartTag>
      <w:bookmarkStart w:id="4" w:name="_Toc417195487"/>
      <w:bookmarkEnd w:id="0"/>
      <w:r>
        <w:t xml:space="preserve"> über die Qualität von Süßwasser, das schutz- oder verbesserungsbedürftig ist, um das Leben von Fischen zu erhalten</w:t>
      </w:r>
      <w:bookmarkEnd w:id="1"/>
      <w:bookmarkEnd w:id="2"/>
      <w:bookmarkEnd w:id="4"/>
    </w:p>
    <w:p w:rsidR="00FB6546" w:rsidRPr="002F0B59" w:rsidRDefault="00FB6546" w:rsidP="00FB6546">
      <w:pPr>
        <w:rPr>
          <w:b/>
          <w:i/>
          <w:color w:val="FF0000"/>
          <w:sz w:val="22"/>
          <w:szCs w:val="22"/>
        </w:rPr>
      </w:pPr>
      <w:r w:rsidRPr="002F0B59">
        <w:rPr>
          <w:b/>
          <w:i/>
          <w:color w:val="FF0000"/>
          <w:sz w:val="22"/>
          <w:szCs w:val="22"/>
        </w:rPr>
        <w:t xml:space="preserve">Gültig bis </w:t>
      </w:r>
      <w:smartTag w:uri="urn:schemas-microsoft-com:office:smarttags" w:element="date">
        <w:smartTagPr>
          <w:attr w:name="Year" w:val="2013"/>
          <w:attr w:name="Day" w:val="22"/>
          <w:attr w:name="Month" w:val="12"/>
          <w:attr w:name="ls" w:val="trans"/>
        </w:smartTagPr>
        <w:r w:rsidRPr="002F0B59">
          <w:rPr>
            <w:b/>
            <w:i/>
            <w:color w:val="FF0000"/>
            <w:sz w:val="22"/>
            <w:szCs w:val="22"/>
          </w:rPr>
          <w:t>22.12.2013</w:t>
        </w:r>
      </w:smartTag>
      <w:r w:rsidRPr="002F0B59">
        <w:rPr>
          <w:b/>
          <w:i/>
          <w:color w:val="FF0000"/>
          <w:sz w:val="22"/>
          <w:szCs w:val="22"/>
        </w:rPr>
        <w:t xml:space="preserve"> gemäß Art. 22 der </w:t>
      </w:r>
      <w:r w:rsidRPr="0035747B">
        <w:rPr>
          <w:b/>
          <w:i/>
          <w:color w:val="FF0000"/>
          <w:sz w:val="22"/>
          <w:szCs w:val="22"/>
        </w:rPr>
        <w:t>Richtlinie 2000/60/EG</w:t>
      </w:r>
      <w:r w:rsidRPr="002F0B59">
        <w:rPr>
          <w:b/>
          <w:i/>
          <w:color w:val="FF0000"/>
          <w:sz w:val="22"/>
          <w:szCs w:val="22"/>
        </w:rPr>
        <w:t>.</w:t>
      </w:r>
    </w:p>
    <w:p w:rsidR="00B674C4" w:rsidRDefault="00B674C4" w:rsidP="00B674C4">
      <w:pPr>
        <w:pStyle w:val="GesAbsatz"/>
      </w:pPr>
      <w:r w:rsidRPr="00F34633">
        <w:rPr>
          <w:b/>
        </w:rPr>
        <w:t xml:space="preserve">Änderungen: </w:t>
      </w:r>
      <w:r>
        <w:t xml:space="preserve">Beitrittsakte Griechenland ABl. L 291 v. </w:t>
      </w:r>
      <w:smartTag w:uri="urn:schemas-microsoft-com:office:smarttags" w:element="date">
        <w:smartTagPr>
          <w:attr w:name="Year" w:val="1979"/>
          <w:attr w:name="Day" w:val="19"/>
          <w:attr w:name="Month" w:val="11"/>
          <w:attr w:name="ls" w:val="trans"/>
        </w:smartTagPr>
        <w:r>
          <w:t>19.11.1979</w:t>
        </w:r>
      </w:smartTag>
      <w:r>
        <w:t xml:space="preserve"> S. 17; Beitrittsakte Spanien, Portugal ABl. L 302 v. </w:t>
      </w:r>
      <w:smartTag w:uri="urn:schemas-microsoft-com:office:smarttags" w:element="date">
        <w:smartTagPr>
          <w:attr w:name="Year" w:val="1985"/>
          <w:attr w:name="Day" w:val="15"/>
          <w:attr w:name="Month" w:val="11"/>
          <w:attr w:name="ls" w:val="trans"/>
        </w:smartTagPr>
        <w:r>
          <w:t>15.11.1985</w:t>
        </w:r>
      </w:smartTag>
      <w:r>
        <w:t xml:space="preserve"> S. 9; </w:t>
      </w:r>
      <w:hyperlink r:id="rId8" w:history="1">
        <w:r w:rsidRPr="00975234">
          <w:rPr>
            <w:rStyle w:val="Hyperlink"/>
          </w:rPr>
          <w:t>90/656/EWG</w:t>
        </w:r>
      </w:hyperlink>
      <w:r>
        <w:t xml:space="preserve"> ABl. L 353 v. </w:t>
      </w:r>
      <w:smartTag w:uri="urn:schemas-microsoft-com:office:smarttags" w:element="date">
        <w:smartTagPr>
          <w:attr w:name="Year" w:val="1990"/>
          <w:attr w:name="Day" w:val="17"/>
          <w:attr w:name="Month" w:val="12"/>
          <w:attr w:name="ls" w:val="trans"/>
        </w:smartTagPr>
        <w:r>
          <w:t>17.12.1990</w:t>
        </w:r>
      </w:smartTag>
      <w:r>
        <w:t xml:space="preserve"> S. 59; </w:t>
      </w:r>
      <w:hyperlink r:id="rId9" w:history="1">
        <w:r w:rsidRPr="00A86971">
          <w:rPr>
            <w:rStyle w:val="Hyperlink"/>
          </w:rPr>
          <w:t>91/692/EWG</w:t>
        </w:r>
      </w:hyperlink>
      <w:r>
        <w:t xml:space="preserve"> ABl. L 377 v. </w:t>
      </w:r>
      <w:smartTag w:uri="urn:schemas-microsoft-com:office:smarttags" w:element="date">
        <w:smartTagPr>
          <w:attr w:name="Year" w:val="1991"/>
          <w:attr w:name="Day" w:val="31"/>
          <w:attr w:name="Month" w:val="12"/>
          <w:attr w:name="ls" w:val="trans"/>
        </w:smartTagPr>
        <w:r>
          <w:t>31.12.1991</w:t>
        </w:r>
      </w:smartTag>
      <w:r>
        <w:t xml:space="preserve"> S. 48; Beitrittsakte Österreich, Finnland u. Schweden ABl. L 1 v. </w:t>
      </w:r>
      <w:r w:rsidR="002F0B59">
        <w:t>0</w:t>
      </w:r>
      <w:r>
        <w:t>1.</w:t>
      </w:r>
      <w:r w:rsidR="002F0B59">
        <w:t>0</w:t>
      </w:r>
      <w:r>
        <w:t xml:space="preserve">1.1995 S. 1; </w:t>
      </w:r>
      <w:r w:rsidRPr="0035747B">
        <w:t xml:space="preserve">Verordnung </w:t>
      </w:r>
      <w:hyperlink r:id="rId10" w:history="1">
        <w:r w:rsidRPr="000C5FAF">
          <w:rPr>
            <w:rStyle w:val="Hyperlink"/>
          </w:rPr>
          <w:t>807/2003</w:t>
        </w:r>
      </w:hyperlink>
      <w:r>
        <w:t xml:space="preserve"> ABl. L 122 v. 16.</w:t>
      </w:r>
      <w:r w:rsidR="002F0B59">
        <w:t>0</w:t>
      </w:r>
      <w:r>
        <w:t>5.2003 S. 36;</w:t>
      </w:r>
    </w:p>
    <w:p w:rsidR="00B674C4" w:rsidRDefault="00B674C4" w:rsidP="00B674C4">
      <w:pPr>
        <w:pStyle w:val="GesAbsatz"/>
        <w:jc w:val="center"/>
        <w:rPr>
          <w:b/>
          <w:sz w:val="22"/>
        </w:rPr>
      </w:pPr>
      <w:bookmarkStart w:id="5" w:name="_Toc417195488"/>
      <w:r>
        <w:rPr>
          <w:b/>
          <w:sz w:val="22"/>
        </w:rPr>
        <w:t>Inhalt:</w:t>
      </w:r>
      <w:bookmarkEnd w:id="5"/>
    </w:p>
    <w:p w:rsidR="00B674C4" w:rsidRDefault="00B674C4">
      <w:pPr>
        <w:pStyle w:val="Verzeichnis1"/>
        <w:tabs>
          <w:tab w:val="clear" w:pos="9638"/>
          <w:tab w:val="right" w:leader="dot" w:pos="9628"/>
        </w:tabs>
        <w:rPr>
          <w:b w:val="0"/>
          <w:bCs/>
          <w:caps w:val="0"/>
          <w:noProof/>
          <w:sz w:val="24"/>
          <w:szCs w:val="24"/>
        </w:rPr>
      </w:pPr>
      <w:r>
        <w:fldChar w:fldCharType="begin"/>
      </w:r>
      <w:r>
        <w:instrText xml:space="preserve"> TOC \o "1-3" </w:instrText>
      </w:r>
      <w:r>
        <w:fldChar w:fldCharType="separate"/>
      </w:r>
      <w:r>
        <w:rPr>
          <w:noProof/>
        </w:rPr>
        <w:t>Richtlinie des Rates 78/659/EWG</w:t>
      </w:r>
      <w:r>
        <w:rPr>
          <w:noProof/>
        </w:rPr>
        <w:tab/>
      </w:r>
      <w:r>
        <w:rPr>
          <w:noProof/>
        </w:rPr>
        <w:fldChar w:fldCharType="begin"/>
      </w:r>
      <w:r>
        <w:rPr>
          <w:noProof/>
        </w:rPr>
        <w:instrText xml:space="preserve"> PAGEREF _Toc129490536 \h </w:instrText>
      </w:r>
      <w:r>
        <w:rPr>
          <w:noProof/>
        </w:rPr>
      </w:r>
      <w:r>
        <w:rPr>
          <w:noProof/>
        </w:rPr>
        <w:fldChar w:fldCharType="separate"/>
      </w:r>
      <w:r w:rsidR="00F34633">
        <w:rPr>
          <w:noProof/>
        </w:rPr>
        <w:t>1</w:t>
      </w:r>
      <w:r>
        <w:rPr>
          <w:noProof/>
        </w:rPr>
        <w:fldChar w:fldCharType="end"/>
      </w:r>
    </w:p>
    <w:p w:rsidR="00B674C4" w:rsidRDefault="00B674C4">
      <w:pPr>
        <w:pStyle w:val="Verzeichnis2"/>
        <w:tabs>
          <w:tab w:val="clear" w:pos="9638"/>
          <w:tab w:val="right" w:leader="dot" w:pos="9628"/>
        </w:tabs>
        <w:rPr>
          <w:smallCaps w:val="0"/>
          <w:noProof/>
          <w:sz w:val="24"/>
          <w:szCs w:val="24"/>
        </w:rPr>
      </w:pPr>
      <w:r>
        <w:rPr>
          <w:noProof/>
        </w:rPr>
        <w:t>Artikel 1</w:t>
      </w:r>
      <w:r>
        <w:rPr>
          <w:noProof/>
        </w:rPr>
        <w:tab/>
      </w:r>
      <w:r>
        <w:rPr>
          <w:noProof/>
        </w:rPr>
        <w:fldChar w:fldCharType="begin"/>
      </w:r>
      <w:r>
        <w:rPr>
          <w:noProof/>
        </w:rPr>
        <w:instrText xml:space="preserve"> PAGEREF _Toc129490537 \h </w:instrText>
      </w:r>
      <w:r>
        <w:rPr>
          <w:noProof/>
        </w:rPr>
      </w:r>
      <w:r>
        <w:rPr>
          <w:noProof/>
        </w:rPr>
        <w:fldChar w:fldCharType="separate"/>
      </w:r>
      <w:r w:rsidR="00F34633">
        <w:rPr>
          <w:noProof/>
        </w:rPr>
        <w:t>2</w:t>
      </w:r>
      <w:r>
        <w:rPr>
          <w:noProof/>
        </w:rPr>
        <w:fldChar w:fldCharType="end"/>
      </w:r>
    </w:p>
    <w:p w:rsidR="00B674C4" w:rsidRDefault="00B674C4">
      <w:pPr>
        <w:pStyle w:val="Verzeichnis2"/>
        <w:tabs>
          <w:tab w:val="clear" w:pos="9638"/>
          <w:tab w:val="right" w:leader="dot" w:pos="9628"/>
        </w:tabs>
        <w:rPr>
          <w:smallCaps w:val="0"/>
          <w:noProof/>
          <w:sz w:val="24"/>
          <w:szCs w:val="24"/>
        </w:rPr>
      </w:pPr>
      <w:r>
        <w:rPr>
          <w:noProof/>
        </w:rPr>
        <w:t>Artikel 2</w:t>
      </w:r>
      <w:r>
        <w:rPr>
          <w:noProof/>
        </w:rPr>
        <w:tab/>
      </w:r>
      <w:r>
        <w:rPr>
          <w:noProof/>
        </w:rPr>
        <w:fldChar w:fldCharType="begin"/>
      </w:r>
      <w:r>
        <w:rPr>
          <w:noProof/>
        </w:rPr>
        <w:instrText xml:space="preserve"> PAGEREF _Toc129490538 \h </w:instrText>
      </w:r>
      <w:r>
        <w:rPr>
          <w:noProof/>
        </w:rPr>
      </w:r>
      <w:r>
        <w:rPr>
          <w:noProof/>
        </w:rPr>
        <w:fldChar w:fldCharType="separate"/>
      </w:r>
      <w:r w:rsidR="00F34633">
        <w:rPr>
          <w:noProof/>
        </w:rPr>
        <w:t>2</w:t>
      </w:r>
      <w:r>
        <w:rPr>
          <w:noProof/>
        </w:rPr>
        <w:fldChar w:fldCharType="end"/>
      </w:r>
    </w:p>
    <w:p w:rsidR="00B674C4" w:rsidRDefault="00B674C4">
      <w:pPr>
        <w:pStyle w:val="Verzeichnis2"/>
        <w:tabs>
          <w:tab w:val="clear" w:pos="9638"/>
          <w:tab w:val="right" w:leader="dot" w:pos="9628"/>
        </w:tabs>
        <w:rPr>
          <w:smallCaps w:val="0"/>
          <w:noProof/>
          <w:sz w:val="24"/>
          <w:szCs w:val="24"/>
        </w:rPr>
      </w:pPr>
      <w:r>
        <w:rPr>
          <w:noProof/>
        </w:rPr>
        <w:t>Artikel 3</w:t>
      </w:r>
      <w:r>
        <w:rPr>
          <w:noProof/>
        </w:rPr>
        <w:tab/>
      </w:r>
      <w:r>
        <w:rPr>
          <w:noProof/>
        </w:rPr>
        <w:fldChar w:fldCharType="begin"/>
      </w:r>
      <w:r>
        <w:rPr>
          <w:noProof/>
        </w:rPr>
        <w:instrText xml:space="preserve"> PAGEREF _Toc129490539 \h </w:instrText>
      </w:r>
      <w:r>
        <w:rPr>
          <w:noProof/>
        </w:rPr>
      </w:r>
      <w:r>
        <w:rPr>
          <w:noProof/>
        </w:rPr>
        <w:fldChar w:fldCharType="separate"/>
      </w:r>
      <w:r w:rsidR="00F34633">
        <w:rPr>
          <w:noProof/>
        </w:rPr>
        <w:t>3</w:t>
      </w:r>
      <w:r>
        <w:rPr>
          <w:noProof/>
        </w:rPr>
        <w:fldChar w:fldCharType="end"/>
      </w:r>
    </w:p>
    <w:p w:rsidR="00B674C4" w:rsidRDefault="00B674C4">
      <w:pPr>
        <w:pStyle w:val="Verzeichnis2"/>
        <w:tabs>
          <w:tab w:val="clear" w:pos="9638"/>
          <w:tab w:val="right" w:leader="dot" w:pos="9628"/>
        </w:tabs>
        <w:rPr>
          <w:smallCaps w:val="0"/>
          <w:noProof/>
          <w:sz w:val="24"/>
          <w:szCs w:val="24"/>
        </w:rPr>
      </w:pPr>
      <w:r>
        <w:rPr>
          <w:noProof/>
        </w:rPr>
        <w:t>Artikel 4</w:t>
      </w:r>
      <w:r>
        <w:rPr>
          <w:noProof/>
        </w:rPr>
        <w:tab/>
      </w:r>
      <w:r>
        <w:rPr>
          <w:noProof/>
        </w:rPr>
        <w:fldChar w:fldCharType="begin"/>
      </w:r>
      <w:r>
        <w:rPr>
          <w:noProof/>
        </w:rPr>
        <w:instrText xml:space="preserve"> PAGEREF _Toc129490540 \h </w:instrText>
      </w:r>
      <w:r>
        <w:rPr>
          <w:noProof/>
        </w:rPr>
      </w:r>
      <w:r>
        <w:rPr>
          <w:noProof/>
        </w:rPr>
        <w:fldChar w:fldCharType="separate"/>
      </w:r>
      <w:r w:rsidR="00F34633">
        <w:rPr>
          <w:noProof/>
        </w:rPr>
        <w:t>3</w:t>
      </w:r>
      <w:r>
        <w:rPr>
          <w:noProof/>
        </w:rPr>
        <w:fldChar w:fldCharType="end"/>
      </w:r>
    </w:p>
    <w:p w:rsidR="00B674C4" w:rsidRDefault="00B674C4">
      <w:pPr>
        <w:pStyle w:val="Verzeichnis2"/>
        <w:tabs>
          <w:tab w:val="clear" w:pos="9638"/>
          <w:tab w:val="right" w:leader="dot" w:pos="9628"/>
        </w:tabs>
        <w:rPr>
          <w:smallCaps w:val="0"/>
          <w:noProof/>
          <w:sz w:val="24"/>
          <w:szCs w:val="24"/>
        </w:rPr>
      </w:pPr>
      <w:r>
        <w:rPr>
          <w:noProof/>
        </w:rPr>
        <w:t>Artikel 5</w:t>
      </w:r>
      <w:r>
        <w:rPr>
          <w:noProof/>
        </w:rPr>
        <w:tab/>
      </w:r>
      <w:r>
        <w:rPr>
          <w:noProof/>
        </w:rPr>
        <w:fldChar w:fldCharType="begin"/>
      </w:r>
      <w:r>
        <w:rPr>
          <w:noProof/>
        </w:rPr>
        <w:instrText xml:space="preserve"> PAGEREF _Toc129490541 \h </w:instrText>
      </w:r>
      <w:r>
        <w:rPr>
          <w:noProof/>
        </w:rPr>
      </w:r>
      <w:r>
        <w:rPr>
          <w:noProof/>
        </w:rPr>
        <w:fldChar w:fldCharType="separate"/>
      </w:r>
      <w:r w:rsidR="00F34633">
        <w:rPr>
          <w:noProof/>
        </w:rPr>
        <w:t>3</w:t>
      </w:r>
      <w:r>
        <w:rPr>
          <w:noProof/>
        </w:rPr>
        <w:fldChar w:fldCharType="end"/>
      </w:r>
    </w:p>
    <w:p w:rsidR="00B674C4" w:rsidRDefault="00B674C4">
      <w:pPr>
        <w:pStyle w:val="Verzeichnis2"/>
        <w:tabs>
          <w:tab w:val="clear" w:pos="9638"/>
          <w:tab w:val="right" w:leader="dot" w:pos="9628"/>
        </w:tabs>
        <w:rPr>
          <w:smallCaps w:val="0"/>
          <w:noProof/>
          <w:sz w:val="24"/>
          <w:szCs w:val="24"/>
        </w:rPr>
      </w:pPr>
      <w:r>
        <w:rPr>
          <w:noProof/>
        </w:rPr>
        <w:t>Artikel 6</w:t>
      </w:r>
      <w:r>
        <w:rPr>
          <w:noProof/>
        </w:rPr>
        <w:tab/>
      </w:r>
      <w:r>
        <w:rPr>
          <w:noProof/>
        </w:rPr>
        <w:fldChar w:fldCharType="begin"/>
      </w:r>
      <w:r>
        <w:rPr>
          <w:noProof/>
        </w:rPr>
        <w:instrText xml:space="preserve"> PAGEREF _Toc129490542 \h </w:instrText>
      </w:r>
      <w:r>
        <w:rPr>
          <w:noProof/>
        </w:rPr>
      </w:r>
      <w:r>
        <w:rPr>
          <w:noProof/>
        </w:rPr>
        <w:fldChar w:fldCharType="separate"/>
      </w:r>
      <w:r w:rsidR="00F34633">
        <w:rPr>
          <w:noProof/>
        </w:rPr>
        <w:t>3</w:t>
      </w:r>
      <w:r>
        <w:rPr>
          <w:noProof/>
        </w:rPr>
        <w:fldChar w:fldCharType="end"/>
      </w:r>
    </w:p>
    <w:p w:rsidR="00B674C4" w:rsidRDefault="00B674C4">
      <w:pPr>
        <w:pStyle w:val="Verzeichnis2"/>
        <w:tabs>
          <w:tab w:val="clear" w:pos="9638"/>
          <w:tab w:val="right" w:leader="dot" w:pos="9628"/>
        </w:tabs>
        <w:rPr>
          <w:smallCaps w:val="0"/>
          <w:noProof/>
          <w:sz w:val="24"/>
          <w:szCs w:val="24"/>
        </w:rPr>
      </w:pPr>
      <w:r>
        <w:rPr>
          <w:noProof/>
        </w:rPr>
        <w:t>Artikel 7</w:t>
      </w:r>
      <w:r>
        <w:rPr>
          <w:noProof/>
        </w:rPr>
        <w:tab/>
      </w:r>
      <w:r>
        <w:rPr>
          <w:noProof/>
        </w:rPr>
        <w:fldChar w:fldCharType="begin"/>
      </w:r>
      <w:r>
        <w:rPr>
          <w:noProof/>
        </w:rPr>
        <w:instrText xml:space="preserve"> PAGEREF _Toc129490543 \h </w:instrText>
      </w:r>
      <w:r>
        <w:rPr>
          <w:noProof/>
        </w:rPr>
      </w:r>
      <w:r>
        <w:rPr>
          <w:noProof/>
        </w:rPr>
        <w:fldChar w:fldCharType="separate"/>
      </w:r>
      <w:r w:rsidR="00F34633">
        <w:rPr>
          <w:noProof/>
        </w:rPr>
        <w:t>3</w:t>
      </w:r>
      <w:r>
        <w:rPr>
          <w:noProof/>
        </w:rPr>
        <w:fldChar w:fldCharType="end"/>
      </w:r>
    </w:p>
    <w:p w:rsidR="00B674C4" w:rsidRDefault="00B674C4">
      <w:pPr>
        <w:pStyle w:val="Verzeichnis2"/>
        <w:tabs>
          <w:tab w:val="clear" w:pos="9638"/>
          <w:tab w:val="right" w:leader="dot" w:pos="9628"/>
        </w:tabs>
        <w:rPr>
          <w:smallCaps w:val="0"/>
          <w:noProof/>
          <w:sz w:val="24"/>
          <w:szCs w:val="24"/>
        </w:rPr>
      </w:pPr>
      <w:r>
        <w:rPr>
          <w:noProof/>
        </w:rPr>
        <w:t>Artikel 8</w:t>
      </w:r>
      <w:r>
        <w:rPr>
          <w:noProof/>
        </w:rPr>
        <w:tab/>
      </w:r>
      <w:r>
        <w:rPr>
          <w:noProof/>
        </w:rPr>
        <w:fldChar w:fldCharType="begin"/>
      </w:r>
      <w:r>
        <w:rPr>
          <w:noProof/>
        </w:rPr>
        <w:instrText xml:space="preserve"> PAGEREF _Toc129490544 \h </w:instrText>
      </w:r>
      <w:r>
        <w:rPr>
          <w:noProof/>
        </w:rPr>
      </w:r>
      <w:r>
        <w:rPr>
          <w:noProof/>
        </w:rPr>
        <w:fldChar w:fldCharType="separate"/>
      </w:r>
      <w:r w:rsidR="00F34633">
        <w:rPr>
          <w:noProof/>
        </w:rPr>
        <w:t>4</w:t>
      </w:r>
      <w:r>
        <w:rPr>
          <w:noProof/>
        </w:rPr>
        <w:fldChar w:fldCharType="end"/>
      </w:r>
    </w:p>
    <w:p w:rsidR="00B674C4" w:rsidRDefault="00B674C4">
      <w:pPr>
        <w:pStyle w:val="Verzeichnis2"/>
        <w:tabs>
          <w:tab w:val="clear" w:pos="9638"/>
          <w:tab w:val="right" w:leader="dot" w:pos="9628"/>
        </w:tabs>
        <w:rPr>
          <w:smallCaps w:val="0"/>
          <w:noProof/>
          <w:sz w:val="24"/>
          <w:szCs w:val="24"/>
        </w:rPr>
      </w:pPr>
      <w:r>
        <w:rPr>
          <w:noProof/>
        </w:rPr>
        <w:t>Artikel 9</w:t>
      </w:r>
      <w:r>
        <w:rPr>
          <w:noProof/>
        </w:rPr>
        <w:tab/>
      </w:r>
      <w:r>
        <w:rPr>
          <w:noProof/>
        </w:rPr>
        <w:fldChar w:fldCharType="begin"/>
      </w:r>
      <w:r>
        <w:rPr>
          <w:noProof/>
        </w:rPr>
        <w:instrText xml:space="preserve"> PAGEREF _Toc129490545 \h </w:instrText>
      </w:r>
      <w:r>
        <w:rPr>
          <w:noProof/>
        </w:rPr>
      </w:r>
      <w:r>
        <w:rPr>
          <w:noProof/>
        </w:rPr>
        <w:fldChar w:fldCharType="separate"/>
      </w:r>
      <w:r w:rsidR="00F34633">
        <w:rPr>
          <w:noProof/>
        </w:rPr>
        <w:t>4</w:t>
      </w:r>
      <w:r>
        <w:rPr>
          <w:noProof/>
        </w:rPr>
        <w:fldChar w:fldCharType="end"/>
      </w:r>
    </w:p>
    <w:p w:rsidR="00B674C4" w:rsidRDefault="00B674C4">
      <w:pPr>
        <w:pStyle w:val="Verzeichnis2"/>
        <w:tabs>
          <w:tab w:val="clear" w:pos="9638"/>
          <w:tab w:val="right" w:leader="dot" w:pos="9628"/>
        </w:tabs>
        <w:rPr>
          <w:smallCaps w:val="0"/>
          <w:noProof/>
          <w:sz w:val="24"/>
          <w:szCs w:val="24"/>
        </w:rPr>
      </w:pPr>
      <w:r>
        <w:rPr>
          <w:noProof/>
        </w:rPr>
        <w:t>Artikel 10</w:t>
      </w:r>
      <w:r>
        <w:rPr>
          <w:noProof/>
        </w:rPr>
        <w:tab/>
      </w:r>
      <w:r>
        <w:rPr>
          <w:noProof/>
        </w:rPr>
        <w:fldChar w:fldCharType="begin"/>
      </w:r>
      <w:r>
        <w:rPr>
          <w:noProof/>
        </w:rPr>
        <w:instrText xml:space="preserve"> PAGEREF _Toc129490546 \h </w:instrText>
      </w:r>
      <w:r>
        <w:rPr>
          <w:noProof/>
        </w:rPr>
      </w:r>
      <w:r>
        <w:rPr>
          <w:noProof/>
        </w:rPr>
        <w:fldChar w:fldCharType="separate"/>
      </w:r>
      <w:r w:rsidR="00F34633">
        <w:rPr>
          <w:noProof/>
        </w:rPr>
        <w:t>4</w:t>
      </w:r>
      <w:r>
        <w:rPr>
          <w:noProof/>
        </w:rPr>
        <w:fldChar w:fldCharType="end"/>
      </w:r>
    </w:p>
    <w:p w:rsidR="00B674C4" w:rsidRDefault="00B674C4">
      <w:pPr>
        <w:pStyle w:val="Verzeichnis2"/>
        <w:tabs>
          <w:tab w:val="clear" w:pos="9638"/>
          <w:tab w:val="right" w:leader="dot" w:pos="9628"/>
        </w:tabs>
        <w:rPr>
          <w:smallCaps w:val="0"/>
          <w:noProof/>
          <w:sz w:val="24"/>
          <w:szCs w:val="24"/>
        </w:rPr>
      </w:pPr>
      <w:r>
        <w:rPr>
          <w:noProof/>
        </w:rPr>
        <w:t>Artikel 11</w:t>
      </w:r>
      <w:r>
        <w:rPr>
          <w:noProof/>
        </w:rPr>
        <w:tab/>
      </w:r>
      <w:r>
        <w:rPr>
          <w:noProof/>
        </w:rPr>
        <w:fldChar w:fldCharType="begin"/>
      </w:r>
      <w:r>
        <w:rPr>
          <w:noProof/>
        </w:rPr>
        <w:instrText xml:space="preserve"> PAGEREF _Toc129490547 \h </w:instrText>
      </w:r>
      <w:r>
        <w:rPr>
          <w:noProof/>
        </w:rPr>
      </w:r>
      <w:r>
        <w:rPr>
          <w:noProof/>
        </w:rPr>
        <w:fldChar w:fldCharType="separate"/>
      </w:r>
      <w:r w:rsidR="00F34633">
        <w:rPr>
          <w:noProof/>
        </w:rPr>
        <w:t>4</w:t>
      </w:r>
      <w:r>
        <w:rPr>
          <w:noProof/>
        </w:rPr>
        <w:fldChar w:fldCharType="end"/>
      </w:r>
    </w:p>
    <w:p w:rsidR="00B674C4" w:rsidRDefault="00B674C4">
      <w:pPr>
        <w:pStyle w:val="Verzeichnis2"/>
        <w:tabs>
          <w:tab w:val="clear" w:pos="9638"/>
          <w:tab w:val="right" w:leader="dot" w:pos="9628"/>
        </w:tabs>
        <w:rPr>
          <w:smallCaps w:val="0"/>
          <w:noProof/>
          <w:sz w:val="24"/>
          <w:szCs w:val="24"/>
        </w:rPr>
      </w:pPr>
      <w:r>
        <w:rPr>
          <w:noProof/>
        </w:rPr>
        <w:t>Artikel 12</w:t>
      </w:r>
      <w:r>
        <w:rPr>
          <w:noProof/>
        </w:rPr>
        <w:tab/>
      </w:r>
      <w:r>
        <w:rPr>
          <w:noProof/>
        </w:rPr>
        <w:fldChar w:fldCharType="begin"/>
      </w:r>
      <w:r>
        <w:rPr>
          <w:noProof/>
        </w:rPr>
        <w:instrText xml:space="preserve"> PAGEREF _Toc129490548 \h </w:instrText>
      </w:r>
      <w:r>
        <w:rPr>
          <w:noProof/>
        </w:rPr>
      </w:r>
      <w:r>
        <w:rPr>
          <w:noProof/>
        </w:rPr>
        <w:fldChar w:fldCharType="separate"/>
      </w:r>
      <w:r w:rsidR="00F34633">
        <w:rPr>
          <w:noProof/>
        </w:rPr>
        <w:t>4</w:t>
      </w:r>
      <w:r>
        <w:rPr>
          <w:noProof/>
        </w:rPr>
        <w:fldChar w:fldCharType="end"/>
      </w:r>
    </w:p>
    <w:p w:rsidR="00B674C4" w:rsidRDefault="00B674C4">
      <w:pPr>
        <w:pStyle w:val="Verzeichnis2"/>
        <w:tabs>
          <w:tab w:val="clear" w:pos="9638"/>
          <w:tab w:val="right" w:leader="dot" w:pos="9628"/>
        </w:tabs>
        <w:rPr>
          <w:smallCaps w:val="0"/>
          <w:noProof/>
          <w:sz w:val="24"/>
          <w:szCs w:val="24"/>
        </w:rPr>
      </w:pPr>
      <w:r>
        <w:rPr>
          <w:noProof/>
        </w:rPr>
        <w:t>Artikel 13</w:t>
      </w:r>
      <w:r>
        <w:rPr>
          <w:noProof/>
        </w:rPr>
        <w:tab/>
      </w:r>
      <w:r>
        <w:rPr>
          <w:noProof/>
        </w:rPr>
        <w:fldChar w:fldCharType="begin"/>
      </w:r>
      <w:r>
        <w:rPr>
          <w:noProof/>
        </w:rPr>
        <w:instrText xml:space="preserve"> PAGEREF _Toc129490549 \h </w:instrText>
      </w:r>
      <w:r>
        <w:rPr>
          <w:noProof/>
        </w:rPr>
      </w:r>
      <w:r>
        <w:rPr>
          <w:noProof/>
        </w:rPr>
        <w:fldChar w:fldCharType="separate"/>
      </w:r>
      <w:r w:rsidR="00F34633">
        <w:rPr>
          <w:noProof/>
        </w:rPr>
        <w:t>4</w:t>
      </w:r>
      <w:r>
        <w:rPr>
          <w:noProof/>
        </w:rPr>
        <w:fldChar w:fldCharType="end"/>
      </w:r>
    </w:p>
    <w:p w:rsidR="00B674C4" w:rsidRDefault="00B674C4">
      <w:pPr>
        <w:pStyle w:val="Verzeichnis2"/>
        <w:tabs>
          <w:tab w:val="clear" w:pos="9638"/>
          <w:tab w:val="right" w:leader="dot" w:pos="9628"/>
        </w:tabs>
        <w:rPr>
          <w:smallCaps w:val="0"/>
          <w:noProof/>
          <w:sz w:val="24"/>
          <w:szCs w:val="24"/>
        </w:rPr>
      </w:pPr>
      <w:r>
        <w:rPr>
          <w:noProof/>
        </w:rPr>
        <w:t>Artikel 14</w:t>
      </w:r>
      <w:r>
        <w:rPr>
          <w:noProof/>
        </w:rPr>
        <w:tab/>
      </w:r>
      <w:r>
        <w:rPr>
          <w:noProof/>
        </w:rPr>
        <w:fldChar w:fldCharType="begin"/>
      </w:r>
      <w:r>
        <w:rPr>
          <w:noProof/>
        </w:rPr>
        <w:instrText xml:space="preserve"> PAGEREF _Toc129490550 \h </w:instrText>
      </w:r>
      <w:r>
        <w:rPr>
          <w:noProof/>
        </w:rPr>
      </w:r>
      <w:r>
        <w:rPr>
          <w:noProof/>
        </w:rPr>
        <w:fldChar w:fldCharType="separate"/>
      </w:r>
      <w:r w:rsidR="00F34633">
        <w:rPr>
          <w:noProof/>
        </w:rPr>
        <w:t>4</w:t>
      </w:r>
      <w:r>
        <w:rPr>
          <w:noProof/>
        </w:rPr>
        <w:fldChar w:fldCharType="end"/>
      </w:r>
    </w:p>
    <w:p w:rsidR="00B674C4" w:rsidRDefault="00B674C4">
      <w:pPr>
        <w:pStyle w:val="Verzeichnis2"/>
        <w:tabs>
          <w:tab w:val="clear" w:pos="9638"/>
          <w:tab w:val="right" w:leader="dot" w:pos="9628"/>
        </w:tabs>
        <w:rPr>
          <w:smallCaps w:val="0"/>
          <w:noProof/>
          <w:sz w:val="24"/>
          <w:szCs w:val="24"/>
        </w:rPr>
      </w:pPr>
      <w:r>
        <w:rPr>
          <w:noProof/>
        </w:rPr>
        <w:t>Artikel 15</w:t>
      </w:r>
      <w:r>
        <w:rPr>
          <w:noProof/>
        </w:rPr>
        <w:tab/>
      </w:r>
      <w:r>
        <w:rPr>
          <w:noProof/>
        </w:rPr>
        <w:fldChar w:fldCharType="begin"/>
      </w:r>
      <w:r>
        <w:rPr>
          <w:noProof/>
        </w:rPr>
        <w:instrText xml:space="preserve"> PAGEREF _Toc129490551 \h </w:instrText>
      </w:r>
      <w:r>
        <w:rPr>
          <w:noProof/>
        </w:rPr>
      </w:r>
      <w:r>
        <w:rPr>
          <w:noProof/>
        </w:rPr>
        <w:fldChar w:fldCharType="separate"/>
      </w:r>
      <w:r w:rsidR="00F34633">
        <w:rPr>
          <w:noProof/>
        </w:rPr>
        <w:t>5</w:t>
      </w:r>
      <w:r>
        <w:rPr>
          <w:noProof/>
        </w:rPr>
        <w:fldChar w:fldCharType="end"/>
      </w:r>
    </w:p>
    <w:p w:rsidR="00B674C4" w:rsidRDefault="00B674C4">
      <w:pPr>
        <w:pStyle w:val="Verzeichnis2"/>
        <w:tabs>
          <w:tab w:val="clear" w:pos="9638"/>
          <w:tab w:val="right" w:leader="dot" w:pos="9628"/>
        </w:tabs>
        <w:rPr>
          <w:smallCaps w:val="0"/>
          <w:noProof/>
          <w:sz w:val="24"/>
          <w:szCs w:val="24"/>
        </w:rPr>
      </w:pPr>
      <w:r>
        <w:rPr>
          <w:noProof/>
        </w:rPr>
        <w:t>Artikel 16</w:t>
      </w:r>
      <w:r>
        <w:rPr>
          <w:noProof/>
        </w:rPr>
        <w:tab/>
      </w:r>
      <w:r>
        <w:rPr>
          <w:noProof/>
        </w:rPr>
        <w:fldChar w:fldCharType="begin"/>
      </w:r>
      <w:r>
        <w:rPr>
          <w:noProof/>
        </w:rPr>
        <w:instrText xml:space="preserve"> PAGEREF _Toc129490552 \h </w:instrText>
      </w:r>
      <w:r>
        <w:rPr>
          <w:noProof/>
        </w:rPr>
      </w:r>
      <w:r>
        <w:rPr>
          <w:noProof/>
        </w:rPr>
        <w:fldChar w:fldCharType="separate"/>
      </w:r>
      <w:r w:rsidR="00F34633">
        <w:rPr>
          <w:noProof/>
        </w:rPr>
        <w:t>5</w:t>
      </w:r>
      <w:r>
        <w:rPr>
          <w:noProof/>
        </w:rPr>
        <w:fldChar w:fldCharType="end"/>
      </w:r>
    </w:p>
    <w:p w:rsidR="00B674C4" w:rsidRDefault="00B674C4">
      <w:pPr>
        <w:pStyle w:val="Verzeichnis2"/>
        <w:tabs>
          <w:tab w:val="clear" w:pos="9638"/>
          <w:tab w:val="right" w:leader="dot" w:pos="9628"/>
        </w:tabs>
        <w:rPr>
          <w:smallCaps w:val="0"/>
          <w:noProof/>
          <w:sz w:val="24"/>
          <w:szCs w:val="24"/>
        </w:rPr>
      </w:pPr>
      <w:r>
        <w:rPr>
          <w:noProof/>
        </w:rPr>
        <w:t>Artikel 17</w:t>
      </w:r>
      <w:r>
        <w:rPr>
          <w:noProof/>
        </w:rPr>
        <w:tab/>
      </w:r>
      <w:r>
        <w:rPr>
          <w:noProof/>
        </w:rPr>
        <w:fldChar w:fldCharType="begin"/>
      </w:r>
      <w:r>
        <w:rPr>
          <w:noProof/>
        </w:rPr>
        <w:instrText xml:space="preserve"> PAGEREF _Toc129490553 \h </w:instrText>
      </w:r>
      <w:r>
        <w:rPr>
          <w:noProof/>
        </w:rPr>
      </w:r>
      <w:r>
        <w:rPr>
          <w:noProof/>
        </w:rPr>
        <w:fldChar w:fldCharType="separate"/>
      </w:r>
      <w:r w:rsidR="00F34633">
        <w:rPr>
          <w:noProof/>
        </w:rPr>
        <w:t>5</w:t>
      </w:r>
      <w:r>
        <w:rPr>
          <w:noProof/>
        </w:rPr>
        <w:fldChar w:fldCharType="end"/>
      </w:r>
    </w:p>
    <w:p w:rsidR="00B674C4" w:rsidRDefault="00B674C4">
      <w:pPr>
        <w:pStyle w:val="Verzeichnis2"/>
        <w:tabs>
          <w:tab w:val="clear" w:pos="9638"/>
          <w:tab w:val="right" w:leader="dot" w:pos="9628"/>
        </w:tabs>
        <w:rPr>
          <w:smallCaps w:val="0"/>
          <w:noProof/>
          <w:sz w:val="24"/>
          <w:szCs w:val="24"/>
        </w:rPr>
      </w:pPr>
      <w:r>
        <w:rPr>
          <w:noProof/>
        </w:rPr>
        <w:t>Artikel 18</w:t>
      </w:r>
      <w:r>
        <w:rPr>
          <w:noProof/>
        </w:rPr>
        <w:tab/>
      </w:r>
      <w:r>
        <w:rPr>
          <w:noProof/>
        </w:rPr>
        <w:fldChar w:fldCharType="begin"/>
      </w:r>
      <w:r>
        <w:rPr>
          <w:noProof/>
        </w:rPr>
        <w:instrText xml:space="preserve"> PAGEREF _Toc129490554 \h </w:instrText>
      </w:r>
      <w:r>
        <w:rPr>
          <w:noProof/>
        </w:rPr>
      </w:r>
      <w:r>
        <w:rPr>
          <w:noProof/>
        </w:rPr>
        <w:fldChar w:fldCharType="separate"/>
      </w:r>
      <w:r w:rsidR="00F34633">
        <w:rPr>
          <w:noProof/>
        </w:rPr>
        <w:t>5</w:t>
      </w:r>
      <w:r>
        <w:rPr>
          <w:noProof/>
        </w:rPr>
        <w:fldChar w:fldCharType="end"/>
      </w:r>
    </w:p>
    <w:p w:rsidR="00B674C4" w:rsidRDefault="00B674C4">
      <w:pPr>
        <w:pStyle w:val="Verzeichnis2"/>
        <w:tabs>
          <w:tab w:val="clear" w:pos="9638"/>
          <w:tab w:val="right" w:leader="dot" w:pos="9628"/>
        </w:tabs>
        <w:rPr>
          <w:smallCaps w:val="0"/>
          <w:noProof/>
          <w:sz w:val="24"/>
          <w:szCs w:val="24"/>
        </w:rPr>
      </w:pPr>
      <w:r>
        <w:rPr>
          <w:noProof/>
        </w:rPr>
        <w:t>Anhang I Liste der Parameter</w:t>
      </w:r>
      <w:r>
        <w:rPr>
          <w:noProof/>
        </w:rPr>
        <w:tab/>
      </w:r>
      <w:r>
        <w:rPr>
          <w:noProof/>
        </w:rPr>
        <w:fldChar w:fldCharType="begin"/>
      </w:r>
      <w:r>
        <w:rPr>
          <w:noProof/>
        </w:rPr>
        <w:instrText xml:space="preserve"> PAGEREF _Toc129490555 \h </w:instrText>
      </w:r>
      <w:r>
        <w:rPr>
          <w:noProof/>
        </w:rPr>
      </w:r>
      <w:r>
        <w:rPr>
          <w:noProof/>
        </w:rPr>
        <w:fldChar w:fldCharType="separate"/>
      </w:r>
      <w:r w:rsidR="00F34633">
        <w:rPr>
          <w:noProof/>
        </w:rPr>
        <w:t>6</w:t>
      </w:r>
      <w:r>
        <w:rPr>
          <w:noProof/>
        </w:rPr>
        <w:fldChar w:fldCharType="end"/>
      </w:r>
    </w:p>
    <w:p w:rsidR="00B674C4" w:rsidRDefault="00B674C4">
      <w:pPr>
        <w:pStyle w:val="Verzeichnis2"/>
        <w:tabs>
          <w:tab w:val="clear" w:pos="9638"/>
          <w:tab w:val="right" w:leader="dot" w:pos="9628"/>
        </w:tabs>
        <w:rPr>
          <w:smallCaps w:val="0"/>
          <w:noProof/>
          <w:sz w:val="24"/>
          <w:szCs w:val="24"/>
        </w:rPr>
      </w:pPr>
      <w:r>
        <w:rPr>
          <w:noProof/>
        </w:rPr>
        <w:t>Anhang II Besondere Angaben für Gesamtzink und Gelöstes Kupfer</w:t>
      </w:r>
      <w:r>
        <w:rPr>
          <w:noProof/>
        </w:rPr>
        <w:tab/>
      </w:r>
      <w:r>
        <w:rPr>
          <w:noProof/>
        </w:rPr>
        <w:fldChar w:fldCharType="begin"/>
      </w:r>
      <w:r>
        <w:rPr>
          <w:noProof/>
        </w:rPr>
        <w:instrText xml:space="preserve"> PAGEREF _Toc129490556 \h </w:instrText>
      </w:r>
      <w:r>
        <w:rPr>
          <w:noProof/>
        </w:rPr>
      </w:r>
      <w:r>
        <w:rPr>
          <w:noProof/>
        </w:rPr>
        <w:fldChar w:fldCharType="separate"/>
      </w:r>
      <w:r w:rsidR="00F34633">
        <w:rPr>
          <w:noProof/>
        </w:rPr>
        <w:t>10</w:t>
      </w:r>
      <w:r>
        <w:rPr>
          <w:noProof/>
        </w:rPr>
        <w:fldChar w:fldCharType="end"/>
      </w:r>
    </w:p>
    <w:p w:rsidR="00B674C4" w:rsidRDefault="00B674C4" w:rsidP="00FB6546">
      <w:pPr>
        <w:pStyle w:val="GesAbsatz"/>
      </w:pPr>
      <w:r>
        <w:fldChar w:fldCharType="end"/>
      </w:r>
    </w:p>
    <w:p w:rsidR="00B674C4" w:rsidRDefault="00B674C4" w:rsidP="00B674C4">
      <w:pPr>
        <w:pStyle w:val="GesAbsatz"/>
        <w:rPr>
          <w:b/>
        </w:rPr>
      </w:pPr>
      <w:r>
        <w:rPr>
          <w:b/>
        </w:rPr>
        <w:t>Der Rat der Europäischen Gemeinschaften</w:t>
      </w:r>
    </w:p>
    <w:p w:rsidR="00B674C4" w:rsidRDefault="00B674C4" w:rsidP="00B674C4">
      <w:pPr>
        <w:pStyle w:val="GesAbsatz"/>
      </w:pPr>
      <w:r>
        <w:t xml:space="preserve">gestützt auf den Vertrag zur Gründung der Europäischen Wirtschaftsgemeinschaft, insbesondere auf die Artikel 100 und 235, </w:t>
      </w:r>
    </w:p>
    <w:p w:rsidR="00B674C4" w:rsidRDefault="00B674C4" w:rsidP="00B674C4">
      <w:pPr>
        <w:pStyle w:val="GesAbsatz"/>
      </w:pPr>
      <w:r>
        <w:t>auf Vorschlag der Kommission,</w:t>
      </w:r>
    </w:p>
    <w:p w:rsidR="00B674C4" w:rsidRDefault="00B674C4" w:rsidP="00B674C4">
      <w:pPr>
        <w:pStyle w:val="GesAbsatz"/>
      </w:pPr>
      <w:r>
        <w:t>nach Stellungnahme des Europäischen Parlaments</w:t>
      </w:r>
      <w:r>
        <w:rPr>
          <w:rStyle w:val="Funotenzeichen"/>
        </w:rPr>
        <w:footnoteReference w:id="1"/>
      </w:r>
      <w:r>
        <w:t>,</w:t>
      </w:r>
    </w:p>
    <w:p w:rsidR="00B674C4" w:rsidRDefault="00B674C4" w:rsidP="00B674C4">
      <w:pPr>
        <w:pStyle w:val="GesAbsatz"/>
      </w:pPr>
      <w:r>
        <w:t>nach Stellungnahme des Wirtschafts- und Sozialausschusses</w:t>
      </w:r>
      <w:r>
        <w:rPr>
          <w:rStyle w:val="Funotenzeichen"/>
        </w:rPr>
        <w:footnoteReference w:id="2"/>
      </w:r>
      <w:r>
        <w:t>,</w:t>
      </w:r>
    </w:p>
    <w:p w:rsidR="00B674C4" w:rsidRDefault="00B674C4" w:rsidP="00B674C4">
      <w:pPr>
        <w:pStyle w:val="GesAbsatz"/>
      </w:pPr>
      <w:r>
        <w:t>in Erwägung nachstehender Gründe:</w:t>
      </w:r>
    </w:p>
    <w:p w:rsidR="00B674C4" w:rsidRDefault="00B674C4" w:rsidP="00B674C4">
      <w:pPr>
        <w:pStyle w:val="GesAbsatz"/>
      </w:pPr>
      <w:r>
        <w:t>Zum Schutz und zur Verbesserung der Umwelt sind konkrete Maßnahmen erforderlich, um die Gewässer, einschließlich des Süßwassers zur Erhaltung des Fischlebens, vor Verunreinigung zu bewahren.</w:t>
      </w:r>
    </w:p>
    <w:p w:rsidR="00B674C4" w:rsidRDefault="00B674C4" w:rsidP="00B674C4">
      <w:pPr>
        <w:pStyle w:val="GesAbsatz"/>
      </w:pPr>
      <w:r>
        <w:t>Unter ökologischen und wirtschaftlichen Gesichtspunkten ist es erforderlich, die Fischpopulation vor den unheilvollen Folgen des Einleitens von Schadstoffen in die Gewässer, so vor allem vor der zahlenmäßigen Verringerung und bisweilen sogar vor der Auslöschung bestimmter Arten, zu bewahren.</w:t>
      </w:r>
    </w:p>
    <w:p w:rsidR="00B674C4" w:rsidRDefault="00B674C4" w:rsidP="00B674C4">
      <w:pPr>
        <w:pStyle w:val="GesAbsatz"/>
      </w:pPr>
      <w:r>
        <w:t>Die Aktionsprogramme der Europäischen Gemeinschaften für den Umweltschutz von 1973</w:t>
      </w:r>
      <w:r>
        <w:rPr>
          <w:rStyle w:val="Funotenzeichen"/>
        </w:rPr>
        <w:footnoteReference w:id="3"/>
      </w:r>
      <w:r>
        <w:t xml:space="preserve"> und 1977</w:t>
      </w:r>
      <w:r>
        <w:rPr>
          <w:rStyle w:val="Funotenzeichen"/>
        </w:rPr>
        <w:footnoteReference w:id="4"/>
      </w:r>
      <w:r>
        <w:t xml:space="preserve"> se</w:t>
      </w:r>
      <w:r>
        <w:softHyphen/>
        <w:t>hen die gemeinsame Aufstellung von Qualitätszielen zur Festlegung verschiedener Anforderungen, denen ein Umweltmedium entsprechen muß, sowie insbesondere die Definition der Parameter für Wasser, ein</w:t>
      </w:r>
      <w:r>
        <w:softHyphen/>
        <w:t>schließlich des Süßwassers zur Erhaltung des Fischlebens, vor.</w:t>
      </w:r>
    </w:p>
    <w:p w:rsidR="00B674C4" w:rsidRDefault="00B674C4" w:rsidP="00B674C4">
      <w:pPr>
        <w:pStyle w:val="GesAbsatz"/>
        <w:rPr>
          <w:rFonts w:cs="Arial"/>
        </w:rPr>
      </w:pPr>
      <w:bookmarkStart w:id="6" w:name="texte"/>
      <w:r w:rsidRPr="00C84C09">
        <w:rPr>
          <w:rFonts w:cs="Arial"/>
        </w:rPr>
        <w:lastRenderedPageBreak/>
        <w:t>Unterschiede zwischen den Rechtsvorschriften, die in den einzelnen Mitgliedstaaten in bezug auf die Qual</w:t>
      </w:r>
      <w:r w:rsidRPr="00C84C09">
        <w:rPr>
          <w:rFonts w:cs="Arial"/>
        </w:rPr>
        <w:t>i</w:t>
      </w:r>
      <w:r w:rsidRPr="00C84C09">
        <w:rPr>
          <w:rFonts w:cs="Arial"/>
        </w:rPr>
        <w:t>tät von Süßwasser zur Erhaltung des Fischlebens bereits anwendbar oder in Vorbereitung sind, können zu ungleichen Wettbewerbsbedingungen führen und sich somit unmittelbar auf das Funktionieren des Gemei</w:t>
      </w:r>
      <w:r w:rsidRPr="00C84C09">
        <w:rPr>
          <w:rFonts w:cs="Arial"/>
        </w:rPr>
        <w:t>n</w:t>
      </w:r>
      <w:r w:rsidRPr="00C84C09">
        <w:rPr>
          <w:rFonts w:cs="Arial"/>
        </w:rPr>
        <w:t xml:space="preserve">samen Marktes auswirken. Daher ist für dieses Gebiet die Angleichung der Rechtsvorschriften gemäß Artikel 100 des Vertrages vorzunehmen. </w:t>
      </w:r>
    </w:p>
    <w:p w:rsidR="00B674C4" w:rsidRDefault="00B674C4" w:rsidP="00B674C4">
      <w:pPr>
        <w:pStyle w:val="GesAbsatz"/>
        <w:rPr>
          <w:rFonts w:cs="Arial"/>
        </w:rPr>
      </w:pPr>
      <w:r w:rsidRPr="00C84C09">
        <w:rPr>
          <w:rFonts w:cs="Arial"/>
        </w:rPr>
        <w:t>Es erscheint notwendig, diese Angleichung der Rechtsvorschriften durch Maßnahmen der Gemeinschaft zu ergänzen, mit denen bezweckt wird, durch eine umfassendere Regelung eines der Ziele der Gemeinschaft im Bereich des Umweltschutzes und der Verbesserung der Lebensqualität zu verwirklichen. Zu diesem Zweck sind einige besondere Bestimmungen vorzusehen. Da die hierfür erforderlichen besonderen Befu</w:t>
      </w:r>
      <w:r w:rsidRPr="00C84C09">
        <w:rPr>
          <w:rFonts w:cs="Arial"/>
        </w:rPr>
        <w:t>g</w:t>
      </w:r>
      <w:r w:rsidRPr="00C84C09">
        <w:rPr>
          <w:rFonts w:cs="Arial"/>
        </w:rPr>
        <w:t xml:space="preserve">nisse im Vertrag nicht vorgesehen sind, ist dessen Artikel 235 heranzuziehen. </w:t>
      </w:r>
    </w:p>
    <w:p w:rsidR="00B674C4" w:rsidRDefault="00B674C4" w:rsidP="00B674C4">
      <w:pPr>
        <w:pStyle w:val="GesAbsatz"/>
        <w:rPr>
          <w:rFonts w:cs="Arial"/>
        </w:rPr>
      </w:pPr>
      <w:r w:rsidRPr="00C84C09">
        <w:rPr>
          <w:rFonts w:cs="Arial"/>
        </w:rPr>
        <w:t>Zur Erreichung der Ziele der Richtlinie sollen die Mitgliedstaaten die Gewässer bezeichnen, auf die sie A</w:t>
      </w:r>
      <w:r w:rsidRPr="00C84C09">
        <w:rPr>
          <w:rFonts w:cs="Arial"/>
        </w:rPr>
        <w:t>n</w:t>
      </w:r>
      <w:r w:rsidRPr="00C84C09">
        <w:rPr>
          <w:rFonts w:cs="Arial"/>
        </w:rPr>
        <w:t xml:space="preserve">wendung findet, und die Grenzwerte festlegen, die bestimmten Parametern entsprechen. Die bezeichneten Gewässer sollen mit diesen Werten binnen fünf Jahren nach der Bezeichnung in Einklang gebracht werden. </w:t>
      </w:r>
    </w:p>
    <w:p w:rsidR="00B674C4" w:rsidRDefault="00B674C4" w:rsidP="00B674C4">
      <w:pPr>
        <w:pStyle w:val="GesAbsatz"/>
        <w:rPr>
          <w:rFonts w:cs="Arial"/>
        </w:rPr>
      </w:pPr>
      <w:r w:rsidRPr="00C84C09">
        <w:rPr>
          <w:rFonts w:cs="Arial"/>
        </w:rPr>
        <w:t>Es ist vorzusehen, daß das Süßwasser zur Erhaltung des Fischlebens unter bestimmten Bedingungen auch dann als den diesbez</w:t>
      </w:r>
      <w:r>
        <w:rPr>
          <w:rFonts w:cs="Arial"/>
        </w:rPr>
        <w:t>ü</w:t>
      </w:r>
      <w:r w:rsidRPr="00C84C09">
        <w:rPr>
          <w:rFonts w:cs="Arial"/>
        </w:rPr>
        <w:t xml:space="preserve">glichen Parameterwerten entsprechend erachtet wird, wenn ein bestimmter Anteil der entnommenen Proben den im Anhang angegebenen Grenzwerten nicht entspricht. </w:t>
      </w:r>
    </w:p>
    <w:p w:rsidR="00B674C4" w:rsidRDefault="00B674C4" w:rsidP="00B674C4">
      <w:pPr>
        <w:pStyle w:val="GesAbsatz"/>
        <w:rPr>
          <w:rFonts w:cs="Arial"/>
        </w:rPr>
      </w:pPr>
      <w:r w:rsidRPr="00C84C09">
        <w:rPr>
          <w:rFonts w:cs="Arial"/>
        </w:rPr>
        <w:t xml:space="preserve">Um die Überwachung der Qualität des Süßwassers zur Erhaltung des Fischlebens sicherzustellen, ist es erforderlich, eine Mindestzahl von Proben zu entnehmen und die Messungen hinsichtlich der im Anhang angegebenen Parameter durchzuführen. Diese Probenahmen können je nach Wasserqualität weniger häufig erfolgen oder wegfallen. </w:t>
      </w:r>
    </w:p>
    <w:p w:rsidR="00B674C4" w:rsidRDefault="00B674C4" w:rsidP="00B674C4">
      <w:pPr>
        <w:pStyle w:val="GesAbsatz"/>
        <w:rPr>
          <w:rFonts w:cs="Arial"/>
        </w:rPr>
      </w:pPr>
      <w:r w:rsidRPr="00C84C09">
        <w:rPr>
          <w:rFonts w:cs="Arial"/>
        </w:rPr>
        <w:t>Da bei der Überwachung durch die Mitgliedstaaten bestimmte natürliche Gegebenheiten keine Berücksicht</w:t>
      </w:r>
      <w:r w:rsidRPr="00C84C09">
        <w:rPr>
          <w:rFonts w:cs="Arial"/>
        </w:rPr>
        <w:t>i</w:t>
      </w:r>
      <w:r w:rsidRPr="00C84C09">
        <w:rPr>
          <w:rFonts w:cs="Arial"/>
        </w:rPr>
        <w:t xml:space="preserve">gung erfahren, ist die Möglichkeit vorzusehen, in gewissen Fällen von der Richtlinie abzuweichen. </w:t>
      </w:r>
    </w:p>
    <w:p w:rsidR="00B674C4" w:rsidRDefault="00B674C4" w:rsidP="00B674C4">
      <w:pPr>
        <w:pStyle w:val="GesAbsatz"/>
        <w:rPr>
          <w:rFonts w:cs="Arial"/>
        </w:rPr>
      </w:pPr>
      <w:r w:rsidRPr="00C84C09">
        <w:rPr>
          <w:rFonts w:cs="Arial"/>
        </w:rPr>
        <w:t>Einige im Anhang dieser Richtlinie enthaltenen Bestimmungen müssen unverz</w:t>
      </w:r>
      <w:r>
        <w:rPr>
          <w:rFonts w:cs="Arial"/>
        </w:rPr>
        <w:t>ü</w:t>
      </w:r>
      <w:r w:rsidRPr="00C84C09">
        <w:rPr>
          <w:rFonts w:cs="Arial"/>
        </w:rPr>
        <w:t>glich an den technischen und wissenschaftlichen Fortschritt angepasst werden können. Um die dafür erforderlichen Maßnahmen leichter durchführen zu können, ist ein Verfahren zur engen Zusammenarbeit zwischen den Mitgliedstaaten und der Kommission innerhalb eines Ausschusses zur Anpassung an den technischen und wissenschaftl</w:t>
      </w:r>
      <w:r w:rsidRPr="00C84C09">
        <w:rPr>
          <w:rFonts w:cs="Arial"/>
        </w:rPr>
        <w:t>i</w:t>
      </w:r>
      <w:r w:rsidRPr="00C84C09">
        <w:rPr>
          <w:rFonts w:cs="Arial"/>
        </w:rPr>
        <w:t xml:space="preserve">chen Fortschritt vorzusehen - </w:t>
      </w:r>
    </w:p>
    <w:p w:rsidR="00B674C4" w:rsidRDefault="00B674C4" w:rsidP="00B674C4">
      <w:pPr>
        <w:pStyle w:val="GesAbsatz"/>
        <w:rPr>
          <w:rFonts w:cs="Arial"/>
        </w:rPr>
      </w:pPr>
      <w:r w:rsidRPr="00C84C09">
        <w:rPr>
          <w:rFonts w:cs="Arial"/>
        </w:rPr>
        <w:t>HAT FOLGENDE RICHTLINIE ERLASSEN:</w:t>
      </w:r>
    </w:p>
    <w:p w:rsidR="00B674C4" w:rsidRDefault="00B674C4" w:rsidP="00B674C4">
      <w:pPr>
        <w:pStyle w:val="berschrift2"/>
      </w:pPr>
      <w:bookmarkStart w:id="7" w:name="_Toc129490537"/>
      <w:r w:rsidRPr="00C84C09">
        <w:t>Artikel 1</w:t>
      </w:r>
      <w:bookmarkEnd w:id="7"/>
    </w:p>
    <w:p w:rsidR="00B674C4" w:rsidRDefault="00B674C4" w:rsidP="00B674C4">
      <w:pPr>
        <w:pStyle w:val="GesAbsatz"/>
        <w:rPr>
          <w:rFonts w:cs="Arial"/>
        </w:rPr>
      </w:pPr>
      <w:r w:rsidRPr="00C84C09">
        <w:rPr>
          <w:rFonts w:cs="Arial"/>
        </w:rPr>
        <w:t xml:space="preserve">(1) Diese Richtlinie betrifft die Qualität von Süßwasser und findet auf solche Gewässer Anwendung, die von den Mitgliedstaaten als schutz- und verbesserungsbedürftig bezeichnet werden, um das Leben von Fischen zu erhalten. </w:t>
      </w:r>
    </w:p>
    <w:p w:rsidR="00B674C4" w:rsidRDefault="00B674C4" w:rsidP="00B674C4">
      <w:pPr>
        <w:pStyle w:val="GesAbsatz"/>
        <w:rPr>
          <w:rFonts w:cs="Arial"/>
        </w:rPr>
      </w:pPr>
      <w:r w:rsidRPr="00C84C09">
        <w:rPr>
          <w:rFonts w:cs="Arial"/>
        </w:rPr>
        <w:t>(2) Diese Richtlinie gilt nicht für Gewässer in natürlichen oder künstlichen Becken, die für intensive Fisc</w:t>
      </w:r>
      <w:r w:rsidRPr="00C84C09">
        <w:rPr>
          <w:rFonts w:cs="Arial"/>
        </w:rPr>
        <w:t>h</w:t>
      </w:r>
      <w:r w:rsidRPr="00C84C09">
        <w:rPr>
          <w:rFonts w:cs="Arial"/>
        </w:rPr>
        <w:t xml:space="preserve">zucht genutzt werden. </w:t>
      </w:r>
    </w:p>
    <w:p w:rsidR="00B674C4" w:rsidRDefault="00B674C4" w:rsidP="00B674C4">
      <w:pPr>
        <w:pStyle w:val="GesAbsatz"/>
        <w:rPr>
          <w:rFonts w:cs="Arial"/>
        </w:rPr>
      </w:pPr>
      <w:r w:rsidRPr="00C84C09">
        <w:rPr>
          <w:rFonts w:cs="Arial"/>
        </w:rPr>
        <w:t xml:space="preserve">(3) Mit dieser Richtlinie wird bezweckt, die Qualität von solchem fließendem oder stehendem Süßwasser zu schützen oder zu verbessern, in dem das Leben von Fischen folgender Arten erhalten wird oder, falls die Verschmutzung verringert oder beseitigt wird, erhalten werden könnte: </w:t>
      </w:r>
    </w:p>
    <w:p w:rsidR="00B674C4" w:rsidRDefault="00B674C4" w:rsidP="00B674C4">
      <w:pPr>
        <w:pStyle w:val="GesAbsatz"/>
        <w:ind w:left="426" w:hanging="426"/>
        <w:rPr>
          <w:rFonts w:cs="Arial"/>
        </w:rPr>
      </w:pPr>
      <w:r w:rsidRPr="00C84C09">
        <w:rPr>
          <w:rFonts w:cs="Arial"/>
        </w:rPr>
        <w:t>-</w:t>
      </w:r>
      <w:r>
        <w:rPr>
          <w:rFonts w:cs="Arial"/>
        </w:rPr>
        <w:tab/>
      </w:r>
      <w:r w:rsidRPr="00C84C09">
        <w:rPr>
          <w:rFonts w:cs="Arial"/>
        </w:rPr>
        <w:t xml:space="preserve">einheimischer Arten, die eine natürliche Vielfalt aufweisen, oder </w:t>
      </w:r>
    </w:p>
    <w:p w:rsidR="00B674C4" w:rsidRDefault="00B674C4" w:rsidP="00B674C4">
      <w:pPr>
        <w:pStyle w:val="GesAbsatz"/>
        <w:ind w:left="426" w:hanging="426"/>
        <w:rPr>
          <w:rFonts w:cs="Arial"/>
        </w:rPr>
      </w:pPr>
      <w:r w:rsidRPr="00C84C09">
        <w:rPr>
          <w:rFonts w:cs="Arial"/>
        </w:rPr>
        <w:t>-</w:t>
      </w:r>
      <w:r>
        <w:rPr>
          <w:rFonts w:cs="Arial"/>
        </w:rPr>
        <w:tab/>
      </w:r>
      <w:r w:rsidRPr="00C84C09">
        <w:rPr>
          <w:rFonts w:cs="Arial"/>
        </w:rPr>
        <w:t xml:space="preserve">Arten, deren Vorkommen von den zuständigen Behörden der Mitgliedstaaten als wünschenswert für die Wasserwirtschaft erachtet wird. </w:t>
      </w:r>
    </w:p>
    <w:p w:rsidR="00B674C4" w:rsidRDefault="00B674C4" w:rsidP="00B674C4">
      <w:pPr>
        <w:pStyle w:val="GesAbsatz"/>
        <w:rPr>
          <w:rFonts w:cs="Arial"/>
        </w:rPr>
      </w:pPr>
      <w:r w:rsidRPr="00C84C09">
        <w:rPr>
          <w:rFonts w:cs="Arial"/>
        </w:rPr>
        <w:t xml:space="preserve">(4) Im Sinne dieser Richtlinie sind </w:t>
      </w:r>
    </w:p>
    <w:p w:rsidR="00B674C4" w:rsidRDefault="00B674C4" w:rsidP="00B674C4">
      <w:pPr>
        <w:pStyle w:val="GesAbsatz"/>
        <w:ind w:left="426" w:hanging="426"/>
        <w:rPr>
          <w:rFonts w:cs="Arial"/>
        </w:rPr>
      </w:pPr>
      <w:r w:rsidRPr="00C84C09">
        <w:rPr>
          <w:rFonts w:cs="Arial"/>
        </w:rPr>
        <w:t>-</w:t>
      </w:r>
      <w:r>
        <w:rPr>
          <w:rFonts w:cs="Arial"/>
        </w:rPr>
        <w:tab/>
      </w:r>
      <w:r w:rsidRPr="00C84C09">
        <w:rPr>
          <w:rFonts w:cs="Arial"/>
        </w:rPr>
        <w:t xml:space="preserve">"Salmonidengewässer" Gewässer, in denen das Leben von Fischen solcher Art wie Lachse (Salmo salar), Forellen (Salmo trutta), Äschen (Thymallus thymallus) und Renken (Coregonus) erhalten wird oder erhalten werden könnte; </w:t>
      </w:r>
    </w:p>
    <w:p w:rsidR="00B674C4" w:rsidRDefault="00B674C4" w:rsidP="00B674C4">
      <w:pPr>
        <w:pStyle w:val="GesAbsatz"/>
        <w:ind w:left="426" w:hanging="426"/>
        <w:rPr>
          <w:rFonts w:cs="Arial"/>
        </w:rPr>
      </w:pPr>
      <w:r w:rsidRPr="00C84C09">
        <w:rPr>
          <w:rFonts w:cs="Arial"/>
        </w:rPr>
        <w:t>-</w:t>
      </w:r>
      <w:r>
        <w:rPr>
          <w:rFonts w:cs="Arial"/>
        </w:rPr>
        <w:tab/>
      </w:r>
      <w:r w:rsidRPr="00C84C09">
        <w:rPr>
          <w:rFonts w:cs="Arial"/>
        </w:rPr>
        <w:t xml:space="preserve">"Cyprinidengewässer" alle Gewässer, in denen das Leben von Fischarten wie Cypriniden (Cyprinidä) oder anderen Arten wie Hechten (Esox lucius), Barschen (Perca fluviatilis) und Aalen (Anguilla anguilla) erhalten wird oder erhalten werden könnte. </w:t>
      </w:r>
    </w:p>
    <w:p w:rsidR="00B674C4" w:rsidRDefault="00B674C4" w:rsidP="00B674C4">
      <w:pPr>
        <w:pStyle w:val="berschrift2"/>
      </w:pPr>
      <w:bookmarkStart w:id="8" w:name="_Toc129490538"/>
      <w:r w:rsidRPr="00C84C09">
        <w:t>Artikel 2</w:t>
      </w:r>
      <w:bookmarkEnd w:id="8"/>
    </w:p>
    <w:p w:rsidR="00B674C4" w:rsidRDefault="00B674C4" w:rsidP="00B674C4">
      <w:pPr>
        <w:pStyle w:val="GesAbsatz"/>
        <w:rPr>
          <w:rFonts w:cs="Arial"/>
        </w:rPr>
      </w:pPr>
      <w:r w:rsidRPr="00C84C09">
        <w:rPr>
          <w:rFonts w:cs="Arial"/>
        </w:rPr>
        <w:t xml:space="preserve">(1) Die chemisch-physikalischen Parameter, die auf die von den Mitgliedstaaten bezeichneten Gewässer anwendbar sind, sind in Anhang I aufgeführt. </w:t>
      </w:r>
    </w:p>
    <w:p w:rsidR="00B674C4" w:rsidRDefault="00B674C4" w:rsidP="00B674C4">
      <w:pPr>
        <w:pStyle w:val="GesAbsatz"/>
        <w:rPr>
          <w:rFonts w:cs="Arial"/>
        </w:rPr>
      </w:pPr>
      <w:r w:rsidRPr="00C84C09">
        <w:rPr>
          <w:rFonts w:cs="Arial"/>
        </w:rPr>
        <w:t>(2) Für die Anwendung dieser Parameter werden die Gewässer in Salmonidengewässer und Cyprinideng</w:t>
      </w:r>
      <w:r w:rsidRPr="00C84C09">
        <w:rPr>
          <w:rFonts w:cs="Arial"/>
        </w:rPr>
        <w:t>e</w:t>
      </w:r>
      <w:r w:rsidRPr="00C84C09">
        <w:rPr>
          <w:rFonts w:cs="Arial"/>
        </w:rPr>
        <w:t xml:space="preserve">wässer eingeteilt. </w:t>
      </w:r>
    </w:p>
    <w:p w:rsidR="00B674C4" w:rsidRDefault="00B674C4" w:rsidP="00B674C4">
      <w:pPr>
        <w:pStyle w:val="berschrift2"/>
      </w:pPr>
      <w:bookmarkStart w:id="9" w:name="_Toc129490539"/>
      <w:r w:rsidRPr="00C84C09">
        <w:lastRenderedPageBreak/>
        <w:t>Artikel 3</w:t>
      </w:r>
      <w:bookmarkEnd w:id="9"/>
    </w:p>
    <w:p w:rsidR="00B674C4" w:rsidRDefault="00B674C4" w:rsidP="00B674C4">
      <w:pPr>
        <w:pStyle w:val="GesAbsatz"/>
        <w:rPr>
          <w:rFonts w:cs="Arial"/>
        </w:rPr>
      </w:pPr>
      <w:r w:rsidRPr="00C84C09">
        <w:rPr>
          <w:rFonts w:cs="Arial"/>
        </w:rPr>
        <w:t>(1) Die Mitgliedstaaten legen für die bezeichneten Gewässer Werte für die in Anhang I aufgeführten Param</w:t>
      </w:r>
      <w:r w:rsidRPr="00C84C09">
        <w:rPr>
          <w:rFonts w:cs="Arial"/>
        </w:rPr>
        <w:t>e</w:t>
      </w:r>
      <w:r w:rsidRPr="00C84C09">
        <w:rPr>
          <w:rFonts w:cs="Arial"/>
        </w:rPr>
        <w:t>ter fest, soweit in Spalte G oder in Spalte I Werte angegeben sind. Sie richten sich nach den in diesen be</w:t>
      </w:r>
      <w:r w:rsidRPr="00C84C09">
        <w:rPr>
          <w:rFonts w:cs="Arial"/>
        </w:rPr>
        <w:t>i</w:t>
      </w:r>
      <w:r w:rsidRPr="00C84C09">
        <w:rPr>
          <w:rFonts w:cs="Arial"/>
        </w:rPr>
        <w:t xml:space="preserve">den Spalten enthaltenen Bemerkungen. </w:t>
      </w:r>
    </w:p>
    <w:p w:rsidR="00B674C4" w:rsidRDefault="00B674C4" w:rsidP="00B674C4">
      <w:pPr>
        <w:pStyle w:val="GesAbsatz"/>
        <w:rPr>
          <w:rFonts w:cs="Arial"/>
        </w:rPr>
      </w:pPr>
      <w:r w:rsidRPr="00C84C09">
        <w:rPr>
          <w:rFonts w:cs="Arial"/>
        </w:rPr>
        <w:t>(2) Die Mitgliedstaaten legen keine Werte fest, die weniger streng als die in Spalte I des Anhangs I angeg</w:t>
      </w:r>
      <w:r w:rsidRPr="00C84C09">
        <w:rPr>
          <w:rFonts w:cs="Arial"/>
        </w:rPr>
        <w:t>e</w:t>
      </w:r>
      <w:r w:rsidRPr="00C84C09">
        <w:rPr>
          <w:rFonts w:cs="Arial"/>
        </w:rPr>
        <w:t xml:space="preserve">benen Werte sind, und bemühen sich um die Einhaltung der in Spalte G angegebenen Werte, wobei sie dem Grundsatz des Artikels 8 Rechnung tragen. </w:t>
      </w:r>
    </w:p>
    <w:p w:rsidR="00B674C4" w:rsidRDefault="00B674C4" w:rsidP="00B674C4">
      <w:pPr>
        <w:pStyle w:val="berschrift2"/>
      </w:pPr>
      <w:bookmarkStart w:id="10" w:name="_Toc129490540"/>
      <w:r w:rsidRPr="00C84C09">
        <w:t>Artikel 4</w:t>
      </w:r>
      <w:bookmarkEnd w:id="10"/>
    </w:p>
    <w:p w:rsidR="00B674C4" w:rsidRDefault="00B674C4" w:rsidP="00B674C4">
      <w:pPr>
        <w:pStyle w:val="GesAbsatz"/>
        <w:rPr>
          <w:rFonts w:cs="Arial"/>
        </w:rPr>
      </w:pPr>
      <w:r w:rsidRPr="00C84C09">
        <w:rPr>
          <w:rFonts w:cs="Arial"/>
        </w:rPr>
        <w:t xml:space="preserve">(1) Die Mitgliedstaaten bezeichnen Salmoniden- und Cypriniden-Gewässer erstmals binnen zwei Jahren nach Bekanntgabe dieser Richtlinie. </w:t>
      </w:r>
    </w:p>
    <w:p w:rsidR="00B674C4" w:rsidRDefault="00B674C4" w:rsidP="00B674C4">
      <w:pPr>
        <w:pStyle w:val="GesAbsatz"/>
        <w:rPr>
          <w:rFonts w:cs="Arial"/>
        </w:rPr>
      </w:pPr>
      <w:r w:rsidRPr="00C84C09">
        <w:rPr>
          <w:rFonts w:cs="Arial"/>
        </w:rPr>
        <w:t xml:space="preserve">(2) Die Mitgliedstaaten können später weitere Gewässer bezeichnen. </w:t>
      </w:r>
    </w:p>
    <w:p w:rsidR="00B674C4" w:rsidRDefault="00B674C4" w:rsidP="00B674C4">
      <w:pPr>
        <w:pStyle w:val="GesAbsatz"/>
        <w:rPr>
          <w:rFonts w:cs="Arial"/>
        </w:rPr>
      </w:pPr>
      <w:r w:rsidRPr="00C84C09">
        <w:rPr>
          <w:rFonts w:cs="Arial"/>
        </w:rPr>
        <w:t>(3) Die Mitgliedstaaten können die Bezeichnung bestimmter Gewässer aufgrund von zum Zeitpunkt der B</w:t>
      </w:r>
      <w:r w:rsidRPr="00C84C09">
        <w:rPr>
          <w:rFonts w:cs="Arial"/>
        </w:rPr>
        <w:t>e</w:t>
      </w:r>
      <w:r w:rsidRPr="00C84C09">
        <w:rPr>
          <w:rFonts w:cs="Arial"/>
        </w:rPr>
        <w:t xml:space="preserve">zeichnung unvorhergesehenen Faktoren ändern, wobei sie dem Grundsatz des Artikels 8 Rechnung tragen. </w:t>
      </w:r>
    </w:p>
    <w:p w:rsidR="00B674C4" w:rsidRDefault="00B674C4" w:rsidP="00B674C4">
      <w:pPr>
        <w:pStyle w:val="berschrift2"/>
      </w:pPr>
      <w:bookmarkStart w:id="11" w:name="_Toc129490541"/>
      <w:r w:rsidRPr="00C84C09">
        <w:t>Artikel 5</w:t>
      </w:r>
      <w:bookmarkEnd w:id="11"/>
    </w:p>
    <w:p w:rsidR="00B674C4" w:rsidRDefault="00B674C4" w:rsidP="00B674C4">
      <w:pPr>
        <w:pStyle w:val="GesAbsatz"/>
        <w:rPr>
          <w:rFonts w:cs="Arial"/>
        </w:rPr>
      </w:pPr>
      <w:r w:rsidRPr="00C84C09">
        <w:rPr>
          <w:rFonts w:cs="Arial"/>
        </w:rPr>
        <w:t>Die Mitgliedstaaten stellen Programme auf, um die Verschmutzung zu verringern und sicherzustellen, daß die bezeichneten Gewässer binnen fünf Jahren nach der entsprechend Artikel 4 vorgenommenen Bezeic</w:t>
      </w:r>
      <w:r w:rsidRPr="00C84C09">
        <w:rPr>
          <w:rFonts w:cs="Arial"/>
        </w:rPr>
        <w:t>h</w:t>
      </w:r>
      <w:r w:rsidRPr="00C84C09">
        <w:rPr>
          <w:rFonts w:cs="Arial"/>
        </w:rPr>
        <w:t xml:space="preserve">nung den von den Mitgliedstaaten gemäß Artikel 3 festgelegten Werten sowie den Bemerkungen in den Spalten G und I von Anhang I entsprechen. </w:t>
      </w:r>
    </w:p>
    <w:p w:rsidR="00B674C4" w:rsidRDefault="00B674C4" w:rsidP="00B674C4">
      <w:pPr>
        <w:pStyle w:val="berschrift2"/>
      </w:pPr>
      <w:bookmarkStart w:id="12" w:name="_Toc129490542"/>
      <w:r w:rsidRPr="00C84C09">
        <w:t>Artikel 6</w:t>
      </w:r>
      <w:bookmarkEnd w:id="12"/>
    </w:p>
    <w:p w:rsidR="00B674C4" w:rsidRDefault="00B674C4" w:rsidP="00B674C4">
      <w:pPr>
        <w:pStyle w:val="GesAbsatz"/>
        <w:rPr>
          <w:rFonts w:cs="Arial"/>
        </w:rPr>
      </w:pPr>
      <w:r w:rsidRPr="00C84C09">
        <w:rPr>
          <w:rFonts w:cs="Arial"/>
        </w:rPr>
        <w:t>(1) Im Rahmen der Anwendung des Artikels 5 werden die bezeichneten Gewässer als den Vorschriften di</w:t>
      </w:r>
      <w:r w:rsidRPr="00C84C09">
        <w:rPr>
          <w:rFonts w:cs="Arial"/>
        </w:rPr>
        <w:t>e</w:t>
      </w:r>
      <w:r w:rsidRPr="00C84C09">
        <w:rPr>
          <w:rFonts w:cs="Arial"/>
        </w:rPr>
        <w:t>ser Richtlinie entsprechend erachtet, wenn die Proben, die solchen Gewässern mindestens mit der in A</w:t>
      </w:r>
      <w:r w:rsidRPr="00C84C09">
        <w:rPr>
          <w:rFonts w:cs="Arial"/>
        </w:rPr>
        <w:t>n</w:t>
      </w:r>
      <w:r w:rsidRPr="00C84C09">
        <w:rPr>
          <w:rFonts w:cs="Arial"/>
        </w:rPr>
        <w:t>hang I vorgesehenen Häufigkeit über einen Zeitraum von zwölf Monaten an derselben Schöpfstelle en</w:t>
      </w:r>
      <w:r w:rsidRPr="00C84C09">
        <w:rPr>
          <w:rFonts w:cs="Arial"/>
        </w:rPr>
        <w:t>t</w:t>
      </w:r>
      <w:r w:rsidRPr="00C84C09">
        <w:rPr>
          <w:rFonts w:cs="Arial"/>
        </w:rPr>
        <w:t xml:space="preserve">nommen werden, ergeben, daß sie den von den Mitgliedstaaten gemäß Artikel 3 festgelegten Werten sowie den Bemerkungen in den Spalten G und I von Anhang I wie folgt entsprechen: </w:t>
      </w:r>
    </w:p>
    <w:p w:rsidR="00B674C4" w:rsidRDefault="00B674C4" w:rsidP="00B674C4">
      <w:pPr>
        <w:pStyle w:val="GesAbsatz"/>
        <w:ind w:left="426" w:hanging="426"/>
        <w:rPr>
          <w:rFonts w:cs="Arial"/>
        </w:rPr>
      </w:pPr>
      <w:r w:rsidRPr="00C84C09">
        <w:rPr>
          <w:rFonts w:cs="Arial"/>
        </w:rPr>
        <w:t>-</w:t>
      </w:r>
      <w:r>
        <w:rPr>
          <w:rFonts w:cs="Arial"/>
        </w:rPr>
        <w:tab/>
      </w:r>
      <w:r w:rsidRPr="00C84C09">
        <w:rPr>
          <w:rFonts w:cs="Arial"/>
        </w:rPr>
        <w:t>bei 95 % der Proben im Falle der Parameter pH, BSB</w:t>
      </w:r>
      <w:r w:rsidRPr="009876C6">
        <w:rPr>
          <w:rFonts w:cs="Arial"/>
          <w:vertAlign w:val="subscript"/>
        </w:rPr>
        <w:t>5</w:t>
      </w:r>
      <w:r w:rsidRPr="00C84C09">
        <w:rPr>
          <w:rFonts w:cs="Arial"/>
        </w:rPr>
        <w:t>, nicht ionisiertes Ammonium, Ammonium insg</w:t>
      </w:r>
      <w:r w:rsidRPr="00C84C09">
        <w:rPr>
          <w:rFonts w:cs="Arial"/>
        </w:rPr>
        <w:t>e</w:t>
      </w:r>
      <w:r w:rsidRPr="00C84C09">
        <w:rPr>
          <w:rFonts w:cs="Arial"/>
        </w:rPr>
        <w:t>samt, Nitrite, Restchlor insgesamt, Zink insgesamt und gelöstes Kupfer. Werden weniger Proben als e</w:t>
      </w:r>
      <w:r w:rsidRPr="00C84C09">
        <w:rPr>
          <w:rFonts w:cs="Arial"/>
        </w:rPr>
        <w:t>i</w:t>
      </w:r>
      <w:r w:rsidRPr="00C84C09">
        <w:rPr>
          <w:rFonts w:cs="Arial"/>
        </w:rPr>
        <w:t xml:space="preserve">ne Probe im Monat entnommen, so müssen alle Proben den obengenannten Werten und Bemerkungen entsprechen; </w:t>
      </w:r>
    </w:p>
    <w:p w:rsidR="00B674C4" w:rsidRDefault="00B674C4" w:rsidP="00B674C4">
      <w:pPr>
        <w:pStyle w:val="GesAbsatz"/>
        <w:ind w:left="426" w:hanging="426"/>
        <w:rPr>
          <w:rFonts w:cs="Arial"/>
        </w:rPr>
      </w:pPr>
      <w:r w:rsidRPr="00C84C09">
        <w:rPr>
          <w:rFonts w:cs="Arial"/>
        </w:rPr>
        <w:t>-</w:t>
      </w:r>
      <w:r>
        <w:rPr>
          <w:rFonts w:cs="Arial"/>
        </w:rPr>
        <w:tab/>
      </w:r>
      <w:r w:rsidRPr="00C84C09">
        <w:rPr>
          <w:rFonts w:cs="Arial"/>
        </w:rPr>
        <w:t>zu den in Anhang I angegebenen Prozentsätzen bei den Parametern Temperatur und gelöster Saue</w:t>
      </w:r>
      <w:r w:rsidRPr="00C84C09">
        <w:rPr>
          <w:rFonts w:cs="Arial"/>
        </w:rPr>
        <w:t>r</w:t>
      </w:r>
      <w:r w:rsidRPr="00C84C09">
        <w:rPr>
          <w:rFonts w:cs="Arial"/>
        </w:rPr>
        <w:t xml:space="preserve">stoff; </w:t>
      </w:r>
    </w:p>
    <w:p w:rsidR="00B674C4" w:rsidRDefault="00B674C4" w:rsidP="00B674C4">
      <w:pPr>
        <w:pStyle w:val="GesAbsatz"/>
        <w:ind w:left="426" w:hanging="426"/>
        <w:rPr>
          <w:rFonts w:cs="Arial"/>
        </w:rPr>
      </w:pPr>
      <w:r w:rsidRPr="00C84C09">
        <w:rPr>
          <w:rFonts w:cs="Arial"/>
        </w:rPr>
        <w:t>-</w:t>
      </w:r>
      <w:r>
        <w:rPr>
          <w:rFonts w:cs="Arial"/>
        </w:rPr>
        <w:tab/>
      </w:r>
      <w:r w:rsidRPr="00C84C09">
        <w:rPr>
          <w:rFonts w:cs="Arial"/>
        </w:rPr>
        <w:t xml:space="preserve">zu der festgelegten Durchschnittskonzentration bei dem Parameter Schwebstoffe. </w:t>
      </w:r>
    </w:p>
    <w:p w:rsidR="00B674C4" w:rsidRDefault="00B674C4" w:rsidP="00B674C4">
      <w:pPr>
        <w:pStyle w:val="GesAbsatz"/>
        <w:rPr>
          <w:rFonts w:cs="Arial"/>
        </w:rPr>
      </w:pPr>
      <w:r w:rsidRPr="00C84C09">
        <w:rPr>
          <w:rFonts w:cs="Arial"/>
        </w:rPr>
        <w:t xml:space="preserve">(2) Abweichungen von den Werten, die die Mitgliedstaaten nach Artikel 3 festgelegt haben, oder von den Bemerkungen in den Spalten G und I des Anhangs I bleiben bei der Berechnung der in Absatz 1 genannten Prozentsätze unberücksichtigt, wenn sie durch Hochwasser oder andere Naturkatastrophen bedingt sind. </w:t>
      </w:r>
    </w:p>
    <w:p w:rsidR="00B674C4" w:rsidRDefault="00B674C4" w:rsidP="00B674C4">
      <w:pPr>
        <w:pStyle w:val="berschrift2"/>
      </w:pPr>
      <w:bookmarkStart w:id="13" w:name="_Toc129490543"/>
      <w:r w:rsidRPr="00C84C09">
        <w:t>Artikel 7</w:t>
      </w:r>
      <w:bookmarkEnd w:id="13"/>
    </w:p>
    <w:p w:rsidR="00B674C4" w:rsidRDefault="00B674C4" w:rsidP="00B674C4">
      <w:pPr>
        <w:pStyle w:val="GesAbsatz"/>
        <w:rPr>
          <w:rFonts w:cs="Arial"/>
        </w:rPr>
      </w:pPr>
      <w:r w:rsidRPr="00C84C09">
        <w:rPr>
          <w:rFonts w:cs="Arial"/>
        </w:rPr>
        <w:t xml:space="preserve">(1) Die zuständigen Behörden der Mitgliedstaaten führen die Probenahmen durch, deren Regelhäufigkeit in Anhang I festgelegt ist. </w:t>
      </w:r>
    </w:p>
    <w:p w:rsidR="00B674C4" w:rsidRDefault="00B674C4" w:rsidP="00B674C4">
      <w:pPr>
        <w:pStyle w:val="GesAbsatz"/>
        <w:rPr>
          <w:rFonts w:cs="Arial"/>
        </w:rPr>
      </w:pPr>
      <w:r w:rsidRPr="00C84C09">
        <w:rPr>
          <w:rFonts w:cs="Arial"/>
        </w:rPr>
        <w:t>(2) Stellt die zuständige Behörde fest, daß die Qualität der bezeichneten Gewässer merklich über der Qual</w:t>
      </w:r>
      <w:r w:rsidRPr="00C84C09">
        <w:rPr>
          <w:rFonts w:cs="Arial"/>
        </w:rPr>
        <w:t>i</w:t>
      </w:r>
      <w:r w:rsidRPr="00C84C09">
        <w:rPr>
          <w:rFonts w:cs="Arial"/>
        </w:rPr>
        <w:t>tät liegt, die sich bei Anwendung der gemäß Artikel 3 festgelegten Werte sowie bei Einhaltung der Beme</w:t>
      </w:r>
      <w:r w:rsidRPr="00C84C09">
        <w:rPr>
          <w:rFonts w:cs="Arial"/>
        </w:rPr>
        <w:t>r</w:t>
      </w:r>
      <w:r w:rsidRPr="00C84C09">
        <w:rPr>
          <w:rFonts w:cs="Arial"/>
        </w:rPr>
        <w:t xml:space="preserve">kungen in den Spalten G und I des Anhangs I ergeben würde, so kann die Häufigkeit der Probenahmen verringert werden. Besteht keine Verschmutzung oder Gefahr einer Verschlechterung dieser Qualität, so kann die zuständige Behörde verfügen, daß keine Probenahme erforderlich ist. </w:t>
      </w:r>
    </w:p>
    <w:p w:rsidR="00B674C4" w:rsidRDefault="00B674C4" w:rsidP="00B674C4">
      <w:pPr>
        <w:pStyle w:val="GesAbsatz"/>
        <w:rPr>
          <w:rFonts w:cs="Arial"/>
        </w:rPr>
      </w:pPr>
      <w:r w:rsidRPr="00C84C09">
        <w:rPr>
          <w:rFonts w:cs="Arial"/>
        </w:rPr>
        <w:t>(3) Zeigt sich bei einer Probeentnahme, daß ein von einem Mitgliedstaat gemäß Artikel 3 festgelegter Wert oder eine Bemerkung in den Spalten G und I des Anhangs I nicht eingehalten wird, so stellt der betreffende Mitgliedstaat fest, ob dies zufallsbedingt oder auf eine Naturerscheinung oder eine Verschmutzung zurüc</w:t>
      </w:r>
      <w:r w:rsidRPr="00C84C09">
        <w:rPr>
          <w:rFonts w:cs="Arial"/>
        </w:rPr>
        <w:t>k</w:t>
      </w:r>
      <w:r w:rsidRPr="00C84C09">
        <w:rPr>
          <w:rFonts w:cs="Arial"/>
        </w:rPr>
        <w:t xml:space="preserve">zuführen ist, und trifft die geeigneten Maßnahmen. </w:t>
      </w:r>
    </w:p>
    <w:p w:rsidR="00B674C4" w:rsidRDefault="00B674C4" w:rsidP="00B674C4">
      <w:pPr>
        <w:pStyle w:val="GesAbsatz"/>
        <w:rPr>
          <w:rFonts w:cs="Arial"/>
        </w:rPr>
      </w:pPr>
      <w:r w:rsidRPr="00C84C09">
        <w:rPr>
          <w:rFonts w:cs="Arial"/>
        </w:rPr>
        <w:t>(4) Der genaue Ort der Probenahmen, die Entfernung dieses Ortes von der nächstgelegenen Einleitung</w:t>
      </w:r>
      <w:r w:rsidRPr="00C84C09">
        <w:rPr>
          <w:rFonts w:cs="Arial"/>
        </w:rPr>
        <w:t>s</w:t>
      </w:r>
      <w:r w:rsidRPr="00C84C09">
        <w:rPr>
          <w:rFonts w:cs="Arial"/>
        </w:rPr>
        <w:t xml:space="preserve">stelle sowie die Tiefe, in der die Proben zu entnehmen sind, werden von der zuständigen Behörde jedes Mitgliedstaats insbesondere unter Berücksichtigung der örtlichen Umweltbedingungen festgelegt. </w:t>
      </w:r>
    </w:p>
    <w:p w:rsidR="00B674C4" w:rsidRDefault="00B674C4" w:rsidP="00B674C4">
      <w:pPr>
        <w:pStyle w:val="GesAbsatz"/>
        <w:rPr>
          <w:rFonts w:cs="Arial"/>
        </w:rPr>
      </w:pPr>
      <w:r w:rsidRPr="00C84C09">
        <w:rPr>
          <w:rFonts w:cs="Arial"/>
        </w:rPr>
        <w:lastRenderedPageBreak/>
        <w:t>(5) Analyseverfahren (Referenzmethoden) für die betreffenden Parameter sind in Anhang I angegeben. L</w:t>
      </w:r>
      <w:r w:rsidRPr="00C84C09">
        <w:rPr>
          <w:rFonts w:cs="Arial"/>
        </w:rPr>
        <w:t>a</w:t>
      </w:r>
      <w:r w:rsidRPr="00C84C09">
        <w:rPr>
          <w:rFonts w:cs="Arial"/>
        </w:rPr>
        <w:t xml:space="preserve">boratorien, die andere Verfahren anwenden, müssen sich vergewissern, daß die erzielten Ergebnisse den in Anhang I angegebenen Ergebnissen gleichwertig oder mit ihnen vergleichbar sind. </w:t>
      </w:r>
    </w:p>
    <w:p w:rsidR="00B674C4" w:rsidRDefault="00B674C4" w:rsidP="00B674C4">
      <w:pPr>
        <w:pStyle w:val="berschrift2"/>
      </w:pPr>
      <w:bookmarkStart w:id="14" w:name="_Toc129490544"/>
      <w:r w:rsidRPr="00C84C09">
        <w:t>Artikel 8</w:t>
      </w:r>
      <w:bookmarkEnd w:id="14"/>
    </w:p>
    <w:p w:rsidR="00B674C4" w:rsidRDefault="00B674C4" w:rsidP="00B674C4">
      <w:pPr>
        <w:pStyle w:val="GesAbsatz"/>
        <w:rPr>
          <w:rFonts w:cs="Arial"/>
        </w:rPr>
      </w:pPr>
      <w:r w:rsidRPr="00C84C09">
        <w:rPr>
          <w:rFonts w:cs="Arial"/>
        </w:rPr>
        <w:t xml:space="preserve">Die Anwendung der aufgrund dieser Richtlinie getroffenen Maßnahmen darf keinesfalls eine unmittelbare oder mittelbare Zunahme der Verschmutzung des Süßwassers zur Folge haben. </w:t>
      </w:r>
    </w:p>
    <w:p w:rsidR="00B674C4" w:rsidRDefault="00B674C4" w:rsidP="00B674C4">
      <w:pPr>
        <w:pStyle w:val="berschrift2"/>
      </w:pPr>
      <w:bookmarkStart w:id="15" w:name="_Toc129490545"/>
      <w:r w:rsidRPr="00C84C09">
        <w:t>Artikel 9</w:t>
      </w:r>
      <w:bookmarkEnd w:id="15"/>
    </w:p>
    <w:p w:rsidR="00B674C4" w:rsidRDefault="00B674C4" w:rsidP="00B674C4">
      <w:pPr>
        <w:pStyle w:val="GesAbsatz"/>
        <w:rPr>
          <w:rFonts w:cs="Arial"/>
        </w:rPr>
      </w:pPr>
      <w:r w:rsidRPr="00C84C09">
        <w:rPr>
          <w:rFonts w:cs="Arial"/>
        </w:rPr>
        <w:t>Es steht den Mitgliedstaaten jederzeit frei, für die bezeichneten Gewässer strengere Werte festzulegen, als in dieser Richtlinie vorgesehen sind. Ferner ist es ihnen freigestellt, Vorschriften für andere Parameter fes</w:t>
      </w:r>
      <w:r w:rsidRPr="00C84C09">
        <w:rPr>
          <w:rFonts w:cs="Arial"/>
        </w:rPr>
        <w:t>t</w:t>
      </w:r>
      <w:r w:rsidRPr="00C84C09">
        <w:rPr>
          <w:rFonts w:cs="Arial"/>
        </w:rPr>
        <w:t xml:space="preserve">zulegen, als in dieser Richtlinie vorgesehen sind. </w:t>
      </w:r>
    </w:p>
    <w:p w:rsidR="00B674C4" w:rsidRDefault="00B674C4" w:rsidP="00B674C4">
      <w:pPr>
        <w:pStyle w:val="berschrift2"/>
      </w:pPr>
      <w:bookmarkStart w:id="16" w:name="_Toc129490546"/>
      <w:r w:rsidRPr="00C84C09">
        <w:t>Artikel 10</w:t>
      </w:r>
      <w:bookmarkEnd w:id="16"/>
    </w:p>
    <w:p w:rsidR="00B674C4" w:rsidRDefault="00B674C4" w:rsidP="00B674C4">
      <w:pPr>
        <w:pStyle w:val="GesAbsatz"/>
        <w:rPr>
          <w:rFonts w:cs="Arial"/>
        </w:rPr>
      </w:pPr>
      <w:r w:rsidRPr="00C84C09">
        <w:rPr>
          <w:rFonts w:cs="Arial"/>
        </w:rPr>
        <w:t>Im Falle grenz</w:t>
      </w:r>
      <w:r>
        <w:rPr>
          <w:rFonts w:cs="Arial"/>
        </w:rPr>
        <w:t>ü</w:t>
      </w:r>
      <w:r w:rsidRPr="00C84C09">
        <w:rPr>
          <w:rFonts w:cs="Arial"/>
        </w:rPr>
        <w:t>berschreitender oder die Grenze zwischen Mitgliedstaaten bildende Gewässer, deren B</w:t>
      </w:r>
      <w:r w:rsidRPr="00C84C09">
        <w:rPr>
          <w:rFonts w:cs="Arial"/>
        </w:rPr>
        <w:t>e</w:t>
      </w:r>
      <w:r w:rsidRPr="00C84C09">
        <w:rPr>
          <w:rFonts w:cs="Arial"/>
        </w:rPr>
        <w:t>zeichnung einer dieser Staaten in Betracht zieht, treten diese Staaten in Konsultationen ein über den A</w:t>
      </w:r>
      <w:r w:rsidRPr="00C84C09">
        <w:rPr>
          <w:rFonts w:cs="Arial"/>
        </w:rPr>
        <w:t>b</w:t>
      </w:r>
      <w:r w:rsidRPr="00C84C09">
        <w:rPr>
          <w:rFonts w:cs="Arial"/>
        </w:rPr>
        <w:t>schnitt der Grenzgewässer, auf denen die Richtlinie Anwendung finden könnte, sowie über die aus den g</w:t>
      </w:r>
      <w:r w:rsidRPr="00C84C09">
        <w:rPr>
          <w:rFonts w:cs="Arial"/>
        </w:rPr>
        <w:t>e</w:t>
      </w:r>
      <w:r w:rsidRPr="00C84C09">
        <w:rPr>
          <w:rFonts w:cs="Arial"/>
        </w:rPr>
        <w:t>meinsamen Qualitätszielen zu ziehenden Folgerungen, die nach gegenseitiger Abstimmung durch den j</w:t>
      </w:r>
      <w:r w:rsidRPr="00C84C09">
        <w:rPr>
          <w:rFonts w:cs="Arial"/>
        </w:rPr>
        <w:t>e</w:t>
      </w:r>
      <w:r w:rsidRPr="00C84C09">
        <w:rPr>
          <w:rFonts w:cs="Arial"/>
        </w:rPr>
        <w:t xml:space="preserve">weiligen Staat festgelegt werden. Die Kommission kann an diesen Beratungen teilnehmen. </w:t>
      </w:r>
    </w:p>
    <w:p w:rsidR="00B674C4" w:rsidRDefault="00B674C4" w:rsidP="00B674C4">
      <w:pPr>
        <w:pStyle w:val="berschrift2"/>
      </w:pPr>
      <w:bookmarkStart w:id="17" w:name="_Toc129490547"/>
      <w:r w:rsidRPr="00C84C09">
        <w:t>Artikel 11</w:t>
      </w:r>
      <w:bookmarkEnd w:id="17"/>
    </w:p>
    <w:p w:rsidR="00B674C4" w:rsidRDefault="00B674C4" w:rsidP="00B674C4">
      <w:pPr>
        <w:pStyle w:val="GesAbsatz"/>
        <w:rPr>
          <w:rFonts w:cs="Arial"/>
        </w:rPr>
      </w:pPr>
      <w:r w:rsidRPr="00C84C09">
        <w:rPr>
          <w:rFonts w:cs="Arial"/>
        </w:rPr>
        <w:t xml:space="preserve">Die Mitgliedstaaten können Abweichungen von dieser Richtlinie beschließen: </w:t>
      </w:r>
    </w:p>
    <w:p w:rsidR="00B674C4" w:rsidRDefault="00B674C4" w:rsidP="00B674C4">
      <w:pPr>
        <w:pStyle w:val="GesAbsatz"/>
        <w:ind w:left="426" w:hanging="426"/>
        <w:rPr>
          <w:rFonts w:cs="Arial"/>
        </w:rPr>
      </w:pPr>
      <w:r w:rsidRPr="00C84C09">
        <w:rPr>
          <w:rFonts w:cs="Arial"/>
        </w:rPr>
        <w:t>a)</w:t>
      </w:r>
      <w:r>
        <w:rPr>
          <w:rFonts w:cs="Arial"/>
        </w:rPr>
        <w:tab/>
      </w:r>
      <w:r w:rsidRPr="00C84C09">
        <w:rPr>
          <w:rFonts w:cs="Arial"/>
        </w:rPr>
        <w:t>bei bestimmten Parametern, die in Anhang I mit (0) gekennzeichnet sind, wenn au</w:t>
      </w:r>
      <w:r>
        <w:rPr>
          <w:rFonts w:cs="Arial"/>
        </w:rPr>
        <w:t>ß</w:t>
      </w:r>
      <w:r w:rsidRPr="00C84C09">
        <w:rPr>
          <w:rFonts w:cs="Arial"/>
        </w:rPr>
        <w:t>ergewöhnliche m</w:t>
      </w:r>
      <w:r w:rsidRPr="00C84C09">
        <w:rPr>
          <w:rFonts w:cs="Arial"/>
        </w:rPr>
        <w:t>e</w:t>
      </w:r>
      <w:r w:rsidRPr="00C84C09">
        <w:rPr>
          <w:rFonts w:cs="Arial"/>
        </w:rPr>
        <w:t xml:space="preserve">teorologische oder besondere geographische Verhältnisse vorliegen, </w:t>
      </w:r>
    </w:p>
    <w:p w:rsidR="00B674C4" w:rsidRDefault="00B674C4" w:rsidP="00B674C4">
      <w:pPr>
        <w:pStyle w:val="GesAbsatz"/>
        <w:ind w:left="426" w:hanging="426"/>
        <w:rPr>
          <w:rFonts w:cs="Arial"/>
        </w:rPr>
      </w:pPr>
      <w:r w:rsidRPr="00C84C09">
        <w:rPr>
          <w:rFonts w:cs="Arial"/>
        </w:rPr>
        <w:t>b)</w:t>
      </w:r>
      <w:r>
        <w:rPr>
          <w:rFonts w:cs="Arial"/>
        </w:rPr>
        <w:tab/>
      </w:r>
      <w:r w:rsidRPr="00C84C09">
        <w:rPr>
          <w:rFonts w:cs="Arial"/>
        </w:rPr>
        <w:t xml:space="preserve">wenn bezeichnete Gewässer eine natürliche Anreicherung mit bestimmten Stoffen über die in Anhang I festgelegten Grenzwerte hinaus erfahren. </w:t>
      </w:r>
    </w:p>
    <w:p w:rsidR="00B674C4" w:rsidRDefault="00B674C4" w:rsidP="00B674C4">
      <w:pPr>
        <w:pStyle w:val="GesAbsatz"/>
        <w:rPr>
          <w:rFonts w:cs="Arial"/>
        </w:rPr>
      </w:pPr>
      <w:r w:rsidRPr="00C84C09">
        <w:rPr>
          <w:rFonts w:cs="Arial"/>
        </w:rPr>
        <w:t xml:space="preserve">Unter natürlicher Anreicherung ist der Prozeß zu verstehen, durch den ein bestimmtes Wasservolumen ohne Eingriff des Menschen gewisse im Boden enthaltene Stoffe aufnimmt. </w:t>
      </w:r>
    </w:p>
    <w:p w:rsidR="00B674C4" w:rsidRDefault="00B674C4" w:rsidP="00B674C4">
      <w:pPr>
        <w:pStyle w:val="berschrift2"/>
      </w:pPr>
      <w:bookmarkStart w:id="18" w:name="_Toc129490548"/>
      <w:r w:rsidRPr="00C84C09">
        <w:t>Artikel 12</w:t>
      </w:r>
      <w:bookmarkEnd w:id="18"/>
    </w:p>
    <w:p w:rsidR="00B674C4" w:rsidRDefault="00B674C4" w:rsidP="00B674C4">
      <w:pPr>
        <w:pStyle w:val="GesAbsatz"/>
        <w:rPr>
          <w:rFonts w:cs="Arial"/>
        </w:rPr>
      </w:pPr>
      <w:r w:rsidRPr="00C84C09">
        <w:rPr>
          <w:rFonts w:cs="Arial"/>
        </w:rPr>
        <w:t xml:space="preserve">Die für die Anpassung an den technischen und wissenschaftlichen Fortschritt notwendigen Änderungen der in Anhang I aufgeführten </w:t>
      </w:r>
    </w:p>
    <w:p w:rsidR="00B674C4" w:rsidRDefault="00B674C4" w:rsidP="00B674C4">
      <w:pPr>
        <w:pStyle w:val="GesAbsatz"/>
        <w:rPr>
          <w:rFonts w:cs="Arial"/>
        </w:rPr>
      </w:pPr>
      <w:r w:rsidRPr="00C84C09">
        <w:rPr>
          <w:rFonts w:cs="Arial"/>
        </w:rPr>
        <w:t>-</w:t>
      </w:r>
      <w:r>
        <w:rPr>
          <w:rFonts w:cs="Arial"/>
        </w:rPr>
        <w:tab/>
      </w:r>
      <w:r w:rsidRPr="00C84C09">
        <w:rPr>
          <w:rFonts w:cs="Arial"/>
        </w:rPr>
        <w:t xml:space="preserve">Parameter G und </w:t>
      </w:r>
    </w:p>
    <w:p w:rsidR="00B674C4" w:rsidRDefault="00B674C4" w:rsidP="00B674C4">
      <w:pPr>
        <w:pStyle w:val="GesAbsatz"/>
        <w:rPr>
          <w:rFonts w:cs="Arial"/>
        </w:rPr>
      </w:pPr>
      <w:r w:rsidRPr="00C84C09">
        <w:rPr>
          <w:rFonts w:cs="Arial"/>
        </w:rPr>
        <w:t>-</w:t>
      </w:r>
      <w:r>
        <w:rPr>
          <w:rFonts w:cs="Arial"/>
        </w:rPr>
        <w:tab/>
      </w:r>
      <w:r w:rsidRPr="00C84C09">
        <w:rPr>
          <w:rFonts w:cs="Arial"/>
        </w:rPr>
        <w:t xml:space="preserve">Analyseverfahren </w:t>
      </w:r>
    </w:p>
    <w:p w:rsidR="00B674C4" w:rsidRDefault="00B674C4" w:rsidP="00B674C4">
      <w:pPr>
        <w:pStyle w:val="GesAbsatz"/>
        <w:rPr>
          <w:rFonts w:cs="Arial"/>
        </w:rPr>
      </w:pPr>
      <w:r w:rsidRPr="00C84C09">
        <w:rPr>
          <w:rFonts w:cs="Arial"/>
        </w:rPr>
        <w:t>werden nach dem Verf</w:t>
      </w:r>
      <w:r>
        <w:rPr>
          <w:rFonts w:cs="Arial"/>
        </w:rPr>
        <w:t>ahren des Artikels 14 erlassen.</w:t>
      </w:r>
    </w:p>
    <w:p w:rsidR="00B674C4" w:rsidRDefault="00B674C4" w:rsidP="00B674C4">
      <w:pPr>
        <w:pStyle w:val="berschrift2"/>
      </w:pPr>
      <w:bookmarkStart w:id="19" w:name="_Toc129490549"/>
      <w:r w:rsidRPr="00C84C09">
        <w:t>Artikel 13</w:t>
      </w:r>
      <w:bookmarkEnd w:id="19"/>
    </w:p>
    <w:p w:rsidR="00B674C4" w:rsidRDefault="00B674C4" w:rsidP="00B674C4">
      <w:pPr>
        <w:pStyle w:val="GesAbsatz"/>
        <w:rPr>
          <w:rFonts w:cs="Arial"/>
        </w:rPr>
      </w:pPr>
      <w:r w:rsidRPr="00C84C09">
        <w:rPr>
          <w:rFonts w:cs="Arial"/>
        </w:rPr>
        <w:t>(1) Es wird ein Ausschuß zur Anpassung an den technischen und wissenschaftlichen Fortschritt, im folge</w:t>
      </w:r>
      <w:r w:rsidRPr="00C84C09">
        <w:rPr>
          <w:rFonts w:cs="Arial"/>
        </w:rPr>
        <w:t>n</w:t>
      </w:r>
      <w:r w:rsidRPr="00C84C09">
        <w:rPr>
          <w:rFonts w:cs="Arial"/>
        </w:rPr>
        <w:t xml:space="preserve">den "Ausschuß" genannt, eingesetzt, der sich aus Vertretern der Mitgliedstaaten zusammensetzt und in dem ein Vertreter der Kommission den Vorsitz führt. Dieser Ausschuß erfüllt die Aufgaben gemäß Artikel 12. </w:t>
      </w:r>
    </w:p>
    <w:p w:rsidR="00B674C4" w:rsidRDefault="00B674C4" w:rsidP="00B674C4">
      <w:pPr>
        <w:pStyle w:val="GesAbsatz"/>
        <w:rPr>
          <w:rFonts w:cs="Arial"/>
        </w:rPr>
      </w:pPr>
      <w:r w:rsidRPr="00C84C09">
        <w:rPr>
          <w:rFonts w:cs="Arial"/>
        </w:rPr>
        <w:t xml:space="preserve">(2) </w:t>
      </w:r>
      <w:r>
        <w:rPr>
          <w:rFonts w:cs="Arial"/>
        </w:rPr>
        <w:t>(gestrichen)</w:t>
      </w:r>
    </w:p>
    <w:p w:rsidR="00B674C4" w:rsidRDefault="00B674C4" w:rsidP="00B674C4">
      <w:pPr>
        <w:pStyle w:val="berschrift2"/>
      </w:pPr>
      <w:bookmarkStart w:id="20" w:name="_Toc129490550"/>
      <w:r w:rsidRPr="00C84C09">
        <w:t>Artikel 14</w:t>
      </w:r>
      <w:bookmarkEnd w:id="20"/>
    </w:p>
    <w:p w:rsidR="00B674C4" w:rsidRPr="00EC1CE0" w:rsidRDefault="00B674C4" w:rsidP="00B674C4">
      <w:pPr>
        <w:pStyle w:val="GesAbsatz"/>
      </w:pPr>
      <w:r w:rsidRPr="00EC1CE0">
        <w:t>(1) Die Kommission wird von dem Ausschuss zur Anpassung an den technischen und wissenschaft</w:t>
      </w:r>
      <w:r>
        <w:t>lichen Fortschritt unterstützt.</w:t>
      </w:r>
    </w:p>
    <w:p w:rsidR="00B674C4" w:rsidRPr="00EC1CE0" w:rsidRDefault="00B674C4" w:rsidP="00B674C4">
      <w:pPr>
        <w:pStyle w:val="GesAbsatz"/>
      </w:pPr>
      <w:r w:rsidRPr="00EC1CE0">
        <w:t xml:space="preserve">(2) Wird auf diesen Artikel Bezug genommen, so gelten die Artikel </w:t>
      </w:r>
      <w:hyperlink r:id="rId11" w:anchor="art5" w:history="1">
        <w:r w:rsidRPr="00EC1CE0">
          <w:t>5</w:t>
        </w:r>
      </w:hyperlink>
      <w:r w:rsidRPr="00EC1CE0">
        <w:t xml:space="preserve"> und </w:t>
      </w:r>
      <w:hyperlink r:id="rId12" w:anchor="art7" w:history="1">
        <w:r w:rsidRPr="00EC1CE0">
          <w:t>7</w:t>
        </w:r>
      </w:hyperlink>
      <w:r w:rsidRPr="00EC1CE0">
        <w:t xml:space="preserve"> des Beschlusses 1999/468/EG</w:t>
      </w:r>
      <w:r>
        <w:rPr>
          <w:rStyle w:val="Funotenzeichen"/>
        </w:rPr>
        <w:footnoteReference w:id="5"/>
      </w:r>
      <w:r>
        <w:t>.</w:t>
      </w:r>
    </w:p>
    <w:p w:rsidR="00B674C4" w:rsidRPr="00EC1CE0" w:rsidRDefault="00B674C4" w:rsidP="00B674C4">
      <w:pPr>
        <w:pStyle w:val="GesAbsatz"/>
      </w:pPr>
      <w:r w:rsidRPr="00EC1CE0">
        <w:t xml:space="preserve">Der Zeitraum nach Artikel </w:t>
      </w:r>
      <w:hyperlink r:id="rId13" w:anchor="art5" w:history="1">
        <w:r w:rsidRPr="00EC1CE0">
          <w:t>5</w:t>
        </w:r>
      </w:hyperlink>
      <w:r w:rsidRPr="00EC1CE0">
        <w:t xml:space="preserve"> Absatz 6 des Beschlusses 1999/468/EG wird auf drei Monate festgesetzt.</w:t>
      </w:r>
    </w:p>
    <w:p w:rsidR="00B674C4" w:rsidRPr="00EC1CE0" w:rsidRDefault="00B674C4" w:rsidP="00B674C4">
      <w:pPr>
        <w:pStyle w:val="GesAbsatz"/>
      </w:pPr>
      <w:r w:rsidRPr="00EC1CE0">
        <w:t>(3) Der Ausschu</w:t>
      </w:r>
      <w:r>
        <w:t>ss</w:t>
      </w:r>
      <w:r w:rsidRPr="00EC1CE0">
        <w:t xml:space="preserve"> gibt sich eine Geschäftsordnung</w:t>
      </w:r>
      <w:r>
        <w:t>.</w:t>
      </w:r>
    </w:p>
    <w:p w:rsidR="00B674C4" w:rsidRDefault="00B674C4" w:rsidP="00B674C4">
      <w:pPr>
        <w:pStyle w:val="berschrift2"/>
      </w:pPr>
      <w:bookmarkStart w:id="21" w:name="_Toc129490551"/>
      <w:r w:rsidRPr="00C84C09">
        <w:lastRenderedPageBreak/>
        <w:t>Artikel 15</w:t>
      </w:r>
      <w:bookmarkEnd w:id="21"/>
    </w:p>
    <w:p w:rsidR="00B674C4" w:rsidRDefault="00B674C4" w:rsidP="00B674C4">
      <w:pPr>
        <w:pStyle w:val="GesAbsatz"/>
        <w:rPr>
          <w:rFonts w:cs="Arial"/>
        </w:rPr>
      </w:pPr>
      <w:r w:rsidRPr="00C84C09">
        <w:rPr>
          <w:rFonts w:cs="Arial"/>
        </w:rPr>
        <w:t>Zwecks Anwendung dieser Richtlinie übermitteln die Mitgliedstaaten der Kommission Angaben über folge</w:t>
      </w:r>
      <w:r w:rsidRPr="00C84C09">
        <w:rPr>
          <w:rFonts w:cs="Arial"/>
        </w:rPr>
        <w:t>n</w:t>
      </w:r>
      <w:r w:rsidRPr="00C84C09">
        <w:rPr>
          <w:rFonts w:cs="Arial"/>
        </w:rPr>
        <w:t xml:space="preserve">des: </w:t>
      </w:r>
    </w:p>
    <w:p w:rsidR="00B674C4" w:rsidRDefault="00B674C4" w:rsidP="00B674C4">
      <w:pPr>
        <w:pStyle w:val="GesAbsatz"/>
        <w:rPr>
          <w:rFonts w:cs="Arial"/>
        </w:rPr>
      </w:pPr>
      <w:r w:rsidRPr="00C84C09">
        <w:rPr>
          <w:rFonts w:cs="Arial"/>
        </w:rPr>
        <w:t>-</w:t>
      </w:r>
      <w:r>
        <w:rPr>
          <w:rFonts w:cs="Arial"/>
        </w:rPr>
        <w:tab/>
      </w:r>
      <w:r w:rsidRPr="00C84C09">
        <w:rPr>
          <w:rFonts w:cs="Arial"/>
        </w:rPr>
        <w:t xml:space="preserve">die gemäß Artikel 4 Absätze 1 und 2 bezeichneten Gewässer in Form einer Übersicht, </w:t>
      </w:r>
    </w:p>
    <w:p w:rsidR="00B674C4" w:rsidRDefault="00B674C4" w:rsidP="00B674C4">
      <w:pPr>
        <w:pStyle w:val="GesAbsatz"/>
        <w:rPr>
          <w:rFonts w:cs="Arial"/>
        </w:rPr>
      </w:pPr>
      <w:r w:rsidRPr="00C84C09">
        <w:rPr>
          <w:rFonts w:cs="Arial"/>
        </w:rPr>
        <w:t>-</w:t>
      </w:r>
      <w:r>
        <w:rPr>
          <w:rFonts w:cs="Arial"/>
        </w:rPr>
        <w:tab/>
      </w:r>
      <w:r w:rsidRPr="00C84C09">
        <w:rPr>
          <w:rFonts w:cs="Arial"/>
        </w:rPr>
        <w:t xml:space="preserve">die Änderung der Bezeichnung bestimmter Gewässer gemäß Artikel 4 Absatz 3, </w:t>
      </w:r>
    </w:p>
    <w:p w:rsidR="00B674C4" w:rsidRDefault="00B674C4" w:rsidP="00B674C4">
      <w:pPr>
        <w:pStyle w:val="GesAbsatz"/>
        <w:rPr>
          <w:rFonts w:cs="Arial"/>
        </w:rPr>
      </w:pPr>
      <w:r>
        <w:rPr>
          <w:rFonts w:cs="Arial"/>
        </w:rPr>
        <w:t>-</w:t>
      </w:r>
      <w:r>
        <w:rPr>
          <w:rFonts w:cs="Arial"/>
        </w:rPr>
        <w:tab/>
      </w:r>
      <w:r w:rsidRPr="00C84C09">
        <w:rPr>
          <w:rFonts w:cs="Arial"/>
        </w:rPr>
        <w:t xml:space="preserve">die Vorschriften, die zur Festlegung neuer Parameter gemäß Artikel 9 vorgesehen werden und </w:t>
      </w:r>
    </w:p>
    <w:p w:rsidR="00B674C4" w:rsidRDefault="00B674C4" w:rsidP="00B674C4">
      <w:pPr>
        <w:pStyle w:val="GesAbsatz"/>
        <w:rPr>
          <w:rFonts w:cs="Arial"/>
        </w:rPr>
      </w:pPr>
      <w:r w:rsidRPr="00C84C09">
        <w:rPr>
          <w:rFonts w:cs="Arial"/>
        </w:rPr>
        <w:t>-</w:t>
      </w:r>
      <w:r>
        <w:rPr>
          <w:rFonts w:cs="Arial"/>
        </w:rPr>
        <w:tab/>
      </w:r>
      <w:r w:rsidRPr="00C84C09">
        <w:rPr>
          <w:rFonts w:cs="Arial"/>
        </w:rPr>
        <w:t xml:space="preserve">die Abweichungen von den in Spalte I des Anhangs I aufgeführten Werten. </w:t>
      </w:r>
    </w:p>
    <w:p w:rsidR="00B674C4" w:rsidRDefault="00B674C4" w:rsidP="00B674C4">
      <w:pPr>
        <w:pStyle w:val="GesAbsatz"/>
        <w:rPr>
          <w:rFonts w:cs="Arial"/>
        </w:rPr>
      </w:pPr>
      <w:r w:rsidRPr="00C84C09">
        <w:rPr>
          <w:rFonts w:cs="Arial"/>
        </w:rPr>
        <w:t xml:space="preserve">Ganz allgemein übermitteln die Mitgliedstaaten der Kommission auf deren mit Gründen versehenen Wunsch die zur Anwendung dieser Richtlinie erforderlichen Angaben. </w:t>
      </w:r>
    </w:p>
    <w:p w:rsidR="00B674C4" w:rsidRDefault="00B674C4" w:rsidP="00B674C4">
      <w:pPr>
        <w:pStyle w:val="berschrift2"/>
      </w:pPr>
      <w:bookmarkStart w:id="22" w:name="_Toc129490552"/>
      <w:r w:rsidRPr="00C84C09">
        <w:t>Artikel 16</w:t>
      </w:r>
      <w:bookmarkEnd w:id="22"/>
    </w:p>
    <w:p w:rsidR="00B674C4" w:rsidRDefault="00B674C4" w:rsidP="00B674C4">
      <w:pPr>
        <w:pStyle w:val="GesAbsatz"/>
      </w:pPr>
      <w:r>
        <w:t>Die Mitgliedstaaten übermitteln der Kommission alle drei Jahre Angaben über die Durchführung dieser Rich</w:t>
      </w:r>
      <w:r>
        <w:t>t</w:t>
      </w:r>
      <w:r>
        <w:t>linie im Rahmen eines sektoralen Berichts, der auch die anderen einschlägigen Gemeinschaftsrichtlinien erfaßt. Der Bericht ist anhand eines von der Kommission nach dem Verfahren des Artikels 6 der Richtlinie 91/692/EWG</w:t>
      </w:r>
      <w:r>
        <w:rPr>
          <w:rStyle w:val="Funotenzeichen"/>
        </w:rPr>
        <w:footnoteReference w:id="6"/>
      </w:r>
      <w:r>
        <w:t xml:space="preserve"> ausgearbeiteten Fragebogens oder Schemas zu erstellen. Der Fragebogen bzw. das Schema wird den Mitgliedstaaten sechs Monate vor Beginn des Berichtszeitraums übersandt. Der Bericht ist bei der Kommission innerhalb von neun Monaten nach Ablauf des von ihm erfaßten Dreijahreszeitraums einz</w:t>
      </w:r>
      <w:r>
        <w:t>u</w:t>
      </w:r>
      <w:r>
        <w:t>reichen.</w:t>
      </w:r>
    </w:p>
    <w:p w:rsidR="00B674C4" w:rsidRDefault="00B674C4" w:rsidP="00B674C4">
      <w:pPr>
        <w:pStyle w:val="GesAbsatz"/>
      </w:pPr>
      <w:r>
        <w:t xml:space="preserve">Der erste Bericht erfaßt den Zeitraum 1993 bis 1995. </w:t>
      </w:r>
    </w:p>
    <w:p w:rsidR="00B674C4" w:rsidRDefault="00B674C4" w:rsidP="00B674C4">
      <w:pPr>
        <w:pStyle w:val="GesAbsatz"/>
        <w:rPr>
          <w:rFonts w:cs="Arial"/>
        </w:rPr>
      </w:pPr>
      <w:r>
        <w:t>Die Kommission veröffentlicht innerhalb von neun Monaten nach Erhalt der einzelstaatlichen Berichte einen Gemeinschaftsbericht über die Durchführung dieser Richtlinie.</w:t>
      </w:r>
    </w:p>
    <w:p w:rsidR="00B674C4" w:rsidRDefault="00B674C4" w:rsidP="00B674C4">
      <w:pPr>
        <w:pStyle w:val="berschrift2"/>
      </w:pPr>
      <w:bookmarkStart w:id="23" w:name="_Toc129490553"/>
      <w:r w:rsidRPr="00C84C09">
        <w:t>Artikel 17</w:t>
      </w:r>
      <w:bookmarkEnd w:id="23"/>
    </w:p>
    <w:p w:rsidR="00B674C4" w:rsidRDefault="00B674C4" w:rsidP="00B674C4">
      <w:pPr>
        <w:pStyle w:val="GesAbsatz"/>
        <w:rPr>
          <w:rFonts w:cs="Arial"/>
        </w:rPr>
      </w:pPr>
      <w:r w:rsidRPr="00C84C09">
        <w:rPr>
          <w:rFonts w:cs="Arial"/>
        </w:rPr>
        <w:t>(1) Die Mitgliedstaaten erlassen die erforderlichen Rechts- und Verwaltungsvorschriften, um dieser Richtlinie binnen zwei Jahren nach ihrer Bekanntgabe nachzukommen. Sie setzen die Kommission unverz</w:t>
      </w:r>
      <w:r>
        <w:rPr>
          <w:rFonts w:cs="Arial"/>
        </w:rPr>
        <w:t>ü</w:t>
      </w:r>
      <w:r w:rsidRPr="00C84C09">
        <w:rPr>
          <w:rFonts w:cs="Arial"/>
        </w:rPr>
        <w:t>glich d</w:t>
      </w:r>
      <w:r w:rsidRPr="00C84C09">
        <w:rPr>
          <w:rFonts w:cs="Arial"/>
        </w:rPr>
        <w:t>a</w:t>
      </w:r>
      <w:r w:rsidRPr="00C84C09">
        <w:rPr>
          <w:rFonts w:cs="Arial"/>
        </w:rPr>
        <w:t xml:space="preserve">von in Kenntnis. </w:t>
      </w:r>
    </w:p>
    <w:p w:rsidR="00B674C4" w:rsidRDefault="00B674C4" w:rsidP="00B674C4">
      <w:pPr>
        <w:pStyle w:val="GesAbsatz"/>
        <w:rPr>
          <w:rFonts w:cs="Arial"/>
        </w:rPr>
      </w:pPr>
      <w:r w:rsidRPr="00C84C09">
        <w:rPr>
          <w:rFonts w:cs="Arial"/>
        </w:rPr>
        <w:t>(2) Die Mitgliedstaaten teilen der Kommission den Wortlaut der wichtigsten innerstaatlichen Rechtsvorschri</w:t>
      </w:r>
      <w:r w:rsidRPr="00C84C09">
        <w:rPr>
          <w:rFonts w:cs="Arial"/>
        </w:rPr>
        <w:t>f</w:t>
      </w:r>
      <w:r w:rsidRPr="00C84C09">
        <w:rPr>
          <w:rFonts w:cs="Arial"/>
        </w:rPr>
        <w:t xml:space="preserve">ten mit, die sie auf dem unter diese Richtlinie fallenden Gebiet erlassen. </w:t>
      </w:r>
    </w:p>
    <w:p w:rsidR="00B674C4" w:rsidRDefault="00B674C4" w:rsidP="00B674C4">
      <w:pPr>
        <w:pStyle w:val="berschrift2"/>
      </w:pPr>
      <w:bookmarkStart w:id="24" w:name="_Toc129490554"/>
      <w:r w:rsidRPr="00C84C09">
        <w:t>Artikel 18</w:t>
      </w:r>
      <w:bookmarkEnd w:id="24"/>
    </w:p>
    <w:p w:rsidR="00B674C4" w:rsidRDefault="00B674C4" w:rsidP="00B674C4">
      <w:pPr>
        <w:pStyle w:val="GesAbsatz"/>
      </w:pPr>
      <w:r w:rsidRPr="00C84C09">
        <w:rPr>
          <w:rFonts w:cs="Arial"/>
        </w:rPr>
        <w:t>Diese Richtlinie ist an die Mitgliedstaaten gerichtet.</w:t>
      </w:r>
      <w:bookmarkEnd w:id="6"/>
    </w:p>
    <w:p w:rsidR="00B674C4" w:rsidRDefault="00B674C4" w:rsidP="00B674C4">
      <w:pPr>
        <w:pStyle w:val="berschrift2"/>
      </w:pPr>
    </w:p>
    <w:p w:rsidR="00B674C4" w:rsidRDefault="00B674C4" w:rsidP="00B674C4">
      <w:pPr>
        <w:sectPr w:rsidR="00B674C4">
          <w:headerReference w:type="default" r:id="rId14"/>
          <w:footerReference w:type="even" r:id="rId15"/>
          <w:footerReference w:type="default" r:id="rId16"/>
          <w:pgSz w:w="11907" w:h="16840" w:code="9"/>
          <w:pgMar w:top="1134" w:right="851" w:bottom="1134" w:left="1418" w:header="567" w:footer="851" w:gutter="0"/>
          <w:cols w:space="720"/>
        </w:sectPr>
      </w:pPr>
    </w:p>
    <w:p w:rsidR="00B674C4" w:rsidRDefault="00B674C4" w:rsidP="00B674C4">
      <w:pPr>
        <w:pStyle w:val="berschrift2"/>
        <w:jc w:val="left"/>
      </w:pPr>
      <w:bookmarkStart w:id="25" w:name="_Toc417195507"/>
      <w:bookmarkStart w:id="26" w:name="_Toc473610598"/>
      <w:bookmarkStart w:id="27" w:name="_Toc129490555"/>
      <w:r>
        <w:lastRenderedPageBreak/>
        <w:t>Anhang I</w:t>
      </w:r>
      <w:bookmarkStart w:id="28" w:name="_Toc417195508"/>
      <w:bookmarkEnd w:id="25"/>
      <w:r>
        <w:t xml:space="preserve"> Liste der Parameter</w:t>
      </w:r>
      <w:bookmarkEnd w:id="26"/>
      <w:bookmarkEnd w:id="27"/>
      <w:bookmarkEnd w:id="28"/>
    </w:p>
    <w:tbl>
      <w:tblPr>
        <w:tblW w:w="0" w:type="auto"/>
        <w:tblLayout w:type="fixed"/>
        <w:tblCellMar>
          <w:left w:w="70" w:type="dxa"/>
          <w:right w:w="70" w:type="dxa"/>
        </w:tblCellMar>
        <w:tblLook w:val="0000" w:firstRow="0" w:lastRow="0" w:firstColumn="0" w:lastColumn="0" w:noHBand="0" w:noVBand="0"/>
      </w:tblPr>
      <w:tblGrid>
        <w:gridCol w:w="1418"/>
        <w:gridCol w:w="1364"/>
        <w:gridCol w:w="1364"/>
        <w:gridCol w:w="1364"/>
        <w:gridCol w:w="1364"/>
        <w:gridCol w:w="2268"/>
        <w:gridCol w:w="2126"/>
        <w:gridCol w:w="3160"/>
      </w:tblGrid>
      <w:tr w:rsidR="00B674C4" w:rsidRPr="00CA58E0">
        <w:tc>
          <w:tcPr>
            <w:tcW w:w="1418" w:type="dxa"/>
            <w:tcBorders>
              <w:top w:val="single" w:sz="6" w:space="0" w:color="auto"/>
              <w:left w:val="single" w:sz="6" w:space="0" w:color="auto"/>
            </w:tcBorders>
          </w:tcPr>
          <w:p w:rsidR="00B674C4" w:rsidRPr="00CA58E0" w:rsidRDefault="00B674C4" w:rsidP="00A37297">
            <w:pPr>
              <w:tabs>
                <w:tab w:val="clear" w:pos="425"/>
              </w:tabs>
              <w:jc w:val="center"/>
              <w:rPr>
                <w:b/>
              </w:rPr>
            </w:pPr>
            <w:r w:rsidRPr="00CA58E0">
              <w:rPr>
                <w:b/>
              </w:rPr>
              <w:t>Parameter</w:t>
            </w:r>
          </w:p>
        </w:tc>
        <w:tc>
          <w:tcPr>
            <w:tcW w:w="2728" w:type="dxa"/>
            <w:gridSpan w:val="2"/>
            <w:tcBorders>
              <w:top w:val="single" w:sz="6" w:space="0" w:color="auto"/>
              <w:left w:val="single" w:sz="6" w:space="0" w:color="auto"/>
              <w:right w:val="single" w:sz="6" w:space="0" w:color="auto"/>
            </w:tcBorders>
          </w:tcPr>
          <w:p w:rsidR="00B674C4" w:rsidRPr="00CA58E0" w:rsidRDefault="00B674C4" w:rsidP="00A37297">
            <w:pPr>
              <w:tabs>
                <w:tab w:val="clear" w:pos="425"/>
              </w:tabs>
              <w:jc w:val="center"/>
              <w:rPr>
                <w:b/>
              </w:rPr>
            </w:pPr>
            <w:r w:rsidRPr="00CA58E0">
              <w:rPr>
                <w:b/>
              </w:rPr>
              <w:t>Salmonidengewässer</w:t>
            </w:r>
          </w:p>
        </w:tc>
        <w:tc>
          <w:tcPr>
            <w:tcW w:w="2728" w:type="dxa"/>
            <w:gridSpan w:val="2"/>
            <w:tcBorders>
              <w:top w:val="single" w:sz="6" w:space="0" w:color="auto"/>
              <w:left w:val="nil"/>
              <w:bottom w:val="single" w:sz="6" w:space="0" w:color="auto"/>
              <w:right w:val="single" w:sz="6" w:space="0" w:color="auto"/>
            </w:tcBorders>
          </w:tcPr>
          <w:p w:rsidR="00B674C4" w:rsidRPr="00CA58E0" w:rsidRDefault="00B674C4" w:rsidP="00A37297">
            <w:pPr>
              <w:tabs>
                <w:tab w:val="clear" w:pos="425"/>
              </w:tabs>
              <w:jc w:val="center"/>
              <w:rPr>
                <w:b/>
              </w:rPr>
            </w:pPr>
            <w:r w:rsidRPr="00CA58E0">
              <w:rPr>
                <w:b/>
              </w:rPr>
              <w:t>Cyprinidengewässer</w:t>
            </w:r>
          </w:p>
        </w:tc>
        <w:tc>
          <w:tcPr>
            <w:tcW w:w="2268" w:type="dxa"/>
            <w:vMerge w:val="restart"/>
            <w:tcBorders>
              <w:top w:val="single" w:sz="6" w:space="0" w:color="auto"/>
              <w:left w:val="nil"/>
              <w:right w:val="single" w:sz="6" w:space="0" w:color="auto"/>
            </w:tcBorders>
          </w:tcPr>
          <w:p w:rsidR="00B674C4" w:rsidRPr="00CA58E0" w:rsidRDefault="00B674C4" w:rsidP="00A37297">
            <w:pPr>
              <w:tabs>
                <w:tab w:val="clear" w:pos="425"/>
              </w:tabs>
              <w:jc w:val="center"/>
              <w:rPr>
                <w:b/>
              </w:rPr>
            </w:pPr>
            <w:r w:rsidRPr="00CA58E0">
              <w:rPr>
                <w:b/>
              </w:rPr>
              <w:t>Analyse- oder Ko</w:t>
            </w:r>
            <w:r w:rsidRPr="00CA58E0">
              <w:rPr>
                <w:b/>
              </w:rPr>
              <w:t>n</w:t>
            </w:r>
            <w:r w:rsidRPr="00CA58E0">
              <w:rPr>
                <w:b/>
              </w:rPr>
              <w:t>troll</w:t>
            </w:r>
            <w:r w:rsidRPr="00CA58E0">
              <w:rPr>
                <w:b/>
              </w:rPr>
              <w:softHyphen/>
              <w:t>verfahren</w:t>
            </w:r>
          </w:p>
        </w:tc>
        <w:tc>
          <w:tcPr>
            <w:tcW w:w="2126" w:type="dxa"/>
            <w:vMerge w:val="restart"/>
            <w:tcBorders>
              <w:top w:val="single" w:sz="6" w:space="0" w:color="auto"/>
              <w:left w:val="nil"/>
              <w:right w:val="single" w:sz="6" w:space="0" w:color="auto"/>
            </w:tcBorders>
          </w:tcPr>
          <w:p w:rsidR="00B674C4" w:rsidRPr="00CA58E0" w:rsidRDefault="00B674C4" w:rsidP="00A37297">
            <w:pPr>
              <w:tabs>
                <w:tab w:val="clear" w:pos="425"/>
              </w:tabs>
              <w:jc w:val="center"/>
              <w:rPr>
                <w:b/>
              </w:rPr>
            </w:pPr>
            <w:r w:rsidRPr="00CA58E0">
              <w:rPr>
                <w:b/>
              </w:rPr>
              <w:t>Regelhäufigkeit der Pro</w:t>
            </w:r>
            <w:r w:rsidRPr="00CA58E0">
              <w:rPr>
                <w:b/>
              </w:rPr>
              <w:softHyphen/>
              <w:t>benah</w:t>
            </w:r>
            <w:r w:rsidRPr="00CA58E0">
              <w:rPr>
                <w:b/>
              </w:rPr>
              <w:softHyphen/>
              <w:t>men und Messungen</w:t>
            </w:r>
          </w:p>
        </w:tc>
        <w:tc>
          <w:tcPr>
            <w:tcW w:w="3160" w:type="dxa"/>
            <w:vMerge w:val="restart"/>
            <w:tcBorders>
              <w:top w:val="single" w:sz="6" w:space="0" w:color="auto"/>
              <w:left w:val="nil"/>
              <w:right w:val="single" w:sz="6" w:space="0" w:color="auto"/>
            </w:tcBorders>
          </w:tcPr>
          <w:p w:rsidR="00B674C4" w:rsidRPr="00CA58E0" w:rsidRDefault="00B674C4" w:rsidP="00A37297">
            <w:pPr>
              <w:tabs>
                <w:tab w:val="clear" w:pos="425"/>
              </w:tabs>
              <w:jc w:val="center"/>
              <w:rPr>
                <w:b/>
              </w:rPr>
            </w:pPr>
            <w:r w:rsidRPr="00CA58E0">
              <w:rPr>
                <w:b/>
              </w:rPr>
              <w:t>Bemerkungen</w:t>
            </w:r>
          </w:p>
        </w:tc>
      </w:tr>
      <w:tr w:rsidR="00B674C4" w:rsidRPr="00CA58E0">
        <w:tc>
          <w:tcPr>
            <w:tcW w:w="1418" w:type="dxa"/>
            <w:tcBorders>
              <w:left w:val="single" w:sz="6" w:space="0" w:color="auto"/>
              <w:bottom w:val="single" w:sz="6" w:space="0" w:color="auto"/>
            </w:tcBorders>
          </w:tcPr>
          <w:p w:rsidR="00B674C4" w:rsidRPr="00CA58E0" w:rsidRDefault="00B674C4" w:rsidP="00A37297">
            <w:pPr>
              <w:tabs>
                <w:tab w:val="clear" w:pos="425"/>
              </w:tabs>
              <w:jc w:val="center"/>
              <w:rPr>
                <w:b/>
              </w:rPr>
            </w:pPr>
          </w:p>
        </w:tc>
        <w:tc>
          <w:tcPr>
            <w:tcW w:w="1364" w:type="dxa"/>
            <w:tcBorders>
              <w:top w:val="single" w:sz="6" w:space="0" w:color="auto"/>
              <w:left w:val="single" w:sz="6" w:space="0" w:color="auto"/>
              <w:right w:val="single" w:sz="6" w:space="0" w:color="auto"/>
            </w:tcBorders>
          </w:tcPr>
          <w:p w:rsidR="00B674C4" w:rsidRPr="00CA58E0" w:rsidRDefault="00B674C4" w:rsidP="00A37297">
            <w:pPr>
              <w:tabs>
                <w:tab w:val="clear" w:pos="425"/>
              </w:tabs>
              <w:jc w:val="center"/>
              <w:rPr>
                <w:b/>
              </w:rPr>
            </w:pPr>
            <w:r w:rsidRPr="00CA58E0">
              <w:rPr>
                <w:b/>
              </w:rPr>
              <w:t>G</w:t>
            </w:r>
          </w:p>
        </w:tc>
        <w:tc>
          <w:tcPr>
            <w:tcW w:w="1364" w:type="dxa"/>
            <w:tcBorders>
              <w:top w:val="single" w:sz="6" w:space="0" w:color="auto"/>
              <w:left w:val="nil"/>
              <w:right w:val="single" w:sz="6" w:space="0" w:color="auto"/>
            </w:tcBorders>
          </w:tcPr>
          <w:p w:rsidR="00B674C4" w:rsidRPr="00CA58E0" w:rsidRDefault="00B674C4" w:rsidP="00A37297">
            <w:pPr>
              <w:tabs>
                <w:tab w:val="clear" w:pos="425"/>
              </w:tabs>
              <w:jc w:val="center"/>
              <w:rPr>
                <w:b/>
              </w:rPr>
            </w:pPr>
            <w:r w:rsidRPr="00CA58E0">
              <w:rPr>
                <w:b/>
              </w:rPr>
              <w:t>I</w:t>
            </w:r>
          </w:p>
        </w:tc>
        <w:tc>
          <w:tcPr>
            <w:tcW w:w="1364" w:type="dxa"/>
            <w:tcBorders>
              <w:left w:val="nil"/>
              <w:right w:val="single" w:sz="6" w:space="0" w:color="auto"/>
            </w:tcBorders>
          </w:tcPr>
          <w:p w:rsidR="00B674C4" w:rsidRPr="00CA58E0" w:rsidRDefault="00B674C4" w:rsidP="00A37297">
            <w:pPr>
              <w:tabs>
                <w:tab w:val="clear" w:pos="425"/>
              </w:tabs>
              <w:jc w:val="center"/>
              <w:rPr>
                <w:b/>
              </w:rPr>
            </w:pPr>
            <w:r w:rsidRPr="00CA58E0">
              <w:rPr>
                <w:b/>
              </w:rPr>
              <w:t>G</w:t>
            </w:r>
          </w:p>
        </w:tc>
        <w:tc>
          <w:tcPr>
            <w:tcW w:w="1364" w:type="dxa"/>
            <w:tcBorders>
              <w:left w:val="nil"/>
              <w:right w:val="single" w:sz="6" w:space="0" w:color="auto"/>
            </w:tcBorders>
          </w:tcPr>
          <w:p w:rsidR="00B674C4" w:rsidRPr="00CA58E0" w:rsidRDefault="00B674C4" w:rsidP="00A37297">
            <w:pPr>
              <w:tabs>
                <w:tab w:val="clear" w:pos="425"/>
              </w:tabs>
              <w:jc w:val="center"/>
              <w:rPr>
                <w:b/>
              </w:rPr>
            </w:pPr>
            <w:r w:rsidRPr="00CA58E0">
              <w:rPr>
                <w:b/>
              </w:rPr>
              <w:t>I</w:t>
            </w:r>
          </w:p>
        </w:tc>
        <w:tc>
          <w:tcPr>
            <w:tcW w:w="2268" w:type="dxa"/>
            <w:vMerge/>
            <w:tcBorders>
              <w:left w:val="nil"/>
              <w:right w:val="single" w:sz="6" w:space="0" w:color="auto"/>
            </w:tcBorders>
          </w:tcPr>
          <w:p w:rsidR="00B674C4" w:rsidRPr="00CA58E0" w:rsidRDefault="00B674C4" w:rsidP="00A37297">
            <w:pPr>
              <w:tabs>
                <w:tab w:val="clear" w:pos="425"/>
              </w:tabs>
              <w:jc w:val="center"/>
              <w:rPr>
                <w:b/>
              </w:rPr>
            </w:pPr>
          </w:p>
        </w:tc>
        <w:tc>
          <w:tcPr>
            <w:tcW w:w="2126" w:type="dxa"/>
            <w:vMerge/>
            <w:tcBorders>
              <w:left w:val="nil"/>
              <w:right w:val="single" w:sz="6" w:space="0" w:color="auto"/>
            </w:tcBorders>
          </w:tcPr>
          <w:p w:rsidR="00B674C4" w:rsidRPr="00CA58E0" w:rsidRDefault="00B674C4" w:rsidP="00A37297">
            <w:pPr>
              <w:tabs>
                <w:tab w:val="clear" w:pos="425"/>
              </w:tabs>
              <w:jc w:val="center"/>
              <w:rPr>
                <w:b/>
              </w:rPr>
            </w:pPr>
          </w:p>
        </w:tc>
        <w:tc>
          <w:tcPr>
            <w:tcW w:w="3160" w:type="dxa"/>
            <w:vMerge/>
            <w:tcBorders>
              <w:left w:val="nil"/>
              <w:right w:val="single" w:sz="6" w:space="0" w:color="auto"/>
            </w:tcBorders>
          </w:tcPr>
          <w:p w:rsidR="00B674C4" w:rsidRPr="00CA58E0" w:rsidRDefault="00B674C4" w:rsidP="00A37297">
            <w:pPr>
              <w:tabs>
                <w:tab w:val="clear" w:pos="425"/>
              </w:tabs>
              <w:jc w:val="center"/>
              <w:rPr>
                <w:b/>
              </w:rPr>
            </w:pPr>
          </w:p>
        </w:tc>
      </w:tr>
      <w:tr w:rsidR="00B674C4" w:rsidRPr="00B6627B">
        <w:tc>
          <w:tcPr>
            <w:tcW w:w="1418" w:type="dxa"/>
            <w:vMerge w:val="restart"/>
            <w:tcBorders>
              <w:top w:val="single" w:sz="6" w:space="0" w:color="auto"/>
              <w:left w:val="single" w:sz="6" w:space="0" w:color="auto"/>
              <w:right w:val="single" w:sz="6" w:space="0" w:color="auto"/>
            </w:tcBorders>
          </w:tcPr>
          <w:p w:rsidR="00B674C4" w:rsidRPr="00B6627B" w:rsidRDefault="00B674C4" w:rsidP="00A37297">
            <w:pPr>
              <w:ind w:left="284" w:hanging="284"/>
              <w:rPr>
                <w:sz w:val="18"/>
                <w:szCs w:val="18"/>
              </w:rPr>
            </w:pPr>
            <w:r w:rsidRPr="00B6627B">
              <w:rPr>
                <w:sz w:val="18"/>
                <w:szCs w:val="18"/>
              </w:rPr>
              <w:t>1.</w:t>
            </w:r>
            <w:r w:rsidRPr="00B6627B">
              <w:rPr>
                <w:sz w:val="18"/>
                <w:szCs w:val="18"/>
              </w:rPr>
              <w:tab/>
              <w:t>Temperatur (° C)</w:t>
            </w:r>
          </w:p>
        </w:tc>
        <w:tc>
          <w:tcPr>
            <w:tcW w:w="5456" w:type="dxa"/>
            <w:gridSpan w:val="4"/>
            <w:tcBorders>
              <w:top w:val="single" w:sz="6" w:space="0" w:color="auto"/>
              <w:left w:val="nil"/>
              <w:right w:val="single" w:sz="6" w:space="0" w:color="auto"/>
            </w:tcBorders>
          </w:tcPr>
          <w:p w:rsidR="00B674C4" w:rsidRPr="00B6627B" w:rsidRDefault="00B674C4" w:rsidP="00A37297">
            <w:pPr>
              <w:tabs>
                <w:tab w:val="clear" w:pos="425"/>
              </w:tabs>
              <w:ind w:left="242" w:hanging="242"/>
              <w:rPr>
                <w:sz w:val="18"/>
                <w:szCs w:val="18"/>
              </w:rPr>
            </w:pPr>
            <w:r w:rsidRPr="00B6627B">
              <w:rPr>
                <w:sz w:val="18"/>
                <w:szCs w:val="18"/>
              </w:rPr>
              <w:t>1.</w:t>
            </w:r>
            <w:r w:rsidRPr="00B6627B">
              <w:rPr>
                <w:sz w:val="18"/>
                <w:szCs w:val="18"/>
              </w:rPr>
              <w:tab/>
              <w:t>Die unterhalb einer Abwärmeeinleitungsstelle (und zwar an der Grenze der Mischungszone) gemessene Temperatur darf die Werte für die nichtbeeinträchtigte Temperatur nicht um mehr als</w:t>
            </w:r>
          </w:p>
        </w:tc>
        <w:tc>
          <w:tcPr>
            <w:tcW w:w="2268" w:type="dxa"/>
            <w:vMerge w:val="restart"/>
            <w:tcBorders>
              <w:top w:val="single" w:sz="6" w:space="0" w:color="auto"/>
              <w:left w:val="single" w:sz="6" w:space="0" w:color="auto"/>
              <w:right w:val="single" w:sz="6" w:space="0" w:color="auto"/>
            </w:tcBorders>
          </w:tcPr>
          <w:p w:rsidR="00B674C4" w:rsidRPr="00B6627B" w:rsidRDefault="00B674C4" w:rsidP="00A37297">
            <w:pPr>
              <w:rPr>
                <w:sz w:val="18"/>
                <w:szCs w:val="18"/>
              </w:rPr>
            </w:pPr>
            <w:r w:rsidRPr="00B6627B">
              <w:rPr>
                <w:sz w:val="18"/>
                <w:szCs w:val="18"/>
              </w:rPr>
              <w:t>Temperaturmessung</w:t>
            </w:r>
          </w:p>
        </w:tc>
        <w:tc>
          <w:tcPr>
            <w:tcW w:w="2126" w:type="dxa"/>
            <w:vMerge w:val="restart"/>
            <w:tcBorders>
              <w:top w:val="single" w:sz="6" w:space="0" w:color="auto"/>
              <w:left w:val="single" w:sz="6" w:space="0" w:color="auto"/>
              <w:right w:val="single" w:sz="6" w:space="0" w:color="auto"/>
            </w:tcBorders>
          </w:tcPr>
          <w:p w:rsidR="00B674C4" w:rsidRPr="00B6627B" w:rsidRDefault="00B674C4" w:rsidP="00A37297">
            <w:pPr>
              <w:jc w:val="left"/>
              <w:rPr>
                <w:sz w:val="18"/>
                <w:szCs w:val="18"/>
              </w:rPr>
            </w:pPr>
            <w:r w:rsidRPr="00B6627B">
              <w:rPr>
                <w:sz w:val="18"/>
                <w:szCs w:val="18"/>
              </w:rPr>
              <w:t>Wöchentlich, sowohl oberhalb als auch unter</w:t>
            </w:r>
            <w:r w:rsidRPr="00B6627B">
              <w:rPr>
                <w:sz w:val="18"/>
                <w:szCs w:val="18"/>
              </w:rPr>
              <w:softHyphen/>
              <w:t>halb der Abwärmeeinlei</w:t>
            </w:r>
            <w:r w:rsidRPr="00B6627B">
              <w:rPr>
                <w:sz w:val="18"/>
                <w:szCs w:val="18"/>
              </w:rPr>
              <w:softHyphen/>
              <w:t>tungsstelle</w:t>
            </w:r>
          </w:p>
        </w:tc>
        <w:tc>
          <w:tcPr>
            <w:tcW w:w="3160" w:type="dxa"/>
            <w:vMerge w:val="restart"/>
            <w:tcBorders>
              <w:top w:val="single" w:sz="6" w:space="0" w:color="auto"/>
              <w:left w:val="single" w:sz="6" w:space="0" w:color="auto"/>
              <w:right w:val="single" w:sz="6" w:space="0" w:color="auto"/>
            </w:tcBorders>
          </w:tcPr>
          <w:p w:rsidR="00B674C4" w:rsidRPr="00B6627B" w:rsidRDefault="00B674C4" w:rsidP="00A37297">
            <w:pPr>
              <w:jc w:val="left"/>
              <w:rPr>
                <w:sz w:val="18"/>
                <w:szCs w:val="18"/>
              </w:rPr>
            </w:pPr>
            <w:r w:rsidRPr="00B6627B">
              <w:rPr>
                <w:sz w:val="18"/>
                <w:szCs w:val="18"/>
              </w:rPr>
              <w:t>Zu plötzliche Tempera</w:t>
            </w:r>
            <w:r w:rsidRPr="00B6627B">
              <w:rPr>
                <w:sz w:val="18"/>
                <w:szCs w:val="18"/>
              </w:rPr>
              <w:softHyphen/>
              <w:t>turerhöhungen sind zu vermeiden</w:t>
            </w:r>
          </w:p>
        </w:tc>
      </w:tr>
      <w:tr w:rsidR="00B674C4" w:rsidRPr="00B6627B">
        <w:tc>
          <w:tcPr>
            <w:tcW w:w="1418" w:type="dxa"/>
            <w:vMerge/>
            <w:tcBorders>
              <w:left w:val="single" w:sz="6" w:space="0" w:color="auto"/>
              <w:right w:val="single" w:sz="6" w:space="0" w:color="auto"/>
            </w:tcBorders>
          </w:tcPr>
          <w:p w:rsidR="00B674C4" w:rsidRPr="00B6627B" w:rsidRDefault="00B674C4" w:rsidP="00A37297">
            <w:pPr>
              <w:rPr>
                <w:sz w:val="18"/>
                <w:szCs w:val="18"/>
              </w:rPr>
            </w:pPr>
          </w:p>
        </w:tc>
        <w:tc>
          <w:tcPr>
            <w:tcW w:w="1364" w:type="dxa"/>
            <w:tcBorders>
              <w:left w:val="nil"/>
              <w:right w:val="single" w:sz="6" w:space="0" w:color="auto"/>
            </w:tcBorders>
          </w:tcPr>
          <w:p w:rsidR="00B674C4" w:rsidRPr="00B6627B" w:rsidRDefault="00B674C4" w:rsidP="00A37297">
            <w:pPr>
              <w:tabs>
                <w:tab w:val="clear" w:pos="425"/>
              </w:tabs>
              <w:rPr>
                <w:sz w:val="18"/>
                <w:szCs w:val="18"/>
              </w:rPr>
            </w:pPr>
          </w:p>
        </w:tc>
        <w:tc>
          <w:tcPr>
            <w:tcW w:w="1364" w:type="dxa"/>
            <w:tcBorders>
              <w:left w:val="nil"/>
              <w:right w:val="single" w:sz="6" w:space="0" w:color="auto"/>
            </w:tcBorders>
          </w:tcPr>
          <w:p w:rsidR="00B674C4" w:rsidRPr="00B6627B" w:rsidRDefault="00B674C4" w:rsidP="00A37297">
            <w:pPr>
              <w:tabs>
                <w:tab w:val="clear" w:pos="425"/>
              </w:tabs>
              <w:rPr>
                <w:sz w:val="18"/>
                <w:szCs w:val="18"/>
              </w:rPr>
            </w:pPr>
            <w:r w:rsidRPr="00B6627B">
              <w:rPr>
                <w:sz w:val="18"/>
                <w:szCs w:val="18"/>
              </w:rPr>
              <w:t>1,5 °C</w:t>
            </w:r>
          </w:p>
        </w:tc>
        <w:tc>
          <w:tcPr>
            <w:tcW w:w="1364" w:type="dxa"/>
            <w:tcBorders>
              <w:left w:val="nil"/>
              <w:right w:val="single" w:sz="6" w:space="0" w:color="auto"/>
            </w:tcBorders>
          </w:tcPr>
          <w:p w:rsidR="00B674C4" w:rsidRPr="00B6627B" w:rsidRDefault="00B674C4" w:rsidP="00A37297">
            <w:pPr>
              <w:tabs>
                <w:tab w:val="clear" w:pos="425"/>
              </w:tabs>
              <w:rPr>
                <w:sz w:val="18"/>
                <w:szCs w:val="18"/>
              </w:rPr>
            </w:pPr>
          </w:p>
        </w:tc>
        <w:tc>
          <w:tcPr>
            <w:tcW w:w="1364" w:type="dxa"/>
            <w:tcBorders>
              <w:left w:val="nil"/>
              <w:right w:val="single" w:sz="6" w:space="0" w:color="auto"/>
            </w:tcBorders>
          </w:tcPr>
          <w:p w:rsidR="00B674C4" w:rsidRPr="00B6627B" w:rsidRDefault="00B674C4" w:rsidP="00A37297">
            <w:pPr>
              <w:tabs>
                <w:tab w:val="clear" w:pos="425"/>
              </w:tabs>
              <w:rPr>
                <w:sz w:val="18"/>
                <w:szCs w:val="18"/>
              </w:rPr>
            </w:pPr>
            <w:r w:rsidRPr="00B6627B">
              <w:rPr>
                <w:sz w:val="18"/>
                <w:szCs w:val="18"/>
              </w:rPr>
              <w:t>3 °C</w:t>
            </w:r>
          </w:p>
        </w:tc>
        <w:tc>
          <w:tcPr>
            <w:tcW w:w="2268" w:type="dxa"/>
            <w:vMerge/>
            <w:tcBorders>
              <w:left w:val="single" w:sz="6" w:space="0" w:color="auto"/>
              <w:right w:val="single" w:sz="6" w:space="0" w:color="auto"/>
            </w:tcBorders>
          </w:tcPr>
          <w:p w:rsidR="00B674C4" w:rsidRPr="00B6627B" w:rsidRDefault="00B674C4" w:rsidP="00A37297">
            <w:pPr>
              <w:rPr>
                <w:sz w:val="18"/>
                <w:szCs w:val="18"/>
              </w:rPr>
            </w:pPr>
          </w:p>
        </w:tc>
        <w:tc>
          <w:tcPr>
            <w:tcW w:w="2126" w:type="dxa"/>
            <w:vMerge/>
            <w:tcBorders>
              <w:left w:val="single" w:sz="6" w:space="0" w:color="auto"/>
              <w:right w:val="single" w:sz="6" w:space="0" w:color="auto"/>
            </w:tcBorders>
          </w:tcPr>
          <w:p w:rsidR="00B674C4" w:rsidRPr="00B6627B" w:rsidRDefault="00B674C4" w:rsidP="00A37297">
            <w:pPr>
              <w:rPr>
                <w:sz w:val="18"/>
                <w:szCs w:val="18"/>
              </w:rPr>
            </w:pPr>
          </w:p>
        </w:tc>
        <w:tc>
          <w:tcPr>
            <w:tcW w:w="3160" w:type="dxa"/>
            <w:vMerge/>
            <w:tcBorders>
              <w:left w:val="single" w:sz="6" w:space="0" w:color="auto"/>
              <w:right w:val="single" w:sz="6" w:space="0" w:color="auto"/>
            </w:tcBorders>
          </w:tcPr>
          <w:p w:rsidR="00B674C4" w:rsidRPr="00B6627B" w:rsidRDefault="00B674C4" w:rsidP="00A37297">
            <w:pPr>
              <w:rPr>
                <w:sz w:val="18"/>
                <w:szCs w:val="18"/>
              </w:rPr>
            </w:pPr>
          </w:p>
        </w:tc>
      </w:tr>
      <w:tr w:rsidR="00B674C4" w:rsidRPr="00B6627B">
        <w:tc>
          <w:tcPr>
            <w:tcW w:w="1418" w:type="dxa"/>
            <w:vMerge/>
            <w:tcBorders>
              <w:left w:val="single" w:sz="6" w:space="0" w:color="auto"/>
              <w:right w:val="single" w:sz="6" w:space="0" w:color="auto"/>
            </w:tcBorders>
          </w:tcPr>
          <w:p w:rsidR="00B674C4" w:rsidRPr="00B6627B" w:rsidRDefault="00B674C4" w:rsidP="00A37297">
            <w:pPr>
              <w:tabs>
                <w:tab w:val="clear" w:pos="425"/>
              </w:tabs>
              <w:rPr>
                <w:sz w:val="18"/>
                <w:szCs w:val="18"/>
              </w:rPr>
            </w:pPr>
          </w:p>
        </w:tc>
        <w:tc>
          <w:tcPr>
            <w:tcW w:w="5456" w:type="dxa"/>
            <w:gridSpan w:val="4"/>
            <w:tcBorders>
              <w:left w:val="single" w:sz="6" w:space="0" w:color="auto"/>
            </w:tcBorders>
          </w:tcPr>
          <w:p w:rsidR="00B674C4" w:rsidRPr="00B6627B" w:rsidRDefault="00B674C4" w:rsidP="00A37297">
            <w:pPr>
              <w:tabs>
                <w:tab w:val="clear" w:pos="425"/>
              </w:tabs>
              <w:ind w:left="242" w:hanging="242"/>
              <w:rPr>
                <w:sz w:val="18"/>
                <w:szCs w:val="18"/>
              </w:rPr>
            </w:pPr>
            <w:r w:rsidRPr="00B6627B">
              <w:rPr>
                <w:sz w:val="18"/>
                <w:szCs w:val="18"/>
              </w:rPr>
              <w:tab/>
              <w:t>überschreiten.</w:t>
            </w:r>
          </w:p>
          <w:p w:rsidR="00B674C4" w:rsidRPr="00B6627B" w:rsidRDefault="00B674C4" w:rsidP="00A37297">
            <w:pPr>
              <w:tabs>
                <w:tab w:val="clear" w:pos="425"/>
              </w:tabs>
              <w:ind w:left="242" w:hanging="242"/>
              <w:rPr>
                <w:sz w:val="18"/>
                <w:szCs w:val="18"/>
              </w:rPr>
            </w:pPr>
            <w:r w:rsidRPr="00B6627B">
              <w:rPr>
                <w:sz w:val="18"/>
                <w:szCs w:val="18"/>
              </w:rPr>
              <w:tab/>
              <w:t>Die Mitgliedstaaten können unter bestimmten Bedingungen geographisch begrenzte Ausnah</w:t>
            </w:r>
            <w:r w:rsidRPr="00B6627B">
              <w:rPr>
                <w:sz w:val="18"/>
                <w:szCs w:val="18"/>
              </w:rPr>
              <w:softHyphen/>
              <w:t>meregelungen beschließen, sofern die zustän</w:t>
            </w:r>
            <w:r w:rsidRPr="00B6627B">
              <w:rPr>
                <w:sz w:val="18"/>
                <w:szCs w:val="18"/>
              </w:rPr>
              <w:softHyphen/>
              <w:t>dige Behörde nachweisen kann, daß sich da</w:t>
            </w:r>
            <w:r w:rsidRPr="00B6627B">
              <w:rPr>
                <w:sz w:val="18"/>
                <w:szCs w:val="18"/>
              </w:rPr>
              <w:t>r</w:t>
            </w:r>
            <w:r w:rsidRPr="00B6627B">
              <w:rPr>
                <w:sz w:val="18"/>
                <w:szCs w:val="18"/>
              </w:rPr>
              <w:t>aus keine nachteiligen Folgen für die ausgewogene Entwic</w:t>
            </w:r>
            <w:r w:rsidRPr="00B6627B">
              <w:rPr>
                <w:sz w:val="18"/>
                <w:szCs w:val="18"/>
              </w:rPr>
              <w:t>k</w:t>
            </w:r>
            <w:r w:rsidRPr="00B6627B">
              <w:rPr>
                <w:sz w:val="18"/>
                <w:szCs w:val="18"/>
              </w:rPr>
              <w:t>lung des Fischbestandes ergeben.</w:t>
            </w:r>
          </w:p>
          <w:p w:rsidR="00B674C4" w:rsidRPr="00B6627B" w:rsidRDefault="00B674C4" w:rsidP="00A37297">
            <w:pPr>
              <w:tabs>
                <w:tab w:val="clear" w:pos="425"/>
              </w:tabs>
              <w:ind w:left="242" w:hanging="242"/>
              <w:rPr>
                <w:sz w:val="18"/>
                <w:szCs w:val="18"/>
              </w:rPr>
            </w:pPr>
            <w:r w:rsidRPr="00B6627B">
              <w:rPr>
                <w:sz w:val="18"/>
                <w:szCs w:val="18"/>
              </w:rPr>
              <w:t>2.</w:t>
            </w:r>
            <w:r w:rsidRPr="00B6627B">
              <w:rPr>
                <w:sz w:val="18"/>
                <w:szCs w:val="18"/>
              </w:rPr>
              <w:tab/>
              <w:t>Außerdem darf die Abwärme nicht dazu führen, daß die Te</w:t>
            </w:r>
            <w:r w:rsidRPr="00B6627B">
              <w:rPr>
                <w:sz w:val="18"/>
                <w:szCs w:val="18"/>
              </w:rPr>
              <w:t>m</w:t>
            </w:r>
            <w:r w:rsidRPr="00B6627B">
              <w:rPr>
                <w:sz w:val="18"/>
                <w:szCs w:val="18"/>
              </w:rPr>
              <w:t>peratur in der Zone unterhalb der Einleitungsstelle (an der Grenze der Mischungs</w:t>
            </w:r>
            <w:r w:rsidRPr="00B6627B">
              <w:rPr>
                <w:sz w:val="18"/>
                <w:szCs w:val="18"/>
              </w:rPr>
              <w:softHyphen/>
              <w:t>zone) folgende Werte überschreitet:</w:t>
            </w:r>
          </w:p>
        </w:tc>
        <w:tc>
          <w:tcPr>
            <w:tcW w:w="2268" w:type="dxa"/>
            <w:vMerge/>
            <w:tcBorders>
              <w:left w:val="single" w:sz="6" w:space="0" w:color="auto"/>
              <w:right w:val="single" w:sz="6" w:space="0" w:color="auto"/>
            </w:tcBorders>
          </w:tcPr>
          <w:p w:rsidR="00B674C4" w:rsidRPr="00B6627B" w:rsidRDefault="00B674C4" w:rsidP="00A37297">
            <w:pPr>
              <w:tabs>
                <w:tab w:val="clear" w:pos="425"/>
              </w:tabs>
              <w:rPr>
                <w:sz w:val="18"/>
                <w:szCs w:val="18"/>
              </w:rPr>
            </w:pPr>
          </w:p>
        </w:tc>
        <w:tc>
          <w:tcPr>
            <w:tcW w:w="2126" w:type="dxa"/>
            <w:vMerge/>
            <w:tcBorders>
              <w:left w:val="single" w:sz="6" w:space="0" w:color="auto"/>
              <w:right w:val="single" w:sz="6" w:space="0" w:color="auto"/>
            </w:tcBorders>
          </w:tcPr>
          <w:p w:rsidR="00B674C4" w:rsidRPr="00B6627B" w:rsidRDefault="00B674C4" w:rsidP="00A37297">
            <w:pPr>
              <w:tabs>
                <w:tab w:val="clear" w:pos="425"/>
              </w:tabs>
              <w:rPr>
                <w:sz w:val="18"/>
                <w:szCs w:val="18"/>
              </w:rPr>
            </w:pPr>
          </w:p>
        </w:tc>
        <w:tc>
          <w:tcPr>
            <w:tcW w:w="3160" w:type="dxa"/>
            <w:vMerge/>
            <w:tcBorders>
              <w:left w:val="single" w:sz="6" w:space="0" w:color="auto"/>
              <w:right w:val="single" w:sz="6" w:space="0" w:color="auto"/>
            </w:tcBorders>
          </w:tcPr>
          <w:p w:rsidR="00B674C4" w:rsidRPr="00B6627B" w:rsidRDefault="00B674C4" w:rsidP="00A37297">
            <w:pPr>
              <w:tabs>
                <w:tab w:val="clear" w:pos="425"/>
              </w:tabs>
              <w:rPr>
                <w:sz w:val="18"/>
                <w:szCs w:val="18"/>
              </w:rPr>
            </w:pPr>
          </w:p>
        </w:tc>
      </w:tr>
      <w:tr w:rsidR="00B674C4" w:rsidRPr="00B6627B">
        <w:tc>
          <w:tcPr>
            <w:tcW w:w="1418" w:type="dxa"/>
            <w:vMerge/>
            <w:tcBorders>
              <w:left w:val="single" w:sz="6" w:space="0" w:color="auto"/>
              <w:right w:val="single" w:sz="6" w:space="0" w:color="auto"/>
            </w:tcBorders>
          </w:tcPr>
          <w:p w:rsidR="00B674C4" w:rsidRPr="00B6627B" w:rsidRDefault="00B674C4" w:rsidP="00A37297">
            <w:pPr>
              <w:tabs>
                <w:tab w:val="clear" w:pos="425"/>
              </w:tabs>
              <w:rPr>
                <w:sz w:val="18"/>
                <w:szCs w:val="18"/>
              </w:rPr>
            </w:pPr>
          </w:p>
        </w:tc>
        <w:tc>
          <w:tcPr>
            <w:tcW w:w="1364" w:type="dxa"/>
            <w:tcBorders>
              <w:left w:val="single" w:sz="6" w:space="0" w:color="auto"/>
              <w:right w:val="single" w:sz="6" w:space="0" w:color="auto"/>
            </w:tcBorders>
          </w:tcPr>
          <w:p w:rsidR="00B674C4" w:rsidRPr="00B6627B" w:rsidRDefault="00B674C4" w:rsidP="00A37297">
            <w:pPr>
              <w:tabs>
                <w:tab w:val="clear" w:pos="425"/>
              </w:tabs>
              <w:ind w:left="383" w:hanging="383"/>
              <w:rPr>
                <w:sz w:val="18"/>
                <w:szCs w:val="18"/>
              </w:rPr>
            </w:pPr>
          </w:p>
        </w:tc>
        <w:tc>
          <w:tcPr>
            <w:tcW w:w="1364" w:type="dxa"/>
            <w:tcBorders>
              <w:left w:val="single" w:sz="6" w:space="0" w:color="auto"/>
              <w:right w:val="single" w:sz="6" w:space="0" w:color="auto"/>
            </w:tcBorders>
          </w:tcPr>
          <w:p w:rsidR="00B674C4" w:rsidRPr="00B6627B" w:rsidRDefault="00B674C4" w:rsidP="00A37297">
            <w:pPr>
              <w:tabs>
                <w:tab w:val="clear" w:pos="425"/>
              </w:tabs>
              <w:ind w:left="383" w:hanging="383"/>
              <w:rPr>
                <w:sz w:val="18"/>
                <w:szCs w:val="18"/>
              </w:rPr>
            </w:pPr>
            <w:r w:rsidRPr="00B6627B">
              <w:rPr>
                <w:sz w:val="18"/>
                <w:szCs w:val="18"/>
              </w:rPr>
              <w:t>21,5 (0)</w:t>
            </w:r>
          </w:p>
        </w:tc>
        <w:tc>
          <w:tcPr>
            <w:tcW w:w="1364" w:type="dxa"/>
            <w:tcBorders>
              <w:left w:val="single" w:sz="6" w:space="0" w:color="auto"/>
              <w:right w:val="single" w:sz="6" w:space="0" w:color="auto"/>
            </w:tcBorders>
          </w:tcPr>
          <w:p w:rsidR="00B674C4" w:rsidRPr="00B6627B" w:rsidRDefault="00B674C4" w:rsidP="00A37297">
            <w:pPr>
              <w:tabs>
                <w:tab w:val="clear" w:pos="425"/>
              </w:tabs>
              <w:ind w:left="383" w:hanging="383"/>
              <w:rPr>
                <w:sz w:val="18"/>
                <w:szCs w:val="18"/>
              </w:rPr>
            </w:pPr>
          </w:p>
        </w:tc>
        <w:tc>
          <w:tcPr>
            <w:tcW w:w="1364" w:type="dxa"/>
            <w:tcBorders>
              <w:left w:val="single" w:sz="6" w:space="0" w:color="auto"/>
              <w:right w:val="single" w:sz="6" w:space="0" w:color="auto"/>
            </w:tcBorders>
          </w:tcPr>
          <w:p w:rsidR="00B674C4" w:rsidRPr="00B6627B" w:rsidRDefault="00B674C4" w:rsidP="00A37297">
            <w:pPr>
              <w:tabs>
                <w:tab w:val="clear" w:pos="425"/>
              </w:tabs>
              <w:ind w:left="383" w:hanging="383"/>
              <w:rPr>
                <w:sz w:val="18"/>
                <w:szCs w:val="18"/>
              </w:rPr>
            </w:pPr>
            <w:r w:rsidRPr="00B6627B">
              <w:rPr>
                <w:sz w:val="18"/>
                <w:szCs w:val="18"/>
              </w:rPr>
              <w:t>28 (0)</w:t>
            </w:r>
          </w:p>
        </w:tc>
        <w:tc>
          <w:tcPr>
            <w:tcW w:w="2268" w:type="dxa"/>
            <w:vMerge/>
            <w:tcBorders>
              <w:left w:val="single" w:sz="6" w:space="0" w:color="auto"/>
              <w:right w:val="single" w:sz="6" w:space="0" w:color="auto"/>
            </w:tcBorders>
          </w:tcPr>
          <w:p w:rsidR="00B674C4" w:rsidRPr="00B6627B" w:rsidRDefault="00B674C4" w:rsidP="00A37297">
            <w:pPr>
              <w:tabs>
                <w:tab w:val="clear" w:pos="425"/>
              </w:tabs>
              <w:rPr>
                <w:sz w:val="18"/>
                <w:szCs w:val="18"/>
              </w:rPr>
            </w:pPr>
          </w:p>
        </w:tc>
        <w:tc>
          <w:tcPr>
            <w:tcW w:w="2126" w:type="dxa"/>
            <w:vMerge/>
            <w:tcBorders>
              <w:left w:val="single" w:sz="6" w:space="0" w:color="auto"/>
              <w:right w:val="single" w:sz="6" w:space="0" w:color="auto"/>
            </w:tcBorders>
          </w:tcPr>
          <w:p w:rsidR="00B674C4" w:rsidRPr="00B6627B" w:rsidRDefault="00B674C4" w:rsidP="00A37297">
            <w:pPr>
              <w:tabs>
                <w:tab w:val="clear" w:pos="425"/>
              </w:tabs>
              <w:rPr>
                <w:sz w:val="18"/>
                <w:szCs w:val="18"/>
              </w:rPr>
            </w:pPr>
          </w:p>
        </w:tc>
        <w:tc>
          <w:tcPr>
            <w:tcW w:w="3160" w:type="dxa"/>
            <w:vMerge/>
            <w:tcBorders>
              <w:left w:val="single" w:sz="6" w:space="0" w:color="auto"/>
              <w:right w:val="single" w:sz="6" w:space="0" w:color="auto"/>
            </w:tcBorders>
          </w:tcPr>
          <w:p w:rsidR="00B674C4" w:rsidRPr="00B6627B" w:rsidRDefault="00B674C4" w:rsidP="00A37297">
            <w:pPr>
              <w:tabs>
                <w:tab w:val="clear" w:pos="425"/>
              </w:tabs>
              <w:rPr>
                <w:sz w:val="18"/>
                <w:szCs w:val="18"/>
              </w:rPr>
            </w:pPr>
          </w:p>
        </w:tc>
      </w:tr>
      <w:tr w:rsidR="00B674C4" w:rsidRPr="00B6627B">
        <w:tc>
          <w:tcPr>
            <w:tcW w:w="1418" w:type="dxa"/>
            <w:vMerge/>
            <w:tcBorders>
              <w:left w:val="single" w:sz="6" w:space="0" w:color="auto"/>
              <w:right w:val="single" w:sz="6" w:space="0" w:color="auto"/>
            </w:tcBorders>
          </w:tcPr>
          <w:p w:rsidR="00B674C4" w:rsidRPr="00B6627B" w:rsidRDefault="00B674C4" w:rsidP="00A37297">
            <w:pPr>
              <w:tabs>
                <w:tab w:val="clear" w:pos="425"/>
              </w:tabs>
              <w:rPr>
                <w:sz w:val="18"/>
                <w:szCs w:val="18"/>
              </w:rPr>
            </w:pPr>
          </w:p>
        </w:tc>
        <w:tc>
          <w:tcPr>
            <w:tcW w:w="1364" w:type="dxa"/>
            <w:tcBorders>
              <w:left w:val="single" w:sz="6" w:space="0" w:color="auto"/>
              <w:right w:val="single" w:sz="6" w:space="0" w:color="auto"/>
            </w:tcBorders>
          </w:tcPr>
          <w:p w:rsidR="00B674C4" w:rsidRPr="00B6627B" w:rsidRDefault="00B674C4" w:rsidP="00A37297">
            <w:pPr>
              <w:tabs>
                <w:tab w:val="clear" w:pos="425"/>
              </w:tabs>
              <w:ind w:left="383" w:hanging="383"/>
              <w:rPr>
                <w:sz w:val="18"/>
                <w:szCs w:val="18"/>
              </w:rPr>
            </w:pPr>
          </w:p>
        </w:tc>
        <w:tc>
          <w:tcPr>
            <w:tcW w:w="1364" w:type="dxa"/>
            <w:tcBorders>
              <w:left w:val="single" w:sz="6" w:space="0" w:color="auto"/>
              <w:right w:val="single" w:sz="6" w:space="0" w:color="auto"/>
            </w:tcBorders>
          </w:tcPr>
          <w:p w:rsidR="00B674C4" w:rsidRPr="00B6627B" w:rsidRDefault="00B674C4" w:rsidP="00A37297">
            <w:pPr>
              <w:tabs>
                <w:tab w:val="clear" w:pos="425"/>
              </w:tabs>
              <w:ind w:left="383" w:hanging="383"/>
              <w:rPr>
                <w:sz w:val="18"/>
                <w:szCs w:val="18"/>
              </w:rPr>
            </w:pPr>
            <w:r w:rsidRPr="00B6627B">
              <w:rPr>
                <w:sz w:val="18"/>
                <w:szCs w:val="18"/>
              </w:rPr>
              <w:t>10 (0)</w:t>
            </w:r>
          </w:p>
        </w:tc>
        <w:tc>
          <w:tcPr>
            <w:tcW w:w="1364" w:type="dxa"/>
            <w:tcBorders>
              <w:left w:val="single" w:sz="6" w:space="0" w:color="auto"/>
              <w:right w:val="single" w:sz="6" w:space="0" w:color="auto"/>
            </w:tcBorders>
          </w:tcPr>
          <w:p w:rsidR="00B674C4" w:rsidRPr="00B6627B" w:rsidRDefault="00B674C4" w:rsidP="00A37297">
            <w:pPr>
              <w:tabs>
                <w:tab w:val="clear" w:pos="425"/>
              </w:tabs>
              <w:ind w:left="383" w:hanging="383"/>
              <w:rPr>
                <w:sz w:val="18"/>
                <w:szCs w:val="18"/>
              </w:rPr>
            </w:pPr>
          </w:p>
        </w:tc>
        <w:tc>
          <w:tcPr>
            <w:tcW w:w="1364" w:type="dxa"/>
            <w:tcBorders>
              <w:left w:val="single" w:sz="6" w:space="0" w:color="auto"/>
              <w:right w:val="single" w:sz="6" w:space="0" w:color="auto"/>
            </w:tcBorders>
          </w:tcPr>
          <w:p w:rsidR="00B674C4" w:rsidRPr="00B6627B" w:rsidRDefault="00B674C4" w:rsidP="00A37297">
            <w:pPr>
              <w:tabs>
                <w:tab w:val="clear" w:pos="425"/>
              </w:tabs>
              <w:ind w:left="383" w:hanging="383"/>
              <w:rPr>
                <w:sz w:val="18"/>
                <w:szCs w:val="18"/>
              </w:rPr>
            </w:pPr>
            <w:r w:rsidRPr="00B6627B">
              <w:rPr>
                <w:sz w:val="18"/>
                <w:szCs w:val="18"/>
              </w:rPr>
              <w:t>10 (0)</w:t>
            </w:r>
          </w:p>
        </w:tc>
        <w:tc>
          <w:tcPr>
            <w:tcW w:w="2268" w:type="dxa"/>
            <w:vMerge/>
            <w:tcBorders>
              <w:left w:val="single" w:sz="6" w:space="0" w:color="auto"/>
              <w:right w:val="single" w:sz="6" w:space="0" w:color="auto"/>
            </w:tcBorders>
          </w:tcPr>
          <w:p w:rsidR="00B674C4" w:rsidRPr="00B6627B" w:rsidRDefault="00B674C4" w:rsidP="00A37297">
            <w:pPr>
              <w:tabs>
                <w:tab w:val="clear" w:pos="425"/>
              </w:tabs>
              <w:rPr>
                <w:sz w:val="18"/>
                <w:szCs w:val="18"/>
              </w:rPr>
            </w:pPr>
          </w:p>
        </w:tc>
        <w:tc>
          <w:tcPr>
            <w:tcW w:w="2126" w:type="dxa"/>
            <w:vMerge/>
            <w:tcBorders>
              <w:left w:val="single" w:sz="6" w:space="0" w:color="auto"/>
              <w:right w:val="single" w:sz="6" w:space="0" w:color="auto"/>
            </w:tcBorders>
          </w:tcPr>
          <w:p w:rsidR="00B674C4" w:rsidRPr="00B6627B" w:rsidRDefault="00B674C4" w:rsidP="00A37297">
            <w:pPr>
              <w:tabs>
                <w:tab w:val="clear" w:pos="425"/>
              </w:tabs>
              <w:rPr>
                <w:sz w:val="18"/>
                <w:szCs w:val="18"/>
              </w:rPr>
            </w:pPr>
          </w:p>
        </w:tc>
        <w:tc>
          <w:tcPr>
            <w:tcW w:w="3160" w:type="dxa"/>
            <w:vMerge/>
            <w:tcBorders>
              <w:left w:val="single" w:sz="6" w:space="0" w:color="auto"/>
              <w:right w:val="single" w:sz="6" w:space="0" w:color="auto"/>
            </w:tcBorders>
          </w:tcPr>
          <w:p w:rsidR="00B674C4" w:rsidRPr="00B6627B" w:rsidRDefault="00B674C4" w:rsidP="00A37297">
            <w:pPr>
              <w:tabs>
                <w:tab w:val="clear" w:pos="425"/>
              </w:tabs>
              <w:rPr>
                <w:sz w:val="18"/>
                <w:szCs w:val="18"/>
              </w:rPr>
            </w:pPr>
          </w:p>
        </w:tc>
      </w:tr>
      <w:tr w:rsidR="00B674C4" w:rsidRPr="00B6627B">
        <w:tc>
          <w:tcPr>
            <w:tcW w:w="1418" w:type="dxa"/>
            <w:vMerge/>
            <w:tcBorders>
              <w:left w:val="single" w:sz="6" w:space="0" w:color="auto"/>
              <w:bottom w:val="single" w:sz="6" w:space="0" w:color="auto"/>
              <w:right w:val="single" w:sz="6" w:space="0" w:color="auto"/>
            </w:tcBorders>
          </w:tcPr>
          <w:p w:rsidR="00B674C4" w:rsidRPr="00B6627B" w:rsidRDefault="00B674C4" w:rsidP="00A37297">
            <w:pPr>
              <w:tabs>
                <w:tab w:val="clear" w:pos="425"/>
              </w:tabs>
              <w:rPr>
                <w:sz w:val="18"/>
                <w:szCs w:val="18"/>
              </w:rPr>
            </w:pPr>
          </w:p>
        </w:tc>
        <w:tc>
          <w:tcPr>
            <w:tcW w:w="5456" w:type="dxa"/>
            <w:gridSpan w:val="4"/>
            <w:tcBorders>
              <w:left w:val="single" w:sz="6" w:space="0" w:color="auto"/>
              <w:bottom w:val="single" w:sz="6" w:space="0" w:color="auto"/>
              <w:right w:val="single" w:sz="6" w:space="0" w:color="auto"/>
            </w:tcBorders>
          </w:tcPr>
          <w:p w:rsidR="00B674C4" w:rsidRPr="00B6627B" w:rsidRDefault="00B674C4" w:rsidP="00A37297">
            <w:pPr>
              <w:pStyle w:val="GesAbsatz"/>
              <w:tabs>
                <w:tab w:val="clear" w:pos="425"/>
              </w:tabs>
              <w:ind w:left="242"/>
              <w:rPr>
                <w:sz w:val="18"/>
                <w:szCs w:val="18"/>
              </w:rPr>
            </w:pPr>
            <w:r w:rsidRPr="00B6627B">
              <w:rPr>
                <w:sz w:val="18"/>
                <w:szCs w:val="18"/>
              </w:rPr>
              <w:t>Der Temperaturgrenzwert von 10° gilt nur für die Laichzeit so</w:t>
            </w:r>
            <w:r w:rsidRPr="00B6627B">
              <w:rPr>
                <w:sz w:val="18"/>
                <w:szCs w:val="18"/>
              </w:rPr>
              <w:t>l</w:t>
            </w:r>
            <w:r w:rsidRPr="00B6627B">
              <w:rPr>
                <w:sz w:val="18"/>
                <w:szCs w:val="18"/>
              </w:rPr>
              <w:t>cher Arten, die für die Fortpflanzung kaltes Wasser benötigen, und nur für Gewässer, welche sich für solche Arten eignen.</w:t>
            </w:r>
          </w:p>
          <w:p w:rsidR="00B674C4" w:rsidRPr="00B6627B" w:rsidRDefault="00B674C4" w:rsidP="00A37297">
            <w:pPr>
              <w:tabs>
                <w:tab w:val="clear" w:pos="425"/>
              </w:tabs>
              <w:ind w:left="242"/>
              <w:rPr>
                <w:sz w:val="18"/>
                <w:szCs w:val="18"/>
              </w:rPr>
            </w:pPr>
            <w:r w:rsidRPr="00B6627B">
              <w:rPr>
                <w:sz w:val="18"/>
                <w:szCs w:val="18"/>
              </w:rPr>
              <w:t>Die Temperaturgrenzwerte dürfen jedoch in 2 % der Fälle zei</w:t>
            </w:r>
            <w:r w:rsidRPr="00B6627B">
              <w:rPr>
                <w:sz w:val="18"/>
                <w:szCs w:val="18"/>
              </w:rPr>
              <w:t>t</w:t>
            </w:r>
            <w:r w:rsidRPr="00B6627B">
              <w:rPr>
                <w:sz w:val="18"/>
                <w:szCs w:val="18"/>
              </w:rPr>
              <w:t>lich überschritten werden.</w:t>
            </w:r>
          </w:p>
        </w:tc>
        <w:tc>
          <w:tcPr>
            <w:tcW w:w="2268" w:type="dxa"/>
            <w:vMerge/>
            <w:tcBorders>
              <w:left w:val="single" w:sz="6" w:space="0" w:color="auto"/>
              <w:bottom w:val="single" w:sz="6" w:space="0" w:color="auto"/>
              <w:right w:val="single" w:sz="6" w:space="0" w:color="auto"/>
            </w:tcBorders>
          </w:tcPr>
          <w:p w:rsidR="00B674C4" w:rsidRPr="00B6627B" w:rsidRDefault="00B674C4" w:rsidP="00A37297">
            <w:pPr>
              <w:tabs>
                <w:tab w:val="clear" w:pos="425"/>
              </w:tabs>
              <w:rPr>
                <w:sz w:val="18"/>
                <w:szCs w:val="18"/>
              </w:rPr>
            </w:pPr>
          </w:p>
        </w:tc>
        <w:tc>
          <w:tcPr>
            <w:tcW w:w="2126" w:type="dxa"/>
            <w:vMerge/>
            <w:tcBorders>
              <w:left w:val="single" w:sz="6" w:space="0" w:color="auto"/>
              <w:bottom w:val="single" w:sz="6" w:space="0" w:color="auto"/>
              <w:right w:val="single" w:sz="6" w:space="0" w:color="auto"/>
            </w:tcBorders>
          </w:tcPr>
          <w:p w:rsidR="00B674C4" w:rsidRPr="00B6627B" w:rsidRDefault="00B674C4" w:rsidP="00A37297">
            <w:pPr>
              <w:tabs>
                <w:tab w:val="clear" w:pos="425"/>
              </w:tabs>
              <w:rPr>
                <w:sz w:val="18"/>
                <w:szCs w:val="18"/>
              </w:rPr>
            </w:pPr>
          </w:p>
        </w:tc>
        <w:tc>
          <w:tcPr>
            <w:tcW w:w="3160" w:type="dxa"/>
            <w:vMerge/>
            <w:tcBorders>
              <w:left w:val="single" w:sz="6" w:space="0" w:color="auto"/>
              <w:bottom w:val="single" w:sz="6" w:space="0" w:color="auto"/>
              <w:right w:val="single" w:sz="6" w:space="0" w:color="auto"/>
            </w:tcBorders>
          </w:tcPr>
          <w:p w:rsidR="00B674C4" w:rsidRPr="00B6627B" w:rsidRDefault="00B674C4" w:rsidP="00A37297">
            <w:pPr>
              <w:tabs>
                <w:tab w:val="clear" w:pos="425"/>
              </w:tabs>
              <w:rPr>
                <w:sz w:val="18"/>
                <w:szCs w:val="18"/>
              </w:rPr>
            </w:pPr>
          </w:p>
        </w:tc>
      </w:tr>
      <w:tr w:rsidR="00B674C4" w:rsidRPr="00B6627B">
        <w:tc>
          <w:tcPr>
            <w:tcW w:w="1418" w:type="dxa"/>
            <w:tcBorders>
              <w:top w:val="single" w:sz="6" w:space="0" w:color="auto"/>
              <w:left w:val="single" w:sz="6" w:space="0" w:color="auto"/>
              <w:bottom w:val="single" w:sz="6" w:space="0" w:color="auto"/>
              <w:right w:val="single" w:sz="6" w:space="0" w:color="auto"/>
            </w:tcBorders>
          </w:tcPr>
          <w:p w:rsidR="00B674C4" w:rsidRPr="00B6627B" w:rsidRDefault="00B674C4" w:rsidP="00A37297">
            <w:pPr>
              <w:ind w:left="284" w:hanging="284"/>
              <w:rPr>
                <w:sz w:val="18"/>
                <w:szCs w:val="18"/>
              </w:rPr>
            </w:pPr>
            <w:r w:rsidRPr="00B6627B">
              <w:rPr>
                <w:sz w:val="18"/>
                <w:szCs w:val="18"/>
              </w:rPr>
              <w:t>2.</w:t>
            </w:r>
            <w:r w:rsidRPr="00B6627B">
              <w:rPr>
                <w:sz w:val="18"/>
                <w:szCs w:val="18"/>
              </w:rPr>
              <w:tab/>
              <w:t>Gelöster Sauerstoff (mg/l O</w:t>
            </w:r>
            <w:r w:rsidRPr="00B6627B">
              <w:rPr>
                <w:sz w:val="18"/>
                <w:szCs w:val="18"/>
                <w:vertAlign w:val="subscript"/>
              </w:rPr>
              <w:t>2</w:t>
            </w:r>
            <w:r w:rsidRPr="00B6627B">
              <w:rPr>
                <w:sz w:val="18"/>
                <w:szCs w:val="18"/>
              </w:rPr>
              <w:t>)</w:t>
            </w:r>
          </w:p>
        </w:tc>
        <w:tc>
          <w:tcPr>
            <w:tcW w:w="1364" w:type="dxa"/>
            <w:tcBorders>
              <w:top w:val="single" w:sz="6" w:space="0" w:color="auto"/>
              <w:left w:val="nil"/>
              <w:bottom w:val="single" w:sz="6" w:space="0" w:color="auto"/>
              <w:right w:val="single" w:sz="6" w:space="0" w:color="auto"/>
            </w:tcBorders>
          </w:tcPr>
          <w:p w:rsidR="00B674C4" w:rsidRPr="00B6627B" w:rsidRDefault="00B674C4" w:rsidP="00A37297">
            <w:pPr>
              <w:tabs>
                <w:tab w:val="clear" w:pos="425"/>
              </w:tabs>
              <w:ind w:left="383" w:hanging="383"/>
              <w:rPr>
                <w:sz w:val="18"/>
                <w:szCs w:val="18"/>
              </w:rPr>
            </w:pPr>
            <w:r w:rsidRPr="00B6627B">
              <w:rPr>
                <w:sz w:val="18"/>
                <w:szCs w:val="18"/>
              </w:rPr>
              <w:t xml:space="preserve">50 % </w:t>
            </w:r>
            <w:r w:rsidRPr="00B6627B">
              <w:rPr>
                <w:rFonts w:cs="Arial"/>
                <w:sz w:val="18"/>
                <w:szCs w:val="18"/>
              </w:rPr>
              <w:t>≥</w:t>
            </w:r>
            <w:r w:rsidRPr="00B6627B">
              <w:rPr>
                <w:sz w:val="18"/>
                <w:szCs w:val="18"/>
              </w:rPr>
              <w:t xml:space="preserve"> 9</w:t>
            </w:r>
          </w:p>
          <w:p w:rsidR="00B674C4" w:rsidRPr="00B6627B" w:rsidRDefault="00B674C4" w:rsidP="00A37297">
            <w:pPr>
              <w:tabs>
                <w:tab w:val="clear" w:pos="425"/>
              </w:tabs>
              <w:ind w:left="383" w:hanging="383"/>
              <w:rPr>
                <w:sz w:val="18"/>
                <w:szCs w:val="18"/>
              </w:rPr>
            </w:pPr>
            <w:r w:rsidRPr="00B6627B">
              <w:rPr>
                <w:sz w:val="18"/>
                <w:szCs w:val="18"/>
              </w:rPr>
              <w:t xml:space="preserve">100 % </w:t>
            </w:r>
            <w:r w:rsidRPr="00B6627B">
              <w:rPr>
                <w:rFonts w:cs="Arial"/>
                <w:sz w:val="18"/>
                <w:szCs w:val="18"/>
              </w:rPr>
              <w:t>≥</w:t>
            </w:r>
            <w:r w:rsidRPr="00B6627B">
              <w:rPr>
                <w:sz w:val="18"/>
                <w:szCs w:val="18"/>
              </w:rPr>
              <w:t xml:space="preserve"> 7</w:t>
            </w:r>
          </w:p>
        </w:tc>
        <w:tc>
          <w:tcPr>
            <w:tcW w:w="1364" w:type="dxa"/>
            <w:tcBorders>
              <w:top w:val="single" w:sz="6" w:space="0" w:color="auto"/>
              <w:left w:val="nil"/>
              <w:bottom w:val="single" w:sz="6" w:space="0" w:color="auto"/>
              <w:right w:val="single" w:sz="6" w:space="0" w:color="auto"/>
            </w:tcBorders>
          </w:tcPr>
          <w:p w:rsidR="00B674C4" w:rsidRPr="00B6627B" w:rsidRDefault="00B674C4" w:rsidP="00A37297">
            <w:pPr>
              <w:tabs>
                <w:tab w:val="clear" w:pos="425"/>
              </w:tabs>
              <w:ind w:left="383" w:hanging="383"/>
              <w:rPr>
                <w:sz w:val="18"/>
                <w:szCs w:val="18"/>
              </w:rPr>
            </w:pPr>
            <w:r w:rsidRPr="00B6627B">
              <w:rPr>
                <w:sz w:val="18"/>
                <w:szCs w:val="18"/>
              </w:rPr>
              <w:t xml:space="preserve">50 % </w:t>
            </w:r>
            <w:r w:rsidRPr="00B6627B">
              <w:rPr>
                <w:rFonts w:cs="Arial"/>
                <w:sz w:val="18"/>
                <w:szCs w:val="18"/>
              </w:rPr>
              <w:t>≥</w:t>
            </w:r>
            <w:r w:rsidRPr="00B6627B">
              <w:rPr>
                <w:sz w:val="18"/>
                <w:szCs w:val="18"/>
              </w:rPr>
              <w:t xml:space="preserve"> 9</w:t>
            </w:r>
          </w:p>
          <w:p w:rsidR="00B674C4" w:rsidRPr="00B6627B" w:rsidRDefault="00B674C4" w:rsidP="00A37297">
            <w:pPr>
              <w:tabs>
                <w:tab w:val="clear" w:pos="425"/>
              </w:tabs>
              <w:ind w:left="8"/>
              <w:jc w:val="left"/>
              <w:rPr>
                <w:sz w:val="18"/>
                <w:szCs w:val="18"/>
              </w:rPr>
            </w:pPr>
          </w:p>
          <w:p w:rsidR="00B674C4" w:rsidRPr="00B6627B" w:rsidRDefault="00B674C4" w:rsidP="00A37297">
            <w:pPr>
              <w:tabs>
                <w:tab w:val="clear" w:pos="425"/>
              </w:tabs>
              <w:ind w:left="8"/>
              <w:jc w:val="left"/>
              <w:rPr>
                <w:sz w:val="18"/>
                <w:szCs w:val="18"/>
              </w:rPr>
            </w:pPr>
            <w:r w:rsidRPr="00B6627B">
              <w:rPr>
                <w:sz w:val="18"/>
                <w:szCs w:val="18"/>
              </w:rPr>
              <w:t>Sinkt der Sa</w:t>
            </w:r>
            <w:r w:rsidRPr="00B6627B">
              <w:rPr>
                <w:sz w:val="18"/>
                <w:szCs w:val="18"/>
              </w:rPr>
              <w:t>u</w:t>
            </w:r>
            <w:r w:rsidRPr="00B6627B">
              <w:rPr>
                <w:sz w:val="18"/>
                <w:szCs w:val="18"/>
              </w:rPr>
              <w:t>er</w:t>
            </w:r>
            <w:r w:rsidRPr="00B6627B">
              <w:rPr>
                <w:sz w:val="18"/>
                <w:szCs w:val="18"/>
              </w:rPr>
              <w:softHyphen/>
              <w:t>stoff</w:t>
            </w:r>
            <w:r w:rsidRPr="00B6627B">
              <w:rPr>
                <w:sz w:val="18"/>
                <w:szCs w:val="18"/>
              </w:rPr>
              <w:softHyphen/>
              <w:t>ge</w:t>
            </w:r>
            <w:r w:rsidRPr="00B6627B">
              <w:rPr>
                <w:sz w:val="18"/>
                <w:szCs w:val="18"/>
              </w:rPr>
              <w:softHyphen/>
              <w:t>halt unter 6 mg/l so wenden die Mit</w:t>
            </w:r>
            <w:r w:rsidRPr="00B6627B">
              <w:rPr>
                <w:sz w:val="18"/>
                <w:szCs w:val="18"/>
              </w:rPr>
              <w:softHyphen/>
              <w:t>glied</w:t>
            </w:r>
            <w:r w:rsidRPr="00B6627B">
              <w:rPr>
                <w:sz w:val="18"/>
                <w:szCs w:val="18"/>
              </w:rPr>
              <w:softHyphen/>
              <w:t>staa</w:t>
            </w:r>
            <w:r w:rsidRPr="00B6627B">
              <w:rPr>
                <w:sz w:val="18"/>
                <w:szCs w:val="18"/>
              </w:rPr>
              <w:softHyphen/>
              <w:t>ten Artikel 7 A</w:t>
            </w:r>
            <w:r w:rsidRPr="00B6627B">
              <w:rPr>
                <w:sz w:val="18"/>
                <w:szCs w:val="18"/>
              </w:rPr>
              <w:t>b</w:t>
            </w:r>
            <w:r w:rsidRPr="00B6627B">
              <w:rPr>
                <w:sz w:val="18"/>
                <w:szCs w:val="18"/>
              </w:rPr>
              <w:t xml:space="preserve">satz 3 an. Die zuständige Behörde muß </w:t>
            </w:r>
            <w:r w:rsidRPr="00B6627B">
              <w:rPr>
                <w:sz w:val="18"/>
                <w:szCs w:val="18"/>
              </w:rPr>
              <w:lastRenderedPageBreak/>
              <w:t>nach</w:t>
            </w:r>
            <w:r w:rsidRPr="00B6627B">
              <w:rPr>
                <w:sz w:val="18"/>
                <w:szCs w:val="18"/>
              </w:rPr>
              <w:softHyphen/>
              <w:t>weisen, daß die ausge</w:t>
            </w:r>
            <w:r w:rsidRPr="00B6627B">
              <w:rPr>
                <w:sz w:val="18"/>
                <w:szCs w:val="18"/>
              </w:rPr>
              <w:softHyphen/>
              <w:t>wogene En</w:t>
            </w:r>
            <w:r w:rsidRPr="00B6627B">
              <w:rPr>
                <w:sz w:val="18"/>
                <w:szCs w:val="18"/>
              </w:rPr>
              <w:t>t</w:t>
            </w:r>
            <w:r w:rsidRPr="00B6627B">
              <w:rPr>
                <w:sz w:val="18"/>
                <w:szCs w:val="18"/>
              </w:rPr>
              <w:t>wicklung des Fisch</w:t>
            </w:r>
            <w:r w:rsidRPr="00B6627B">
              <w:rPr>
                <w:sz w:val="18"/>
                <w:szCs w:val="18"/>
              </w:rPr>
              <w:softHyphen/>
              <w:t>bestands hierdurch nicht beein</w:t>
            </w:r>
            <w:r w:rsidRPr="00B6627B">
              <w:rPr>
                <w:sz w:val="18"/>
                <w:szCs w:val="18"/>
              </w:rPr>
              <w:softHyphen/>
              <w:t>trächtigt wird.</w:t>
            </w:r>
          </w:p>
        </w:tc>
        <w:tc>
          <w:tcPr>
            <w:tcW w:w="1364" w:type="dxa"/>
            <w:tcBorders>
              <w:top w:val="single" w:sz="6" w:space="0" w:color="auto"/>
              <w:left w:val="nil"/>
              <w:bottom w:val="single" w:sz="6" w:space="0" w:color="auto"/>
              <w:right w:val="single" w:sz="6" w:space="0" w:color="auto"/>
            </w:tcBorders>
          </w:tcPr>
          <w:p w:rsidR="00B674C4" w:rsidRPr="00B6627B" w:rsidRDefault="00B674C4" w:rsidP="00A37297">
            <w:pPr>
              <w:tabs>
                <w:tab w:val="clear" w:pos="425"/>
              </w:tabs>
              <w:ind w:left="383" w:hanging="383"/>
              <w:rPr>
                <w:sz w:val="18"/>
                <w:szCs w:val="18"/>
              </w:rPr>
            </w:pPr>
            <w:r w:rsidRPr="00B6627B">
              <w:rPr>
                <w:sz w:val="18"/>
                <w:szCs w:val="18"/>
              </w:rPr>
              <w:lastRenderedPageBreak/>
              <w:t xml:space="preserve">50 % </w:t>
            </w:r>
            <w:r w:rsidRPr="00B6627B">
              <w:rPr>
                <w:rFonts w:cs="Arial"/>
                <w:sz w:val="18"/>
                <w:szCs w:val="18"/>
              </w:rPr>
              <w:t>≥</w:t>
            </w:r>
            <w:r w:rsidRPr="00B6627B">
              <w:rPr>
                <w:sz w:val="18"/>
                <w:szCs w:val="18"/>
              </w:rPr>
              <w:t xml:space="preserve"> 8</w:t>
            </w:r>
          </w:p>
          <w:p w:rsidR="00B674C4" w:rsidRPr="00B6627B" w:rsidRDefault="00B674C4" w:rsidP="00A37297">
            <w:pPr>
              <w:tabs>
                <w:tab w:val="clear" w:pos="425"/>
              </w:tabs>
              <w:ind w:left="383" w:hanging="383"/>
              <w:rPr>
                <w:sz w:val="18"/>
                <w:szCs w:val="18"/>
              </w:rPr>
            </w:pPr>
            <w:r w:rsidRPr="00B6627B">
              <w:rPr>
                <w:sz w:val="18"/>
                <w:szCs w:val="18"/>
              </w:rPr>
              <w:t xml:space="preserve">100 % </w:t>
            </w:r>
            <w:r w:rsidRPr="00B6627B">
              <w:rPr>
                <w:rFonts w:cs="Arial"/>
                <w:sz w:val="18"/>
                <w:szCs w:val="18"/>
              </w:rPr>
              <w:t>≥</w:t>
            </w:r>
            <w:r w:rsidRPr="00B6627B">
              <w:rPr>
                <w:sz w:val="18"/>
                <w:szCs w:val="18"/>
              </w:rPr>
              <w:t xml:space="preserve"> 5</w:t>
            </w:r>
          </w:p>
        </w:tc>
        <w:tc>
          <w:tcPr>
            <w:tcW w:w="1364" w:type="dxa"/>
            <w:tcBorders>
              <w:top w:val="single" w:sz="6" w:space="0" w:color="auto"/>
              <w:left w:val="nil"/>
              <w:bottom w:val="single" w:sz="6" w:space="0" w:color="auto"/>
              <w:right w:val="single" w:sz="6" w:space="0" w:color="auto"/>
            </w:tcBorders>
          </w:tcPr>
          <w:p w:rsidR="00B674C4" w:rsidRPr="00B6627B" w:rsidRDefault="00B674C4" w:rsidP="00A37297">
            <w:pPr>
              <w:tabs>
                <w:tab w:val="clear" w:pos="425"/>
              </w:tabs>
              <w:ind w:left="383" w:hanging="383"/>
              <w:rPr>
                <w:sz w:val="18"/>
                <w:szCs w:val="18"/>
              </w:rPr>
            </w:pPr>
            <w:r w:rsidRPr="00B6627B">
              <w:rPr>
                <w:sz w:val="18"/>
                <w:szCs w:val="18"/>
              </w:rPr>
              <w:t xml:space="preserve">50 % </w:t>
            </w:r>
            <w:r w:rsidRPr="00B6627B">
              <w:rPr>
                <w:rFonts w:cs="Arial"/>
                <w:sz w:val="18"/>
                <w:szCs w:val="18"/>
              </w:rPr>
              <w:t>≥</w:t>
            </w:r>
            <w:r w:rsidRPr="00B6627B">
              <w:rPr>
                <w:sz w:val="18"/>
                <w:szCs w:val="18"/>
              </w:rPr>
              <w:t xml:space="preserve"> 7</w:t>
            </w:r>
          </w:p>
          <w:p w:rsidR="00B674C4" w:rsidRPr="00B6627B" w:rsidRDefault="00B674C4" w:rsidP="00A37297">
            <w:pPr>
              <w:tabs>
                <w:tab w:val="clear" w:pos="425"/>
              </w:tabs>
              <w:jc w:val="left"/>
              <w:rPr>
                <w:sz w:val="18"/>
                <w:szCs w:val="18"/>
              </w:rPr>
            </w:pPr>
          </w:p>
          <w:p w:rsidR="00B674C4" w:rsidRPr="00B6627B" w:rsidRDefault="00B674C4" w:rsidP="00A37297">
            <w:pPr>
              <w:tabs>
                <w:tab w:val="clear" w:pos="425"/>
              </w:tabs>
              <w:jc w:val="left"/>
              <w:rPr>
                <w:sz w:val="18"/>
                <w:szCs w:val="18"/>
              </w:rPr>
            </w:pPr>
            <w:r w:rsidRPr="00B6627B">
              <w:rPr>
                <w:sz w:val="18"/>
                <w:szCs w:val="18"/>
              </w:rPr>
              <w:t>Sinkt der Sa</w:t>
            </w:r>
            <w:r w:rsidRPr="00B6627B">
              <w:rPr>
                <w:sz w:val="18"/>
                <w:szCs w:val="18"/>
              </w:rPr>
              <w:t>u</w:t>
            </w:r>
            <w:r w:rsidRPr="00B6627B">
              <w:rPr>
                <w:sz w:val="18"/>
                <w:szCs w:val="18"/>
              </w:rPr>
              <w:t>erstoff</w:t>
            </w:r>
            <w:r w:rsidRPr="00B6627B">
              <w:rPr>
                <w:sz w:val="18"/>
                <w:szCs w:val="18"/>
              </w:rPr>
              <w:softHyphen/>
              <w:t>gehalt unter 4 mg/l, so wenden die Mitglied</w:t>
            </w:r>
            <w:r w:rsidRPr="00B6627B">
              <w:rPr>
                <w:sz w:val="18"/>
                <w:szCs w:val="18"/>
              </w:rPr>
              <w:softHyphen/>
              <w:t>staaten Artikel 7 A</w:t>
            </w:r>
            <w:r w:rsidRPr="00B6627B">
              <w:rPr>
                <w:sz w:val="18"/>
                <w:szCs w:val="18"/>
              </w:rPr>
              <w:t>b</w:t>
            </w:r>
            <w:r w:rsidRPr="00B6627B">
              <w:rPr>
                <w:sz w:val="18"/>
                <w:szCs w:val="18"/>
              </w:rPr>
              <w:t xml:space="preserve">satz 3 an. Die zuständige Behörde muß </w:t>
            </w:r>
            <w:r w:rsidRPr="00B6627B">
              <w:rPr>
                <w:sz w:val="18"/>
                <w:szCs w:val="18"/>
              </w:rPr>
              <w:lastRenderedPageBreak/>
              <w:t>nach</w:t>
            </w:r>
            <w:r w:rsidRPr="00B6627B">
              <w:rPr>
                <w:sz w:val="18"/>
                <w:szCs w:val="18"/>
              </w:rPr>
              <w:softHyphen/>
              <w:t>weisen, daß die ausge</w:t>
            </w:r>
            <w:r w:rsidRPr="00B6627B">
              <w:rPr>
                <w:sz w:val="18"/>
                <w:szCs w:val="18"/>
              </w:rPr>
              <w:softHyphen/>
              <w:t>wogene En</w:t>
            </w:r>
            <w:r w:rsidRPr="00B6627B">
              <w:rPr>
                <w:sz w:val="18"/>
                <w:szCs w:val="18"/>
              </w:rPr>
              <w:t>t</w:t>
            </w:r>
            <w:r w:rsidRPr="00B6627B">
              <w:rPr>
                <w:sz w:val="18"/>
                <w:szCs w:val="18"/>
              </w:rPr>
              <w:t>wicklung des Fisch</w:t>
            </w:r>
            <w:r w:rsidRPr="00B6627B">
              <w:rPr>
                <w:sz w:val="18"/>
                <w:szCs w:val="18"/>
              </w:rPr>
              <w:softHyphen/>
              <w:t>bestands hierdurch nicht beein</w:t>
            </w:r>
            <w:r w:rsidRPr="00B6627B">
              <w:rPr>
                <w:sz w:val="18"/>
                <w:szCs w:val="18"/>
              </w:rPr>
              <w:softHyphen/>
              <w:t>trächtigt wird.</w:t>
            </w:r>
          </w:p>
        </w:tc>
        <w:tc>
          <w:tcPr>
            <w:tcW w:w="2268" w:type="dxa"/>
            <w:tcBorders>
              <w:top w:val="single" w:sz="6" w:space="0" w:color="auto"/>
              <w:left w:val="single" w:sz="6" w:space="0" w:color="auto"/>
              <w:bottom w:val="single" w:sz="6" w:space="0" w:color="auto"/>
              <w:right w:val="single" w:sz="6" w:space="0" w:color="auto"/>
            </w:tcBorders>
          </w:tcPr>
          <w:p w:rsidR="00B674C4" w:rsidRPr="00B6627B" w:rsidRDefault="00B674C4" w:rsidP="00A37297">
            <w:pPr>
              <w:tabs>
                <w:tab w:val="clear" w:pos="425"/>
              </w:tabs>
              <w:rPr>
                <w:sz w:val="18"/>
                <w:szCs w:val="18"/>
              </w:rPr>
            </w:pPr>
            <w:r w:rsidRPr="00B6627B">
              <w:rPr>
                <w:sz w:val="18"/>
                <w:szCs w:val="18"/>
              </w:rPr>
              <w:lastRenderedPageBreak/>
              <w:t>Winkler-Methode</w:t>
            </w:r>
          </w:p>
          <w:p w:rsidR="00B674C4" w:rsidRPr="00B6627B" w:rsidRDefault="00B674C4" w:rsidP="00A37297">
            <w:pPr>
              <w:tabs>
                <w:tab w:val="clear" w:pos="425"/>
              </w:tabs>
              <w:rPr>
                <w:sz w:val="18"/>
                <w:szCs w:val="18"/>
              </w:rPr>
            </w:pPr>
            <w:r w:rsidRPr="00B6627B">
              <w:rPr>
                <w:sz w:val="18"/>
                <w:szCs w:val="18"/>
              </w:rPr>
              <w:t>oder</w:t>
            </w:r>
          </w:p>
          <w:p w:rsidR="00B674C4" w:rsidRPr="00B6627B" w:rsidRDefault="00B674C4" w:rsidP="00A37297">
            <w:pPr>
              <w:rPr>
                <w:sz w:val="18"/>
                <w:szCs w:val="18"/>
              </w:rPr>
            </w:pPr>
            <w:r w:rsidRPr="00B6627B">
              <w:rPr>
                <w:sz w:val="18"/>
                <w:szCs w:val="18"/>
              </w:rPr>
              <w:t>spezifische Elektroden (elektrochemisches Ver</w:t>
            </w:r>
            <w:r w:rsidRPr="00B6627B">
              <w:rPr>
                <w:sz w:val="18"/>
                <w:szCs w:val="18"/>
              </w:rPr>
              <w:softHyphen/>
              <w:t>fahren)</w:t>
            </w:r>
          </w:p>
        </w:tc>
        <w:tc>
          <w:tcPr>
            <w:tcW w:w="2126" w:type="dxa"/>
            <w:tcBorders>
              <w:top w:val="single" w:sz="6" w:space="0" w:color="auto"/>
              <w:left w:val="single" w:sz="6" w:space="0" w:color="auto"/>
              <w:bottom w:val="single" w:sz="6" w:space="0" w:color="auto"/>
              <w:right w:val="single" w:sz="6" w:space="0" w:color="auto"/>
            </w:tcBorders>
          </w:tcPr>
          <w:p w:rsidR="00B674C4" w:rsidRPr="00B6627B" w:rsidRDefault="00B674C4" w:rsidP="00A37297">
            <w:pPr>
              <w:tabs>
                <w:tab w:val="clear" w:pos="425"/>
              </w:tabs>
              <w:rPr>
                <w:sz w:val="18"/>
                <w:szCs w:val="18"/>
              </w:rPr>
            </w:pPr>
            <w:r w:rsidRPr="00B6627B">
              <w:rPr>
                <w:sz w:val="18"/>
                <w:szCs w:val="18"/>
              </w:rPr>
              <w:t>Monatlich mindestens eine Probe, die repr</w:t>
            </w:r>
            <w:r w:rsidRPr="00B6627B">
              <w:rPr>
                <w:sz w:val="18"/>
                <w:szCs w:val="18"/>
              </w:rPr>
              <w:t>ä</w:t>
            </w:r>
            <w:r w:rsidRPr="00B6627B">
              <w:rPr>
                <w:sz w:val="18"/>
                <w:szCs w:val="18"/>
              </w:rPr>
              <w:t>sen</w:t>
            </w:r>
            <w:r w:rsidRPr="00B6627B">
              <w:rPr>
                <w:sz w:val="18"/>
                <w:szCs w:val="18"/>
              </w:rPr>
              <w:softHyphen/>
              <w:t>tativ für niedrigen Sauer</w:t>
            </w:r>
            <w:r w:rsidRPr="00B6627B">
              <w:rPr>
                <w:sz w:val="18"/>
                <w:szCs w:val="18"/>
              </w:rPr>
              <w:softHyphen/>
              <w:t>stoffgehalt am Tag der Probenahme ist. Wenn jedoch stärkere tägliche Änderungen vermutet werden, sind täglich min</w:t>
            </w:r>
            <w:r w:rsidRPr="00B6627B">
              <w:rPr>
                <w:sz w:val="18"/>
                <w:szCs w:val="18"/>
              </w:rPr>
              <w:softHyphen/>
              <w:t>destens zwei Proben zu entnehmen.</w:t>
            </w:r>
          </w:p>
        </w:tc>
        <w:tc>
          <w:tcPr>
            <w:tcW w:w="3160" w:type="dxa"/>
            <w:tcBorders>
              <w:top w:val="single" w:sz="6" w:space="0" w:color="auto"/>
              <w:left w:val="single" w:sz="6" w:space="0" w:color="auto"/>
              <w:bottom w:val="single" w:sz="6" w:space="0" w:color="auto"/>
              <w:right w:val="single" w:sz="6" w:space="0" w:color="auto"/>
            </w:tcBorders>
          </w:tcPr>
          <w:p w:rsidR="00B674C4" w:rsidRPr="00B6627B" w:rsidRDefault="00B674C4" w:rsidP="00A37297">
            <w:pPr>
              <w:jc w:val="left"/>
              <w:rPr>
                <w:sz w:val="18"/>
                <w:szCs w:val="18"/>
              </w:rPr>
            </w:pPr>
          </w:p>
        </w:tc>
      </w:tr>
      <w:tr w:rsidR="00B674C4" w:rsidRPr="00B6627B">
        <w:tc>
          <w:tcPr>
            <w:tcW w:w="1418" w:type="dxa"/>
            <w:tcBorders>
              <w:top w:val="single" w:sz="6" w:space="0" w:color="auto"/>
              <w:left w:val="single" w:sz="6" w:space="0" w:color="auto"/>
              <w:bottom w:val="single" w:sz="6" w:space="0" w:color="auto"/>
              <w:right w:val="single" w:sz="6" w:space="0" w:color="auto"/>
            </w:tcBorders>
          </w:tcPr>
          <w:p w:rsidR="00B674C4" w:rsidRPr="00B6627B" w:rsidRDefault="00B674C4" w:rsidP="00A37297">
            <w:pPr>
              <w:tabs>
                <w:tab w:val="clear" w:pos="425"/>
              </w:tabs>
              <w:ind w:left="426" w:hanging="426"/>
              <w:rPr>
                <w:sz w:val="18"/>
                <w:szCs w:val="18"/>
              </w:rPr>
            </w:pPr>
            <w:r w:rsidRPr="00B6627B">
              <w:rPr>
                <w:sz w:val="18"/>
                <w:szCs w:val="18"/>
              </w:rPr>
              <w:lastRenderedPageBreak/>
              <w:t>3.</w:t>
            </w:r>
            <w:r w:rsidRPr="00B6627B">
              <w:rPr>
                <w:sz w:val="18"/>
                <w:szCs w:val="18"/>
              </w:rPr>
              <w:tab/>
              <w:t>pH</w:t>
            </w:r>
          </w:p>
        </w:tc>
        <w:tc>
          <w:tcPr>
            <w:tcW w:w="1364" w:type="dxa"/>
            <w:tcBorders>
              <w:top w:val="single" w:sz="6" w:space="0" w:color="auto"/>
              <w:left w:val="nil"/>
              <w:bottom w:val="single" w:sz="6" w:space="0" w:color="auto"/>
              <w:right w:val="single" w:sz="6" w:space="0" w:color="auto"/>
            </w:tcBorders>
          </w:tcPr>
          <w:p w:rsidR="00B674C4" w:rsidRPr="00B6627B" w:rsidRDefault="00B674C4" w:rsidP="00A37297">
            <w:pPr>
              <w:tabs>
                <w:tab w:val="clear" w:pos="425"/>
              </w:tabs>
              <w:ind w:left="383" w:hanging="383"/>
              <w:rPr>
                <w:sz w:val="18"/>
                <w:szCs w:val="18"/>
              </w:rPr>
            </w:pPr>
          </w:p>
        </w:tc>
        <w:tc>
          <w:tcPr>
            <w:tcW w:w="1364" w:type="dxa"/>
            <w:tcBorders>
              <w:top w:val="single" w:sz="6" w:space="0" w:color="auto"/>
              <w:left w:val="nil"/>
              <w:bottom w:val="single" w:sz="6" w:space="0" w:color="auto"/>
              <w:right w:val="single" w:sz="6" w:space="0" w:color="auto"/>
            </w:tcBorders>
          </w:tcPr>
          <w:p w:rsidR="00B674C4" w:rsidRPr="00B6627B" w:rsidRDefault="00B674C4" w:rsidP="00A37297">
            <w:pPr>
              <w:tabs>
                <w:tab w:val="clear" w:pos="425"/>
              </w:tabs>
              <w:ind w:left="383" w:hanging="383"/>
              <w:rPr>
                <w:sz w:val="18"/>
                <w:szCs w:val="18"/>
              </w:rPr>
            </w:pPr>
            <w:r w:rsidRPr="00B6627B">
              <w:rPr>
                <w:sz w:val="18"/>
                <w:szCs w:val="18"/>
              </w:rPr>
              <w:t xml:space="preserve">6-9 (0) </w:t>
            </w:r>
            <w:r w:rsidRPr="00B6627B">
              <w:rPr>
                <w:sz w:val="18"/>
                <w:szCs w:val="18"/>
                <w:vertAlign w:val="superscript"/>
              </w:rPr>
              <w:t>1)</w:t>
            </w:r>
          </w:p>
        </w:tc>
        <w:tc>
          <w:tcPr>
            <w:tcW w:w="1364" w:type="dxa"/>
            <w:tcBorders>
              <w:top w:val="single" w:sz="6" w:space="0" w:color="auto"/>
              <w:left w:val="nil"/>
              <w:bottom w:val="single" w:sz="6" w:space="0" w:color="auto"/>
              <w:right w:val="single" w:sz="6" w:space="0" w:color="auto"/>
            </w:tcBorders>
          </w:tcPr>
          <w:p w:rsidR="00B674C4" w:rsidRPr="00B6627B" w:rsidRDefault="00B674C4" w:rsidP="00A37297">
            <w:pPr>
              <w:tabs>
                <w:tab w:val="clear" w:pos="425"/>
              </w:tabs>
              <w:ind w:left="383" w:hanging="383"/>
              <w:rPr>
                <w:sz w:val="18"/>
                <w:szCs w:val="18"/>
              </w:rPr>
            </w:pPr>
          </w:p>
        </w:tc>
        <w:tc>
          <w:tcPr>
            <w:tcW w:w="1364" w:type="dxa"/>
            <w:tcBorders>
              <w:top w:val="single" w:sz="6" w:space="0" w:color="auto"/>
              <w:left w:val="nil"/>
              <w:bottom w:val="single" w:sz="6" w:space="0" w:color="auto"/>
              <w:right w:val="single" w:sz="6" w:space="0" w:color="auto"/>
            </w:tcBorders>
          </w:tcPr>
          <w:p w:rsidR="00B674C4" w:rsidRPr="00B6627B" w:rsidRDefault="00B674C4" w:rsidP="00A37297">
            <w:pPr>
              <w:tabs>
                <w:tab w:val="clear" w:pos="425"/>
              </w:tabs>
              <w:ind w:left="383" w:hanging="383"/>
              <w:rPr>
                <w:sz w:val="18"/>
                <w:szCs w:val="18"/>
              </w:rPr>
            </w:pPr>
            <w:r w:rsidRPr="00B6627B">
              <w:rPr>
                <w:sz w:val="18"/>
                <w:szCs w:val="18"/>
              </w:rPr>
              <w:t xml:space="preserve">6-9 (0) </w:t>
            </w:r>
            <w:r w:rsidRPr="00B6627B">
              <w:rPr>
                <w:sz w:val="18"/>
                <w:szCs w:val="18"/>
                <w:vertAlign w:val="superscript"/>
              </w:rPr>
              <w:t>1)</w:t>
            </w:r>
          </w:p>
        </w:tc>
        <w:tc>
          <w:tcPr>
            <w:tcW w:w="2268" w:type="dxa"/>
            <w:tcBorders>
              <w:top w:val="single" w:sz="6" w:space="0" w:color="auto"/>
              <w:left w:val="single" w:sz="6" w:space="0" w:color="auto"/>
              <w:bottom w:val="single" w:sz="6" w:space="0" w:color="auto"/>
              <w:right w:val="single" w:sz="6" w:space="0" w:color="auto"/>
            </w:tcBorders>
          </w:tcPr>
          <w:p w:rsidR="00B674C4" w:rsidRPr="00B6627B" w:rsidRDefault="00B674C4" w:rsidP="00A37297">
            <w:pPr>
              <w:tabs>
                <w:tab w:val="clear" w:pos="425"/>
              </w:tabs>
              <w:rPr>
                <w:sz w:val="18"/>
                <w:szCs w:val="18"/>
              </w:rPr>
            </w:pPr>
            <w:r w:rsidRPr="00B6627B">
              <w:rPr>
                <w:sz w:val="18"/>
                <w:szCs w:val="18"/>
              </w:rPr>
              <w:t>Elektrometrie;</w:t>
            </w:r>
          </w:p>
          <w:p w:rsidR="00B674C4" w:rsidRPr="00B6627B" w:rsidRDefault="00B674C4" w:rsidP="00A37297">
            <w:pPr>
              <w:tabs>
                <w:tab w:val="clear" w:pos="425"/>
              </w:tabs>
              <w:jc w:val="left"/>
              <w:rPr>
                <w:sz w:val="18"/>
                <w:szCs w:val="18"/>
              </w:rPr>
            </w:pPr>
            <w:r w:rsidRPr="00B6627B">
              <w:rPr>
                <w:sz w:val="18"/>
                <w:szCs w:val="18"/>
              </w:rPr>
              <w:t>Eichung mittels zweier Pufferlösungen mit be</w:t>
            </w:r>
            <w:r w:rsidRPr="00B6627B">
              <w:rPr>
                <w:sz w:val="18"/>
                <w:szCs w:val="18"/>
              </w:rPr>
              <w:softHyphen/>
              <w:t>kanntem pH-Wert in der Nähe und vorzugsweise beiderseits des zu mes</w:t>
            </w:r>
            <w:r w:rsidRPr="00B6627B">
              <w:rPr>
                <w:sz w:val="18"/>
                <w:szCs w:val="18"/>
              </w:rPr>
              <w:softHyphen/>
              <w:t>senden pH-Werts</w:t>
            </w:r>
          </w:p>
        </w:tc>
        <w:tc>
          <w:tcPr>
            <w:tcW w:w="2126" w:type="dxa"/>
            <w:tcBorders>
              <w:top w:val="single" w:sz="6" w:space="0" w:color="auto"/>
              <w:left w:val="single" w:sz="6" w:space="0" w:color="auto"/>
              <w:bottom w:val="single" w:sz="6" w:space="0" w:color="auto"/>
              <w:right w:val="single" w:sz="6" w:space="0" w:color="auto"/>
            </w:tcBorders>
          </w:tcPr>
          <w:p w:rsidR="00B674C4" w:rsidRPr="00B6627B" w:rsidRDefault="00B674C4" w:rsidP="00A37297">
            <w:pPr>
              <w:tabs>
                <w:tab w:val="clear" w:pos="425"/>
              </w:tabs>
              <w:rPr>
                <w:sz w:val="18"/>
                <w:szCs w:val="18"/>
              </w:rPr>
            </w:pPr>
            <w:r w:rsidRPr="00B6627B">
              <w:rPr>
                <w:sz w:val="18"/>
                <w:szCs w:val="18"/>
              </w:rPr>
              <w:t>Monatlich</w:t>
            </w:r>
          </w:p>
        </w:tc>
        <w:tc>
          <w:tcPr>
            <w:tcW w:w="3160" w:type="dxa"/>
            <w:tcBorders>
              <w:top w:val="single" w:sz="6" w:space="0" w:color="auto"/>
              <w:left w:val="single" w:sz="6" w:space="0" w:color="auto"/>
              <w:bottom w:val="single" w:sz="6" w:space="0" w:color="auto"/>
              <w:right w:val="single" w:sz="6" w:space="0" w:color="auto"/>
            </w:tcBorders>
          </w:tcPr>
          <w:p w:rsidR="00B674C4" w:rsidRPr="00B6627B" w:rsidRDefault="00B674C4" w:rsidP="00A37297">
            <w:pPr>
              <w:jc w:val="left"/>
              <w:rPr>
                <w:sz w:val="18"/>
                <w:szCs w:val="18"/>
              </w:rPr>
            </w:pPr>
          </w:p>
        </w:tc>
      </w:tr>
      <w:tr w:rsidR="00B674C4" w:rsidRPr="00B6627B">
        <w:tc>
          <w:tcPr>
            <w:tcW w:w="1418" w:type="dxa"/>
            <w:tcBorders>
              <w:top w:val="single" w:sz="6" w:space="0" w:color="auto"/>
              <w:left w:val="single" w:sz="6" w:space="0" w:color="auto"/>
              <w:bottom w:val="single" w:sz="6" w:space="0" w:color="auto"/>
              <w:right w:val="single" w:sz="6" w:space="0" w:color="auto"/>
            </w:tcBorders>
          </w:tcPr>
          <w:p w:rsidR="00B674C4" w:rsidRPr="00B6627B" w:rsidRDefault="00B674C4" w:rsidP="00A37297">
            <w:pPr>
              <w:tabs>
                <w:tab w:val="clear" w:pos="425"/>
              </w:tabs>
              <w:ind w:left="284" w:hanging="284"/>
              <w:rPr>
                <w:sz w:val="18"/>
                <w:szCs w:val="18"/>
              </w:rPr>
            </w:pPr>
            <w:r w:rsidRPr="00B6627B">
              <w:rPr>
                <w:sz w:val="18"/>
                <w:szCs w:val="18"/>
              </w:rPr>
              <w:t>4.</w:t>
            </w:r>
            <w:r w:rsidRPr="00B6627B">
              <w:rPr>
                <w:sz w:val="18"/>
                <w:szCs w:val="18"/>
              </w:rPr>
              <w:tab/>
              <w:t>Schwebsto</w:t>
            </w:r>
            <w:r w:rsidRPr="00B6627B">
              <w:rPr>
                <w:sz w:val="18"/>
                <w:szCs w:val="18"/>
              </w:rPr>
              <w:t>f</w:t>
            </w:r>
            <w:r w:rsidRPr="00B6627B">
              <w:rPr>
                <w:sz w:val="18"/>
                <w:szCs w:val="18"/>
              </w:rPr>
              <w:t>fe (mg/l)</w:t>
            </w:r>
          </w:p>
        </w:tc>
        <w:tc>
          <w:tcPr>
            <w:tcW w:w="1364" w:type="dxa"/>
            <w:tcBorders>
              <w:top w:val="single" w:sz="6" w:space="0" w:color="auto"/>
              <w:left w:val="nil"/>
              <w:bottom w:val="single" w:sz="6" w:space="0" w:color="auto"/>
              <w:right w:val="single" w:sz="6" w:space="0" w:color="auto"/>
            </w:tcBorders>
          </w:tcPr>
          <w:p w:rsidR="00B674C4" w:rsidRPr="00B6627B" w:rsidRDefault="00B674C4" w:rsidP="00A37297">
            <w:pPr>
              <w:tabs>
                <w:tab w:val="clear" w:pos="425"/>
              </w:tabs>
              <w:ind w:left="383" w:hanging="383"/>
              <w:rPr>
                <w:sz w:val="18"/>
                <w:szCs w:val="18"/>
              </w:rPr>
            </w:pPr>
            <w:r w:rsidRPr="00B6627B">
              <w:rPr>
                <w:rFonts w:cs="Arial"/>
                <w:sz w:val="18"/>
                <w:szCs w:val="18"/>
              </w:rPr>
              <w:t>≤</w:t>
            </w:r>
            <w:r w:rsidRPr="00B6627B">
              <w:rPr>
                <w:sz w:val="18"/>
                <w:szCs w:val="18"/>
              </w:rPr>
              <w:t xml:space="preserve"> 25 (0)</w:t>
            </w:r>
          </w:p>
        </w:tc>
        <w:tc>
          <w:tcPr>
            <w:tcW w:w="1364" w:type="dxa"/>
            <w:tcBorders>
              <w:top w:val="single" w:sz="6" w:space="0" w:color="auto"/>
              <w:left w:val="nil"/>
              <w:bottom w:val="single" w:sz="6" w:space="0" w:color="auto"/>
              <w:right w:val="single" w:sz="6" w:space="0" w:color="auto"/>
            </w:tcBorders>
          </w:tcPr>
          <w:p w:rsidR="00B674C4" w:rsidRPr="00B6627B" w:rsidRDefault="00B674C4" w:rsidP="00A37297">
            <w:pPr>
              <w:tabs>
                <w:tab w:val="clear" w:pos="425"/>
              </w:tabs>
              <w:ind w:left="383" w:hanging="383"/>
              <w:rPr>
                <w:sz w:val="18"/>
                <w:szCs w:val="18"/>
              </w:rPr>
            </w:pPr>
          </w:p>
        </w:tc>
        <w:tc>
          <w:tcPr>
            <w:tcW w:w="1364" w:type="dxa"/>
            <w:tcBorders>
              <w:top w:val="single" w:sz="6" w:space="0" w:color="auto"/>
              <w:left w:val="nil"/>
              <w:bottom w:val="single" w:sz="6" w:space="0" w:color="auto"/>
              <w:right w:val="single" w:sz="6" w:space="0" w:color="auto"/>
            </w:tcBorders>
          </w:tcPr>
          <w:p w:rsidR="00B674C4" w:rsidRPr="00B6627B" w:rsidRDefault="00B674C4" w:rsidP="00A37297">
            <w:pPr>
              <w:tabs>
                <w:tab w:val="clear" w:pos="425"/>
              </w:tabs>
              <w:ind w:left="383" w:hanging="383"/>
              <w:rPr>
                <w:sz w:val="18"/>
                <w:szCs w:val="18"/>
              </w:rPr>
            </w:pPr>
            <w:r w:rsidRPr="00B6627B">
              <w:rPr>
                <w:rFonts w:cs="Arial"/>
                <w:sz w:val="18"/>
                <w:szCs w:val="18"/>
              </w:rPr>
              <w:t>≤</w:t>
            </w:r>
            <w:r w:rsidRPr="00B6627B">
              <w:rPr>
                <w:sz w:val="18"/>
                <w:szCs w:val="18"/>
              </w:rPr>
              <w:t xml:space="preserve"> 25 (0)</w:t>
            </w:r>
          </w:p>
        </w:tc>
        <w:tc>
          <w:tcPr>
            <w:tcW w:w="1364" w:type="dxa"/>
            <w:tcBorders>
              <w:top w:val="single" w:sz="6" w:space="0" w:color="auto"/>
              <w:left w:val="nil"/>
              <w:bottom w:val="single" w:sz="6" w:space="0" w:color="auto"/>
              <w:right w:val="single" w:sz="6" w:space="0" w:color="auto"/>
            </w:tcBorders>
          </w:tcPr>
          <w:p w:rsidR="00B674C4" w:rsidRPr="00B6627B" w:rsidRDefault="00B674C4" w:rsidP="00A37297">
            <w:pPr>
              <w:tabs>
                <w:tab w:val="clear" w:pos="425"/>
              </w:tabs>
              <w:ind w:left="383" w:hanging="383"/>
              <w:rPr>
                <w:sz w:val="18"/>
                <w:szCs w:val="18"/>
              </w:rPr>
            </w:pPr>
          </w:p>
        </w:tc>
        <w:tc>
          <w:tcPr>
            <w:tcW w:w="2268" w:type="dxa"/>
            <w:tcBorders>
              <w:top w:val="single" w:sz="6" w:space="0" w:color="auto"/>
              <w:left w:val="single" w:sz="6" w:space="0" w:color="auto"/>
              <w:bottom w:val="single" w:sz="6" w:space="0" w:color="auto"/>
              <w:right w:val="single" w:sz="6" w:space="0" w:color="auto"/>
            </w:tcBorders>
          </w:tcPr>
          <w:p w:rsidR="00B674C4" w:rsidRPr="00B6627B" w:rsidRDefault="00B674C4" w:rsidP="00A37297">
            <w:pPr>
              <w:tabs>
                <w:tab w:val="clear" w:pos="425"/>
              </w:tabs>
              <w:jc w:val="left"/>
              <w:rPr>
                <w:sz w:val="18"/>
                <w:szCs w:val="18"/>
              </w:rPr>
            </w:pPr>
            <w:r w:rsidRPr="00B6627B">
              <w:rPr>
                <w:sz w:val="18"/>
                <w:szCs w:val="18"/>
              </w:rPr>
              <w:t>Filtration über Fil</w:t>
            </w:r>
            <w:r w:rsidRPr="00B6627B">
              <w:rPr>
                <w:sz w:val="18"/>
                <w:szCs w:val="18"/>
              </w:rPr>
              <w:softHyphen/>
              <w:t>termem</w:t>
            </w:r>
            <w:r>
              <w:rPr>
                <w:sz w:val="18"/>
                <w:szCs w:val="18"/>
              </w:rPr>
              <w:softHyphen/>
            </w:r>
            <w:r w:rsidRPr="00B6627B">
              <w:rPr>
                <w:sz w:val="18"/>
                <w:szCs w:val="18"/>
              </w:rPr>
              <w:t>bran 0,45 µm oder Zentr</w:t>
            </w:r>
            <w:r w:rsidRPr="00B6627B">
              <w:rPr>
                <w:sz w:val="18"/>
                <w:szCs w:val="18"/>
              </w:rPr>
              <w:t>i</w:t>
            </w:r>
            <w:r w:rsidRPr="00B6627B">
              <w:rPr>
                <w:sz w:val="18"/>
                <w:szCs w:val="18"/>
              </w:rPr>
              <w:t>fugieren (Mindestzeit 5 Minuten, durchschnittliche Be</w:t>
            </w:r>
            <w:r w:rsidRPr="00B6627B">
              <w:rPr>
                <w:sz w:val="18"/>
                <w:szCs w:val="18"/>
              </w:rPr>
              <w:softHyphen/>
              <w:t>schleuni</w:t>
            </w:r>
            <w:r>
              <w:rPr>
                <w:sz w:val="18"/>
                <w:szCs w:val="18"/>
              </w:rPr>
              <w:softHyphen/>
            </w:r>
            <w:r w:rsidRPr="00B6627B">
              <w:rPr>
                <w:sz w:val="18"/>
                <w:szCs w:val="18"/>
              </w:rPr>
              <w:t>gung 2800-3200 g) Trocknen bei 105°C und Wiegen.</w:t>
            </w:r>
          </w:p>
        </w:tc>
        <w:tc>
          <w:tcPr>
            <w:tcW w:w="2126" w:type="dxa"/>
            <w:tcBorders>
              <w:top w:val="single" w:sz="6" w:space="0" w:color="auto"/>
              <w:left w:val="single" w:sz="6" w:space="0" w:color="auto"/>
              <w:bottom w:val="single" w:sz="6" w:space="0" w:color="auto"/>
              <w:right w:val="single" w:sz="6" w:space="0" w:color="auto"/>
            </w:tcBorders>
          </w:tcPr>
          <w:p w:rsidR="00B674C4" w:rsidRPr="00B6627B" w:rsidRDefault="00B674C4" w:rsidP="00A37297">
            <w:pPr>
              <w:tabs>
                <w:tab w:val="clear" w:pos="425"/>
              </w:tabs>
              <w:rPr>
                <w:sz w:val="18"/>
                <w:szCs w:val="18"/>
              </w:rPr>
            </w:pPr>
          </w:p>
        </w:tc>
        <w:tc>
          <w:tcPr>
            <w:tcW w:w="3160" w:type="dxa"/>
            <w:tcBorders>
              <w:top w:val="single" w:sz="6" w:space="0" w:color="auto"/>
              <w:left w:val="single" w:sz="6" w:space="0" w:color="auto"/>
              <w:bottom w:val="single" w:sz="6" w:space="0" w:color="auto"/>
              <w:right w:val="single" w:sz="6" w:space="0" w:color="auto"/>
            </w:tcBorders>
          </w:tcPr>
          <w:p w:rsidR="00B674C4" w:rsidRPr="00B6627B" w:rsidRDefault="00B674C4" w:rsidP="00A37297">
            <w:pPr>
              <w:tabs>
                <w:tab w:val="clear" w:pos="425"/>
              </w:tabs>
              <w:rPr>
                <w:sz w:val="18"/>
                <w:szCs w:val="18"/>
              </w:rPr>
            </w:pPr>
            <w:r w:rsidRPr="00B6627B">
              <w:rPr>
                <w:sz w:val="18"/>
                <w:szCs w:val="18"/>
              </w:rPr>
              <w:t>Die angegebenen Werte sind durc</w:t>
            </w:r>
            <w:r w:rsidRPr="00B6627B">
              <w:rPr>
                <w:sz w:val="18"/>
                <w:szCs w:val="18"/>
              </w:rPr>
              <w:t>h</w:t>
            </w:r>
            <w:r w:rsidRPr="00B6627B">
              <w:rPr>
                <w:sz w:val="18"/>
                <w:szCs w:val="18"/>
              </w:rPr>
              <w:t>schnittliche Konzentrationen und gelten nicht für Schweb</w:t>
            </w:r>
            <w:r w:rsidRPr="00B6627B">
              <w:rPr>
                <w:sz w:val="18"/>
                <w:szCs w:val="18"/>
              </w:rPr>
              <w:softHyphen/>
              <w:t>stoffe mit schädlichen chemischen Eigenschaf</w:t>
            </w:r>
            <w:r w:rsidRPr="00B6627B">
              <w:rPr>
                <w:sz w:val="18"/>
                <w:szCs w:val="18"/>
              </w:rPr>
              <w:softHyphen/>
              <w:t>ten. Bei Hochwasser kann mit b</w:t>
            </w:r>
            <w:r w:rsidRPr="00B6627B">
              <w:rPr>
                <w:sz w:val="18"/>
                <w:szCs w:val="18"/>
              </w:rPr>
              <w:t>e</w:t>
            </w:r>
            <w:r w:rsidRPr="00B6627B">
              <w:rPr>
                <w:sz w:val="18"/>
                <w:szCs w:val="18"/>
              </w:rPr>
              <w:t>sonders ho</w:t>
            </w:r>
            <w:r w:rsidRPr="00B6627B">
              <w:rPr>
                <w:sz w:val="18"/>
                <w:szCs w:val="18"/>
              </w:rPr>
              <w:softHyphen/>
              <w:t>hen Konzentrationen gerechnet werden.</w:t>
            </w:r>
          </w:p>
        </w:tc>
      </w:tr>
      <w:tr w:rsidR="00B674C4" w:rsidRPr="00B6627B">
        <w:tc>
          <w:tcPr>
            <w:tcW w:w="1418" w:type="dxa"/>
            <w:tcBorders>
              <w:top w:val="single" w:sz="6" w:space="0" w:color="auto"/>
              <w:left w:val="single" w:sz="6" w:space="0" w:color="auto"/>
              <w:bottom w:val="single" w:sz="6" w:space="0" w:color="auto"/>
              <w:right w:val="single" w:sz="6" w:space="0" w:color="auto"/>
            </w:tcBorders>
          </w:tcPr>
          <w:p w:rsidR="00B674C4" w:rsidRPr="00B6627B" w:rsidRDefault="00B674C4" w:rsidP="00A37297">
            <w:pPr>
              <w:tabs>
                <w:tab w:val="clear" w:pos="425"/>
              </w:tabs>
              <w:ind w:left="284" w:hanging="284"/>
              <w:rPr>
                <w:sz w:val="18"/>
                <w:szCs w:val="18"/>
              </w:rPr>
            </w:pPr>
            <w:r w:rsidRPr="00B6627B">
              <w:rPr>
                <w:sz w:val="18"/>
                <w:szCs w:val="18"/>
              </w:rPr>
              <w:t>5.</w:t>
            </w:r>
            <w:r w:rsidRPr="00B6627B">
              <w:rPr>
                <w:sz w:val="18"/>
                <w:szCs w:val="18"/>
              </w:rPr>
              <w:tab/>
              <w:t>BSB</w:t>
            </w:r>
            <w:r w:rsidRPr="00B6627B">
              <w:rPr>
                <w:sz w:val="18"/>
                <w:szCs w:val="18"/>
                <w:vertAlign w:val="subscript"/>
              </w:rPr>
              <w:t>5</w:t>
            </w:r>
            <w:r w:rsidRPr="00B6627B">
              <w:rPr>
                <w:sz w:val="18"/>
                <w:szCs w:val="18"/>
              </w:rPr>
              <w:t xml:space="preserve"> </w:t>
            </w:r>
            <w:r>
              <w:rPr>
                <w:sz w:val="18"/>
                <w:szCs w:val="18"/>
              </w:rPr>
              <w:br/>
            </w:r>
            <w:r w:rsidRPr="00B6627B">
              <w:rPr>
                <w:sz w:val="18"/>
                <w:szCs w:val="18"/>
              </w:rPr>
              <w:t>(mg/l O</w:t>
            </w:r>
            <w:r w:rsidRPr="00B6627B">
              <w:rPr>
                <w:sz w:val="18"/>
                <w:szCs w:val="18"/>
                <w:vertAlign w:val="subscript"/>
              </w:rPr>
              <w:t>2</w:t>
            </w:r>
            <w:r w:rsidRPr="00B6627B">
              <w:rPr>
                <w:sz w:val="18"/>
                <w:szCs w:val="18"/>
              </w:rPr>
              <w:t>)</w:t>
            </w:r>
          </w:p>
        </w:tc>
        <w:tc>
          <w:tcPr>
            <w:tcW w:w="1364" w:type="dxa"/>
            <w:tcBorders>
              <w:top w:val="single" w:sz="6" w:space="0" w:color="auto"/>
              <w:left w:val="nil"/>
              <w:bottom w:val="single" w:sz="6" w:space="0" w:color="auto"/>
              <w:right w:val="single" w:sz="6" w:space="0" w:color="auto"/>
            </w:tcBorders>
          </w:tcPr>
          <w:p w:rsidR="00B674C4" w:rsidRPr="00B6627B" w:rsidRDefault="00B674C4" w:rsidP="00A37297">
            <w:pPr>
              <w:tabs>
                <w:tab w:val="clear" w:pos="425"/>
              </w:tabs>
              <w:ind w:left="383" w:hanging="383"/>
              <w:rPr>
                <w:sz w:val="18"/>
                <w:szCs w:val="18"/>
              </w:rPr>
            </w:pPr>
            <w:r w:rsidRPr="00B6627B">
              <w:rPr>
                <w:rFonts w:cs="Arial"/>
                <w:sz w:val="18"/>
                <w:szCs w:val="18"/>
              </w:rPr>
              <w:t>≤</w:t>
            </w:r>
            <w:r w:rsidRPr="00B6627B">
              <w:rPr>
                <w:sz w:val="18"/>
                <w:szCs w:val="18"/>
              </w:rPr>
              <w:t xml:space="preserve"> 3</w:t>
            </w:r>
          </w:p>
        </w:tc>
        <w:tc>
          <w:tcPr>
            <w:tcW w:w="1364" w:type="dxa"/>
            <w:tcBorders>
              <w:top w:val="single" w:sz="6" w:space="0" w:color="auto"/>
              <w:left w:val="nil"/>
              <w:bottom w:val="single" w:sz="6" w:space="0" w:color="auto"/>
              <w:right w:val="single" w:sz="6" w:space="0" w:color="auto"/>
            </w:tcBorders>
          </w:tcPr>
          <w:p w:rsidR="00B674C4" w:rsidRPr="00B6627B" w:rsidRDefault="00B674C4" w:rsidP="00A37297">
            <w:pPr>
              <w:tabs>
                <w:tab w:val="clear" w:pos="425"/>
              </w:tabs>
              <w:ind w:left="383" w:hanging="383"/>
              <w:rPr>
                <w:sz w:val="18"/>
                <w:szCs w:val="18"/>
              </w:rPr>
            </w:pPr>
          </w:p>
        </w:tc>
        <w:tc>
          <w:tcPr>
            <w:tcW w:w="1364" w:type="dxa"/>
            <w:tcBorders>
              <w:top w:val="single" w:sz="6" w:space="0" w:color="auto"/>
              <w:left w:val="nil"/>
              <w:bottom w:val="single" w:sz="6" w:space="0" w:color="auto"/>
              <w:right w:val="single" w:sz="6" w:space="0" w:color="auto"/>
            </w:tcBorders>
          </w:tcPr>
          <w:p w:rsidR="00B674C4" w:rsidRPr="00B6627B" w:rsidRDefault="00B674C4" w:rsidP="00A37297">
            <w:pPr>
              <w:tabs>
                <w:tab w:val="clear" w:pos="425"/>
              </w:tabs>
              <w:ind w:left="383" w:hanging="383"/>
              <w:rPr>
                <w:sz w:val="18"/>
                <w:szCs w:val="18"/>
              </w:rPr>
            </w:pPr>
            <w:r w:rsidRPr="00B6627B">
              <w:rPr>
                <w:rFonts w:cs="Arial"/>
                <w:sz w:val="18"/>
                <w:szCs w:val="18"/>
              </w:rPr>
              <w:t>≥</w:t>
            </w:r>
            <w:r w:rsidRPr="00B6627B">
              <w:rPr>
                <w:sz w:val="18"/>
                <w:szCs w:val="18"/>
              </w:rPr>
              <w:t xml:space="preserve"> 6</w:t>
            </w:r>
          </w:p>
        </w:tc>
        <w:tc>
          <w:tcPr>
            <w:tcW w:w="1364" w:type="dxa"/>
            <w:tcBorders>
              <w:top w:val="single" w:sz="6" w:space="0" w:color="auto"/>
              <w:left w:val="nil"/>
              <w:bottom w:val="single" w:sz="6" w:space="0" w:color="auto"/>
              <w:right w:val="single" w:sz="6" w:space="0" w:color="auto"/>
            </w:tcBorders>
          </w:tcPr>
          <w:p w:rsidR="00B674C4" w:rsidRPr="00B6627B" w:rsidRDefault="00B674C4" w:rsidP="00A37297">
            <w:pPr>
              <w:tabs>
                <w:tab w:val="clear" w:pos="425"/>
              </w:tabs>
              <w:ind w:left="383" w:hanging="383"/>
              <w:rPr>
                <w:sz w:val="18"/>
                <w:szCs w:val="18"/>
              </w:rPr>
            </w:pPr>
          </w:p>
        </w:tc>
        <w:tc>
          <w:tcPr>
            <w:tcW w:w="2268" w:type="dxa"/>
            <w:tcBorders>
              <w:top w:val="single" w:sz="6" w:space="0" w:color="auto"/>
              <w:left w:val="single" w:sz="6" w:space="0" w:color="auto"/>
              <w:bottom w:val="single" w:sz="6" w:space="0" w:color="auto"/>
              <w:right w:val="single" w:sz="6" w:space="0" w:color="auto"/>
            </w:tcBorders>
          </w:tcPr>
          <w:p w:rsidR="00B674C4" w:rsidRPr="00B6627B" w:rsidRDefault="00B674C4" w:rsidP="00A37297">
            <w:pPr>
              <w:tabs>
                <w:tab w:val="clear" w:pos="425"/>
              </w:tabs>
              <w:rPr>
                <w:sz w:val="18"/>
                <w:szCs w:val="18"/>
              </w:rPr>
            </w:pPr>
            <w:r w:rsidRPr="00B6627B">
              <w:rPr>
                <w:sz w:val="18"/>
                <w:szCs w:val="18"/>
              </w:rPr>
              <w:t>Bestimmung des O</w:t>
            </w:r>
            <w:r w:rsidRPr="00B6627B">
              <w:rPr>
                <w:sz w:val="18"/>
                <w:szCs w:val="18"/>
                <w:vertAlign w:val="subscript"/>
              </w:rPr>
              <w:t>2</w:t>
            </w:r>
            <w:r w:rsidRPr="00B6627B">
              <w:rPr>
                <w:sz w:val="18"/>
                <w:szCs w:val="18"/>
              </w:rPr>
              <w:t xml:space="preserve"> nach der Winkler-Methode vor und nach fünftägiger I</w:t>
            </w:r>
            <w:r w:rsidRPr="00B6627B">
              <w:rPr>
                <w:sz w:val="18"/>
                <w:szCs w:val="18"/>
              </w:rPr>
              <w:t>n</w:t>
            </w:r>
            <w:r w:rsidRPr="00B6627B">
              <w:rPr>
                <w:sz w:val="18"/>
                <w:szCs w:val="18"/>
              </w:rPr>
              <w:t>kubation bei völliger Du</w:t>
            </w:r>
            <w:r w:rsidRPr="00B6627B">
              <w:rPr>
                <w:sz w:val="18"/>
                <w:szCs w:val="18"/>
              </w:rPr>
              <w:t>n</w:t>
            </w:r>
            <w:r w:rsidRPr="00B6627B">
              <w:rPr>
                <w:sz w:val="18"/>
                <w:szCs w:val="18"/>
              </w:rPr>
              <w:t xml:space="preserve">kelheit bei 20° </w:t>
            </w:r>
            <w:r w:rsidRPr="00B6627B">
              <w:rPr>
                <w:sz w:val="18"/>
                <w:szCs w:val="18"/>
              </w:rPr>
              <w:sym w:font="Symbol" w:char="F0B1"/>
            </w:r>
            <w:r w:rsidRPr="00B6627B">
              <w:rPr>
                <w:sz w:val="18"/>
                <w:szCs w:val="18"/>
              </w:rPr>
              <w:t xml:space="preserve"> 1°C (die Nitrifikation sollte nicht verhindert werden.</w:t>
            </w:r>
          </w:p>
        </w:tc>
        <w:tc>
          <w:tcPr>
            <w:tcW w:w="2126" w:type="dxa"/>
            <w:tcBorders>
              <w:top w:val="single" w:sz="6" w:space="0" w:color="auto"/>
              <w:left w:val="single" w:sz="6" w:space="0" w:color="auto"/>
              <w:bottom w:val="single" w:sz="6" w:space="0" w:color="auto"/>
              <w:right w:val="single" w:sz="6" w:space="0" w:color="auto"/>
            </w:tcBorders>
          </w:tcPr>
          <w:p w:rsidR="00B674C4" w:rsidRPr="00B6627B" w:rsidRDefault="00B674C4" w:rsidP="00A37297">
            <w:pPr>
              <w:tabs>
                <w:tab w:val="clear" w:pos="425"/>
              </w:tabs>
              <w:rPr>
                <w:sz w:val="18"/>
                <w:szCs w:val="18"/>
              </w:rPr>
            </w:pPr>
          </w:p>
        </w:tc>
        <w:tc>
          <w:tcPr>
            <w:tcW w:w="3160" w:type="dxa"/>
            <w:tcBorders>
              <w:top w:val="single" w:sz="6" w:space="0" w:color="auto"/>
              <w:left w:val="single" w:sz="6" w:space="0" w:color="auto"/>
              <w:bottom w:val="single" w:sz="6" w:space="0" w:color="auto"/>
              <w:right w:val="single" w:sz="6" w:space="0" w:color="auto"/>
            </w:tcBorders>
          </w:tcPr>
          <w:p w:rsidR="00B674C4" w:rsidRPr="00B6627B" w:rsidRDefault="00B674C4" w:rsidP="00A37297">
            <w:pPr>
              <w:tabs>
                <w:tab w:val="clear" w:pos="425"/>
              </w:tabs>
              <w:rPr>
                <w:sz w:val="18"/>
                <w:szCs w:val="18"/>
              </w:rPr>
            </w:pPr>
          </w:p>
        </w:tc>
      </w:tr>
      <w:tr w:rsidR="00B674C4" w:rsidRPr="00B6627B">
        <w:tc>
          <w:tcPr>
            <w:tcW w:w="1418" w:type="dxa"/>
            <w:tcBorders>
              <w:top w:val="single" w:sz="6" w:space="0" w:color="auto"/>
              <w:left w:val="single" w:sz="6" w:space="0" w:color="auto"/>
              <w:bottom w:val="single" w:sz="6" w:space="0" w:color="auto"/>
              <w:right w:val="single" w:sz="6" w:space="0" w:color="auto"/>
            </w:tcBorders>
          </w:tcPr>
          <w:p w:rsidR="00B674C4" w:rsidRPr="00B6627B" w:rsidRDefault="00B674C4" w:rsidP="00A37297">
            <w:pPr>
              <w:tabs>
                <w:tab w:val="clear" w:pos="425"/>
              </w:tabs>
              <w:ind w:left="284" w:hanging="284"/>
              <w:rPr>
                <w:sz w:val="18"/>
                <w:szCs w:val="18"/>
              </w:rPr>
            </w:pPr>
            <w:r w:rsidRPr="00B6627B">
              <w:rPr>
                <w:sz w:val="18"/>
                <w:szCs w:val="18"/>
              </w:rPr>
              <w:t>6.</w:t>
            </w:r>
            <w:r w:rsidRPr="00B6627B">
              <w:rPr>
                <w:sz w:val="18"/>
                <w:szCs w:val="18"/>
              </w:rPr>
              <w:tab/>
              <w:t>G</w:t>
            </w:r>
            <w:r w:rsidRPr="00B6627B">
              <w:rPr>
                <w:sz w:val="18"/>
                <w:szCs w:val="18"/>
              </w:rPr>
              <w:t>e</w:t>
            </w:r>
            <w:r w:rsidRPr="00B6627B">
              <w:rPr>
                <w:sz w:val="18"/>
                <w:szCs w:val="18"/>
              </w:rPr>
              <w:t>samtpho</w:t>
            </w:r>
            <w:r w:rsidRPr="00B6627B">
              <w:rPr>
                <w:sz w:val="18"/>
                <w:szCs w:val="18"/>
              </w:rPr>
              <w:t>s</w:t>
            </w:r>
            <w:r w:rsidRPr="00B6627B">
              <w:rPr>
                <w:sz w:val="18"/>
                <w:szCs w:val="18"/>
              </w:rPr>
              <w:t>phor (mg/l P)</w:t>
            </w:r>
          </w:p>
        </w:tc>
        <w:tc>
          <w:tcPr>
            <w:tcW w:w="1364" w:type="dxa"/>
            <w:tcBorders>
              <w:top w:val="single" w:sz="6" w:space="0" w:color="auto"/>
              <w:left w:val="nil"/>
              <w:bottom w:val="single" w:sz="6" w:space="0" w:color="auto"/>
              <w:right w:val="single" w:sz="6" w:space="0" w:color="auto"/>
            </w:tcBorders>
          </w:tcPr>
          <w:p w:rsidR="00B674C4" w:rsidRPr="00B6627B" w:rsidRDefault="00B674C4" w:rsidP="00A37297">
            <w:pPr>
              <w:tabs>
                <w:tab w:val="clear" w:pos="425"/>
              </w:tabs>
              <w:ind w:left="383" w:hanging="383"/>
              <w:rPr>
                <w:rFonts w:cs="Arial"/>
                <w:sz w:val="18"/>
                <w:szCs w:val="18"/>
              </w:rPr>
            </w:pPr>
          </w:p>
        </w:tc>
        <w:tc>
          <w:tcPr>
            <w:tcW w:w="1364" w:type="dxa"/>
            <w:tcBorders>
              <w:top w:val="single" w:sz="6" w:space="0" w:color="auto"/>
              <w:left w:val="nil"/>
              <w:bottom w:val="single" w:sz="6" w:space="0" w:color="auto"/>
              <w:right w:val="single" w:sz="6" w:space="0" w:color="auto"/>
            </w:tcBorders>
          </w:tcPr>
          <w:p w:rsidR="00B674C4" w:rsidRPr="00B6627B" w:rsidRDefault="00B674C4" w:rsidP="00A37297">
            <w:pPr>
              <w:tabs>
                <w:tab w:val="clear" w:pos="425"/>
              </w:tabs>
              <w:ind w:left="383" w:hanging="383"/>
              <w:rPr>
                <w:sz w:val="18"/>
                <w:szCs w:val="18"/>
              </w:rPr>
            </w:pPr>
          </w:p>
        </w:tc>
        <w:tc>
          <w:tcPr>
            <w:tcW w:w="1364" w:type="dxa"/>
            <w:tcBorders>
              <w:top w:val="single" w:sz="6" w:space="0" w:color="auto"/>
              <w:left w:val="nil"/>
              <w:bottom w:val="single" w:sz="6" w:space="0" w:color="auto"/>
              <w:right w:val="single" w:sz="6" w:space="0" w:color="auto"/>
            </w:tcBorders>
          </w:tcPr>
          <w:p w:rsidR="00B674C4" w:rsidRPr="00B6627B" w:rsidRDefault="00B674C4" w:rsidP="00A37297">
            <w:pPr>
              <w:tabs>
                <w:tab w:val="clear" w:pos="425"/>
              </w:tabs>
              <w:ind w:left="383" w:hanging="383"/>
              <w:rPr>
                <w:rFonts w:cs="Arial"/>
                <w:sz w:val="18"/>
                <w:szCs w:val="18"/>
              </w:rPr>
            </w:pPr>
          </w:p>
        </w:tc>
        <w:tc>
          <w:tcPr>
            <w:tcW w:w="1364" w:type="dxa"/>
            <w:tcBorders>
              <w:top w:val="single" w:sz="6" w:space="0" w:color="auto"/>
              <w:left w:val="nil"/>
              <w:bottom w:val="single" w:sz="6" w:space="0" w:color="auto"/>
              <w:right w:val="single" w:sz="6" w:space="0" w:color="auto"/>
            </w:tcBorders>
          </w:tcPr>
          <w:p w:rsidR="00B674C4" w:rsidRPr="00B6627B" w:rsidRDefault="00B674C4" w:rsidP="00A37297">
            <w:pPr>
              <w:tabs>
                <w:tab w:val="clear" w:pos="425"/>
              </w:tabs>
              <w:ind w:left="383" w:hanging="383"/>
              <w:rPr>
                <w:sz w:val="18"/>
                <w:szCs w:val="18"/>
              </w:rPr>
            </w:pPr>
          </w:p>
        </w:tc>
        <w:tc>
          <w:tcPr>
            <w:tcW w:w="2268" w:type="dxa"/>
            <w:tcBorders>
              <w:top w:val="single" w:sz="6" w:space="0" w:color="auto"/>
              <w:left w:val="single" w:sz="6" w:space="0" w:color="auto"/>
              <w:bottom w:val="single" w:sz="6" w:space="0" w:color="auto"/>
              <w:right w:val="single" w:sz="6" w:space="0" w:color="auto"/>
            </w:tcBorders>
          </w:tcPr>
          <w:p w:rsidR="00B674C4" w:rsidRPr="00B6627B" w:rsidRDefault="00B674C4" w:rsidP="00A37297">
            <w:pPr>
              <w:tabs>
                <w:tab w:val="clear" w:pos="425"/>
              </w:tabs>
              <w:rPr>
                <w:sz w:val="18"/>
                <w:szCs w:val="18"/>
              </w:rPr>
            </w:pPr>
            <w:r w:rsidRPr="00B6627B">
              <w:rPr>
                <w:sz w:val="18"/>
                <w:szCs w:val="18"/>
              </w:rPr>
              <w:t>Molekulare Absorptions</w:t>
            </w:r>
            <w:r w:rsidRPr="00B6627B">
              <w:rPr>
                <w:sz w:val="18"/>
                <w:szCs w:val="18"/>
              </w:rPr>
              <w:softHyphen/>
              <w:t>spektrophotometrie</w:t>
            </w:r>
          </w:p>
        </w:tc>
        <w:tc>
          <w:tcPr>
            <w:tcW w:w="2126" w:type="dxa"/>
            <w:tcBorders>
              <w:top w:val="single" w:sz="6" w:space="0" w:color="auto"/>
              <w:left w:val="single" w:sz="6" w:space="0" w:color="auto"/>
              <w:bottom w:val="single" w:sz="6" w:space="0" w:color="auto"/>
              <w:right w:val="single" w:sz="6" w:space="0" w:color="auto"/>
            </w:tcBorders>
          </w:tcPr>
          <w:p w:rsidR="00B674C4" w:rsidRPr="00B6627B" w:rsidRDefault="00B674C4" w:rsidP="00A37297">
            <w:pPr>
              <w:tabs>
                <w:tab w:val="clear" w:pos="425"/>
              </w:tabs>
              <w:rPr>
                <w:sz w:val="18"/>
                <w:szCs w:val="18"/>
              </w:rPr>
            </w:pPr>
          </w:p>
        </w:tc>
        <w:tc>
          <w:tcPr>
            <w:tcW w:w="3160" w:type="dxa"/>
            <w:tcBorders>
              <w:top w:val="single" w:sz="6" w:space="0" w:color="auto"/>
              <w:left w:val="single" w:sz="6" w:space="0" w:color="auto"/>
              <w:bottom w:val="single" w:sz="6" w:space="0" w:color="auto"/>
              <w:right w:val="single" w:sz="6" w:space="0" w:color="auto"/>
            </w:tcBorders>
          </w:tcPr>
          <w:p w:rsidR="00B674C4" w:rsidRPr="00B6627B" w:rsidRDefault="00B674C4" w:rsidP="00A37297">
            <w:pPr>
              <w:tabs>
                <w:tab w:val="clear" w:pos="425"/>
              </w:tabs>
              <w:rPr>
                <w:sz w:val="18"/>
                <w:szCs w:val="18"/>
              </w:rPr>
            </w:pPr>
            <w:r w:rsidRPr="00B6627B">
              <w:rPr>
                <w:sz w:val="18"/>
                <w:szCs w:val="18"/>
              </w:rPr>
              <w:t>Im Falle von Seen mit einer Durc</w:t>
            </w:r>
            <w:r w:rsidRPr="00B6627B">
              <w:rPr>
                <w:sz w:val="18"/>
                <w:szCs w:val="18"/>
              </w:rPr>
              <w:t>h</w:t>
            </w:r>
            <w:r w:rsidRPr="00B6627B">
              <w:rPr>
                <w:sz w:val="18"/>
                <w:szCs w:val="18"/>
              </w:rPr>
              <w:t>schnittstiefe von 18 bis 300 Metern könnte folgende Formel angewandt werden:</w:t>
            </w:r>
          </w:p>
          <w:p w:rsidR="00B674C4" w:rsidRPr="00B6627B" w:rsidRDefault="00B674C4" w:rsidP="00A37297">
            <w:pPr>
              <w:rPr>
                <w:sz w:val="18"/>
                <w:szCs w:val="18"/>
              </w:rPr>
            </w:pPr>
            <w:r w:rsidRPr="00A31987">
              <w:rPr>
                <w:position w:val="-24"/>
                <w:sz w:val="18"/>
                <w:szCs w:val="18"/>
              </w:rPr>
              <w:object w:dxaOrig="21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1.2pt" o:ole="">
                  <v:imagedata r:id="rId17" o:title=""/>
                </v:shape>
                <o:OLEObject Type="Embed" ProgID="Equation.3" ShapeID="_x0000_i1025" DrawAspect="Content" ObjectID="_1494682202" r:id="rId18"/>
              </w:object>
            </w:r>
          </w:p>
          <w:p w:rsidR="00B674C4" w:rsidRPr="00B6627B" w:rsidRDefault="00B674C4" w:rsidP="00A37297">
            <w:pPr>
              <w:tabs>
                <w:tab w:val="clear" w:pos="425"/>
                <w:tab w:val="left" w:pos="356"/>
              </w:tabs>
              <w:ind w:left="640" w:hanging="640"/>
              <w:rPr>
                <w:sz w:val="18"/>
                <w:szCs w:val="18"/>
              </w:rPr>
            </w:pPr>
            <w:r w:rsidRPr="00B6627B">
              <w:rPr>
                <w:sz w:val="18"/>
                <w:szCs w:val="18"/>
              </w:rPr>
              <w:t>L</w:t>
            </w:r>
            <w:r w:rsidRPr="00B6627B">
              <w:rPr>
                <w:sz w:val="18"/>
                <w:szCs w:val="18"/>
              </w:rPr>
              <w:tab/>
              <w:t>=</w:t>
            </w:r>
            <w:r w:rsidRPr="00B6627B">
              <w:rPr>
                <w:sz w:val="18"/>
                <w:szCs w:val="18"/>
              </w:rPr>
              <w:tab/>
              <w:t>Belastung, ausge</w:t>
            </w:r>
            <w:r w:rsidRPr="00B6627B">
              <w:rPr>
                <w:sz w:val="18"/>
                <w:szCs w:val="18"/>
              </w:rPr>
              <w:softHyphen/>
              <w:t>drückt in mg P pro Quadratmeter Se</w:t>
            </w:r>
            <w:r w:rsidRPr="00B6627B">
              <w:rPr>
                <w:sz w:val="18"/>
                <w:szCs w:val="18"/>
              </w:rPr>
              <w:t>e</w:t>
            </w:r>
            <w:r w:rsidRPr="00B6627B">
              <w:rPr>
                <w:sz w:val="18"/>
                <w:szCs w:val="18"/>
              </w:rPr>
              <w:t>oberfläche pro Jahr</w:t>
            </w:r>
          </w:p>
          <w:p w:rsidR="00B674C4" w:rsidRPr="00B6627B" w:rsidRDefault="00B674C4" w:rsidP="00A37297">
            <w:pPr>
              <w:tabs>
                <w:tab w:val="clear" w:pos="425"/>
                <w:tab w:val="left" w:pos="356"/>
              </w:tabs>
              <w:ind w:left="640" w:hanging="640"/>
              <w:rPr>
                <w:sz w:val="18"/>
                <w:szCs w:val="18"/>
              </w:rPr>
            </w:pPr>
            <w:r w:rsidRPr="00B6627B">
              <w:rPr>
                <w:sz w:val="18"/>
                <w:szCs w:val="18"/>
              </w:rPr>
              <w:t>Z</w:t>
            </w:r>
            <w:r w:rsidRPr="00B6627B">
              <w:rPr>
                <w:sz w:val="18"/>
                <w:szCs w:val="18"/>
              </w:rPr>
              <w:tab/>
              <w:t>=</w:t>
            </w:r>
            <w:r w:rsidRPr="00B6627B">
              <w:rPr>
                <w:sz w:val="18"/>
                <w:szCs w:val="18"/>
              </w:rPr>
              <w:tab/>
              <w:t xml:space="preserve">Mittlere Tiefe des Sees in </w:t>
            </w:r>
            <w:r w:rsidRPr="00B6627B">
              <w:rPr>
                <w:sz w:val="18"/>
                <w:szCs w:val="18"/>
              </w:rPr>
              <w:lastRenderedPageBreak/>
              <w:t>Metern</w:t>
            </w:r>
          </w:p>
          <w:p w:rsidR="00B674C4" w:rsidRPr="00B6627B" w:rsidRDefault="00B674C4" w:rsidP="00A37297">
            <w:pPr>
              <w:tabs>
                <w:tab w:val="clear" w:pos="425"/>
                <w:tab w:val="left" w:pos="356"/>
              </w:tabs>
              <w:ind w:left="640" w:hanging="640"/>
              <w:rPr>
                <w:sz w:val="18"/>
                <w:szCs w:val="18"/>
              </w:rPr>
            </w:pPr>
            <w:r w:rsidRPr="00B6627B">
              <w:rPr>
                <w:sz w:val="18"/>
                <w:szCs w:val="18"/>
              </w:rPr>
              <w:t>Tw</w:t>
            </w:r>
            <w:r w:rsidRPr="00B6627B">
              <w:rPr>
                <w:sz w:val="18"/>
                <w:szCs w:val="18"/>
              </w:rPr>
              <w:tab/>
              <w:t>=</w:t>
            </w:r>
            <w:r w:rsidRPr="00B6627B">
              <w:rPr>
                <w:sz w:val="18"/>
                <w:szCs w:val="18"/>
              </w:rPr>
              <w:tab/>
              <w:t xml:space="preserve">Theoretische Austauschzeit des Wassers </w:t>
            </w:r>
            <w:r>
              <w:rPr>
                <w:sz w:val="18"/>
                <w:szCs w:val="18"/>
              </w:rPr>
              <w:t xml:space="preserve">des </w:t>
            </w:r>
            <w:r w:rsidRPr="00B6627B">
              <w:rPr>
                <w:sz w:val="18"/>
                <w:szCs w:val="18"/>
              </w:rPr>
              <w:t>Sees in Jahren</w:t>
            </w:r>
          </w:p>
          <w:p w:rsidR="00B674C4" w:rsidRPr="00B6627B" w:rsidRDefault="00B674C4" w:rsidP="00A37297">
            <w:pPr>
              <w:tabs>
                <w:tab w:val="clear" w:pos="425"/>
              </w:tabs>
              <w:rPr>
                <w:sz w:val="18"/>
                <w:szCs w:val="18"/>
              </w:rPr>
            </w:pPr>
            <w:r w:rsidRPr="00B6627B">
              <w:rPr>
                <w:sz w:val="18"/>
                <w:szCs w:val="18"/>
              </w:rPr>
              <w:t>In anderen Fällen können Grenzwe</w:t>
            </w:r>
            <w:r w:rsidRPr="00B6627B">
              <w:rPr>
                <w:sz w:val="18"/>
                <w:szCs w:val="18"/>
              </w:rPr>
              <w:t>r</w:t>
            </w:r>
            <w:r w:rsidRPr="00B6627B">
              <w:rPr>
                <w:sz w:val="18"/>
                <w:szCs w:val="18"/>
              </w:rPr>
              <w:t>te von 0,2 mg/l bei Salmonideng</w:t>
            </w:r>
            <w:r w:rsidRPr="00B6627B">
              <w:rPr>
                <w:sz w:val="18"/>
                <w:szCs w:val="18"/>
              </w:rPr>
              <w:t>e</w:t>
            </w:r>
            <w:r w:rsidRPr="00B6627B">
              <w:rPr>
                <w:sz w:val="18"/>
                <w:szCs w:val="18"/>
              </w:rPr>
              <w:t>wäs</w:t>
            </w:r>
            <w:r w:rsidRPr="00B6627B">
              <w:rPr>
                <w:sz w:val="18"/>
                <w:szCs w:val="18"/>
              </w:rPr>
              <w:softHyphen/>
              <w:t>sern und 0,4 mg/l bei Cyprinide</w:t>
            </w:r>
            <w:r w:rsidRPr="00B6627B">
              <w:rPr>
                <w:sz w:val="18"/>
                <w:szCs w:val="18"/>
              </w:rPr>
              <w:t>n</w:t>
            </w:r>
            <w:r w:rsidRPr="00B6627B">
              <w:rPr>
                <w:sz w:val="18"/>
                <w:szCs w:val="18"/>
              </w:rPr>
              <w:t>gewässern (ausgedrückt in PO</w:t>
            </w:r>
            <w:r w:rsidRPr="00B6627B">
              <w:rPr>
                <w:sz w:val="18"/>
                <w:szCs w:val="18"/>
                <w:vertAlign w:val="subscript"/>
              </w:rPr>
              <w:t>4</w:t>
            </w:r>
            <w:r w:rsidRPr="00B6627B">
              <w:rPr>
                <w:sz w:val="18"/>
                <w:szCs w:val="18"/>
              </w:rPr>
              <w:t>) als Richtwerte zur Verringe</w:t>
            </w:r>
            <w:r w:rsidRPr="00B6627B">
              <w:rPr>
                <w:sz w:val="18"/>
                <w:szCs w:val="18"/>
              </w:rPr>
              <w:softHyphen/>
              <w:t>rung der Eutrophierung angesehen werden.</w:t>
            </w:r>
          </w:p>
        </w:tc>
      </w:tr>
      <w:tr w:rsidR="00B674C4" w:rsidRPr="00B6627B">
        <w:tc>
          <w:tcPr>
            <w:tcW w:w="1418" w:type="dxa"/>
            <w:tcBorders>
              <w:top w:val="single" w:sz="6" w:space="0" w:color="auto"/>
              <w:left w:val="single" w:sz="6" w:space="0" w:color="auto"/>
              <w:bottom w:val="single" w:sz="6" w:space="0" w:color="auto"/>
              <w:right w:val="single" w:sz="6" w:space="0" w:color="auto"/>
            </w:tcBorders>
          </w:tcPr>
          <w:p w:rsidR="00B674C4" w:rsidRPr="00B6627B" w:rsidRDefault="00B674C4" w:rsidP="00A37297">
            <w:pPr>
              <w:tabs>
                <w:tab w:val="clear" w:pos="425"/>
              </w:tabs>
              <w:ind w:left="284" w:hanging="284"/>
              <w:rPr>
                <w:sz w:val="18"/>
                <w:szCs w:val="18"/>
              </w:rPr>
            </w:pPr>
            <w:r w:rsidRPr="00B6627B">
              <w:rPr>
                <w:sz w:val="18"/>
                <w:szCs w:val="18"/>
              </w:rPr>
              <w:lastRenderedPageBreak/>
              <w:t>7.</w:t>
            </w:r>
            <w:r w:rsidRPr="00B6627B">
              <w:rPr>
                <w:sz w:val="18"/>
                <w:szCs w:val="18"/>
              </w:rPr>
              <w:tab/>
              <w:t xml:space="preserve">Nitrite </w:t>
            </w:r>
            <w:r>
              <w:rPr>
                <w:sz w:val="18"/>
                <w:szCs w:val="18"/>
              </w:rPr>
              <w:br/>
            </w:r>
            <w:r w:rsidRPr="00B6627B">
              <w:rPr>
                <w:sz w:val="18"/>
                <w:szCs w:val="18"/>
              </w:rPr>
              <w:t>(mg/l NO</w:t>
            </w:r>
            <w:r w:rsidRPr="00B6627B">
              <w:rPr>
                <w:sz w:val="18"/>
                <w:szCs w:val="18"/>
                <w:vertAlign w:val="subscript"/>
              </w:rPr>
              <w:t>2</w:t>
            </w:r>
            <w:r w:rsidRPr="00B6627B">
              <w:rPr>
                <w:sz w:val="18"/>
                <w:szCs w:val="18"/>
              </w:rPr>
              <w:t>)</w:t>
            </w:r>
          </w:p>
        </w:tc>
        <w:tc>
          <w:tcPr>
            <w:tcW w:w="1364" w:type="dxa"/>
            <w:tcBorders>
              <w:top w:val="single" w:sz="6" w:space="0" w:color="auto"/>
              <w:left w:val="nil"/>
              <w:bottom w:val="single" w:sz="6" w:space="0" w:color="auto"/>
              <w:right w:val="single" w:sz="6" w:space="0" w:color="auto"/>
            </w:tcBorders>
          </w:tcPr>
          <w:p w:rsidR="00B674C4" w:rsidRPr="00B6627B" w:rsidRDefault="00B674C4" w:rsidP="00A37297">
            <w:pPr>
              <w:tabs>
                <w:tab w:val="clear" w:pos="425"/>
              </w:tabs>
              <w:ind w:left="383" w:hanging="383"/>
              <w:rPr>
                <w:sz w:val="18"/>
                <w:szCs w:val="18"/>
              </w:rPr>
            </w:pPr>
            <w:r w:rsidRPr="00B6627B">
              <w:rPr>
                <w:rFonts w:cs="Arial"/>
                <w:sz w:val="18"/>
                <w:szCs w:val="18"/>
              </w:rPr>
              <w:t>≤</w:t>
            </w:r>
            <w:r w:rsidRPr="00B6627B">
              <w:rPr>
                <w:sz w:val="18"/>
                <w:szCs w:val="18"/>
              </w:rPr>
              <w:t xml:space="preserve"> 0,01</w:t>
            </w:r>
          </w:p>
        </w:tc>
        <w:tc>
          <w:tcPr>
            <w:tcW w:w="1364" w:type="dxa"/>
            <w:tcBorders>
              <w:top w:val="single" w:sz="6" w:space="0" w:color="auto"/>
              <w:left w:val="nil"/>
              <w:bottom w:val="single" w:sz="6" w:space="0" w:color="auto"/>
              <w:right w:val="single" w:sz="6" w:space="0" w:color="auto"/>
            </w:tcBorders>
          </w:tcPr>
          <w:p w:rsidR="00B674C4" w:rsidRPr="00B6627B" w:rsidRDefault="00B674C4" w:rsidP="00A37297">
            <w:pPr>
              <w:tabs>
                <w:tab w:val="clear" w:pos="425"/>
              </w:tabs>
              <w:ind w:left="383" w:hanging="383"/>
              <w:rPr>
                <w:sz w:val="18"/>
                <w:szCs w:val="18"/>
              </w:rPr>
            </w:pPr>
          </w:p>
        </w:tc>
        <w:tc>
          <w:tcPr>
            <w:tcW w:w="1364" w:type="dxa"/>
            <w:tcBorders>
              <w:top w:val="single" w:sz="6" w:space="0" w:color="auto"/>
              <w:left w:val="nil"/>
              <w:bottom w:val="single" w:sz="6" w:space="0" w:color="auto"/>
              <w:right w:val="single" w:sz="6" w:space="0" w:color="auto"/>
            </w:tcBorders>
          </w:tcPr>
          <w:p w:rsidR="00B674C4" w:rsidRPr="00B6627B" w:rsidRDefault="00B674C4" w:rsidP="00A37297">
            <w:pPr>
              <w:tabs>
                <w:tab w:val="clear" w:pos="425"/>
              </w:tabs>
              <w:ind w:left="383" w:hanging="383"/>
              <w:rPr>
                <w:sz w:val="18"/>
                <w:szCs w:val="18"/>
              </w:rPr>
            </w:pPr>
            <w:r w:rsidRPr="00B6627B">
              <w:rPr>
                <w:rFonts w:cs="Arial"/>
                <w:sz w:val="18"/>
                <w:szCs w:val="18"/>
              </w:rPr>
              <w:t>≤</w:t>
            </w:r>
            <w:r w:rsidRPr="00B6627B">
              <w:rPr>
                <w:sz w:val="18"/>
                <w:szCs w:val="18"/>
              </w:rPr>
              <w:t xml:space="preserve"> 0,03</w:t>
            </w:r>
          </w:p>
        </w:tc>
        <w:tc>
          <w:tcPr>
            <w:tcW w:w="1364" w:type="dxa"/>
            <w:tcBorders>
              <w:top w:val="single" w:sz="6" w:space="0" w:color="auto"/>
              <w:left w:val="nil"/>
              <w:bottom w:val="single" w:sz="6" w:space="0" w:color="auto"/>
              <w:right w:val="single" w:sz="6" w:space="0" w:color="auto"/>
            </w:tcBorders>
          </w:tcPr>
          <w:p w:rsidR="00B674C4" w:rsidRPr="00B6627B" w:rsidRDefault="00B674C4" w:rsidP="00A37297">
            <w:pPr>
              <w:tabs>
                <w:tab w:val="clear" w:pos="425"/>
              </w:tabs>
              <w:ind w:left="383" w:hanging="383"/>
              <w:rPr>
                <w:sz w:val="18"/>
                <w:szCs w:val="18"/>
              </w:rPr>
            </w:pPr>
          </w:p>
        </w:tc>
        <w:tc>
          <w:tcPr>
            <w:tcW w:w="2268" w:type="dxa"/>
            <w:tcBorders>
              <w:top w:val="single" w:sz="6" w:space="0" w:color="auto"/>
              <w:left w:val="single" w:sz="6" w:space="0" w:color="auto"/>
              <w:bottom w:val="single" w:sz="6" w:space="0" w:color="auto"/>
              <w:right w:val="single" w:sz="6" w:space="0" w:color="auto"/>
            </w:tcBorders>
          </w:tcPr>
          <w:p w:rsidR="00B674C4" w:rsidRPr="00B6627B" w:rsidRDefault="00B674C4" w:rsidP="00A37297">
            <w:pPr>
              <w:tabs>
                <w:tab w:val="clear" w:pos="425"/>
              </w:tabs>
              <w:jc w:val="left"/>
              <w:rPr>
                <w:sz w:val="18"/>
                <w:szCs w:val="18"/>
              </w:rPr>
            </w:pPr>
            <w:r w:rsidRPr="00B6627B">
              <w:rPr>
                <w:sz w:val="18"/>
                <w:szCs w:val="18"/>
              </w:rPr>
              <w:t>Molekulare Absorptions</w:t>
            </w:r>
            <w:r>
              <w:rPr>
                <w:sz w:val="18"/>
                <w:szCs w:val="18"/>
              </w:rPr>
              <w:softHyphen/>
            </w:r>
            <w:r w:rsidRPr="00B6627B">
              <w:rPr>
                <w:sz w:val="18"/>
                <w:szCs w:val="18"/>
              </w:rPr>
              <w:t>spektrophotometrie</w:t>
            </w:r>
          </w:p>
        </w:tc>
        <w:tc>
          <w:tcPr>
            <w:tcW w:w="2126" w:type="dxa"/>
            <w:tcBorders>
              <w:top w:val="single" w:sz="6" w:space="0" w:color="auto"/>
              <w:left w:val="single" w:sz="6" w:space="0" w:color="auto"/>
              <w:bottom w:val="single" w:sz="6" w:space="0" w:color="auto"/>
              <w:right w:val="single" w:sz="6" w:space="0" w:color="auto"/>
            </w:tcBorders>
          </w:tcPr>
          <w:p w:rsidR="00B674C4" w:rsidRPr="00B6627B" w:rsidRDefault="00B674C4" w:rsidP="00A37297">
            <w:pPr>
              <w:tabs>
                <w:tab w:val="clear" w:pos="425"/>
              </w:tabs>
              <w:rPr>
                <w:sz w:val="18"/>
                <w:szCs w:val="18"/>
              </w:rPr>
            </w:pPr>
          </w:p>
        </w:tc>
        <w:tc>
          <w:tcPr>
            <w:tcW w:w="3160" w:type="dxa"/>
            <w:tcBorders>
              <w:top w:val="single" w:sz="6" w:space="0" w:color="auto"/>
              <w:left w:val="single" w:sz="6" w:space="0" w:color="auto"/>
              <w:bottom w:val="single" w:sz="6" w:space="0" w:color="auto"/>
              <w:right w:val="single" w:sz="6" w:space="0" w:color="auto"/>
            </w:tcBorders>
          </w:tcPr>
          <w:p w:rsidR="00B674C4" w:rsidRPr="00B6627B" w:rsidRDefault="00B674C4" w:rsidP="00A37297">
            <w:pPr>
              <w:tabs>
                <w:tab w:val="clear" w:pos="425"/>
              </w:tabs>
              <w:rPr>
                <w:sz w:val="18"/>
                <w:szCs w:val="18"/>
              </w:rPr>
            </w:pPr>
          </w:p>
        </w:tc>
      </w:tr>
      <w:tr w:rsidR="00B674C4" w:rsidRPr="00B6627B">
        <w:tc>
          <w:tcPr>
            <w:tcW w:w="1418" w:type="dxa"/>
            <w:tcBorders>
              <w:top w:val="single" w:sz="6" w:space="0" w:color="auto"/>
              <w:left w:val="single" w:sz="6" w:space="0" w:color="auto"/>
              <w:bottom w:val="single" w:sz="6" w:space="0" w:color="auto"/>
              <w:right w:val="single" w:sz="6" w:space="0" w:color="auto"/>
            </w:tcBorders>
          </w:tcPr>
          <w:p w:rsidR="00B674C4" w:rsidRPr="00B6627B" w:rsidRDefault="00B674C4" w:rsidP="00A37297">
            <w:pPr>
              <w:tabs>
                <w:tab w:val="clear" w:pos="425"/>
              </w:tabs>
              <w:ind w:left="284" w:hanging="284"/>
              <w:jc w:val="left"/>
              <w:rPr>
                <w:sz w:val="18"/>
                <w:szCs w:val="18"/>
              </w:rPr>
            </w:pPr>
            <w:r w:rsidRPr="00B6627B">
              <w:rPr>
                <w:sz w:val="18"/>
                <w:szCs w:val="18"/>
              </w:rPr>
              <w:t>8.</w:t>
            </w:r>
            <w:r w:rsidRPr="00B6627B">
              <w:rPr>
                <w:sz w:val="18"/>
                <w:szCs w:val="18"/>
              </w:rPr>
              <w:tab/>
              <w:t>Phenolhalt</w:t>
            </w:r>
            <w:r w:rsidRPr="00B6627B">
              <w:rPr>
                <w:sz w:val="18"/>
                <w:szCs w:val="18"/>
              </w:rPr>
              <w:t>i</w:t>
            </w:r>
            <w:r w:rsidRPr="00B6627B">
              <w:rPr>
                <w:sz w:val="18"/>
                <w:szCs w:val="18"/>
              </w:rPr>
              <w:t>ge Ver</w:t>
            </w:r>
            <w:r w:rsidRPr="00B6627B">
              <w:rPr>
                <w:sz w:val="18"/>
                <w:szCs w:val="18"/>
              </w:rPr>
              <w:softHyphen/>
              <w:t>bin</w:t>
            </w:r>
            <w:r>
              <w:rPr>
                <w:sz w:val="18"/>
                <w:szCs w:val="18"/>
              </w:rPr>
              <w:softHyphen/>
            </w:r>
            <w:r w:rsidRPr="00B6627B">
              <w:rPr>
                <w:sz w:val="18"/>
                <w:szCs w:val="18"/>
              </w:rPr>
              <w:t>dungen (mg/l C</w:t>
            </w:r>
            <w:r w:rsidRPr="00B6627B">
              <w:rPr>
                <w:sz w:val="18"/>
                <w:szCs w:val="18"/>
                <w:vertAlign w:val="subscript"/>
              </w:rPr>
              <w:t>6</w:t>
            </w:r>
            <w:r w:rsidRPr="00B6627B">
              <w:rPr>
                <w:sz w:val="18"/>
                <w:szCs w:val="18"/>
              </w:rPr>
              <w:t>H</w:t>
            </w:r>
            <w:r w:rsidRPr="00B6627B">
              <w:rPr>
                <w:sz w:val="18"/>
                <w:szCs w:val="18"/>
                <w:vertAlign w:val="subscript"/>
              </w:rPr>
              <w:t>5</w:t>
            </w:r>
            <w:r w:rsidRPr="00B6627B">
              <w:rPr>
                <w:sz w:val="18"/>
                <w:szCs w:val="18"/>
              </w:rPr>
              <w:t>OH)</w:t>
            </w:r>
          </w:p>
        </w:tc>
        <w:tc>
          <w:tcPr>
            <w:tcW w:w="1364" w:type="dxa"/>
            <w:tcBorders>
              <w:top w:val="single" w:sz="6" w:space="0" w:color="auto"/>
              <w:left w:val="nil"/>
              <w:bottom w:val="single" w:sz="6" w:space="0" w:color="auto"/>
              <w:right w:val="single" w:sz="6" w:space="0" w:color="auto"/>
            </w:tcBorders>
          </w:tcPr>
          <w:p w:rsidR="00B674C4" w:rsidRPr="00B6627B" w:rsidRDefault="00B674C4" w:rsidP="00A37297">
            <w:pPr>
              <w:tabs>
                <w:tab w:val="clear" w:pos="425"/>
              </w:tabs>
              <w:ind w:left="383" w:hanging="383"/>
              <w:rPr>
                <w:sz w:val="18"/>
                <w:szCs w:val="18"/>
              </w:rPr>
            </w:pPr>
          </w:p>
        </w:tc>
        <w:tc>
          <w:tcPr>
            <w:tcW w:w="1364" w:type="dxa"/>
            <w:tcBorders>
              <w:top w:val="single" w:sz="6" w:space="0" w:color="auto"/>
              <w:left w:val="nil"/>
              <w:bottom w:val="single" w:sz="6" w:space="0" w:color="auto"/>
              <w:right w:val="single" w:sz="6" w:space="0" w:color="auto"/>
            </w:tcBorders>
          </w:tcPr>
          <w:p w:rsidR="00B674C4" w:rsidRPr="00662887" w:rsidRDefault="00B674C4" w:rsidP="00A37297">
            <w:pPr>
              <w:tabs>
                <w:tab w:val="clear" w:pos="425"/>
              </w:tabs>
              <w:ind w:left="383" w:hanging="383"/>
              <w:rPr>
                <w:vertAlign w:val="superscript"/>
              </w:rPr>
            </w:pPr>
            <w:r w:rsidRPr="00662887">
              <w:rPr>
                <w:vertAlign w:val="superscript"/>
              </w:rPr>
              <w:t>²)</w:t>
            </w:r>
          </w:p>
        </w:tc>
        <w:tc>
          <w:tcPr>
            <w:tcW w:w="1364" w:type="dxa"/>
            <w:tcBorders>
              <w:top w:val="single" w:sz="6" w:space="0" w:color="auto"/>
              <w:left w:val="nil"/>
              <w:bottom w:val="single" w:sz="6" w:space="0" w:color="auto"/>
              <w:right w:val="single" w:sz="6" w:space="0" w:color="auto"/>
            </w:tcBorders>
          </w:tcPr>
          <w:p w:rsidR="00B674C4" w:rsidRPr="00662887" w:rsidRDefault="00B674C4" w:rsidP="00A37297">
            <w:pPr>
              <w:tabs>
                <w:tab w:val="clear" w:pos="425"/>
              </w:tabs>
              <w:ind w:left="383" w:hanging="383"/>
            </w:pPr>
          </w:p>
        </w:tc>
        <w:tc>
          <w:tcPr>
            <w:tcW w:w="1364" w:type="dxa"/>
            <w:tcBorders>
              <w:top w:val="single" w:sz="6" w:space="0" w:color="auto"/>
              <w:left w:val="nil"/>
              <w:bottom w:val="single" w:sz="6" w:space="0" w:color="auto"/>
              <w:right w:val="single" w:sz="6" w:space="0" w:color="auto"/>
            </w:tcBorders>
          </w:tcPr>
          <w:p w:rsidR="00B674C4" w:rsidRPr="00662887" w:rsidRDefault="00B674C4" w:rsidP="00A37297">
            <w:pPr>
              <w:tabs>
                <w:tab w:val="clear" w:pos="425"/>
              </w:tabs>
              <w:ind w:left="383" w:hanging="383"/>
              <w:rPr>
                <w:vertAlign w:val="superscript"/>
              </w:rPr>
            </w:pPr>
            <w:r w:rsidRPr="00662887">
              <w:rPr>
                <w:vertAlign w:val="superscript"/>
              </w:rPr>
              <w:t>²)</w:t>
            </w:r>
          </w:p>
        </w:tc>
        <w:tc>
          <w:tcPr>
            <w:tcW w:w="2268" w:type="dxa"/>
            <w:tcBorders>
              <w:top w:val="single" w:sz="6" w:space="0" w:color="auto"/>
              <w:left w:val="single" w:sz="6" w:space="0" w:color="auto"/>
              <w:bottom w:val="single" w:sz="6" w:space="0" w:color="auto"/>
              <w:right w:val="single" w:sz="6" w:space="0" w:color="auto"/>
            </w:tcBorders>
          </w:tcPr>
          <w:p w:rsidR="00B674C4" w:rsidRPr="00B6627B" w:rsidRDefault="00B674C4" w:rsidP="00A37297">
            <w:pPr>
              <w:tabs>
                <w:tab w:val="clear" w:pos="425"/>
              </w:tabs>
              <w:rPr>
                <w:sz w:val="18"/>
                <w:szCs w:val="18"/>
              </w:rPr>
            </w:pPr>
            <w:r w:rsidRPr="00B6627B">
              <w:rPr>
                <w:sz w:val="18"/>
                <w:szCs w:val="18"/>
              </w:rPr>
              <w:t>Geschmacksprüfung</w:t>
            </w:r>
          </w:p>
        </w:tc>
        <w:tc>
          <w:tcPr>
            <w:tcW w:w="2126" w:type="dxa"/>
            <w:tcBorders>
              <w:top w:val="single" w:sz="6" w:space="0" w:color="auto"/>
              <w:left w:val="single" w:sz="6" w:space="0" w:color="auto"/>
              <w:bottom w:val="single" w:sz="6" w:space="0" w:color="auto"/>
              <w:right w:val="single" w:sz="6" w:space="0" w:color="auto"/>
            </w:tcBorders>
          </w:tcPr>
          <w:p w:rsidR="00B674C4" w:rsidRPr="00B6627B" w:rsidRDefault="00B674C4" w:rsidP="00A37297">
            <w:pPr>
              <w:tabs>
                <w:tab w:val="clear" w:pos="425"/>
              </w:tabs>
              <w:rPr>
                <w:sz w:val="18"/>
                <w:szCs w:val="18"/>
              </w:rPr>
            </w:pPr>
          </w:p>
        </w:tc>
        <w:tc>
          <w:tcPr>
            <w:tcW w:w="3160" w:type="dxa"/>
            <w:tcBorders>
              <w:top w:val="single" w:sz="6" w:space="0" w:color="auto"/>
              <w:left w:val="single" w:sz="6" w:space="0" w:color="auto"/>
              <w:bottom w:val="single" w:sz="6" w:space="0" w:color="auto"/>
              <w:right w:val="single" w:sz="6" w:space="0" w:color="auto"/>
            </w:tcBorders>
          </w:tcPr>
          <w:p w:rsidR="00B674C4" w:rsidRPr="00B6627B" w:rsidRDefault="00B674C4" w:rsidP="00A37297">
            <w:pPr>
              <w:tabs>
                <w:tab w:val="clear" w:pos="425"/>
              </w:tabs>
              <w:rPr>
                <w:sz w:val="18"/>
                <w:szCs w:val="18"/>
              </w:rPr>
            </w:pPr>
            <w:r w:rsidRPr="00B6627B">
              <w:rPr>
                <w:sz w:val="18"/>
                <w:szCs w:val="18"/>
              </w:rPr>
              <w:t>Eine Geschmacksprüfung wird nur dann vorge</w:t>
            </w:r>
            <w:r w:rsidRPr="00B6627B">
              <w:rPr>
                <w:sz w:val="18"/>
                <w:szCs w:val="18"/>
              </w:rPr>
              <w:softHyphen/>
              <w:t>nommen, wenn vermutet wird, daß phenolhaltige Verbindu</w:t>
            </w:r>
            <w:r w:rsidRPr="00B6627B">
              <w:rPr>
                <w:sz w:val="18"/>
                <w:szCs w:val="18"/>
              </w:rPr>
              <w:t>n</w:t>
            </w:r>
            <w:r w:rsidRPr="00B6627B">
              <w:rPr>
                <w:sz w:val="18"/>
                <w:szCs w:val="18"/>
              </w:rPr>
              <w:t>gen vorhanden sind.</w:t>
            </w:r>
          </w:p>
        </w:tc>
      </w:tr>
      <w:tr w:rsidR="00B674C4" w:rsidRPr="00B6627B">
        <w:tc>
          <w:tcPr>
            <w:tcW w:w="1418" w:type="dxa"/>
            <w:tcBorders>
              <w:top w:val="single" w:sz="6" w:space="0" w:color="auto"/>
              <w:left w:val="single" w:sz="6" w:space="0" w:color="auto"/>
              <w:bottom w:val="single" w:sz="6" w:space="0" w:color="auto"/>
              <w:right w:val="single" w:sz="6" w:space="0" w:color="auto"/>
            </w:tcBorders>
          </w:tcPr>
          <w:p w:rsidR="00B674C4" w:rsidRPr="00B6627B" w:rsidRDefault="00B674C4" w:rsidP="00A37297">
            <w:pPr>
              <w:tabs>
                <w:tab w:val="clear" w:pos="425"/>
              </w:tabs>
              <w:ind w:left="284" w:hanging="284"/>
              <w:rPr>
                <w:sz w:val="18"/>
                <w:szCs w:val="18"/>
              </w:rPr>
            </w:pPr>
            <w:r w:rsidRPr="00B6627B">
              <w:rPr>
                <w:sz w:val="18"/>
                <w:szCs w:val="18"/>
              </w:rPr>
              <w:t>9.</w:t>
            </w:r>
            <w:r w:rsidRPr="00B6627B">
              <w:rPr>
                <w:sz w:val="18"/>
                <w:szCs w:val="18"/>
              </w:rPr>
              <w:tab/>
              <w:t>Ölkohle</w:t>
            </w:r>
            <w:r w:rsidRPr="00B6627B">
              <w:rPr>
                <w:sz w:val="18"/>
                <w:szCs w:val="18"/>
              </w:rPr>
              <w:t>n</w:t>
            </w:r>
            <w:r w:rsidRPr="00B6627B">
              <w:rPr>
                <w:sz w:val="18"/>
                <w:szCs w:val="18"/>
              </w:rPr>
              <w:t>was</w:t>
            </w:r>
            <w:r w:rsidRPr="00B6627B">
              <w:rPr>
                <w:sz w:val="18"/>
                <w:szCs w:val="18"/>
              </w:rPr>
              <w:softHyphen/>
              <w:t>ser</w:t>
            </w:r>
            <w:r>
              <w:rPr>
                <w:sz w:val="18"/>
                <w:szCs w:val="18"/>
              </w:rPr>
              <w:softHyphen/>
            </w:r>
            <w:r w:rsidRPr="00B6627B">
              <w:rPr>
                <w:sz w:val="18"/>
                <w:szCs w:val="18"/>
              </w:rPr>
              <w:t>stoffe</w:t>
            </w:r>
          </w:p>
        </w:tc>
        <w:tc>
          <w:tcPr>
            <w:tcW w:w="1364" w:type="dxa"/>
            <w:tcBorders>
              <w:top w:val="single" w:sz="6" w:space="0" w:color="auto"/>
              <w:left w:val="nil"/>
              <w:bottom w:val="single" w:sz="6" w:space="0" w:color="auto"/>
              <w:right w:val="single" w:sz="6" w:space="0" w:color="auto"/>
            </w:tcBorders>
          </w:tcPr>
          <w:p w:rsidR="00B674C4" w:rsidRPr="00B6627B" w:rsidRDefault="00B674C4" w:rsidP="00A37297">
            <w:pPr>
              <w:tabs>
                <w:tab w:val="clear" w:pos="425"/>
              </w:tabs>
              <w:ind w:left="383" w:hanging="383"/>
              <w:rPr>
                <w:sz w:val="18"/>
                <w:szCs w:val="18"/>
              </w:rPr>
            </w:pPr>
          </w:p>
        </w:tc>
        <w:tc>
          <w:tcPr>
            <w:tcW w:w="1364" w:type="dxa"/>
            <w:tcBorders>
              <w:top w:val="single" w:sz="6" w:space="0" w:color="auto"/>
              <w:left w:val="nil"/>
              <w:bottom w:val="single" w:sz="6" w:space="0" w:color="auto"/>
              <w:right w:val="single" w:sz="6" w:space="0" w:color="auto"/>
            </w:tcBorders>
          </w:tcPr>
          <w:p w:rsidR="00B674C4" w:rsidRPr="00662887" w:rsidRDefault="00B674C4" w:rsidP="00A37297">
            <w:pPr>
              <w:tabs>
                <w:tab w:val="clear" w:pos="425"/>
              </w:tabs>
              <w:ind w:left="383" w:hanging="383"/>
              <w:rPr>
                <w:vertAlign w:val="superscript"/>
              </w:rPr>
            </w:pPr>
            <w:r w:rsidRPr="00662887">
              <w:rPr>
                <w:vertAlign w:val="superscript"/>
              </w:rPr>
              <w:t>³)</w:t>
            </w:r>
          </w:p>
        </w:tc>
        <w:tc>
          <w:tcPr>
            <w:tcW w:w="1364" w:type="dxa"/>
            <w:tcBorders>
              <w:top w:val="single" w:sz="6" w:space="0" w:color="auto"/>
              <w:left w:val="nil"/>
              <w:bottom w:val="single" w:sz="6" w:space="0" w:color="auto"/>
              <w:right w:val="single" w:sz="6" w:space="0" w:color="auto"/>
            </w:tcBorders>
          </w:tcPr>
          <w:p w:rsidR="00B674C4" w:rsidRPr="00B6627B" w:rsidRDefault="00B674C4" w:rsidP="00A37297">
            <w:pPr>
              <w:tabs>
                <w:tab w:val="clear" w:pos="425"/>
              </w:tabs>
              <w:ind w:left="383" w:hanging="383"/>
              <w:rPr>
                <w:sz w:val="18"/>
                <w:szCs w:val="18"/>
              </w:rPr>
            </w:pPr>
          </w:p>
        </w:tc>
        <w:tc>
          <w:tcPr>
            <w:tcW w:w="1364" w:type="dxa"/>
            <w:tcBorders>
              <w:top w:val="single" w:sz="6" w:space="0" w:color="auto"/>
              <w:left w:val="nil"/>
              <w:bottom w:val="single" w:sz="6" w:space="0" w:color="auto"/>
              <w:right w:val="single" w:sz="6" w:space="0" w:color="auto"/>
            </w:tcBorders>
          </w:tcPr>
          <w:p w:rsidR="00B674C4" w:rsidRPr="00662887" w:rsidRDefault="00B674C4" w:rsidP="00A37297">
            <w:pPr>
              <w:tabs>
                <w:tab w:val="clear" w:pos="425"/>
              </w:tabs>
              <w:ind w:left="383" w:hanging="383"/>
              <w:rPr>
                <w:vertAlign w:val="superscript"/>
              </w:rPr>
            </w:pPr>
            <w:r w:rsidRPr="00662887">
              <w:rPr>
                <w:vertAlign w:val="superscript"/>
              </w:rPr>
              <w:t>³)</w:t>
            </w:r>
          </w:p>
        </w:tc>
        <w:tc>
          <w:tcPr>
            <w:tcW w:w="2268" w:type="dxa"/>
            <w:tcBorders>
              <w:top w:val="single" w:sz="6" w:space="0" w:color="auto"/>
              <w:left w:val="single" w:sz="6" w:space="0" w:color="auto"/>
              <w:bottom w:val="single" w:sz="6" w:space="0" w:color="auto"/>
              <w:right w:val="single" w:sz="6" w:space="0" w:color="auto"/>
            </w:tcBorders>
          </w:tcPr>
          <w:p w:rsidR="00B674C4" w:rsidRPr="00B6627B" w:rsidRDefault="00B674C4" w:rsidP="00A37297">
            <w:pPr>
              <w:tabs>
                <w:tab w:val="clear" w:pos="425"/>
              </w:tabs>
              <w:rPr>
                <w:sz w:val="18"/>
                <w:szCs w:val="18"/>
              </w:rPr>
            </w:pPr>
            <w:r w:rsidRPr="00B6627B">
              <w:rPr>
                <w:sz w:val="18"/>
                <w:szCs w:val="18"/>
              </w:rPr>
              <w:t>Visuelle Prüfung</w:t>
            </w:r>
          </w:p>
          <w:p w:rsidR="00B674C4" w:rsidRPr="00B6627B" w:rsidRDefault="00B674C4" w:rsidP="00A37297">
            <w:pPr>
              <w:tabs>
                <w:tab w:val="clear" w:pos="425"/>
              </w:tabs>
              <w:rPr>
                <w:sz w:val="18"/>
                <w:szCs w:val="18"/>
              </w:rPr>
            </w:pPr>
            <w:r w:rsidRPr="00B6627B">
              <w:rPr>
                <w:sz w:val="18"/>
                <w:szCs w:val="18"/>
              </w:rPr>
              <w:t>Geschmacksprüfung</w:t>
            </w:r>
          </w:p>
        </w:tc>
        <w:tc>
          <w:tcPr>
            <w:tcW w:w="2126" w:type="dxa"/>
            <w:tcBorders>
              <w:top w:val="single" w:sz="6" w:space="0" w:color="auto"/>
              <w:left w:val="single" w:sz="6" w:space="0" w:color="auto"/>
              <w:bottom w:val="single" w:sz="6" w:space="0" w:color="auto"/>
              <w:right w:val="single" w:sz="6" w:space="0" w:color="auto"/>
            </w:tcBorders>
          </w:tcPr>
          <w:p w:rsidR="00B674C4" w:rsidRPr="00B6627B" w:rsidRDefault="00B674C4" w:rsidP="00A37297">
            <w:pPr>
              <w:tabs>
                <w:tab w:val="clear" w:pos="425"/>
              </w:tabs>
              <w:rPr>
                <w:sz w:val="18"/>
                <w:szCs w:val="18"/>
              </w:rPr>
            </w:pPr>
            <w:r w:rsidRPr="00B6627B">
              <w:rPr>
                <w:sz w:val="18"/>
                <w:szCs w:val="18"/>
              </w:rPr>
              <w:t>Monatlich</w:t>
            </w:r>
          </w:p>
        </w:tc>
        <w:tc>
          <w:tcPr>
            <w:tcW w:w="3160" w:type="dxa"/>
            <w:tcBorders>
              <w:top w:val="single" w:sz="6" w:space="0" w:color="auto"/>
              <w:left w:val="single" w:sz="6" w:space="0" w:color="auto"/>
              <w:bottom w:val="single" w:sz="6" w:space="0" w:color="auto"/>
              <w:right w:val="single" w:sz="6" w:space="0" w:color="auto"/>
            </w:tcBorders>
          </w:tcPr>
          <w:p w:rsidR="00B674C4" w:rsidRPr="00B6627B" w:rsidRDefault="00B674C4" w:rsidP="00A37297">
            <w:pPr>
              <w:tabs>
                <w:tab w:val="clear" w:pos="425"/>
              </w:tabs>
              <w:rPr>
                <w:sz w:val="18"/>
                <w:szCs w:val="18"/>
              </w:rPr>
            </w:pPr>
            <w:r w:rsidRPr="00B6627B">
              <w:rPr>
                <w:sz w:val="18"/>
                <w:szCs w:val="18"/>
              </w:rPr>
              <w:t>Eine visuelle Prüfung wird regelm</w:t>
            </w:r>
            <w:r w:rsidRPr="00B6627B">
              <w:rPr>
                <w:sz w:val="18"/>
                <w:szCs w:val="18"/>
              </w:rPr>
              <w:t>ä</w:t>
            </w:r>
            <w:r w:rsidRPr="00B6627B">
              <w:rPr>
                <w:sz w:val="18"/>
                <w:szCs w:val="18"/>
              </w:rPr>
              <w:t>ßig einmal im Monat vorgenommen; eine Geschmacksprüfung erfolgt nur dann, wenn vermutet wird, daß Koh</w:t>
            </w:r>
            <w:r w:rsidRPr="00B6627B">
              <w:rPr>
                <w:sz w:val="18"/>
                <w:szCs w:val="18"/>
              </w:rPr>
              <w:softHyphen/>
              <w:t>lenwasserstoffe vorhan</w:t>
            </w:r>
            <w:r w:rsidRPr="00B6627B">
              <w:rPr>
                <w:sz w:val="18"/>
                <w:szCs w:val="18"/>
              </w:rPr>
              <w:softHyphen/>
              <w:t>den sind.</w:t>
            </w:r>
          </w:p>
        </w:tc>
      </w:tr>
      <w:tr w:rsidR="00B674C4" w:rsidRPr="00B6627B">
        <w:tc>
          <w:tcPr>
            <w:tcW w:w="1418" w:type="dxa"/>
            <w:vMerge w:val="restart"/>
            <w:tcBorders>
              <w:top w:val="single" w:sz="6" w:space="0" w:color="auto"/>
              <w:left w:val="single" w:sz="6" w:space="0" w:color="auto"/>
              <w:right w:val="single" w:sz="6" w:space="0" w:color="auto"/>
            </w:tcBorders>
          </w:tcPr>
          <w:p w:rsidR="00B674C4" w:rsidRPr="00B6627B" w:rsidRDefault="00B674C4" w:rsidP="00A37297">
            <w:pPr>
              <w:tabs>
                <w:tab w:val="clear" w:pos="425"/>
              </w:tabs>
              <w:ind w:left="284" w:hanging="284"/>
              <w:jc w:val="left"/>
              <w:rPr>
                <w:sz w:val="18"/>
                <w:szCs w:val="18"/>
              </w:rPr>
            </w:pPr>
            <w:r w:rsidRPr="00B6627B">
              <w:rPr>
                <w:sz w:val="18"/>
                <w:szCs w:val="18"/>
              </w:rPr>
              <w:t>10.</w:t>
            </w:r>
            <w:r w:rsidRPr="00B6627B">
              <w:rPr>
                <w:sz w:val="18"/>
                <w:szCs w:val="18"/>
              </w:rPr>
              <w:tab/>
              <w:t>Nicht ion</w:t>
            </w:r>
            <w:r w:rsidRPr="00B6627B">
              <w:rPr>
                <w:sz w:val="18"/>
                <w:szCs w:val="18"/>
              </w:rPr>
              <w:t>i</w:t>
            </w:r>
            <w:r w:rsidRPr="00B6627B">
              <w:rPr>
                <w:sz w:val="18"/>
                <w:szCs w:val="18"/>
              </w:rPr>
              <w:t>siertes Ammonium (mg/l NH</w:t>
            </w:r>
            <w:r w:rsidRPr="00B6627B">
              <w:rPr>
                <w:sz w:val="18"/>
                <w:szCs w:val="18"/>
                <w:vertAlign w:val="subscript"/>
              </w:rPr>
              <w:t>3</w:t>
            </w:r>
            <w:r w:rsidRPr="00B6627B">
              <w:rPr>
                <w:sz w:val="18"/>
                <w:szCs w:val="18"/>
              </w:rPr>
              <w:t>)</w:t>
            </w:r>
          </w:p>
        </w:tc>
        <w:tc>
          <w:tcPr>
            <w:tcW w:w="1364" w:type="dxa"/>
            <w:tcBorders>
              <w:top w:val="single" w:sz="6" w:space="0" w:color="auto"/>
              <w:left w:val="nil"/>
              <w:right w:val="single" w:sz="6" w:space="0" w:color="auto"/>
            </w:tcBorders>
          </w:tcPr>
          <w:p w:rsidR="00B674C4" w:rsidRPr="00B6627B" w:rsidRDefault="00B674C4" w:rsidP="00A37297">
            <w:pPr>
              <w:tabs>
                <w:tab w:val="clear" w:pos="425"/>
              </w:tabs>
              <w:ind w:left="383" w:hanging="383"/>
              <w:rPr>
                <w:sz w:val="18"/>
                <w:szCs w:val="18"/>
              </w:rPr>
            </w:pPr>
            <w:r w:rsidRPr="00B6627B">
              <w:rPr>
                <w:rFonts w:cs="Arial"/>
                <w:sz w:val="18"/>
                <w:szCs w:val="18"/>
              </w:rPr>
              <w:t>≤</w:t>
            </w:r>
            <w:r>
              <w:rPr>
                <w:rFonts w:cs="Arial"/>
                <w:sz w:val="18"/>
                <w:szCs w:val="18"/>
              </w:rPr>
              <w:t xml:space="preserve"> </w:t>
            </w:r>
            <w:r w:rsidRPr="00B6627B">
              <w:rPr>
                <w:sz w:val="18"/>
                <w:szCs w:val="18"/>
              </w:rPr>
              <w:t>0,005</w:t>
            </w:r>
          </w:p>
        </w:tc>
        <w:tc>
          <w:tcPr>
            <w:tcW w:w="1364" w:type="dxa"/>
            <w:tcBorders>
              <w:top w:val="single" w:sz="6" w:space="0" w:color="auto"/>
              <w:left w:val="nil"/>
              <w:right w:val="single" w:sz="6" w:space="0" w:color="auto"/>
            </w:tcBorders>
          </w:tcPr>
          <w:p w:rsidR="00B674C4" w:rsidRPr="00B6627B" w:rsidRDefault="00B674C4" w:rsidP="00A37297">
            <w:pPr>
              <w:tabs>
                <w:tab w:val="clear" w:pos="425"/>
              </w:tabs>
              <w:ind w:left="383" w:hanging="383"/>
              <w:rPr>
                <w:sz w:val="18"/>
                <w:szCs w:val="18"/>
              </w:rPr>
            </w:pPr>
            <w:r w:rsidRPr="00B6627B">
              <w:rPr>
                <w:rFonts w:cs="Arial"/>
                <w:sz w:val="18"/>
                <w:szCs w:val="18"/>
              </w:rPr>
              <w:t>≤</w:t>
            </w:r>
            <w:r w:rsidRPr="00B6627B">
              <w:rPr>
                <w:sz w:val="18"/>
                <w:szCs w:val="18"/>
              </w:rPr>
              <w:t xml:space="preserve"> 0,025</w:t>
            </w:r>
          </w:p>
        </w:tc>
        <w:tc>
          <w:tcPr>
            <w:tcW w:w="1364" w:type="dxa"/>
            <w:tcBorders>
              <w:top w:val="single" w:sz="6" w:space="0" w:color="auto"/>
              <w:left w:val="nil"/>
              <w:right w:val="single" w:sz="6" w:space="0" w:color="auto"/>
            </w:tcBorders>
          </w:tcPr>
          <w:p w:rsidR="00B674C4" w:rsidRPr="00B6627B" w:rsidRDefault="00B674C4" w:rsidP="00A37297">
            <w:pPr>
              <w:tabs>
                <w:tab w:val="clear" w:pos="425"/>
              </w:tabs>
              <w:ind w:left="383" w:hanging="383"/>
              <w:rPr>
                <w:sz w:val="18"/>
                <w:szCs w:val="18"/>
              </w:rPr>
            </w:pPr>
            <w:r w:rsidRPr="00B6627B">
              <w:rPr>
                <w:rFonts w:cs="Arial"/>
                <w:sz w:val="18"/>
                <w:szCs w:val="18"/>
              </w:rPr>
              <w:t>≤</w:t>
            </w:r>
            <w:r w:rsidRPr="00B6627B">
              <w:rPr>
                <w:sz w:val="18"/>
                <w:szCs w:val="18"/>
              </w:rPr>
              <w:t xml:space="preserve"> 0,005</w:t>
            </w:r>
          </w:p>
        </w:tc>
        <w:tc>
          <w:tcPr>
            <w:tcW w:w="1364" w:type="dxa"/>
            <w:tcBorders>
              <w:top w:val="single" w:sz="6" w:space="0" w:color="auto"/>
              <w:left w:val="nil"/>
              <w:right w:val="single" w:sz="6" w:space="0" w:color="auto"/>
            </w:tcBorders>
          </w:tcPr>
          <w:p w:rsidR="00B674C4" w:rsidRPr="00B6627B" w:rsidRDefault="00B674C4" w:rsidP="00A37297">
            <w:pPr>
              <w:tabs>
                <w:tab w:val="clear" w:pos="425"/>
              </w:tabs>
              <w:ind w:left="383" w:hanging="383"/>
              <w:rPr>
                <w:sz w:val="18"/>
                <w:szCs w:val="18"/>
              </w:rPr>
            </w:pPr>
            <w:r w:rsidRPr="00B6627B">
              <w:rPr>
                <w:rFonts w:cs="Arial"/>
                <w:sz w:val="18"/>
                <w:szCs w:val="18"/>
              </w:rPr>
              <w:t>≤</w:t>
            </w:r>
            <w:r w:rsidRPr="00B6627B">
              <w:rPr>
                <w:sz w:val="18"/>
                <w:szCs w:val="18"/>
              </w:rPr>
              <w:t xml:space="preserve"> 0,025</w:t>
            </w:r>
          </w:p>
        </w:tc>
        <w:tc>
          <w:tcPr>
            <w:tcW w:w="2268" w:type="dxa"/>
            <w:vMerge w:val="restart"/>
            <w:tcBorders>
              <w:top w:val="single" w:sz="6" w:space="0" w:color="auto"/>
              <w:left w:val="single" w:sz="6" w:space="0" w:color="auto"/>
              <w:right w:val="single" w:sz="6" w:space="0" w:color="auto"/>
            </w:tcBorders>
          </w:tcPr>
          <w:p w:rsidR="00B674C4" w:rsidRPr="00B6627B" w:rsidRDefault="00B674C4" w:rsidP="00FB6546">
            <w:pPr>
              <w:tabs>
                <w:tab w:val="clear" w:pos="425"/>
              </w:tabs>
              <w:jc w:val="left"/>
              <w:rPr>
                <w:sz w:val="18"/>
                <w:szCs w:val="18"/>
              </w:rPr>
            </w:pPr>
            <w:r w:rsidRPr="00B6627B">
              <w:rPr>
                <w:sz w:val="18"/>
                <w:szCs w:val="18"/>
              </w:rPr>
              <w:t>Molekulare Absorptions</w:t>
            </w:r>
            <w:r w:rsidRPr="00B6627B">
              <w:rPr>
                <w:sz w:val="18"/>
                <w:szCs w:val="18"/>
              </w:rPr>
              <w:softHyphen/>
              <w:t>spektrophotometrie unter Anwendung</w:t>
            </w:r>
            <w:r>
              <w:rPr>
                <w:sz w:val="18"/>
                <w:szCs w:val="18"/>
              </w:rPr>
              <w:t xml:space="preserve"> unter Anwe</w:t>
            </w:r>
            <w:r>
              <w:rPr>
                <w:sz w:val="18"/>
                <w:szCs w:val="18"/>
              </w:rPr>
              <w:t>n</w:t>
            </w:r>
            <w:r>
              <w:rPr>
                <w:sz w:val="18"/>
                <w:szCs w:val="18"/>
              </w:rPr>
              <w:t xml:space="preserve">dung von </w:t>
            </w:r>
            <w:r w:rsidR="00FB6546">
              <w:rPr>
                <w:sz w:val="18"/>
                <w:szCs w:val="18"/>
              </w:rPr>
              <w:t>I</w:t>
            </w:r>
            <w:r>
              <w:rPr>
                <w:sz w:val="18"/>
                <w:szCs w:val="18"/>
              </w:rPr>
              <w:t>ndophenolblau oder Nassler-Methode in Verbindung mit der B</w:t>
            </w:r>
            <w:r>
              <w:rPr>
                <w:sz w:val="18"/>
                <w:szCs w:val="18"/>
              </w:rPr>
              <w:t>e</w:t>
            </w:r>
            <w:r>
              <w:rPr>
                <w:sz w:val="18"/>
                <w:szCs w:val="18"/>
              </w:rPr>
              <w:t>stimmung des pH-Wertes und der Temperatur</w:t>
            </w:r>
          </w:p>
        </w:tc>
        <w:tc>
          <w:tcPr>
            <w:tcW w:w="2126" w:type="dxa"/>
            <w:vMerge w:val="restart"/>
            <w:tcBorders>
              <w:top w:val="single" w:sz="6" w:space="0" w:color="auto"/>
              <w:left w:val="single" w:sz="6" w:space="0" w:color="auto"/>
              <w:right w:val="single" w:sz="6" w:space="0" w:color="auto"/>
            </w:tcBorders>
          </w:tcPr>
          <w:p w:rsidR="00B674C4" w:rsidRDefault="00B674C4" w:rsidP="00A37297">
            <w:pPr>
              <w:tabs>
                <w:tab w:val="clear" w:pos="425"/>
              </w:tabs>
              <w:rPr>
                <w:sz w:val="18"/>
                <w:szCs w:val="18"/>
              </w:rPr>
            </w:pPr>
          </w:p>
          <w:p w:rsidR="00B674C4" w:rsidRDefault="00B674C4" w:rsidP="00A37297">
            <w:pPr>
              <w:tabs>
                <w:tab w:val="clear" w:pos="425"/>
              </w:tabs>
              <w:rPr>
                <w:sz w:val="18"/>
                <w:szCs w:val="18"/>
              </w:rPr>
            </w:pPr>
          </w:p>
          <w:p w:rsidR="00B674C4" w:rsidRPr="00B6627B" w:rsidRDefault="00B674C4" w:rsidP="00A37297">
            <w:pPr>
              <w:tabs>
                <w:tab w:val="clear" w:pos="425"/>
              </w:tabs>
              <w:rPr>
                <w:sz w:val="18"/>
                <w:szCs w:val="18"/>
              </w:rPr>
            </w:pPr>
            <w:r w:rsidRPr="00B6627B">
              <w:rPr>
                <w:sz w:val="18"/>
                <w:szCs w:val="18"/>
              </w:rPr>
              <w:t>Monatlich</w:t>
            </w:r>
          </w:p>
        </w:tc>
        <w:tc>
          <w:tcPr>
            <w:tcW w:w="3160" w:type="dxa"/>
            <w:vMerge w:val="restart"/>
            <w:tcBorders>
              <w:top w:val="single" w:sz="6" w:space="0" w:color="auto"/>
              <w:left w:val="single" w:sz="6" w:space="0" w:color="auto"/>
              <w:right w:val="single" w:sz="6" w:space="0" w:color="auto"/>
            </w:tcBorders>
          </w:tcPr>
          <w:p w:rsidR="00B674C4" w:rsidRPr="00B6627B" w:rsidRDefault="00B674C4" w:rsidP="00A37297">
            <w:pPr>
              <w:tabs>
                <w:tab w:val="clear" w:pos="425"/>
              </w:tabs>
              <w:rPr>
                <w:sz w:val="18"/>
                <w:szCs w:val="18"/>
              </w:rPr>
            </w:pPr>
            <w:r w:rsidRPr="00B6627B">
              <w:rPr>
                <w:sz w:val="18"/>
                <w:szCs w:val="18"/>
              </w:rPr>
              <w:t>Bei nicht ionisiertem Ammonium kön</w:t>
            </w:r>
            <w:r>
              <w:rPr>
                <w:sz w:val="18"/>
                <w:szCs w:val="18"/>
              </w:rPr>
              <w:softHyphen/>
            </w:r>
            <w:r w:rsidRPr="00B6627B">
              <w:rPr>
                <w:sz w:val="18"/>
                <w:szCs w:val="18"/>
              </w:rPr>
              <w:t>nen klei</w:t>
            </w:r>
            <w:r w:rsidRPr="00B6627B">
              <w:rPr>
                <w:sz w:val="18"/>
                <w:szCs w:val="18"/>
              </w:rPr>
              <w:softHyphen/>
              <w:t>nere Erhöhungen im</w:t>
            </w:r>
            <w:r>
              <w:rPr>
                <w:sz w:val="18"/>
                <w:szCs w:val="18"/>
              </w:rPr>
              <w:t xml:space="preserve"> Laufe eines Tages hingenommen werden.</w:t>
            </w:r>
          </w:p>
        </w:tc>
      </w:tr>
      <w:tr w:rsidR="00B674C4" w:rsidRPr="00B6627B">
        <w:tc>
          <w:tcPr>
            <w:tcW w:w="1418" w:type="dxa"/>
            <w:vMerge/>
            <w:tcBorders>
              <w:left w:val="single" w:sz="6" w:space="0" w:color="auto"/>
              <w:bottom w:val="single" w:sz="6" w:space="0" w:color="auto"/>
              <w:right w:val="single" w:sz="6" w:space="0" w:color="auto"/>
            </w:tcBorders>
          </w:tcPr>
          <w:p w:rsidR="00B674C4" w:rsidRPr="00B6627B" w:rsidRDefault="00B674C4" w:rsidP="00A37297">
            <w:pPr>
              <w:tabs>
                <w:tab w:val="clear" w:pos="425"/>
              </w:tabs>
              <w:ind w:left="284" w:hanging="284"/>
              <w:jc w:val="left"/>
              <w:rPr>
                <w:sz w:val="18"/>
                <w:szCs w:val="18"/>
              </w:rPr>
            </w:pPr>
          </w:p>
        </w:tc>
        <w:tc>
          <w:tcPr>
            <w:tcW w:w="5456" w:type="dxa"/>
            <w:gridSpan w:val="4"/>
            <w:tcBorders>
              <w:left w:val="nil"/>
              <w:right w:val="single" w:sz="6" w:space="0" w:color="auto"/>
            </w:tcBorders>
          </w:tcPr>
          <w:p w:rsidR="00B674C4" w:rsidRPr="00B6627B" w:rsidRDefault="00B674C4" w:rsidP="00A37297">
            <w:pPr>
              <w:tabs>
                <w:tab w:val="clear" w:pos="425"/>
              </w:tabs>
              <w:rPr>
                <w:rFonts w:cs="Arial"/>
                <w:sz w:val="18"/>
                <w:szCs w:val="18"/>
              </w:rPr>
            </w:pPr>
            <w:r>
              <w:rPr>
                <w:rFonts w:cs="Arial"/>
                <w:sz w:val="18"/>
                <w:szCs w:val="18"/>
              </w:rPr>
              <w:t>Zur Verringerung der Gefahr der Toxizität durch nicht ionisiertes Ammonium, des Sauerstoffverbrauchs durch Nitrifikation und der Eutrophierung dürfen die Gesamtammoniumkonzentrationen fo</w:t>
            </w:r>
            <w:r>
              <w:rPr>
                <w:rFonts w:cs="Arial"/>
                <w:sz w:val="18"/>
                <w:szCs w:val="18"/>
              </w:rPr>
              <w:t>l</w:t>
            </w:r>
            <w:r>
              <w:rPr>
                <w:rFonts w:cs="Arial"/>
                <w:sz w:val="18"/>
                <w:szCs w:val="18"/>
              </w:rPr>
              <w:t>gende Werte nicht überschreiten:</w:t>
            </w:r>
          </w:p>
        </w:tc>
        <w:tc>
          <w:tcPr>
            <w:tcW w:w="2268" w:type="dxa"/>
            <w:vMerge/>
            <w:tcBorders>
              <w:top w:val="single" w:sz="6" w:space="0" w:color="auto"/>
              <w:left w:val="single" w:sz="6" w:space="0" w:color="auto"/>
              <w:right w:val="single" w:sz="6" w:space="0" w:color="auto"/>
            </w:tcBorders>
          </w:tcPr>
          <w:p w:rsidR="00B674C4" w:rsidRPr="00B6627B" w:rsidRDefault="00B674C4" w:rsidP="00A37297">
            <w:pPr>
              <w:tabs>
                <w:tab w:val="clear" w:pos="425"/>
              </w:tabs>
              <w:jc w:val="left"/>
              <w:rPr>
                <w:sz w:val="18"/>
                <w:szCs w:val="18"/>
              </w:rPr>
            </w:pPr>
          </w:p>
        </w:tc>
        <w:tc>
          <w:tcPr>
            <w:tcW w:w="2126" w:type="dxa"/>
            <w:vMerge/>
            <w:tcBorders>
              <w:top w:val="single" w:sz="6" w:space="0" w:color="auto"/>
              <w:left w:val="single" w:sz="6" w:space="0" w:color="auto"/>
              <w:right w:val="single" w:sz="6" w:space="0" w:color="auto"/>
            </w:tcBorders>
          </w:tcPr>
          <w:p w:rsidR="00B674C4" w:rsidRDefault="00B674C4" w:rsidP="00A37297">
            <w:pPr>
              <w:tabs>
                <w:tab w:val="clear" w:pos="425"/>
              </w:tabs>
              <w:rPr>
                <w:sz w:val="18"/>
                <w:szCs w:val="18"/>
              </w:rPr>
            </w:pPr>
          </w:p>
        </w:tc>
        <w:tc>
          <w:tcPr>
            <w:tcW w:w="3160" w:type="dxa"/>
            <w:vMerge/>
            <w:tcBorders>
              <w:top w:val="single" w:sz="6" w:space="0" w:color="auto"/>
              <w:left w:val="single" w:sz="6" w:space="0" w:color="auto"/>
              <w:right w:val="single" w:sz="6" w:space="0" w:color="auto"/>
            </w:tcBorders>
          </w:tcPr>
          <w:p w:rsidR="00B674C4" w:rsidRPr="00B6627B" w:rsidRDefault="00B674C4" w:rsidP="00A37297">
            <w:pPr>
              <w:tabs>
                <w:tab w:val="clear" w:pos="425"/>
              </w:tabs>
              <w:rPr>
                <w:sz w:val="18"/>
                <w:szCs w:val="18"/>
              </w:rPr>
            </w:pPr>
          </w:p>
        </w:tc>
      </w:tr>
      <w:tr w:rsidR="00B674C4" w:rsidRPr="00B6627B">
        <w:tc>
          <w:tcPr>
            <w:tcW w:w="1418" w:type="dxa"/>
            <w:tcBorders>
              <w:top w:val="single" w:sz="6" w:space="0" w:color="auto"/>
              <w:left w:val="single" w:sz="6" w:space="0" w:color="auto"/>
              <w:bottom w:val="single" w:sz="6" w:space="0" w:color="auto"/>
              <w:right w:val="single" w:sz="6" w:space="0" w:color="auto"/>
            </w:tcBorders>
          </w:tcPr>
          <w:p w:rsidR="00B674C4" w:rsidRPr="00B6627B" w:rsidRDefault="00B674C4" w:rsidP="00A37297">
            <w:pPr>
              <w:tabs>
                <w:tab w:val="clear" w:pos="425"/>
              </w:tabs>
              <w:ind w:left="284" w:hanging="284"/>
              <w:rPr>
                <w:sz w:val="18"/>
                <w:szCs w:val="18"/>
              </w:rPr>
            </w:pPr>
            <w:r w:rsidRPr="00B6627B">
              <w:rPr>
                <w:sz w:val="18"/>
                <w:szCs w:val="18"/>
              </w:rPr>
              <w:t>11.</w:t>
            </w:r>
            <w:r w:rsidRPr="00B6627B">
              <w:rPr>
                <w:sz w:val="18"/>
                <w:szCs w:val="18"/>
              </w:rPr>
              <w:tab/>
              <w:t>Ammonium insge</w:t>
            </w:r>
            <w:r w:rsidRPr="00B6627B">
              <w:rPr>
                <w:sz w:val="18"/>
                <w:szCs w:val="18"/>
              </w:rPr>
              <w:softHyphen/>
              <w:t>samt (mg/l NH</w:t>
            </w:r>
            <w:r w:rsidRPr="00B6627B">
              <w:rPr>
                <w:sz w:val="18"/>
                <w:szCs w:val="18"/>
                <w:vertAlign w:val="subscript"/>
              </w:rPr>
              <w:t>4</w:t>
            </w:r>
            <w:r w:rsidRPr="00B6627B">
              <w:rPr>
                <w:sz w:val="18"/>
                <w:szCs w:val="18"/>
              </w:rPr>
              <w:t>)</w:t>
            </w:r>
          </w:p>
        </w:tc>
        <w:tc>
          <w:tcPr>
            <w:tcW w:w="1364" w:type="dxa"/>
            <w:tcBorders>
              <w:left w:val="nil"/>
              <w:bottom w:val="single" w:sz="6" w:space="0" w:color="auto"/>
              <w:right w:val="single" w:sz="6" w:space="0" w:color="auto"/>
            </w:tcBorders>
          </w:tcPr>
          <w:p w:rsidR="00B674C4" w:rsidRPr="00B6627B" w:rsidRDefault="00B674C4" w:rsidP="00A37297">
            <w:pPr>
              <w:tabs>
                <w:tab w:val="clear" w:pos="425"/>
              </w:tabs>
              <w:ind w:left="383" w:hanging="383"/>
              <w:rPr>
                <w:sz w:val="18"/>
                <w:szCs w:val="18"/>
              </w:rPr>
            </w:pPr>
            <w:r w:rsidRPr="00B6627B">
              <w:rPr>
                <w:rFonts w:cs="Arial"/>
                <w:sz w:val="18"/>
                <w:szCs w:val="18"/>
              </w:rPr>
              <w:t>≤</w:t>
            </w:r>
            <w:r w:rsidRPr="00B6627B">
              <w:rPr>
                <w:sz w:val="18"/>
                <w:szCs w:val="18"/>
              </w:rPr>
              <w:t xml:space="preserve"> 0,04</w:t>
            </w:r>
          </w:p>
        </w:tc>
        <w:tc>
          <w:tcPr>
            <w:tcW w:w="1364" w:type="dxa"/>
            <w:tcBorders>
              <w:left w:val="nil"/>
              <w:bottom w:val="single" w:sz="6" w:space="0" w:color="auto"/>
              <w:right w:val="single" w:sz="6" w:space="0" w:color="auto"/>
            </w:tcBorders>
          </w:tcPr>
          <w:p w:rsidR="00B674C4" w:rsidRPr="00B6627B" w:rsidRDefault="00B674C4" w:rsidP="00A37297">
            <w:pPr>
              <w:tabs>
                <w:tab w:val="clear" w:pos="425"/>
              </w:tabs>
              <w:ind w:left="383" w:hanging="383"/>
              <w:rPr>
                <w:sz w:val="18"/>
                <w:szCs w:val="18"/>
              </w:rPr>
            </w:pPr>
            <w:r w:rsidRPr="00B6627B">
              <w:rPr>
                <w:rFonts w:cs="Arial"/>
                <w:sz w:val="18"/>
                <w:szCs w:val="18"/>
              </w:rPr>
              <w:t>≤</w:t>
            </w:r>
            <w:r w:rsidRPr="00B6627B">
              <w:rPr>
                <w:sz w:val="18"/>
                <w:szCs w:val="18"/>
              </w:rPr>
              <w:t xml:space="preserve"> 1 </w:t>
            </w:r>
            <w:r w:rsidRPr="00B6627B">
              <w:rPr>
                <w:sz w:val="18"/>
                <w:szCs w:val="18"/>
                <w:vertAlign w:val="superscript"/>
              </w:rPr>
              <w:t>4)</w:t>
            </w:r>
          </w:p>
        </w:tc>
        <w:tc>
          <w:tcPr>
            <w:tcW w:w="1364" w:type="dxa"/>
            <w:tcBorders>
              <w:left w:val="nil"/>
              <w:bottom w:val="single" w:sz="6" w:space="0" w:color="auto"/>
              <w:right w:val="single" w:sz="6" w:space="0" w:color="auto"/>
            </w:tcBorders>
          </w:tcPr>
          <w:p w:rsidR="00B674C4" w:rsidRPr="00B6627B" w:rsidRDefault="00B674C4" w:rsidP="00A37297">
            <w:pPr>
              <w:tabs>
                <w:tab w:val="clear" w:pos="425"/>
              </w:tabs>
              <w:ind w:left="383" w:hanging="383"/>
              <w:rPr>
                <w:sz w:val="18"/>
                <w:szCs w:val="18"/>
              </w:rPr>
            </w:pPr>
            <w:r w:rsidRPr="00B6627B">
              <w:rPr>
                <w:rFonts w:cs="Arial"/>
                <w:sz w:val="18"/>
                <w:szCs w:val="18"/>
              </w:rPr>
              <w:t>≤</w:t>
            </w:r>
            <w:r w:rsidRPr="00B6627B">
              <w:rPr>
                <w:sz w:val="18"/>
                <w:szCs w:val="18"/>
              </w:rPr>
              <w:t xml:space="preserve"> 0,2</w:t>
            </w:r>
          </w:p>
        </w:tc>
        <w:tc>
          <w:tcPr>
            <w:tcW w:w="1364" w:type="dxa"/>
            <w:tcBorders>
              <w:left w:val="nil"/>
              <w:bottom w:val="single" w:sz="6" w:space="0" w:color="auto"/>
              <w:right w:val="single" w:sz="6" w:space="0" w:color="auto"/>
            </w:tcBorders>
          </w:tcPr>
          <w:p w:rsidR="00B674C4" w:rsidRPr="00B6627B" w:rsidRDefault="00B674C4" w:rsidP="00A37297">
            <w:pPr>
              <w:tabs>
                <w:tab w:val="clear" w:pos="425"/>
              </w:tabs>
              <w:ind w:left="383" w:hanging="383"/>
              <w:rPr>
                <w:sz w:val="18"/>
                <w:szCs w:val="18"/>
              </w:rPr>
            </w:pPr>
            <w:r w:rsidRPr="00B6627B">
              <w:rPr>
                <w:rFonts w:cs="Arial"/>
                <w:sz w:val="18"/>
                <w:szCs w:val="18"/>
              </w:rPr>
              <w:t>≤</w:t>
            </w:r>
            <w:r w:rsidRPr="00B6627B">
              <w:rPr>
                <w:sz w:val="18"/>
                <w:szCs w:val="18"/>
              </w:rPr>
              <w:t xml:space="preserve"> 1 </w:t>
            </w:r>
            <w:r w:rsidRPr="00B6627B">
              <w:rPr>
                <w:sz w:val="18"/>
                <w:szCs w:val="18"/>
                <w:vertAlign w:val="superscript"/>
              </w:rPr>
              <w:t>4)</w:t>
            </w:r>
          </w:p>
        </w:tc>
        <w:tc>
          <w:tcPr>
            <w:tcW w:w="2268" w:type="dxa"/>
            <w:vMerge/>
            <w:tcBorders>
              <w:left w:val="single" w:sz="6" w:space="0" w:color="auto"/>
              <w:bottom w:val="single" w:sz="6" w:space="0" w:color="auto"/>
              <w:right w:val="single" w:sz="6" w:space="0" w:color="auto"/>
            </w:tcBorders>
          </w:tcPr>
          <w:p w:rsidR="00B674C4" w:rsidRPr="00B6627B" w:rsidRDefault="00B674C4" w:rsidP="00A37297">
            <w:pPr>
              <w:tabs>
                <w:tab w:val="clear" w:pos="425"/>
              </w:tabs>
              <w:rPr>
                <w:sz w:val="18"/>
                <w:szCs w:val="18"/>
              </w:rPr>
            </w:pPr>
          </w:p>
        </w:tc>
        <w:tc>
          <w:tcPr>
            <w:tcW w:w="2126" w:type="dxa"/>
            <w:vMerge/>
            <w:tcBorders>
              <w:left w:val="single" w:sz="6" w:space="0" w:color="auto"/>
              <w:bottom w:val="single" w:sz="6" w:space="0" w:color="auto"/>
              <w:right w:val="single" w:sz="6" w:space="0" w:color="auto"/>
            </w:tcBorders>
          </w:tcPr>
          <w:p w:rsidR="00B674C4" w:rsidRPr="00B6627B" w:rsidRDefault="00B674C4" w:rsidP="00A37297">
            <w:pPr>
              <w:tabs>
                <w:tab w:val="clear" w:pos="425"/>
              </w:tabs>
              <w:rPr>
                <w:sz w:val="18"/>
                <w:szCs w:val="18"/>
              </w:rPr>
            </w:pPr>
          </w:p>
        </w:tc>
        <w:tc>
          <w:tcPr>
            <w:tcW w:w="3160" w:type="dxa"/>
            <w:vMerge/>
            <w:tcBorders>
              <w:left w:val="single" w:sz="6" w:space="0" w:color="auto"/>
              <w:bottom w:val="single" w:sz="6" w:space="0" w:color="auto"/>
              <w:right w:val="single" w:sz="6" w:space="0" w:color="auto"/>
            </w:tcBorders>
          </w:tcPr>
          <w:p w:rsidR="00B674C4" w:rsidRPr="00B6627B" w:rsidRDefault="00B674C4" w:rsidP="00A37297">
            <w:pPr>
              <w:tabs>
                <w:tab w:val="clear" w:pos="425"/>
              </w:tabs>
              <w:rPr>
                <w:sz w:val="18"/>
                <w:szCs w:val="18"/>
              </w:rPr>
            </w:pPr>
          </w:p>
        </w:tc>
      </w:tr>
      <w:tr w:rsidR="00B674C4" w:rsidRPr="00B6627B">
        <w:tc>
          <w:tcPr>
            <w:tcW w:w="1418" w:type="dxa"/>
            <w:tcBorders>
              <w:top w:val="single" w:sz="6" w:space="0" w:color="auto"/>
              <w:left w:val="single" w:sz="6" w:space="0" w:color="auto"/>
              <w:bottom w:val="single" w:sz="6" w:space="0" w:color="auto"/>
              <w:right w:val="single" w:sz="6" w:space="0" w:color="auto"/>
            </w:tcBorders>
          </w:tcPr>
          <w:p w:rsidR="00B674C4" w:rsidRPr="00B6627B" w:rsidRDefault="00B674C4" w:rsidP="00A37297">
            <w:pPr>
              <w:tabs>
                <w:tab w:val="clear" w:pos="425"/>
              </w:tabs>
              <w:ind w:left="284" w:hanging="284"/>
              <w:rPr>
                <w:sz w:val="18"/>
                <w:szCs w:val="18"/>
              </w:rPr>
            </w:pPr>
            <w:r w:rsidRPr="00B6627B">
              <w:rPr>
                <w:sz w:val="18"/>
                <w:szCs w:val="18"/>
              </w:rPr>
              <w:t>12.</w:t>
            </w:r>
            <w:r w:rsidRPr="00B6627B">
              <w:rPr>
                <w:sz w:val="18"/>
                <w:szCs w:val="18"/>
              </w:rPr>
              <w:tab/>
              <w:t>Restchlor insgesamt (mg/l HOCl)</w:t>
            </w:r>
          </w:p>
        </w:tc>
        <w:tc>
          <w:tcPr>
            <w:tcW w:w="1364" w:type="dxa"/>
            <w:tcBorders>
              <w:top w:val="single" w:sz="6" w:space="0" w:color="auto"/>
              <w:left w:val="nil"/>
              <w:bottom w:val="single" w:sz="6" w:space="0" w:color="auto"/>
              <w:right w:val="single" w:sz="6" w:space="0" w:color="auto"/>
            </w:tcBorders>
          </w:tcPr>
          <w:p w:rsidR="00B674C4" w:rsidRPr="00B6627B" w:rsidRDefault="00B674C4" w:rsidP="00A37297">
            <w:pPr>
              <w:tabs>
                <w:tab w:val="clear" w:pos="425"/>
              </w:tabs>
              <w:ind w:left="383" w:hanging="383"/>
              <w:rPr>
                <w:sz w:val="18"/>
                <w:szCs w:val="18"/>
              </w:rPr>
            </w:pPr>
          </w:p>
        </w:tc>
        <w:tc>
          <w:tcPr>
            <w:tcW w:w="1364" w:type="dxa"/>
            <w:tcBorders>
              <w:top w:val="single" w:sz="6" w:space="0" w:color="auto"/>
              <w:left w:val="nil"/>
              <w:bottom w:val="single" w:sz="6" w:space="0" w:color="auto"/>
              <w:right w:val="single" w:sz="6" w:space="0" w:color="auto"/>
            </w:tcBorders>
          </w:tcPr>
          <w:p w:rsidR="00B674C4" w:rsidRPr="00B6627B" w:rsidRDefault="00B674C4" w:rsidP="00A37297">
            <w:pPr>
              <w:tabs>
                <w:tab w:val="clear" w:pos="425"/>
              </w:tabs>
              <w:ind w:left="383" w:hanging="383"/>
              <w:rPr>
                <w:sz w:val="18"/>
                <w:szCs w:val="18"/>
              </w:rPr>
            </w:pPr>
            <w:r w:rsidRPr="00B6627B">
              <w:rPr>
                <w:rFonts w:cs="Arial"/>
                <w:sz w:val="18"/>
                <w:szCs w:val="18"/>
              </w:rPr>
              <w:t>≤</w:t>
            </w:r>
            <w:r w:rsidRPr="00B6627B">
              <w:rPr>
                <w:sz w:val="18"/>
                <w:szCs w:val="18"/>
              </w:rPr>
              <w:t xml:space="preserve"> 0,005</w:t>
            </w:r>
          </w:p>
        </w:tc>
        <w:tc>
          <w:tcPr>
            <w:tcW w:w="1364" w:type="dxa"/>
            <w:tcBorders>
              <w:top w:val="single" w:sz="6" w:space="0" w:color="auto"/>
              <w:left w:val="nil"/>
              <w:bottom w:val="single" w:sz="6" w:space="0" w:color="auto"/>
              <w:right w:val="single" w:sz="6" w:space="0" w:color="auto"/>
            </w:tcBorders>
          </w:tcPr>
          <w:p w:rsidR="00B674C4" w:rsidRPr="00B6627B" w:rsidRDefault="00B674C4" w:rsidP="00A37297">
            <w:pPr>
              <w:tabs>
                <w:tab w:val="clear" w:pos="425"/>
              </w:tabs>
              <w:ind w:left="383" w:hanging="383"/>
              <w:rPr>
                <w:sz w:val="18"/>
                <w:szCs w:val="18"/>
              </w:rPr>
            </w:pPr>
          </w:p>
        </w:tc>
        <w:tc>
          <w:tcPr>
            <w:tcW w:w="1364" w:type="dxa"/>
            <w:tcBorders>
              <w:top w:val="single" w:sz="6" w:space="0" w:color="auto"/>
              <w:left w:val="nil"/>
              <w:bottom w:val="single" w:sz="6" w:space="0" w:color="auto"/>
              <w:right w:val="single" w:sz="6" w:space="0" w:color="auto"/>
            </w:tcBorders>
          </w:tcPr>
          <w:p w:rsidR="00B674C4" w:rsidRPr="00B6627B" w:rsidRDefault="00B674C4" w:rsidP="00A37297">
            <w:pPr>
              <w:tabs>
                <w:tab w:val="clear" w:pos="425"/>
              </w:tabs>
              <w:ind w:left="383" w:hanging="383"/>
              <w:rPr>
                <w:sz w:val="18"/>
                <w:szCs w:val="18"/>
              </w:rPr>
            </w:pPr>
            <w:r w:rsidRPr="00B6627B">
              <w:rPr>
                <w:rFonts w:cs="Arial"/>
                <w:sz w:val="18"/>
                <w:szCs w:val="18"/>
              </w:rPr>
              <w:t>≤</w:t>
            </w:r>
            <w:r w:rsidRPr="00B6627B">
              <w:rPr>
                <w:sz w:val="18"/>
                <w:szCs w:val="18"/>
              </w:rPr>
              <w:t xml:space="preserve"> 0,005</w:t>
            </w:r>
          </w:p>
        </w:tc>
        <w:tc>
          <w:tcPr>
            <w:tcW w:w="2268" w:type="dxa"/>
            <w:tcBorders>
              <w:top w:val="single" w:sz="6" w:space="0" w:color="auto"/>
              <w:left w:val="single" w:sz="6" w:space="0" w:color="auto"/>
              <w:bottom w:val="single" w:sz="6" w:space="0" w:color="auto"/>
              <w:right w:val="single" w:sz="6" w:space="0" w:color="auto"/>
            </w:tcBorders>
          </w:tcPr>
          <w:p w:rsidR="00B674C4" w:rsidRPr="00B6627B" w:rsidRDefault="00B674C4" w:rsidP="00A37297">
            <w:pPr>
              <w:tabs>
                <w:tab w:val="clear" w:pos="425"/>
              </w:tabs>
              <w:jc w:val="left"/>
              <w:rPr>
                <w:sz w:val="18"/>
                <w:szCs w:val="18"/>
              </w:rPr>
            </w:pPr>
            <w:r w:rsidRPr="00B6627B">
              <w:rPr>
                <w:sz w:val="18"/>
                <w:szCs w:val="18"/>
              </w:rPr>
              <w:t>DPD-Methode (Diäthyl-p-Phenylen</w:t>
            </w:r>
            <w:r w:rsidRPr="00B6627B">
              <w:rPr>
                <w:sz w:val="18"/>
                <w:szCs w:val="18"/>
              </w:rPr>
              <w:softHyphen/>
              <w:t>diamin)</w:t>
            </w:r>
          </w:p>
        </w:tc>
        <w:tc>
          <w:tcPr>
            <w:tcW w:w="2126" w:type="dxa"/>
            <w:tcBorders>
              <w:top w:val="single" w:sz="6" w:space="0" w:color="auto"/>
              <w:left w:val="single" w:sz="6" w:space="0" w:color="auto"/>
              <w:bottom w:val="single" w:sz="6" w:space="0" w:color="auto"/>
              <w:right w:val="single" w:sz="6" w:space="0" w:color="auto"/>
            </w:tcBorders>
          </w:tcPr>
          <w:p w:rsidR="00B674C4" w:rsidRPr="00B6627B" w:rsidRDefault="00B674C4" w:rsidP="00A37297">
            <w:pPr>
              <w:tabs>
                <w:tab w:val="clear" w:pos="425"/>
              </w:tabs>
              <w:rPr>
                <w:sz w:val="18"/>
                <w:szCs w:val="18"/>
              </w:rPr>
            </w:pPr>
            <w:r w:rsidRPr="00B6627B">
              <w:rPr>
                <w:sz w:val="18"/>
                <w:szCs w:val="18"/>
              </w:rPr>
              <w:t>Monatlich</w:t>
            </w:r>
          </w:p>
          <w:p w:rsidR="00B674C4" w:rsidRPr="00B6627B" w:rsidRDefault="00B674C4" w:rsidP="00A37297">
            <w:pPr>
              <w:tabs>
                <w:tab w:val="clear" w:pos="425"/>
              </w:tabs>
              <w:rPr>
                <w:sz w:val="18"/>
                <w:szCs w:val="18"/>
              </w:rPr>
            </w:pPr>
          </w:p>
        </w:tc>
        <w:tc>
          <w:tcPr>
            <w:tcW w:w="3160" w:type="dxa"/>
            <w:tcBorders>
              <w:top w:val="single" w:sz="6" w:space="0" w:color="auto"/>
              <w:left w:val="single" w:sz="6" w:space="0" w:color="auto"/>
              <w:bottom w:val="single" w:sz="6" w:space="0" w:color="auto"/>
              <w:right w:val="single" w:sz="6" w:space="0" w:color="auto"/>
            </w:tcBorders>
          </w:tcPr>
          <w:p w:rsidR="00B674C4" w:rsidRDefault="00B674C4" w:rsidP="00A37297">
            <w:pPr>
              <w:tabs>
                <w:tab w:val="clear" w:pos="425"/>
              </w:tabs>
              <w:jc w:val="left"/>
              <w:rPr>
                <w:sz w:val="18"/>
                <w:szCs w:val="18"/>
              </w:rPr>
            </w:pPr>
            <w:r w:rsidRPr="00B6627B">
              <w:rPr>
                <w:sz w:val="18"/>
                <w:szCs w:val="18"/>
              </w:rPr>
              <w:t>Die l-Werte entsprechen pH = 6. Höhere Ge</w:t>
            </w:r>
            <w:r w:rsidRPr="00B6627B">
              <w:rPr>
                <w:sz w:val="18"/>
                <w:szCs w:val="18"/>
              </w:rPr>
              <w:softHyphen/>
              <w:t>samtchlorkonzentrationen können bei höheren pH-Werten a</w:t>
            </w:r>
            <w:r w:rsidRPr="00B6627B">
              <w:rPr>
                <w:sz w:val="18"/>
                <w:szCs w:val="18"/>
              </w:rPr>
              <w:t>k</w:t>
            </w:r>
            <w:r>
              <w:rPr>
                <w:sz w:val="18"/>
                <w:szCs w:val="18"/>
              </w:rPr>
              <w:t>zeptiert werden.</w:t>
            </w:r>
          </w:p>
          <w:p w:rsidR="00B674C4" w:rsidRPr="00B6627B" w:rsidRDefault="00B674C4" w:rsidP="00A37297">
            <w:pPr>
              <w:tabs>
                <w:tab w:val="clear" w:pos="425"/>
              </w:tabs>
              <w:jc w:val="left"/>
              <w:rPr>
                <w:sz w:val="18"/>
                <w:szCs w:val="18"/>
              </w:rPr>
            </w:pPr>
          </w:p>
        </w:tc>
      </w:tr>
      <w:tr w:rsidR="00B674C4" w:rsidRPr="00B6627B">
        <w:tc>
          <w:tcPr>
            <w:tcW w:w="1418" w:type="dxa"/>
            <w:tcBorders>
              <w:top w:val="single" w:sz="6" w:space="0" w:color="auto"/>
              <w:left w:val="single" w:sz="6" w:space="0" w:color="auto"/>
              <w:bottom w:val="single" w:sz="6" w:space="0" w:color="auto"/>
              <w:right w:val="single" w:sz="6" w:space="0" w:color="auto"/>
            </w:tcBorders>
          </w:tcPr>
          <w:p w:rsidR="00B674C4" w:rsidRPr="00B6627B" w:rsidRDefault="00B674C4" w:rsidP="00A37297">
            <w:pPr>
              <w:tabs>
                <w:tab w:val="clear" w:pos="425"/>
              </w:tabs>
              <w:ind w:left="284" w:hanging="284"/>
              <w:rPr>
                <w:sz w:val="18"/>
                <w:szCs w:val="18"/>
              </w:rPr>
            </w:pPr>
            <w:r w:rsidRPr="00B6627B">
              <w:rPr>
                <w:sz w:val="18"/>
                <w:szCs w:val="18"/>
              </w:rPr>
              <w:t>13.</w:t>
            </w:r>
            <w:r w:rsidRPr="00B6627B">
              <w:rPr>
                <w:sz w:val="18"/>
                <w:szCs w:val="18"/>
              </w:rPr>
              <w:tab/>
              <w:t xml:space="preserve">Gesamtzink </w:t>
            </w:r>
            <w:r w:rsidRPr="00B6627B">
              <w:rPr>
                <w:sz w:val="18"/>
                <w:szCs w:val="18"/>
              </w:rPr>
              <w:br/>
              <w:t>(mg/l Zn)</w:t>
            </w:r>
          </w:p>
        </w:tc>
        <w:tc>
          <w:tcPr>
            <w:tcW w:w="1364" w:type="dxa"/>
            <w:tcBorders>
              <w:top w:val="single" w:sz="6" w:space="0" w:color="auto"/>
              <w:left w:val="nil"/>
              <w:bottom w:val="single" w:sz="6" w:space="0" w:color="auto"/>
              <w:right w:val="single" w:sz="6" w:space="0" w:color="auto"/>
            </w:tcBorders>
          </w:tcPr>
          <w:p w:rsidR="00B674C4" w:rsidRPr="00B6627B" w:rsidRDefault="00B674C4" w:rsidP="00A37297">
            <w:pPr>
              <w:tabs>
                <w:tab w:val="clear" w:pos="425"/>
              </w:tabs>
              <w:ind w:left="383" w:hanging="383"/>
              <w:rPr>
                <w:sz w:val="18"/>
                <w:szCs w:val="18"/>
              </w:rPr>
            </w:pPr>
          </w:p>
        </w:tc>
        <w:tc>
          <w:tcPr>
            <w:tcW w:w="1364" w:type="dxa"/>
            <w:tcBorders>
              <w:top w:val="single" w:sz="6" w:space="0" w:color="auto"/>
              <w:left w:val="nil"/>
              <w:bottom w:val="single" w:sz="6" w:space="0" w:color="auto"/>
              <w:right w:val="single" w:sz="6" w:space="0" w:color="auto"/>
            </w:tcBorders>
          </w:tcPr>
          <w:p w:rsidR="00B674C4" w:rsidRPr="00B6627B" w:rsidRDefault="00B674C4" w:rsidP="00A37297">
            <w:pPr>
              <w:tabs>
                <w:tab w:val="clear" w:pos="425"/>
              </w:tabs>
              <w:ind w:left="383" w:hanging="383"/>
              <w:rPr>
                <w:sz w:val="18"/>
                <w:szCs w:val="18"/>
              </w:rPr>
            </w:pPr>
            <w:r w:rsidRPr="00B6627B">
              <w:rPr>
                <w:rFonts w:cs="Arial"/>
                <w:sz w:val="18"/>
                <w:szCs w:val="18"/>
              </w:rPr>
              <w:t>≤</w:t>
            </w:r>
            <w:r w:rsidRPr="00B6627B">
              <w:rPr>
                <w:sz w:val="18"/>
                <w:szCs w:val="18"/>
              </w:rPr>
              <w:t xml:space="preserve"> 0,3</w:t>
            </w:r>
          </w:p>
        </w:tc>
        <w:tc>
          <w:tcPr>
            <w:tcW w:w="1364" w:type="dxa"/>
            <w:tcBorders>
              <w:top w:val="single" w:sz="6" w:space="0" w:color="auto"/>
              <w:left w:val="nil"/>
              <w:bottom w:val="single" w:sz="6" w:space="0" w:color="auto"/>
              <w:right w:val="single" w:sz="6" w:space="0" w:color="auto"/>
            </w:tcBorders>
          </w:tcPr>
          <w:p w:rsidR="00B674C4" w:rsidRPr="00B6627B" w:rsidRDefault="00B674C4" w:rsidP="00A37297">
            <w:pPr>
              <w:tabs>
                <w:tab w:val="clear" w:pos="425"/>
              </w:tabs>
              <w:ind w:left="383" w:hanging="383"/>
              <w:rPr>
                <w:sz w:val="18"/>
                <w:szCs w:val="18"/>
              </w:rPr>
            </w:pPr>
          </w:p>
        </w:tc>
        <w:tc>
          <w:tcPr>
            <w:tcW w:w="1364" w:type="dxa"/>
            <w:tcBorders>
              <w:top w:val="single" w:sz="6" w:space="0" w:color="auto"/>
              <w:left w:val="nil"/>
              <w:bottom w:val="single" w:sz="6" w:space="0" w:color="auto"/>
              <w:right w:val="single" w:sz="6" w:space="0" w:color="auto"/>
            </w:tcBorders>
          </w:tcPr>
          <w:p w:rsidR="00B674C4" w:rsidRPr="00B6627B" w:rsidRDefault="00B674C4" w:rsidP="00A37297">
            <w:pPr>
              <w:tabs>
                <w:tab w:val="clear" w:pos="425"/>
              </w:tabs>
              <w:ind w:left="383" w:hanging="383"/>
              <w:rPr>
                <w:sz w:val="18"/>
                <w:szCs w:val="18"/>
              </w:rPr>
            </w:pPr>
            <w:r w:rsidRPr="00B6627B">
              <w:rPr>
                <w:rFonts w:cs="Arial"/>
                <w:sz w:val="18"/>
                <w:szCs w:val="18"/>
              </w:rPr>
              <w:t>≤</w:t>
            </w:r>
            <w:r w:rsidRPr="00B6627B">
              <w:rPr>
                <w:sz w:val="18"/>
                <w:szCs w:val="18"/>
              </w:rPr>
              <w:t xml:space="preserve"> 1,0</w:t>
            </w:r>
          </w:p>
        </w:tc>
        <w:tc>
          <w:tcPr>
            <w:tcW w:w="2268" w:type="dxa"/>
            <w:tcBorders>
              <w:top w:val="single" w:sz="6" w:space="0" w:color="auto"/>
              <w:left w:val="single" w:sz="6" w:space="0" w:color="auto"/>
              <w:bottom w:val="single" w:sz="6" w:space="0" w:color="auto"/>
              <w:right w:val="single" w:sz="6" w:space="0" w:color="auto"/>
            </w:tcBorders>
          </w:tcPr>
          <w:p w:rsidR="00B674C4" w:rsidRPr="00B6627B" w:rsidRDefault="00B674C4" w:rsidP="00A37297">
            <w:pPr>
              <w:tabs>
                <w:tab w:val="clear" w:pos="425"/>
              </w:tabs>
              <w:rPr>
                <w:sz w:val="18"/>
                <w:szCs w:val="18"/>
              </w:rPr>
            </w:pPr>
            <w:r w:rsidRPr="00B6627B">
              <w:rPr>
                <w:sz w:val="18"/>
                <w:szCs w:val="18"/>
              </w:rPr>
              <w:t>Atomabsorptionsspek</w:t>
            </w:r>
            <w:r w:rsidRPr="00B6627B">
              <w:rPr>
                <w:sz w:val="18"/>
                <w:szCs w:val="18"/>
              </w:rPr>
              <w:softHyphen/>
              <w:t>trometrie</w:t>
            </w:r>
          </w:p>
        </w:tc>
        <w:tc>
          <w:tcPr>
            <w:tcW w:w="2126" w:type="dxa"/>
            <w:tcBorders>
              <w:top w:val="single" w:sz="6" w:space="0" w:color="auto"/>
              <w:left w:val="single" w:sz="6" w:space="0" w:color="auto"/>
              <w:bottom w:val="single" w:sz="6" w:space="0" w:color="auto"/>
              <w:right w:val="single" w:sz="6" w:space="0" w:color="auto"/>
            </w:tcBorders>
          </w:tcPr>
          <w:p w:rsidR="00B674C4" w:rsidRPr="00B6627B" w:rsidRDefault="00B674C4" w:rsidP="00A37297">
            <w:pPr>
              <w:tabs>
                <w:tab w:val="clear" w:pos="425"/>
              </w:tabs>
              <w:rPr>
                <w:sz w:val="18"/>
                <w:szCs w:val="18"/>
              </w:rPr>
            </w:pPr>
            <w:r w:rsidRPr="00B6627B">
              <w:rPr>
                <w:sz w:val="18"/>
                <w:szCs w:val="18"/>
              </w:rPr>
              <w:t>Monatlich</w:t>
            </w:r>
          </w:p>
        </w:tc>
        <w:tc>
          <w:tcPr>
            <w:tcW w:w="3160" w:type="dxa"/>
            <w:tcBorders>
              <w:top w:val="single" w:sz="6" w:space="0" w:color="auto"/>
              <w:left w:val="single" w:sz="6" w:space="0" w:color="auto"/>
              <w:bottom w:val="single" w:sz="6" w:space="0" w:color="auto"/>
              <w:right w:val="single" w:sz="6" w:space="0" w:color="auto"/>
            </w:tcBorders>
          </w:tcPr>
          <w:p w:rsidR="00B674C4" w:rsidRPr="00B6627B" w:rsidRDefault="00B674C4" w:rsidP="00A37297">
            <w:pPr>
              <w:tabs>
                <w:tab w:val="clear" w:pos="425"/>
              </w:tabs>
              <w:rPr>
                <w:sz w:val="18"/>
                <w:szCs w:val="18"/>
              </w:rPr>
            </w:pPr>
            <w:r w:rsidRPr="00B6627B">
              <w:rPr>
                <w:sz w:val="18"/>
                <w:szCs w:val="18"/>
              </w:rPr>
              <w:t>Die I-Werte entsprechen einer Härte des Wassers von 100 mg/l CaCO</w:t>
            </w:r>
            <w:r w:rsidRPr="00B6627B">
              <w:rPr>
                <w:sz w:val="18"/>
                <w:szCs w:val="18"/>
                <w:vertAlign w:val="subscript"/>
              </w:rPr>
              <w:t>3</w:t>
            </w:r>
            <w:r w:rsidRPr="00B6627B">
              <w:rPr>
                <w:sz w:val="18"/>
                <w:szCs w:val="18"/>
              </w:rPr>
              <w:t xml:space="preserve">) Für Härtegrade zwischen 10 und 500 </w:t>
            </w:r>
            <w:r w:rsidRPr="00B6627B">
              <w:rPr>
                <w:sz w:val="18"/>
                <w:szCs w:val="18"/>
              </w:rPr>
              <w:lastRenderedPageBreak/>
              <w:t>mg/l siehe ent</w:t>
            </w:r>
            <w:r w:rsidRPr="00B6627B">
              <w:rPr>
                <w:sz w:val="18"/>
                <w:szCs w:val="18"/>
              </w:rPr>
              <w:softHyphen/>
              <w:t>sprechende Grenzwe</w:t>
            </w:r>
            <w:r w:rsidRPr="00B6627B">
              <w:rPr>
                <w:sz w:val="18"/>
                <w:szCs w:val="18"/>
              </w:rPr>
              <w:t>r</w:t>
            </w:r>
            <w:r w:rsidRPr="00B6627B">
              <w:rPr>
                <w:sz w:val="18"/>
                <w:szCs w:val="18"/>
              </w:rPr>
              <w:t>te in Anhang II</w:t>
            </w:r>
          </w:p>
        </w:tc>
      </w:tr>
      <w:tr w:rsidR="00B674C4" w:rsidRPr="00B6627B">
        <w:tc>
          <w:tcPr>
            <w:tcW w:w="1418" w:type="dxa"/>
            <w:tcBorders>
              <w:top w:val="single" w:sz="6" w:space="0" w:color="auto"/>
              <w:left w:val="single" w:sz="6" w:space="0" w:color="auto"/>
              <w:bottom w:val="single" w:sz="6" w:space="0" w:color="auto"/>
              <w:right w:val="single" w:sz="6" w:space="0" w:color="auto"/>
            </w:tcBorders>
          </w:tcPr>
          <w:p w:rsidR="00B674C4" w:rsidRPr="00B6627B" w:rsidRDefault="00B674C4" w:rsidP="00A37297">
            <w:pPr>
              <w:tabs>
                <w:tab w:val="clear" w:pos="425"/>
              </w:tabs>
              <w:ind w:left="284" w:hanging="284"/>
              <w:rPr>
                <w:sz w:val="18"/>
                <w:szCs w:val="18"/>
              </w:rPr>
            </w:pPr>
            <w:r w:rsidRPr="00B6627B">
              <w:rPr>
                <w:sz w:val="18"/>
                <w:szCs w:val="18"/>
              </w:rPr>
              <w:lastRenderedPageBreak/>
              <w:t>14.</w:t>
            </w:r>
            <w:r w:rsidRPr="00B6627B">
              <w:rPr>
                <w:sz w:val="18"/>
                <w:szCs w:val="18"/>
              </w:rPr>
              <w:tab/>
              <w:t>Gelöstes Kupfer</w:t>
            </w:r>
            <w:r>
              <w:rPr>
                <w:sz w:val="18"/>
                <w:szCs w:val="18"/>
              </w:rPr>
              <w:br/>
            </w:r>
            <w:r w:rsidRPr="00B6627B">
              <w:rPr>
                <w:sz w:val="18"/>
                <w:szCs w:val="18"/>
              </w:rPr>
              <w:t>(mg/l Cu)</w:t>
            </w:r>
          </w:p>
        </w:tc>
        <w:tc>
          <w:tcPr>
            <w:tcW w:w="1364" w:type="dxa"/>
            <w:tcBorders>
              <w:top w:val="single" w:sz="6" w:space="0" w:color="auto"/>
              <w:left w:val="nil"/>
              <w:bottom w:val="single" w:sz="6" w:space="0" w:color="auto"/>
              <w:right w:val="single" w:sz="6" w:space="0" w:color="auto"/>
            </w:tcBorders>
          </w:tcPr>
          <w:p w:rsidR="00B674C4" w:rsidRPr="00B6627B" w:rsidRDefault="00B674C4" w:rsidP="00A37297">
            <w:pPr>
              <w:tabs>
                <w:tab w:val="clear" w:pos="425"/>
              </w:tabs>
              <w:ind w:left="383" w:hanging="383"/>
              <w:rPr>
                <w:sz w:val="18"/>
                <w:szCs w:val="18"/>
              </w:rPr>
            </w:pPr>
            <w:r w:rsidRPr="00B6627B">
              <w:rPr>
                <w:rFonts w:cs="Arial"/>
                <w:sz w:val="18"/>
                <w:szCs w:val="18"/>
              </w:rPr>
              <w:t>≤</w:t>
            </w:r>
            <w:r w:rsidRPr="00B6627B">
              <w:rPr>
                <w:sz w:val="18"/>
                <w:szCs w:val="18"/>
              </w:rPr>
              <w:t xml:space="preserve"> 0,04</w:t>
            </w:r>
          </w:p>
        </w:tc>
        <w:tc>
          <w:tcPr>
            <w:tcW w:w="1364" w:type="dxa"/>
            <w:tcBorders>
              <w:top w:val="single" w:sz="6" w:space="0" w:color="auto"/>
              <w:left w:val="nil"/>
              <w:bottom w:val="single" w:sz="6" w:space="0" w:color="auto"/>
              <w:right w:val="single" w:sz="6" w:space="0" w:color="auto"/>
            </w:tcBorders>
          </w:tcPr>
          <w:p w:rsidR="00B674C4" w:rsidRPr="00B6627B" w:rsidRDefault="00B674C4" w:rsidP="00A37297">
            <w:pPr>
              <w:tabs>
                <w:tab w:val="clear" w:pos="425"/>
              </w:tabs>
              <w:ind w:left="383" w:hanging="383"/>
              <w:rPr>
                <w:sz w:val="18"/>
                <w:szCs w:val="18"/>
              </w:rPr>
            </w:pPr>
          </w:p>
        </w:tc>
        <w:tc>
          <w:tcPr>
            <w:tcW w:w="1364" w:type="dxa"/>
            <w:tcBorders>
              <w:top w:val="single" w:sz="6" w:space="0" w:color="auto"/>
              <w:left w:val="nil"/>
              <w:bottom w:val="single" w:sz="6" w:space="0" w:color="auto"/>
              <w:right w:val="single" w:sz="6" w:space="0" w:color="auto"/>
            </w:tcBorders>
          </w:tcPr>
          <w:p w:rsidR="00B674C4" w:rsidRPr="00B6627B" w:rsidRDefault="00B674C4" w:rsidP="00A37297">
            <w:pPr>
              <w:tabs>
                <w:tab w:val="clear" w:pos="425"/>
              </w:tabs>
              <w:ind w:left="383" w:hanging="383"/>
              <w:rPr>
                <w:sz w:val="18"/>
                <w:szCs w:val="18"/>
              </w:rPr>
            </w:pPr>
            <w:r w:rsidRPr="00B6627B">
              <w:rPr>
                <w:rFonts w:cs="Arial"/>
                <w:sz w:val="18"/>
                <w:szCs w:val="18"/>
              </w:rPr>
              <w:t>≤</w:t>
            </w:r>
            <w:r w:rsidRPr="00B6627B">
              <w:rPr>
                <w:sz w:val="18"/>
                <w:szCs w:val="18"/>
              </w:rPr>
              <w:t xml:space="preserve"> 0,04</w:t>
            </w:r>
          </w:p>
        </w:tc>
        <w:tc>
          <w:tcPr>
            <w:tcW w:w="1364" w:type="dxa"/>
            <w:tcBorders>
              <w:top w:val="single" w:sz="6" w:space="0" w:color="auto"/>
              <w:left w:val="nil"/>
              <w:bottom w:val="single" w:sz="6" w:space="0" w:color="auto"/>
              <w:right w:val="single" w:sz="6" w:space="0" w:color="auto"/>
            </w:tcBorders>
          </w:tcPr>
          <w:p w:rsidR="00B674C4" w:rsidRPr="00B6627B" w:rsidRDefault="00B674C4" w:rsidP="00A37297">
            <w:pPr>
              <w:tabs>
                <w:tab w:val="clear" w:pos="425"/>
              </w:tabs>
              <w:ind w:left="383" w:hanging="383"/>
              <w:rPr>
                <w:sz w:val="18"/>
                <w:szCs w:val="18"/>
              </w:rPr>
            </w:pPr>
          </w:p>
        </w:tc>
        <w:tc>
          <w:tcPr>
            <w:tcW w:w="2268" w:type="dxa"/>
            <w:tcBorders>
              <w:top w:val="single" w:sz="6" w:space="0" w:color="auto"/>
              <w:left w:val="single" w:sz="6" w:space="0" w:color="auto"/>
              <w:bottom w:val="single" w:sz="6" w:space="0" w:color="auto"/>
              <w:right w:val="single" w:sz="6" w:space="0" w:color="auto"/>
            </w:tcBorders>
          </w:tcPr>
          <w:p w:rsidR="00B674C4" w:rsidRPr="00B6627B" w:rsidRDefault="00B674C4" w:rsidP="00A37297">
            <w:pPr>
              <w:tabs>
                <w:tab w:val="clear" w:pos="425"/>
              </w:tabs>
              <w:rPr>
                <w:sz w:val="18"/>
                <w:szCs w:val="18"/>
              </w:rPr>
            </w:pPr>
            <w:r w:rsidRPr="00B6627B">
              <w:rPr>
                <w:sz w:val="18"/>
                <w:szCs w:val="18"/>
              </w:rPr>
              <w:t>Atomabsorptionsspek</w:t>
            </w:r>
            <w:r w:rsidRPr="00B6627B">
              <w:rPr>
                <w:sz w:val="18"/>
                <w:szCs w:val="18"/>
              </w:rPr>
              <w:softHyphen/>
              <w:t>trometrie</w:t>
            </w:r>
          </w:p>
        </w:tc>
        <w:tc>
          <w:tcPr>
            <w:tcW w:w="2126" w:type="dxa"/>
            <w:tcBorders>
              <w:top w:val="single" w:sz="6" w:space="0" w:color="auto"/>
              <w:left w:val="single" w:sz="6" w:space="0" w:color="auto"/>
              <w:bottom w:val="single" w:sz="6" w:space="0" w:color="auto"/>
              <w:right w:val="single" w:sz="6" w:space="0" w:color="auto"/>
            </w:tcBorders>
          </w:tcPr>
          <w:p w:rsidR="00B674C4" w:rsidRPr="00B6627B" w:rsidRDefault="00B674C4" w:rsidP="00A37297">
            <w:pPr>
              <w:tabs>
                <w:tab w:val="clear" w:pos="425"/>
              </w:tabs>
              <w:rPr>
                <w:sz w:val="18"/>
                <w:szCs w:val="18"/>
              </w:rPr>
            </w:pPr>
          </w:p>
        </w:tc>
        <w:tc>
          <w:tcPr>
            <w:tcW w:w="3160" w:type="dxa"/>
            <w:tcBorders>
              <w:top w:val="single" w:sz="6" w:space="0" w:color="auto"/>
              <w:left w:val="single" w:sz="6" w:space="0" w:color="auto"/>
              <w:bottom w:val="single" w:sz="6" w:space="0" w:color="auto"/>
              <w:right w:val="single" w:sz="6" w:space="0" w:color="auto"/>
            </w:tcBorders>
          </w:tcPr>
          <w:p w:rsidR="00B674C4" w:rsidRPr="00B6627B" w:rsidRDefault="00B674C4" w:rsidP="00A37297">
            <w:pPr>
              <w:tabs>
                <w:tab w:val="clear" w:pos="425"/>
              </w:tabs>
              <w:rPr>
                <w:sz w:val="18"/>
                <w:szCs w:val="18"/>
              </w:rPr>
            </w:pPr>
            <w:r w:rsidRPr="00B6627B">
              <w:rPr>
                <w:sz w:val="18"/>
                <w:szCs w:val="18"/>
              </w:rPr>
              <w:t xml:space="preserve">Die </w:t>
            </w:r>
            <w:r>
              <w:rPr>
                <w:sz w:val="18"/>
                <w:szCs w:val="18"/>
              </w:rPr>
              <w:t>G</w:t>
            </w:r>
            <w:r w:rsidRPr="00B6627B">
              <w:rPr>
                <w:sz w:val="18"/>
                <w:szCs w:val="18"/>
              </w:rPr>
              <w:t>-Werte entsprechen einer Härte des Wassers von 100 mg/l CaCO</w:t>
            </w:r>
            <w:r w:rsidRPr="00B6627B">
              <w:rPr>
                <w:sz w:val="18"/>
                <w:szCs w:val="18"/>
                <w:vertAlign w:val="subscript"/>
              </w:rPr>
              <w:t>3</w:t>
            </w:r>
            <w:r w:rsidRPr="00B6627B">
              <w:rPr>
                <w:sz w:val="18"/>
                <w:szCs w:val="18"/>
              </w:rPr>
              <w:t xml:space="preserve">) Für Härtegrade zwischen 10 und </w:t>
            </w:r>
            <w:r>
              <w:rPr>
                <w:sz w:val="18"/>
                <w:szCs w:val="18"/>
              </w:rPr>
              <w:t>3</w:t>
            </w:r>
            <w:r w:rsidRPr="00B6627B">
              <w:rPr>
                <w:sz w:val="18"/>
                <w:szCs w:val="18"/>
              </w:rPr>
              <w:t>00 mg/l siehe ent</w:t>
            </w:r>
            <w:r w:rsidRPr="00B6627B">
              <w:rPr>
                <w:sz w:val="18"/>
                <w:szCs w:val="18"/>
              </w:rPr>
              <w:softHyphen/>
              <w:t>sprechende Grenzwe</w:t>
            </w:r>
            <w:r w:rsidRPr="00B6627B">
              <w:rPr>
                <w:sz w:val="18"/>
                <w:szCs w:val="18"/>
              </w:rPr>
              <w:t>r</w:t>
            </w:r>
            <w:r w:rsidRPr="00B6627B">
              <w:rPr>
                <w:sz w:val="18"/>
                <w:szCs w:val="18"/>
              </w:rPr>
              <w:t>te in Anhang II</w:t>
            </w:r>
          </w:p>
        </w:tc>
      </w:tr>
      <w:tr w:rsidR="00B674C4" w:rsidRPr="00B6627B">
        <w:tc>
          <w:tcPr>
            <w:tcW w:w="14428" w:type="dxa"/>
            <w:gridSpan w:val="8"/>
            <w:tcBorders>
              <w:top w:val="single" w:sz="6" w:space="0" w:color="auto"/>
              <w:left w:val="single" w:sz="6" w:space="0" w:color="auto"/>
              <w:bottom w:val="single" w:sz="6" w:space="0" w:color="auto"/>
              <w:right w:val="single" w:sz="6" w:space="0" w:color="auto"/>
            </w:tcBorders>
          </w:tcPr>
          <w:p w:rsidR="00B674C4" w:rsidRPr="00662887" w:rsidRDefault="00B674C4" w:rsidP="00A37297">
            <w:pPr>
              <w:tabs>
                <w:tab w:val="clear" w:pos="425"/>
              </w:tabs>
              <w:ind w:left="284" w:hanging="284"/>
              <w:rPr>
                <w:sz w:val="16"/>
                <w:szCs w:val="16"/>
              </w:rPr>
            </w:pPr>
            <w:r w:rsidRPr="00662887">
              <w:rPr>
                <w:sz w:val="16"/>
                <w:szCs w:val="16"/>
                <w:vertAlign w:val="superscript"/>
              </w:rPr>
              <w:t>1</w:t>
            </w:r>
            <w:r w:rsidRPr="00662887">
              <w:rPr>
                <w:sz w:val="16"/>
                <w:szCs w:val="16"/>
              </w:rPr>
              <w:t>)</w:t>
            </w:r>
            <w:r w:rsidRPr="00662887">
              <w:rPr>
                <w:sz w:val="16"/>
                <w:szCs w:val="16"/>
              </w:rPr>
              <w:tab/>
              <w:t xml:space="preserve">Die künstlichen Änderungen des pH-Wertes gegenüber den nicht beeinträchtigten Werten dürfen im Bereich zwischen 6,0 und 9,0 nicht mehr als </w:t>
            </w:r>
            <w:r w:rsidRPr="00662887">
              <w:rPr>
                <w:sz w:val="16"/>
                <w:szCs w:val="16"/>
              </w:rPr>
              <w:sym w:font="Symbol" w:char="F0B1"/>
            </w:r>
            <w:r w:rsidRPr="00662887">
              <w:rPr>
                <w:sz w:val="16"/>
                <w:szCs w:val="16"/>
              </w:rPr>
              <w:t xml:space="preserve"> 0,5 pH-Einheiten betragen, vorausgesetzt, daß durch diese Änderungen die Schädlichkeit anderer im Wasser vorhandener Stoffe nicht erhöht wird.</w:t>
            </w:r>
          </w:p>
          <w:p w:rsidR="00B674C4" w:rsidRPr="00662887" w:rsidRDefault="00B674C4" w:rsidP="00A37297">
            <w:pPr>
              <w:tabs>
                <w:tab w:val="clear" w:pos="425"/>
              </w:tabs>
              <w:ind w:left="284" w:hanging="284"/>
              <w:rPr>
                <w:sz w:val="16"/>
                <w:szCs w:val="16"/>
              </w:rPr>
            </w:pPr>
            <w:r w:rsidRPr="00662887">
              <w:rPr>
                <w:sz w:val="16"/>
                <w:szCs w:val="16"/>
                <w:vertAlign w:val="superscript"/>
              </w:rPr>
              <w:t>2</w:t>
            </w:r>
            <w:r w:rsidRPr="00662887">
              <w:rPr>
                <w:sz w:val="16"/>
                <w:szCs w:val="16"/>
              </w:rPr>
              <w:t>)</w:t>
            </w:r>
            <w:r w:rsidRPr="00662887">
              <w:rPr>
                <w:sz w:val="16"/>
                <w:szCs w:val="16"/>
              </w:rPr>
              <w:tab/>
              <w:t>Die phenolhaltigen Verbindungen dürfen nicht in solchen Konzentrationen vorhanden sein, daß sie den Wohlgeschmack des Fisches beeinträchtigen.</w:t>
            </w:r>
          </w:p>
          <w:p w:rsidR="00B674C4" w:rsidRPr="00662887" w:rsidRDefault="00B674C4" w:rsidP="00A37297">
            <w:pPr>
              <w:tabs>
                <w:tab w:val="clear" w:pos="425"/>
              </w:tabs>
              <w:ind w:left="284" w:hanging="284"/>
              <w:rPr>
                <w:sz w:val="16"/>
                <w:szCs w:val="16"/>
              </w:rPr>
            </w:pPr>
            <w:r w:rsidRPr="00662887">
              <w:rPr>
                <w:sz w:val="16"/>
                <w:szCs w:val="16"/>
                <w:vertAlign w:val="superscript"/>
              </w:rPr>
              <w:t>3</w:t>
            </w:r>
            <w:r w:rsidRPr="00662887">
              <w:rPr>
                <w:sz w:val="16"/>
                <w:szCs w:val="16"/>
              </w:rPr>
              <w:t>)</w:t>
            </w:r>
            <w:r w:rsidRPr="00662887">
              <w:rPr>
                <w:sz w:val="16"/>
                <w:szCs w:val="16"/>
              </w:rPr>
              <w:tab/>
              <w:t>Die Ölkohlenwasserstoffe dürfen im Wasser nicht in solchen Mengen vorhanden sein, daß sie:</w:t>
            </w:r>
          </w:p>
          <w:p w:rsidR="00B674C4" w:rsidRPr="00662887" w:rsidRDefault="00B674C4" w:rsidP="00A37297">
            <w:pPr>
              <w:tabs>
                <w:tab w:val="clear" w:pos="425"/>
                <w:tab w:val="left" w:pos="567"/>
              </w:tabs>
              <w:ind w:left="284" w:hanging="284"/>
              <w:rPr>
                <w:sz w:val="16"/>
                <w:szCs w:val="16"/>
              </w:rPr>
            </w:pPr>
            <w:r w:rsidRPr="00662887">
              <w:rPr>
                <w:sz w:val="16"/>
                <w:szCs w:val="16"/>
              </w:rPr>
              <w:tab/>
              <w:t>-</w:t>
            </w:r>
            <w:r w:rsidRPr="00662887">
              <w:rPr>
                <w:sz w:val="16"/>
                <w:szCs w:val="16"/>
              </w:rPr>
              <w:tab/>
              <w:t>an der Wasseroberfläche einen sichtbaren Film bilden oder das Bett der Wasserläufe und Seen mit einer Schicht überziehen;</w:t>
            </w:r>
          </w:p>
          <w:p w:rsidR="00B674C4" w:rsidRPr="00662887" w:rsidRDefault="00B674C4" w:rsidP="00A37297">
            <w:pPr>
              <w:tabs>
                <w:tab w:val="clear" w:pos="425"/>
                <w:tab w:val="left" w:pos="567"/>
              </w:tabs>
              <w:ind w:left="284" w:hanging="284"/>
              <w:rPr>
                <w:sz w:val="16"/>
                <w:szCs w:val="16"/>
              </w:rPr>
            </w:pPr>
            <w:r w:rsidRPr="00662887">
              <w:rPr>
                <w:sz w:val="16"/>
                <w:szCs w:val="16"/>
              </w:rPr>
              <w:tab/>
              <w:t>-</w:t>
            </w:r>
            <w:r w:rsidRPr="00662887">
              <w:rPr>
                <w:sz w:val="16"/>
                <w:szCs w:val="16"/>
              </w:rPr>
              <w:tab/>
              <w:t>den Fischen einen wahrnehmbaren Kohlenwasserstoff-Geschmack geben;</w:t>
            </w:r>
          </w:p>
          <w:p w:rsidR="00B674C4" w:rsidRPr="00662887" w:rsidRDefault="00B674C4" w:rsidP="00A37297">
            <w:pPr>
              <w:tabs>
                <w:tab w:val="clear" w:pos="425"/>
                <w:tab w:val="left" w:pos="567"/>
              </w:tabs>
              <w:ind w:left="284" w:hanging="284"/>
              <w:rPr>
                <w:sz w:val="16"/>
                <w:szCs w:val="16"/>
              </w:rPr>
            </w:pPr>
            <w:r w:rsidRPr="00662887">
              <w:rPr>
                <w:sz w:val="16"/>
                <w:szCs w:val="16"/>
              </w:rPr>
              <w:tab/>
              <w:t>-</w:t>
            </w:r>
            <w:r w:rsidRPr="00662887">
              <w:rPr>
                <w:sz w:val="16"/>
                <w:szCs w:val="16"/>
              </w:rPr>
              <w:tab/>
              <w:t>bei den Fischen Schäden verursachen.</w:t>
            </w:r>
          </w:p>
          <w:p w:rsidR="00B674C4" w:rsidRPr="00B6627B" w:rsidRDefault="00B674C4" w:rsidP="00A37297">
            <w:pPr>
              <w:tabs>
                <w:tab w:val="clear" w:pos="425"/>
              </w:tabs>
              <w:ind w:left="284" w:hanging="284"/>
              <w:rPr>
                <w:sz w:val="18"/>
                <w:szCs w:val="18"/>
              </w:rPr>
            </w:pPr>
            <w:r w:rsidRPr="00662887">
              <w:rPr>
                <w:sz w:val="16"/>
                <w:szCs w:val="16"/>
                <w:vertAlign w:val="superscript"/>
              </w:rPr>
              <w:t>4</w:t>
            </w:r>
            <w:r w:rsidRPr="00662887">
              <w:rPr>
                <w:sz w:val="16"/>
                <w:szCs w:val="16"/>
              </w:rPr>
              <w:t>)</w:t>
            </w:r>
            <w:r w:rsidRPr="00662887">
              <w:rPr>
                <w:sz w:val="16"/>
                <w:szCs w:val="16"/>
              </w:rPr>
              <w:tab/>
              <w:t>Bei besonderen geographischen oder klimatischen Verhältnissen, insbesondere im Falle niedriger Wassertemperaturen und einer verminderten Nitrifikation, oder wenn die zuständige Behörde nachweisen kann, daß sich keine schädlichen Folgen für die ausgewogene Entwicklung des Fischbestands ergeben, kön</w:t>
            </w:r>
            <w:r w:rsidRPr="00662887">
              <w:rPr>
                <w:sz w:val="16"/>
                <w:szCs w:val="16"/>
              </w:rPr>
              <w:softHyphen/>
              <w:t>nen die Mitgliedstaaten höhere Werte als 1 mg/l festsetzen.</w:t>
            </w:r>
          </w:p>
        </w:tc>
      </w:tr>
    </w:tbl>
    <w:p w:rsidR="00B674C4" w:rsidRDefault="00B674C4" w:rsidP="00B674C4"/>
    <w:p w:rsidR="00B674C4" w:rsidRDefault="00B674C4" w:rsidP="00B674C4">
      <w:pPr>
        <w:tabs>
          <w:tab w:val="clear" w:pos="425"/>
        </w:tabs>
      </w:pPr>
      <w:r>
        <w:t>Allgemeine Bemerkung</w:t>
      </w:r>
    </w:p>
    <w:p w:rsidR="00B674C4" w:rsidRDefault="00B674C4" w:rsidP="00B674C4">
      <w:pPr>
        <w:tabs>
          <w:tab w:val="clear" w:pos="425"/>
        </w:tabs>
      </w:pPr>
      <w:r>
        <w:t>Es wird darauf hingewiesen, daß bei der Festlegung der Werte der Parameter davon ausgegangen wurde, daß die in diesem Anhang in Betracht gezogenen bzw. nicht in Betracht gezogenen anderen Parameter günstig sind. Das bedeutet insbesondere, daß die Konzentrationen an sonstigen schädlichen Stoffen sehr schwach sind.</w:t>
      </w:r>
    </w:p>
    <w:p w:rsidR="00B674C4" w:rsidRDefault="00B674C4" w:rsidP="00B674C4">
      <w:pPr>
        <w:tabs>
          <w:tab w:val="clear" w:pos="425"/>
        </w:tabs>
      </w:pPr>
      <w:r>
        <w:t>Treten gleichzeitig zwei oder mehrere schädliche Stoffe als Gemisch auf, so können gemeinsame Wirkungen (additive, synergetische oder antagonistische Wir</w:t>
      </w:r>
      <w:r>
        <w:softHyphen/>
        <w:t>kungen) von Bedeutung sein.</w:t>
      </w:r>
    </w:p>
    <w:p w:rsidR="00B674C4" w:rsidRDefault="00B674C4" w:rsidP="00B674C4">
      <w:pPr>
        <w:tabs>
          <w:tab w:val="clear" w:pos="425"/>
        </w:tabs>
      </w:pPr>
      <w:r>
        <w:t>Abkürzungen:</w:t>
      </w:r>
    </w:p>
    <w:p w:rsidR="00B674C4" w:rsidRDefault="00B674C4" w:rsidP="00B674C4">
      <w:pPr>
        <w:tabs>
          <w:tab w:val="clear" w:pos="425"/>
          <w:tab w:val="left" w:pos="426"/>
        </w:tabs>
      </w:pPr>
      <w:r>
        <w:t>G</w:t>
      </w:r>
      <w:r>
        <w:tab/>
        <w:t>= Richtwert</w:t>
      </w:r>
    </w:p>
    <w:p w:rsidR="00B674C4" w:rsidRDefault="00B674C4" w:rsidP="00B674C4">
      <w:pPr>
        <w:tabs>
          <w:tab w:val="clear" w:pos="425"/>
          <w:tab w:val="left" w:pos="426"/>
        </w:tabs>
      </w:pPr>
      <w:r>
        <w:t>I</w:t>
      </w:r>
      <w:r>
        <w:tab/>
        <w:t>= Imperativer Wert</w:t>
      </w:r>
    </w:p>
    <w:p w:rsidR="00B674C4" w:rsidRDefault="00B674C4" w:rsidP="00B674C4">
      <w:pPr>
        <w:tabs>
          <w:tab w:val="clear" w:pos="425"/>
          <w:tab w:val="left" w:pos="426"/>
        </w:tabs>
      </w:pPr>
      <w:r>
        <w:t>(0)</w:t>
      </w:r>
      <w:r>
        <w:tab/>
        <w:t>= Abweichungen gemäß Artikel 11 sind möglich.</w:t>
      </w:r>
    </w:p>
    <w:p w:rsidR="00B674C4" w:rsidRDefault="00B674C4" w:rsidP="00B674C4">
      <w:pPr>
        <w:tabs>
          <w:tab w:val="clear" w:pos="425"/>
          <w:tab w:val="left" w:pos="426"/>
        </w:tabs>
      </w:pPr>
    </w:p>
    <w:p w:rsidR="00B674C4" w:rsidRDefault="00B674C4" w:rsidP="00B674C4">
      <w:pPr>
        <w:tabs>
          <w:tab w:val="clear" w:pos="425"/>
        </w:tabs>
        <w:sectPr w:rsidR="00B674C4">
          <w:pgSz w:w="16840" w:h="11907" w:orient="landscape" w:code="9"/>
          <w:pgMar w:top="1418" w:right="1134" w:bottom="851" w:left="1134" w:header="567" w:footer="851" w:gutter="0"/>
          <w:cols w:space="720"/>
        </w:sectPr>
      </w:pPr>
    </w:p>
    <w:p w:rsidR="00B674C4" w:rsidRDefault="00B674C4" w:rsidP="00B674C4">
      <w:pPr>
        <w:pStyle w:val="berschrift2"/>
        <w:jc w:val="left"/>
      </w:pPr>
      <w:bookmarkStart w:id="29" w:name="_Toc417195509"/>
      <w:bookmarkStart w:id="30" w:name="_Toc473610599"/>
      <w:bookmarkStart w:id="31" w:name="_Toc129490556"/>
      <w:r>
        <w:lastRenderedPageBreak/>
        <w:t>Anhang II</w:t>
      </w:r>
      <w:bookmarkStart w:id="32" w:name="_Toc417195510"/>
      <w:bookmarkEnd w:id="29"/>
      <w:r>
        <w:br/>
        <w:t>Besondere Angaben für Gesamtzink und Gelöstes Kupfer</w:t>
      </w:r>
      <w:bookmarkEnd w:id="30"/>
      <w:bookmarkEnd w:id="31"/>
      <w:bookmarkEnd w:id="32"/>
    </w:p>
    <w:p w:rsidR="00B674C4" w:rsidRDefault="00B674C4" w:rsidP="00B674C4">
      <w:pPr>
        <w:pStyle w:val="GesAbsatz"/>
        <w:jc w:val="center"/>
        <w:rPr>
          <w:b/>
        </w:rPr>
      </w:pPr>
      <w:bookmarkStart w:id="33" w:name="_Toc417195511"/>
      <w:bookmarkStart w:id="34" w:name="_Toc473610600"/>
    </w:p>
    <w:p w:rsidR="00B674C4" w:rsidRDefault="00B674C4" w:rsidP="00B674C4">
      <w:pPr>
        <w:pStyle w:val="GesAbsatz"/>
        <w:jc w:val="center"/>
        <w:rPr>
          <w:b/>
        </w:rPr>
      </w:pPr>
      <w:r>
        <w:rPr>
          <w:b/>
        </w:rPr>
        <w:t>Gesamtzink</w:t>
      </w:r>
      <w:bookmarkEnd w:id="33"/>
      <w:bookmarkEnd w:id="34"/>
    </w:p>
    <w:p w:rsidR="00B674C4" w:rsidRDefault="00B674C4" w:rsidP="00B674C4">
      <w:pPr>
        <w:tabs>
          <w:tab w:val="clear" w:pos="425"/>
        </w:tabs>
        <w:jc w:val="center"/>
      </w:pPr>
      <w:r>
        <w:t>(Siehe Anhang I, Nummer 13, Spalte „Bemerkungen“)</w:t>
      </w:r>
    </w:p>
    <w:p w:rsidR="00B674C4" w:rsidRDefault="00B674C4" w:rsidP="00B674C4">
      <w:pPr>
        <w:tabs>
          <w:tab w:val="clear" w:pos="425"/>
        </w:tabs>
      </w:pPr>
    </w:p>
    <w:p w:rsidR="00B674C4" w:rsidRDefault="00B674C4" w:rsidP="00B674C4">
      <w:pPr>
        <w:tabs>
          <w:tab w:val="clear" w:pos="425"/>
        </w:tabs>
      </w:pPr>
      <w:r>
        <w:t>Zinkkonzentrationen (mg/l Zn) je nach den verschiedenen Wasserhärtegraden zwischen 10 und 500 mg/l CaCO</w:t>
      </w:r>
      <w:r>
        <w:rPr>
          <w:vertAlign w:val="subscript"/>
        </w:rPr>
        <w:t>3</w:t>
      </w:r>
      <w:r>
        <w:t>:</w:t>
      </w:r>
    </w:p>
    <w:p w:rsidR="00B674C4" w:rsidRDefault="00B674C4" w:rsidP="00B674C4">
      <w:pPr>
        <w:tabs>
          <w:tab w:val="clear" w:pos="425"/>
        </w:tabs>
      </w:pPr>
    </w:p>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2977"/>
        <w:gridCol w:w="1701"/>
        <w:gridCol w:w="1701"/>
        <w:gridCol w:w="1701"/>
        <w:gridCol w:w="1701"/>
      </w:tblGrid>
      <w:tr w:rsidR="00B674C4">
        <w:tc>
          <w:tcPr>
            <w:tcW w:w="2977" w:type="dxa"/>
            <w:tcBorders>
              <w:top w:val="single" w:sz="6" w:space="0" w:color="auto"/>
              <w:bottom w:val="nil"/>
              <w:right w:val="single" w:sz="6" w:space="0" w:color="auto"/>
            </w:tcBorders>
          </w:tcPr>
          <w:p w:rsidR="00B674C4" w:rsidRDefault="00B674C4" w:rsidP="00A37297">
            <w:pPr>
              <w:tabs>
                <w:tab w:val="clear" w:pos="425"/>
              </w:tabs>
            </w:pPr>
          </w:p>
        </w:tc>
        <w:tc>
          <w:tcPr>
            <w:tcW w:w="6804" w:type="dxa"/>
            <w:gridSpan w:val="4"/>
            <w:tcBorders>
              <w:top w:val="single" w:sz="6" w:space="0" w:color="auto"/>
              <w:left w:val="nil"/>
              <w:bottom w:val="single" w:sz="6" w:space="0" w:color="auto"/>
            </w:tcBorders>
          </w:tcPr>
          <w:p w:rsidR="00B674C4" w:rsidRDefault="00B674C4" w:rsidP="00A37297">
            <w:pPr>
              <w:tabs>
                <w:tab w:val="clear" w:pos="425"/>
              </w:tabs>
              <w:jc w:val="center"/>
            </w:pPr>
            <w:r>
              <w:t>Wasserhärte (mg/l CaCO</w:t>
            </w:r>
            <w:r>
              <w:rPr>
                <w:vertAlign w:val="subscript"/>
              </w:rPr>
              <w:t>3</w:t>
            </w:r>
            <w:r>
              <w:t>)</w:t>
            </w:r>
          </w:p>
        </w:tc>
      </w:tr>
      <w:tr w:rsidR="00B674C4">
        <w:tc>
          <w:tcPr>
            <w:tcW w:w="2977" w:type="dxa"/>
            <w:tcBorders>
              <w:top w:val="nil"/>
              <w:bottom w:val="nil"/>
              <w:right w:val="single" w:sz="6" w:space="0" w:color="auto"/>
            </w:tcBorders>
          </w:tcPr>
          <w:p w:rsidR="00B674C4" w:rsidRDefault="00B674C4" w:rsidP="00A37297">
            <w:pPr>
              <w:tabs>
                <w:tab w:val="clear" w:pos="425"/>
              </w:tabs>
            </w:pPr>
          </w:p>
        </w:tc>
        <w:tc>
          <w:tcPr>
            <w:tcW w:w="1701" w:type="dxa"/>
            <w:tcBorders>
              <w:top w:val="nil"/>
              <w:left w:val="nil"/>
              <w:bottom w:val="nil"/>
              <w:right w:val="single" w:sz="6" w:space="0" w:color="auto"/>
            </w:tcBorders>
          </w:tcPr>
          <w:p w:rsidR="00B674C4" w:rsidRDefault="00B674C4" w:rsidP="00A37297">
            <w:pPr>
              <w:tabs>
                <w:tab w:val="clear" w:pos="425"/>
              </w:tabs>
              <w:jc w:val="center"/>
            </w:pPr>
            <w:r>
              <w:t>10</w:t>
            </w:r>
          </w:p>
        </w:tc>
        <w:tc>
          <w:tcPr>
            <w:tcW w:w="1701" w:type="dxa"/>
            <w:tcBorders>
              <w:top w:val="nil"/>
              <w:left w:val="nil"/>
              <w:bottom w:val="nil"/>
              <w:right w:val="single" w:sz="6" w:space="0" w:color="auto"/>
            </w:tcBorders>
          </w:tcPr>
          <w:p w:rsidR="00B674C4" w:rsidRDefault="00B674C4" w:rsidP="00A37297">
            <w:pPr>
              <w:tabs>
                <w:tab w:val="clear" w:pos="425"/>
              </w:tabs>
              <w:jc w:val="center"/>
            </w:pPr>
            <w:r>
              <w:t>50</w:t>
            </w:r>
          </w:p>
        </w:tc>
        <w:tc>
          <w:tcPr>
            <w:tcW w:w="1701" w:type="dxa"/>
            <w:tcBorders>
              <w:top w:val="nil"/>
              <w:left w:val="nil"/>
              <w:bottom w:val="nil"/>
              <w:right w:val="single" w:sz="6" w:space="0" w:color="auto"/>
            </w:tcBorders>
          </w:tcPr>
          <w:p w:rsidR="00B674C4" w:rsidRDefault="00B674C4" w:rsidP="00A37297">
            <w:pPr>
              <w:tabs>
                <w:tab w:val="clear" w:pos="425"/>
              </w:tabs>
              <w:jc w:val="center"/>
            </w:pPr>
            <w:r>
              <w:t>100</w:t>
            </w:r>
          </w:p>
        </w:tc>
        <w:tc>
          <w:tcPr>
            <w:tcW w:w="1701" w:type="dxa"/>
            <w:tcBorders>
              <w:left w:val="nil"/>
              <w:bottom w:val="nil"/>
            </w:tcBorders>
          </w:tcPr>
          <w:p w:rsidR="00B674C4" w:rsidRDefault="00B674C4" w:rsidP="00A37297">
            <w:pPr>
              <w:tabs>
                <w:tab w:val="clear" w:pos="425"/>
              </w:tabs>
              <w:jc w:val="center"/>
            </w:pPr>
            <w:r>
              <w:t>500</w:t>
            </w:r>
          </w:p>
        </w:tc>
      </w:tr>
      <w:tr w:rsidR="00B674C4">
        <w:tc>
          <w:tcPr>
            <w:tcW w:w="2977" w:type="dxa"/>
            <w:tcBorders>
              <w:top w:val="single" w:sz="6" w:space="0" w:color="auto"/>
              <w:left w:val="single" w:sz="6" w:space="0" w:color="auto"/>
              <w:bottom w:val="single" w:sz="6" w:space="0" w:color="auto"/>
              <w:right w:val="single" w:sz="6" w:space="0" w:color="auto"/>
            </w:tcBorders>
          </w:tcPr>
          <w:p w:rsidR="00B674C4" w:rsidRDefault="00B674C4" w:rsidP="00A37297">
            <w:pPr>
              <w:tabs>
                <w:tab w:val="clear" w:pos="425"/>
              </w:tabs>
            </w:pPr>
            <w:r>
              <w:t>Salmonidengewässer (mg/l Zn)</w:t>
            </w:r>
          </w:p>
        </w:tc>
        <w:tc>
          <w:tcPr>
            <w:tcW w:w="1701" w:type="dxa"/>
            <w:tcBorders>
              <w:top w:val="single" w:sz="6" w:space="0" w:color="auto"/>
              <w:left w:val="single" w:sz="6" w:space="0" w:color="auto"/>
              <w:bottom w:val="single" w:sz="6" w:space="0" w:color="auto"/>
              <w:right w:val="single" w:sz="6" w:space="0" w:color="auto"/>
            </w:tcBorders>
          </w:tcPr>
          <w:p w:rsidR="00B674C4" w:rsidRDefault="00B674C4" w:rsidP="00A37297">
            <w:pPr>
              <w:tabs>
                <w:tab w:val="clear" w:pos="425"/>
                <w:tab w:val="decimal" w:pos="709"/>
              </w:tabs>
            </w:pPr>
            <w:r>
              <w:t>0,03</w:t>
            </w:r>
          </w:p>
        </w:tc>
        <w:tc>
          <w:tcPr>
            <w:tcW w:w="1701" w:type="dxa"/>
            <w:tcBorders>
              <w:top w:val="single" w:sz="6" w:space="0" w:color="auto"/>
              <w:left w:val="single" w:sz="6" w:space="0" w:color="auto"/>
              <w:bottom w:val="single" w:sz="6" w:space="0" w:color="auto"/>
              <w:right w:val="single" w:sz="6" w:space="0" w:color="auto"/>
            </w:tcBorders>
          </w:tcPr>
          <w:p w:rsidR="00B674C4" w:rsidRDefault="00B674C4" w:rsidP="00A37297">
            <w:pPr>
              <w:tabs>
                <w:tab w:val="clear" w:pos="425"/>
                <w:tab w:val="decimal" w:pos="709"/>
              </w:tabs>
            </w:pPr>
            <w:r>
              <w:t>0,2</w:t>
            </w:r>
          </w:p>
        </w:tc>
        <w:tc>
          <w:tcPr>
            <w:tcW w:w="1701" w:type="dxa"/>
            <w:tcBorders>
              <w:top w:val="single" w:sz="6" w:space="0" w:color="auto"/>
              <w:left w:val="single" w:sz="6" w:space="0" w:color="auto"/>
              <w:bottom w:val="single" w:sz="6" w:space="0" w:color="auto"/>
              <w:right w:val="single" w:sz="6" w:space="0" w:color="auto"/>
            </w:tcBorders>
          </w:tcPr>
          <w:p w:rsidR="00B674C4" w:rsidRDefault="00B674C4" w:rsidP="00A37297">
            <w:pPr>
              <w:tabs>
                <w:tab w:val="clear" w:pos="425"/>
                <w:tab w:val="decimal" w:pos="709"/>
              </w:tabs>
            </w:pPr>
            <w:r>
              <w:t>0,3</w:t>
            </w:r>
          </w:p>
        </w:tc>
        <w:tc>
          <w:tcPr>
            <w:tcW w:w="1701" w:type="dxa"/>
            <w:tcBorders>
              <w:top w:val="single" w:sz="6" w:space="0" w:color="auto"/>
              <w:left w:val="single" w:sz="6" w:space="0" w:color="auto"/>
              <w:bottom w:val="single" w:sz="6" w:space="0" w:color="auto"/>
              <w:right w:val="single" w:sz="6" w:space="0" w:color="auto"/>
            </w:tcBorders>
          </w:tcPr>
          <w:p w:rsidR="00B674C4" w:rsidRDefault="00B674C4" w:rsidP="00A37297">
            <w:pPr>
              <w:tabs>
                <w:tab w:val="clear" w:pos="425"/>
                <w:tab w:val="decimal" w:pos="709"/>
              </w:tabs>
            </w:pPr>
            <w:r>
              <w:t>0,5</w:t>
            </w:r>
          </w:p>
        </w:tc>
      </w:tr>
      <w:tr w:rsidR="00B674C4">
        <w:tc>
          <w:tcPr>
            <w:tcW w:w="2977" w:type="dxa"/>
            <w:tcBorders>
              <w:top w:val="single" w:sz="6" w:space="0" w:color="auto"/>
              <w:left w:val="single" w:sz="6" w:space="0" w:color="auto"/>
              <w:bottom w:val="single" w:sz="6" w:space="0" w:color="auto"/>
              <w:right w:val="single" w:sz="6" w:space="0" w:color="auto"/>
            </w:tcBorders>
          </w:tcPr>
          <w:p w:rsidR="00B674C4" w:rsidRDefault="00B674C4" w:rsidP="00A37297">
            <w:pPr>
              <w:tabs>
                <w:tab w:val="clear" w:pos="425"/>
              </w:tabs>
            </w:pPr>
            <w:r>
              <w:t>Cyprinidengewässer (mg/l Zn)</w:t>
            </w:r>
          </w:p>
        </w:tc>
        <w:tc>
          <w:tcPr>
            <w:tcW w:w="1701" w:type="dxa"/>
            <w:tcBorders>
              <w:top w:val="single" w:sz="6" w:space="0" w:color="auto"/>
              <w:left w:val="single" w:sz="6" w:space="0" w:color="auto"/>
              <w:bottom w:val="single" w:sz="6" w:space="0" w:color="auto"/>
              <w:right w:val="single" w:sz="6" w:space="0" w:color="auto"/>
            </w:tcBorders>
          </w:tcPr>
          <w:p w:rsidR="00B674C4" w:rsidRDefault="00B674C4" w:rsidP="00A37297">
            <w:pPr>
              <w:tabs>
                <w:tab w:val="clear" w:pos="425"/>
                <w:tab w:val="decimal" w:pos="709"/>
              </w:tabs>
            </w:pPr>
            <w:r>
              <w:t>0,3</w:t>
            </w:r>
          </w:p>
        </w:tc>
        <w:tc>
          <w:tcPr>
            <w:tcW w:w="1701" w:type="dxa"/>
            <w:tcBorders>
              <w:top w:val="single" w:sz="6" w:space="0" w:color="auto"/>
              <w:left w:val="single" w:sz="6" w:space="0" w:color="auto"/>
              <w:bottom w:val="single" w:sz="6" w:space="0" w:color="auto"/>
              <w:right w:val="single" w:sz="6" w:space="0" w:color="auto"/>
            </w:tcBorders>
          </w:tcPr>
          <w:p w:rsidR="00B674C4" w:rsidRDefault="00B674C4" w:rsidP="00A37297">
            <w:pPr>
              <w:tabs>
                <w:tab w:val="clear" w:pos="425"/>
                <w:tab w:val="decimal" w:pos="709"/>
              </w:tabs>
            </w:pPr>
            <w:r>
              <w:t>0,7</w:t>
            </w:r>
          </w:p>
        </w:tc>
        <w:tc>
          <w:tcPr>
            <w:tcW w:w="1701" w:type="dxa"/>
            <w:tcBorders>
              <w:top w:val="single" w:sz="6" w:space="0" w:color="auto"/>
              <w:left w:val="single" w:sz="6" w:space="0" w:color="auto"/>
              <w:bottom w:val="single" w:sz="6" w:space="0" w:color="auto"/>
              <w:right w:val="single" w:sz="6" w:space="0" w:color="auto"/>
            </w:tcBorders>
          </w:tcPr>
          <w:p w:rsidR="00B674C4" w:rsidRDefault="00B674C4" w:rsidP="00A37297">
            <w:pPr>
              <w:tabs>
                <w:tab w:val="clear" w:pos="425"/>
                <w:tab w:val="decimal" w:pos="709"/>
              </w:tabs>
            </w:pPr>
            <w:r>
              <w:t>1,0</w:t>
            </w:r>
          </w:p>
        </w:tc>
        <w:tc>
          <w:tcPr>
            <w:tcW w:w="1701" w:type="dxa"/>
            <w:tcBorders>
              <w:top w:val="single" w:sz="6" w:space="0" w:color="auto"/>
              <w:left w:val="single" w:sz="6" w:space="0" w:color="auto"/>
              <w:bottom w:val="single" w:sz="6" w:space="0" w:color="auto"/>
              <w:right w:val="single" w:sz="6" w:space="0" w:color="auto"/>
            </w:tcBorders>
          </w:tcPr>
          <w:p w:rsidR="00B674C4" w:rsidRDefault="00B674C4" w:rsidP="00A37297">
            <w:pPr>
              <w:tabs>
                <w:tab w:val="clear" w:pos="425"/>
                <w:tab w:val="decimal" w:pos="709"/>
              </w:tabs>
            </w:pPr>
            <w:r>
              <w:t>2,0</w:t>
            </w:r>
          </w:p>
        </w:tc>
      </w:tr>
    </w:tbl>
    <w:p w:rsidR="00B674C4" w:rsidRDefault="00B674C4" w:rsidP="00B674C4">
      <w:pPr>
        <w:tabs>
          <w:tab w:val="clear" w:pos="425"/>
        </w:tabs>
      </w:pPr>
    </w:p>
    <w:p w:rsidR="00B674C4" w:rsidRDefault="00B674C4" w:rsidP="00B674C4">
      <w:pPr>
        <w:pStyle w:val="GesAbsatz"/>
        <w:jc w:val="center"/>
        <w:rPr>
          <w:b/>
        </w:rPr>
      </w:pPr>
      <w:bookmarkStart w:id="35" w:name="_Toc417195512"/>
      <w:bookmarkStart w:id="36" w:name="_Toc473610601"/>
      <w:r>
        <w:rPr>
          <w:b/>
        </w:rPr>
        <w:t>Gelöstes Kupfer</w:t>
      </w:r>
      <w:bookmarkEnd w:id="35"/>
      <w:bookmarkEnd w:id="36"/>
    </w:p>
    <w:p w:rsidR="00B674C4" w:rsidRDefault="00B674C4" w:rsidP="00B674C4">
      <w:pPr>
        <w:tabs>
          <w:tab w:val="clear" w:pos="425"/>
        </w:tabs>
        <w:jc w:val="center"/>
      </w:pPr>
      <w:r>
        <w:t>(Siehe Anhang I, Nummer 14, Spalte „Bemerkungen“)</w:t>
      </w:r>
    </w:p>
    <w:p w:rsidR="00B674C4" w:rsidRDefault="00B674C4" w:rsidP="00B674C4">
      <w:pPr>
        <w:tabs>
          <w:tab w:val="clear" w:pos="425"/>
        </w:tabs>
      </w:pPr>
    </w:p>
    <w:p w:rsidR="00B674C4" w:rsidRPr="0095703D" w:rsidRDefault="00B674C4" w:rsidP="00B674C4">
      <w:pPr>
        <w:tabs>
          <w:tab w:val="clear" w:pos="425"/>
        </w:tabs>
      </w:pPr>
      <w:r>
        <w:t>Konzentrationen an gelöstem Kupfer (mg/l Cu) je nach den verschiedenen Wasserhärtegraden zwischen 10 und 300 mg/l CaCO</w:t>
      </w:r>
      <w:r>
        <w:rPr>
          <w:vertAlign w:val="subscript"/>
        </w:rPr>
        <w:t>3</w:t>
      </w:r>
      <w:r>
        <w:t>:</w:t>
      </w:r>
    </w:p>
    <w:p w:rsidR="00B674C4" w:rsidRDefault="00B674C4" w:rsidP="00B674C4">
      <w:pPr>
        <w:tabs>
          <w:tab w:val="clear" w:pos="425"/>
        </w:tabs>
      </w:pPr>
    </w:p>
    <w:tbl>
      <w:tblPr>
        <w:tblW w:w="9781"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2977"/>
        <w:gridCol w:w="1701"/>
        <w:gridCol w:w="1701"/>
        <w:gridCol w:w="1701"/>
        <w:gridCol w:w="1701"/>
      </w:tblGrid>
      <w:tr w:rsidR="00B674C4">
        <w:tc>
          <w:tcPr>
            <w:tcW w:w="2977" w:type="dxa"/>
            <w:tcBorders>
              <w:top w:val="single" w:sz="6" w:space="0" w:color="auto"/>
              <w:bottom w:val="nil"/>
              <w:right w:val="single" w:sz="6" w:space="0" w:color="auto"/>
            </w:tcBorders>
          </w:tcPr>
          <w:p w:rsidR="00B674C4" w:rsidRDefault="00B674C4" w:rsidP="00A37297">
            <w:pPr>
              <w:tabs>
                <w:tab w:val="clear" w:pos="425"/>
              </w:tabs>
            </w:pPr>
          </w:p>
        </w:tc>
        <w:tc>
          <w:tcPr>
            <w:tcW w:w="6804" w:type="dxa"/>
            <w:gridSpan w:val="4"/>
            <w:tcBorders>
              <w:top w:val="single" w:sz="6" w:space="0" w:color="auto"/>
              <w:left w:val="nil"/>
              <w:bottom w:val="single" w:sz="6" w:space="0" w:color="auto"/>
            </w:tcBorders>
          </w:tcPr>
          <w:p w:rsidR="00B674C4" w:rsidRDefault="00B674C4" w:rsidP="00A37297">
            <w:pPr>
              <w:tabs>
                <w:tab w:val="clear" w:pos="425"/>
              </w:tabs>
              <w:jc w:val="center"/>
            </w:pPr>
            <w:r>
              <w:t>Wasserhärte (mg/l CaCO</w:t>
            </w:r>
            <w:r>
              <w:rPr>
                <w:vertAlign w:val="subscript"/>
              </w:rPr>
              <w:t>3</w:t>
            </w:r>
            <w:r>
              <w:t>)</w:t>
            </w:r>
          </w:p>
        </w:tc>
      </w:tr>
      <w:tr w:rsidR="00B674C4">
        <w:tc>
          <w:tcPr>
            <w:tcW w:w="2977" w:type="dxa"/>
            <w:tcBorders>
              <w:top w:val="nil"/>
              <w:bottom w:val="nil"/>
              <w:right w:val="single" w:sz="6" w:space="0" w:color="auto"/>
            </w:tcBorders>
          </w:tcPr>
          <w:p w:rsidR="00B674C4" w:rsidRDefault="00B674C4" w:rsidP="00A37297">
            <w:pPr>
              <w:tabs>
                <w:tab w:val="clear" w:pos="425"/>
              </w:tabs>
            </w:pPr>
          </w:p>
        </w:tc>
        <w:tc>
          <w:tcPr>
            <w:tcW w:w="1701" w:type="dxa"/>
            <w:tcBorders>
              <w:top w:val="nil"/>
              <w:left w:val="nil"/>
              <w:bottom w:val="nil"/>
              <w:right w:val="single" w:sz="6" w:space="0" w:color="auto"/>
            </w:tcBorders>
          </w:tcPr>
          <w:p w:rsidR="00B674C4" w:rsidRDefault="00B674C4" w:rsidP="00A37297">
            <w:pPr>
              <w:tabs>
                <w:tab w:val="clear" w:pos="425"/>
              </w:tabs>
              <w:jc w:val="center"/>
            </w:pPr>
            <w:r>
              <w:t>10</w:t>
            </w:r>
          </w:p>
        </w:tc>
        <w:tc>
          <w:tcPr>
            <w:tcW w:w="1701" w:type="dxa"/>
            <w:tcBorders>
              <w:top w:val="nil"/>
              <w:left w:val="nil"/>
              <w:bottom w:val="nil"/>
              <w:right w:val="single" w:sz="6" w:space="0" w:color="auto"/>
            </w:tcBorders>
          </w:tcPr>
          <w:p w:rsidR="00B674C4" w:rsidRDefault="00B674C4" w:rsidP="00A37297">
            <w:pPr>
              <w:tabs>
                <w:tab w:val="clear" w:pos="425"/>
              </w:tabs>
              <w:jc w:val="center"/>
            </w:pPr>
            <w:r>
              <w:t>50</w:t>
            </w:r>
          </w:p>
        </w:tc>
        <w:tc>
          <w:tcPr>
            <w:tcW w:w="1701" w:type="dxa"/>
            <w:tcBorders>
              <w:top w:val="nil"/>
              <w:left w:val="nil"/>
              <w:bottom w:val="nil"/>
              <w:right w:val="single" w:sz="6" w:space="0" w:color="auto"/>
            </w:tcBorders>
          </w:tcPr>
          <w:p w:rsidR="00B674C4" w:rsidRDefault="00B674C4" w:rsidP="00A37297">
            <w:pPr>
              <w:tabs>
                <w:tab w:val="clear" w:pos="425"/>
              </w:tabs>
              <w:jc w:val="center"/>
            </w:pPr>
            <w:r>
              <w:t>100</w:t>
            </w:r>
          </w:p>
        </w:tc>
        <w:tc>
          <w:tcPr>
            <w:tcW w:w="1701" w:type="dxa"/>
            <w:tcBorders>
              <w:left w:val="nil"/>
              <w:bottom w:val="nil"/>
            </w:tcBorders>
          </w:tcPr>
          <w:p w:rsidR="00B674C4" w:rsidRDefault="00B674C4" w:rsidP="00A37297">
            <w:pPr>
              <w:tabs>
                <w:tab w:val="clear" w:pos="425"/>
              </w:tabs>
              <w:jc w:val="center"/>
            </w:pPr>
            <w:r>
              <w:t>500</w:t>
            </w:r>
          </w:p>
        </w:tc>
      </w:tr>
      <w:tr w:rsidR="00B674C4">
        <w:tc>
          <w:tcPr>
            <w:tcW w:w="2977" w:type="dxa"/>
            <w:tcBorders>
              <w:top w:val="single" w:sz="6" w:space="0" w:color="auto"/>
              <w:left w:val="single" w:sz="6" w:space="0" w:color="auto"/>
              <w:bottom w:val="single" w:sz="6" w:space="0" w:color="auto"/>
              <w:right w:val="single" w:sz="6" w:space="0" w:color="auto"/>
            </w:tcBorders>
          </w:tcPr>
          <w:p w:rsidR="00B674C4" w:rsidRDefault="00B674C4" w:rsidP="00A37297">
            <w:pPr>
              <w:tabs>
                <w:tab w:val="clear" w:pos="425"/>
              </w:tabs>
            </w:pPr>
            <w:r>
              <w:t>mg/l Cu</w:t>
            </w:r>
          </w:p>
        </w:tc>
        <w:tc>
          <w:tcPr>
            <w:tcW w:w="1701" w:type="dxa"/>
            <w:tcBorders>
              <w:top w:val="single" w:sz="6" w:space="0" w:color="auto"/>
              <w:left w:val="single" w:sz="6" w:space="0" w:color="auto"/>
              <w:bottom w:val="single" w:sz="6" w:space="0" w:color="auto"/>
              <w:right w:val="single" w:sz="6" w:space="0" w:color="auto"/>
            </w:tcBorders>
          </w:tcPr>
          <w:p w:rsidR="00B674C4" w:rsidRDefault="00B674C4" w:rsidP="00A37297">
            <w:pPr>
              <w:tabs>
                <w:tab w:val="clear" w:pos="425"/>
                <w:tab w:val="decimal" w:pos="709"/>
              </w:tabs>
            </w:pPr>
            <w:r>
              <w:t>0,005(</w:t>
            </w:r>
            <w:r>
              <w:rPr>
                <w:vertAlign w:val="superscript"/>
              </w:rPr>
              <w:t>1</w:t>
            </w:r>
            <w:r>
              <w:t>)</w:t>
            </w:r>
          </w:p>
        </w:tc>
        <w:tc>
          <w:tcPr>
            <w:tcW w:w="1701" w:type="dxa"/>
            <w:tcBorders>
              <w:top w:val="single" w:sz="6" w:space="0" w:color="auto"/>
              <w:left w:val="single" w:sz="6" w:space="0" w:color="auto"/>
              <w:bottom w:val="single" w:sz="6" w:space="0" w:color="auto"/>
              <w:right w:val="single" w:sz="6" w:space="0" w:color="auto"/>
            </w:tcBorders>
          </w:tcPr>
          <w:p w:rsidR="00B674C4" w:rsidRDefault="00B674C4" w:rsidP="00A37297">
            <w:pPr>
              <w:tabs>
                <w:tab w:val="clear" w:pos="425"/>
                <w:tab w:val="decimal" w:pos="709"/>
              </w:tabs>
            </w:pPr>
            <w:r>
              <w:t>0,022</w:t>
            </w:r>
          </w:p>
        </w:tc>
        <w:tc>
          <w:tcPr>
            <w:tcW w:w="1701" w:type="dxa"/>
            <w:tcBorders>
              <w:top w:val="single" w:sz="6" w:space="0" w:color="auto"/>
              <w:left w:val="single" w:sz="6" w:space="0" w:color="auto"/>
              <w:bottom w:val="single" w:sz="6" w:space="0" w:color="auto"/>
              <w:right w:val="single" w:sz="6" w:space="0" w:color="auto"/>
            </w:tcBorders>
          </w:tcPr>
          <w:p w:rsidR="00B674C4" w:rsidRDefault="00B674C4" w:rsidP="00A37297">
            <w:pPr>
              <w:tabs>
                <w:tab w:val="clear" w:pos="425"/>
                <w:tab w:val="decimal" w:pos="709"/>
              </w:tabs>
            </w:pPr>
            <w:r>
              <w:t>0,04</w:t>
            </w:r>
          </w:p>
        </w:tc>
        <w:tc>
          <w:tcPr>
            <w:tcW w:w="1701" w:type="dxa"/>
            <w:tcBorders>
              <w:top w:val="single" w:sz="6" w:space="0" w:color="auto"/>
              <w:left w:val="single" w:sz="6" w:space="0" w:color="auto"/>
              <w:bottom w:val="single" w:sz="6" w:space="0" w:color="auto"/>
              <w:right w:val="single" w:sz="6" w:space="0" w:color="auto"/>
            </w:tcBorders>
          </w:tcPr>
          <w:p w:rsidR="00B674C4" w:rsidRDefault="00B674C4" w:rsidP="00A37297">
            <w:pPr>
              <w:tabs>
                <w:tab w:val="clear" w:pos="425"/>
                <w:tab w:val="decimal" w:pos="709"/>
              </w:tabs>
            </w:pPr>
            <w:r>
              <w:t>0,112</w:t>
            </w:r>
          </w:p>
        </w:tc>
      </w:tr>
      <w:tr w:rsidR="00B674C4">
        <w:tc>
          <w:tcPr>
            <w:tcW w:w="9781" w:type="dxa"/>
            <w:gridSpan w:val="5"/>
            <w:tcBorders>
              <w:top w:val="single" w:sz="6" w:space="0" w:color="auto"/>
              <w:left w:val="single" w:sz="6" w:space="0" w:color="auto"/>
              <w:bottom w:val="single" w:sz="6" w:space="0" w:color="auto"/>
              <w:right w:val="single" w:sz="6" w:space="0" w:color="auto"/>
            </w:tcBorders>
          </w:tcPr>
          <w:p w:rsidR="00B674C4" w:rsidRPr="0095703D" w:rsidRDefault="00B674C4" w:rsidP="00A37297">
            <w:pPr>
              <w:tabs>
                <w:tab w:val="clear" w:pos="425"/>
              </w:tabs>
              <w:rPr>
                <w:sz w:val="16"/>
                <w:szCs w:val="16"/>
              </w:rPr>
            </w:pPr>
            <w:r w:rsidRPr="0095703D">
              <w:rPr>
                <w:sz w:val="16"/>
                <w:szCs w:val="16"/>
              </w:rPr>
              <w:t>(</w:t>
            </w:r>
            <w:r w:rsidRPr="0095703D">
              <w:rPr>
                <w:sz w:val="16"/>
                <w:szCs w:val="16"/>
                <w:vertAlign w:val="superscript"/>
              </w:rPr>
              <w:t>1</w:t>
            </w:r>
            <w:r w:rsidRPr="0095703D">
              <w:rPr>
                <w:sz w:val="16"/>
                <w:szCs w:val="16"/>
              </w:rPr>
              <w:t>) Das Vorhandensein von Fischen in Gewässern mit höheren Kupferkonzentrationen kann auf ein Vor</w:t>
            </w:r>
            <w:r w:rsidRPr="0095703D">
              <w:rPr>
                <w:sz w:val="16"/>
                <w:szCs w:val="16"/>
              </w:rPr>
              <w:softHyphen/>
              <w:t>herrschen gelöster organischer Kupferkomplexe hindeuten.</w:t>
            </w:r>
          </w:p>
        </w:tc>
      </w:tr>
    </w:tbl>
    <w:p w:rsidR="00B674C4" w:rsidRDefault="00B674C4" w:rsidP="00B674C4">
      <w:pPr>
        <w:tabs>
          <w:tab w:val="clear" w:pos="425"/>
        </w:tabs>
      </w:pPr>
    </w:p>
    <w:p w:rsidR="00406F32" w:rsidRPr="0063668C" w:rsidRDefault="00406F32" w:rsidP="00907E79">
      <w:pPr>
        <w:pStyle w:val="GesAbsatz"/>
      </w:pPr>
    </w:p>
    <w:sectPr w:rsidR="00406F32" w:rsidRPr="0063668C">
      <w:headerReference w:type="default" r:id="rId19"/>
      <w:footerReference w:type="even" r:id="rId2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C8F" w:rsidRDefault="00486C8F">
      <w:r>
        <w:separator/>
      </w:r>
    </w:p>
  </w:endnote>
  <w:endnote w:type="continuationSeparator" w:id="0">
    <w:p w:rsidR="00486C8F" w:rsidRDefault="00486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C4" w:rsidRDefault="00B674C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B674C4" w:rsidRDefault="00B674C4">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C4" w:rsidRPr="00FB6546" w:rsidRDefault="00B674C4" w:rsidP="00FB6546">
    <w:pPr>
      <w:pStyle w:val="Fuzeile"/>
    </w:pPr>
    <w:r>
      <w:tab/>
      <w:t>14.</w:t>
    </w:r>
    <w:r w:rsidR="00311E33">
      <w:t>0</w:t>
    </w:r>
    <w:r>
      <w:t>8.</w:t>
    </w:r>
    <w:r w:rsidR="00620832" w:rsidRPr="00FB6546">
      <w:t>19</w:t>
    </w:r>
    <w:r w:rsidRPr="00FB6546">
      <w:t xml:space="preserve">78 (ABl. L 222 </w:t>
    </w:r>
    <w:r w:rsidR="00620832" w:rsidRPr="00FB6546">
      <w:t xml:space="preserve">v. 14.08.1978 </w:t>
    </w:r>
    <w:r w:rsidRPr="00FB6546">
      <w:t>S. 1)</w:t>
    </w:r>
    <w:r w:rsidRPr="00FB6546">
      <w:tab/>
      <w:t xml:space="preserve">Seite </w:t>
    </w:r>
    <w:r w:rsidRPr="00FB6546">
      <w:fldChar w:fldCharType="begin"/>
    </w:r>
    <w:r w:rsidRPr="00FB6546">
      <w:instrText xml:space="preserve"> PAGE  \* MERGEFORMAT </w:instrText>
    </w:r>
    <w:r w:rsidRPr="00FB6546">
      <w:fldChar w:fldCharType="separate"/>
    </w:r>
    <w:r w:rsidR="00F77156">
      <w:rPr>
        <w:noProof/>
      </w:rPr>
      <w:t>1</w:t>
    </w:r>
    <w:r w:rsidRPr="00FB6546">
      <w:fldChar w:fldCharType="end"/>
    </w:r>
  </w:p>
  <w:p w:rsidR="00B674C4" w:rsidRPr="00620832" w:rsidRDefault="00B674C4" w:rsidP="00FB6546">
    <w:pPr>
      <w:pStyle w:val="Fuzeile"/>
    </w:pPr>
    <w:r w:rsidRPr="00FB6546">
      <w:tab/>
      <w:t>Stand 14.</w:t>
    </w:r>
    <w:r w:rsidR="00311E33" w:rsidRPr="00FB6546">
      <w:t>0</w:t>
    </w:r>
    <w:r w:rsidRPr="00FB6546">
      <w:t xml:space="preserve">4.2003 </w:t>
    </w:r>
    <w:r w:rsidRPr="00620832">
      <w:t>(ABl. L 122 v. 16.</w:t>
    </w:r>
    <w:r w:rsidR="00311E33" w:rsidRPr="00620832">
      <w:t>0</w:t>
    </w:r>
    <w:r w:rsidRPr="00620832">
      <w:t>5.2003 S. 36)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15" w:rsidRDefault="00D75E1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75E15" w:rsidRDefault="00D75E15">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C8F" w:rsidRDefault="00486C8F">
      <w:r>
        <w:separator/>
      </w:r>
    </w:p>
  </w:footnote>
  <w:footnote w:type="continuationSeparator" w:id="0">
    <w:p w:rsidR="00486C8F" w:rsidRDefault="00486C8F">
      <w:r>
        <w:continuationSeparator/>
      </w:r>
    </w:p>
  </w:footnote>
  <w:footnote w:id="1">
    <w:p w:rsidR="00B674C4" w:rsidRDefault="00B674C4" w:rsidP="00B674C4">
      <w:pPr>
        <w:pStyle w:val="Funotentext"/>
      </w:pPr>
      <w:r>
        <w:rPr>
          <w:rStyle w:val="Funotenzeichen"/>
        </w:rPr>
        <w:footnoteRef/>
      </w:r>
      <w:r>
        <w:t xml:space="preserve"> ABl. Nr. C 30 vom </w:t>
      </w:r>
      <w:smartTag w:uri="urn:schemas-microsoft-com:office:smarttags" w:element="date">
        <w:smartTagPr>
          <w:attr w:name="Year" w:val="1977"/>
          <w:attr w:name="Day" w:val="7"/>
          <w:attr w:name="Month" w:val="2"/>
          <w:attr w:name="ls" w:val="trans"/>
        </w:smartTagPr>
        <w:r>
          <w:t>7.2.1977</w:t>
        </w:r>
      </w:smartTag>
      <w:r>
        <w:t>, S. 37</w:t>
      </w:r>
    </w:p>
  </w:footnote>
  <w:footnote w:id="2">
    <w:p w:rsidR="00B674C4" w:rsidRDefault="00B674C4" w:rsidP="00B674C4">
      <w:pPr>
        <w:pStyle w:val="Funotentext"/>
      </w:pPr>
      <w:r>
        <w:rPr>
          <w:rStyle w:val="Funotenzeichen"/>
        </w:rPr>
        <w:footnoteRef/>
      </w:r>
      <w:r>
        <w:t xml:space="preserve"> ABl. Nr. C 77 vom </w:t>
      </w:r>
      <w:smartTag w:uri="urn:schemas-microsoft-com:office:smarttags" w:element="date">
        <w:smartTagPr>
          <w:attr w:name="Year" w:val="1977"/>
          <w:attr w:name="Day" w:val="30"/>
          <w:attr w:name="Month" w:val="3"/>
          <w:attr w:name="ls" w:val="trans"/>
        </w:smartTagPr>
        <w:r>
          <w:t>30.3.1977</w:t>
        </w:r>
      </w:smartTag>
      <w:r>
        <w:t>, S. 2</w:t>
      </w:r>
    </w:p>
  </w:footnote>
  <w:footnote w:id="3">
    <w:p w:rsidR="00B674C4" w:rsidRDefault="00B674C4" w:rsidP="00B674C4">
      <w:pPr>
        <w:pStyle w:val="Funotentext"/>
      </w:pPr>
      <w:r>
        <w:rPr>
          <w:rStyle w:val="Funotenzeichen"/>
        </w:rPr>
        <w:footnoteRef/>
      </w:r>
      <w:r>
        <w:t xml:space="preserve"> ABl. Nr. C 112 vom </w:t>
      </w:r>
      <w:smartTag w:uri="urn:schemas-microsoft-com:office:smarttags" w:element="date">
        <w:smartTagPr>
          <w:attr w:name="Year" w:val="1973"/>
          <w:attr w:name="Day" w:val="20"/>
          <w:attr w:name="Month" w:val="12"/>
          <w:attr w:name="ls" w:val="trans"/>
        </w:smartTagPr>
        <w:r>
          <w:t>20.12.1973</w:t>
        </w:r>
      </w:smartTag>
      <w:r>
        <w:t>, S. 3</w:t>
      </w:r>
    </w:p>
  </w:footnote>
  <w:footnote w:id="4">
    <w:p w:rsidR="00B674C4" w:rsidRDefault="00B674C4" w:rsidP="00B674C4">
      <w:pPr>
        <w:pStyle w:val="Funotentext"/>
      </w:pPr>
      <w:r>
        <w:rPr>
          <w:rStyle w:val="Funotenzeichen"/>
        </w:rPr>
        <w:footnoteRef/>
      </w:r>
      <w:r>
        <w:t xml:space="preserve"> ABl. Nr. C 139 vom </w:t>
      </w:r>
      <w:smartTag w:uri="urn:schemas-microsoft-com:office:smarttags" w:element="date">
        <w:smartTagPr>
          <w:attr w:name="Year" w:val="1977"/>
          <w:attr w:name="Day" w:val="13"/>
          <w:attr w:name="Month" w:val="6"/>
          <w:attr w:name="ls" w:val="trans"/>
        </w:smartTagPr>
        <w:r>
          <w:t>13.6.1977</w:t>
        </w:r>
      </w:smartTag>
      <w:r>
        <w:t>, S. 3</w:t>
      </w:r>
    </w:p>
  </w:footnote>
  <w:footnote w:id="5">
    <w:p w:rsidR="00B674C4" w:rsidRPr="00EC1CE0" w:rsidRDefault="00B674C4" w:rsidP="00B674C4">
      <w:pPr>
        <w:pStyle w:val="Funotentext"/>
        <w:rPr>
          <w:szCs w:val="16"/>
        </w:rPr>
      </w:pPr>
      <w:r w:rsidRPr="00EC1CE0">
        <w:rPr>
          <w:rStyle w:val="Funotenzeichen"/>
          <w:szCs w:val="16"/>
        </w:rPr>
        <w:footnoteRef/>
      </w:r>
      <w:r w:rsidRPr="00EC1CE0">
        <w:rPr>
          <w:szCs w:val="16"/>
        </w:rPr>
        <w:t xml:space="preserve"> ABl. L 184 vom </w:t>
      </w:r>
      <w:smartTag w:uri="urn:schemas-microsoft-com:office:smarttags" w:element="date">
        <w:smartTagPr>
          <w:attr w:name="Year" w:val="1999"/>
          <w:attr w:name="Day" w:val="17"/>
          <w:attr w:name="Month" w:val="7"/>
          <w:attr w:name="ls" w:val="trans"/>
        </w:smartTagPr>
        <w:r w:rsidRPr="00EC1CE0">
          <w:rPr>
            <w:szCs w:val="16"/>
          </w:rPr>
          <w:t>17.7.1999</w:t>
        </w:r>
      </w:smartTag>
      <w:r w:rsidRPr="00EC1CE0">
        <w:rPr>
          <w:szCs w:val="16"/>
        </w:rPr>
        <w:t>, S. 23.</w:t>
      </w:r>
    </w:p>
  </w:footnote>
  <w:footnote w:id="6">
    <w:p w:rsidR="00B674C4" w:rsidRPr="00B021EC" w:rsidRDefault="00B674C4" w:rsidP="00B674C4">
      <w:pPr>
        <w:pStyle w:val="Funotentext"/>
        <w:rPr>
          <w:szCs w:val="16"/>
        </w:rPr>
      </w:pPr>
      <w:r w:rsidRPr="00B021EC">
        <w:rPr>
          <w:rStyle w:val="Funotenzeichen"/>
          <w:szCs w:val="16"/>
        </w:rPr>
        <w:footnoteRef/>
      </w:r>
      <w:r w:rsidRPr="00B021EC">
        <w:rPr>
          <w:szCs w:val="16"/>
        </w:rPr>
        <w:t xml:space="preserve"> ABl. L 377 vom </w:t>
      </w:r>
      <w:smartTag w:uri="urn:schemas-microsoft-com:office:smarttags" w:element="date">
        <w:smartTagPr>
          <w:attr w:name="Year" w:val="1991"/>
          <w:attr w:name="Day" w:val="31"/>
          <w:attr w:name="Month" w:val="12"/>
          <w:attr w:name="ls" w:val="trans"/>
        </w:smartTagPr>
        <w:r w:rsidRPr="00B021EC">
          <w:rPr>
            <w:szCs w:val="16"/>
          </w:rPr>
          <w:t>31.12.1991</w:t>
        </w:r>
      </w:smartTag>
      <w:r w:rsidRPr="00B021EC">
        <w:rPr>
          <w:szCs w:val="16"/>
        </w:rPr>
        <w:t>, S. 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C4" w:rsidRDefault="00F77156" w:rsidP="00FB6546">
    <w:pPr>
      <w:pStyle w:val="Kopfzeile0"/>
    </w:pPr>
    <w:r>
      <w:t>Archiv7.60</w:t>
    </w:r>
  </w:p>
  <w:p w:rsidR="00B674C4" w:rsidRDefault="00B674C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15" w:rsidRDefault="00D75E15" w:rsidP="00AB20F7">
    <w:pPr>
      <w:pStyle w:val="Kopfzeile"/>
      <w:rPr>
        <w:b/>
        <w:sz w:val="24"/>
      </w:rPr>
    </w:pPr>
  </w:p>
  <w:p w:rsidR="00D75E15" w:rsidRDefault="00D75E1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297"/>
    <w:rsid w:val="00002BC6"/>
    <w:rsid w:val="00093D90"/>
    <w:rsid w:val="000C5FAF"/>
    <w:rsid w:val="001C1083"/>
    <w:rsid w:val="00237A7C"/>
    <w:rsid w:val="002C4691"/>
    <w:rsid w:val="002D07A9"/>
    <w:rsid w:val="002F0B59"/>
    <w:rsid w:val="00311E33"/>
    <w:rsid w:val="00313F0C"/>
    <w:rsid w:val="0035747B"/>
    <w:rsid w:val="003668BB"/>
    <w:rsid w:val="003A6E25"/>
    <w:rsid w:val="00404262"/>
    <w:rsid w:val="00406F32"/>
    <w:rsid w:val="00412824"/>
    <w:rsid w:val="00463F31"/>
    <w:rsid w:val="00486C8F"/>
    <w:rsid w:val="00493B66"/>
    <w:rsid w:val="004964D0"/>
    <w:rsid w:val="004B293D"/>
    <w:rsid w:val="00557465"/>
    <w:rsid w:val="00620832"/>
    <w:rsid w:val="006242A7"/>
    <w:rsid w:val="0063668C"/>
    <w:rsid w:val="00666321"/>
    <w:rsid w:val="00697151"/>
    <w:rsid w:val="006B2E82"/>
    <w:rsid w:val="006D0AB0"/>
    <w:rsid w:val="008240BB"/>
    <w:rsid w:val="00907E79"/>
    <w:rsid w:val="009323FB"/>
    <w:rsid w:val="00963345"/>
    <w:rsid w:val="00975234"/>
    <w:rsid w:val="0099485B"/>
    <w:rsid w:val="00A37297"/>
    <w:rsid w:val="00A86971"/>
    <w:rsid w:val="00A95D02"/>
    <w:rsid w:val="00AB20F7"/>
    <w:rsid w:val="00B438E5"/>
    <w:rsid w:val="00B674C4"/>
    <w:rsid w:val="00B900B4"/>
    <w:rsid w:val="00BB0ECE"/>
    <w:rsid w:val="00CE5AE5"/>
    <w:rsid w:val="00D42533"/>
    <w:rsid w:val="00D5224A"/>
    <w:rsid w:val="00D750EF"/>
    <w:rsid w:val="00D75E15"/>
    <w:rsid w:val="00D86C52"/>
    <w:rsid w:val="00D93F19"/>
    <w:rsid w:val="00DC1020"/>
    <w:rsid w:val="00E30A9B"/>
    <w:rsid w:val="00E751D6"/>
    <w:rsid w:val="00EB5006"/>
    <w:rsid w:val="00F34633"/>
    <w:rsid w:val="00F61E0B"/>
    <w:rsid w:val="00F77156"/>
    <w:rsid w:val="00FB269E"/>
    <w:rsid w:val="00FB65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B6546"/>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FB6546"/>
    <w:pPr>
      <w:keepNext/>
      <w:spacing w:after="120"/>
      <w:jc w:val="center"/>
      <w:outlineLvl w:val="0"/>
    </w:pPr>
    <w:rPr>
      <w:b/>
      <w:kern w:val="28"/>
      <w:sz w:val="28"/>
    </w:rPr>
  </w:style>
  <w:style w:type="paragraph" w:styleId="berschrift2">
    <w:name w:val="heading 2"/>
    <w:basedOn w:val="Standard"/>
    <w:next w:val="GesAbsatz"/>
    <w:qFormat/>
    <w:rsid w:val="00FB6546"/>
    <w:pPr>
      <w:keepNext/>
      <w:spacing w:before="240"/>
      <w:jc w:val="center"/>
      <w:outlineLvl w:val="1"/>
    </w:pPr>
    <w:rPr>
      <w:b/>
      <w:sz w:val="24"/>
    </w:rPr>
  </w:style>
  <w:style w:type="paragraph" w:styleId="berschrift3">
    <w:name w:val="heading 3"/>
    <w:basedOn w:val="Standard"/>
    <w:next w:val="GesAbsatz"/>
    <w:qFormat/>
    <w:rsid w:val="00FB6546"/>
    <w:pPr>
      <w:keepNext/>
      <w:spacing w:before="240" w:after="180"/>
      <w:jc w:val="center"/>
      <w:outlineLvl w:val="2"/>
    </w:pPr>
    <w:rPr>
      <w:b/>
    </w:rPr>
  </w:style>
  <w:style w:type="paragraph" w:styleId="berschrift4">
    <w:name w:val="heading 4"/>
    <w:basedOn w:val="Standard"/>
    <w:next w:val="Standard"/>
    <w:rsid w:val="00FB6546"/>
    <w:pPr>
      <w:keepNext/>
      <w:spacing w:before="240"/>
      <w:outlineLvl w:val="3"/>
    </w:pPr>
  </w:style>
  <w:style w:type="paragraph" w:styleId="berschrift5">
    <w:name w:val="heading 5"/>
    <w:basedOn w:val="Standard"/>
    <w:next w:val="Standard"/>
    <w:rsid w:val="00FB6546"/>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FB6546"/>
    <w:pPr>
      <w:tabs>
        <w:tab w:val="center" w:pos="4536"/>
        <w:tab w:val="right" w:pos="9072"/>
      </w:tabs>
      <w:spacing w:before="0" w:after="120"/>
      <w:jc w:val="right"/>
    </w:pPr>
  </w:style>
  <w:style w:type="paragraph" w:styleId="Fuzeile">
    <w:name w:val="footer"/>
    <w:basedOn w:val="Standard"/>
    <w:qFormat/>
    <w:rsid w:val="00FB6546"/>
    <w:pPr>
      <w:tabs>
        <w:tab w:val="clear" w:pos="425"/>
        <w:tab w:val="right" w:pos="8505"/>
        <w:tab w:val="right" w:pos="9639"/>
      </w:tabs>
      <w:spacing w:before="0" w:after="0"/>
      <w:jc w:val="left"/>
    </w:pPr>
    <w:rPr>
      <w:sz w:val="16"/>
    </w:rPr>
  </w:style>
  <w:style w:type="character" w:styleId="Seitenzahl">
    <w:name w:val="page number"/>
    <w:semiHidden/>
    <w:rsid w:val="00FB6546"/>
    <w:rPr>
      <w:rFonts w:ascii="Arial" w:hAnsi="Arial"/>
      <w:sz w:val="16"/>
    </w:rPr>
  </w:style>
  <w:style w:type="paragraph" w:styleId="Verzeichnis2">
    <w:name w:val="toc 2"/>
    <w:basedOn w:val="Standard"/>
    <w:next w:val="Standard"/>
    <w:semiHidden/>
    <w:rsid w:val="00FB6546"/>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FB6546"/>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FB6546"/>
    <w:pPr>
      <w:spacing w:before="0" w:after="0"/>
    </w:pPr>
    <w:rPr>
      <w:sz w:val="16"/>
    </w:rPr>
  </w:style>
  <w:style w:type="paragraph" w:styleId="Verzeichnis1">
    <w:name w:val="toc 1"/>
    <w:basedOn w:val="Verzeichnis3"/>
    <w:next w:val="Standard"/>
    <w:semiHidden/>
    <w:rsid w:val="00FB6546"/>
    <w:pPr>
      <w:spacing w:before="120" w:after="120"/>
      <w:ind w:left="0"/>
    </w:pPr>
    <w:rPr>
      <w:b/>
      <w:i w:val="0"/>
      <w:caps/>
    </w:rPr>
  </w:style>
  <w:style w:type="paragraph" w:customStyle="1" w:styleId="GesAbsatz">
    <w:name w:val="GesAbsatz"/>
    <w:basedOn w:val="Standard"/>
    <w:qFormat/>
    <w:rsid w:val="00FB6546"/>
    <w:pPr>
      <w:spacing w:before="100"/>
    </w:pPr>
    <w:rPr>
      <w:color w:val="000000"/>
    </w:rPr>
  </w:style>
  <w:style w:type="paragraph" w:styleId="Verzeichnis4">
    <w:name w:val="toc 4"/>
    <w:basedOn w:val="Standard"/>
    <w:next w:val="Standard"/>
    <w:semiHidden/>
    <w:rsid w:val="00FB6546"/>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FB6546"/>
    <w:rPr>
      <w:sz w:val="20"/>
      <w:szCs w:val="20"/>
      <w:vertAlign w:val="superscript"/>
    </w:rPr>
  </w:style>
  <w:style w:type="paragraph" w:styleId="Verzeichnis5">
    <w:name w:val="toc 5"/>
    <w:basedOn w:val="Standard"/>
    <w:next w:val="Standard"/>
    <w:semiHidden/>
    <w:rsid w:val="00FB6546"/>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FB6546"/>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FB6546"/>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FB6546"/>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FB6546"/>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FB6546"/>
    <w:rPr>
      <w:color w:val="0000FF"/>
      <w:u w:val="single"/>
    </w:rPr>
  </w:style>
  <w:style w:type="character" w:styleId="BesuchterHyperlink">
    <w:name w:val="FollowedHyperlink"/>
    <w:rsid w:val="0035747B"/>
    <w:rPr>
      <w:color w:val="800080"/>
      <w:u w:val="single"/>
    </w:rPr>
  </w:style>
  <w:style w:type="paragraph" w:customStyle="1" w:styleId="Kopfzeile0">
    <w:name w:val="Kopfzeile0"/>
    <w:basedOn w:val="Standard"/>
    <w:next w:val="Kopfzeile"/>
    <w:qFormat/>
    <w:rsid w:val="00FB6546"/>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B6546"/>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FB6546"/>
    <w:pPr>
      <w:keepNext/>
      <w:spacing w:after="120"/>
      <w:jc w:val="center"/>
      <w:outlineLvl w:val="0"/>
    </w:pPr>
    <w:rPr>
      <w:b/>
      <w:kern w:val="28"/>
      <w:sz w:val="28"/>
    </w:rPr>
  </w:style>
  <w:style w:type="paragraph" w:styleId="berschrift2">
    <w:name w:val="heading 2"/>
    <w:basedOn w:val="Standard"/>
    <w:next w:val="GesAbsatz"/>
    <w:qFormat/>
    <w:rsid w:val="00FB6546"/>
    <w:pPr>
      <w:keepNext/>
      <w:spacing w:before="240"/>
      <w:jc w:val="center"/>
      <w:outlineLvl w:val="1"/>
    </w:pPr>
    <w:rPr>
      <w:b/>
      <w:sz w:val="24"/>
    </w:rPr>
  </w:style>
  <w:style w:type="paragraph" w:styleId="berschrift3">
    <w:name w:val="heading 3"/>
    <w:basedOn w:val="Standard"/>
    <w:next w:val="GesAbsatz"/>
    <w:qFormat/>
    <w:rsid w:val="00FB6546"/>
    <w:pPr>
      <w:keepNext/>
      <w:spacing w:before="240" w:after="180"/>
      <w:jc w:val="center"/>
      <w:outlineLvl w:val="2"/>
    </w:pPr>
    <w:rPr>
      <w:b/>
    </w:rPr>
  </w:style>
  <w:style w:type="paragraph" w:styleId="berschrift4">
    <w:name w:val="heading 4"/>
    <w:basedOn w:val="Standard"/>
    <w:next w:val="Standard"/>
    <w:rsid w:val="00FB6546"/>
    <w:pPr>
      <w:keepNext/>
      <w:spacing w:before="240"/>
      <w:outlineLvl w:val="3"/>
    </w:pPr>
  </w:style>
  <w:style w:type="paragraph" w:styleId="berschrift5">
    <w:name w:val="heading 5"/>
    <w:basedOn w:val="Standard"/>
    <w:next w:val="Standard"/>
    <w:rsid w:val="00FB6546"/>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FB6546"/>
    <w:pPr>
      <w:tabs>
        <w:tab w:val="center" w:pos="4536"/>
        <w:tab w:val="right" w:pos="9072"/>
      </w:tabs>
      <w:spacing w:before="0" w:after="120"/>
      <w:jc w:val="right"/>
    </w:pPr>
  </w:style>
  <w:style w:type="paragraph" w:styleId="Fuzeile">
    <w:name w:val="footer"/>
    <w:basedOn w:val="Standard"/>
    <w:qFormat/>
    <w:rsid w:val="00FB6546"/>
    <w:pPr>
      <w:tabs>
        <w:tab w:val="clear" w:pos="425"/>
        <w:tab w:val="right" w:pos="8505"/>
        <w:tab w:val="right" w:pos="9639"/>
      </w:tabs>
      <w:spacing w:before="0" w:after="0"/>
      <w:jc w:val="left"/>
    </w:pPr>
    <w:rPr>
      <w:sz w:val="16"/>
    </w:rPr>
  </w:style>
  <w:style w:type="character" w:styleId="Seitenzahl">
    <w:name w:val="page number"/>
    <w:semiHidden/>
    <w:rsid w:val="00FB6546"/>
    <w:rPr>
      <w:rFonts w:ascii="Arial" w:hAnsi="Arial"/>
      <w:sz w:val="16"/>
    </w:rPr>
  </w:style>
  <w:style w:type="paragraph" w:styleId="Verzeichnis2">
    <w:name w:val="toc 2"/>
    <w:basedOn w:val="Standard"/>
    <w:next w:val="Standard"/>
    <w:semiHidden/>
    <w:rsid w:val="00FB6546"/>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FB6546"/>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FB6546"/>
    <w:pPr>
      <w:spacing w:before="0" w:after="0"/>
    </w:pPr>
    <w:rPr>
      <w:sz w:val="16"/>
    </w:rPr>
  </w:style>
  <w:style w:type="paragraph" w:styleId="Verzeichnis1">
    <w:name w:val="toc 1"/>
    <w:basedOn w:val="Verzeichnis3"/>
    <w:next w:val="Standard"/>
    <w:semiHidden/>
    <w:rsid w:val="00FB6546"/>
    <w:pPr>
      <w:spacing w:before="120" w:after="120"/>
      <w:ind w:left="0"/>
    </w:pPr>
    <w:rPr>
      <w:b/>
      <w:i w:val="0"/>
      <w:caps/>
    </w:rPr>
  </w:style>
  <w:style w:type="paragraph" w:customStyle="1" w:styleId="GesAbsatz">
    <w:name w:val="GesAbsatz"/>
    <w:basedOn w:val="Standard"/>
    <w:qFormat/>
    <w:rsid w:val="00FB6546"/>
    <w:pPr>
      <w:spacing w:before="100"/>
    </w:pPr>
    <w:rPr>
      <w:color w:val="000000"/>
    </w:rPr>
  </w:style>
  <w:style w:type="paragraph" w:styleId="Verzeichnis4">
    <w:name w:val="toc 4"/>
    <w:basedOn w:val="Standard"/>
    <w:next w:val="Standard"/>
    <w:semiHidden/>
    <w:rsid w:val="00FB6546"/>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FB6546"/>
    <w:rPr>
      <w:sz w:val="20"/>
      <w:szCs w:val="20"/>
      <w:vertAlign w:val="superscript"/>
    </w:rPr>
  </w:style>
  <w:style w:type="paragraph" w:styleId="Verzeichnis5">
    <w:name w:val="toc 5"/>
    <w:basedOn w:val="Standard"/>
    <w:next w:val="Standard"/>
    <w:semiHidden/>
    <w:rsid w:val="00FB6546"/>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FB6546"/>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FB6546"/>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FB6546"/>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FB6546"/>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FB6546"/>
    <w:rPr>
      <w:color w:val="0000FF"/>
      <w:u w:val="single"/>
    </w:rPr>
  </w:style>
  <w:style w:type="character" w:styleId="BesuchterHyperlink">
    <w:name w:val="FollowedHyperlink"/>
    <w:rsid w:val="0035747B"/>
    <w:rPr>
      <w:color w:val="800080"/>
      <w:u w:val="single"/>
    </w:rPr>
  </w:style>
  <w:style w:type="paragraph" w:customStyle="1" w:styleId="Kopfzeile0">
    <w:name w:val="Kopfzeile0"/>
    <w:basedOn w:val="Standard"/>
    <w:next w:val="Kopfzeile"/>
    <w:qFormat/>
    <w:rsid w:val="00FB6546"/>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DE/TXT/PDF/?uri=CELEX:31990L0656&amp;from=DE" TargetMode="External"/><Relationship Id="rId13" Type="http://schemas.openxmlformats.org/officeDocument/2006/relationships/hyperlink" Target="http://www.umwelt-online.de/regelwerk/eu/95_99/99_468.htm" TargetMode="External"/><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eur-lex.europa.eu/legal-content/DE/TXT/PDF/?uri=CELEX:31978L0659&amp;from=DE" TargetMode="External"/><Relationship Id="rId12" Type="http://schemas.openxmlformats.org/officeDocument/2006/relationships/hyperlink" Target="http://www.umwelt-online.de/regelwerk/eu/95_99/99_468.htm" TargetMode="External"/><Relationship Id="rId17"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umwelt-online.de/regelwerk/eu/95_99/99_468.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ur-lex.europa.eu/legal-content/DE/TXT/PDF/?uri=CELEX:32003R0807&amp;from=DE"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eur-lex.europa.eu/legal-content/DE/TXT/PDF/?uri=CELEX:31991L0692&amp;from=DE"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10</Pages>
  <Words>3304</Words>
  <Characters>20820</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Richtlinie des Rates 78/659/EWG vom 18. Juli 1978 über die Qualität von Süßwasser, das schutz- oder verbesserungsbedürftig ist, um das Leben von Fischen zu erhalten</vt:lpstr>
    </vt:vector>
  </TitlesOfParts>
  <Company>LANUV NRW</Company>
  <LinksUpToDate>false</LinksUpToDate>
  <CharactersWithSpaces>24076</CharactersWithSpaces>
  <SharedDoc>false</SharedDoc>
  <HLinks>
    <vt:vector size="18" baseType="variant">
      <vt:variant>
        <vt:i4>786524</vt:i4>
      </vt:variant>
      <vt:variant>
        <vt:i4>72</vt:i4>
      </vt:variant>
      <vt:variant>
        <vt:i4>0</vt:i4>
      </vt:variant>
      <vt:variant>
        <vt:i4>5</vt:i4>
      </vt:variant>
      <vt:variant>
        <vt:lpwstr>http://www.umwelt-online.de/regelwerk/eu/95_99/99_468.htm</vt:lpwstr>
      </vt:variant>
      <vt:variant>
        <vt:lpwstr>art5</vt:lpwstr>
      </vt:variant>
      <vt:variant>
        <vt:i4>917596</vt:i4>
      </vt:variant>
      <vt:variant>
        <vt:i4>69</vt:i4>
      </vt:variant>
      <vt:variant>
        <vt:i4>0</vt:i4>
      </vt:variant>
      <vt:variant>
        <vt:i4>5</vt:i4>
      </vt:variant>
      <vt:variant>
        <vt:lpwstr>http://www.umwelt-online.de/regelwerk/eu/95_99/99_468.htm</vt:lpwstr>
      </vt:variant>
      <vt:variant>
        <vt:lpwstr>art7</vt:lpwstr>
      </vt:variant>
      <vt:variant>
        <vt:i4>786524</vt:i4>
      </vt:variant>
      <vt:variant>
        <vt:i4>66</vt:i4>
      </vt:variant>
      <vt:variant>
        <vt:i4>0</vt:i4>
      </vt:variant>
      <vt:variant>
        <vt:i4>5</vt:i4>
      </vt:variant>
      <vt:variant>
        <vt:lpwstr>http://www.umwelt-online.de/regelwerk/eu/95_99/99_468.htm</vt:lpwstr>
      </vt:variant>
      <vt:variant>
        <vt:lpwstr>art5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des Rates 78/659/EWG vom 18. Juli 1978 über die Qualität von Süßwasser, das schutz- oder verbesserungsbedürftig ist, um das Leben von Fischen zu erhalten</dc:title>
  <dc:creator>LANUV NRW</dc:creator>
  <dc:description>durchgesehen 01.2005</dc:description>
  <cp:lastModifiedBy>rueter</cp:lastModifiedBy>
  <cp:revision>2</cp:revision>
  <cp:lastPrinted>2004-12-14T11:08:00Z</cp:lastPrinted>
  <dcterms:created xsi:type="dcterms:W3CDTF">2015-06-01T14:44:00Z</dcterms:created>
  <dcterms:modified xsi:type="dcterms:W3CDTF">2015-06-01T14:44:00Z</dcterms:modified>
</cp:coreProperties>
</file>