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48" w:rsidRPr="00ED70F6" w:rsidRDefault="00344F48" w:rsidP="00ED70F6">
      <w:pPr>
        <w:pStyle w:val="berschrift1"/>
      </w:pPr>
      <w:bookmarkStart w:id="0" w:name="_Toc420509978"/>
      <w:r w:rsidRPr="00ED70F6">
        <w:t>Ri</w:t>
      </w:r>
      <w:bookmarkStart w:id="1" w:name="_GoBack"/>
      <w:bookmarkEnd w:id="1"/>
      <w:r w:rsidRPr="00ED70F6">
        <w:t xml:space="preserve">chtlinie des Rates </w:t>
      </w:r>
      <w:hyperlink r:id="rId8" w:history="1">
        <w:r w:rsidR="00F93018" w:rsidRPr="000550D1">
          <w:rPr>
            <w:rStyle w:val="Hyperlink"/>
          </w:rPr>
          <w:t>82/176/EWG</w:t>
        </w:r>
      </w:hyperlink>
      <w:r w:rsidR="00F93018" w:rsidRPr="00ED70F6">
        <w:t xml:space="preserve"> </w:t>
      </w:r>
      <w:r w:rsidRPr="00ED70F6">
        <w:t xml:space="preserve">vom 22. März 1982 betreffend </w:t>
      </w:r>
      <w:r w:rsidR="0000642F" w:rsidRPr="00ED70F6">
        <w:br/>
      </w:r>
      <w:r w:rsidRPr="00ED70F6">
        <w:t xml:space="preserve">Grenzwerte und Qualitätsziele für Quecksilberableitungen aus dem </w:t>
      </w:r>
      <w:r w:rsidR="0000642F" w:rsidRPr="00ED70F6">
        <w:br/>
      </w:r>
      <w:r w:rsidRPr="00ED70F6">
        <w:t>Industriezweig Alkalichloridelektrolyse</w:t>
      </w:r>
      <w:bookmarkEnd w:id="0"/>
    </w:p>
    <w:p w:rsidR="00BB31B2" w:rsidRPr="005E6B53" w:rsidRDefault="00BB31B2" w:rsidP="00BB31B2">
      <w:pPr>
        <w:pStyle w:val="GesAbsatz"/>
        <w:rPr>
          <w:rFonts w:cs="Arial"/>
          <w:b/>
          <w:i/>
          <w:color w:val="FF0000"/>
          <w:sz w:val="22"/>
          <w:szCs w:val="22"/>
        </w:rPr>
      </w:pPr>
      <w:r>
        <w:rPr>
          <w:b/>
          <w:i/>
          <w:color w:val="FF0000"/>
          <w:sz w:val="22"/>
          <w:szCs w:val="22"/>
        </w:rPr>
        <w:t>Gültig bis</w:t>
      </w:r>
      <w:r w:rsidRPr="005E6B53">
        <w:rPr>
          <w:b/>
          <w:i/>
          <w:color w:val="FF0000"/>
          <w:sz w:val="22"/>
          <w:szCs w:val="22"/>
        </w:rPr>
        <w:t xml:space="preserve"> 2</w:t>
      </w:r>
      <w:r>
        <w:rPr>
          <w:b/>
          <w:i/>
          <w:color w:val="FF0000"/>
          <w:sz w:val="22"/>
          <w:szCs w:val="22"/>
        </w:rPr>
        <w:t>1.12.2012</w:t>
      </w:r>
    </w:p>
    <w:p w:rsidR="00344F48" w:rsidRDefault="00344F48">
      <w:pPr>
        <w:pStyle w:val="GesAbsatz"/>
      </w:pPr>
      <w:r w:rsidRPr="00F85BBC">
        <w:rPr>
          <w:b/>
        </w:rPr>
        <w:t>Änderungen</w:t>
      </w:r>
      <w:r w:rsidR="00F85BBC" w:rsidRPr="00F85BBC">
        <w:rPr>
          <w:b/>
        </w:rPr>
        <w:t>:</w:t>
      </w:r>
      <w:r w:rsidR="00F85BBC">
        <w:t xml:space="preserve"> </w:t>
      </w:r>
      <w:r w:rsidR="00BB31B2">
        <w:t xml:space="preserve">; </w:t>
      </w:r>
      <w:hyperlink r:id="rId9" w:history="1">
        <w:r w:rsidR="00BB31B2" w:rsidRPr="006866A7">
          <w:rPr>
            <w:rStyle w:val="Hyperlink"/>
          </w:rPr>
          <w:t>90/481/EWG</w:t>
        </w:r>
      </w:hyperlink>
      <w:r w:rsidR="007A5647">
        <w:t xml:space="preserve"> </w:t>
      </w:r>
      <w:r>
        <w:t>ABl.</w:t>
      </w:r>
      <w:r w:rsidR="00F85BBC">
        <w:t xml:space="preserve"> </w:t>
      </w:r>
      <w:r w:rsidR="007A5647">
        <w:t xml:space="preserve">L 267 </w:t>
      </w:r>
      <w:r>
        <w:t>v</w:t>
      </w:r>
      <w:r w:rsidR="007A5647">
        <w:t>.</w:t>
      </w:r>
      <w:r>
        <w:t xml:space="preserve"> 29.</w:t>
      </w:r>
      <w:r w:rsidR="00BB31B2">
        <w:t>0</w:t>
      </w:r>
      <w:r>
        <w:t xml:space="preserve">9.1990 </w:t>
      </w:r>
      <w:r w:rsidR="007A5647">
        <w:t xml:space="preserve">S. </w:t>
      </w:r>
      <w:r>
        <w:t xml:space="preserve">97; </w:t>
      </w:r>
      <w:hyperlink r:id="rId10" w:history="1">
        <w:r w:rsidR="00BB31B2" w:rsidRPr="00AC5D70">
          <w:rPr>
            <w:rStyle w:val="Hyperlink"/>
          </w:rPr>
          <w:t>90/656/EWG</w:t>
        </w:r>
      </w:hyperlink>
      <w:r w:rsidR="007A5647">
        <w:t xml:space="preserve"> </w:t>
      </w:r>
      <w:r>
        <w:t>ABl.</w:t>
      </w:r>
      <w:r w:rsidR="00F85BBC">
        <w:t xml:space="preserve"> </w:t>
      </w:r>
      <w:r w:rsidR="007A5647">
        <w:t xml:space="preserve">L 353 </w:t>
      </w:r>
      <w:r>
        <w:t>v</w:t>
      </w:r>
      <w:r w:rsidR="007A5647">
        <w:t>.</w:t>
      </w:r>
      <w:r>
        <w:t xml:space="preserve"> 17.12.1990 </w:t>
      </w:r>
      <w:r w:rsidR="007A5647">
        <w:t xml:space="preserve">S. </w:t>
      </w:r>
      <w:r>
        <w:t xml:space="preserve">59; </w:t>
      </w:r>
      <w:hyperlink r:id="rId11" w:history="1">
        <w:r w:rsidR="00BB31B2" w:rsidRPr="00DB39DB">
          <w:rPr>
            <w:rStyle w:val="Hyperlink"/>
          </w:rPr>
          <w:t>91/692/EWG</w:t>
        </w:r>
      </w:hyperlink>
      <w:r w:rsidR="007A5647">
        <w:t xml:space="preserve"> </w:t>
      </w:r>
      <w:r>
        <w:t>ABl.</w:t>
      </w:r>
      <w:r w:rsidR="00F85BBC">
        <w:t xml:space="preserve"> </w:t>
      </w:r>
      <w:r w:rsidR="007A5647">
        <w:t xml:space="preserve">L 377 </w:t>
      </w:r>
      <w:r>
        <w:t>v</w:t>
      </w:r>
      <w:r w:rsidR="007A5647">
        <w:t>.</w:t>
      </w:r>
      <w:r>
        <w:t xml:space="preserve"> 31.12.1991 </w:t>
      </w:r>
      <w:r w:rsidR="007A5647">
        <w:t xml:space="preserve">S. </w:t>
      </w:r>
      <w:r>
        <w:t xml:space="preserve">48; </w:t>
      </w:r>
      <w:hyperlink r:id="rId12" w:history="1">
        <w:r w:rsidR="00BB31B2" w:rsidRPr="00316BC0">
          <w:rPr>
            <w:rStyle w:val="Hyperlink"/>
          </w:rPr>
          <w:t>93/80/EWG</w:t>
        </w:r>
      </w:hyperlink>
      <w:r w:rsidR="007A5647">
        <w:t xml:space="preserve"> </w:t>
      </w:r>
      <w:r>
        <w:t>ABl.</w:t>
      </w:r>
      <w:r w:rsidR="00F85BBC">
        <w:t xml:space="preserve"> </w:t>
      </w:r>
      <w:r w:rsidR="007A5647">
        <w:t xml:space="preserve">L 256 </w:t>
      </w:r>
      <w:r>
        <w:t>v</w:t>
      </w:r>
      <w:r w:rsidR="007A5647">
        <w:t>.</w:t>
      </w:r>
      <w:r>
        <w:t xml:space="preserve"> 14.10.1993 </w:t>
      </w:r>
      <w:r w:rsidR="007A5647">
        <w:t xml:space="preserve">S. </w:t>
      </w:r>
      <w:r>
        <w:t>32; Abkommen üb</w:t>
      </w:r>
      <w:r w:rsidR="00F85BBC">
        <w:t>er Europäischen Wirtschaftsraum</w:t>
      </w:r>
      <w:r w:rsidR="00690240">
        <w:t xml:space="preserve">; </w:t>
      </w:r>
      <w:hyperlink r:id="rId13" w:history="1">
        <w:r w:rsidR="00832617" w:rsidRPr="00A578EE">
          <w:rPr>
            <w:rStyle w:val="Hyperlink"/>
          </w:rPr>
          <w:t>2008/105/EG</w:t>
        </w:r>
      </w:hyperlink>
      <w:r w:rsidR="00690240">
        <w:t xml:space="preserve"> ABl. L</w:t>
      </w:r>
      <w:r w:rsidR="00832617">
        <w:t xml:space="preserve"> </w:t>
      </w:r>
      <w:r w:rsidR="00690240">
        <w:t>348 v. 24.12.2008 S. 84</w:t>
      </w:r>
      <w:r w:rsidR="00B14640">
        <w:t>;</w:t>
      </w:r>
    </w:p>
    <w:p w:rsidR="009121DC" w:rsidRDefault="009121DC">
      <w:pPr>
        <w:pStyle w:val="GesAbsatz"/>
      </w:pPr>
    </w:p>
    <w:p w:rsidR="00344F48" w:rsidRPr="00F85BBC" w:rsidRDefault="00344F48" w:rsidP="00F85BBC">
      <w:pPr>
        <w:pStyle w:val="GesAbsatz"/>
        <w:jc w:val="center"/>
        <w:rPr>
          <w:b/>
          <w:sz w:val="22"/>
          <w:szCs w:val="22"/>
        </w:rPr>
      </w:pPr>
      <w:r w:rsidRPr="00F85BBC">
        <w:rPr>
          <w:b/>
          <w:sz w:val="22"/>
          <w:szCs w:val="22"/>
        </w:rPr>
        <w:t>Inhalt</w:t>
      </w:r>
      <w:r w:rsidR="00F85BBC" w:rsidRPr="00F85BBC">
        <w:rPr>
          <w:b/>
          <w:sz w:val="22"/>
          <w:szCs w:val="22"/>
        </w:rPr>
        <w:t>:</w:t>
      </w:r>
    </w:p>
    <w:p w:rsidR="00366EAC" w:rsidRDefault="00F85BBC">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b w:val="0"/>
          <w:bCs/>
          <w:caps w:val="0"/>
        </w:rPr>
        <w:fldChar w:fldCharType="begin"/>
      </w:r>
      <w:r>
        <w:rPr>
          <w:b w:val="0"/>
          <w:bCs/>
          <w:caps w:val="0"/>
        </w:rPr>
        <w:instrText xml:space="preserve"> TOC \o "1-3" </w:instrText>
      </w:r>
      <w:r>
        <w:rPr>
          <w:b w:val="0"/>
          <w:bCs/>
          <w:caps w:val="0"/>
        </w:rPr>
        <w:fldChar w:fldCharType="separate"/>
      </w:r>
      <w:r w:rsidR="00366EAC">
        <w:rPr>
          <w:noProof/>
        </w:rPr>
        <w:t>Richtlinie des Rates 82/176/EWG</w:t>
      </w:r>
      <w:r w:rsidR="00366EAC">
        <w:rPr>
          <w:noProof/>
        </w:rPr>
        <w:tab/>
      </w:r>
      <w:r w:rsidR="00366EAC">
        <w:rPr>
          <w:noProof/>
        </w:rPr>
        <w:fldChar w:fldCharType="begin"/>
      </w:r>
      <w:r w:rsidR="00366EAC">
        <w:rPr>
          <w:noProof/>
        </w:rPr>
        <w:instrText xml:space="preserve"> PAGEREF _Toc420509978 \h </w:instrText>
      </w:r>
      <w:r w:rsidR="00366EAC">
        <w:rPr>
          <w:noProof/>
        </w:rPr>
      </w:r>
      <w:r w:rsidR="00366EAC">
        <w:rPr>
          <w:noProof/>
        </w:rPr>
        <w:fldChar w:fldCharType="separate"/>
      </w:r>
      <w:r w:rsidR="00ED70F6">
        <w:rPr>
          <w:noProof/>
        </w:rPr>
        <w:t>1</w:t>
      </w:r>
      <w:r w:rsidR="00366EAC">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1</w:t>
      </w:r>
      <w:r>
        <w:rPr>
          <w:noProof/>
        </w:rPr>
        <w:tab/>
      </w:r>
      <w:r>
        <w:rPr>
          <w:noProof/>
        </w:rPr>
        <w:fldChar w:fldCharType="begin"/>
      </w:r>
      <w:r>
        <w:rPr>
          <w:noProof/>
        </w:rPr>
        <w:instrText xml:space="preserve"> PAGEREF _Toc420509979 \h </w:instrText>
      </w:r>
      <w:r>
        <w:rPr>
          <w:noProof/>
        </w:rPr>
      </w:r>
      <w:r>
        <w:rPr>
          <w:noProof/>
        </w:rPr>
        <w:fldChar w:fldCharType="separate"/>
      </w:r>
      <w:r w:rsidR="00ED70F6">
        <w:rPr>
          <w:noProof/>
        </w:rPr>
        <w:t>2</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2</w:t>
      </w:r>
      <w:r>
        <w:rPr>
          <w:noProof/>
        </w:rPr>
        <w:tab/>
      </w:r>
      <w:r>
        <w:rPr>
          <w:noProof/>
        </w:rPr>
        <w:fldChar w:fldCharType="begin"/>
      </w:r>
      <w:r>
        <w:rPr>
          <w:noProof/>
        </w:rPr>
        <w:instrText xml:space="preserve"> PAGEREF _Toc420509980 \h </w:instrText>
      </w:r>
      <w:r>
        <w:rPr>
          <w:noProof/>
        </w:rPr>
      </w:r>
      <w:r>
        <w:rPr>
          <w:noProof/>
        </w:rPr>
        <w:fldChar w:fldCharType="separate"/>
      </w:r>
      <w:r w:rsidR="00ED70F6">
        <w:rPr>
          <w:noProof/>
        </w:rPr>
        <w:t>2</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3</w:t>
      </w:r>
      <w:r>
        <w:rPr>
          <w:noProof/>
        </w:rPr>
        <w:tab/>
      </w:r>
      <w:r>
        <w:rPr>
          <w:noProof/>
        </w:rPr>
        <w:fldChar w:fldCharType="begin"/>
      </w:r>
      <w:r>
        <w:rPr>
          <w:noProof/>
        </w:rPr>
        <w:instrText xml:space="preserve"> PAGEREF _Toc420509981 \h </w:instrText>
      </w:r>
      <w:r>
        <w:rPr>
          <w:noProof/>
        </w:rPr>
      </w:r>
      <w:r>
        <w:rPr>
          <w:noProof/>
        </w:rPr>
        <w:fldChar w:fldCharType="separate"/>
      </w:r>
      <w:r w:rsidR="00ED70F6">
        <w:rPr>
          <w:noProof/>
        </w:rPr>
        <w:t>3</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4</w:t>
      </w:r>
      <w:r>
        <w:rPr>
          <w:noProof/>
        </w:rPr>
        <w:tab/>
      </w:r>
      <w:r>
        <w:rPr>
          <w:noProof/>
        </w:rPr>
        <w:fldChar w:fldCharType="begin"/>
      </w:r>
      <w:r>
        <w:rPr>
          <w:noProof/>
        </w:rPr>
        <w:instrText xml:space="preserve"> PAGEREF _Toc420509982 \h </w:instrText>
      </w:r>
      <w:r>
        <w:rPr>
          <w:noProof/>
        </w:rPr>
      </w:r>
      <w:r>
        <w:rPr>
          <w:noProof/>
        </w:rPr>
        <w:fldChar w:fldCharType="separate"/>
      </w:r>
      <w:r w:rsidR="00ED70F6">
        <w:rPr>
          <w:noProof/>
        </w:rPr>
        <w:t>3</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5</w:t>
      </w:r>
      <w:r>
        <w:rPr>
          <w:noProof/>
        </w:rPr>
        <w:tab/>
      </w:r>
      <w:r>
        <w:rPr>
          <w:noProof/>
        </w:rPr>
        <w:fldChar w:fldCharType="begin"/>
      </w:r>
      <w:r>
        <w:rPr>
          <w:noProof/>
        </w:rPr>
        <w:instrText xml:space="preserve"> PAGEREF _Toc420509983 \h </w:instrText>
      </w:r>
      <w:r>
        <w:rPr>
          <w:noProof/>
        </w:rPr>
      </w:r>
      <w:r>
        <w:rPr>
          <w:noProof/>
        </w:rPr>
        <w:fldChar w:fldCharType="separate"/>
      </w:r>
      <w:r w:rsidR="00ED70F6">
        <w:rPr>
          <w:noProof/>
        </w:rPr>
        <w:t>3</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6</w:t>
      </w:r>
      <w:r>
        <w:rPr>
          <w:noProof/>
        </w:rPr>
        <w:tab/>
      </w:r>
      <w:r>
        <w:rPr>
          <w:noProof/>
        </w:rPr>
        <w:fldChar w:fldCharType="begin"/>
      </w:r>
      <w:r>
        <w:rPr>
          <w:noProof/>
        </w:rPr>
        <w:instrText xml:space="preserve"> PAGEREF _Toc420509984 \h </w:instrText>
      </w:r>
      <w:r>
        <w:rPr>
          <w:noProof/>
        </w:rPr>
      </w:r>
      <w:r>
        <w:rPr>
          <w:noProof/>
        </w:rPr>
        <w:fldChar w:fldCharType="separate"/>
      </w:r>
      <w:r w:rsidR="00ED70F6">
        <w:rPr>
          <w:noProof/>
        </w:rPr>
        <w:t>4</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Artikel 7</w:t>
      </w:r>
      <w:r>
        <w:rPr>
          <w:noProof/>
        </w:rPr>
        <w:tab/>
      </w:r>
      <w:r>
        <w:rPr>
          <w:noProof/>
        </w:rPr>
        <w:fldChar w:fldCharType="begin"/>
      </w:r>
      <w:r>
        <w:rPr>
          <w:noProof/>
        </w:rPr>
        <w:instrText xml:space="preserve"> PAGEREF _Toc420509985 \h </w:instrText>
      </w:r>
      <w:r>
        <w:rPr>
          <w:noProof/>
        </w:rPr>
      </w:r>
      <w:r>
        <w:rPr>
          <w:noProof/>
        </w:rPr>
        <w:fldChar w:fldCharType="separate"/>
      </w:r>
      <w:r w:rsidR="00ED70F6">
        <w:rPr>
          <w:noProof/>
        </w:rPr>
        <w:t>4</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Anhang I: Grenzwerte, Fristen für die Einhaltung der Grenzwerte und Überwachungs- und Kontrollverfahren für die Ableitung</w:t>
      </w:r>
      <w:r>
        <w:rPr>
          <w:noProof/>
        </w:rPr>
        <w:tab/>
      </w:r>
      <w:r>
        <w:rPr>
          <w:noProof/>
        </w:rPr>
        <w:fldChar w:fldCharType="begin"/>
      </w:r>
      <w:r>
        <w:rPr>
          <w:noProof/>
        </w:rPr>
        <w:instrText xml:space="preserve"> PAGEREF _Toc420509986 \h </w:instrText>
      </w:r>
      <w:r>
        <w:rPr>
          <w:noProof/>
        </w:rPr>
      </w:r>
      <w:r>
        <w:rPr>
          <w:noProof/>
        </w:rPr>
        <w:fldChar w:fldCharType="separate"/>
      </w:r>
      <w:r w:rsidR="00ED70F6">
        <w:rPr>
          <w:noProof/>
        </w:rPr>
        <w:t>5</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Anhang II Qualitätsziele (gestrichen)</w:t>
      </w:r>
      <w:r>
        <w:rPr>
          <w:noProof/>
        </w:rPr>
        <w:tab/>
      </w:r>
      <w:r>
        <w:rPr>
          <w:noProof/>
        </w:rPr>
        <w:fldChar w:fldCharType="begin"/>
      </w:r>
      <w:r>
        <w:rPr>
          <w:noProof/>
        </w:rPr>
        <w:instrText xml:space="preserve"> PAGEREF _Toc420509987 \h </w:instrText>
      </w:r>
      <w:r>
        <w:rPr>
          <w:noProof/>
        </w:rPr>
      </w:r>
      <w:r>
        <w:rPr>
          <w:noProof/>
        </w:rPr>
        <w:fldChar w:fldCharType="separate"/>
      </w:r>
      <w:r w:rsidR="00ED70F6">
        <w:rPr>
          <w:noProof/>
        </w:rPr>
        <w:t>6</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Anhang III Referenzmeßmethoden</w:t>
      </w:r>
      <w:r>
        <w:rPr>
          <w:noProof/>
        </w:rPr>
        <w:tab/>
      </w:r>
      <w:r>
        <w:rPr>
          <w:noProof/>
        </w:rPr>
        <w:fldChar w:fldCharType="begin"/>
      </w:r>
      <w:r>
        <w:rPr>
          <w:noProof/>
        </w:rPr>
        <w:instrText xml:space="preserve"> PAGEREF _Toc420509988 \h </w:instrText>
      </w:r>
      <w:r>
        <w:rPr>
          <w:noProof/>
        </w:rPr>
      </w:r>
      <w:r>
        <w:rPr>
          <w:noProof/>
        </w:rPr>
        <w:fldChar w:fldCharType="separate"/>
      </w:r>
      <w:r w:rsidR="00ED70F6">
        <w:rPr>
          <w:noProof/>
        </w:rPr>
        <w:t>6</w:t>
      </w:r>
      <w:r>
        <w:rPr>
          <w:noProof/>
        </w:rPr>
        <w:fldChar w:fldCharType="end"/>
      </w:r>
    </w:p>
    <w:p w:rsidR="00366EAC" w:rsidRDefault="00366EAC">
      <w:pPr>
        <w:pStyle w:val="Verzeichnis2"/>
        <w:tabs>
          <w:tab w:val="clear" w:pos="9638"/>
          <w:tab w:val="right" w:leader="dot" w:pos="9628"/>
        </w:tabs>
        <w:rPr>
          <w:rFonts w:asciiTheme="minorHAnsi" w:eastAsiaTheme="minorEastAsia" w:hAnsiTheme="minorHAnsi" w:cstheme="minorBidi"/>
          <w:smallCaps w:val="0"/>
          <w:noProof/>
          <w:sz w:val="22"/>
          <w:szCs w:val="22"/>
        </w:rPr>
      </w:pPr>
      <w:r>
        <w:rPr>
          <w:noProof/>
        </w:rPr>
        <w:t>Anhang IV</w:t>
      </w:r>
      <w:r>
        <w:rPr>
          <w:noProof/>
        </w:rPr>
        <w:tab/>
      </w:r>
      <w:r>
        <w:rPr>
          <w:noProof/>
        </w:rPr>
        <w:fldChar w:fldCharType="begin"/>
      </w:r>
      <w:r>
        <w:rPr>
          <w:noProof/>
        </w:rPr>
        <w:instrText xml:space="preserve"> PAGEREF _Toc420509989 \h </w:instrText>
      </w:r>
      <w:r>
        <w:rPr>
          <w:noProof/>
        </w:rPr>
      </w:r>
      <w:r>
        <w:rPr>
          <w:noProof/>
        </w:rPr>
        <w:fldChar w:fldCharType="separate"/>
      </w:r>
      <w:r w:rsidR="00ED70F6">
        <w:rPr>
          <w:noProof/>
        </w:rPr>
        <w:t>7</w:t>
      </w:r>
      <w:r>
        <w:rPr>
          <w:noProof/>
        </w:rPr>
        <w:fldChar w:fldCharType="end"/>
      </w:r>
    </w:p>
    <w:p w:rsidR="00344F48" w:rsidRDefault="00F85BBC">
      <w:pPr>
        <w:pStyle w:val="GesAbsatz"/>
      </w:pPr>
      <w:r>
        <w:rPr>
          <w:rFonts w:ascii="Times New Roman" w:hAnsi="Times New Roman"/>
          <w:b/>
          <w:bCs/>
          <w:caps/>
          <w:color w:val="auto"/>
        </w:rPr>
        <w:fldChar w:fldCharType="end"/>
      </w:r>
    </w:p>
    <w:p w:rsidR="00344F48" w:rsidRDefault="00344F48">
      <w:pPr>
        <w:pStyle w:val="GesAbsatz"/>
      </w:pPr>
      <w:r>
        <w:t>Der Rat der Europäischen Gemeinschaften -</w:t>
      </w:r>
    </w:p>
    <w:p w:rsidR="00344F48" w:rsidRDefault="00344F48">
      <w:pPr>
        <w:pStyle w:val="GesAbsatz"/>
      </w:pPr>
      <w:r>
        <w:t>gestützt auf den Vertrag zur Gründung der Europäischen Wirtschaftsgemeinschaft, insbesondere auf die Artikel 100 und 235,</w:t>
      </w:r>
    </w:p>
    <w:p w:rsidR="00344F48" w:rsidRDefault="00344F48">
      <w:pPr>
        <w:pStyle w:val="GesAbsatz"/>
      </w:pPr>
      <w:r>
        <w:t>gestützt auf die Richtlinie 76/464/EWG des Rates vom 4. Mai 1976 betreffend die Verschmutzung infolge der Ableitung bestimmter gefährlicher Stoffe in die Gewässer der Gemeinschaft</w:t>
      </w:r>
      <w:r>
        <w:rPr>
          <w:rStyle w:val="Funotenzeichen"/>
        </w:rPr>
        <w:footnoteReference w:id="1"/>
      </w:r>
      <w:r>
        <w:t xml:space="preserve">, insbesondere auf Artikel 6, </w:t>
      </w:r>
    </w:p>
    <w:p w:rsidR="00344F48" w:rsidRDefault="00344F48">
      <w:pPr>
        <w:pStyle w:val="GesAbsatz"/>
      </w:pPr>
      <w:r>
        <w:t>auf Vorschlag der Kommission</w:t>
      </w:r>
      <w:r>
        <w:rPr>
          <w:rStyle w:val="Funotenzeichen"/>
        </w:rPr>
        <w:footnoteReference w:id="2"/>
      </w:r>
      <w:r>
        <w:t>,</w:t>
      </w:r>
    </w:p>
    <w:p w:rsidR="00344F48" w:rsidRDefault="00344F48">
      <w:pPr>
        <w:pStyle w:val="GesAbsatz"/>
      </w:pPr>
      <w:r>
        <w:t>nach Stellungnahme des Europäischen Parlaments</w:t>
      </w:r>
      <w:r>
        <w:rPr>
          <w:rStyle w:val="Funotenzeichen"/>
        </w:rPr>
        <w:footnoteReference w:id="3"/>
      </w:r>
      <w:r>
        <w:t>,</w:t>
      </w:r>
    </w:p>
    <w:p w:rsidR="00344F48" w:rsidRDefault="00344F48">
      <w:pPr>
        <w:pStyle w:val="GesAbsatz"/>
      </w:pPr>
      <w:r>
        <w:t>nach Stellungnahme des Wirtschafts- und Sozialausschusses</w:t>
      </w:r>
      <w:r>
        <w:rPr>
          <w:rStyle w:val="Funotenzeichen"/>
        </w:rPr>
        <w:footnoteReference w:id="4"/>
      </w:r>
      <w:r>
        <w:t>,</w:t>
      </w:r>
    </w:p>
    <w:p w:rsidR="00344F48" w:rsidRDefault="00344F48">
      <w:pPr>
        <w:pStyle w:val="GesAbsatz"/>
      </w:pPr>
      <w:r>
        <w:t>in Erwägung nachstehender Gründe:</w:t>
      </w:r>
    </w:p>
    <w:p w:rsidR="00344F48" w:rsidRDefault="00344F48">
      <w:pPr>
        <w:pStyle w:val="GesAbsatz"/>
      </w:pPr>
      <w:r>
        <w:t>Zum Schutz der Gewässer der Gemeinschaft gegen die Verschmutzung durch bestimmte Stoffe wurde durch Artikel 3 der Richtlinie 76/464/EWG eine Regelung vorheriger Genehmigungen eingeführt, mit denen Emissionsnormen für die Ableitung der in Liste I des Anhangs aufgeführten Stoffe festgesetzt werden. Art</w:t>
      </w:r>
      <w:r>
        <w:t>i</w:t>
      </w:r>
      <w:r>
        <w:t>kel 6 dieser Richtlinie sieht die Festsetzung von Grenzwerten für die Emissionsnormen sowie von Qualität</w:t>
      </w:r>
      <w:r>
        <w:t>s</w:t>
      </w:r>
      <w:r>
        <w:t>zielen für die durch die genannten Stoffe verunreinigten Gewässer vor.</w:t>
      </w:r>
    </w:p>
    <w:p w:rsidR="00344F48" w:rsidRDefault="00344F48">
      <w:pPr>
        <w:pStyle w:val="GesAbsatz"/>
      </w:pPr>
      <w:r>
        <w:t xml:space="preserve">Quecksilber </w:t>
      </w:r>
      <w:r w:rsidR="00EA5ACD">
        <w:t>und</w:t>
      </w:r>
      <w:r>
        <w:t xml:space="preserve"> Quecksilberverbindungen sind in der Liste I aufgeführt.</w:t>
      </w:r>
    </w:p>
    <w:p w:rsidR="00344F48" w:rsidRDefault="00344F48">
      <w:pPr>
        <w:pStyle w:val="GesAbsatz"/>
      </w:pPr>
      <w:r>
        <w:t>Die Mitgliedstaaten müssen die Grenzwerte beachten, ausgenommen in den Fällen, in denen sie die Qual</w:t>
      </w:r>
      <w:r>
        <w:t>i</w:t>
      </w:r>
      <w:r>
        <w:t>tätsziele anwenden können.</w:t>
      </w:r>
    </w:p>
    <w:p w:rsidR="00344F48" w:rsidRDefault="00344F48">
      <w:pPr>
        <w:pStyle w:val="GesAbsatz"/>
      </w:pPr>
      <w:r>
        <w:t>Da die Verschmutzung infolge der Ableitung von Quecksilber in die Gewässer zu einem wesentlichen Teil auf die Elektrolyse von Alkalichlorid zurückzuführen ist, sind zunächst für diesen Industriezweig die Gren</w:t>
      </w:r>
      <w:r>
        <w:t>z</w:t>
      </w:r>
      <w:r>
        <w:t>werte festzulegen und die Qualitätsziele für die Gewässer festzusetzen, in die dieser Industriezweig Quec</w:t>
      </w:r>
      <w:r>
        <w:t>k</w:t>
      </w:r>
      <w:r>
        <w:t>silber ableitet. Die Ableitungen sind daher von einer vorherigen Genehmigung abhängig zu machen.</w:t>
      </w:r>
    </w:p>
    <w:p w:rsidR="00344F48" w:rsidRDefault="00344F48">
      <w:pPr>
        <w:pStyle w:val="GesAbsatz"/>
      </w:pPr>
      <w:r>
        <w:t>Der Zweck dieser Qualitätsziele muß darin bestehen, die Quecksilberverschmutzung der Gewässer, deren Qualität durch quecksilberhaltige Ableitungen aus dem Industriezweig Alkalichloridelektrolyse beeinträchtigt werden könnte, zu beseitigen.</w:t>
      </w:r>
    </w:p>
    <w:p w:rsidR="00344F48" w:rsidRDefault="00344F48">
      <w:pPr>
        <w:pStyle w:val="GesAbsatz"/>
      </w:pPr>
      <w:r>
        <w:lastRenderedPageBreak/>
        <w:t>Diese Qualitätsziele müssen ausdrücklich zu diesem Zweck und nicht in der Absicht, Vorschriften für den Verbraucherschutz oder den Absatz von aus dem Wasser stammenden Erzeugnissen zu erlassen, festg</w:t>
      </w:r>
      <w:r>
        <w:t>e</w:t>
      </w:r>
      <w:r>
        <w:t>legt werden.</w:t>
      </w:r>
    </w:p>
    <w:p w:rsidR="00344F48" w:rsidRDefault="00344F48">
      <w:pPr>
        <w:pStyle w:val="GesAbsatz"/>
      </w:pPr>
      <w:r>
        <w:t>Damit die Mitgliedstaaten nachweisen können, daß die Qualitätsziele eingehalten werden, muß ein besond</w:t>
      </w:r>
      <w:r>
        <w:t>e</w:t>
      </w:r>
      <w:r>
        <w:t>res Überwachungsverfahren vorgesehen werden.</w:t>
      </w:r>
    </w:p>
    <w:p w:rsidR="00344F48" w:rsidRDefault="00344F48">
      <w:pPr>
        <w:pStyle w:val="GesAbsatz"/>
      </w:pPr>
      <w:r>
        <w:t>Im Hinblick auf eine wirksame Anwendung dieser Richtlinie ist vorzusehen, daß die Mitgliedstaaten die von den obengenannten Quecksilberableitungen betroffenen Gewässer überwachen. Die Befugnisse zur Einfü</w:t>
      </w:r>
      <w:r>
        <w:t>h</w:t>
      </w:r>
      <w:r>
        <w:t>rung dieser Überwachung sind in Artikel 6 der Richtlinie 76/464/EWG nicht vorgesehen. Da die hierzu erfo</w:t>
      </w:r>
      <w:r>
        <w:t>r</w:t>
      </w:r>
      <w:r>
        <w:t>derlichen Aktionsbefugnisse im Vertrag nicht vorgesehen sind, ist Artikel 235 heranzuziehen.</w:t>
      </w:r>
    </w:p>
    <w:p w:rsidR="00344F48" w:rsidRDefault="00344F48">
      <w:pPr>
        <w:pStyle w:val="GesAbsatz"/>
      </w:pPr>
      <w:r>
        <w:t>Es ist erforderlich, daß die Kommission dem Rat alle fünf Jahre eine vergleichende Bewertung der Anwe</w:t>
      </w:r>
      <w:r>
        <w:t>n</w:t>
      </w:r>
      <w:r>
        <w:t>dung dieser Richtlinie durch die Mitgliedstaaten übermittelt.</w:t>
      </w:r>
    </w:p>
    <w:p w:rsidR="00344F48" w:rsidRDefault="00344F48">
      <w:pPr>
        <w:pStyle w:val="GesAbsatz"/>
      </w:pPr>
      <w:r>
        <w:t>Da für Grundwasser eine besondere Richtlinie erlassen worden ist, fällt es nicht in den Anwendungsbereich dieser Richtlinie -</w:t>
      </w:r>
    </w:p>
    <w:p w:rsidR="00344F48" w:rsidRDefault="00344F48">
      <w:pPr>
        <w:pStyle w:val="GesAbsatz"/>
      </w:pPr>
      <w:r>
        <w:t>hat folgende Richtlinie erlassen:</w:t>
      </w:r>
    </w:p>
    <w:p w:rsidR="00344F48" w:rsidRDefault="00344F48">
      <w:pPr>
        <w:pStyle w:val="berschrift2"/>
      </w:pPr>
      <w:bookmarkStart w:id="2" w:name="_Toc420509979"/>
      <w:r>
        <w:t>Artikel 1</w:t>
      </w:r>
      <w:bookmarkEnd w:id="2"/>
    </w:p>
    <w:p w:rsidR="00344F48" w:rsidRDefault="00344F48">
      <w:pPr>
        <w:pStyle w:val="GesAbsatz"/>
      </w:pPr>
      <w:r>
        <w:t>(1) Diese Richtlinie</w:t>
      </w:r>
    </w:p>
    <w:p w:rsidR="00344F48" w:rsidRDefault="00344F48" w:rsidP="00CF1FD8">
      <w:pPr>
        <w:pStyle w:val="GesAbsatz"/>
        <w:numPr>
          <w:ilvl w:val="0"/>
          <w:numId w:val="1"/>
        </w:numPr>
        <w:tabs>
          <w:tab w:val="clear" w:pos="425"/>
          <w:tab w:val="left" w:pos="426"/>
        </w:tabs>
        <w:ind w:left="426" w:hanging="426"/>
      </w:pPr>
      <w:r>
        <w:t>legt gemäß Artikel 6 Absatz 1 der Richtlinie 76/464/EWG Grenzwerte für Emissionsnormen für Quec</w:t>
      </w:r>
      <w:r>
        <w:t>k</w:t>
      </w:r>
      <w:r>
        <w:t>silber in Ableitungen aus Industriebetrieben im Sinne des Artikels 2 Buchstabe d) der vorliegenden Richtlinie fest;</w:t>
      </w:r>
    </w:p>
    <w:p w:rsidR="00344F48" w:rsidRDefault="00344F48" w:rsidP="00CF1FD8">
      <w:pPr>
        <w:pStyle w:val="GesAbsatz"/>
        <w:numPr>
          <w:ilvl w:val="0"/>
          <w:numId w:val="1"/>
        </w:numPr>
        <w:tabs>
          <w:tab w:val="clear" w:pos="425"/>
          <w:tab w:val="left" w:pos="426"/>
        </w:tabs>
        <w:ind w:left="426" w:hanging="426"/>
      </w:pPr>
      <w:r>
        <w:t>legt gemäß Artikel 6 Absatz 2 der Richtlinie 76/464/EWG Qualitätsziele für Gewässer in bezug auf Quecksilber fest;</w:t>
      </w:r>
    </w:p>
    <w:p w:rsidR="00344F48" w:rsidRDefault="00344F48" w:rsidP="00CF1FD8">
      <w:pPr>
        <w:pStyle w:val="GesAbsatz"/>
        <w:numPr>
          <w:ilvl w:val="0"/>
          <w:numId w:val="1"/>
        </w:numPr>
        <w:tabs>
          <w:tab w:val="clear" w:pos="425"/>
          <w:tab w:val="left" w:pos="426"/>
        </w:tabs>
        <w:ind w:left="426" w:hanging="426"/>
      </w:pPr>
      <w:r>
        <w:t>legt gemäß Artikel 6 Absatz 4 der Richtlinie 76/464/EWG die Fristen zur Erfüllung der Voraussetzungen für die von den zuständigen Stellen der Mitgliedstaaten für bestehende Ableitungen bewilligten Gene</w:t>
      </w:r>
      <w:r>
        <w:t>h</w:t>
      </w:r>
      <w:r>
        <w:t>migungen fest;</w:t>
      </w:r>
    </w:p>
    <w:p w:rsidR="00344F48" w:rsidRDefault="00344F48" w:rsidP="00CF1FD8">
      <w:pPr>
        <w:pStyle w:val="GesAbsatz"/>
        <w:numPr>
          <w:ilvl w:val="0"/>
          <w:numId w:val="1"/>
        </w:numPr>
        <w:tabs>
          <w:tab w:val="clear" w:pos="425"/>
          <w:tab w:val="left" w:pos="426"/>
        </w:tabs>
        <w:ind w:left="426" w:hanging="426"/>
      </w:pPr>
      <w:r>
        <w:t>legt gemäß Artikel 12 Absatz 1 der Richtlinie 76/464/EWG die Referenzmeßverfahren für die Besti</w:t>
      </w:r>
      <w:r>
        <w:t>m</w:t>
      </w:r>
      <w:r>
        <w:t>mung des Quecksilbergehalts in Ableitungen und in Gewässern fest;</w:t>
      </w:r>
    </w:p>
    <w:p w:rsidR="00344F48" w:rsidRDefault="00344F48" w:rsidP="00CF1FD8">
      <w:pPr>
        <w:pStyle w:val="GesAbsatz"/>
        <w:numPr>
          <w:ilvl w:val="0"/>
          <w:numId w:val="1"/>
        </w:numPr>
        <w:tabs>
          <w:tab w:val="clear" w:pos="425"/>
          <w:tab w:val="left" w:pos="426"/>
        </w:tabs>
        <w:ind w:left="426" w:hanging="426"/>
      </w:pPr>
      <w:r>
        <w:t>legt gemäß Artikel 6 Absatz 3 der Richtlinie 76/464/EWG ein Überwachungsverfahren fest;</w:t>
      </w:r>
    </w:p>
    <w:p w:rsidR="00344F48" w:rsidRDefault="00344F48" w:rsidP="00CF1FD8">
      <w:pPr>
        <w:pStyle w:val="GesAbsatz"/>
        <w:numPr>
          <w:ilvl w:val="0"/>
          <w:numId w:val="1"/>
        </w:numPr>
        <w:tabs>
          <w:tab w:val="clear" w:pos="425"/>
          <w:tab w:val="left" w:pos="426"/>
        </w:tabs>
        <w:ind w:left="426" w:hanging="426"/>
      </w:pPr>
      <w:r>
        <w:t>schreibt den Mitgliedstaaten vor, im Falle von Ableitungen, die die Gewässer mehrerer Mitgliedstaaten betreffen, zusammenzuarbeiten.</w:t>
      </w:r>
    </w:p>
    <w:p w:rsidR="00344F48" w:rsidRDefault="00344F48">
      <w:pPr>
        <w:pStyle w:val="GesAbsatz"/>
      </w:pPr>
      <w:r>
        <w:t>(2) Diese Richtlinie findet Anwendung auf die in Artikel 1 der Richtlinie 76/464/EWG genannten Gewässer mit Ausnahme des Grundwassers.</w:t>
      </w:r>
    </w:p>
    <w:p w:rsidR="00344F48" w:rsidRDefault="00344F48">
      <w:pPr>
        <w:pStyle w:val="berschrift2"/>
      </w:pPr>
      <w:bookmarkStart w:id="3" w:name="_Toc420509980"/>
      <w:r>
        <w:t>Artikel 2</w:t>
      </w:r>
      <w:bookmarkEnd w:id="3"/>
    </w:p>
    <w:p w:rsidR="00344F48" w:rsidRDefault="00344F48">
      <w:pPr>
        <w:pStyle w:val="GesAbsatz"/>
      </w:pPr>
      <w:r>
        <w:t>Im Sinne dieser Richtlinie sind</w:t>
      </w:r>
    </w:p>
    <w:p w:rsidR="00344F48" w:rsidRDefault="00344F48">
      <w:pPr>
        <w:pStyle w:val="GesAbsatz"/>
        <w:rPr>
          <w:i/>
        </w:rPr>
      </w:pPr>
      <w:r>
        <w:t xml:space="preserve">a) </w:t>
      </w:r>
      <w:r>
        <w:rPr>
          <w:i/>
        </w:rPr>
        <w:t>„Quecksilber“:</w:t>
      </w:r>
    </w:p>
    <w:p w:rsidR="00344F48" w:rsidRDefault="00344F48">
      <w:pPr>
        <w:pStyle w:val="GesAbsatz"/>
      </w:pPr>
      <w:r>
        <w:tab/>
        <w:t>-</w:t>
      </w:r>
      <w:r w:rsidR="00F85BBC">
        <w:tab/>
      </w:r>
      <w:r>
        <w:t>das chemische Element Quecksilber,</w:t>
      </w:r>
    </w:p>
    <w:p w:rsidR="00344F48" w:rsidRDefault="00344F48">
      <w:pPr>
        <w:pStyle w:val="GesAbsatz"/>
      </w:pPr>
      <w:r>
        <w:tab/>
        <w:t>-</w:t>
      </w:r>
      <w:r w:rsidR="00F85BBC">
        <w:tab/>
      </w:r>
      <w:r>
        <w:t xml:space="preserve">das in einer seiner Verbindungen enthaltene </w:t>
      </w:r>
      <w:r w:rsidR="00EA5ACD">
        <w:t>Quecksilber</w:t>
      </w:r>
    </w:p>
    <w:p w:rsidR="00344F48" w:rsidRDefault="00344F48">
      <w:pPr>
        <w:pStyle w:val="GesAbsatz"/>
        <w:rPr>
          <w:i/>
        </w:rPr>
      </w:pPr>
      <w:r>
        <w:t xml:space="preserve">b) </w:t>
      </w:r>
      <w:r>
        <w:rPr>
          <w:i/>
        </w:rPr>
        <w:t>„Grenzwerte“:</w:t>
      </w:r>
    </w:p>
    <w:p w:rsidR="00344F48" w:rsidRDefault="00344F48">
      <w:pPr>
        <w:pStyle w:val="GesAbsatz"/>
      </w:pPr>
      <w:r>
        <w:t>die in Anhang I genannten Werte;</w:t>
      </w:r>
    </w:p>
    <w:p w:rsidR="00344F48" w:rsidRDefault="00344F48">
      <w:pPr>
        <w:pStyle w:val="GesAbsatz"/>
      </w:pPr>
      <w:r>
        <w:t>c)</w:t>
      </w:r>
      <w:r>
        <w:rPr>
          <w:i/>
        </w:rPr>
        <w:t xml:space="preserve"> „Qualitätsziele“:</w:t>
      </w:r>
    </w:p>
    <w:p w:rsidR="00344F48" w:rsidRDefault="00344F48">
      <w:pPr>
        <w:pStyle w:val="GesAbsatz"/>
      </w:pPr>
      <w:r>
        <w:t xml:space="preserve">die </w:t>
      </w:r>
      <w:r w:rsidR="00EA5ACD">
        <w:t>i</w:t>
      </w:r>
      <w:r>
        <w:t>n Anhang II genannten Anforderungen;</w:t>
      </w:r>
    </w:p>
    <w:p w:rsidR="00344F48" w:rsidRDefault="00344F48">
      <w:pPr>
        <w:pStyle w:val="GesAbsatz"/>
        <w:rPr>
          <w:i/>
        </w:rPr>
      </w:pPr>
      <w:r>
        <w:t xml:space="preserve">d) </w:t>
      </w:r>
      <w:r>
        <w:rPr>
          <w:i/>
        </w:rPr>
        <w:t>„Industriebetrieb“:</w:t>
      </w:r>
    </w:p>
    <w:p w:rsidR="00344F48" w:rsidRDefault="00344F48">
      <w:pPr>
        <w:pStyle w:val="GesAbsatz"/>
      </w:pPr>
      <w:r>
        <w:t>jeder Betrieb, in dem Alkalichloride unter Verwendung von Quecksilberkathodenzellen einem Elektrolyseve</w:t>
      </w:r>
      <w:r>
        <w:t>r</w:t>
      </w:r>
      <w:r>
        <w:t>fahren unterzogen werden;</w:t>
      </w:r>
    </w:p>
    <w:p w:rsidR="00344F48" w:rsidRDefault="00344F48">
      <w:pPr>
        <w:pStyle w:val="GesAbsatz"/>
      </w:pPr>
      <w:r>
        <w:t xml:space="preserve">e) </w:t>
      </w:r>
      <w:r>
        <w:rPr>
          <w:i/>
        </w:rPr>
        <w:t>„bestehender Betrieb“.</w:t>
      </w:r>
    </w:p>
    <w:p w:rsidR="00344F48" w:rsidRDefault="00344F48">
      <w:pPr>
        <w:pStyle w:val="GesAbsatz"/>
      </w:pPr>
      <w:r>
        <w:t>ein Industriebetrieb, der zum Zeitpunkt der Bekanntgabe dieser Richtlinie produziert;</w:t>
      </w:r>
    </w:p>
    <w:p w:rsidR="00344F48" w:rsidRDefault="00344F48">
      <w:pPr>
        <w:pStyle w:val="GesAbsatz"/>
        <w:rPr>
          <w:i/>
        </w:rPr>
      </w:pPr>
      <w:r>
        <w:t xml:space="preserve">f) </w:t>
      </w:r>
      <w:r>
        <w:rPr>
          <w:i/>
        </w:rPr>
        <w:t>„neuer Betrieb“:</w:t>
      </w:r>
    </w:p>
    <w:p w:rsidR="00344F48" w:rsidRDefault="00344F48">
      <w:pPr>
        <w:pStyle w:val="GesAbsatz"/>
        <w:tabs>
          <w:tab w:val="clear" w:pos="425"/>
        </w:tabs>
        <w:ind w:left="425" w:hanging="425"/>
      </w:pPr>
      <w:r>
        <w:t>-</w:t>
      </w:r>
      <w:r>
        <w:tab/>
        <w:t>ein Industriebetrieb, der nach dem Zeitpunkt der Bekanntgabe dieser Richtlinie seine Produktion au</w:t>
      </w:r>
      <w:r>
        <w:t>f</w:t>
      </w:r>
      <w:r>
        <w:t>nimmt;</w:t>
      </w:r>
    </w:p>
    <w:p w:rsidR="00344F48" w:rsidRDefault="00344F48">
      <w:pPr>
        <w:pStyle w:val="GesAbsatz"/>
        <w:tabs>
          <w:tab w:val="clear" w:pos="425"/>
        </w:tabs>
        <w:ind w:left="425" w:hanging="425"/>
      </w:pPr>
      <w:r>
        <w:lastRenderedPageBreak/>
        <w:t>-</w:t>
      </w:r>
      <w:r>
        <w:tab/>
        <w:t>ein bestehender Industriebetrieb, dessen Kapazität für die Alkalichloridelektrolyse mittels Quecksilbe</w:t>
      </w:r>
      <w:r>
        <w:t>r</w:t>
      </w:r>
      <w:r>
        <w:t>kathodenzellen nach dem Zeitpunkt der Bekanntgabe dieser Richtlinie erheblich erhöht worden ist.</w:t>
      </w:r>
    </w:p>
    <w:p w:rsidR="00344F48" w:rsidRDefault="00344F48">
      <w:pPr>
        <w:pStyle w:val="berschrift2"/>
      </w:pPr>
      <w:bookmarkStart w:id="4" w:name="_Toc420509981"/>
      <w:r>
        <w:t>Artikel 3</w:t>
      </w:r>
      <w:bookmarkEnd w:id="4"/>
    </w:p>
    <w:p w:rsidR="00344F48" w:rsidRDefault="00344F48">
      <w:pPr>
        <w:pStyle w:val="GesAbsatz"/>
      </w:pPr>
      <w:r>
        <w:t>(1) Die Grenzwerte, die Fristen für die Einhaltung der Grenzwerte sowie das Überwachungs- und Kontrol</w:t>
      </w:r>
      <w:r>
        <w:t>l</w:t>
      </w:r>
      <w:r>
        <w:t>verfahren für die Ableitung sind in Anhang I festgelegt.</w:t>
      </w:r>
    </w:p>
    <w:p w:rsidR="00344F48" w:rsidRDefault="00344F48">
      <w:pPr>
        <w:pStyle w:val="GesAbsatz"/>
      </w:pPr>
      <w:r>
        <w:t>(2) Die in Artikel 3 der Richtlinie 76/464/EWG vorgesehenen Genehmigungen müssen Vorschriften entha</w:t>
      </w:r>
      <w:r>
        <w:t>l</w:t>
      </w:r>
      <w:r>
        <w:t>ten, die mindestens ebenso streng sind wie die in Anhang I der vorliegenden Richtlinie festgelegten Vo</w:t>
      </w:r>
      <w:r>
        <w:t>r</w:t>
      </w:r>
      <w:r>
        <w:t>schriften, ausgenommen in den Fällen, in denen ein Mitgliedstaat auf der Grundlage der Anhänge II und IV der vorliegenden Richtlinie Artikel 6 Absatz 3 der Richtlinie 76/464/EWG erfüllt.</w:t>
      </w:r>
    </w:p>
    <w:p w:rsidR="00344F48" w:rsidRDefault="00344F48">
      <w:pPr>
        <w:pStyle w:val="GesAbsatz"/>
      </w:pPr>
      <w:r>
        <w:t>Diese Genehmigungen werden mindestens alle vier Jahre überprüft.</w:t>
      </w:r>
    </w:p>
    <w:p w:rsidR="00344F48" w:rsidRDefault="00344F48">
      <w:pPr>
        <w:pStyle w:val="GesAbsatz"/>
      </w:pPr>
      <w:r>
        <w:t>(3) Die Mitgliedstaaten können unbeschadet ihrer Verpflichtungen nach den Absätzen 1 und 2 sowie der Bestimmungen der Richtlinie 76/464/EWG nur dann Genehmigungen für neue Betriebe erteilen, wenn diese Genehmigungen auf Normen Bezug nehmen, die den besten verfügbaren technischen Mitteln zur Verme</w:t>
      </w:r>
      <w:r>
        <w:t>i</w:t>
      </w:r>
      <w:r>
        <w:t>dung der Quecksilberableitungen Rechnung tragen.</w:t>
      </w:r>
    </w:p>
    <w:p w:rsidR="00344F48" w:rsidRDefault="00344F48">
      <w:pPr>
        <w:pStyle w:val="GesAbsatz"/>
      </w:pPr>
      <w:r>
        <w:t>Unabhängig von dem gewählten Verfahren legt der Mitgliedstaat in dem Fall, daß die geplanten Maßnahmen aus technischen Gründen nicht den besten verfügbaren technischen Mitteln entsprechen, der Kommission vor jeder Genehmigung diese Gründe dar.</w:t>
      </w:r>
    </w:p>
    <w:p w:rsidR="00344F48" w:rsidRDefault="00344F48">
      <w:pPr>
        <w:pStyle w:val="GesAbsatz"/>
      </w:pPr>
      <w:r>
        <w:t>Die Kommission leitet den Mitgliedstaaten innerhalb von drei Monaten einen Bericht zu, in dem ihre Ste</w:t>
      </w:r>
      <w:r>
        <w:t>l</w:t>
      </w:r>
      <w:r>
        <w:t>lungnahme zu der in Unterabsatz 2 bezeichneten Ausnahmeregelung enthalten ist.</w:t>
      </w:r>
    </w:p>
    <w:p w:rsidR="00344F48" w:rsidRDefault="00344F48">
      <w:pPr>
        <w:pStyle w:val="GesAbsatz"/>
      </w:pPr>
      <w:r>
        <w:t>(4) Die Referenzanalysenmethode für die Bestimmung von Quecksilber ist in Anhang II Nummer 1 aufg</w:t>
      </w:r>
      <w:r>
        <w:t>e</w:t>
      </w:r>
      <w:r>
        <w:t>führt. Es können andere Methoden verwen</w:t>
      </w:r>
      <w:r w:rsidR="00EA5ACD">
        <w:t>det werden, vorausgesetzt, daß i</w:t>
      </w:r>
      <w:r>
        <w:t>hre Erfassungsgrenze, Genaui</w:t>
      </w:r>
      <w:r>
        <w:t>g</w:t>
      </w:r>
      <w:r>
        <w:t>keit und Richtigkeit mindestens ebenso geeignet sind wie in Anhang III Nummer 1 festgelegt. Die beim Me</w:t>
      </w:r>
      <w:r>
        <w:t>s</w:t>
      </w:r>
      <w:r>
        <w:t>sen des Abflusses erforderliche Genauigkeit ist in Anhang III Nummer 2 angegeben.</w:t>
      </w:r>
    </w:p>
    <w:p w:rsidR="00344F48" w:rsidRDefault="00344F48">
      <w:pPr>
        <w:pStyle w:val="berschrift2"/>
      </w:pPr>
      <w:bookmarkStart w:id="5" w:name="_Toc420509982"/>
      <w:r>
        <w:t>Artikel 4</w:t>
      </w:r>
      <w:bookmarkEnd w:id="5"/>
    </w:p>
    <w:p w:rsidR="00344F48" w:rsidRDefault="00344F48">
      <w:pPr>
        <w:pStyle w:val="GesAbsatz"/>
      </w:pPr>
      <w:r>
        <w:t>Die betroffenen Mitgliedstaaten sorgen für die Überwachung der Gewässer, die von den Ableitungen aus Industriebetrieben berührt werden.</w:t>
      </w:r>
    </w:p>
    <w:p w:rsidR="00344F48" w:rsidRDefault="00344F48">
      <w:pPr>
        <w:pStyle w:val="GesAbsatz"/>
      </w:pPr>
      <w:r>
        <w:t>Im Falle von Ableitungen, die die Gewässer mehrerer Mitgliedstaaten betreffen, arbeiten diese Mitgliedsta</w:t>
      </w:r>
      <w:r>
        <w:t>a</w:t>
      </w:r>
      <w:r>
        <w:t>ten mit dem Ziel der Harmonisierung der Überwachungsverfahren zusammen.</w:t>
      </w:r>
    </w:p>
    <w:p w:rsidR="00344F48" w:rsidRDefault="00344F48">
      <w:pPr>
        <w:pStyle w:val="berschrift2"/>
      </w:pPr>
      <w:bookmarkStart w:id="6" w:name="_Toc420509983"/>
      <w:r>
        <w:t>Artikel 5</w:t>
      </w:r>
      <w:bookmarkEnd w:id="6"/>
    </w:p>
    <w:p w:rsidR="00344F48" w:rsidRDefault="00344F48">
      <w:pPr>
        <w:pStyle w:val="GesAbsatz"/>
      </w:pPr>
      <w:r>
        <w:t>Die Mitgliedstaaten übermitteln der Kommission alle drei Jahre Angaben über die Durchführung dieser Rich</w:t>
      </w:r>
      <w:r>
        <w:t>t</w:t>
      </w:r>
      <w:r>
        <w:t>linie im Rahmen eines sektoralen Berichts, der auch die anderen einschlägigen Gemeinschaftsrichtlinien erfaßt. Der Bericht ist anhand eines von der Kommission nach dem Verfahren des Artikels 6 der Richtl</w:t>
      </w:r>
      <w:r>
        <w:t>i</w:t>
      </w:r>
      <w:r>
        <w:t>nie 91/692/EWG</w:t>
      </w:r>
      <w:r>
        <w:rPr>
          <w:rStyle w:val="Funotenzeichen"/>
        </w:rPr>
        <w:footnoteReference w:id="5"/>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erfaßten Dreijahreszeitraums einzureichen.</w:t>
      </w:r>
    </w:p>
    <w:p w:rsidR="00344F48" w:rsidRDefault="00344F48">
      <w:pPr>
        <w:pStyle w:val="GesAbsatz"/>
      </w:pPr>
      <w:r>
        <w:t>Der erste Bericht erfaßt den Zeitraum 1993 bis 1995.</w:t>
      </w:r>
    </w:p>
    <w:p w:rsidR="00344F48" w:rsidRDefault="00344F48">
      <w:pPr>
        <w:pStyle w:val="GesAbsatz"/>
      </w:pPr>
      <w:r>
        <w:t>Die Kommission veröffentlicht innerhalb von neun Monaten nach Erhalt der einzelstaatlichen Berichte einen Gemeinschaftsbericht über die Durchführung dieser Richtlinie.</w:t>
      </w:r>
    </w:p>
    <w:p w:rsidR="00344F48" w:rsidRDefault="00344F48">
      <w:pPr>
        <w:pStyle w:val="GesAbsatz"/>
      </w:pPr>
      <w:r>
        <w:t>Die Kommission legt dem Rat im Falle einer Änderung des wissenschaftlichen Erkenntnisstandes haup</w:t>
      </w:r>
      <w:r>
        <w:t>t</w:t>
      </w:r>
      <w:r>
        <w:t>sächlich in bezug auf die Toxizität, Langlebigkeit und Akkumulation des Quecksilbers in lebenden Organi</w:t>
      </w:r>
      <w:r>
        <w:t>s</w:t>
      </w:r>
      <w:r>
        <w:t>men und in Sedimenten oder im Falle einer Verbesserung der besten verfügbaren technischen Mittel geei</w:t>
      </w:r>
      <w:r>
        <w:t>g</w:t>
      </w:r>
      <w:r>
        <w:t>nete Vorschläge vor, mit denen die Grenzwerte und Qualitätsziele erforderlichenfalls verbessert werden sollen.</w:t>
      </w:r>
    </w:p>
    <w:p w:rsidR="00344F48" w:rsidRDefault="00344F48">
      <w:pPr>
        <w:pStyle w:val="berschrift2"/>
      </w:pPr>
      <w:bookmarkStart w:id="7" w:name="_Toc420509984"/>
      <w:r>
        <w:t>Artikel 6</w:t>
      </w:r>
      <w:bookmarkEnd w:id="7"/>
    </w:p>
    <w:p w:rsidR="00344F48" w:rsidRDefault="00344F48">
      <w:pPr>
        <w:pStyle w:val="GesAbsatz"/>
      </w:pPr>
      <w:r>
        <w:t>(1) Die Mitgliedstaaten ergreifen vor dem 1. Juli 1983 die erforderlichen Maßnahmen, um dieser Richtlinie nachzukommen. Sie setzen die Kommission davon unverzüglich in Kenntnis.</w:t>
      </w:r>
    </w:p>
    <w:p w:rsidR="00344F48" w:rsidRDefault="00344F48">
      <w:pPr>
        <w:pStyle w:val="GesAbsatz"/>
      </w:pPr>
      <w:r>
        <w:lastRenderedPageBreak/>
        <w:t>(2) Die Mitgliedstaaten teilen der Kommission den Wortlaut der einzelstaatlichen Rechtsvorschriften mit, die sie auf dem vo</w:t>
      </w:r>
      <w:r w:rsidR="00EA5ACD">
        <w:t>n</w:t>
      </w:r>
      <w:r>
        <w:t xml:space="preserve"> dieser Richtlinie behandelten Gebiet ergreifen.</w:t>
      </w:r>
    </w:p>
    <w:p w:rsidR="00344F48" w:rsidRDefault="00344F48">
      <w:pPr>
        <w:pStyle w:val="berschrift2"/>
      </w:pPr>
      <w:bookmarkStart w:id="8" w:name="_Toc420509985"/>
      <w:r>
        <w:t>Artikel 7</w:t>
      </w:r>
      <w:bookmarkEnd w:id="8"/>
    </w:p>
    <w:p w:rsidR="00344F48" w:rsidRDefault="00344F48">
      <w:pPr>
        <w:pStyle w:val="GesAbsatz"/>
      </w:pPr>
      <w:r>
        <w:t>Diese Richtlinie ist an die Mitgliedstaaten gerichtet.</w:t>
      </w:r>
    </w:p>
    <w:p w:rsidR="00344F48" w:rsidRDefault="00344F48">
      <w:pPr>
        <w:pStyle w:val="GesAbsatz"/>
      </w:pPr>
    </w:p>
    <w:p w:rsidR="00344F48" w:rsidRDefault="00344F48" w:rsidP="00195271">
      <w:pPr>
        <w:pStyle w:val="berschrift2"/>
        <w:jc w:val="left"/>
      </w:pPr>
      <w:r>
        <w:br w:type="page"/>
      </w:r>
      <w:bookmarkStart w:id="9" w:name="_Toc420509986"/>
      <w:r>
        <w:lastRenderedPageBreak/>
        <w:t>Anhang I</w:t>
      </w:r>
      <w:r w:rsidR="00195271">
        <w:t xml:space="preserve">: </w:t>
      </w:r>
      <w:r>
        <w:t>Grenzwerte, Fristen für die Einhaltung der Grenzwerte und Überw</w:t>
      </w:r>
      <w:r>
        <w:t>a</w:t>
      </w:r>
      <w:r>
        <w:t>chungs- und Kontrollverfahren für die Ableitung</w:t>
      </w:r>
      <w:bookmarkEnd w:id="9"/>
    </w:p>
    <w:p w:rsidR="00344F48" w:rsidRDefault="00344F48">
      <w:pPr>
        <w:pStyle w:val="GesAbsatz"/>
        <w:tabs>
          <w:tab w:val="clear" w:pos="425"/>
        </w:tabs>
        <w:ind w:left="425" w:hanging="425"/>
      </w:pPr>
      <w:r>
        <w:t>1.</w:t>
      </w:r>
      <w:r>
        <w:tab/>
        <w:t>In der nachstehenden Tabelle sind die in Konzentrationswerten ausgedrückten Grenzwerte angegeben, die grundsätzlich nicht überschritten werden dürfen.</w:t>
      </w:r>
    </w:p>
    <w:p w:rsidR="00344F48" w:rsidRDefault="00344F48">
      <w:pPr>
        <w:pStyle w:val="GesAbsatz"/>
      </w:pPr>
    </w:p>
    <w:tbl>
      <w:tblPr>
        <w:tblW w:w="0" w:type="auto"/>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259"/>
        <w:gridCol w:w="1629"/>
        <w:gridCol w:w="1630"/>
        <w:gridCol w:w="3259"/>
      </w:tblGrid>
      <w:tr w:rsidR="00344F48">
        <w:tc>
          <w:tcPr>
            <w:tcW w:w="3259" w:type="dxa"/>
            <w:tcBorders>
              <w:top w:val="single" w:sz="6" w:space="0" w:color="auto"/>
              <w:bottom w:val="nil"/>
              <w:right w:val="single" w:sz="6" w:space="0" w:color="auto"/>
            </w:tcBorders>
          </w:tcPr>
          <w:p w:rsidR="00344F48" w:rsidRDefault="00344F48" w:rsidP="00ED70F6">
            <w:pPr>
              <w:pStyle w:val="GesAbsatz"/>
              <w:jc w:val="center"/>
            </w:pPr>
            <w:r>
              <w:t>Maßeinheit</w:t>
            </w:r>
          </w:p>
        </w:tc>
        <w:tc>
          <w:tcPr>
            <w:tcW w:w="3259" w:type="dxa"/>
            <w:gridSpan w:val="2"/>
            <w:tcBorders>
              <w:top w:val="single" w:sz="6" w:space="0" w:color="auto"/>
              <w:left w:val="nil"/>
              <w:bottom w:val="nil"/>
              <w:right w:val="single" w:sz="6" w:space="0" w:color="auto"/>
            </w:tcBorders>
          </w:tcPr>
          <w:p w:rsidR="00344F48" w:rsidRDefault="00344F48" w:rsidP="00ED70F6">
            <w:pPr>
              <w:pStyle w:val="GesAbsatz"/>
              <w:jc w:val="center"/>
            </w:pPr>
            <w:r>
              <w:t>Grenzwerte als Monatsmittel, die ab 1. Juli nicht überschritten wer</w:t>
            </w:r>
            <w:r>
              <w:softHyphen/>
              <w:t>den dürfen</w:t>
            </w:r>
          </w:p>
        </w:tc>
        <w:tc>
          <w:tcPr>
            <w:tcW w:w="3259" w:type="dxa"/>
            <w:tcBorders>
              <w:top w:val="single" w:sz="6" w:space="0" w:color="auto"/>
              <w:left w:val="nil"/>
              <w:bottom w:val="nil"/>
              <w:right w:val="nil"/>
            </w:tcBorders>
          </w:tcPr>
          <w:p w:rsidR="00344F48" w:rsidRDefault="00344F48" w:rsidP="00ED70F6">
            <w:pPr>
              <w:pStyle w:val="GesAbsatz"/>
              <w:jc w:val="center"/>
            </w:pPr>
            <w:r>
              <w:t>Bemerkungen</w:t>
            </w:r>
          </w:p>
        </w:tc>
      </w:tr>
      <w:tr w:rsidR="00344F48">
        <w:tc>
          <w:tcPr>
            <w:tcW w:w="3259" w:type="dxa"/>
            <w:tcBorders>
              <w:top w:val="nil"/>
              <w:bottom w:val="nil"/>
              <w:right w:val="single" w:sz="6" w:space="0" w:color="auto"/>
            </w:tcBorders>
          </w:tcPr>
          <w:p w:rsidR="00344F48" w:rsidRDefault="00344F48">
            <w:pPr>
              <w:pStyle w:val="GesAbsatz"/>
            </w:pPr>
          </w:p>
        </w:tc>
        <w:tc>
          <w:tcPr>
            <w:tcW w:w="1629" w:type="dxa"/>
            <w:tcBorders>
              <w:top w:val="single" w:sz="6" w:space="0" w:color="auto"/>
              <w:left w:val="nil"/>
              <w:bottom w:val="single" w:sz="6" w:space="0" w:color="auto"/>
              <w:right w:val="single" w:sz="6" w:space="0" w:color="auto"/>
            </w:tcBorders>
          </w:tcPr>
          <w:p w:rsidR="00344F48" w:rsidRPr="00ED70F6" w:rsidRDefault="00344F48" w:rsidP="00ED70F6">
            <w:pPr>
              <w:pStyle w:val="GesAbsatz"/>
              <w:jc w:val="center"/>
            </w:pPr>
            <w:r w:rsidRPr="00ED70F6">
              <w:t>1983</w:t>
            </w:r>
          </w:p>
        </w:tc>
        <w:tc>
          <w:tcPr>
            <w:tcW w:w="1629" w:type="dxa"/>
            <w:tcBorders>
              <w:top w:val="single" w:sz="6" w:space="0" w:color="auto"/>
              <w:left w:val="nil"/>
              <w:bottom w:val="single" w:sz="6" w:space="0" w:color="auto"/>
              <w:right w:val="single" w:sz="6" w:space="0" w:color="auto"/>
            </w:tcBorders>
          </w:tcPr>
          <w:p w:rsidR="00344F48" w:rsidRPr="00ED70F6" w:rsidRDefault="00344F48" w:rsidP="00ED70F6">
            <w:pPr>
              <w:pStyle w:val="GesAbsatz"/>
              <w:jc w:val="center"/>
            </w:pPr>
            <w:r w:rsidRPr="00ED70F6">
              <w:t>1986</w:t>
            </w:r>
          </w:p>
        </w:tc>
        <w:tc>
          <w:tcPr>
            <w:tcW w:w="3259" w:type="dxa"/>
            <w:tcBorders>
              <w:left w:val="nil"/>
              <w:bottom w:val="nil"/>
            </w:tcBorders>
          </w:tcPr>
          <w:p w:rsidR="00344F48" w:rsidRDefault="00344F48">
            <w:pPr>
              <w:pStyle w:val="GesAbsatz"/>
            </w:pPr>
          </w:p>
        </w:tc>
      </w:tr>
      <w:tr w:rsidR="00344F48">
        <w:tc>
          <w:tcPr>
            <w:tcW w:w="3259" w:type="dxa"/>
            <w:tcBorders>
              <w:top w:val="single" w:sz="6" w:space="0" w:color="auto"/>
              <w:bottom w:val="single" w:sz="6" w:space="0" w:color="auto"/>
              <w:right w:val="single" w:sz="6" w:space="0" w:color="auto"/>
            </w:tcBorders>
          </w:tcPr>
          <w:p w:rsidR="00344F48" w:rsidRDefault="00344F48" w:rsidP="00195271">
            <w:pPr>
              <w:pStyle w:val="GesAbsatz"/>
              <w:jc w:val="left"/>
            </w:pPr>
            <w:r>
              <w:t xml:space="preserve">Rückführung der Salzlösung und verlorene Salzlösung </w:t>
            </w:r>
            <w:r w:rsidR="00195271">
              <w:br/>
            </w:r>
            <w:r>
              <w:t>Mikrogramm Quecksilber je Liter</w:t>
            </w:r>
          </w:p>
        </w:tc>
        <w:tc>
          <w:tcPr>
            <w:tcW w:w="1629" w:type="dxa"/>
            <w:tcBorders>
              <w:top w:val="nil"/>
              <w:left w:val="nil"/>
              <w:bottom w:val="single" w:sz="6" w:space="0" w:color="auto"/>
            </w:tcBorders>
          </w:tcPr>
          <w:p w:rsidR="00344F48" w:rsidRDefault="00344F48">
            <w:pPr>
              <w:pStyle w:val="GesAbsatz"/>
              <w:tabs>
                <w:tab w:val="clear" w:pos="425"/>
                <w:tab w:val="decimal" w:pos="710"/>
              </w:tabs>
            </w:pPr>
          </w:p>
          <w:p w:rsidR="00344F48" w:rsidRDefault="00344F48">
            <w:pPr>
              <w:pStyle w:val="GesAbsatz"/>
              <w:tabs>
                <w:tab w:val="clear" w:pos="425"/>
                <w:tab w:val="decimal" w:pos="710"/>
              </w:tabs>
            </w:pPr>
            <w:r>
              <w:t>75</w:t>
            </w:r>
          </w:p>
          <w:p w:rsidR="00344F48" w:rsidRDefault="00344F48">
            <w:pPr>
              <w:pStyle w:val="GesAbsatz"/>
              <w:tabs>
                <w:tab w:val="clear" w:pos="425"/>
                <w:tab w:val="decimal" w:pos="710"/>
              </w:tabs>
            </w:pPr>
          </w:p>
        </w:tc>
        <w:tc>
          <w:tcPr>
            <w:tcW w:w="1629" w:type="dxa"/>
            <w:tcBorders>
              <w:top w:val="nil"/>
              <w:bottom w:val="single" w:sz="6" w:space="0" w:color="auto"/>
              <w:right w:val="single" w:sz="6" w:space="0" w:color="auto"/>
            </w:tcBorders>
          </w:tcPr>
          <w:p w:rsidR="00344F48" w:rsidRDefault="00344F48">
            <w:pPr>
              <w:pStyle w:val="GesAbsatz"/>
              <w:tabs>
                <w:tab w:val="clear" w:pos="425"/>
                <w:tab w:val="decimal" w:pos="710"/>
              </w:tabs>
            </w:pPr>
          </w:p>
          <w:p w:rsidR="00344F48" w:rsidRDefault="00344F48">
            <w:pPr>
              <w:pStyle w:val="GesAbsatz"/>
              <w:tabs>
                <w:tab w:val="clear" w:pos="425"/>
                <w:tab w:val="decimal" w:pos="710"/>
              </w:tabs>
            </w:pPr>
            <w:r>
              <w:t>50</w:t>
            </w:r>
          </w:p>
        </w:tc>
        <w:tc>
          <w:tcPr>
            <w:tcW w:w="3259" w:type="dxa"/>
            <w:tcBorders>
              <w:top w:val="single" w:sz="6" w:space="0" w:color="auto"/>
              <w:left w:val="nil"/>
              <w:bottom w:val="single" w:sz="6" w:space="0" w:color="auto"/>
            </w:tcBorders>
          </w:tcPr>
          <w:p w:rsidR="00344F48" w:rsidRDefault="00344F48">
            <w:pPr>
              <w:pStyle w:val="GesAbsatz"/>
            </w:pPr>
          </w:p>
          <w:p w:rsidR="00344F48" w:rsidRDefault="00344F48">
            <w:pPr>
              <w:pStyle w:val="GesAbsatz"/>
            </w:pPr>
            <w:r>
              <w:t>gilt für die Gesamtquecksilbe</w:t>
            </w:r>
            <w:r>
              <w:t>r</w:t>
            </w:r>
            <w:r>
              <w:t>menge in allen quecksilberhaltigen Abflüssen aus dem Gelände des Industriebetriebs</w:t>
            </w:r>
          </w:p>
        </w:tc>
      </w:tr>
    </w:tbl>
    <w:p w:rsidR="00344F48" w:rsidRDefault="00344F48">
      <w:pPr>
        <w:pStyle w:val="GesAbsatz"/>
      </w:pPr>
    </w:p>
    <w:p w:rsidR="00344F48" w:rsidRDefault="00344F48">
      <w:pPr>
        <w:pStyle w:val="GesAbsatz"/>
        <w:tabs>
          <w:tab w:val="clear" w:pos="425"/>
        </w:tabs>
        <w:ind w:left="425" w:hanging="425"/>
      </w:pPr>
      <w:r>
        <w:tab/>
        <w:t>Auf keinen Fall dürfen die als Höchstkonzentration ausgedrückten Grenzwerte über den Werten liegen, die sich aus einer Division der Quecksilberhöchstmengen durch den Wasserbedarf je Tonne installierter Chlorproduktionskapazität ergeben.</w:t>
      </w:r>
    </w:p>
    <w:p w:rsidR="00344F48" w:rsidRDefault="00344F48">
      <w:pPr>
        <w:pStyle w:val="GesAbsatz"/>
        <w:ind w:left="425" w:hanging="425"/>
      </w:pPr>
      <w:r>
        <w:t>2.</w:t>
      </w:r>
      <w:r>
        <w:tab/>
        <w:t>Da jedoch die Quecksilberkonzentration in Abflüssen von der Wassermenge abhängt, die sich jeweils nach Verfahren und Industriebetrieb unterscheidet, müssen die in der nachstehenden Tabelle angeg</w:t>
      </w:r>
      <w:r>
        <w:t>e</w:t>
      </w:r>
      <w:r>
        <w:t>benen Grenzwerte, die durch die Menge des abgeleiteten Quecksilbers im Verhältnis zu einer Tonne installierter Chlorproduktionskapazität ausgedrückt sind, in jedem Fall eingehalten werden.</w:t>
      </w:r>
    </w:p>
    <w:p w:rsidR="00344F48" w:rsidRDefault="00344F48">
      <w:pPr>
        <w:pStyle w:val="GesAbsatz"/>
      </w:pPr>
    </w:p>
    <w:p w:rsidR="00344F48" w:rsidRDefault="00344F48">
      <w:pPr>
        <w:pStyle w:val="GesAbsatz"/>
      </w:pPr>
    </w:p>
    <w:tbl>
      <w:tblPr>
        <w:tblW w:w="0" w:type="auto"/>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259"/>
        <w:gridCol w:w="1629"/>
        <w:gridCol w:w="1630"/>
        <w:gridCol w:w="3259"/>
      </w:tblGrid>
      <w:tr w:rsidR="00344F48">
        <w:tc>
          <w:tcPr>
            <w:tcW w:w="3259" w:type="dxa"/>
            <w:tcBorders>
              <w:top w:val="single" w:sz="6" w:space="0" w:color="auto"/>
              <w:bottom w:val="nil"/>
              <w:right w:val="single" w:sz="6" w:space="0" w:color="auto"/>
            </w:tcBorders>
          </w:tcPr>
          <w:p w:rsidR="00344F48" w:rsidRDefault="00344F48">
            <w:pPr>
              <w:pStyle w:val="GesAbsatz"/>
              <w:jc w:val="center"/>
            </w:pPr>
            <w:r>
              <w:t>Maßeinheit</w:t>
            </w:r>
          </w:p>
        </w:tc>
        <w:tc>
          <w:tcPr>
            <w:tcW w:w="3259" w:type="dxa"/>
            <w:gridSpan w:val="2"/>
            <w:tcBorders>
              <w:top w:val="single" w:sz="6" w:space="0" w:color="auto"/>
              <w:left w:val="nil"/>
              <w:bottom w:val="nil"/>
              <w:right w:val="single" w:sz="6" w:space="0" w:color="auto"/>
            </w:tcBorders>
          </w:tcPr>
          <w:p w:rsidR="00344F48" w:rsidRDefault="00344F48" w:rsidP="00ED70F6">
            <w:pPr>
              <w:pStyle w:val="GesAbsatz"/>
              <w:jc w:val="center"/>
            </w:pPr>
            <w:r>
              <w:t>Grenzwerte als Monatsmittel, die ab 1. Juli nicht überschritten wer</w:t>
            </w:r>
            <w:r>
              <w:softHyphen/>
              <w:t>den dürfen</w:t>
            </w:r>
          </w:p>
        </w:tc>
        <w:tc>
          <w:tcPr>
            <w:tcW w:w="3259" w:type="dxa"/>
            <w:tcBorders>
              <w:top w:val="single" w:sz="6" w:space="0" w:color="auto"/>
              <w:left w:val="nil"/>
              <w:bottom w:val="nil"/>
              <w:right w:val="nil"/>
            </w:tcBorders>
          </w:tcPr>
          <w:p w:rsidR="00344F48" w:rsidRDefault="00344F48">
            <w:pPr>
              <w:pStyle w:val="GesAbsatz"/>
              <w:jc w:val="center"/>
            </w:pPr>
            <w:r>
              <w:t>Bemerkungen</w:t>
            </w:r>
          </w:p>
        </w:tc>
      </w:tr>
      <w:tr w:rsidR="00344F48">
        <w:tc>
          <w:tcPr>
            <w:tcW w:w="3259" w:type="dxa"/>
            <w:tcBorders>
              <w:top w:val="nil"/>
              <w:bottom w:val="nil"/>
              <w:right w:val="single" w:sz="6" w:space="0" w:color="auto"/>
            </w:tcBorders>
          </w:tcPr>
          <w:p w:rsidR="00344F48" w:rsidRDefault="00344F48">
            <w:pPr>
              <w:pStyle w:val="GesAbsatz"/>
            </w:pPr>
          </w:p>
        </w:tc>
        <w:tc>
          <w:tcPr>
            <w:tcW w:w="1629" w:type="dxa"/>
            <w:tcBorders>
              <w:top w:val="single" w:sz="6" w:space="0" w:color="auto"/>
              <w:left w:val="nil"/>
              <w:bottom w:val="single" w:sz="6" w:space="0" w:color="auto"/>
              <w:right w:val="single" w:sz="6" w:space="0" w:color="auto"/>
            </w:tcBorders>
          </w:tcPr>
          <w:p w:rsidR="00344F48" w:rsidRDefault="00344F48" w:rsidP="00ED70F6">
            <w:pPr>
              <w:pStyle w:val="GesAbsatz"/>
              <w:jc w:val="center"/>
            </w:pPr>
            <w:r>
              <w:t>1983</w:t>
            </w:r>
          </w:p>
        </w:tc>
        <w:tc>
          <w:tcPr>
            <w:tcW w:w="1629" w:type="dxa"/>
            <w:tcBorders>
              <w:top w:val="single" w:sz="6" w:space="0" w:color="auto"/>
              <w:left w:val="nil"/>
              <w:bottom w:val="single" w:sz="6" w:space="0" w:color="auto"/>
              <w:right w:val="single" w:sz="6" w:space="0" w:color="auto"/>
            </w:tcBorders>
          </w:tcPr>
          <w:p w:rsidR="00344F48" w:rsidRDefault="00344F48" w:rsidP="00ED70F6">
            <w:pPr>
              <w:pStyle w:val="GesAbsatz"/>
              <w:jc w:val="center"/>
            </w:pPr>
            <w:r>
              <w:t>1986</w:t>
            </w:r>
          </w:p>
        </w:tc>
        <w:tc>
          <w:tcPr>
            <w:tcW w:w="3259" w:type="dxa"/>
            <w:tcBorders>
              <w:left w:val="nil"/>
              <w:bottom w:val="nil"/>
            </w:tcBorders>
          </w:tcPr>
          <w:p w:rsidR="00344F48" w:rsidRDefault="00344F48">
            <w:pPr>
              <w:pStyle w:val="GesAbsatz"/>
            </w:pPr>
          </w:p>
        </w:tc>
      </w:tr>
      <w:tr w:rsidR="00344F48">
        <w:tc>
          <w:tcPr>
            <w:tcW w:w="3259" w:type="dxa"/>
            <w:tcBorders>
              <w:top w:val="single" w:sz="6" w:space="0" w:color="auto"/>
              <w:bottom w:val="single" w:sz="6" w:space="0" w:color="auto"/>
              <w:right w:val="single" w:sz="6" w:space="0" w:color="auto"/>
            </w:tcBorders>
          </w:tcPr>
          <w:p w:rsidR="00344F48" w:rsidRDefault="00344F48" w:rsidP="00195271">
            <w:pPr>
              <w:pStyle w:val="GesAbsatz"/>
              <w:jc w:val="left"/>
            </w:pPr>
            <w:r>
              <w:t>Rückführung der Salzlösung Gramm Quecksilber je Tonne i</w:t>
            </w:r>
            <w:r>
              <w:t>n</w:t>
            </w:r>
            <w:r>
              <w:t>stallierter Chlorproduktions</w:t>
            </w:r>
            <w:r>
              <w:softHyphen/>
              <w:t>kapazität</w:t>
            </w:r>
          </w:p>
        </w:tc>
        <w:tc>
          <w:tcPr>
            <w:tcW w:w="1629" w:type="dxa"/>
            <w:tcBorders>
              <w:top w:val="nil"/>
              <w:left w:val="nil"/>
              <w:bottom w:val="single" w:sz="6" w:space="0" w:color="auto"/>
            </w:tcBorders>
          </w:tcPr>
          <w:p w:rsidR="00344F48" w:rsidRDefault="00344F48">
            <w:pPr>
              <w:pStyle w:val="GesAbsatz"/>
              <w:tabs>
                <w:tab w:val="clear" w:pos="425"/>
                <w:tab w:val="decimal" w:pos="710"/>
              </w:tabs>
            </w:pPr>
          </w:p>
          <w:p w:rsidR="00344F48" w:rsidRDefault="00344F48">
            <w:pPr>
              <w:pStyle w:val="GesAbsatz"/>
              <w:tabs>
                <w:tab w:val="clear" w:pos="425"/>
                <w:tab w:val="decimal" w:pos="710"/>
              </w:tabs>
            </w:pPr>
          </w:p>
          <w:p w:rsidR="00344F48" w:rsidRDefault="00344F48">
            <w:pPr>
              <w:pStyle w:val="GesAbsatz"/>
              <w:tabs>
                <w:tab w:val="clear" w:pos="425"/>
                <w:tab w:val="decimal" w:pos="710"/>
              </w:tabs>
            </w:pPr>
            <w:r>
              <w:t>0,5</w:t>
            </w:r>
          </w:p>
          <w:p w:rsidR="00344F48" w:rsidRDefault="00344F48">
            <w:pPr>
              <w:pStyle w:val="GesAbsatz"/>
              <w:tabs>
                <w:tab w:val="clear" w:pos="425"/>
                <w:tab w:val="decimal" w:pos="710"/>
              </w:tabs>
            </w:pPr>
          </w:p>
          <w:p w:rsidR="00344F48" w:rsidRDefault="00195271">
            <w:pPr>
              <w:pStyle w:val="GesAbsatz"/>
              <w:tabs>
                <w:tab w:val="clear" w:pos="425"/>
                <w:tab w:val="decimal" w:pos="710"/>
              </w:tabs>
            </w:pPr>
            <w:r>
              <w:br/>
            </w:r>
            <w:r w:rsidR="00344F48">
              <w:t>1,5</w:t>
            </w:r>
          </w:p>
          <w:p w:rsidR="00344F48" w:rsidRDefault="00344F48">
            <w:pPr>
              <w:pStyle w:val="GesAbsatz"/>
              <w:tabs>
                <w:tab w:val="clear" w:pos="425"/>
                <w:tab w:val="decimal" w:pos="710"/>
              </w:tabs>
            </w:pPr>
          </w:p>
        </w:tc>
        <w:tc>
          <w:tcPr>
            <w:tcW w:w="1629" w:type="dxa"/>
            <w:tcBorders>
              <w:top w:val="nil"/>
              <w:bottom w:val="single" w:sz="6" w:space="0" w:color="auto"/>
              <w:right w:val="single" w:sz="6" w:space="0" w:color="auto"/>
            </w:tcBorders>
          </w:tcPr>
          <w:p w:rsidR="00344F48" w:rsidRDefault="00344F48">
            <w:pPr>
              <w:pStyle w:val="GesAbsatz"/>
              <w:tabs>
                <w:tab w:val="clear" w:pos="425"/>
                <w:tab w:val="decimal" w:pos="710"/>
              </w:tabs>
            </w:pPr>
          </w:p>
          <w:p w:rsidR="00344F48" w:rsidRDefault="00344F48">
            <w:pPr>
              <w:pStyle w:val="GesAbsatz"/>
              <w:tabs>
                <w:tab w:val="clear" w:pos="425"/>
                <w:tab w:val="decimal" w:pos="710"/>
              </w:tabs>
            </w:pPr>
          </w:p>
          <w:p w:rsidR="00344F48" w:rsidRDefault="00344F48">
            <w:pPr>
              <w:pStyle w:val="GesAbsatz"/>
              <w:tabs>
                <w:tab w:val="clear" w:pos="425"/>
                <w:tab w:val="decimal" w:pos="710"/>
              </w:tabs>
            </w:pPr>
            <w:r>
              <w:t>0,5</w:t>
            </w:r>
          </w:p>
          <w:p w:rsidR="00344F48" w:rsidRDefault="00344F48">
            <w:pPr>
              <w:pStyle w:val="GesAbsatz"/>
              <w:tabs>
                <w:tab w:val="clear" w:pos="425"/>
                <w:tab w:val="decimal" w:pos="710"/>
              </w:tabs>
            </w:pPr>
          </w:p>
          <w:p w:rsidR="00344F48" w:rsidRDefault="00195271">
            <w:pPr>
              <w:pStyle w:val="GesAbsatz"/>
              <w:tabs>
                <w:tab w:val="clear" w:pos="425"/>
                <w:tab w:val="decimal" w:pos="710"/>
              </w:tabs>
            </w:pPr>
            <w:r>
              <w:br/>
            </w:r>
            <w:r w:rsidR="00344F48">
              <w:t>1,5</w:t>
            </w:r>
          </w:p>
        </w:tc>
        <w:tc>
          <w:tcPr>
            <w:tcW w:w="3259" w:type="dxa"/>
            <w:tcBorders>
              <w:top w:val="single" w:sz="6" w:space="0" w:color="auto"/>
              <w:left w:val="nil"/>
              <w:bottom w:val="single" w:sz="6" w:space="0" w:color="auto"/>
            </w:tcBorders>
          </w:tcPr>
          <w:p w:rsidR="00344F48" w:rsidRDefault="00344F48">
            <w:pPr>
              <w:pStyle w:val="GesAbsatz"/>
            </w:pPr>
          </w:p>
          <w:p w:rsidR="00344F48" w:rsidRDefault="00344F48">
            <w:pPr>
              <w:pStyle w:val="GesAbsatz"/>
            </w:pPr>
          </w:p>
          <w:p w:rsidR="00344F48" w:rsidRDefault="00344F48">
            <w:pPr>
              <w:pStyle w:val="GesAbsatz"/>
            </w:pPr>
            <w:r>
              <w:t>gilt für Quecksilber in den Abflü</w:t>
            </w:r>
            <w:r>
              <w:t>s</w:t>
            </w:r>
            <w:r>
              <w:t>sen der Chlor produzierenden Einheiten</w:t>
            </w:r>
          </w:p>
          <w:p w:rsidR="00344F48" w:rsidRDefault="00344F48" w:rsidP="00195271">
            <w:pPr>
              <w:pStyle w:val="GesAbsatz"/>
              <w:jc w:val="left"/>
            </w:pPr>
            <w:r>
              <w:t>gilt für die Gesamtquecksilbe</w:t>
            </w:r>
            <w:r>
              <w:t>r</w:t>
            </w:r>
            <w:r>
              <w:t>menge in allen quecksilberhaltigen Abflüssen aus dem Gelände des Industriebetriebs</w:t>
            </w:r>
          </w:p>
        </w:tc>
      </w:tr>
    </w:tbl>
    <w:p w:rsidR="00344F48" w:rsidRDefault="00344F48">
      <w:pPr>
        <w:pStyle w:val="GesAbsatz"/>
      </w:pPr>
    </w:p>
    <w:p w:rsidR="00344F48" w:rsidRDefault="00344F48">
      <w:pPr>
        <w:pStyle w:val="GesAbsatz"/>
      </w:pPr>
      <w:r>
        <w:br w:type="page"/>
      </w:r>
    </w:p>
    <w:tbl>
      <w:tblPr>
        <w:tblW w:w="0" w:type="auto"/>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3259"/>
        <w:gridCol w:w="1629"/>
        <w:gridCol w:w="1630"/>
        <w:gridCol w:w="3259"/>
      </w:tblGrid>
      <w:tr w:rsidR="00344F48">
        <w:tc>
          <w:tcPr>
            <w:tcW w:w="3259" w:type="dxa"/>
            <w:tcBorders>
              <w:top w:val="single" w:sz="6" w:space="0" w:color="auto"/>
              <w:bottom w:val="nil"/>
              <w:right w:val="single" w:sz="6" w:space="0" w:color="auto"/>
            </w:tcBorders>
          </w:tcPr>
          <w:p w:rsidR="00344F48" w:rsidRDefault="00344F48">
            <w:pPr>
              <w:pStyle w:val="GesAbsatz"/>
              <w:jc w:val="center"/>
            </w:pPr>
            <w:r>
              <w:lastRenderedPageBreak/>
              <w:t>Maßeinheit</w:t>
            </w:r>
          </w:p>
        </w:tc>
        <w:tc>
          <w:tcPr>
            <w:tcW w:w="3259" w:type="dxa"/>
            <w:gridSpan w:val="2"/>
            <w:tcBorders>
              <w:top w:val="single" w:sz="6" w:space="0" w:color="auto"/>
              <w:left w:val="nil"/>
              <w:bottom w:val="nil"/>
              <w:right w:val="single" w:sz="6" w:space="0" w:color="auto"/>
            </w:tcBorders>
          </w:tcPr>
          <w:p w:rsidR="00344F48" w:rsidRDefault="00344F48" w:rsidP="00ED70F6">
            <w:pPr>
              <w:pStyle w:val="GesAbsatz"/>
              <w:jc w:val="center"/>
            </w:pPr>
            <w:r>
              <w:t>Grenzwerte als Monatsmittel, die ab 1. Juli nicht überschritten we</w:t>
            </w:r>
            <w:r>
              <w:t>r</w:t>
            </w:r>
            <w:r>
              <w:t>den dürfen</w:t>
            </w:r>
          </w:p>
        </w:tc>
        <w:tc>
          <w:tcPr>
            <w:tcW w:w="3259" w:type="dxa"/>
            <w:tcBorders>
              <w:top w:val="single" w:sz="6" w:space="0" w:color="auto"/>
              <w:left w:val="nil"/>
              <w:bottom w:val="nil"/>
              <w:right w:val="nil"/>
            </w:tcBorders>
          </w:tcPr>
          <w:p w:rsidR="00344F48" w:rsidRDefault="00344F48">
            <w:pPr>
              <w:pStyle w:val="GesAbsatz"/>
              <w:jc w:val="center"/>
            </w:pPr>
            <w:r>
              <w:t>Bemerkungen</w:t>
            </w:r>
          </w:p>
        </w:tc>
      </w:tr>
      <w:tr w:rsidR="00344F48">
        <w:tc>
          <w:tcPr>
            <w:tcW w:w="3259" w:type="dxa"/>
            <w:tcBorders>
              <w:top w:val="nil"/>
              <w:bottom w:val="nil"/>
              <w:right w:val="single" w:sz="6" w:space="0" w:color="auto"/>
            </w:tcBorders>
          </w:tcPr>
          <w:p w:rsidR="00344F48" w:rsidRDefault="00344F48">
            <w:pPr>
              <w:pStyle w:val="GesAbsatz"/>
            </w:pPr>
          </w:p>
        </w:tc>
        <w:tc>
          <w:tcPr>
            <w:tcW w:w="1629" w:type="dxa"/>
            <w:tcBorders>
              <w:top w:val="single" w:sz="6" w:space="0" w:color="auto"/>
              <w:left w:val="nil"/>
              <w:bottom w:val="single" w:sz="6" w:space="0" w:color="auto"/>
              <w:right w:val="single" w:sz="6" w:space="0" w:color="auto"/>
            </w:tcBorders>
          </w:tcPr>
          <w:p w:rsidR="00344F48" w:rsidRDefault="00344F48" w:rsidP="00ED70F6">
            <w:pPr>
              <w:pStyle w:val="GesAbsatz"/>
              <w:jc w:val="center"/>
            </w:pPr>
            <w:r>
              <w:t>1983</w:t>
            </w:r>
          </w:p>
        </w:tc>
        <w:tc>
          <w:tcPr>
            <w:tcW w:w="1629" w:type="dxa"/>
            <w:tcBorders>
              <w:top w:val="single" w:sz="6" w:space="0" w:color="auto"/>
              <w:left w:val="nil"/>
              <w:bottom w:val="single" w:sz="6" w:space="0" w:color="auto"/>
              <w:right w:val="single" w:sz="6" w:space="0" w:color="auto"/>
            </w:tcBorders>
          </w:tcPr>
          <w:p w:rsidR="00344F48" w:rsidRDefault="00344F48" w:rsidP="00ED70F6">
            <w:pPr>
              <w:pStyle w:val="GesAbsatz"/>
              <w:jc w:val="center"/>
            </w:pPr>
            <w:r>
              <w:t>1986</w:t>
            </w:r>
          </w:p>
        </w:tc>
        <w:tc>
          <w:tcPr>
            <w:tcW w:w="3259" w:type="dxa"/>
            <w:tcBorders>
              <w:left w:val="nil"/>
              <w:bottom w:val="nil"/>
            </w:tcBorders>
          </w:tcPr>
          <w:p w:rsidR="00344F48" w:rsidRDefault="00344F48">
            <w:pPr>
              <w:pStyle w:val="GesAbsatz"/>
            </w:pPr>
          </w:p>
        </w:tc>
      </w:tr>
      <w:tr w:rsidR="00344F48">
        <w:tc>
          <w:tcPr>
            <w:tcW w:w="3259" w:type="dxa"/>
            <w:tcBorders>
              <w:top w:val="single" w:sz="6" w:space="0" w:color="auto"/>
              <w:bottom w:val="single" w:sz="6" w:space="0" w:color="auto"/>
              <w:right w:val="single" w:sz="6" w:space="0" w:color="auto"/>
            </w:tcBorders>
          </w:tcPr>
          <w:p w:rsidR="00344F48" w:rsidRDefault="00344F48">
            <w:pPr>
              <w:pStyle w:val="GesAbsatz"/>
            </w:pPr>
            <w:r>
              <w:t>Verlorene Salzlösung</w:t>
            </w:r>
          </w:p>
          <w:p w:rsidR="00344F48" w:rsidRDefault="00344F48" w:rsidP="00195271">
            <w:pPr>
              <w:pStyle w:val="GesAbsatz"/>
              <w:jc w:val="left"/>
            </w:pPr>
            <w:r>
              <w:t>Gramm Quecksilber je Tonne i</w:t>
            </w:r>
            <w:r>
              <w:t>n</w:t>
            </w:r>
            <w:r>
              <w:t>stallierter Chlorproduktionskapaz</w:t>
            </w:r>
            <w:r>
              <w:t>i</w:t>
            </w:r>
            <w:r>
              <w:t>tät</w:t>
            </w:r>
          </w:p>
        </w:tc>
        <w:tc>
          <w:tcPr>
            <w:tcW w:w="1629" w:type="dxa"/>
            <w:tcBorders>
              <w:top w:val="nil"/>
              <w:left w:val="nil"/>
              <w:bottom w:val="single" w:sz="6" w:space="0" w:color="auto"/>
            </w:tcBorders>
          </w:tcPr>
          <w:p w:rsidR="00344F48" w:rsidRDefault="00344F48">
            <w:pPr>
              <w:pStyle w:val="GesAbsatz"/>
              <w:tabs>
                <w:tab w:val="clear" w:pos="425"/>
                <w:tab w:val="decimal" w:pos="710"/>
              </w:tabs>
            </w:pPr>
          </w:p>
          <w:p w:rsidR="00344F48" w:rsidRDefault="00344F48">
            <w:pPr>
              <w:pStyle w:val="GesAbsatz"/>
              <w:tabs>
                <w:tab w:val="clear" w:pos="425"/>
                <w:tab w:val="decimal" w:pos="710"/>
              </w:tabs>
            </w:pPr>
          </w:p>
          <w:p w:rsidR="00344F48" w:rsidRDefault="00344F48">
            <w:pPr>
              <w:pStyle w:val="GesAbsatz"/>
              <w:tabs>
                <w:tab w:val="clear" w:pos="425"/>
                <w:tab w:val="decimal" w:pos="710"/>
              </w:tabs>
            </w:pPr>
            <w:r>
              <w:t>8,0</w:t>
            </w:r>
          </w:p>
          <w:p w:rsidR="00344F48" w:rsidRDefault="00344F48">
            <w:pPr>
              <w:pStyle w:val="GesAbsatz"/>
              <w:tabs>
                <w:tab w:val="clear" w:pos="425"/>
                <w:tab w:val="decimal" w:pos="710"/>
              </w:tabs>
            </w:pPr>
          </w:p>
        </w:tc>
        <w:tc>
          <w:tcPr>
            <w:tcW w:w="1629" w:type="dxa"/>
            <w:tcBorders>
              <w:top w:val="nil"/>
              <w:bottom w:val="single" w:sz="6" w:space="0" w:color="auto"/>
              <w:right w:val="single" w:sz="6" w:space="0" w:color="auto"/>
            </w:tcBorders>
          </w:tcPr>
          <w:p w:rsidR="00344F48" w:rsidRDefault="00344F48">
            <w:pPr>
              <w:pStyle w:val="GesAbsatz"/>
              <w:tabs>
                <w:tab w:val="clear" w:pos="425"/>
                <w:tab w:val="decimal" w:pos="710"/>
              </w:tabs>
            </w:pPr>
          </w:p>
          <w:p w:rsidR="00344F48" w:rsidRDefault="00344F48">
            <w:pPr>
              <w:pStyle w:val="GesAbsatz"/>
              <w:tabs>
                <w:tab w:val="clear" w:pos="425"/>
                <w:tab w:val="decimal" w:pos="710"/>
              </w:tabs>
            </w:pPr>
          </w:p>
          <w:p w:rsidR="00344F48" w:rsidRDefault="00344F48">
            <w:pPr>
              <w:pStyle w:val="GesAbsatz"/>
              <w:tabs>
                <w:tab w:val="clear" w:pos="425"/>
                <w:tab w:val="decimal" w:pos="710"/>
              </w:tabs>
            </w:pPr>
            <w:r>
              <w:t>5,0</w:t>
            </w:r>
          </w:p>
        </w:tc>
        <w:tc>
          <w:tcPr>
            <w:tcW w:w="3259" w:type="dxa"/>
            <w:tcBorders>
              <w:top w:val="single" w:sz="6" w:space="0" w:color="auto"/>
              <w:left w:val="nil"/>
              <w:bottom w:val="single" w:sz="6" w:space="0" w:color="auto"/>
            </w:tcBorders>
          </w:tcPr>
          <w:p w:rsidR="00344F48" w:rsidRDefault="00344F48">
            <w:pPr>
              <w:pStyle w:val="GesAbsatz"/>
            </w:pPr>
          </w:p>
          <w:p w:rsidR="00344F48" w:rsidRDefault="00344F48" w:rsidP="00195271">
            <w:pPr>
              <w:pStyle w:val="GesAbsatz"/>
              <w:jc w:val="left"/>
            </w:pPr>
            <w:r>
              <w:t>gilt für die Gesamtquecksilbe</w:t>
            </w:r>
            <w:r>
              <w:t>r</w:t>
            </w:r>
            <w:r>
              <w:t>menge in allen quecksilberhaltigen Abflüssen aus dem Gelände des Industriebetriebs</w:t>
            </w:r>
          </w:p>
        </w:tc>
      </w:tr>
    </w:tbl>
    <w:p w:rsidR="00344F48" w:rsidRDefault="00344F48">
      <w:pPr>
        <w:pStyle w:val="GesAbsatz"/>
      </w:pPr>
    </w:p>
    <w:p w:rsidR="00344F48" w:rsidRDefault="00344F48">
      <w:pPr>
        <w:pStyle w:val="GesAbsatz"/>
        <w:ind w:left="425" w:hanging="425"/>
      </w:pPr>
      <w:r>
        <w:t>3.</w:t>
      </w:r>
      <w:r>
        <w:tab/>
        <w:t>Die Grenzwerte als Tagesmittel betragen das Vierfache des entsprechenden Grenzwertes als Monat</w:t>
      </w:r>
      <w:r>
        <w:t>s</w:t>
      </w:r>
      <w:r>
        <w:t>mittel gemäß den Nummern 1 und 2.</w:t>
      </w:r>
    </w:p>
    <w:p w:rsidR="00344F48" w:rsidRDefault="00344F48">
      <w:pPr>
        <w:pStyle w:val="GesAbsatz"/>
        <w:ind w:left="425" w:hanging="425"/>
      </w:pPr>
      <w:r>
        <w:t>4.</w:t>
      </w:r>
      <w:r>
        <w:tab/>
        <w:t>Um zu überprüfen, ob die Ableitungen den Emissionsnormen genügen, die entsprechend den in diesem Anhang festgelegten Grenzwerten festgesetzt wurden, muß ein Kontrollverfahren eingeführt werden. Dieses Verfahren sieht vor</w:t>
      </w:r>
    </w:p>
    <w:p w:rsidR="00344F48" w:rsidRDefault="00344F48">
      <w:pPr>
        <w:pStyle w:val="GesAbsatz"/>
        <w:tabs>
          <w:tab w:val="clear" w:pos="425"/>
          <w:tab w:val="left" w:pos="426"/>
        </w:tabs>
        <w:ind w:left="709" w:hanging="709"/>
      </w:pPr>
      <w:r>
        <w:tab/>
        <w:t>-</w:t>
      </w:r>
      <w:r>
        <w:tab/>
        <w:t>täglich die Entnahme einer repräsentativen Probe aus den Abflüssen von 24 Stunden und die Me</w:t>
      </w:r>
      <w:r>
        <w:t>s</w:t>
      </w:r>
      <w:r>
        <w:t>sung der Quecksilberkonzentration in dieser Probe sowie</w:t>
      </w:r>
    </w:p>
    <w:p w:rsidR="00344F48" w:rsidRDefault="00344F48">
      <w:pPr>
        <w:pStyle w:val="GesAbsatz"/>
        <w:tabs>
          <w:tab w:val="clear" w:pos="425"/>
          <w:tab w:val="left" w:pos="426"/>
        </w:tabs>
        <w:ind w:left="709" w:hanging="709"/>
      </w:pPr>
      <w:r>
        <w:tab/>
        <w:t>-</w:t>
      </w:r>
      <w:r>
        <w:tab/>
        <w:t>die Messung des Gesamtabflusses in diesem Zeitraum.</w:t>
      </w:r>
    </w:p>
    <w:p w:rsidR="00344F48" w:rsidRDefault="00344F48">
      <w:pPr>
        <w:pStyle w:val="GesAbsatz"/>
        <w:tabs>
          <w:tab w:val="clear" w:pos="425"/>
        </w:tabs>
        <w:ind w:left="425" w:hanging="425"/>
      </w:pPr>
      <w:r>
        <w:tab/>
        <w:t>Die Menge der Quecksilberableitung während eines Monats wird berechnet, indem die Menge der tägl</w:t>
      </w:r>
      <w:r>
        <w:t>i</w:t>
      </w:r>
      <w:r>
        <w:t>chen Quecksilberableitung während eines Monats addiert wird. Diese Summe wird dann durch die i</w:t>
      </w:r>
      <w:r>
        <w:t>n</w:t>
      </w:r>
      <w:r>
        <w:t>stallierte Chlorproduktionskapazität in Tonnen dividiert.</w:t>
      </w:r>
    </w:p>
    <w:p w:rsidR="00ED70F6" w:rsidRDefault="00ED70F6" w:rsidP="00ED70F6">
      <w:pPr>
        <w:pStyle w:val="GesAbsatz"/>
      </w:pPr>
      <w:bookmarkStart w:id="10" w:name="_Toc420509987"/>
    </w:p>
    <w:p w:rsidR="00344F48" w:rsidRDefault="00344F48" w:rsidP="00F85BBC">
      <w:pPr>
        <w:pStyle w:val="berschrift2"/>
        <w:jc w:val="left"/>
      </w:pPr>
      <w:r>
        <w:t>Anhang II Qualitätsziele</w:t>
      </w:r>
      <w:r w:rsidR="00690240">
        <w:t xml:space="preserve"> (gestrichen)</w:t>
      </w:r>
      <w:bookmarkEnd w:id="10"/>
    </w:p>
    <w:p w:rsidR="00ED70F6" w:rsidRPr="00ED70F6" w:rsidRDefault="00ED70F6" w:rsidP="00ED70F6">
      <w:pPr>
        <w:pStyle w:val="GesAbsatz"/>
      </w:pPr>
    </w:p>
    <w:p w:rsidR="00344F48" w:rsidRDefault="00344F48" w:rsidP="00F85BBC">
      <w:pPr>
        <w:pStyle w:val="berschrift2"/>
        <w:jc w:val="left"/>
      </w:pPr>
      <w:bookmarkStart w:id="11" w:name="_Toc420509988"/>
      <w:r>
        <w:t xml:space="preserve">Anhang III </w:t>
      </w:r>
      <w:proofErr w:type="spellStart"/>
      <w:r>
        <w:t>Referenzmeßmethoden</w:t>
      </w:r>
      <w:bookmarkEnd w:id="11"/>
      <w:proofErr w:type="spellEnd"/>
    </w:p>
    <w:p w:rsidR="00344F48" w:rsidRDefault="00344F48">
      <w:pPr>
        <w:pStyle w:val="GesAbsatz"/>
        <w:ind w:left="425" w:hanging="425"/>
      </w:pPr>
      <w:r>
        <w:t>1.</w:t>
      </w:r>
      <w:r>
        <w:tab/>
        <w:t>Die Referenzanalysemethode zur Ermittlung des Quecksilbergehalts im Wasser, im Fleisch von F</w:t>
      </w:r>
      <w:r>
        <w:t>i</w:t>
      </w:r>
      <w:r>
        <w:t>schen, in Sedimenten und in Mollusken und Schalentieren ist die flammenlose Atomabsorptionsspek</w:t>
      </w:r>
      <w:r>
        <w:t>t</w:t>
      </w:r>
      <w:r>
        <w:t xml:space="preserve">rophotometrie nach entsprechender Vorbehaltung </w:t>
      </w:r>
      <w:r>
        <w:rPr>
          <w:i/>
        </w:rPr>
        <w:t>[red. Anm.: Im Originaltext steht Vorbehaltung; ob Vorbehandlung gemeint ist, konnte nicht geklärt werden]</w:t>
      </w:r>
      <w:r>
        <w:t xml:space="preserve"> der Probe, unter Berücksichtigung insbeso</w:t>
      </w:r>
      <w:r>
        <w:t>n</w:t>
      </w:r>
      <w:r>
        <w:t xml:space="preserve">dere der Voroxidation des Quecksilbers und der anschließenden Reduktion der </w:t>
      </w:r>
      <w:proofErr w:type="spellStart"/>
      <w:r>
        <w:t>Quecksilberionen</w:t>
      </w:r>
      <w:proofErr w:type="spellEnd"/>
      <w:r>
        <w:t xml:space="preserve"> Hg (II).</w:t>
      </w:r>
    </w:p>
    <w:p w:rsidR="00344F48" w:rsidRDefault="00344F48">
      <w:pPr>
        <w:pStyle w:val="GesAbsatz"/>
        <w:ind w:left="425" w:hanging="425"/>
      </w:pPr>
      <w:r>
        <w:tab/>
        <w:t xml:space="preserve">Es muß eine Erfassungsgrenze eingehalten werden, bei der die Quecksilberkonzentration mit einer Richtigkeit von </w:t>
      </w:r>
      <w:r>
        <w:rPr>
          <w:u w:val="single"/>
        </w:rPr>
        <w:t>+</w:t>
      </w:r>
      <w:r>
        <w:t xml:space="preserve"> 30 % und einer Genauigkeit</w:t>
      </w:r>
      <w:r>
        <w:rPr>
          <w:rStyle w:val="Funotenzeichen"/>
        </w:rPr>
        <w:footnoteReference w:id="6"/>
      </w:r>
      <w:r>
        <w:t xml:space="preserve"> von </w:t>
      </w:r>
      <w:r>
        <w:rPr>
          <w:u w:val="single"/>
        </w:rPr>
        <w:t>+</w:t>
      </w:r>
      <w:r>
        <w:t xml:space="preserve"> </w:t>
      </w:r>
      <w:r w:rsidR="00195271">
        <w:t xml:space="preserve">30% </w:t>
      </w:r>
      <w:r>
        <w:t>bei folgenden Konzentrationen ermittelt we</w:t>
      </w:r>
      <w:r>
        <w:t>r</w:t>
      </w:r>
      <w:r>
        <w:t>den kann:</w:t>
      </w:r>
    </w:p>
    <w:p w:rsidR="00344F48" w:rsidRDefault="00344F48">
      <w:pPr>
        <w:pStyle w:val="GesAbsatz"/>
        <w:tabs>
          <w:tab w:val="clear" w:pos="425"/>
          <w:tab w:val="left" w:pos="426"/>
        </w:tabs>
        <w:ind w:left="709" w:hanging="709"/>
      </w:pPr>
      <w:r>
        <w:tab/>
        <w:t>-</w:t>
      </w:r>
      <w:r>
        <w:tab/>
        <w:t>im Falle von Ableitungen ein Zehntel der in der Genehmigung angegebenen zulässigen Höchstko</w:t>
      </w:r>
      <w:r>
        <w:t>n</w:t>
      </w:r>
      <w:r>
        <w:t>zentration von Quecksilber;</w:t>
      </w:r>
    </w:p>
    <w:p w:rsidR="00344F48" w:rsidRDefault="00344F48">
      <w:pPr>
        <w:pStyle w:val="GesAbsatz"/>
        <w:tabs>
          <w:tab w:val="clear" w:pos="425"/>
          <w:tab w:val="left" w:pos="426"/>
        </w:tabs>
        <w:ind w:left="709" w:hanging="709"/>
      </w:pPr>
      <w:r>
        <w:tab/>
        <w:t>-</w:t>
      </w:r>
      <w:r>
        <w:tab/>
        <w:t>im Falle von Oberflächenwasser ein Zehntel der in dem Qualitätsziel angegebenen Quecksilberko</w:t>
      </w:r>
      <w:r>
        <w:t>n</w:t>
      </w:r>
      <w:r>
        <w:t>zentration;</w:t>
      </w:r>
    </w:p>
    <w:p w:rsidR="00344F48" w:rsidRDefault="00344F48">
      <w:pPr>
        <w:pStyle w:val="GesAbsatz"/>
        <w:tabs>
          <w:tab w:val="clear" w:pos="425"/>
          <w:tab w:val="left" w:pos="426"/>
        </w:tabs>
        <w:ind w:left="709" w:hanging="709"/>
      </w:pPr>
      <w:r>
        <w:tab/>
        <w:t>-</w:t>
      </w:r>
      <w:r>
        <w:tab/>
        <w:t>im Falle des Fleisches von Fischen sowie von Mollusken und Schalentieren ein Zehntel der in dem Qualitätsziel angegebenen Quecksilberkonzentration;</w:t>
      </w:r>
    </w:p>
    <w:p w:rsidR="00344F48" w:rsidRDefault="00344F48">
      <w:pPr>
        <w:pStyle w:val="GesAbsatz"/>
        <w:tabs>
          <w:tab w:val="clear" w:pos="425"/>
          <w:tab w:val="left" w:pos="426"/>
        </w:tabs>
        <w:ind w:left="709" w:hanging="709"/>
      </w:pPr>
      <w:r>
        <w:tab/>
        <w:t>-</w:t>
      </w:r>
      <w:r>
        <w:tab/>
        <w:t>im Falle von Sedimenten ein Zehntel der Quecksilberkonzentration in der Probe oder 0,05 mg/kg Trockengewicht, wobei der höhere Wert anwendbar ist.</w:t>
      </w:r>
    </w:p>
    <w:p w:rsidR="00344F48" w:rsidRDefault="00344F48">
      <w:pPr>
        <w:pStyle w:val="GesAbsatz"/>
        <w:ind w:left="425" w:hanging="425"/>
      </w:pPr>
      <w:r>
        <w:t>2.</w:t>
      </w:r>
      <w:r>
        <w:tab/>
        <w:t>Für die Messung des Abflusses ist ein</w:t>
      </w:r>
      <w:r w:rsidR="00EA5ACD">
        <w:t>e</w:t>
      </w:r>
      <w:r>
        <w:t xml:space="preserve"> Genauigkeit von </w:t>
      </w:r>
      <w:r>
        <w:rPr>
          <w:u w:val="single"/>
        </w:rPr>
        <w:t>+</w:t>
      </w:r>
      <w:r>
        <w:t xml:space="preserve"> 20 % vorgeschrieben.</w:t>
      </w:r>
    </w:p>
    <w:p w:rsidR="00344F48" w:rsidRDefault="00344F48">
      <w:pPr>
        <w:pStyle w:val="GesAbsatz"/>
      </w:pPr>
    </w:p>
    <w:p w:rsidR="00344F48" w:rsidRDefault="00344F48" w:rsidP="00F85BBC">
      <w:pPr>
        <w:pStyle w:val="berschrift2"/>
        <w:jc w:val="left"/>
      </w:pPr>
      <w:bookmarkStart w:id="12" w:name="_Toc420509989"/>
      <w:r>
        <w:lastRenderedPageBreak/>
        <w:t>Anhang IV</w:t>
      </w:r>
      <w:bookmarkEnd w:id="12"/>
    </w:p>
    <w:p w:rsidR="00344F48" w:rsidRDefault="00344F48">
      <w:pPr>
        <w:pStyle w:val="GesAbsatz"/>
      </w:pPr>
      <w:r>
        <w:t>Überwachungsverfahren für die Qualitätsziele</w:t>
      </w:r>
    </w:p>
    <w:p w:rsidR="00344F48" w:rsidRDefault="00344F48">
      <w:pPr>
        <w:pStyle w:val="GesAbsatz"/>
        <w:ind w:left="425" w:hanging="425"/>
      </w:pPr>
      <w:r>
        <w:t>1.</w:t>
      </w:r>
      <w:r>
        <w:tab/>
        <w:t>Für jede Genehmigung, die in Anwendung dieser Richtlinie erteilt wird, bestimmt die verantwortliche Behörde die Begrenzungen, Überwachungsmodalitäten und Fristen, um die Einhaltung des betreffe</w:t>
      </w:r>
      <w:r>
        <w:t>n</w:t>
      </w:r>
      <w:r>
        <w:t>den Qualitätsziels oder der betreffenden Qualitätsziele sicherzustellen.</w:t>
      </w:r>
    </w:p>
    <w:p w:rsidR="00344F48" w:rsidRDefault="00344F48">
      <w:pPr>
        <w:pStyle w:val="GesAbsatz"/>
      </w:pPr>
    </w:p>
    <w:p w:rsidR="00344F48" w:rsidRDefault="00344F48">
      <w:pPr>
        <w:pStyle w:val="GesAbsatz"/>
        <w:ind w:left="425" w:hanging="425"/>
      </w:pPr>
      <w:r>
        <w:t>2.</w:t>
      </w:r>
      <w:r>
        <w:tab/>
        <w:t>In Übereinstimmung mit Artikel 6 Absatz 3 der Richtlinie 76/464/EWG unterrichtet der Mitgliedstaat die Kommission bei jedem ausgewählten und angewandten Qualitätsziel über:</w:t>
      </w:r>
    </w:p>
    <w:p w:rsidR="00344F48" w:rsidRDefault="00344F48">
      <w:pPr>
        <w:pStyle w:val="GesAbsatz"/>
        <w:tabs>
          <w:tab w:val="clear" w:pos="425"/>
          <w:tab w:val="left" w:pos="426"/>
        </w:tabs>
        <w:ind w:left="851" w:hanging="851"/>
      </w:pPr>
      <w:r>
        <w:tab/>
        <w:t>-</w:t>
      </w:r>
      <w:r>
        <w:tab/>
        <w:t>die Einleitungsstellen und Dispersionsvorrichtungen;</w:t>
      </w:r>
    </w:p>
    <w:p w:rsidR="00344F48" w:rsidRDefault="00344F48">
      <w:pPr>
        <w:pStyle w:val="GesAbsatz"/>
        <w:tabs>
          <w:tab w:val="clear" w:pos="425"/>
          <w:tab w:val="left" w:pos="426"/>
        </w:tabs>
        <w:ind w:left="851" w:hanging="851"/>
      </w:pPr>
      <w:r>
        <w:tab/>
        <w:t>-</w:t>
      </w:r>
      <w:r>
        <w:tab/>
        <w:t>das Gebiet, in welchem das Qualitätsziel angewandt wird;</w:t>
      </w:r>
    </w:p>
    <w:p w:rsidR="00344F48" w:rsidRDefault="00344F48">
      <w:pPr>
        <w:pStyle w:val="GesAbsatz"/>
        <w:tabs>
          <w:tab w:val="clear" w:pos="425"/>
          <w:tab w:val="left" w:pos="426"/>
        </w:tabs>
        <w:ind w:left="851" w:hanging="851"/>
      </w:pPr>
      <w:r>
        <w:tab/>
        <w:t>-</w:t>
      </w:r>
      <w:r>
        <w:tab/>
        <w:t>die Orte der Probenahme;</w:t>
      </w:r>
    </w:p>
    <w:p w:rsidR="004A5587" w:rsidRDefault="004A5587">
      <w:pPr>
        <w:pStyle w:val="GesAbsatz"/>
        <w:tabs>
          <w:tab w:val="clear" w:pos="425"/>
          <w:tab w:val="left" w:pos="426"/>
        </w:tabs>
        <w:ind w:left="851" w:hanging="851"/>
      </w:pPr>
      <w:r>
        <w:tab/>
        <w:t>-</w:t>
      </w:r>
      <w:r>
        <w:tab/>
        <w:t>die Häufigkeit der Probenahme;</w:t>
      </w:r>
    </w:p>
    <w:p w:rsidR="00344F48" w:rsidRDefault="00344F48">
      <w:pPr>
        <w:pStyle w:val="GesAbsatz"/>
        <w:tabs>
          <w:tab w:val="clear" w:pos="425"/>
          <w:tab w:val="left" w:pos="426"/>
        </w:tabs>
        <w:ind w:left="851" w:hanging="851"/>
      </w:pPr>
      <w:r>
        <w:tab/>
        <w:t>-</w:t>
      </w:r>
      <w:r>
        <w:tab/>
        <w:t>die Probenahme- und Meßmethode;</w:t>
      </w:r>
    </w:p>
    <w:p w:rsidR="00344F48" w:rsidRDefault="00344F48">
      <w:pPr>
        <w:pStyle w:val="GesAbsatz"/>
        <w:tabs>
          <w:tab w:val="clear" w:pos="425"/>
          <w:tab w:val="left" w:pos="426"/>
        </w:tabs>
        <w:ind w:left="851" w:hanging="851"/>
      </w:pPr>
      <w:r>
        <w:tab/>
        <w:t>-</w:t>
      </w:r>
      <w:r>
        <w:tab/>
        <w:t>die Ergebnisse.</w:t>
      </w:r>
    </w:p>
    <w:p w:rsidR="00344F48" w:rsidRDefault="00344F48">
      <w:pPr>
        <w:pStyle w:val="GesAbsatz"/>
      </w:pPr>
    </w:p>
    <w:p w:rsidR="00344F48" w:rsidRDefault="00344F48">
      <w:pPr>
        <w:pStyle w:val="GesAbsatz"/>
        <w:ind w:left="425" w:hanging="425"/>
      </w:pPr>
      <w:r>
        <w:t>3.</w:t>
      </w:r>
      <w:r>
        <w:tab/>
        <w:t>Die Proben müssen ausreichend repräsentativ für die Qualität der Gewässer in dem durch die Einle</w:t>
      </w:r>
      <w:r>
        <w:t>i</w:t>
      </w:r>
      <w:r>
        <w:t>tung betroffenen Gebiet sein, und die Probenahmehäufigkeit muß genügend hoch sein, um etwaige Ä</w:t>
      </w:r>
      <w:r>
        <w:t>n</w:t>
      </w:r>
      <w:r>
        <w:t>derungen des Zustandes der Gewässer aufzeigen zu können, insbesondere unter Berücksichtigung der natürlichen Veränderungen des Wasserhaushalts. Im Falle von Meerwasserfischen müssen die für die Analyse entnommenen Proben sowohl zahlenmäßig als auch artenmäßig ausreichend repräsentativ sein.</w:t>
      </w:r>
    </w:p>
    <w:p w:rsidR="00344F48" w:rsidRDefault="00344F48" w:rsidP="00F85BBC">
      <w:pPr>
        <w:pStyle w:val="GesAbsatz"/>
        <w:ind w:left="426" w:hanging="426"/>
      </w:pPr>
      <w:r>
        <w:t>4.</w:t>
      </w:r>
      <w:r>
        <w:tab/>
        <w:t>Im Zusammenhang mit den in Anhang II vorgesehenen Qualitätszielen 1.1 wählt die zuständige Behö</w:t>
      </w:r>
      <w:r>
        <w:t>r</w:t>
      </w:r>
      <w:r>
        <w:t>de die als Indikatoren zu analysierenden Fischarten aus. Bei Meerwasser könne</w:t>
      </w:r>
      <w:r w:rsidR="004A5587">
        <w:t>n</w:t>
      </w:r>
      <w:r>
        <w:t xml:space="preserve"> die Arten, die unter den in Küstengewässern lebenden, an Ort und Stelle gefangenen Arten ausgewählt werden, Kabeljau, Wittling, Scholle, Makrele, Schellfisch und Flunder umfassen.</w:t>
      </w:r>
    </w:p>
    <w:p w:rsidR="00344F48" w:rsidRDefault="00344F48">
      <w:pPr>
        <w:pStyle w:val="GesAbsatz"/>
      </w:pPr>
    </w:p>
    <w:p w:rsidR="00344F48" w:rsidRDefault="00344F48">
      <w:pPr>
        <w:pStyle w:val="GesAbsatz"/>
      </w:pPr>
      <w:r>
        <w:t>Erklärung zu Artikel 3 Absatz 3</w:t>
      </w:r>
    </w:p>
    <w:p w:rsidR="00344F48" w:rsidRDefault="00344F48">
      <w:pPr>
        <w:pStyle w:val="GesAbsatz"/>
      </w:pPr>
      <w:r>
        <w:t>Der Rat und die Kommission erklären, daß die Anwendung der besten verfügbaren technischen Mittel es ermöglicht, die Quecksilberableitungen aus neuen Industriebetrieben mit Salzlösungsrückführung auf wen</w:t>
      </w:r>
      <w:r>
        <w:t>i</w:t>
      </w:r>
      <w:r>
        <w:t>ger als 0,5 g/t installierter Chlorproduktionskapazität zu beschränken.</w:t>
      </w:r>
    </w:p>
    <w:sectPr w:rsidR="00344F48">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ED" w:rsidRDefault="00222DED">
      <w:r>
        <w:separator/>
      </w:r>
    </w:p>
  </w:endnote>
  <w:endnote w:type="continuationSeparator" w:id="0">
    <w:p w:rsidR="00222DED" w:rsidRDefault="0022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9" w:rsidRDefault="000C42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9</w:t>
    </w:r>
    <w:r>
      <w:rPr>
        <w:rStyle w:val="Seitenzahl"/>
      </w:rPr>
      <w:fldChar w:fldCharType="end"/>
    </w:r>
  </w:p>
  <w:p w:rsidR="000C4239" w:rsidRDefault="000C423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9" w:rsidRPr="00ED70F6" w:rsidRDefault="000C4239" w:rsidP="00ED70F6">
    <w:pPr>
      <w:pStyle w:val="Fuzeile"/>
    </w:pPr>
    <w:r>
      <w:tab/>
      <w:t>22.</w:t>
    </w:r>
    <w:r w:rsidR="00F36883">
      <w:t>0</w:t>
    </w:r>
    <w:r>
      <w:t xml:space="preserve">3.1982 (ABl. </w:t>
    </w:r>
    <w:r w:rsidRPr="00ED70F6">
      <w:t>L 81 v. 27.</w:t>
    </w:r>
    <w:r w:rsidR="00F36883">
      <w:t>0</w:t>
    </w:r>
    <w:r w:rsidRPr="00ED70F6">
      <w:t>3.1982 S. 29)</w:t>
    </w:r>
    <w:r w:rsidRPr="00ED70F6">
      <w:tab/>
      <w:t xml:space="preserve">Seite </w:t>
    </w:r>
    <w:r w:rsidRPr="00ED70F6">
      <w:fldChar w:fldCharType="begin"/>
    </w:r>
    <w:r w:rsidRPr="00ED70F6">
      <w:instrText xml:space="preserve"> PAGE  \* MERGEFORMAT </w:instrText>
    </w:r>
    <w:r w:rsidRPr="00ED70F6">
      <w:fldChar w:fldCharType="separate"/>
    </w:r>
    <w:r w:rsidR="00D1259D">
      <w:rPr>
        <w:noProof/>
      </w:rPr>
      <w:t>1</w:t>
    </w:r>
    <w:r w:rsidRPr="00ED70F6">
      <w:fldChar w:fldCharType="end"/>
    </w:r>
    <w:r w:rsidRPr="00ED70F6">
      <w:t xml:space="preserve"> </w:t>
    </w:r>
  </w:p>
  <w:p w:rsidR="000C4239" w:rsidRPr="00F36883" w:rsidRDefault="000C4239" w:rsidP="00ED70F6">
    <w:pPr>
      <w:pStyle w:val="Fuzeile"/>
      <w:rPr>
        <w:lang w:val="en-US"/>
      </w:rPr>
    </w:pPr>
    <w:r w:rsidRPr="00ED70F6">
      <w:tab/>
    </w:r>
    <w:r w:rsidRPr="00F36883">
      <w:rPr>
        <w:lang w:val="en-US"/>
      </w:rPr>
      <w:t xml:space="preserve">Stand 16.12.2008 (ABl. L 348 </w:t>
    </w:r>
    <w:r w:rsidR="00ED70F6" w:rsidRPr="00F36883">
      <w:rPr>
        <w:lang w:val="en-US"/>
      </w:rPr>
      <w:t xml:space="preserve">v. 24.12.2008 </w:t>
    </w:r>
    <w:r w:rsidRPr="00F36883">
      <w:rPr>
        <w:lang w:val="en-US"/>
      </w:rPr>
      <w:t>S. 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ED" w:rsidRDefault="00222DED">
      <w:r>
        <w:separator/>
      </w:r>
    </w:p>
  </w:footnote>
  <w:footnote w:type="continuationSeparator" w:id="0">
    <w:p w:rsidR="00222DED" w:rsidRDefault="00222DED">
      <w:r>
        <w:continuationSeparator/>
      </w:r>
    </w:p>
  </w:footnote>
  <w:footnote w:id="1">
    <w:p w:rsidR="000C4239" w:rsidRDefault="000C4239">
      <w:pPr>
        <w:pStyle w:val="Funotentext"/>
      </w:pPr>
      <w:r>
        <w:rPr>
          <w:rStyle w:val="Funotenzeichen"/>
        </w:rPr>
        <w:footnoteRef/>
      </w:r>
      <w:r>
        <w:t xml:space="preserve"> ABl. L 129 vom 18.5.1976 S. 23.</w:t>
      </w:r>
    </w:p>
  </w:footnote>
  <w:footnote w:id="2">
    <w:p w:rsidR="000C4239" w:rsidRDefault="000C4239">
      <w:pPr>
        <w:pStyle w:val="Funotentext"/>
      </w:pPr>
      <w:r>
        <w:rPr>
          <w:rStyle w:val="Funotenzeichen"/>
        </w:rPr>
        <w:footnoteRef/>
      </w:r>
      <w:r>
        <w:t xml:space="preserve"> ABl. C 169 vom 6.7.1979 S. 2.</w:t>
      </w:r>
    </w:p>
  </w:footnote>
  <w:footnote w:id="3">
    <w:p w:rsidR="000C4239" w:rsidRDefault="000C4239">
      <w:pPr>
        <w:pStyle w:val="Funotentext"/>
      </w:pPr>
      <w:r>
        <w:rPr>
          <w:rStyle w:val="Funotenzeichen"/>
        </w:rPr>
        <w:footnoteRef/>
      </w:r>
      <w:r>
        <w:t xml:space="preserve"> ABl. C 341 vom 31.12.1980 S. 24.</w:t>
      </w:r>
    </w:p>
  </w:footnote>
  <w:footnote w:id="4">
    <w:p w:rsidR="000C4239" w:rsidRDefault="000C4239">
      <w:pPr>
        <w:pStyle w:val="Funotentext"/>
      </w:pPr>
      <w:r>
        <w:rPr>
          <w:rStyle w:val="Funotenzeichen"/>
        </w:rPr>
        <w:footnoteRef/>
      </w:r>
      <w:r>
        <w:t xml:space="preserve"> ABl. C 83 vom 2.4.1980 S. 16.</w:t>
      </w:r>
    </w:p>
  </w:footnote>
  <w:footnote w:id="5">
    <w:p w:rsidR="000C4239" w:rsidRDefault="000C4239">
      <w:pPr>
        <w:pStyle w:val="Funotentext"/>
      </w:pPr>
      <w:r>
        <w:rPr>
          <w:rStyle w:val="Funotenzeichen"/>
        </w:rPr>
        <w:footnoteRef/>
      </w:r>
      <w:r>
        <w:t xml:space="preserve"> ABl. L 377 vom 31.12.1991 S. 48.</w:t>
      </w:r>
    </w:p>
  </w:footnote>
  <w:footnote w:id="6">
    <w:p w:rsidR="000C4239" w:rsidRDefault="000C4239">
      <w:pPr>
        <w:pStyle w:val="Funotentext"/>
      </w:pPr>
      <w:r>
        <w:rPr>
          <w:rStyle w:val="Funotenzeichen"/>
        </w:rPr>
        <w:footnoteRef/>
      </w:r>
      <w:r>
        <w:t xml:space="preserve"> Die Definition dieser Ausdrücke </w:t>
      </w:r>
      <w:proofErr w:type="gramStart"/>
      <w:r>
        <w:t>entsprechen</w:t>
      </w:r>
      <w:proofErr w:type="gramEnd"/>
      <w:r>
        <w:t xml:space="preserve"> denen der Richtlinie 79/869/EWG des Rates vom 9. Oktober 1979 über die Meßmeth</w:t>
      </w:r>
      <w:r>
        <w:t>o</w:t>
      </w:r>
      <w:r>
        <w:t>den sowie über die Häufigkeit der Probenahmen und der Analysen des Oberflächenwassers für die Trinkwassergewinnung in den Mitgliedstaaten, ABl. L 271 vom 29.10.1979 S.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9" w:rsidRDefault="00D1259D" w:rsidP="00ED70F6">
    <w:pPr>
      <w:pStyle w:val="Kopfzeile0"/>
    </w:pPr>
    <w:r>
      <w:t>Archiv7.58</w:t>
    </w:r>
  </w:p>
  <w:p w:rsidR="000C4239" w:rsidRDefault="000C423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BC"/>
    <w:rsid w:val="0000642F"/>
    <w:rsid w:val="000550D1"/>
    <w:rsid w:val="000C4239"/>
    <w:rsid w:val="00195271"/>
    <w:rsid w:val="001A2ECE"/>
    <w:rsid w:val="001A4E7C"/>
    <w:rsid w:val="00222DED"/>
    <w:rsid w:val="002471FF"/>
    <w:rsid w:val="00344F48"/>
    <w:rsid w:val="00366EAC"/>
    <w:rsid w:val="004A5587"/>
    <w:rsid w:val="005015B3"/>
    <w:rsid w:val="00577616"/>
    <w:rsid w:val="005F1B4F"/>
    <w:rsid w:val="00690240"/>
    <w:rsid w:val="007A5647"/>
    <w:rsid w:val="00820420"/>
    <w:rsid w:val="00832617"/>
    <w:rsid w:val="009121DC"/>
    <w:rsid w:val="00945AD6"/>
    <w:rsid w:val="00B14640"/>
    <w:rsid w:val="00B66470"/>
    <w:rsid w:val="00B764A3"/>
    <w:rsid w:val="00BB31B2"/>
    <w:rsid w:val="00BC30DE"/>
    <w:rsid w:val="00CF1FD8"/>
    <w:rsid w:val="00D1259D"/>
    <w:rsid w:val="00EA5ACD"/>
    <w:rsid w:val="00ED70F6"/>
    <w:rsid w:val="00F36883"/>
    <w:rsid w:val="00F85BBC"/>
    <w:rsid w:val="00F93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D70F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D70F6"/>
    <w:pPr>
      <w:keepNext/>
      <w:spacing w:after="120"/>
      <w:jc w:val="center"/>
      <w:outlineLvl w:val="0"/>
    </w:pPr>
    <w:rPr>
      <w:b/>
      <w:kern w:val="28"/>
      <w:sz w:val="28"/>
    </w:rPr>
  </w:style>
  <w:style w:type="paragraph" w:styleId="berschrift2">
    <w:name w:val="heading 2"/>
    <w:basedOn w:val="Standard"/>
    <w:next w:val="GesAbsatz"/>
    <w:qFormat/>
    <w:rsid w:val="00ED70F6"/>
    <w:pPr>
      <w:keepNext/>
      <w:spacing w:before="240"/>
      <w:jc w:val="center"/>
      <w:outlineLvl w:val="1"/>
    </w:pPr>
    <w:rPr>
      <w:b/>
      <w:sz w:val="24"/>
    </w:rPr>
  </w:style>
  <w:style w:type="paragraph" w:styleId="berschrift3">
    <w:name w:val="heading 3"/>
    <w:basedOn w:val="Standard"/>
    <w:next w:val="GesAbsatz"/>
    <w:qFormat/>
    <w:rsid w:val="00ED70F6"/>
    <w:pPr>
      <w:keepNext/>
      <w:spacing w:before="240" w:after="180"/>
      <w:jc w:val="center"/>
      <w:outlineLvl w:val="2"/>
    </w:pPr>
    <w:rPr>
      <w:b/>
    </w:rPr>
  </w:style>
  <w:style w:type="paragraph" w:styleId="berschrift4">
    <w:name w:val="heading 4"/>
    <w:basedOn w:val="Standard"/>
    <w:next w:val="Standard"/>
    <w:rsid w:val="00ED70F6"/>
    <w:pPr>
      <w:keepNext/>
      <w:spacing w:before="240"/>
      <w:outlineLvl w:val="3"/>
    </w:pPr>
  </w:style>
  <w:style w:type="paragraph" w:styleId="berschrift5">
    <w:name w:val="heading 5"/>
    <w:basedOn w:val="Standard"/>
    <w:next w:val="Standard"/>
    <w:rsid w:val="00ED70F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D70F6"/>
    <w:pPr>
      <w:tabs>
        <w:tab w:val="center" w:pos="4536"/>
        <w:tab w:val="right" w:pos="9072"/>
      </w:tabs>
      <w:spacing w:before="0" w:after="120"/>
      <w:jc w:val="right"/>
    </w:pPr>
  </w:style>
  <w:style w:type="paragraph" w:styleId="Fuzeile">
    <w:name w:val="footer"/>
    <w:basedOn w:val="Standard"/>
    <w:qFormat/>
    <w:rsid w:val="00ED70F6"/>
    <w:pPr>
      <w:tabs>
        <w:tab w:val="clear" w:pos="425"/>
        <w:tab w:val="right" w:pos="8505"/>
        <w:tab w:val="right" w:pos="9639"/>
      </w:tabs>
      <w:spacing w:before="0" w:after="0"/>
      <w:jc w:val="left"/>
    </w:pPr>
    <w:rPr>
      <w:sz w:val="16"/>
    </w:rPr>
  </w:style>
  <w:style w:type="character" w:styleId="Seitenzahl">
    <w:name w:val="page number"/>
    <w:rsid w:val="00ED70F6"/>
    <w:rPr>
      <w:rFonts w:ascii="Arial" w:hAnsi="Arial"/>
      <w:sz w:val="16"/>
    </w:rPr>
  </w:style>
  <w:style w:type="paragraph" w:styleId="Verzeichnis2">
    <w:name w:val="toc 2"/>
    <w:basedOn w:val="Standard"/>
    <w:next w:val="Standard"/>
    <w:rsid w:val="00ED70F6"/>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rsid w:val="00ED70F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D70F6"/>
    <w:pPr>
      <w:spacing w:before="0" w:after="0"/>
    </w:pPr>
    <w:rPr>
      <w:sz w:val="16"/>
    </w:rPr>
  </w:style>
  <w:style w:type="paragraph" w:styleId="Verzeichnis1">
    <w:name w:val="toc 1"/>
    <w:basedOn w:val="Verzeichnis3"/>
    <w:next w:val="Standard"/>
    <w:rsid w:val="00ED70F6"/>
    <w:pPr>
      <w:spacing w:before="120" w:after="120"/>
      <w:ind w:left="0"/>
    </w:pPr>
    <w:rPr>
      <w:b/>
      <w:i w:val="0"/>
      <w:caps/>
    </w:rPr>
  </w:style>
  <w:style w:type="paragraph" w:customStyle="1" w:styleId="GesAbsatz">
    <w:name w:val="GesAbsatz"/>
    <w:basedOn w:val="Standard"/>
    <w:qFormat/>
    <w:rsid w:val="00ED70F6"/>
    <w:pPr>
      <w:spacing w:before="100"/>
    </w:pPr>
    <w:rPr>
      <w:color w:val="000000"/>
    </w:rPr>
  </w:style>
  <w:style w:type="paragraph" w:styleId="Verzeichnis4">
    <w:name w:val="toc 4"/>
    <w:basedOn w:val="Standard"/>
    <w:next w:val="Standard"/>
    <w:semiHidden/>
    <w:rsid w:val="00ED70F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D70F6"/>
    <w:rPr>
      <w:sz w:val="20"/>
      <w:szCs w:val="20"/>
      <w:vertAlign w:val="superscript"/>
    </w:rPr>
  </w:style>
  <w:style w:type="paragraph" w:styleId="Verzeichnis5">
    <w:name w:val="toc 5"/>
    <w:basedOn w:val="Standard"/>
    <w:next w:val="Standard"/>
    <w:semiHidden/>
    <w:rsid w:val="00ED70F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D70F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D70F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D70F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D70F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D70F6"/>
    <w:rPr>
      <w:color w:val="0000FF"/>
      <w:u w:val="single"/>
    </w:rPr>
  </w:style>
  <w:style w:type="paragraph" w:customStyle="1" w:styleId="Kopfzeile0">
    <w:name w:val="Kopfzeile0"/>
    <w:basedOn w:val="Standard"/>
    <w:next w:val="Kopfzeile"/>
    <w:qFormat/>
    <w:rsid w:val="00ED70F6"/>
    <w:pPr>
      <w:spacing w:before="0" w:after="0"/>
      <w:jc w:val="right"/>
    </w:pPr>
    <w:rPr>
      <w:b/>
      <w:sz w:val="24"/>
    </w:rPr>
  </w:style>
  <w:style w:type="character" w:styleId="BesuchterHyperlink">
    <w:name w:val="FollowedHyperlink"/>
    <w:basedOn w:val="Absatz-Standardschriftart"/>
    <w:rsid w:val="000550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D70F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D70F6"/>
    <w:pPr>
      <w:keepNext/>
      <w:spacing w:after="120"/>
      <w:jc w:val="center"/>
      <w:outlineLvl w:val="0"/>
    </w:pPr>
    <w:rPr>
      <w:b/>
      <w:kern w:val="28"/>
      <w:sz w:val="28"/>
    </w:rPr>
  </w:style>
  <w:style w:type="paragraph" w:styleId="berschrift2">
    <w:name w:val="heading 2"/>
    <w:basedOn w:val="Standard"/>
    <w:next w:val="GesAbsatz"/>
    <w:qFormat/>
    <w:rsid w:val="00ED70F6"/>
    <w:pPr>
      <w:keepNext/>
      <w:spacing w:before="240"/>
      <w:jc w:val="center"/>
      <w:outlineLvl w:val="1"/>
    </w:pPr>
    <w:rPr>
      <w:b/>
      <w:sz w:val="24"/>
    </w:rPr>
  </w:style>
  <w:style w:type="paragraph" w:styleId="berschrift3">
    <w:name w:val="heading 3"/>
    <w:basedOn w:val="Standard"/>
    <w:next w:val="GesAbsatz"/>
    <w:qFormat/>
    <w:rsid w:val="00ED70F6"/>
    <w:pPr>
      <w:keepNext/>
      <w:spacing w:before="240" w:after="180"/>
      <w:jc w:val="center"/>
      <w:outlineLvl w:val="2"/>
    </w:pPr>
    <w:rPr>
      <w:b/>
    </w:rPr>
  </w:style>
  <w:style w:type="paragraph" w:styleId="berschrift4">
    <w:name w:val="heading 4"/>
    <w:basedOn w:val="Standard"/>
    <w:next w:val="Standard"/>
    <w:rsid w:val="00ED70F6"/>
    <w:pPr>
      <w:keepNext/>
      <w:spacing w:before="240"/>
      <w:outlineLvl w:val="3"/>
    </w:pPr>
  </w:style>
  <w:style w:type="paragraph" w:styleId="berschrift5">
    <w:name w:val="heading 5"/>
    <w:basedOn w:val="Standard"/>
    <w:next w:val="Standard"/>
    <w:rsid w:val="00ED70F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D70F6"/>
    <w:pPr>
      <w:tabs>
        <w:tab w:val="center" w:pos="4536"/>
        <w:tab w:val="right" w:pos="9072"/>
      </w:tabs>
      <w:spacing w:before="0" w:after="120"/>
      <w:jc w:val="right"/>
    </w:pPr>
  </w:style>
  <w:style w:type="paragraph" w:styleId="Fuzeile">
    <w:name w:val="footer"/>
    <w:basedOn w:val="Standard"/>
    <w:qFormat/>
    <w:rsid w:val="00ED70F6"/>
    <w:pPr>
      <w:tabs>
        <w:tab w:val="clear" w:pos="425"/>
        <w:tab w:val="right" w:pos="8505"/>
        <w:tab w:val="right" w:pos="9639"/>
      </w:tabs>
      <w:spacing w:before="0" w:after="0"/>
      <w:jc w:val="left"/>
    </w:pPr>
    <w:rPr>
      <w:sz w:val="16"/>
    </w:rPr>
  </w:style>
  <w:style w:type="character" w:styleId="Seitenzahl">
    <w:name w:val="page number"/>
    <w:rsid w:val="00ED70F6"/>
    <w:rPr>
      <w:rFonts w:ascii="Arial" w:hAnsi="Arial"/>
      <w:sz w:val="16"/>
    </w:rPr>
  </w:style>
  <w:style w:type="paragraph" w:styleId="Verzeichnis2">
    <w:name w:val="toc 2"/>
    <w:basedOn w:val="Standard"/>
    <w:next w:val="Standard"/>
    <w:rsid w:val="00ED70F6"/>
    <w:pPr>
      <w:tabs>
        <w:tab w:val="clear" w:pos="425"/>
        <w:tab w:val="right" w:leader="dot" w:pos="9638"/>
      </w:tabs>
      <w:spacing w:before="0" w:after="0"/>
      <w:jc w:val="left"/>
    </w:pPr>
    <w:rPr>
      <w:rFonts w:ascii="Times New Roman" w:hAnsi="Times New Roman"/>
      <w:smallCaps/>
    </w:rPr>
  </w:style>
  <w:style w:type="paragraph" w:styleId="Beschriftung">
    <w:name w:val="caption"/>
    <w:basedOn w:val="Standard"/>
    <w:next w:val="Standard"/>
    <w:qFormat/>
    <w:pPr>
      <w:spacing w:before="120"/>
    </w:pPr>
    <w:rPr>
      <w:b/>
    </w:rPr>
  </w:style>
  <w:style w:type="paragraph" w:styleId="Verzeichnis3">
    <w:name w:val="toc 3"/>
    <w:basedOn w:val="Standard"/>
    <w:next w:val="Standard"/>
    <w:semiHidden/>
    <w:rsid w:val="00ED70F6"/>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D70F6"/>
    <w:pPr>
      <w:spacing w:before="0" w:after="0"/>
    </w:pPr>
    <w:rPr>
      <w:sz w:val="16"/>
    </w:rPr>
  </w:style>
  <w:style w:type="paragraph" w:styleId="Verzeichnis1">
    <w:name w:val="toc 1"/>
    <w:basedOn w:val="Verzeichnis3"/>
    <w:next w:val="Standard"/>
    <w:rsid w:val="00ED70F6"/>
    <w:pPr>
      <w:spacing w:before="120" w:after="120"/>
      <w:ind w:left="0"/>
    </w:pPr>
    <w:rPr>
      <w:b/>
      <w:i w:val="0"/>
      <w:caps/>
    </w:rPr>
  </w:style>
  <w:style w:type="paragraph" w:customStyle="1" w:styleId="GesAbsatz">
    <w:name w:val="GesAbsatz"/>
    <w:basedOn w:val="Standard"/>
    <w:qFormat/>
    <w:rsid w:val="00ED70F6"/>
    <w:pPr>
      <w:spacing w:before="100"/>
    </w:pPr>
    <w:rPr>
      <w:color w:val="000000"/>
    </w:rPr>
  </w:style>
  <w:style w:type="paragraph" w:styleId="Verzeichnis4">
    <w:name w:val="toc 4"/>
    <w:basedOn w:val="Standard"/>
    <w:next w:val="Standard"/>
    <w:semiHidden/>
    <w:rsid w:val="00ED70F6"/>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D70F6"/>
    <w:rPr>
      <w:sz w:val="20"/>
      <w:szCs w:val="20"/>
      <w:vertAlign w:val="superscript"/>
    </w:rPr>
  </w:style>
  <w:style w:type="paragraph" w:styleId="Verzeichnis5">
    <w:name w:val="toc 5"/>
    <w:basedOn w:val="Standard"/>
    <w:next w:val="Standard"/>
    <w:semiHidden/>
    <w:rsid w:val="00ED70F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D70F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D70F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D70F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D70F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D70F6"/>
    <w:rPr>
      <w:color w:val="0000FF"/>
      <w:u w:val="single"/>
    </w:rPr>
  </w:style>
  <w:style w:type="paragraph" w:customStyle="1" w:styleId="Kopfzeile0">
    <w:name w:val="Kopfzeile0"/>
    <w:basedOn w:val="Standard"/>
    <w:next w:val="Kopfzeile"/>
    <w:qFormat/>
    <w:rsid w:val="00ED70F6"/>
    <w:pPr>
      <w:spacing w:before="0" w:after="0"/>
      <w:jc w:val="right"/>
    </w:pPr>
    <w:rPr>
      <w:b/>
      <w:sz w:val="24"/>
    </w:rPr>
  </w:style>
  <w:style w:type="character" w:styleId="BesuchterHyperlink">
    <w:name w:val="FollowedHyperlink"/>
    <w:basedOn w:val="Absatz-Standardschriftart"/>
    <w:rsid w:val="00055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82L0176&amp;from=DE" TargetMode="External"/><Relationship Id="rId13" Type="http://schemas.openxmlformats.org/officeDocument/2006/relationships/hyperlink" Target="http://eur-lex.europa.eu/legal-content/DE/TXT/PDF/?uri=CELEX:32008L0105&amp;from=D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ur-lex.europa.eu/legal-content/DE/TXT/PDF/?uri=CELEX:31993L0080&amp;from=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gal-content/DE/TXT/PDF/?uri=CELEX:31991L0692&amp;from=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legal-content/DE/TXT/PDF/?uri=CELEX:31990L0656&amp;from=DE" TargetMode="External"/><Relationship Id="rId4" Type="http://schemas.openxmlformats.org/officeDocument/2006/relationships/settings" Target="settings.xml"/><Relationship Id="rId9" Type="http://schemas.openxmlformats.org/officeDocument/2006/relationships/hyperlink" Target="http://eur-lex.europa.eu/legal-content/DE/TXT/PDF/?uri=CELEX:31990D0481&amp;from=D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2038</Words>
  <Characters>14517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Richtlinie des Rates vom 22. März 1982 betreffend Grenzwerte und Qualitätsziele für Quecksilberableitungen aus dem Industriezweig Alkalichloridelektrolyse (82/176/EWG)</vt:lpstr>
    </vt:vector>
  </TitlesOfParts>
  <Company>LANUV NRW</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22. März 1982 betreffend Grenzwerte und Qualitätsziele für Quecksilberableitungen aus dem Industriezweig Alkalichloridelektrolyse (82/176/EWG)</dc:title>
  <dc:creator>LANUV NRW</dc:creator>
  <dc:description>durchgesehen 7.2005</dc:description>
  <cp:lastModifiedBy>rueter</cp:lastModifiedBy>
  <cp:revision>2</cp:revision>
  <cp:lastPrinted>1900-12-31T22:00:00Z</cp:lastPrinted>
  <dcterms:created xsi:type="dcterms:W3CDTF">2015-06-01T13:17:00Z</dcterms:created>
  <dcterms:modified xsi:type="dcterms:W3CDTF">2015-06-01T13:17:00Z</dcterms:modified>
</cp:coreProperties>
</file>