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51F" w:rsidRPr="00995906" w:rsidRDefault="0049151F" w:rsidP="00A263B9">
      <w:pPr>
        <w:pStyle w:val="berschrift1"/>
      </w:pPr>
      <w:bookmarkStart w:id="0" w:name="_Toc420510824"/>
      <w:bookmarkStart w:id="1" w:name="_GoBack"/>
      <w:bookmarkEnd w:id="1"/>
      <w:r w:rsidRPr="00995906">
        <w:t xml:space="preserve">Richtlinie des Rates </w:t>
      </w:r>
      <w:hyperlink r:id="rId8" w:history="1">
        <w:r w:rsidR="00421590" w:rsidRPr="007944A9">
          <w:rPr>
            <w:rStyle w:val="Hyperlink"/>
          </w:rPr>
          <w:t>86/280/EWG</w:t>
        </w:r>
      </w:hyperlink>
      <w:r w:rsidR="00421590">
        <w:t xml:space="preserve"> </w:t>
      </w:r>
      <w:r w:rsidR="005A165A">
        <w:t xml:space="preserve">vom 12. Juni 1986 </w:t>
      </w:r>
      <w:r w:rsidRPr="00995906">
        <w:t>betreffend Gren</w:t>
      </w:r>
      <w:r w:rsidRPr="00995906">
        <w:t>z</w:t>
      </w:r>
      <w:r w:rsidRPr="00995906">
        <w:t>werte</w:t>
      </w:r>
      <w:r w:rsidR="00421590">
        <w:t xml:space="preserve"> </w:t>
      </w:r>
      <w:r w:rsidRPr="00995906">
        <w:t>und</w:t>
      </w:r>
      <w:r w:rsidR="00062740">
        <w:t xml:space="preserve"> </w:t>
      </w:r>
      <w:r w:rsidRPr="00995906">
        <w:t>Qualitätsziele für die Ableitung bestimmter gefährlicher Stoffe im Sinne der Liste I</w:t>
      </w:r>
      <w:r w:rsidR="005A165A">
        <w:t xml:space="preserve"> </w:t>
      </w:r>
      <w:r w:rsidRPr="00995906">
        <w:t>im Anhang der Richtlinie 76/464 /EWG</w:t>
      </w:r>
      <w:bookmarkEnd w:id="0"/>
    </w:p>
    <w:p w:rsidR="008B7FB0" w:rsidRPr="005E6B53" w:rsidRDefault="008B7FB0" w:rsidP="008B7FB0">
      <w:pPr>
        <w:pStyle w:val="GesAbsatz"/>
        <w:rPr>
          <w:rFonts w:cs="Arial"/>
          <w:b/>
          <w:i/>
          <w:color w:val="FF0000"/>
          <w:sz w:val="22"/>
          <w:szCs w:val="22"/>
        </w:rPr>
      </w:pPr>
      <w:r>
        <w:rPr>
          <w:b/>
          <w:i/>
          <w:color w:val="FF0000"/>
          <w:sz w:val="22"/>
          <w:szCs w:val="22"/>
        </w:rPr>
        <w:t>Gültig bis</w:t>
      </w:r>
      <w:r w:rsidRPr="005E6B53">
        <w:rPr>
          <w:b/>
          <w:i/>
          <w:color w:val="FF0000"/>
          <w:sz w:val="22"/>
          <w:szCs w:val="22"/>
        </w:rPr>
        <w:t xml:space="preserve"> 2</w:t>
      </w:r>
      <w:r>
        <w:rPr>
          <w:b/>
          <w:i/>
          <w:color w:val="FF0000"/>
          <w:sz w:val="22"/>
          <w:szCs w:val="22"/>
        </w:rPr>
        <w:t>1.12.2012</w:t>
      </w:r>
      <w:r w:rsidR="00744F76">
        <w:rPr>
          <w:b/>
          <w:i/>
          <w:color w:val="FF0000"/>
          <w:sz w:val="22"/>
          <w:szCs w:val="22"/>
        </w:rPr>
        <w:t>.</w:t>
      </w:r>
    </w:p>
    <w:p w:rsidR="006C2F7A" w:rsidRDefault="00E6270B" w:rsidP="00995906">
      <w:pPr>
        <w:pStyle w:val="GesAbsatz"/>
      </w:pPr>
      <w:r w:rsidRPr="00BF68C5">
        <w:rPr>
          <w:b/>
        </w:rPr>
        <w:t>Änderungen:</w:t>
      </w:r>
      <w:r>
        <w:t xml:space="preserve"> </w:t>
      </w:r>
      <w:hyperlink r:id="rId9" w:history="1">
        <w:r w:rsidR="00421590" w:rsidRPr="00675E85">
          <w:rPr>
            <w:rStyle w:val="Hyperlink"/>
          </w:rPr>
          <w:t>88/347/EWG</w:t>
        </w:r>
      </w:hyperlink>
      <w:r w:rsidR="00421590">
        <w:t xml:space="preserve"> </w:t>
      </w:r>
      <w:r>
        <w:t xml:space="preserve">ABl. </w:t>
      </w:r>
      <w:r w:rsidR="00421590">
        <w:t>L 158 v.</w:t>
      </w:r>
      <w:r>
        <w:t xml:space="preserve"> 25.</w:t>
      </w:r>
      <w:r w:rsidR="00421590">
        <w:t>0</w:t>
      </w:r>
      <w:r>
        <w:t xml:space="preserve">6.1988 </w:t>
      </w:r>
      <w:r w:rsidR="00421590">
        <w:t xml:space="preserve">S. </w:t>
      </w:r>
      <w:r>
        <w:t xml:space="preserve">35; </w:t>
      </w:r>
      <w:hyperlink r:id="rId10" w:history="1">
        <w:r w:rsidR="00F26C9D" w:rsidRPr="003467ED">
          <w:rPr>
            <w:rStyle w:val="Hyperlink"/>
          </w:rPr>
          <w:t>90/415/EWG</w:t>
        </w:r>
      </w:hyperlink>
      <w:r w:rsidR="00F26C9D">
        <w:t xml:space="preserve"> </w:t>
      </w:r>
      <w:r>
        <w:t xml:space="preserve">ABl. </w:t>
      </w:r>
      <w:r w:rsidR="00F26C9D">
        <w:t xml:space="preserve">L 219 </w:t>
      </w:r>
      <w:r>
        <w:t>v</w:t>
      </w:r>
      <w:r w:rsidR="00F26C9D">
        <w:t>.</w:t>
      </w:r>
      <w:r>
        <w:t xml:space="preserve"> 14.</w:t>
      </w:r>
      <w:r w:rsidR="00F26C9D">
        <w:t>0</w:t>
      </w:r>
      <w:r>
        <w:t xml:space="preserve">8.1990 </w:t>
      </w:r>
      <w:r w:rsidR="00F26C9D">
        <w:t xml:space="preserve">S. </w:t>
      </w:r>
      <w:r>
        <w:t xml:space="preserve">49, </w:t>
      </w:r>
      <w:proofErr w:type="spellStart"/>
      <w:r>
        <w:t>ber</w:t>
      </w:r>
      <w:proofErr w:type="spellEnd"/>
      <w:r>
        <w:t xml:space="preserve">. </w:t>
      </w:r>
      <w:hyperlink r:id="rId11" w:history="1">
        <w:r w:rsidRPr="003467ED">
          <w:rPr>
            <w:rStyle w:val="Hyperlink"/>
          </w:rPr>
          <w:t xml:space="preserve">ABl. </w:t>
        </w:r>
        <w:r w:rsidR="00FD48F3" w:rsidRPr="003467ED">
          <w:rPr>
            <w:rStyle w:val="Hyperlink"/>
          </w:rPr>
          <w:t>L 258</w:t>
        </w:r>
      </w:hyperlink>
      <w:r w:rsidR="00FD48F3">
        <w:t xml:space="preserve"> </w:t>
      </w:r>
      <w:r>
        <w:t>v</w:t>
      </w:r>
      <w:r w:rsidR="00FD48F3">
        <w:t>.</w:t>
      </w:r>
      <w:r>
        <w:t xml:space="preserve"> 22.</w:t>
      </w:r>
      <w:r w:rsidR="00FD48F3">
        <w:t>0</w:t>
      </w:r>
      <w:r>
        <w:t xml:space="preserve">9.1990 </w:t>
      </w:r>
      <w:r w:rsidR="00FD48F3">
        <w:t xml:space="preserve">S. </w:t>
      </w:r>
      <w:r>
        <w:t xml:space="preserve">35; </w:t>
      </w:r>
      <w:hyperlink r:id="rId12" w:history="1">
        <w:r w:rsidR="00D46CFB" w:rsidRPr="006866A7">
          <w:rPr>
            <w:rStyle w:val="Hyperlink"/>
          </w:rPr>
          <w:t>90/481/EWG</w:t>
        </w:r>
      </w:hyperlink>
      <w:r w:rsidR="00FD48F3">
        <w:t xml:space="preserve"> </w:t>
      </w:r>
      <w:r>
        <w:t xml:space="preserve">ABl. </w:t>
      </w:r>
      <w:r w:rsidR="00FD48F3">
        <w:t xml:space="preserve">L 267 </w:t>
      </w:r>
      <w:r>
        <w:t>v</w:t>
      </w:r>
      <w:r w:rsidR="00FD48F3">
        <w:t>.</w:t>
      </w:r>
      <w:r>
        <w:t xml:space="preserve"> 29.</w:t>
      </w:r>
      <w:r w:rsidR="00FD48F3">
        <w:t>0</w:t>
      </w:r>
      <w:r>
        <w:t xml:space="preserve">9.1990 </w:t>
      </w:r>
      <w:r w:rsidR="00FD48F3">
        <w:t xml:space="preserve">S. </w:t>
      </w:r>
      <w:r>
        <w:t xml:space="preserve">37; </w:t>
      </w:r>
      <w:hyperlink r:id="rId13" w:history="1">
        <w:r w:rsidR="003314ED" w:rsidRPr="00AC5D70">
          <w:rPr>
            <w:rStyle w:val="Hyperlink"/>
          </w:rPr>
          <w:t>90/656/EWG</w:t>
        </w:r>
      </w:hyperlink>
      <w:r w:rsidR="00534CEB">
        <w:t xml:space="preserve"> </w:t>
      </w:r>
      <w:r>
        <w:t xml:space="preserve">ABl. </w:t>
      </w:r>
      <w:r w:rsidR="00534CEB">
        <w:t xml:space="preserve">L 353 </w:t>
      </w:r>
      <w:r>
        <w:t>v</w:t>
      </w:r>
      <w:r w:rsidR="00534CEB">
        <w:t>.</w:t>
      </w:r>
      <w:r>
        <w:t xml:space="preserve"> </w:t>
      </w:r>
      <w:smartTag w:uri="urn:schemas-microsoft-com:office:smarttags" w:element="date">
        <w:smartTagPr>
          <w:attr w:name="Year" w:val="1990"/>
          <w:attr w:name="Day" w:val="17"/>
          <w:attr w:name="Month" w:val="12"/>
          <w:attr w:name="ls" w:val="trans"/>
        </w:smartTagPr>
        <w:r>
          <w:t>17.12.1990</w:t>
        </w:r>
      </w:smartTag>
      <w:r>
        <w:t xml:space="preserve"> </w:t>
      </w:r>
      <w:r w:rsidR="00534CEB">
        <w:t>S. 59</w:t>
      </w:r>
      <w:r>
        <w:t xml:space="preserve">; </w:t>
      </w:r>
      <w:hyperlink r:id="rId14" w:history="1">
        <w:r w:rsidR="00332DD4" w:rsidRPr="00DB39DB">
          <w:rPr>
            <w:rStyle w:val="Hyperlink"/>
          </w:rPr>
          <w:t>91/692/EWG</w:t>
        </w:r>
      </w:hyperlink>
      <w:r w:rsidR="00534CEB">
        <w:t xml:space="preserve"> </w:t>
      </w:r>
      <w:r>
        <w:t xml:space="preserve">ABl. </w:t>
      </w:r>
      <w:r w:rsidR="00534CEB">
        <w:t xml:space="preserve">L 377 </w:t>
      </w:r>
      <w:r>
        <w:t>v</w:t>
      </w:r>
      <w:r w:rsidR="00534CEB">
        <w:t>.</w:t>
      </w:r>
      <w:r>
        <w:t xml:space="preserve"> </w:t>
      </w:r>
      <w:smartTag w:uri="urn:schemas-microsoft-com:office:smarttags" w:element="date">
        <w:smartTagPr>
          <w:attr w:name="Year" w:val="1991"/>
          <w:attr w:name="Day" w:val="31"/>
          <w:attr w:name="Month" w:val="12"/>
          <w:attr w:name="ls" w:val="trans"/>
        </w:smartTagPr>
        <w:r>
          <w:t>31.12.1991</w:t>
        </w:r>
      </w:smartTag>
      <w:r>
        <w:t xml:space="preserve"> </w:t>
      </w:r>
      <w:r w:rsidR="00534CEB">
        <w:t xml:space="preserve">S. </w:t>
      </w:r>
      <w:r>
        <w:t xml:space="preserve">48; </w:t>
      </w:r>
      <w:hyperlink r:id="rId15" w:history="1">
        <w:r w:rsidR="00390C6D" w:rsidRPr="00316BC0">
          <w:rPr>
            <w:rStyle w:val="Hyperlink"/>
          </w:rPr>
          <w:t>93/80/EWG</w:t>
        </w:r>
      </w:hyperlink>
      <w:r w:rsidR="00B668F1">
        <w:t xml:space="preserve"> </w:t>
      </w:r>
      <w:r>
        <w:t xml:space="preserve">ABl. </w:t>
      </w:r>
      <w:r w:rsidR="00B668F1">
        <w:t xml:space="preserve">L 256 </w:t>
      </w:r>
      <w:r>
        <w:t>v</w:t>
      </w:r>
      <w:r w:rsidR="00B668F1">
        <w:t>.</w:t>
      </w:r>
      <w:r>
        <w:t xml:space="preserve"> </w:t>
      </w:r>
      <w:smartTag w:uri="urn:schemas-microsoft-com:office:smarttags" w:element="date">
        <w:smartTagPr>
          <w:attr w:name="Year" w:val="1993"/>
          <w:attr w:name="Day" w:val="14"/>
          <w:attr w:name="Month" w:val="10"/>
          <w:attr w:name="ls" w:val="trans"/>
        </w:smartTagPr>
        <w:r>
          <w:t>14.10.1993</w:t>
        </w:r>
      </w:smartTag>
      <w:r>
        <w:t xml:space="preserve"> </w:t>
      </w:r>
      <w:r w:rsidR="00B668F1">
        <w:t xml:space="preserve">S. </w:t>
      </w:r>
      <w:r>
        <w:t>32; Abkommen über den Europäischen Wirtschaftsraum</w:t>
      </w:r>
      <w:r w:rsidR="007549EF">
        <w:t xml:space="preserve">; </w:t>
      </w:r>
      <w:hyperlink r:id="rId16" w:history="1">
        <w:r w:rsidR="008B7FB0" w:rsidRPr="00A578EE">
          <w:rPr>
            <w:rStyle w:val="Hyperlink"/>
          </w:rPr>
          <w:t>2008/105/EG</w:t>
        </w:r>
      </w:hyperlink>
      <w:r w:rsidR="007549EF">
        <w:t xml:space="preserve"> ABl. L 348 v. 24.12.2008 S. 84</w:t>
      </w:r>
      <w:r w:rsidR="00B668F1">
        <w:t>;</w:t>
      </w:r>
    </w:p>
    <w:p w:rsidR="00421590" w:rsidRDefault="006C2F7A" w:rsidP="00421590">
      <w:pPr>
        <w:pStyle w:val="GesAbsatz"/>
        <w:jc w:val="center"/>
        <w:rPr>
          <w:rFonts w:cs="Arial"/>
          <w:b/>
          <w:sz w:val="22"/>
          <w:szCs w:val="22"/>
        </w:rPr>
      </w:pPr>
      <w:r>
        <w:rPr>
          <w:rFonts w:cs="Arial"/>
          <w:b/>
          <w:sz w:val="22"/>
          <w:szCs w:val="22"/>
        </w:rPr>
        <w:t>Inhalt:</w:t>
      </w:r>
    </w:p>
    <w:p w:rsidR="00421590" w:rsidRPr="008C3791" w:rsidRDefault="00421590">
      <w:pPr>
        <w:pStyle w:val="Verzeichnis1"/>
        <w:tabs>
          <w:tab w:val="clear" w:pos="9638"/>
          <w:tab w:val="right" w:leader="dot" w:pos="9627"/>
        </w:tabs>
        <w:rPr>
          <w:rFonts w:ascii="Calibri" w:hAnsi="Calibri"/>
          <w:b w:val="0"/>
          <w:bCs/>
          <w:caps w:val="0"/>
          <w:noProof/>
          <w:sz w:val="22"/>
          <w:szCs w:val="22"/>
        </w:rPr>
      </w:pPr>
      <w:r>
        <w:rPr>
          <w:rFonts w:cs="Arial"/>
          <w:b w:val="0"/>
          <w:sz w:val="22"/>
          <w:szCs w:val="22"/>
        </w:rPr>
        <w:fldChar w:fldCharType="begin"/>
      </w:r>
      <w:r>
        <w:rPr>
          <w:rFonts w:cs="Arial"/>
          <w:b w:val="0"/>
          <w:sz w:val="22"/>
          <w:szCs w:val="22"/>
        </w:rPr>
        <w:instrText xml:space="preserve"> TOC \o "1-3" \h \z \u </w:instrText>
      </w:r>
      <w:r>
        <w:rPr>
          <w:rFonts w:cs="Arial"/>
          <w:b w:val="0"/>
          <w:sz w:val="22"/>
          <w:szCs w:val="22"/>
        </w:rPr>
        <w:fldChar w:fldCharType="separate"/>
      </w:r>
      <w:hyperlink w:anchor="_Toc420510824" w:history="1">
        <w:r w:rsidRPr="000534B6">
          <w:rPr>
            <w:rStyle w:val="Hyperlink"/>
            <w:noProof/>
          </w:rPr>
          <w:t>Richtlinie des Rates 86/280/EWG</w:t>
        </w:r>
        <w:r>
          <w:rPr>
            <w:noProof/>
            <w:webHidden/>
          </w:rPr>
          <w:tab/>
        </w:r>
        <w:r>
          <w:rPr>
            <w:noProof/>
            <w:webHidden/>
          </w:rPr>
          <w:fldChar w:fldCharType="begin"/>
        </w:r>
        <w:r>
          <w:rPr>
            <w:noProof/>
            <w:webHidden/>
          </w:rPr>
          <w:instrText xml:space="preserve"> PAGEREF _Toc420510824 \h </w:instrText>
        </w:r>
        <w:r>
          <w:rPr>
            <w:noProof/>
            <w:webHidden/>
          </w:rPr>
        </w:r>
        <w:r>
          <w:rPr>
            <w:noProof/>
            <w:webHidden/>
          </w:rPr>
          <w:fldChar w:fldCharType="separate"/>
        </w:r>
        <w:r>
          <w:rPr>
            <w:noProof/>
            <w:webHidden/>
          </w:rPr>
          <w:t>1</w:t>
        </w:r>
        <w:r>
          <w:rPr>
            <w:noProof/>
            <w:webHidden/>
          </w:rPr>
          <w:fldChar w:fldCharType="end"/>
        </w:r>
      </w:hyperlink>
    </w:p>
    <w:p w:rsidR="00421590" w:rsidRPr="008C3791" w:rsidRDefault="00566EDC">
      <w:pPr>
        <w:pStyle w:val="Verzeichnis2"/>
        <w:tabs>
          <w:tab w:val="clear" w:pos="9638"/>
          <w:tab w:val="right" w:leader="dot" w:pos="9627"/>
        </w:tabs>
        <w:rPr>
          <w:rFonts w:ascii="Calibri" w:hAnsi="Calibri"/>
          <w:smallCaps w:val="0"/>
          <w:noProof/>
          <w:sz w:val="22"/>
          <w:szCs w:val="22"/>
        </w:rPr>
      </w:pPr>
      <w:hyperlink w:anchor="_Toc420510825" w:history="1">
        <w:r w:rsidR="00421590" w:rsidRPr="000534B6">
          <w:rPr>
            <w:rStyle w:val="Hyperlink"/>
            <w:noProof/>
          </w:rPr>
          <w:t>Artikel 1</w:t>
        </w:r>
        <w:r w:rsidR="00421590">
          <w:rPr>
            <w:noProof/>
            <w:webHidden/>
          </w:rPr>
          <w:tab/>
        </w:r>
        <w:r w:rsidR="00421590">
          <w:rPr>
            <w:noProof/>
            <w:webHidden/>
          </w:rPr>
          <w:fldChar w:fldCharType="begin"/>
        </w:r>
        <w:r w:rsidR="00421590">
          <w:rPr>
            <w:noProof/>
            <w:webHidden/>
          </w:rPr>
          <w:instrText xml:space="preserve"> PAGEREF _Toc420510825 \h </w:instrText>
        </w:r>
        <w:r w:rsidR="00421590">
          <w:rPr>
            <w:noProof/>
            <w:webHidden/>
          </w:rPr>
        </w:r>
        <w:r w:rsidR="00421590">
          <w:rPr>
            <w:noProof/>
            <w:webHidden/>
          </w:rPr>
          <w:fldChar w:fldCharType="separate"/>
        </w:r>
        <w:r w:rsidR="00421590">
          <w:rPr>
            <w:noProof/>
            <w:webHidden/>
          </w:rPr>
          <w:t>2</w:t>
        </w:r>
        <w:r w:rsidR="00421590">
          <w:rPr>
            <w:noProof/>
            <w:webHidden/>
          </w:rPr>
          <w:fldChar w:fldCharType="end"/>
        </w:r>
      </w:hyperlink>
    </w:p>
    <w:p w:rsidR="00421590" w:rsidRPr="008C3791" w:rsidRDefault="00566EDC">
      <w:pPr>
        <w:pStyle w:val="Verzeichnis2"/>
        <w:tabs>
          <w:tab w:val="clear" w:pos="9638"/>
          <w:tab w:val="right" w:leader="dot" w:pos="9627"/>
        </w:tabs>
        <w:rPr>
          <w:rFonts w:ascii="Calibri" w:hAnsi="Calibri"/>
          <w:smallCaps w:val="0"/>
          <w:noProof/>
          <w:sz w:val="22"/>
          <w:szCs w:val="22"/>
        </w:rPr>
      </w:pPr>
      <w:hyperlink w:anchor="_Toc420510826" w:history="1">
        <w:r w:rsidR="00421590" w:rsidRPr="000534B6">
          <w:rPr>
            <w:rStyle w:val="Hyperlink"/>
            <w:noProof/>
          </w:rPr>
          <w:t>Artikel 2</w:t>
        </w:r>
        <w:r w:rsidR="00421590">
          <w:rPr>
            <w:noProof/>
            <w:webHidden/>
          </w:rPr>
          <w:tab/>
        </w:r>
        <w:r w:rsidR="00421590">
          <w:rPr>
            <w:noProof/>
            <w:webHidden/>
          </w:rPr>
          <w:fldChar w:fldCharType="begin"/>
        </w:r>
        <w:r w:rsidR="00421590">
          <w:rPr>
            <w:noProof/>
            <w:webHidden/>
          </w:rPr>
          <w:instrText xml:space="preserve"> PAGEREF _Toc420510826 \h </w:instrText>
        </w:r>
        <w:r w:rsidR="00421590">
          <w:rPr>
            <w:noProof/>
            <w:webHidden/>
          </w:rPr>
        </w:r>
        <w:r w:rsidR="00421590">
          <w:rPr>
            <w:noProof/>
            <w:webHidden/>
          </w:rPr>
          <w:fldChar w:fldCharType="separate"/>
        </w:r>
        <w:r w:rsidR="00421590">
          <w:rPr>
            <w:noProof/>
            <w:webHidden/>
          </w:rPr>
          <w:t>3</w:t>
        </w:r>
        <w:r w:rsidR="00421590">
          <w:rPr>
            <w:noProof/>
            <w:webHidden/>
          </w:rPr>
          <w:fldChar w:fldCharType="end"/>
        </w:r>
      </w:hyperlink>
    </w:p>
    <w:p w:rsidR="00421590" w:rsidRPr="008C3791" w:rsidRDefault="00566EDC">
      <w:pPr>
        <w:pStyle w:val="Verzeichnis2"/>
        <w:tabs>
          <w:tab w:val="clear" w:pos="9638"/>
          <w:tab w:val="right" w:leader="dot" w:pos="9627"/>
        </w:tabs>
        <w:rPr>
          <w:rFonts w:ascii="Calibri" w:hAnsi="Calibri"/>
          <w:smallCaps w:val="0"/>
          <w:noProof/>
          <w:sz w:val="22"/>
          <w:szCs w:val="22"/>
        </w:rPr>
      </w:pPr>
      <w:hyperlink w:anchor="_Toc420510827" w:history="1">
        <w:r w:rsidR="00421590" w:rsidRPr="000534B6">
          <w:rPr>
            <w:rStyle w:val="Hyperlink"/>
            <w:noProof/>
          </w:rPr>
          <w:t>Artikel 3</w:t>
        </w:r>
        <w:r w:rsidR="00421590">
          <w:rPr>
            <w:noProof/>
            <w:webHidden/>
          </w:rPr>
          <w:tab/>
        </w:r>
        <w:r w:rsidR="00421590">
          <w:rPr>
            <w:noProof/>
            <w:webHidden/>
          </w:rPr>
          <w:fldChar w:fldCharType="begin"/>
        </w:r>
        <w:r w:rsidR="00421590">
          <w:rPr>
            <w:noProof/>
            <w:webHidden/>
          </w:rPr>
          <w:instrText xml:space="preserve"> PAGEREF _Toc420510827 \h </w:instrText>
        </w:r>
        <w:r w:rsidR="00421590">
          <w:rPr>
            <w:noProof/>
            <w:webHidden/>
          </w:rPr>
        </w:r>
        <w:r w:rsidR="00421590">
          <w:rPr>
            <w:noProof/>
            <w:webHidden/>
          </w:rPr>
          <w:fldChar w:fldCharType="separate"/>
        </w:r>
        <w:r w:rsidR="00421590">
          <w:rPr>
            <w:noProof/>
            <w:webHidden/>
          </w:rPr>
          <w:t>3</w:t>
        </w:r>
        <w:r w:rsidR="00421590">
          <w:rPr>
            <w:noProof/>
            <w:webHidden/>
          </w:rPr>
          <w:fldChar w:fldCharType="end"/>
        </w:r>
      </w:hyperlink>
    </w:p>
    <w:p w:rsidR="00421590" w:rsidRPr="008C3791" w:rsidRDefault="00566EDC">
      <w:pPr>
        <w:pStyle w:val="Verzeichnis2"/>
        <w:tabs>
          <w:tab w:val="clear" w:pos="9638"/>
          <w:tab w:val="right" w:leader="dot" w:pos="9627"/>
        </w:tabs>
        <w:rPr>
          <w:rFonts w:ascii="Calibri" w:hAnsi="Calibri"/>
          <w:smallCaps w:val="0"/>
          <w:noProof/>
          <w:sz w:val="22"/>
          <w:szCs w:val="22"/>
        </w:rPr>
      </w:pPr>
      <w:hyperlink w:anchor="_Toc420510828" w:history="1">
        <w:r w:rsidR="00421590" w:rsidRPr="000534B6">
          <w:rPr>
            <w:rStyle w:val="Hyperlink"/>
            <w:noProof/>
          </w:rPr>
          <w:t>Artikel 4</w:t>
        </w:r>
        <w:r w:rsidR="00421590">
          <w:rPr>
            <w:noProof/>
            <w:webHidden/>
          </w:rPr>
          <w:tab/>
        </w:r>
        <w:r w:rsidR="00421590">
          <w:rPr>
            <w:noProof/>
            <w:webHidden/>
          </w:rPr>
          <w:fldChar w:fldCharType="begin"/>
        </w:r>
        <w:r w:rsidR="00421590">
          <w:rPr>
            <w:noProof/>
            <w:webHidden/>
          </w:rPr>
          <w:instrText xml:space="preserve"> PAGEREF _Toc420510828 \h </w:instrText>
        </w:r>
        <w:r w:rsidR="00421590">
          <w:rPr>
            <w:noProof/>
            <w:webHidden/>
          </w:rPr>
        </w:r>
        <w:r w:rsidR="00421590">
          <w:rPr>
            <w:noProof/>
            <w:webHidden/>
          </w:rPr>
          <w:fldChar w:fldCharType="separate"/>
        </w:r>
        <w:r w:rsidR="00421590">
          <w:rPr>
            <w:noProof/>
            <w:webHidden/>
          </w:rPr>
          <w:t>4</w:t>
        </w:r>
        <w:r w:rsidR="00421590">
          <w:rPr>
            <w:noProof/>
            <w:webHidden/>
          </w:rPr>
          <w:fldChar w:fldCharType="end"/>
        </w:r>
      </w:hyperlink>
    </w:p>
    <w:p w:rsidR="00421590" w:rsidRPr="008C3791" w:rsidRDefault="00566EDC">
      <w:pPr>
        <w:pStyle w:val="Verzeichnis2"/>
        <w:tabs>
          <w:tab w:val="clear" w:pos="9638"/>
          <w:tab w:val="right" w:leader="dot" w:pos="9627"/>
        </w:tabs>
        <w:rPr>
          <w:rFonts w:ascii="Calibri" w:hAnsi="Calibri"/>
          <w:smallCaps w:val="0"/>
          <w:noProof/>
          <w:sz w:val="22"/>
          <w:szCs w:val="22"/>
        </w:rPr>
      </w:pPr>
      <w:hyperlink w:anchor="_Toc420510829" w:history="1">
        <w:r w:rsidR="00421590" w:rsidRPr="000534B6">
          <w:rPr>
            <w:rStyle w:val="Hyperlink"/>
            <w:noProof/>
          </w:rPr>
          <w:t>Artikel 5</w:t>
        </w:r>
        <w:r w:rsidR="00421590">
          <w:rPr>
            <w:noProof/>
            <w:webHidden/>
          </w:rPr>
          <w:tab/>
        </w:r>
        <w:r w:rsidR="00421590">
          <w:rPr>
            <w:noProof/>
            <w:webHidden/>
          </w:rPr>
          <w:fldChar w:fldCharType="begin"/>
        </w:r>
        <w:r w:rsidR="00421590">
          <w:rPr>
            <w:noProof/>
            <w:webHidden/>
          </w:rPr>
          <w:instrText xml:space="preserve"> PAGEREF _Toc420510829 \h </w:instrText>
        </w:r>
        <w:r w:rsidR="00421590">
          <w:rPr>
            <w:noProof/>
            <w:webHidden/>
          </w:rPr>
        </w:r>
        <w:r w:rsidR="00421590">
          <w:rPr>
            <w:noProof/>
            <w:webHidden/>
          </w:rPr>
          <w:fldChar w:fldCharType="separate"/>
        </w:r>
        <w:r w:rsidR="00421590">
          <w:rPr>
            <w:noProof/>
            <w:webHidden/>
          </w:rPr>
          <w:t>4</w:t>
        </w:r>
        <w:r w:rsidR="00421590">
          <w:rPr>
            <w:noProof/>
            <w:webHidden/>
          </w:rPr>
          <w:fldChar w:fldCharType="end"/>
        </w:r>
      </w:hyperlink>
    </w:p>
    <w:p w:rsidR="00421590" w:rsidRPr="008C3791" w:rsidRDefault="00566EDC">
      <w:pPr>
        <w:pStyle w:val="Verzeichnis2"/>
        <w:tabs>
          <w:tab w:val="clear" w:pos="9638"/>
          <w:tab w:val="right" w:leader="dot" w:pos="9627"/>
        </w:tabs>
        <w:rPr>
          <w:rFonts w:ascii="Calibri" w:hAnsi="Calibri"/>
          <w:smallCaps w:val="0"/>
          <w:noProof/>
          <w:sz w:val="22"/>
          <w:szCs w:val="22"/>
        </w:rPr>
      </w:pPr>
      <w:hyperlink w:anchor="_Toc420510830" w:history="1">
        <w:r w:rsidR="00421590" w:rsidRPr="000534B6">
          <w:rPr>
            <w:rStyle w:val="Hyperlink"/>
            <w:noProof/>
          </w:rPr>
          <w:t>Artikel 6</w:t>
        </w:r>
        <w:r w:rsidR="00421590">
          <w:rPr>
            <w:noProof/>
            <w:webHidden/>
          </w:rPr>
          <w:tab/>
        </w:r>
        <w:r w:rsidR="00421590">
          <w:rPr>
            <w:noProof/>
            <w:webHidden/>
          </w:rPr>
          <w:fldChar w:fldCharType="begin"/>
        </w:r>
        <w:r w:rsidR="00421590">
          <w:rPr>
            <w:noProof/>
            <w:webHidden/>
          </w:rPr>
          <w:instrText xml:space="preserve"> PAGEREF _Toc420510830 \h </w:instrText>
        </w:r>
        <w:r w:rsidR="00421590">
          <w:rPr>
            <w:noProof/>
            <w:webHidden/>
          </w:rPr>
        </w:r>
        <w:r w:rsidR="00421590">
          <w:rPr>
            <w:noProof/>
            <w:webHidden/>
          </w:rPr>
          <w:fldChar w:fldCharType="separate"/>
        </w:r>
        <w:r w:rsidR="00421590">
          <w:rPr>
            <w:noProof/>
            <w:webHidden/>
          </w:rPr>
          <w:t>4</w:t>
        </w:r>
        <w:r w:rsidR="00421590">
          <w:rPr>
            <w:noProof/>
            <w:webHidden/>
          </w:rPr>
          <w:fldChar w:fldCharType="end"/>
        </w:r>
      </w:hyperlink>
    </w:p>
    <w:p w:rsidR="00421590" w:rsidRPr="008C3791" w:rsidRDefault="00566EDC">
      <w:pPr>
        <w:pStyle w:val="Verzeichnis2"/>
        <w:tabs>
          <w:tab w:val="clear" w:pos="9638"/>
          <w:tab w:val="right" w:leader="dot" w:pos="9627"/>
        </w:tabs>
        <w:rPr>
          <w:rFonts w:ascii="Calibri" w:hAnsi="Calibri"/>
          <w:smallCaps w:val="0"/>
          <w:noProof/>
          <w:sz w:val="22"/>
          <w:szCs w:val="22"/>
        </w:rPr>
      </w:pPr>
      <w:hyperlink w:anchor="_Toc420510831" w:history="1">
        <w:r w:rsidR="00421590" w:rsidRPr="000534B6">
          <w:rPr>
            <w:rStyle w:val="Hyperlink"/>
            <w:noProof/>
          </w:rPr>
          <w:t>Artikel 7</w:t>
        </w:r>
        <w:r w:rsidR="00421590">
          <w:rPr>
            <w:noProof/>
            <w:webHidden/>
          </w:rPr>
          <w:tab/>
        </w:r>
        <w:r w:rsidR="00421590">
          <w:rPr>
            <w:noProof/>
            <w:webHidden/>
          </w:rPr>
          <w:fldChar w:fldCharType="begin"/>
        </w:r>
        <w:r w:rsidR="00421590">
          <w:rPr>
            <w:noProof/>
            <w:webHidden/>
          </w:rPr>
          <w:instrText xml:space="preserve"> PAGEREF _Toc420510831 \h </w:instrText>
        </w:r>
        <w:r w:rsidR="00421590">
          <w:rPr>
            <w:noProof/>
            <w:webHidden/>
          </w:rPr>
        </w:r>
        <w:r w:rsidR="00421590">
          <w:rPr>
            <w:noProof/>
            <w:webHidden/>
          </w:rPr>
          <w:fldChar w:fldCharType="separate"/>
        </w:r>
        <w:r w:rsidR="00421590">
          <w:rPr>
            <w:noProof/>
            <w:webHidden/>
          </w:rPr>
          <w:t>5</w:t>
        </w:r>
        <w:r w:rsidR="00421590">
          <w:rPr>
            <w:noProof/>
            <w:webHidden/>
          </w:rPr>
          <w:fldChar w:fldCharType="end"/>
        </w:r>
      </w:hyperlink>
    </w:p>
    <w:p w:rsidR="00421590" w:rsidRPr="008C3791" w:rsidRDefault="00566EDC">
      <w:pPr>
        <w:pStyle w:val="Verzeichnis2"/>
        <w:tabs>
          <w:tab w:val="clear" w:pos="9638"/>
          <w:tab w:val="right" w:leader="dot" w:pos="9627"/>
        </w:tabs>
        <w:rPr>
          <w:rFonts w:ascii="Calibri" w:hAnsi="Calibri"/>
          <w:smallCaps w:val="0"/>
          <w:noProof/>
          <w:sz w:val="22"/>
          <w:szCs w:val="22"/>
        </w:rPr>
      </w:pPr>
      <w:hyperlink w:anchor="_Toc420510832" w:history="1">
        <w:r w:rsidR="00421590" w:rsidRPr="000534B6">
          <w:rPr>
            <w:rStyle w:val="Hyperlink"/>
            <w:noProof/>
          </w:rPr>
          <w:t>Artikel 8</w:t>
        </w:r>
        <w:r w:rsidR="00421590">
          <w:rPr>
            <w:noProof/>
            <w:webHidden/>
          </w:rPr>
          <w:tab/>
        </w:r>
        <w:r w:rsidR="00421590">
          <w:rPr>
            <w:noProof/>
            <w:webHidden/>
          </w:rPr>
          <w:fldChar w:fldCharType="begin"/>
        </w:r>
        <w:r w:rsidR="00421590">
          <w:rPr>
            <w:noProof/>
            <w:webHidden/>
          </w:rPr>
          <w:instrText xml:space="preserve"> PAGEREF _Toc420510832 \h </w:instrText>
        </w:r>
        <w:r w:rsidR="00421590">
          <w:rPr>
            <w:noProof/>
            <w:webHidden/>
          </w:rPr>
        </w:r>
        <w:r w:rsidR="00421590">
          <w:rPr>
            <w:noProof/>
            <w:webHidden/>
          </w:rPr>
          <w:fldChar w:fldCharType="separate"/>
        </w:r>
        <w:r w:rsidR="00421590">
          <w:rPr>
            <w:noProof/>
            <w:webHidden/>
          </w:rPr>
          <w:t>5</w:t>
        </w:r>
        <w:r w:rsidR="00421590">
          <w:rPr>
            <w:noProof/>
            <w:webHidden/>
          </w:rPr>
          <w:fldChar w:fldCharType="end"/>
        </w:r>
      </w:hyperlink>
    </w:p>
    <w:p w:rsidR="00421590" w:rsidRPr="008C3791" w:rsidRDefault="00566EDC">
      <w:pPr>
        <w:pStyle w:val="Verzeichnis2"/>
        <w:tabs>
          <w:tab w:val="clear" w:pos="9638"/>
          <w:tab w:val="right" w:leader="dot" w:pos="9627"/>
        </w:tabs>
        <w:rPr>
          <w:rFonts w:ascii="Calibri" w:hAnsi="Calibri"/>
          <w:smallCaps w:val="0"/>
          <w:noProof/>
          <w:sz w:val="22"/>
          <w:szCs w:val="22"/>
        </w:rPr>
      </w:pPr>
      <w:hyperlink w:anchor="_Toc420510833" w:history="1">
        <w:r w:rsidR="00421590" w:rsidRPr="000534B6">
          <w:rPr>
            <w:rStyle w:val="Hyperlink"/>
            <w:noProof/>
          </w:rPr>
          <w:t>Anhang I</w:t>
        </w:r>
        <w:r w:rsidR="00421590">
          <w:rPr>
            <w:noProof/>
            <w:webHidden/>
          </w:rPr>
          <w:tab/>
        </w:r>
        <w:r w:rsidR="00421590">
          <w:rPr>
            <w:noProof/>
            <w:webHidden/>
          </w:rPr>
          <w:fldChar w:fldCharType="begin"/>
        </w:r>
        <w:r w:rsidR="00421590">
          <w:rPr>
            <w:noProof/>
            <w:webHidden/>
          </w:rPr>
          <w:instrText xml:space="preserve"> PAGEREF _Toc420510833 \h </w:instrText>
        </w:r>
        <w:r w:rsidR="00421590">
          <w:rPr>
            <w:noProof/>
            <w:webHidden/>
          </w:rPr>
        </w:r>
        <w:r w:rsidR="00421590">
          <w:rPr>
            <w:noProof/>
            <w:webHidden/>
          </w:rPr>
          <w:fldChar w:fldCharType="separate"/>
        </w:r>
        <w:r w:rsidR="00421590">
          <w:rPr>
            <w:noProof/>
            <w:webHidden/>
          </w:rPr>
          <w:t>6</w:t>
        </w:r>
        <w:r w:rsidR="00421590">
          <w:rPr>
            <w:noProof/>
            <w:webHidden/>
          </w:rPr>
          <w:fldChar w:fldCharType="end"/>
        </w:r>
      </w:hyperlink>
    </w:p>
    <w:p w:rsidR="00421590" w:rsidRPr="008C3791" w:rsidRDefault="00566EDC">
      <w:pPr>
        <w:pStyle w:val="Verzeichnis2"/>
        <w:tabs>
          <w:tab w:val="clear" w:pos="9638"/>
          <w:tab w:val="right" w:leader="dot" w:pos="9627"/>
        </w:tabs>
        <w:rPr>
          <w:rFonts w:ascii="Calibri" w:hAnsi="Calibri"/>
          <w:smallCaps w:val="0"/>
          <w:noProof/>
          <w:sz w:val="22"/>
          <w:szCs w:val="22"/>
        </w:rPr>
      </w:pPr>
      <w:hyperlink w:anchor="_Toc420510834" w:history="1">
        <w:r w:rsidR="00421590" w:rsidRPr="000534B6">
          <w:rPr>
            <w:rStyle w:val="Hyperlink"/>
            <w:noProof/>
          </w:rPr>
          <w:t>Anhang II</w:t>
        </w:r>
        <w:r w:rsidR="00421590">
          <w:rPr>
            <w:noProof/>
            <w:webHidden/>
          </w:rPr>
          <w:tab/>
        </w:r>
        <w:r w:rsidR="00421590">
          <w:rPr>
            <w:noProof/>
            <w:webHidden/>
          </w:rPr>
          <w:fldChar w:fldCharType="begin"/>
        </w:r>
        <w:r w:rsidR="00421590">
          <w:rPr>
            <w:noProof/>
            <w:webHidden/>
          </w:rPr>
          <w:instrText xml:space="preserve"> PAGEREF _Toc420510834 \h </w:instrText>
        </w:r>
        <w:r w:rsidR="00421590">
          <w:rPr>
            <w:noProof/>
            <w:webHidden/>
          </w:rPr>
        </w:r>
        <w:r w:rsidR="00421590">
          <w:rPr>
            <w:noProof/>
            <w:webHidden/>
          </w:rPr>
          <w:fldChar w:fldCharType="separate"/>
        </w:r>
        <w:r w:rsidR="00421590">
          <w:rPr>
            <w:noProof/>
            <w:webHidden/>
          </w:rPr>
          <w:t>8</w:t>
        </w:r>
        <w:r w:rsidR="00421590">
          <w:rPr>
            <w:noProof/>
            <w:webHidden/>
          </w:rPr>
          <w:fldChar w:fldCharType="end"/>
        </w:r>
      </w:hyperlink>
    </w:p>
    <w:p w:rsidR="00421590" w:rsidRPr="008C3791" w:rsidRDefault="00566EDC">
      <w:pPr>
        <w:pStyle w:val="Verzeichnis3"/>
        <w:tabs>
          <w:tab w:val="clear" w:pos="9638"/>
          <w:tab w:val="right" w:leader="dot" w:pos="9627"/>
        </w:tabs>
        <w:rPr>
          <w:rFonts w:ascii="Calibri" w:hAnsi="Calibri"/>
          <w:i w:val="0"/>
          <w:iCs/>
          <w:noProof/>
          <w:sz w:val="22"/>
          <w:szCs w:val="22"/>
        </w:rPr>
      </w:pPr>
      <w:hyperlink w:anchor="_Toc420510835" w:history="1">
        <w:r w:rsidR="00421590" w:rsidRPr="000534B6">
          <w:rPr>
            <w:rStyle w:val="Hyperlink"/>
            <w:noProof/>
          </w:rPr>
          <w:t>I. Sonderbestimmungen für Tetrachlorkohlenstoff (Nr. 13)</w:t>
        </w:r>
        <w:r w:rsidR="00421590">
          <w:rPr>
            <w:noProof/>
            <w:webHidden/>
          </w:rPr>
          <w:tab/>
        </w:r>
        <w:r w:rsidR="00421590">
          <w:rPr>
            <w:noProof/>
            <w:webHidden/>
          </w:rPr>
          <w:fldChar w:fldCharType="begin"/>
        </w:r>
        <w:r w:rsidR="00421590">
          <w:rPr>
            <w:noProof/>
            <w:webHidden/>
          </w:rPr>
          <w:instrText xml:space="preserve"> PAGEREF _Toc420510835 \h </w:instrText>
        </w:r>
        <w:r w:rsidR="00421590">
          <w:rPr>
            <w:noProof/>
            <w:webHidden/>
          </w:rPr>
        </w:r>
        <w:r w:rsidR="00421590">
          <w:rPr>
            <w:noProof/>
            <w:webHidden/>
          </w:rPr>
          <w:fldChar w:fldCharType="separate"/>
        </w:r>
        <w:r w:rsidR="00421590">
          <w:rPr>
            <w:noProof/>
            <w:webHidden/>
          </w:rPr>
          <w:t>9</w:t>
        </w:r>
        <w:r w:rsidR="00421590">
          <w:rPr>
            <w:noProof/>
            <w:webHidden/>
          </w:rPr>
          <w:fldChar w:fldCharType="end"/>
        </w:r>
      </w:hyperlink>
    </w:p>
    <w:p w:rsidR="00421590" w:rsidRPr="008C3791" w:rsidRDefault="00566EDC">
      <w:pPr>
        <w:pStyle w:val="Verzeichnis3"/>
        <w:tabs>
          <w:tab w:val="clear" w:pos="9638"/>
          <w:tab w:val="right" w:leader="dot" w:pos="9627"/>
        </w:tabs>
        <w:rPr>
          <w:rFonts w:ascii="Calibri" w:hAnsi="Calibri"/>
          <w:i w:val="0"/>
          <w:iCs/>
          <w:noProof/>
          <w:sz w:val="22"/>
          <w:szCs w:val="22"/>
        </w:rPr>
      </w:pPr>
      <w:hyperlink w:anchor="_Toc420510836" w:history="1">
        <w:r w:rsidR="00421590" w:rsidRPr="000534B6">
          <w:rPr>
            <w:rStyle w:val="Hyperlink"/>
            <w:noProof/>
          </w:rPr>
          <w:t xml:space="preserve">II. Sonderbestimmungen für DDT (Nr. 46) </w:t>
        </w:r>
        <w:r w:rsidR="00421590">
          <w:rPr>
            <w:noProof/>
            <w:webHidden/>
          </w:rPr>
          <w:tab/>
        </w:r>
        <w:r w:rsidR="00421590">
          <w:rPr>
            <w:noProof/>
            <w:webHidden/>
          </w:rPr>
          <w:fldChar w:fldCharType="begin"/>
        </w:r>
        <w:r w:rsidR="00421590">
          <w:rPr>
            <w:noProof/>
            <w:webHidden/>
          </w:rPr>
          <w:instrText xml:space="preserve"> PAGEREF _Toc420510836 \h </w:instrText>
        </w:r>
        <w:r w:rsidR="00421590">
          <w:rPr>
            <w:noProof/>
            <w:webHidden/>
          </w:rPr>
        </w:r>
        <w:r w:rsidR="00421590">
          <w:rPr>
            <w:noProof/>
            <w:webHidden/>
          </w:rPr>
          <w:fldChar w:fldCharType="separate"/>
        </w:r>
        <w:r w:rsidR="00421590">
          <w:rPr>
            <w:noProof/>
            <w:webHidden/>
          </w:rPr>
          <w:t>10</w:t>
        </w:r>
        <w:r w:rsidR="00421590">
          <w:rPr>
            <w:noProof/>
            <w:webHidden/>
          </w:rPr>
          <w:fldChar w:fldCharType="end"/>
        </w:r>
      </w:hyperlink>
    </w:p>
    <w:p w:rsidR="00421590" w:rsidRPr="008C3791" w:rsidRDefault="00566EDC">
      <w:pPr>
        <w:pStyle w:val="Verzeichnis3"/>
        <w:tabs>
          <w:tab w:val="clear" w:pos="9638"/>
          <w:tab w:val="right" w:leader="dot" w:pos="9627"/>
        </w:tabs>
        <w:rPr>
          <w:rFonts w:ascii="Calibri" w:hAnsi="Calibri"/>
          <w:i w:val="0"/>
          <w:iCs/>
          <w:noProof/>
          <w:sz w:val="22"/>
          <w:szCs w:val="22"/>
        </w:rPr>
      </w:pPr>
      <w:hyperlink w:anchor="_Toc420510837" w:history="1">
        <w:r w:rsidR="00421590" w:rsidRPr="000534B6">
          <w:rPr>
            <w:rStyle w:val="Hyperlink"/>
            <w:noProof/>
          </w:rPr>
          <w:t xml:space="preserve">III. Sonderbestimmungen für Pentachlorphenol (Nr. 102) </w:t>
        </w:r>
        <w:r w:rsidR="00421590">
          <w:rPr>
            <w:noProof/>
            <w:webHidden/>
          </w:rPr>
          <w:tab/>
        </w:r>
        <w:r w:rsidR="00421590">
          <w:rPr>
            <w:noProof/>
            <w:webHidden/>
          </w:rPr>
          <w:fldChar w:fldCharType="begin"/>
        </w:r>
        <w:r w:rsidR="00421590">
          <w:rPr>
            <w:noProof/>
            <w:webHidden/>
          </w:rPr>
          <w:instrText xml:space="preserve"> PAGEREF _Toc420510837 \h </w:instrText>
        </w:r>
        <w:r w:rsidR="00421590">
          <w:rPr>
            <w:noProof/>
            <w:webHidden/>
          </w:rPr>
        </w:r>
        <w:r w:rsidR="00421590">
          <w:rPr>
            <w:noProof/>
            <w:webHidden/>
          </w:rPr>
          <w:fldChar w:fldCharType="separate"/>
        </w:r>
        <w:r w:rsidR="00421590">
          <w:rPr>
            <w:noProof/>
            <w:webHidden/>
          </w:rPr>
          <w:t>10</w:t>
        </w:r>
        <w:r w:rsidR="00421590">
          <w:rPr>
            <w:noProof/>
            <w:webHidden/>
          </w:rPr>
          <w:fldChar w:fldCharType="end"/>
        </w:r>
      </w:hyperlink>
    </w:p>
    <w:p w:rsidR="00421590" w:rsidRPr="008C3791" w:rsidRDefault="00566EDC">
      <w:pPr>
        <w:pStyle w:val="Verzeichnis3"/>
        <w:tabs>
          <w:tab w:val="clear" w:pos="9638"/>
          <w:tab w:val="right" w:leader="dot" w:pos="9627"/>
        </w:tabs>
        <w:rPr>
          <w:rFonts w:ascii="Calibri" w:hAnsi="Calibri"/>
          <w:i w:val="0"/>
          <w:iCs/>
          <w:noProof/>
          <w:sz w:val="22"/>
          <w:szCs w:val="22"/>
        </w:rPr>
      </w:pPr>
      <w:hyperlink w:anchor="_Toc420510838" w:history="1">
        <w:r w:rsidR="00421590" w:rsidRPr="000534B6">
          <w:rPr>
            <w:rStyle w:val="Hyperlink"/>
            <w:noProof/>
          </w:rPr>
          <w:t>IV. Sonderbestimmungen für Aldrin, Dieldrin, Endrin, Isodrin</w:t>
        </w:r>
        <w:r w:rsidR="00421590">
          <w:rPr>
            <w:noProof/>
            <w:webHidden/>
          </w:rPr>
          <w:tab/>
        </w:r>
        <w:r w:rsidR="00421590">
          <w:rPr>
            <w:noProof/>
            <w:webHidden/>
          </w:rPr>
          <w:fldChar w:fldCharType="begin"/>
        </w:r>
        <w:r w:rsidR="00421590">
          <w:rPr>
            <w:noProof/>
            <w:webHidden/>
          </w:rPr>
          <w:instrText xml:space="preserve"> PAGEREF _Toc420510838 \h </w:instrText>
        </w:r>
        <w:r w:rsidR="00421590">
          <w:rPr>
            <w:noProof/>
            <w:webHidden/>
          </w:rPr>
        </w:r>
        <w:r w:rsidR="00421590">
          <w:rPr>
            <w:noProof/>
            <w:webHidden/>
          </w:rPr>
          <w:fldChar w:fldCharType="separate"/>
        </w:r>
        <w:r w:rsidR="00421590">
          <w:rPr>
            <w:noProof/>
            <w:webHidden/>
          </w:rPr>
          <w:t>11</w:t>
        </w:r>
        <w:r w:rsidR="00421590">
          <w:rPr>
            <w:noProof/>
            <w:webHidden/>
          </w:rPr>
          <w:fldChar w:fldCharType="end"/>
        </w:r>
      </w:hyperlink>
    </w:p>
    <w:p w:rsidR="00421590" w:rsidRPr="008C3791" w:rsidRDefault="00566EDC">
      <w:pPr>
        <w:pStyle w:val="Verzeichnis3"/>
        <w:tabs>
          <w:tab w:val="clear" w:pos="9638"/>
          <w:tab w:val="right" w:leader="dot" w:pos="9627"/>
        </w:tabs>
        <w:rPr>
          <w:rFonts w:ascii="Calibri" w:hAnsi="Calibri"/>
          <w:i w:val="0"/>
          <w:iCs/>
          <w:noProof/>
          <w:sz w:val="22"/>
          <w:szCs w:val="22"/>
        </w:rPr>
      </w:pPr>
      <w:hyperlink w:anchor="_Toc420510839" w:history="1">
        <w:r w:rsidR="00421590" w:rsidRPr="000534B6">
          <w:rPr>
            <w:rStyle w:val="Hyperlink"/>
            <w:noProof/>
          </w:rPr>
          <w:t>V. Sonderbestimmungen für Hexachlorbenzol (HCB) (Nr. 83)</w:t>
        </w:r>
        <w:r w:rsidR="00421590">
          <w:rPr>
            <w:noProof/>
            <w:webHidden/>
          </w:rPr>
          <w:tab/>
        </w:r>
        <w:r w:rsidR="00421590">
          <w:rPr>
            <w:noProof/>
            <w:webHidden/>
          </w:rPr>
          <w:fldChar w:fldCharType="begin"/>
        </w:r>
        <w:r w:rsidR="00421590">
          <w:rPr>
            <w:noProof/>
            <w:webHidden/>
          </w:rPr>
          <w:instrText xml:space="preserve"> PAGEREF _Toc420510839 \h </w:instrText>
        </w:r>
        <w:r w:rsidR="00421590">
          <w:rPr>
            <w:noProof/>
            <w:webHidden/>
          </w:rPr>
        </w:r>
        <w:r w:rsidR="00421590">
          <w:rPr>
            <w:noProof/>
            <w:webHidden/>
          </w:rPr>
          <w:fldChar w:fldCharType="separate"/>
        </w:r>
        <w:r w:rsidR="00421590">
          <w:rPr>
            <w:noProof/>
            <w:webHidden/>
          </w:rPr>
          <w:t>12</w:t>
        </w:r>
        <w:r w:rsidR="00421590">
          <w:rPr>
            <w:noProof/>
            <w:webHidden/>
          </w:rPr>
          <w:fldChar w:fldCharType="end"/>
        </w:r>
      </w:hyperlink>
    </w:p>
    <w:p w:rsidR="00421590" w:rsidRPr="008C3791" w:rsidRDefault="00566EDC">
      <w:pPr>
        <w:pStyle w:val="Verzeichnis3"/>
        <w:tabs>
          <w:tab w:val="clear" w:pos="9638"/>
          <w:tab w:val="right" w:leader="dot" w:pos="9627"/>
        </w:tabs>
        <w:rPr>
          <w:rFonts w:ascii="Calibri" w:hAnsi="Calibri"/>
          <w:i w:val="0"/>
          <w:iCs/>
          <w:noProof/>
          <w:sz w:val="22"/>
          <w:szCs w:val="22"/>
        </w:rPr>
      </w:pPr>
      <w:hyperlink w:anchor="_Toc420510840" w:history="1">
        <w:r w:rsidR="00421590" w:rsidRPr="000534B6">
          <w:rPr>
            <w:rStyle w:val="Hyperlink"/>
            <w:noProof/>
          </w:rPr>
          <w:t>VI. Sonderbestimmungen für Hexachlorbutadien (HCBD) (Nr. 84)</w:t>
        </w:r>
        <w:r w:rsidR="00421590">
          <w:rPr>
            <w:noProof/>
            <w:webHidden/>
          </w:rPr>
          <w:tab/>
        </w:r>
        <w:r w:rsidR="00421590">
          <w:rPr>
            <w:noProof/>
            <w:webHidden/>
          </w:rPr>
          <w:fldChar w:fldCharType="begin"/>
        </w:r>
        <w:r w:rsidR="00421590">
          <w:rPr>
            <w:noProof/>
            <w:webHidden/>
          </w:rPr>
          <w:instrText xml:space="preserve"> PAGEREF _Toc420510840 \h </w:instrText>
        </w:r>
        <w:r w:rsidR="00421590">
          <w:rPr>
            <w:noProof/>
            <w:webHidden/>
          </w:rPr>
        </w:r>
        <w:r w:rsidR="00421590">
          <w:rPr>
            <w:noProof/>
            <w:webHidden/>
          </w:rPr>
          <w:fldChar w:fldCharType="separate"/>
        </w:r>
        <w:r w:rsidR="00421590">
          <w:rPr>
            <w:noProof/>
            <w:webHidden/>
          </w:rPr>
          <w:t>13</w:t>
        </w:r>
        <w:r w:rsidR="00421590">
          <w:rPr>
            <w:noProof/>
            <w:webHidden/>
          </w:rPr>
          <w:fldChar w:fldCharType="end"/>
        </w:r>
      </w:hyperlink>
    </w:p>
    <w:p w:rsidR="00421590" w:rsidRPr="008C3791" w:rsidRDefault="00566EDC">
      <w:pPr>
        <w:pStyle w:val="Verzeichnis3"/>
        <w:tabs>
          <w:tab w:val="clear" w:pos="9638"/>
          <w:tab w:val="right" w:leader="dot" w:pos="9627"/>
        </w:tabs>
        <w:rPr>
          <w:rFonts w:ascii="Calibri" w:hAnsi="Calibri"/>
          <w:i w:val="0"/>
          <w:iCs/>
          <w:noProof/>
          <w:sz w:val="22"/>
          <w:szCs w:val="22"/>
        </w:rPr>
      </w:pPr>
      <w:hyperlink w:anchor="_Toc420510841" w:history="1">
        <w:r w:rsidR="00421590" w:rsidRPr="000534B6">
          <w:rPr>
            <w:rStyle w:val="Hyperlink"/>
            <w:noProof/>
          </w:rPr>
          <w:t>VII. Sonderbestimmungen für Chloroform (CHCl</w:t>
        </w:r>
        <w:r w:rsidR="00421590" w:rsidRPr="000534B6">
          <w:rPr>
            <w:rStyle w:val="Hyperlink"/>
            <w:noProof/>
            <w:vertAlign w:val="subscript"/>
          </w:rPr>
          <w:t>3</w:t>
        </w:r>
        <w:r w:rsidR="00421590" w:rsidRPr="000534B6">
          <w:rPr>
            <w:rStyle w:val="Hyperlink"/>
            <w:noProof/>
          </w:rPr>
          <w:t>) (Nr. 23)</w:t>
        </w:r>
        <w:r w:rsidR="00421590">
          <w:rPr>
            <w:noProof/>
            <w:webHidden/>
          </w:rPr>
          <w:tab/>
        </w:r>
        <w:r w:rsidR="00421590">
          <w:rPr>
            <w:noProof/>
            <w:webHidden/>
          </w:rPr>
          <w:fldChar w:fldCharType="begin"/>
        </w:r>
        <w:r w:rsidR="00421590">
          <w:rPr>
            <w:noProof/>
            <w:webHidden/>
          </w:rPr>
          <w:instrText xml:space="preserve"> PAGEREF _Toc420510841 \h </w:instrText>
        </w:r>
        <w:r w:rsidR="00421590">
          <w:rPr>
            <w:noProof/>
            <w:webHidden/>
          </w:rPr>
        </w:r>
        <w:r w:rsidR="00421590">
          <w:rPr>
            <w:noProof/>
            <w:webHidden/>
          </w:rPr>
          <w:fldChar w:fldCharType="separate"/>
        </w:r>
        <w:r w:rsidR="00421590">
          <w:rPr>
            <w:noProof/>
            <w:webHidden/>
          </w:rPr>
          <w:t>13</w:t>
        </w:r>
        <w:r w:rsidR="00421590">
          <w:rPr>
            <w:noProof/>
            <w:webHidden/>
          </w:rPr>
          <w:fldChar w:fldCharType="end"/>
        </w:r>
      </w:hyperlink>
    </w:p>
    <w:p w:rsidR="00421590" w:rsidRPr="008C3791" w:rsidRDefault="00566EDC">
      <w:pPr>
        <w:pStyle w:val="Verzeichnis3"/>
        <w:tabs>
          <w:tab w:val="clear" w:pos="9638"/>
          <w:tab w:val="right" w:leader="dot" w:pos="9627"/>
        </w:tabs>
        <w:rPr>
          <w:rFonts w:ascii="Calibri" w:hAnsi="Calibri"/>
          <w:i w:val="0"/>
          <w:iCs/>
          <w:noProof/>
          <w:sz w:val="22"/>
          <w:szCs w:val="22"/>
        </w:rPr>
      </w:pPr>
      <w:hyperlink w:anchor="_Toc420510842" w:history="1">
        <w:r w:rsidR="00421590" w:rsidRPr="000534B6">
          <w:rPr>
            <w:rStyle w:val="Hyperlink"/>
            <w:noProof/>
          </w:rPr>
          <w:t>VIII. Sonderbestimmungen für 1,2-Dichlorethan (EDC) (Nr. 59)</w:t>
        </w:r>
        <w:r w:rsidR="00421590">
          <w:rPr>
            <w:noProof/>
            <w:webHidden/>
          </w:rPr>
          <w:tab/>
        </w:r>
        <w:r w:rsidR="00421590">
          <w:rPr>
            <w:noProof/>
            <w:webHidden/>
          </w:rPr>
          <w:fldChar w:fldCharType="begin"/>
        </w:r>
        <w:r w:rsidR="00421590">
          <w:rPr>
            <w:noProof/>
            <w:webHidden/>
          </w:rPr>
          <w:instrText xml:space="preserve"> PAGEREF _Toc420510842 \h </w:instrText>
        </w:r>
        <w:r w:rsidR="00421590">
          <w:rPr>
            <w:noProof/>
            <w:webHidden/>
          </w:rPr>
        </w:r>
        <w:r w:rsidR="00421590">
          <w:rPr>
            <w:noProof/>
            <w:webHidden/>
          </w:rPr>
          <w:fldChar w:fldCharType="separate"/>
        </w:r>
        <w:r w:rsidR="00421590">
          <w:rPr>
            <w:noProof/>
            <w:webHidden/>
          </w:rPr>
          <w:t>14</w:t>
        </w:r>
        <w:r w:rsidR="00421590">
          <w:rPr>
            <w:noProof/>
            <w:webHidden/>
          </w:rPr>
          <w:fldChar w:fldCharType="end"/>
        </w:r>
      </w:hyperlink>
    </w:p>
    <w:p w:rsidR="00421590" w:rsidRPr="008C3791" w:rsidRDefault="00566EDC">
      <w:pPr>
        <w:pStyle w:val="Verzeichnis3"/>
        <w:tabs>
          <w:tab w:val="clear" w:pos="9638"/>
          <w:tab w:val="right" w:leader="dot" w:pos="9627"/>
        </w:tabs>
        <w:rPr>
          <w:rFonts w:ascii="Calibri" w:hAnsi="Calibri"/>
          <w:i w:val="0"/>
          <w:iCs/>
          <w:noProof/>
          <w:sz w:val="22"/>
          <w:szCs w:val="22"/>
        </w:rPr>
      </w:pPr>
      <w:hyperlink w:anchor="_Toc420510843" w:history="1">
        <w:r w:rsidR="00421590" w:rsidRPr="000534B6">
          <w:rPr>
            <w:rStyle w:val="Hyperlink"/>
            <w:noProof/>
          </w:rPr>
          <w:t>IX. Sonderbestimmungen für Trichlorethen (TRI) (Nr. 121)</w:t>
        </w:r>
        <w:r w:rsidR="00421590">
          <w:rPr>
            <w:noProof/>
            <w:webHidden/>
          </w:rPr>
          <w:tab/>
        </w:r>
        <w:r w:rsidR="00421590">
          <w:rPr>
            <w:noProof/>
            <w:webHidden/>
          </w:rPr>
          <w:fldChar w:fldCharType="begin"/>
        </w:r>
        <w:r w:rsidR="00421590">
          <w:rPr>
            <w:noProof/>
            <w:webHidden/>
          </w:rPr>
          <w:instrText xml:space="preserve"> PAGEREF _Toc420510843 \h </w:instrText>
        </w:r>
        <w:r w:rsidR="00421590">
          <w:rPr>
            <w:noProof/>
            <w:webHidden/>
          </w:rPr>
        </w:r>
        <w:r w:rsidR="00421590">
          <w:rPr>
            <w:noProof/>
            <w:webHidden/>
          </w:rPr>
          <w:fldChar w:fldCharType="separate"/>
        </w:r>
        <w:r w:rsidR="00421590">
          <w:rPr>
            <w:noProof/>
            <w:webHidden/>
          </w:rPr>
          <w:t>16</w:t>
        </w:r>
        <w:r w:rsidR="00421590">
          <w:rPr>
            <w:noProof/>
            <w:webHidden/>
          </w:rPr>
          <w:fldChar w:fldCharType="end"/>
        </w:r>
      </w:hyperlink>
    </w:p>
    <w:p w:rsidR="00421590" w:rsidRPr="008C3791" w:rsidRDefault="00566EDC">
      <w:pPr>
        <w:pStyle w:val="Verzeichnis3"/>
        <w:tabs>
          <w:tab w:val="clear" w:pos="9638"/>
          <w:tab w:val="right" w:leader="dot" w:pos="9627"/>
        </w:tabs>
        <w:rPr>
          <w:rFonts w:ascii="Calibri" w:hAnsi="Calibri"/>
          <w:i w:val="0"/>
          <w:iCs/>
          <w:noProof/>
          <w:sz w:val="22"/>
          <w:szCs w:val="22"/>
        </w:rPr>
      </w:pPr>
      <w:hyperlink w:anchor="_Toc420510844" w:history="1">
        <w:r w:rsidR="00421590" w:rsidRPr="000534B6">
          <w:rPr>
            <w:rStyle w:val="Hyperlink"/>
            <w:noProof/>
          </w:rPr>
          <w:t>X. Sonderbestimmungen für Tetrachlorethen (PER) (Nr. 111)</w:t>
        </w:r>
        <w:r w:rsidR="00421590">
          <w:rPr>
            <w:noProof/>
            <w:webHidden/>
          </w:rPr>
          <w:tab/>
        </w:r>
        <w:r w:rsidR="00421590">
          <w:rPr>
            <w:noProof/>
            <w:webHidden/>
          </w:rPr>
          <w:fldChar w:fldCharType="begin"/>
        </w:r>
        <w:r w:rsidR="00421590">
          <w:rPr>
            <w:noProof/>
            <w:webHidden/>
          </w:rPr>
          <w:instrText xml:space="preserve"> PAGEREF _Toc420510844 \h </w:instrText>
        </w:r>
        <w:r w:rsidR="00421590">
          <w:rPr>
            <w:noProof/>
            <w:webHidden/>
          </w:rPr>
        </w:r>
        <w:r w:rsidR="00421590">
          <w:rPr>
            <w:noProof/>
            <w:webHidden/>
          </w:rPr>
          <w:fldChar w:fldCharType="separate"/>
        </w:r>
        <w:r w:rsidR="00421590">
          <w:rPr>
            <w:noProof/>
            <w:webHidden/>
          </w:rPr>
          <w:t>17</w:t>
        </w:r>
        <w:r w:rsidR="00421590">
          <w:rPr>
            <w:noProof/>
            <w:webHidden/>
          </w:rPr>
          <w:fldChar w:fldCharType="end"/>
        </w:r>
      </w:hyperlink>
    </w:p>
    <w:p w:rsidR="00421590" w:rsidRPr="008C3791" w:rsidRDefault="00566EDC">
      <w:pPr>
        <w:pStyle w:val="Verzeichnis3"/>
        <w:tabs>
          <w:tab w:val="clear" w:pos="9638"/>
          <w:tab w:val="right" w:leader="dot" w:pos="9627"/>
        </w:tabs>
        <w:rPr>
          <w:rFonts w:ascii="Calibri" w:hAnsi="Calibri"/>
          <w:i w:val="0"/>
          <w:iCs/>
          <w:noProof/>
          <w:sz w:val="22"/>
          <w:szCs w:val="22"/>
        </w:rPr>
      </w:pPr>
      <w:hyperlink w:anchor="_Toc420510845" w:history="1">
        <w:r w:rsidR="00421590" w:rsidRPr="000534B6">
          <w:rPr>
            <w:rStyle w:val="Hyperlink"/>
            <w:noProof/>
          </w:rPr>
          <w:t>XI. Sonderbestimmungen für Trichlorbenzol (TCB) (Nrn.117, 118)</w:t>
        </w:r>
        <w:r w:rsidR="00421590">
          <w:rPr>
            <w:noProof/>
            <w:webHidden/>
          </w:rPr>
          <w:tab/>
        </w:r>
        <w:r w:rsidR="00421590">
          <w:rPr>
            <w:noProof/>
            <w:webHidden/>
          </w:rPr>
          <w:fldChar w:fldCharType="begin"/>
        </w:r>
        <w:r w:rsidR="00421590">
          <w:rPr>
            <w:noProof/>
            <w:webHidden/>
          </w:rPr>
          <w:instrText xml:space="preserve"> PAGEREF _Toc420510845 \h </w:instrText>
        </w:r>
        <w:r w:rsidR="00421590">
          <w:rPr>
            <w:noProof/>
            <w:webHidden/>
          </w:rPr>
        </w:r>
        <w:r w:rsidR="00421590">
          <w:rPr>
            <w:noProof/>
            <w:webHidden/>
          </w:rPr>
          <w:fldChar w:fldCharType="separate"/>
        </w:r>
        <w:r w:rsidR="00421590">
          <w:rPr>
            <w:noProof/>
            <w:webHidden/>
          </w:rPr>
          <w:t>18</w:t>
        </w:r>
        <w:r w:rsidR="00421590">
          <w:rPr>
            <w:noProof/>
            <w:webHidden/>
          </w:rPr>
          <w:fldChar w:fldCharType="end"/>
        </w:r>
      </w:hyperlink>
    </w:p>
    <w:p w:rsidR="006C2F7A" w:rsidRPr="007A3286" w:rsidRDefault="00421590" w:rsidP="007A3286">
      <w:pPr>
        <w:pStyle w:val="GesAbsatz"/>
      </w:pPr>
      <w:r>
        <w:fldChar w:fldCharType="end"/>
      </w:r>
    </w:p>
    <w:p w:rsidR="009438C6" w:rsidRDefault="009438C6" w:rsidP="009438C6">
      <w:pPr>
        <w:pStyle w:val="GesAbsatz"/>
      </w:pPr>
      <w:r>
        <w:t>Der Rat der Europäischen Gemeinschaften -</w:t>
      </w:r>
    </w:p>
    <w:p w:rsidR="009438C6" w:rsidRDefault="009438C6" w:rsidP="009438C6">
      <w:pPr>
        <w:pStyle w:val="GesAbsatz"/>
      </w:pPr>
      <w:r>
        <w:t>gestützt auf den Vertrag zur Gründung der Europäischen Wirtschaftsgemeinschaf</w:t>
      </w:r>
      <w:r w:rsidR="0086387A">
        <w:t xml:space="preserve">t, insbesondere auf die Artikel </w:t>
      </w:r>
      <w:r>
        <w:t>100 und 235,</w:t>
      </w:r>
    </w:p>
    <w:p w:rsidR="009438C6" w:rsidRDefault="009438C6" w:rsidP="009438C6">
      <w:pPr>
        <w:pStyle w:val="GesAbsatz"/>
      </w:pPr>
      <w:r>
        <w:t>gestützt auf die Richtlinie</w:t>
      </w:r>
      <w:r w:rsidR="0086387A">
        <w:t xml:space="preserve"> </w:t>
      </w:r>
      <w:r>
        <w:t>76/464/EWG des Rates vom 4.</w:t>
      </w:r>
      <w:r w:rsidR="0086387A">
        <w:t xml:space="preserve"> </w:t>
      </w:r>
      <w:r>
        <w:t>Mai</w:t>
      </w:r>
      <w:r w:rsidR="0086387A">
        <w:t xml:space="preserve"> </w:t>
      </w:r>
      <w:r>
        <w:t>1976 betreffend die Verschmutzung infolge der Ableitung bestimmter gefährlicher Stoffe in die Gewässer der Gemeinschaft</w:t>
      </w:r>
      <w:r w:rsidR="00CA15C5">
        <w:rPr>
          <w:rStyle w:val="Funotenzeichen"/>
        </w:rPr>
        <w:footnoteReference w:id="1"/>
      </w:r>
      <w:r>
        <w:t>, insbesondere auf Artikel</w:t>
      </w:r>
      <w:r w:rsidR="0086387A">
        <w:t xml:space="preserve"> </w:t>
      </w:r>
      <w:r>
        <w:t>6,</w:t>
      </w:r>
    </w:p>
    <w:p w:rsidR="009438C6" w:rsidRDefault="009438C6" w:rsidP="009438C6">
      <w:pPr>
        <w:pStyle w:val="GesAbsatz"/>
      </w:pPr>
      <w:r>
        <w:t>auf Vorschlag der Kommission</w:t>
      </w:r>
      <w:r w:rsidR="00CA15C5">
        <w:rPr>
          <w:rStyle w:val="Funotenzeichen"/>
        </w:rPr>
        <w:footnoteReference w:id="2"/>
      </w:r>
      <w:r>
        <w:t>,</w:t>
      </w:r>
      <w:r w:rsidR="00CA15C5" w:rsidRPr="00CA15C5">
        <w:rPr>
          <w:sz w:val="16"/>
          <w:szCs w:val="16"/>
        </w:rPr>
        <w:t xml:space="preserve"> </w:t>
      </w:r>
    </w:p>
    <w:p w:rsidR="009438C6" w:rsidRDefault="009438C6" w:rsidP="009438C6">
      <w:pPr>
        <w:pStyle w:val="GesAbsatz"/>
      </w:pPr>
      <w:r>
        <w:t>nach Stellungnahme des Europäischen Parlaments</w:t>
      </w:r>
      <w:r w:rsidR="00CA15C5">
        <w:rPr>
          <w:rStyle w:val="Funotenzeichen"/>
        </w:rPr>
        <w:footnoteReference w:id="3"/>
      </w:r>
      <w:r>
        <w:t>,</w:t>
      </w:r>
    </w:p>
    <w:p w:rsidR="009438C6" w:rsidRDefault="009438C6" w:rsidP="009438C6">
      <w:pPr>
        <w:pStyle w:val="GesAbsatz"/>
      </w:pPr>
      <w:r>
        <w:t>nach Stellungnahme des Wirtschafts- und Sozialausschusses</w:t>
      </w:r>
      <w:r w:rsidR="00CA15C5">
        <w:rPr>
          <w:rStyle w:val="Funotenzeichen"/>
        </w:rPr>
        <w:footnoteReference w:id="4"/>
      </w:r>
      <w:r>
        <w:t>,</w:t>
      </w:r>
      <w:r w:rsidR="00CA15C5" w:rsidRPr="00CA15C5">
        <w:rPr>
          <w:sz w:val="16"/>
          <w:szCs w:val="16"/>
        </w:rPr>
        <w:t xml:space="preserve"> </w:t>
      </w:r>
    </w:p>
    <w:p w:rsidR="009438C6" w:rsidRDefault="009438C6" w:rsidP="009438C6">
      <w:pPr>
        <w:pStyle w:val="GesAbsatz"/>
      </w:pPr>
      <w:r>
        <w:t>in Erwägung nachstehender Gründe:</w:t>
      </w:r>
    </w:p>
    <w:p w:rsidR="009438C6" w:rsidRDefault="009438C6" w:rsidP="009438C6">
      <w:pPr>
        <w:pStyle w:val="GesAbsatz"/>
      </w:pPr>
      <w:r>
        <w:t>Zum Schutz der Gewässer der Gemeinschaft gegen die Verschmutzung durch bestimmte gefährliche Stoffe wurde durch Artikel</w:t>
      </w:r>
      <w:r w:rsidR="0086387A">
        <w:t xml:space="preserve"> </w:t>
      </w:r>
      <w:r>
        <w:t>3 der Richtlinie denen Emissionsnormen für die Ableitung der in Liste</w:t>
      </w:r>
      <w:r w:rsidR="0086387A">
        <w:t xml:space="preserve"> </w:t>
      </w:r>
      <w:r>
        <w:t>I des Anhangs aufgeführten Stoffe festgesetzt werden. Artikel</w:t>
      </w:r>
      <w:r w:rsidR="0086387A">
        <w:t xml:space="preserve"> </w:t>
      </w:r>
      <w:r>
        <w:t>6 derselben Richtlinie sieht die Festsetzung von Grenzwerten für die Emissionsnormen sowie von Qualitätszielen für die verunreinigten Gewässer vor, die durch Ableitu</w:t>
      </w:r>
      <w:r>
        <w:t>n</w:t>
      </w:r>
      <w:r>
        <w:t>gen der genannten Stoffe betroffen sind.</w:t>
      </w:r>
    </w:p>
    <w:p w:rsidR="009438C6" w:rsidRDefault="009438C6" w:rsidP="009438C6">
      <w:pPr>
        <w:pStyle w:val="GesAbsatz"/>
      </w:pPr>
      <w:r>
        <w:t>Die Mitgliedstaaten müssen die Grenzwerte beachten, ausgenommen in den Fällen, in denen sie die Qual</w:t>
      </w:r>
      <w:r>
        <w:t>i</w:t>
      </w:r>
      <w:r>
        <w:t>tätsziele anwenden können.</w:t>
      </w:r>
    </w:p>
    <w:p w:rsidR="009438C6" w:rsidRDefault="009438C6" w:rsidP="009438C6">
      <w:pPr>
        <w:pStyle w:val="GesAbsatz"/>
      </w:pPr>
      <w:r>
        <w:lastRenderedPageBreak/>
        <w:t>Die in der vorliegenden Richtlinie genannten gefährlichen Stoffe sind hauptsächlich auf der Grundlage der in der Richtlinie</w:t>
      </w:r>
      <w:r w:rsidR="0086387A">
        <w:t xml:space="preserve"> </w:t>
      </w:r>
      <w:r>
        <w:t>76/464/EWG vorgesehenen Kriterien gewählt worden.</w:t>
      </w:r>
    </w:p>
    <w:p w:rsidR="009438C6" w:rsidRDefault="009438C6" w:rsidP="009438C6">
      <w:pPr>
        <w:pStyle w:val="GesAbsatz"/>
      </w:pPr>
      <w:r>
        <w:t>Da die Verschmutzung, die durch die Ableitung dieser Stoffe in die Gewässer entsteht, von einer großen Anzahl von Industriebetrieben verursacht wird, müssen für die Ableitungen spezifische Grenzwerte je nach Art des Industriezweigs festgesetzt und Qualitätsziele für die Gewässer, in die diese Stoffe abgeleitet we</w:t>
      </w:r>
      <w:r>
        <w:t>r</w:t>
      </w:r>
      <w:r>
        <w:t>den, festgelegt werden.</w:t>
      </w:r>
    </w:p>
    <w:p w:rsidR="009438C6" w:rsidRDefault="009438C6" w:rsidP="009438C6">
      <w:pPr>
        <w:pStyle w:val="GesAbsatz"/>
      </w:pPr>
      <w:r>
        <w:t>Der Zweck der Grenzwerte und Qualitätsziele muß darin bestehen, die Verschmutzung der verschiedenen Gewässerzonen, die durch Ableitungen dieser Stoffe beeinträchtigt werden könnten, zu beseitigen.</w:t>
      </w:r>
    </w:p>
    <w:p w:rsidR="009438C6" w:rsidRDefault="009438C6" w:rsidP="009438C6">
      <w:pPr>
        <w:pStyle w:val="GesAbsatz"/>
      </w:pPr>
      <w:r>
        <w:t>Diese Grenzwerte und Qualitätsziele müssen zu diesem Zweck und dürfen nicht in der Absicht, Vorschriften für den Verbraucherschutz oder den Absatz von aus dem Wasser stammenden Erzeugnissen zu erlassen, festgelegt werden.</w:t>
      </w:r>
    </w:p>
    <w:p w:rsidR="009438C6" w:rsidRDefault="009438C6" w:rsidP="009438C6">
      <w:pPr>
        <w:pStyle w:val="GesAbsatz"/>
      </w:pPr>
      <w:r>
        <w:t>Damit die Mitgliedstaaten nachweisen können, daß die Qualitätsziele eingehalten werden, müssen für jedes ausgewählte und angewandte Qualitätsziel Berichte an die Kommission vorgesehen werden.</w:t>
      </w:r>
    </w:p>
    <w:p w:rsidR="009438C6" w:rsidRDefault="009438C6" w:rsidP="009438C6">
      <w:pPr>
        <w:pStyle w:val="GesAbsatz"/>
      </w:pPr>
      <w:r>
        <w:t xml:space="preserve">Die Mitgliedstaaten haben dafür zu sorgen, daß die Anwendung dieser Richtlinie erlassenen Maßnahmen nicht zu einer stärkeren Luft- oder Bodenverschmutzung führen </w:t>
      </w:r>
      <w:proofErr w:type="gramStart"/>
      <w:r>
        <w:t>können</w:t>
      </w:r>
      <w:proofErr w:type="gramEnd"/>
      <w:r>
        <w:t>.</w:t>
      </w:r>
    </w:p>
    <w:p w:rsidR="009438C6" w:rsidRDefault="009438C6" w:rsidP="009438C6">
      <w:pPr>
        <w:pStyle w:val="GesAbsatz"/>
      </w:pPr>
      <w:r>
        <w:t>Im Hinblick auf eine wirksame Anwendung dieser Richtlinie ist vorzusehen, daß die Mitgliedstaaten die von den Ab</w:t>
      </w:r>
      <w:r w:rsidR="00020465">
        <w:t>l</w:t>
      </w:r>
      <w:r>
        <w:t>ei</w:t>
      </w:r>
      <w:r w:rsidR="00020465">
        <w:t>t</w:t>
      </w:r>
      <w:r>
        <w:t>ungen der vorstehend genannten Stoffe betroffenen Gewässer überwachen. Die Befugnisse zur Einführung dieser Überwachung sind in der Richtlinie</w:t>
      </w:r>
      <w:r w:rsidR="0086387A">
        <w:t xml:space="preserve"> </w:t>
      </w:r>
      <w:r>
        <w:t>76/464/EWG nicht vorgesehen. Das besondere B</w:t>
      </w:r>
      <w:r>
        <w:t>e</w:t>
      </w:r>
      <w:r>
        <w:t>fugnisse hierfür im Vertrag nicht vorgesehen sind, ist Artikel 235 heranzuziehen.</w:t>
      </w:r>
    </w:p>
    <w:p w:rsidR="009438C6" w:rsidRDefault="009438C6" w:rsidP="009438C6">
      <w:pPr>
        <w:pStyle w:val="GesAbsatz"/>
      </w:pPr>
      <w:r>
        <w:t>Für bestimmte Quellen, die in nennenswertem Umfang eine Verschmutzung durch diese Stoffe hervorrufen und die nicht der Regelung der gemeinschaftlichen Grenzwerte oder der einzelstaatlichen Emissionsnormen unterliegen, müssen spezifische Programme zur Beseitigung der Verschmutzung aufgestellt werden. Die Befugnisse hierfür sind ebenfalls nicht in der Richtlinie</w:t>
      </w:r>
      <w:r w:rsidR="0086387A">
        <w:t xml:space="preserve"> </w:t>
      </w:r>
      <w:r>
        <w:t>76/464/EWG vorgesehen. Da entsprechende spezif</w:t>
      </w:r>
      <w:r>
        <w:t>i</w:t>
      </w:r>
      <w:r>
        <w:t>sche Vorschriften nicht im Vertrag vorgesehen sind, ist dessen Artikel 235 heranzuziehen.</w:t>
      </w:r>
    </w:p>
    <w:p w:rsidR="009438C6" w:rsidRDefault="009438C6" w:rsidP="009438C6">
      <w:pPr>
        <w:pStyle w:val="GesAbsatz"/>
      </w:pPr>
      <w:r>
        <w:t>Da für Grundwasser die Richtlinie</w:t>
      </w:r>
      <w:r w:rsidR="0086387A">
        <w:t xml:space="preserve"> </w:t>
      </w:r>
      <w:r>
        <w:t>80/68/EWG</w:t>
      </w:r>
      <w:r w:rsidR="00CA15C5">
        <w:rPr>
          <w:rStyle w:val="Funotenzeichen"/>
        </w:rPr>
        <w:footnoteReference w:id="5"/>
      </w:r>
      <w:r w:rsidRPr="00BF68C5">
        <w:rPr>
          <w:vertAlign w:val="superscript"/>
        </w:rPr>
        <w:t xml:space="preserve"> </w:t>
      </w:r>
      <w:r>
        <w:t>erlassen worden ist, fällt es nicht in den Anwendungsbereich der vorliegenden Richtlinie.</w:t>
      </w:r>
    </w:p>
    <w:p w:rsidR="009438C6" w:rsidRDefault="009438C6" w:rsidP="009438C6">
      <w:pPr>
        <w:pStyle w:val="GesAbsatz"/>
      </w:pPr>
      <w:r>
        <w:t>Im Hinblick auf eine wirksame Anwendung dieser Richtlinie ist vorzusehen, daß die Kommission dem Rat alle fünf Jahre eine vergleich</w:t>
      </w:r>
      <w:r w:rsidR="00020465">
        <w:t>ende</w:t>
      </w:r>
      <w:r>
        <w:t xml:space="preserve"> Bewertung ihrer Anwendung durch die Mitgliedstaaten übermittelt.</w:t>
      </w:r>
    </w:p>
    <w:p w:rsidR="009438C6" w:rsidRDefault="009438C6" w:rsidP="009438C6">
      <w:pPr>
        <w:pStyle w:val="GesAbsatz"/>
      </w:pPr>
      <w:r>
        <w:t>Diese Richtlinie ist auf Vorschlag der Kommission an die Entwicklung des wissenschaftlichen Erkenntni</w:t>
      </w:r>
      <w:r>
        <w:t>s</w:t>
      </w:r>
      <w:r>
        <w:t>standes hauptsächlich in bezug auf Toxizität, Langlebigkeit und Akkumulation der genannten Stoffe i</w:t>
      </w:r>
      <w:r w:rsidR="0086387A">
        <w:t>n l</w:t>
      </w:r>
      <w:r w:rsidR="0086387A">
        <w:t>e</w:t>
      </w:r>
      <w:r>
        <w:t>benden Organismen und in Sedimenten oder im Falle einer Verbesserun</w:t>
      </w:r>
      <w:r w:rsidR="0086387A">
        <w:t>g der besten verfügbaren techn</w:t>
      </w:r>
      <w:r w:rsidR="0086387A">
        <w:t>i</w:t>
      </w:r>
      <w:r>
        <w:t>schen Mittel anzupassen und zu ergänzen. Zu diesem Zweck ist vorzusehe</w:t>
      </w:r>
      <w:r w:rsidR="0086387A">
        <w:t>n, daß die Richtlinie durch Vo</w:t>
      </w:r>
      <w:r w:rsidR="0086387A">
        <w:t>r</w:t>
      </w:r>
      <w:r>
        <w:t>schriften betreffend neue gefährliche Stoffe ergänzt wird und der Inhalt der Anhänge geändert wird -</w:t>
      </w:r>
    </w:p>
    <w:p w:rsidR="009438C6" w:rsidRDefault="009438C6" w:rsidP="009438C6">
      <w:pPr>
        <w:pStyle w:val="GesAbsatz"/>
      </w:pPr>
      <w:r>
        <w:t>hat folgende Richtlinie erlassen:</w:t>
      </w:r>
    </w:p>
    <w:p w:rsidR="0049151F" w:rsidRPr="00995906" w:rsidRDefault="0049151F" w:rsidP="0086387A">
      <w:pPr>
        <w:pStyle w:val="berschrift2"/>
      </w:pPr>
      <w:bookmarkStart w:id="2" w:name="_Toc420510825"/>
      <w:r w:rsidRPr="00995906">
        <w:t>Artikel 1</w:t>
      </w:r>
      <w:bookmarkEnd w:id="2"/>
    </w:p>
    <w:p w:rsidR="0049151F" w:rsidRPr="00995906" w:rsidRDefault="0049151F" w:rsidP="00995906">
      <w:pPr>
        <w:pStyle w:val="GesAbsatz"/>
        <w:rPr>
          <w:rFonts w:cs="Arial"/>
        </w:rPr>
      </w:pPr>
      <w:r w:rsidRPr="00995906">
        <w:rPr>
          <w:rFonts w:cs="Arial"/>
        </w:rPr>
        <w:t>(1) Diese Richtlinie</w:t>
      </w:r>
    </w:p>
    <w:p w:rsidR="0049151F" w:rsidRPr="00995906" w:rsidRDefault="0049151F" w:rsidP="005A165A">
      <w:pPr>
        <w:pStyle w:val="GesAbsatz"/>
        <w:ind w:left="426" w:hanging="426"/>
        <w:rPr>
          <w:rFonts w:cs="Arial"/>
        </w:rPr>
      </w:pPr>
      <w:r w:rsidRPr="00995906">
        <w:rPr>
          <w:rFonts w:cs="Arial"/>
        </w:rPr>
        <w:t>-</w:t>
      </w:r>
      <w:r w:rsidR="005A165A">
        <w:rPr>
          <w:rFonts w:cs="Arial"/>
        </w:rPr>
        <w:tab/>
      </w:r>
      <w:r w:rsidRPr="00995906">
        <w:rPr>
          <w:rFonts w:cs="Arial"/>
        </w:rPr>
        <w:t>legt gemäß Artikel 6 Absatz 1 der Richtlinie 76/464 EWG Grenzwerte für Emissionsnormen für die in</w:t>
      </w:r>
      <w:r w:rsidR="005A165A">
        <w:rPr>
          <w:rFonts w:cs="Arial"/>
        </w:rPr>
        <w:t xml:space="preserve"> </w:t>
      </w:r>
      <w:r w:rsidRPr="00995906">
        <w:rPr>
          <w:rFonts w:cs="Arial"/>
        </w:rPr>
        <w:t>Artikel 2 Buchstabe a) genannten Stoffe in Ableitungen aus Industriebetrieben im Sinne des Artikels 2</w:t>
      </w:r>
      <w:r w:rsidR="005A165A">
        <w:rPr>
          <w:rFonts w:cs="Arial"/>
        </w:rPr>
        <w:t xml:space="preserve"> </w:t>
      </w:r>
      <w:r w:rsidRPr="00995906">
        <w:rPr>
          <w:rFonts w:cs="Arial"/>
        </w:rPr>
        <w:t>Buchstabe e) der vorliegenden Richtlinie fest;</w:t>
      </w:r>
    </w:p>
    <w:p w:rsidR="0049151F" w:rsidRPr="00995906" w:rsidRDefault="0049151F" w:rsidP="005A165A">
      <w:pPr>
        <w:pStyle w:val="GesAbsatz"/>
        <w:ind w:left="426" w:hanging="426"/>
        <w:rPr>
          <w:rFonts w:cs="Arial"/>
        </w:rPr>
      </w:pPr>
      <w:r w:rsidRPr="00995906">
        <w:rPr>
          <w:rFonts w:cs="Arial"/>
        </w:rPr>
        <w:t>-</w:t>
      </w:r>
      <w:r w:rsidR="005A165A">
        <w:rPr>
          <w:rFonts w:cs="Arial"/>
        </w:rPr>
        <w:tab/>
      </w:r>
      <w:r w:rsidRPr="00995906">
        <w:rPr>
          <w:rFonts w:cs="Arial"/>
        </w:rPr>
        <w:t>legt gemäß Artikel 6 Absatz 2 der Richtlinie 76/464/EWG Qualitätsziele für Gewässer in bezug auf die</w:t>
      </w:r>
      <w:r w:rsidR="005A165A">
        <w:rPr>
          <w:rFonts w:cs="Arial"/>
        </w:rPr>
        <w:t xml:space="preserve"> </w:t>
      </w:r>
      <w:r w:rsidRPr="00995906">
        <w:rPr>
          <w:rFonts w:cs="Arial"/>
        </w:rPr>
        <w:t>in Artikel 2 Buchstabe a) der vorliegenden Richtlinie genannten Stoffe fest;</w:t>
      </w:r>
    </w:p>
    <w:p w:rsidR="0049151F" w:rsidRPr="00995906" w:rsidRDefault="0049151F" w:rsidP="005A165A">
      <w:pPr>
        <w:pStyle w:val="GesAbsatz"/>
        <w:ind w:left="426" w:hanging="426"/>
        <w:rPr>
          <w:rFonts w:cs="Arial"/>
        </w:rPr>
      </w:pPr>
      <w:r w:rsidRPr="00995906">
        <w:rPr>
          <w:rFonts w:cs="Arial"/>
        </w:rPr>
        <w:t>-</w:t>
      </w:r>
      <w:r w:rsidR="005A165A">
        <w:rPr>
          <w:rFonts w:cs="Arial"/>
        </w:rPr>
        <w:tab/>
      </w:r>
      <w:r w:rsidRPr="00995906">
        <w:rPr>
          <w:rFonts w:cs="Arial"/>
        </w:rPr>
        <w:t>legt gemäß Artikel 6 Absatz 4 der Richtlinie 76/464/EWG die Zeitpunkte zur Erfüllung der Vorausse</w:t>
      </w:r>
      <w:r w:rsidRPr="00995906">
        <w:rPr>
          <w:rFonts w:cs="Arial"/>
        </w:rPr>
        <w:t>t</w:t>
      </w:r>
      <w:r w:rsidRPr="00995906">
        <w:rPr>
          <w:rFonts w:cs="Arial"/>
        </w:rPr>
        <w:t>zungen</w:t>
      </w:r>
      <w:r w:rsidR="005A165A">
        <w:rPr>
          <w:rFonts w:cs="Arial"/>
        </w:rPr>
        <w:t xml:space="preserve"> </w:t>
      </w:r>
      <w:r w:rsidRPr="00995906">
        <w:rPr>
          <w:rFonts w:cs="Arial"/>
        </w:rPr>
        <w:t>für die von den zuständigen Stellen der Mitgliedstaaten für bestehende Ableitungen erteilten</w:t>
      </w:r>
      <w:r w:rsidR="005A165A">
        <w:rPr>
          <w:rFonts w:cs="Arial"/>
        </w:rPr>
        <w:t xml:space="preserve"> </w:t>
      </w:r>
      <w:r w:rsidRPr="00995906">
        <w:rPr>
          <w:rFonts w:cs="Arial"/>
        </w:rPr>
        <w:t>Genehmigungen fest;</w:t>
      </w:r>
    </w:p>
    <w:p w:rsidR="0049151F" w:rsidRPr="00995906" w:rsidRDefault="0049151F" w:rsidP="005A165A">
      <w:pPr>
        <w:pStyle w:val="GesAbsatz"/>
        <w:ind w:left="426" w:hanging="426"/>
        <w:rPr>
          <w:rFonts w:cs="Arial"/>
        </w:rPr>
      </w:pPr>
      <w:r w:rsidRPr="00995906">
        <w:rPr>
          <w:rFonts w:cs="Arial"/>
        </w:rPr>
        <w:t>-</w:t>
      </w:r>
      <w:r w:rsidR="005A165A">
        <w:rPr>
          <w:rFonts w:cs="Arial"/>
        </w:rPr>
        <w:tab/>
      </w:r>
      <w:r w:rsidRPr="00995906">
        <w:rPr>
          <w:rFonts w:cs="Arial"/>
        </w:rPr>
        <w:t>legt gemäß Artikel 12 Absatz 1 der Richtlinie 76/464/EWG die Referenzme</w:t>
      </w:r>
      <w:r w:rsidR="005A165A">
        <w:rPr>
          <w:rFonts w:cs="Arial"/>
        </w:rPr>
        <w:t>ß</w:t>
      </w:r>
      <w:r w:rsidRPr="00995906">
        <w:rPr>
          <w:rFonts w:cs="Arial"/>
        </w:rPr>
        <w:t>verfahren für die Besti</w:t>
      </w:r>
      <w:r w:rsidRPr="00995906">
        <w:rPr>
          <w:rFonts w:cs="Arial"/>
        </w:rPr>
        <w:t>m</w:t>
      </w:r>
      <w:r w:rsidRPr="00995906">
        <w:rPr>
          <w:rFonts w:cs="Arial"/>
        </w:rPr>
        <w:t>mung</w:t>
      </w:r>
      <w:r w:rsidR="005A165A">
        <w:rPr>
          <w:rFonts w:cs="Arial"/>
        </w:rPr>
        <w:t xml:space="preserve"> </w:t>
      </w:r>
      <w:r w:rsidRPr="00995906">
        <w:rPr>
          <w:rFonts w:cs="Arial"/>
        </w:rPr>
        <w:t>des Gehalts der in Artikel 2 Buchstabe a) der vorliegenden Richtlinie genannten Stoffe in</w:t>
      </w:r>
      <w:r w:rsidR="005A165A">
        <w:rPr>
          <w:rFonts w:cs="Arial"/>
        </w:rPr>
        <w:t xml:space="preserve"> </w:t>
      </w:r>
      <w:r w:rsidRPr="00995906">
        <w:rPr>
          <w:rFonts w:cs="Arial"/>
        </w:rPr>
        <w:t>Able</w:t>
      </w:r>
      <w:r w:rsidRPr="00995906">
        <w:rPr>
          <w:rFonts w:cs="Arial"/>
        </w:rPr>
        <w:t>i</w:t>
      </w:r>
      <w:r w:rsidRPr="00995906">
        <w:rPr>
          <w:rFonts w:cs="Arial"/>
        </w:rPr>
        <w:t>tungen und in Gewässern fest;</w:t>
      </w:r>
    </w:p>
    <w:p w:rsidR="0049151F" w:rsidRPr="00995906" w:rsidRDefault="0049151F" w:rsidP="005A165A">
      <w:pPr>
        <w:pStyle w:val="GesAbsatz"/>
        <w:ind w:left="426" w:hanging="426"/>
        <w:rPr>
          <w:rFonts w:cs="Arial"/>
        </w:rPr>
      </w:pPr>
      <w:r w:rsidRPr="00995906">
        <w:rPr>
          <w:rFonts w:cs="Arial"/>
        </w:rPr>
        <w:t>-</w:t>
      </w:r>
      <w:r w:rsidR="005A165A">
        <w:rPr>
          <w:rFonts w:cs="Arial"/>
        </w:rPr>
        <w:tab/>
      </w:r>
      <w:r w:rsidRPr="00995906">
        <w:rPr>
          <w:rFonts w:cs="Arial"/>
        </w:rPr>
        <w:t>legt gemäß Artikel 6 Absatz 3 der Richtlinie 76/464/EWG ein Überwachungsverfahren fest;</w:t>
      </w:r>
    </w:p>
    <w:p w:rsidR="0049151F" w:rsidRPr="00995906" w:rsidRDefault="0049151F" w:rsidP="005A165A">
      <w:pPr>
        <w:pStyle w:val="GesAbsatz"/>
        <w:ind w:left="426" w:hanging="426"/>
        <w:rPr>
          <w:rFonts w:cs="Arial"/>
        </w:rPr>
      </w:pPr>
      <w:r w:rsidRPr="00995906">
        <w:rPr>
          <w:rFonts w:cs="Arial"/>
        </w:rPr>
        <w:t>-</w:t>
      </w:r>
      <w:r w:rsidR="005A165A">
        <w:rPr>
          <w:rFonts w:cs="Arial"/>
        </w:rPr>
        <w:tab/>
      </w:r>
      <w:r w:rsidRPr="00995906">
        <w:rPr>
          <w:rFonts w:cs="Arial"/>
        </w:rPr>
        <w:t>schreibt den Mitgliedstaaten vor, im Falle von Ableitungen, die die Gewässer mehrerer Mitgliedstaaten</w:t>
      </w:r>
      <w:r w:rsidR="005A165A">
        <w:rPr>
          <w:rFonts w:cs="Arial"/>
        </w:rPr>
        <w:t xml:space="preserve"> </w:t>
      </w:r>
      <w:r w:rsidRPr="00995906">
        <w:rPr>
          <w:rFonts w:cs="Arial"/>
        </w:rPr>
        <w:t>betreffen, zusammenzuarbeiten;</w:t>
      </w:r>
    </w:p>
    <w:p w:rsidR="0049151F" w:rsidRPr="00995906" w:rsidRDefault="0049151F" w:rsidP="005A165A">
      <w:pPr>
        <w:pStyle w:val="GesAbsatz"/>
        <w:ind w:left="426" w:hanging="426"/>
        <w:rPr>
          <w:rFonts w:cs="Arial"/>
        </w:rPr>
      </w:pPr>
      <w:r w:rsidRPr="00995906">
        <w:rPr>
          <w:rFonts w:cs="Arial"/>
        </w:rPr>
        <w:lastRenderedPageBreak/>
        <w:t>-</w:t>
      </w:r>
      <w:r w:rsidR="005A165A">
        <w:rPr>
          <w:rFonts w:cs="Arial"/>
        </w:rPr>
        <w:tab/>
      </w:r>
      <w:r w:rsidRPr="00995906">
        <w:rPr>
          <w:rFonts w:cs="Arial"/>
        </w:rPr>
        <w:t>schreibt den Mitgliedstaaten vor, Programme zur Vermeidung oder Beseitigung der Verschmutzung,</w:t>
      </w:r>
      <w:r w:rsidR="005A165A">
        <w:rPr>
          <w:rFonts w:cs="Arial"/>
        </w:rPr>
        <w:t xml:space="preserve"> </w:t>
      </w:r>
      <w:r w:rsidRPr="00995906">
        <w:rPr>
          <w:rFonts w:cs="Arial"/>
        </w:rPr>
        <w:t>die aus den in Artikel 5 genannten Quellen stammt, aufzustellen;</w:t>
      </w:r>
    </w:p>
    <w:p w:rsidR="0049151F" w:rsidRPr="00995906" w:rsidRDefault="0049151F" w:rsidP="005A165A">
      <w:pPr>
        <w:pStyle w:val="GesAbsatz"/>
        <w:ind w:left="426" w:hanging="426"/>
        <w:rPr>
          <w:rFonts w:cs="Arial"/>
        </w:rPr>
      </w:pPr>
      <w:r w:rsidRPr="00995906">
        <w:rPr>
          <w:rFonts w:cs="Arial"/>
        </w:rPr>
        <w:t>-</w:t>
      </w:r>
      <w:r w:rsidR="005A165A">
        <w:rPr>
          <w:rFonts w:cs="Arial"/>
        </w:rPr>
        <w:tab/>
      </w:r>
      <w:r w:rsidRPr="00995906">
        <w:rPr>
          <w:rFonts w:cs="Arial"/>
        </w:rPr>
        <w:t>sieht in Anhang I allgemeine Bestimmungen zur Anwendung auf sämtliche Stoffe im Sinne von Artikel</w:t>
      </w:r>
      <w:r w:rsidR="005A165A">
        <w:rPr>
          <w:rFonts w:cs="Arial"/>
        </w:rPr>
        <w:t xml:space="preserve"> </w:t>
      </w:r>
      <w:r w:rsidRPr="00995906">
        <w:rPr>
          <w:rFonts w:cs="Arial"/>
        </w:rPr>
        <w:t>2 Buchstabe a), vor allem für Grenzwerte für Emissionsnormen (Teil A), Qualitätsziele (Teil B) und</w:t>
      </w:r>
      <w:r w:rsidR="005A165A">
        <w:rPr>
          <w:rFonts w:cs="Arial"/>
        </w:rPr>
        <w:t xml:space="preserve"> </w:t>
      </w:r>
      <w:r w:rsidRPr="00995906">
        <w:rPr>
          <w:rFonts w:cs="Arial"/>
        </w:rPr>
        <w:t>Ref</w:t>
      </w:r>
      <w:r w:rsidRPr="00995906">
        <w:rPr>
          <w:rFonts w:cs="Arial"/>
        </w:rPr>
        <w:t>e</w:t>
      </w:r>
      <w:r w:rsidRPr="00995906">
        <w:rPr>
          <w:rFonts w:cs="Arial"/>
        </w:rPr>
        <w:t>renzme</w:t>
      </w:r>
      <w:r w:rsidR="005A165A">
        <w:rPr>
          <w:rFonts w:cs="Arial"/>
        </w:rPr>
        <w:t>ß</w:t>
      </w:r>
      <w:r w:rsidRPr="00995906">
        <w:rPr>
          <w:rFonts w:cs="Arial"/>
        </w:rPr>
        <w:t>verfahren (Teil C), vor;</w:t>
      </w:r>
    </w:p>
    <w:p w:rsidR="0049151F" w:rsidRPr="00995906" w:rsidRDefault="0049151F" w:rsidP="005A165A">
      <w:pPr>
        <w:pStyle w:val="GesAbsatz"/>
        <w:ind w:left="426" w:hanging="426"/>
        <w:rPr>
          <w:rFonts w:cs="Arial"/>
        </w:rPr>
      </w:pPr>
      <w:r w:rsidRPr="00995906">
        <w:rPr>
          <w:rFonts w:cs="Arial"/>
        </w:rPr>
        <w:t>-</w:t>
      </w:r>
      <w:r w:rsidR="005A165A">
        <w:rPr>
          <w:rFonts w:cs="Arial"/>
        </w:rPr>
        <w:tab/>
      </w:r>
      <w:r w:rsidRPr="00995906">
        <w:rPr>
          <w:rFonts w:cs="Arial"/>
        </w:rPr>
        <w:t>sieht in Anhang II Sonderbestimmungen für jeden einzelnen Stoff vor, mit denen die allgemeinen Bes</w:t>
      </w:r>
      <w:r w:rsidRPr="00995906">
        <w:rPr>
          <w:rFonts w:cs="Arial"/>
        </w:rPr>
        <w:t>t</w:t>
      </w:r>
      <w:r w:rsidRPr="00995906">
        <w:rPr>
          <w:rFonts w:cs="Arial"/>
        </w:rPr>
        <w:t>immungen</w:t>
      </w:r>
      <w:r w:rsidR="005A165A">
        <w:rPr>
          <w:rFonts w:cs="Arial"/>
        </w:rPr>
        <w:t xml:space="preserve"> </w:t>
      </w:r>
      <w:r w:rsidRPr="00995906">
        <w:rPr>
          <w:rFonts w:cs="Arial"/>
        </w:rPr>
        <w:t>näher ausgeführt und ergänzt werden.</w:t>
      </w:r>
    </w:p>
    <w:p w:rsidR="0049151F" w:rsidRPr="00995906" w:rsidRDefault="0049151F" w:rsidP="00995906">
      <w:pPr>
        <w:pStyle w:val="GesAbsatz"/>
        <w:rPr>
          <w:rFonts w:cs="Arial"/>
        </w:rPr>
      </w:pPr>
      <w:r w:rsidRPr="00995906">
        <w:rPr>
          <w:rFonts w:cs="Arial"/>
        </w:rPr>
        <w:t>(2) Diese Richtlinie findet auf die in Artikel 1 der Richtlinie 76/464/EWG genannten Gewässer mit Ausnahme</w:t>
      </w:r>
      <w:r w:rsidR="005A165A">
        <w:rPr>
          <w:rFonts w:cs="Arial"/>
        </w:rPr>
        <w:t xml:space="preserve"> </w:t>
      </w:r>
      <w:r w:rsidRPr="00995906">
        <w:rPr>
          <w:rFonts w:cs="Arial"/>
        </w:rPr>
        <w:t>des Grundwassers Anwendung.</w:t>
      </w:r>
    </w:p>
    <w:p w:rsidR="0049151F" w:rsidRPr="00995906" w:rsidRDefault="0049151F" w:rsidP="005A165A">
      <w:pPr>
        <w:pStyle w:val="berschrift2"/>
      </w:pPr>
      <w:bookmarkStart w:id="3" w:name="_Toc420510826"/>
      <w:r w:rsidRPr="00995906">
        <w:t>Artikel 2</w:t>
      </w:r>
      <w:bookmarkEnd w:id="3"/>
    </w:p>
    <w:p w:rsidR="0049151F" w:rsidRPr="00995906" w:rsidRDefault="0049151F" w:rsidP="00995906">
      <w:pPr>
        <w:pStyle w:val="GesAbsatz"/>
        <w:rPr>
          <w:rFonts w:cs="Arial"/>
        </w:rPr>
      </w:pPr>
      <w:r w:rsidRPr="00995906">
        <w:rPr>
          <w:rFonts w:cs="Arial"/>
        </w:rPr>
        <w:t>Im Sinne dieser Richtlinie sind</w:t>
      </w:r>
    </w:p>
    <w:p w:rsidR="0049151F" w:rsidRPr="00995906" w:rsidRDefault="0049151F" w:rsidP="00995906">
      <w:pPr>
        <w:pStyle w:val="GesAbsatz"/>
        <w:rPr>
          <w:rFonts w:cs="Arial"/>
        </w:rPr>
      </w:pPr>
      <w:r w:rsidRPr="00995906">
        <w:rPr>
          <w:rFonts w:cs="Arial"/>
        </w:rPr>
        <w:t>a)</w:t>
      </w:r>
      <w:r w:rsidR="005A165A">
        <w:rPr>
          <w:rFonts w:cs="Arial"/>
        </w:rPr>
        <w:tab/>
      </w:r>
      <w:r w:rsidRPr="00995906">
        <w:rPr>
          <w:rFonts w:cs="Arial"/>
        </w:rPr>
        <w:t>"Stoffe"</w:t>
      </w:r>
    </w:p>
    <w:p w:rsidR="0049151F" w:rsidRPr="00995906" w:rsidRDefault="005A165A" w:rsidP="00276EF4">
      <w:pPr>
        <w:pStyle w:val="GesAbsatz"/>
        <w:ind w:left="426" w:hanging="426"/>
        <w:rPr>
          <w:rFonts w:cs="Arial"/>
        </w:rPr>
      </w:pPr>
      <w:r>
        <w:rPr>
          <w:rFonts w:cs="Arial"/>
        </w:rPr>
        <w:tab/>
      </w:r>
      <w:r w:rsidR="0049151F" w:rsidRPr="00995906">
        <w:rPr>
          <w:rFonts w:cs="Arial"/>
        </w:rPr>
        <w:t>die aus den Stofffamilien und -gruppen im Sinne der Liste I im Anhang der Richtlinie 76/464/EWG</w:t>
      </w:r>
      <w:r>
        <w:rPr>
          <w:rFonts w:cs="Arial"/>
        </w:rPr>
        <w:t xml:space="preserve"> </w:t>
      </w:r>
      <w:r w:rsidR="0049151F" w:rsidRPr="00995906">
        <w:rPr>
          <w:rFonts w:cs="Arial"/>
        </w:rPr>
        <w:t>au</w:t>
      </w:r>
      <w:r w:rsidR="0049151F" w:rsidRPr="00995906">
        <w:rPr>
          <w:rFonts w:cs="Arial"/>
        </w:rPr>
        <w:t>s</w:t>
      </w:r>
      <w:r w:rsidR="0049151F" w:rsidRPr="00995906">
        <w:rPr>
          <w:rFonts w:cs="Arial"/>
        </w:rPr>
        <w:t>gewählten gefährlichen Stoffen, die in Anhang II der vorliegenden Richtlinie aufgeführt sind;</w:t>
      </w:r>
    </w:p>
    <w:p w:rsidR="0049151F" w:rsidRPr="00995906" w:rsidRDefault="0049151F" w:rsidP="00995906">
      <w:pPr>
        <w:pStyle w:val="GesAbsatz"/>
        <w:rPr>
          <w:rFonts w:cs="Arial"/>
        </w:rPr>
      </w:pPr>
      <w:r w:rsidRPr="00995906">
        <w:rPr>
          <w:rFonts w:cs="Arial"/>
        </w:rPr>
        <w:t>b)</w:t>
      </w:r>
      <w:r w:rsidR="005A165A">
        <w:rPr>
          <w:rFonts w:cs="Arial"/>
        </w:rPr>
        <w:tab/>
      </w:r>
      <w:r w:rsidRPr="00995906">
        <w:rPr>
          <w:rFonts w:cs="Arial"/>
        </w:rPr>
        <w:t>"Grenzwerte"</w:t>
      </w:r>
    </w:p>
    <w:p w:rsidR="0049151F" w:rsidRPr="00995906" w:rsidRDefault="005A165A" w:rsidP="00995906">
      <w:pPr>
        <w:pStyle w:val="GesAbsatz"/>
        <w:rPr>
          <w:rFonts w:cs="Arial"/>
        </w:rPr>
      </w:pPr>
      <w:r>
        <w:rPr>
          <w:rFonts w:cs="Arial"/>
        </w:rPr>
        <w:tab/>
      </w:r>
      <w:r w:rsidR="0049151F" w:rsidRPr="00995906">
        <w:rPr>
          <w:rFonts w:cs="Arial"/>
        </w:rPr>
        <w:t xml:space="preserve">die für die unter </w:t>
      </w:r>
      <w:proofErr w:type="gramStart"/>
      <w:r w:rsidR="0049151F" w:rsidRPr="00995906">
        <w:rPr>
          <w:rFonts w:cs="Arial"/>
        </w:rPr>
        <w:t>Buchstabe a) genannten Stoffe</w:t>
      </w:r>
      <w:proofErr w:type="gramEnd"/>
      <w:r w:rsidR="0049151F" w:rsidRPr="00995906">
        <w:rPr>
          <w:rFonts w:cs="Arial"/>
        </w:rPr>
        <w:t xml:space="preserve"> festgelegten Werte in Anhang II Teil A;</w:t>
      </w:r>
    </w:p>
    <w:p w:rsidR="0049151F" w:rsidRPr="00995906" w:rsidRDefault="0049151F" w:rsidP="00995906">
      <w:pPr>
        <w:pStyle w:val="GesAbsatz"/>
        <w:rPr>
          <w:rFonts w:cs="Arial"/>
        </w:rPr>
      </w:pPr>
      <w:r w:rsidRPr="00995906">
        <w:rPr>
          <w:rFonts w:cs="Arial"/>
        </w:rPr>
        <w:t>c)</w:t>
      </w:r>
      <w:r w:rsidR="005A165A">
        <w:rPr>
          <w:rFonts w:cs="Arial"/>
        </w:rPr>
        <w:tab/>
      </w:r>
      <w:r w:rsidRPr="00995906">
        <w:rPr>
          <w:rFonts w:cs="Arial"/>
        </w:rPr>
        <w:t>"Qualitätsziele"</w:t>
      </w:r>
    </w:p>
    <w:p w:rsidR="0049151F" w:rsidRPr="00995906" w:rsidRDefault="005A165A" w:rsidP="00995906">
      <w:pPr>
        <w:pStyle w:val="GesAbsatz"/>
        <w:rPr>
          <w:rFonts w:cs="Arial"/>
        </w:rPr>
      </w:pPr>
      <w:r>
        <w:rPr>
          <w:rFonts w:cs="Arial"/>
        </w:rPr>
        <w:tab/>
      </w:r>
      <w:r w:rsidR="0049151F" w:rsidRPr="00995906">
        <w:rPr>
          <w:rFonts w:cs="Arial"/>
        </w:rPr>
        <w:t xml:space="preserve">die für die unter </w:t>
      </w:r>
      <w:proofErr w:type="gramStart"/>
      <w:r w:rsidR="0049151F" w:rsidRPr="00995906">
        <w:rPr>
          <w:rFonts w:cs="Arial"/>
        </w:rPr>
        <w:t>Buchstabe a) genannten Stoffe</w:t>
      </w:r>
      <w:proofErr w:type="gramEnd"/>
      <w:r w:rsidR="0049151F" w:rsidRPr="00995906">
        <w:rPr>
          <w:rFonts w:cs="Arial"/>
        </w:rPr>
        <w:t xml:space="preserve"> festgelegten Anforderungen in Anhang II Teil B;</w:t>
      </w:r>
    </w:p>
    <w:p w:rsidR="0049151F" w:rsidRPr="00995906" w:rsidRDefault="0049151F" w:rsidP="00995906">
      <w:pPr>
        <w:pStyle w:val="GesAbsatz"/>
        <w:rPr>
          <w:rFonts w:cs="Arial"/>
        </w:rPr>
      </w:pPr>
      <w:r w:rsidRPr="00995906">
        <w:rPr>
          <w:rFonts w:cs="Arial"/>
        </w:rPr>
        <w:t>d)</w:t>
      </w:r>
      <w:r w:rsidR="005A165A">
        <w:rPr>
          <w:rFonts w:cs="Arial"/>
        </w:rPr>
        <w:tab/>
      </w:r>
      <w:r w:rsidRPr="00995906">
        <w:rPr>
          <w:rFonts w:cs="Arial"/>
        </w:rPr>
        <w:t>"Verwendung der Stoffe"</w:t>
      </w:r>
    </w:p>
    <w:p w:rsidR="0049151F" w:rsidRPr="00995906" w:rsidRDefault="005A165A" w:rsidP="00276EF4">
      <w:pPr>
        <w:pStyle w:val="GesAbsatz"/>
        <w:ind w:left="426" w:hanging="426"/>
        <w:rPr>
          <w:rFonts w:cs="Arial"/>
        </w:rPr>
      </w:pPr>
      <w:r>
        <w:rPr>
          <w:rFonts w:cs="Arial"/>
        </w:rPr>
        <w:tab/>
      </w:r>
      <w:r w:rsidR="0049151F" w:rsidRPr="00995906">
        <w:rPr>
          <w:rFonts w:cs="Arial"/>
        </w:rPr>
        <w:t>jedes industrielle Verfahren, bei dem einer oder mehrere der unter Buchstabe a) genannten Stoffe</w:t>
      </w:r>
      <w:r>
        <w:rPr>
          <w:rFonts w:cs="Arial"/>
        </w:rPr>
        <w:t xml:space="preserve"> </w:t>
      </w:r>
      <w:r w:rsidR="0049151F" w:rsidRPr="00995906">
        <w:rPr>
          <w:rFonts w:cs="Arial"/>
        </w:rPr>
        <w:t>he</w:t>
      </w:r>
      <w:r w:rsidR="0049151F" w:rsidRPr="00995906">
        <w:rPr>
          <w:rFonts w:cs="Arial"/>
        </w:rPr>
        <w:t>r</w:t>
      </w:r>
      <w:r w:rsidR="0049151F" w:rsidRPr="00995906">
        <w:rPr>
          <w:rFonts w:cs="Arial"/>
        </w:rPr>
        <w:t>gestellt, verarbeitet oder benutzt wird/werden oder jedes andere industrielle Verfahren, bei dem einer oder mehrere dieser Stoffe auftritt/auftreten;</w:t>
      </w:r>
    </w:p>
    <w:p w:rsidR="0049151F" w:rsidRPr="00995906" w:rsidRDefault="0049151F" w:rsidP="00995906">
      <w:pPr>
        <w:pStyle w:val="GesAbsatz"/>
        <w:rPr>
          <w:rFonts w:cs="Arial"/>
        </w:rPr>
      </w:pPr>
      <w:r w:rsidRPr="00995906">
        <w:rPr>
          <w:rFonts w:cs="Arial"/>
        </w:rPr>
        <w:t>e)</w:t>
      </w:r>
      <w:r w:rsidR="00276EF4">
        <w:rPr>
          <w:rFonts w:cs="Arial"/>
        </w:rPr>
        <w:tab/>
      </w:r>
      <w:r w:rsidRPr="00995906">
        <w:rPr>
          <w:rFonts w:cs="Arial"/>
        </w:rPr>
        <w:t>"Industriebetrieb"</w:t>
      </w:r>
    </w:p>
    <w:p w:rsidR="0049151F" w:rsidRPr="00995906" w:rsidRDefault="00276EF4" w:rsidP="00276EF4">
      <w:pPr>
        <w:pStyle w:val="GesAbsatz"/>
        <w:ind w:left="426" w:hanging="426"/>
        <w:rPr>
          <w:rFonts w:cs="Arial"/>
        </w:rPr>
      </w:pPr>
      <w:r>
        <w:rPr>
          <w:rFonts w:cs="Arial"/>
        </w:rPr>
        <w:tab/>
      </w:r>
      <w:r w:rsidR="0049151F" w:rsidRPr="00995906">
        <w:rPr>
          <w:rFonts w:cs="Arial"/>
        </w:rPr>
        <w:t>ein Betrieb, in dem ein oder mehrere der unter Buchstabe a) genannten Stoffe oder andere Stoffe, die</w:t>
      </w:r>
      <w:r>
        <w:rPr>
          <w:rFonts w:cs="Arial"/>
        </w:rPr>
        <w:t xml:space="preserve"> </w:t>
      </w:r>
      <w:r w:rsidR="0049151F" w:rsidRPr="00995906">
        <w:rPr>
          <w:rFonts w:cs="Arial"/>
        </w:rPr>
        <w:t>die unter Buchstabe a) genannten Stoffe enthalten, verwendet wird/werden;</w:t>
      </w:r>
    </w:p>
    <w:p w:rsidR="0049151F" w:rsidRPr="00995906" w:rsidRDefault="0049151F" w:rsidP="00995906">
      <w:pPr>
        <w:pStyle w:val="GesAbsatz"/>
        <w:rPr>
          <w:rFonts w:cs="Arial"/>
        </w:rPr>
      </w:pPr>
      <w:r w:rsidRPr="00995906">
        <w:rPr>
          <w:rFonts w:cs="Arial"/>
        </w:rPr>
        <w:t>f)</w:t>
      </w:r>
      <w:r w:rsidR="00276EF4">
        <w:rPr>
          <w:rFonts w:cs="Arial"/>
        </w:rPr>
        <w:tab/>
      </w:r>
      <w:r w:rsidRPr="00995906">
        <w:rPr>
          <w:rFonts w:cs="Arial"/>
        </w:rPr>
        <w:t>"bestehender Betrieb"</w:t>
      </w:r>
    </w:p>
    <w:p w:rsidR="0049151F" w:rsidRPr="00995906" w:rsidRDefault="00276EF4" w:rsidP="00276EF4">
      <w:pPr>
        <w:pStyle w:val="GesAbsatz"/>
        <w:ind w:left="426" w:hanging="426"/>
        <w:rPr>
          <w:rFonts w:cs="Arial"/>
        </w:rPr>
      </w:pPr>
      <w:r>
        <w:rPr>
          <w:rFonts w:cs="Arial"/>
        </w:rPr>
        <w:tab/>
      </w:r>
      <w:r w:rsidR="0049151F" w:rsidRPr="00995906">
        <w:rPr>
          <w:rFonts w:cs="Arial"/>
        </w:rPr>
        <w:t>ein Industriebetrieb, der seine Produktion spätestens zwölf Monate nach Bekanntgabe dieser Richtlinie</w:t>
      </w:r>
      <w:r>
        <w:rPr>
          <w:rFonts w:cs="Arial"/>
        </w:rPr>
        <w:t xml:space="preserve"> </w:t>
      </w:r>
      <w:r w:rsidR="0049151F" w:rsidRPr="00995906">
        <w:rPr>
          <w:rFonts w:cs="Arial"/>
        </w:rPr>
        <w:t>oder gegebenenfalls spätestens zwölf Monate nach der Bekanntgabe der Richtlinie zu ihrer Änderung,</w:t>
      </w:r>
      <w:r>
        <w:rPr>
          <w:rFonts w:cs="Arial"/>
        </w:rPr>
        <w:t xml:space="preserve"> </w:t>
      </w:r>
      <w:r w:rsidR="0049151F" w:rsidRPr="00995906">
        <w:rPr>
          <w:rFonts w:cs="Arial"/>
        </w:rPr>
        <w:t>die einen solchen Betrieb betrifft, aufnimmt;</w:t>
      </w:r>
    </w:p>
    <w:p w:rsidR="0049151F" w:rsidRPr="00995906" w:rsidRDefault="0049151F" w:rsidP="00995906">
      <w:pPr>
        <w:pStyle w:val="GesAbsatz"/>
        <w:rPr>
          <w:rFonts w:cs="Arial"/>
        </w:rPr>
      </w:pPr>
      <w:r w:rsidRPr="00995906">
        <w:rPr>
          <w:rFonts w:cs="Arial"/>
        </w:rPr>
        <w:t>g)</w:t>
      </w:r>
      <w:r w:rsidR="00276EF4">
        <w:rPr>
          <w:rFonts w:cs="Arial"/>
        </w:rPr>
        <w:tab/>
      </w:r>
      <w:r w:rsidRPr="00995906">
        <w:rPr>
          <w:rFonts w:cs="Arial"/>
        </w:rPr>
        <w:t>"neuer Betrieb"</w:t>
      </w:r>
    </w:p>
    <w:p w:rsidR="0049151F" w:rsidRPr="00995906" w:rsidRDefault="00276EF4" w:rsidP="00276EF4">
      <w:pPr>
        <w:pStyle w:val="GesAbsatz"/>
        <w:ind w:left="851" w:hanging="851"/>
        <w:rPr>
          <w:rFonts w:cs="Arial"/>
        </w:rPr>
      </w:pPr>
      <w:r>
        <w:rPr>
          <w:rFonts w:cs="Arial"/>
        </w:rPr>
        <w:tab/>
      </w:r>
      <w:r w:rsidR="0049151F" w:rsidRPr="00995906">
        <w:rPr>
          <w:rFonts w:cs="Arial"/>
        </w:rPr>
        <w:t>-</w:t>
      </w:r>
      <w:r>
        <w:rPr>
          <w:rFonts w:cs="Arial"/>
        </w:rPr>
        <w:tab/>
      </w:r>
      <w:r w:rsidR="0049151F" w:rsidRPr="00995906">
        <w:rPr>
          <w:rFonts w:cs="Arial"/>
        </w:rPr>
        <w:t>ein Industriebetrieb, der seine Produktion mehr als zwölf Monate nach der Bekanntgabe dieser</w:t>
      </w:r>
      <w:r>
        <w:rPr>
          <w:rFonts w:cs="Arial"/>
        </w:rPr>
        <w:t xml:space="preserve"> </w:t>
      </w:r>
      <w:r w:rsidR="0049151F" w:rsidRPr="00995906">
        <w:rPr>
          <w:rFonts w:cs="Arial"/>
        </w:rPr>
        <w:t>Richtlinie oder gegebenenfalls mehr als zwölf Monate nach der Bekanntgabe der Richtlinie zu ihrer</w:t>
      </w:r>
      <w:r>
        <w:rPr>
          <w:rFonts w:cs="Arial"/>
        </w:rPr>
        <w:t xml:space="preserve"> </w:t>
      </w:r>
      <w:r w:rsidR="0049151F" w:rsidRPr="00995906">
        <w:rPr>
          <w:rFonts w:cs="Arial"/>
        </w:rPr>
        <w:t>Änderung, die einen solchen Betrieb betrifft, aufnimmt;</w:t>
      </w:r>
    </w:p>
    <w:p w:rsidR="0049151F" w:rsidRPr="00995906" w:rsidRDefault="00276EF4" w:rsidP="00276EF4">
      <w:pPr>
        <w:pStyle w:val="GesAbsatz"/>
        <w:ind w:left="851" w:hanging="851"/>
        <w:rPr>
          <w:rFonts w:cs="Arial"/>
        </w:rPr>
      </w:pPr>
      <w:r>
        <w:rPr>
          <w:rFonts w:cs="Arial"/>
        </w:rPr>
        <w:tab/>
      </w:r>
      <w:r w:rsidR="0049151F" w:rsidRPr="00995906">
        <w:rPr>
          <w:rFonts w:cs="Arial"/>
        </w:rPr>
        <w:t>-</w:t>
      </w:r>
      <w:r>
        <w:rPr>
          <w:rFonts w:cs="Arial"/>
        </w:rPr>
        <w:tab/>
      </w:r>
      <w:r w:rsidR="0049151F" w:rsidRPr="00995906">
        <w:rPr>
          <w:rFonts w:cs="Arial"/>
        </w:rPr>
        <w:t>ein bestehender Industriebetrieb, dessen Kapazität zur Verwendung der Stoffe mehr als zwölf M</w:t>
      </w:r>
      <w:r w:rsidR="0049151F" w:rsidRPr="00995906">
        <w:rPr>
          <w:rFonts w:cs="Arial"/>
        </w:rPr>
        <w:t>o</w:t>
      </w:r>
      <w:r w:rsidR="0049151F" w:rsidRPr="00995906">
        <w:rPr>
          <w:rFonts w:cs="Arial"/>
        </w:rPr>
        <w:t>nate</w:t>
      </w:r>
      <w:r>
        <w:rPr>
          <w:rFonts w:cs="Arial"/>
        </w:rPr>
        <w:t xml:space="preserve"> </w:t>
      </w:r>
      <w:r w:rsidR="0049151F" w:rsidRPr="00995906">
        <w:rPr>
          <w:rFonts w:cs="Arial"/>
        </w:rPr>
        <w:t>nach dem Zeitpunkt der Bekanntgabe dieser Richtlinie oder gegebenenfalls mehr als zwölf</w:t>
      </w:r>
      <w:r>
        <w:rPr>
          <w:rFonts w:cs="Arial"/>
        </w:rPr>
        <w:t xml:space="preserve"> </w:t>
      </w:r>
      <w:r w:rsidR="0049151F" w:rsidRPr="00995906">
        <w:rPr>
          <w:rFonts w:cs="Arial"/>
        </w:rPr>
        <w:t>Monate nach dem Zeitpunkt der Bekanntgabe der Änderung der Richtlinie, die einen solchen B</w:t>
      </w:r>
      <w:r w:rsidR="0049151F" w:rsidRPr="00995906">
        <w:rPr>
          <w:rFonts w:cs="Arial"/>
        </w:rPr>
        <w:t>e</w:t>
      </w:r>
      <w:r w:rsidR="0049151F" w:rsidRPr="00995906">
        <w:rPr>
          <w:rFonts w:cs="Arial"/>
        </w:rPr>
        <w:t>trieb</w:t>
      </w:r>
      <w:r>
        <w:rPr>
          <w:rFonts w:cs="Arial"/>
        </w:rPr>
        <w:t xml:space="preserve"> </w:t>
      </w:r>
      <w:r w:rsidR="0049151F" w:rsidRPr="00995906">
        <w:rPr>
          <w:rFonts w:cs="Arial"/>
        </w:rPr>
        <w:t>betrifft, erheblich erhöht wird.</w:t>
      </w:r>
    </w:p>
    <w:p w:rsidR="0049151F" w:rsidRPr="00995906" w:rsidRDefault="0049151F" w:rsidP="00276EF4">
      <w:pPr>
        <w:pStyle w:val="berschrift2"/>
      </w:pPr>
      <w:bookmarkStart w:id="4" w:name="_Toc420510827"/>
      <w:r w:rsidRPr="00995906">
        <w:t>Artikel 3</w:t>
      </w:r>
      <w:bookmarkEnd w:id="4"/>
    </w:p>
    <w:p w:rsidR="0049151F" w:rsidRPr="00995906" w:rsidRDefault="0049151F" w:rsidP="00995906">
      <w:pPr>
        <w:pStyle w:val="GesAbsatz"/>
        <w:rPr>
          <w:rFonts w:cs="Arial"/>
        </w:rPr>
      </w:pPr>
      <w:r w:rsidRPr="00995906">
        <w:rPr>
          <w:rFonts w:cs="Arial"/>
        </w:rPr>
        <w:t>(1) Die Grenzwerte, die Zeitpunkte für die Einhaltung der Grenzwerte sowie das Verfahren zur Überwachung</w:t>
      </w:r>
      <w:r w:rsidR="00276EF4">
        <w:rPr>
          <w:rFonts w:cs="Arial"/>
        </w:rPr>
        <w:t xml:space="preserve"> </w:t>
      </w:r>
      <w:r w:rsidRPr="00995906">
        <w:rPr>
          <w:rFonts w:cs="Arial"/>
        </w:rPr>
        <w:t>und Kontrolle der Ableitungen sind in Teil A der Anhänge festgelegt.</w:t>
      </w:r>
    </w:p>
    <w:p w:rsidR="0049151F" w:rsidRPr="00995906" w:rsidRDefault="0049151F" w:rsidP="00995906">
      <w:pPr>
        <w:pStyle w:val="GesAbsatz"/>
        <w:rPr>
          <w:rFonts w:cs="Arial"/>
        </w:rPr>
      </w:pPr>
      <w:r w:rsidRPr="00995906">
        <w:rPr>
          <w:rFonts w:cs="Arial"/>
        </w:rPr>
        <w:t xml:space="preserve">(2) Die Grenzwerte sind normalerweise an der Stelle anwendbar, an der die Abwässer mit </w:t>
      </w:r>
      <w:proofErr w:type="gramStart"/>
      <w:r w:rsidRPr="00995906">
        <w:rPr>
          <w:rFonts w:cs="Arial"/>
        </w:rPr>
        <w:t>den</w:t>
      </w:r>
      <w:proofErr w:type="gramEnd"/>
      <w:r w:rsidRPr="00995906">
        <w:rPr>
          <w:rFonts w:cs="Arial"/>
        </w:rPr>
        <w:t xml:space="preserve"> in Artikel 2</w:t>
      </w:r>
      <w:r w:rsidR="00276EF4">
        <w:rPr>
          <w:rFonts w:cs="Arial"/>
        </w:rPr>
        <w:t xml:space="preserve"> </w:t>
      </w:r>
      <w:r w:rsidRPr="00995906">
        <w:rPr>
          <w:rFonts w:cs="Arial"/>
        </w:rPr>
        <w:t>Buchstabe a) genannten Stoffen den Industriebetrieb verlassen.</w:t>
      </w:r>
    </w:p>
    <w:p w:rsidR="0049151F" w:rsidRPr="00995906" w:rsidRDefault="0049151F" w:rsidP="00995906">
      <w:pPr>
        <w:pStyle w:val="GesAbsatz"/>
        <w:rPr>
          <w:rFonts w:cs="Arial"/>
        </w:rPr>
      </w:pPr>
      <w:r w:rsidRPr="00995906">
        <w:rPr>
          <w:rFonts w:cs="Arial"/>
        </w:rPr>
        <w:t>Wird es für notwendig erachtet, bei bestimmten Stoffen andere Stellen für die Anwendung der Grenzwerte</w:t>
      </w:r>
      <w:r w:rsidR="00276EF4">
        <w:rPr>
          <w:rFonts w:cs="Arial"/>
        </w:rPr>
        <w:t xml:space="preserve"> </w:t>
      </w:r>
      <w:r w:rsidRPr="00995906">
        <w:rPr>
          <w:rFonts w:cs="Arial"/>
        </w:rPr>
        <w:t>vorzusehen, so werden diese Stellen in Anhang II festgelegt.</w:t>
      </w:r>
    </w:p>
    <w:p w:rsidR="0049151F" w:rsidRPr="00995906" w:rsidRDefault="0049151F" w:rsidP="00995906">
      <w:pPr>
        <w:pStyle w:val="GesAbsatz"/>
        <w:rPr>
          <w:rFonts w:cs="Arial"/>
        </w:rPr>
      </w:pPr>
      <w:r w:rsidRPr="00995906">
        <w:rPr>
          <w:rFonts w:cs="Arial"/>
        </w:rPr>
        <w:t>Werden Abwässer mit diesen Stoffen außerhalb des Industriebetriebs in einer für ihre Beseitigung bestim</w:t>
      </w:r>
      <w:r w:rsidRPr="00995906">
        <w:rPr>
          <w:rFonts w:cs="Arial"/>
        </w:rPr>
        <w:t>m</w:t>
      </w:r>
      <w:r w:rsidRPr="00995906">
        <w:rPr>
          <w:rFonts w:cs="Arial"/>
        </w:rPr>
        <w:t>ten</w:t>
      </w:r>
      <w:r w:rsidR="00276EF4">
        <w:rPr>
          <w:rFonts w:cs="Arial"/>
        </w:rPr>
        <w:t xml:space="preserve"> </w:t>
      </w:r>
      <w:r w:rsidRPr="00995906">
        <w:rPr>
          <w:rFonts w:cs="Arial"/>
        </w:rPr>
        <w:t>Anlage behandelt, so kann der Mitgliedstaat zulassen, da</w:t>
      </w:r>
      <w:r w:rsidR="00276EF4">
        <w:rPr>
          <w:rFonts w:cs="Arial"/>
        </w:rPr>
        <w:t xml:space="preserve">ß </w:t>
      </w:r>
      <w:r w:rsidRPr="00995906">
        <w:rPr>
          <w:rFonts w:cs="Arial"/>
        </w:rPr>
        <w:t>die Grenzwerte an der Stelle angewandt</w:t>
      </w:r>
      <w:r w:rsidR="00276EF4">
        <w:rPr>
          <w:rFonts w:cs="Arial"/>
        </w:rPr>
        <w:t xml:space="preserve"> </w:t>
      </w:r>
      <w:r w:rsidRPr="00995906">
        <w:rPr>
          <w:rFonts w:cs="Arial"/>
        </w:rPr>
        <w:t>werden, an der die Abwässer diese Anlage verlassen.</w:t>
      </w:r>
    </w:p>
    <w:p w:rsidR="0049151F" w:rsidRPr="00995906" w:rsidRDefault="0049151F" w:rsidP="00995906">
      <w:pPr>
        <w:pStyle w:val="GesAbsatz"/>
        <w:rPr>
          <w:rFonts w:cs="Arial"/>
        </w:rPr>
      </w:pPr>
      <w:r w:rsidRPr="00995906">
        <w:rPr>
          <w:rFonts w:cs="Arial"/>
        </w:rPr>
        <w:t>(3) Die in Artikel 3 der Richtlinie 76/464/EWG vorgesehenen Genehmigungen müssen Vorschriften entha</w:t>
      </w:r>
      <w:r w:rsidRPr="00995906">
        <w:rPr>
          <w:rFonts w:cs="Arial"/>
        </w:rPr>
        <w:t>l</w:t>
      </w:r>
      <w:r w:rsidRPr="00995906">
        <w:rPr>
          <w:rFonts w:cs="Arial"/>
        </w:rPr>
        <w:t>ten,</w:t>
      </w:r>
      <w:r w:rsidR="00276EF4">
        <w:rPr>
          <w:rFonts w:cs="Arial"/>
        </w:rPr>
        <w:t xml:space="preserve"> </w:t>
      </w:r>
      <w:r w:rsidRPr="00995906">
        <w:rPr>
          <w:rFonts w:cs="Arial"/>
        </w:rPr>
        <w:t>die mindestens ebenso streng sind wie die in Teil A der Anhänge festgelegten Vorschriften, ausgeno</w:t>
      </w:r>
      <w:r w:rsidRPr="00995906">
        <w:rPr>
          <w:rFonts w:cs="Arial"/>
        </w:rPr>
        <w:t>m</w:t>
      </w:r>
      <w:r w:rsidRPr="00995906">
        <w:rPr>
          <w:rFonts w:cs="Arial"/>
        </w:rPr>
        <w:lastRenderedPageBreak/>
        <w:t>men</w:t>
      </w:r>
      <w:r w:rsidR="00276EF4">
        <w:rPr>
          <w:rFonts w:cs="Arial"/>
        </w:rPr>
        <w:t xml:space="preserve"> </w:t>
      </w:r>
      <w:r w:rsidRPr="00995906">
        <w:rPr>
          <w:rFonts w:cs="Arial"/>
        </w:rPr>
        <w:t>in den Fällen, in denen ein Mitgliedstaat auf der Grundlage von Teil B der Anhänge den Artikel 6 A</w:t>
      </w:r>
      <w:r w:rsidRPr="00995906">
        <w:rPr>
          <w:rFonts w:cs="Arial"/>
        </w:rPr>
        <w:t>b</w:t>
      </w:r>
      <w:r w:rsidRPr="00995906">
        <w:rPr>
          <w:rFonts w:cs="Arial"/>
        </w:rPr>
        <w:t>satz</w:t>
      </w:r>
      <w:r w:rsidR="00276EF4">
        <w:rPr>
          <w:rFonts w:cs="Arial"/>
        </w:rPr>
        <w:t> </w:t>
      </w:r>
      <w:r w:rsidRPr="00995906">
        <w:rPr>
          <w:rFonts w:cs="Arial"/>
        </w:rPr>
        <w:t>3 der Richtlinie 76/464/EWG erfüllt.</w:t>
      </w:r>
    </w:p>
    <w:p w:rsidR="0049151F" w:rsidRPr="00995906" w:rsidRDefault="0049151F" w:rsidP="00995906">
      <w:pPr>
        <w:pStyle w:val="GesAbsatz"/>
        <w:rPr>
          <w:rFonts w:cs="Arial"/>
        </w:rPr>
      </w:pPr>
      <w:r w:rsidRPr="00995906">
        <w:rPr>
          <w:rFonts w:cs="Arial"/>
        </w:rPr>
        <w:t>Diese Genehmigungen werden mindestens alle vier Jahre überprüft.</w:t>
      </w:r>
    </w:p>
    <w:p w:rsidR="0049151F" w:rsidRPr="00995906" w:rsidRDefault="0049151F" w:rsidP="00995906">
      <w:pPr>
        <w:pStyle w:val="GesAbsatz"/>
        <w:rPr>
          <w:rFonts w:cs="Arial"/>
        </w:rPr>
      </w:pPr>
      <w:r w:rsidRPr="00995906">
        <w:rPr>
          <w:rFonts w:cs="Arial"/>
        </w:rPr>
        <w:t>(4) Die Mitgliedstaaten dürfen unbeschadet ihrer Verpflichtungen nach den Absätzen 1, 2 und 3 sowie der</w:t>
      </w:r>
      <w:r w:rsidR="00276EF4">
        <w:rPr>
          <w:rFonts w:cs="Arial"/>
        </w:rPr>
        <w:t xml:space="preserve"> </w:t>
      </w:r>
      <w:r w:rsidRPr="00995906">
        <w:rPr>
          <w:rFonts w:cs="Arial"/>
        </w:rPr>
        <w:t>Richtlinie 76/464/EWG nur dann Genehmigungen für neue Betriebe erteilen, wenn diese Betriebe die No</w:t>
      </w:r>
      <w:r w:rsidRPr="00995906">
        <w:rPr>
          <w:rFonts w:cs="Arial"/>
        </w:rPr>
        <w:t>r</w:t>
      </w:r>
      <w:r w:rsidRPr="00995906">
        <w:rPr>
          <w:rFonts w:cs="Arial"/>
        </w:rPr>
        <w:t>men</w:t>
      </w:r>
      <w:r w:rsidR="00276EF4">
        <w:rPr>
          <w:rFonts w:cs="Arial"/>
        </w:rPr>
        <w:t xml:space="preserve"> </w:t>
      </w:r>
      <w:r w:rsidRPr="00995906">
        <w:rPr>
          <w:rFonts w:cs="Arial"/>
        </w:rPr>
        <w:t>anwenden, die den besten verfügbaren technischen Mitteln entsprechen, sofern dies erforderlich ist,</w:t>
      </w:r>
      <w:r w:rsidR="00276EF4">
        <w:rPr>
          <w:rFonts w:cs="Arial"/>
        </w:rPr>
        <w:t xml:space="preserve"> </w:t>
      </w:r>
      <w:r w:rsidRPr="00995906">
        <w:rPr>
          <w:rFonts w:cs="Arial"/>
        </w:rPr>
        <w:t>um die Verschmutzung im Sinne von Artikel 2 der genannten Richtlinie zu beseitigen oder um Wettbewerbsve</w:t>
      </w:r>
      <w:r w:rsidRPr="00995906">
        <w:rPr>
          <w:rFonts w:cs="Arial"/>
        </w:rPr>
        <w:t>r</w:t>
      </w:r>
      <w:r w:rsidRPr="00995906">
        <w:rPr>
          <w:rFonts w:cs="Arial"/>
        </w:rPr>
        <w:t>zerrungen</w:t>
      </w:r>
      <w:r w:rsidR="00276EF4">
        <w:rPr>
          <w:rFonts w:cs="Arial"/>
        </w:rPr>
        <w:t xml:space="preserve"> </w:t>
      </w:r>
      <w:r w:rsidRPr="00995906">
        <w:rPr>
          <w:rFonts w:cs="Arial"/>
        </w:rPr>
        <w:t>zu vermeiden.</w:t>
      </w:r>
    </w:p>
    <w:p w:rsidR="0049151F" w:rsidRPr="00995906" w:rsidRDefault="0049151F" w:rsidP="00995906">
      <w:pPr>
        <w:pStyle w:val="GesAbsatz"/>
        <w:rPr>
          <w:rFonts w:cs="Arial"/>
        </w:rPr>
      </w:pPr>
      <w:r w:rsidRPr="00995906">
        <w:rPr>
          <w:rFonts w:cs="Arial"/>
        </w:rPr>
        <w:t>Unabhängig von dem gewählten Verfahren legt der Mitgliedstaat, falls die geplanten Maßnahmen aus tec</w:t>
      </w:r>
      <w:r w:rsidRPr="00995906">
        <w:rPr>
          <w:rFonts w:cs="Arial"/>
        </w:rPr>
        <w:t>h</w:t>
      </w:r>
      <w:r w:rsidRPr="00995906">
        <w:rPr>
          <w:rFonts w:cs="Arial"/>
        </w:rPr>
        <w:t>nischen</w:t>
      </w:r>
      <w:r w:rsidR="00276EF4">
        <w:rPr>
          <w:rFonts w:cs="Arial"/>
        </w:rPr>
        <w:t xml:space="preserve"> </w:t>
      </w:r>
      <w:r w:rsidRPr="00995906">
        <w:rPr>
          <w:rFonts w:cs="Arial"/>
        </w:rPr>
        <w:t>Gründen nicht den besten verfügbaren technischen Mitteln entsprechen, der Kommission vor jeder</w:t>
      </w:r>
      <w:r w:rsidR="00276EF4">
        <w:rPr>
          <w:rFonts w:cs="Arial"/>
        </w:rPr>
        <w:t xml:space="preserve"> </w:t>
      </w:r>
      <w:r w:rsidRPr="00995906">
        <w:rPr>
          <w:rFonts w:cs="Arial"/>
        </w:rPr>
        <w:t>Genehmigung diese Gründe dar.</w:t>
      </w:r>
    </w:p>
    <w:p w:rsidR="0049151F" w:rsidRPr="00995906" w:rsidRDefault="0049151F" w:rsidP="00995906">
      <w:pPr>
        <w:pStyle w:val="GesAbsatz"/>
        <w:rPr>
          <w:rFonts w:cs="Arial"/>
        </w:rPr>
      </w:pPr>
      <w:r w:rsidRPr="00995906">
        <w:rPr>
          <w:rFonts w:cs="Arial"/>
        </w:rPr>
        <w:t>Die Kommission übermittelt den anderen Mitgliedstaaten unverzüglich diese Gründe und leitet allen Mi</w:t>
      </w:r>
      <w:r w:rsidRPr="00995906">
        <w:rPr>
          <w:rFonts w:cs="Arial"/>
        </w:rPr>
        <w:t>t</w:t>
      </w:r>
      <w:r w:rsidRPr="00995906">
        <w:rPr>
          <w:rFonts w:cs="Arial"/>
        </w:rPr>
        <w:t>gliedstaaten</w:t>
      </w:r>
      <w:r w:rsidR="00276EF4">
        <w:rPr>
          <w:rFonts w:cs="Arial"/>
        </w:rPr>
        <w:t xml:space="preserve"> </w:t>
      </w:r>
      <w:r w:rsidRPr="00995906">
        <w:rPr>
          <w:rFonts w:cs="Arial"/>
        </w:rPr>
        <w:t>so bald wie möglich einen Bericht zu, in dem ihre Stellungnahme zu der in Unterabsatz 2 b</w:t>
      </w:r>
      <w:r w:rsidRPr="00995906">
        <w:rPr>
          <w:rFonts w:cs="Arial"/>
        </w:rPr>
        <w:t>e</w:t>
      </w:r>
      <w:r w:rsidRPr="00995906">
        <w:rPr>
          <w:rFonts w:cs="Arial"/>
        </w:rPr>
        <w:t>zeichneten</w:t>
      </w:r>
      <w:r w:rsidR="00276EF4">
        <w:rPr>
          <w:rFonts w:cs="Arial"/>
        </w:rPr>
        <w:t xml:space="preserve"> </w:t>
      </w:r>
      <w:r w:rsidRPr="00995906">
        <w:rPr>
          <w:rFonts w:cs="Arial"/>
        </w:rPr>
        <w:t>Ausnahmeregelung enthalten ist. Falls erforderlich, legt sie dem Rat gleichzeitig geeignete Vo</w:t>
      </w:r>
      <w:r w:rsidRPr="00995906">
        <w:rPr>
          <w:rFonts w:cs="Arial"/>
        </w:rPr>
        <w:t>r</w:t>
      </w:r>
      <w:r w:rsidRPr="00995906">
        <w:rPr>
          <w:rFonts w:cs="Arial"/>
        </w:rPr>
        <w:t>schläge</w:t>
      </w:r>
      <w:r w:rsidR="00276EF4">
        <w:rPr>
          <w:rFonts w:cs="Arial"/>
        </w:rPr>
        <w:t xml:space="preserve"> </w:t>
      </w:r>
      <w:r w:rsidRPr="00995906">
        <w:rPr>
          <w:rFonts w:cs="Arial"/>
        </w:rPr>
        <w:t>vor.</w:t>
      </w:r>
    </w:p>
    <w:p w:rsidR="0049151F" w:rsidRPr="00995906" w:rsidRDefault="0049151F" w:rsidP="00995906">
      <w:pPr>
        <w:pStyle w:val="GesAbsatz"/>
        <w:rPr>
          <w:rFonts w:cs="Arial"/>
        </w:rPr>
      </w:pPr>
      <w:r w:rsidRPr="00995906">
        <w:rPr>
          <w:rFonts w:cs="Arial"/>
        </w:rPr>
        <w:t>(5) Die Referenzanalysemethode für die Bestimmung eines der in Artikel 2 Buchstabe a) genannten Stoffe</w:t>
      </w:r>
      <w:r w:rsidR="00276EF4">
        <w:rPr>
          <w:rFonts w:cs="Arial"/>
        </w:rPr>
        <w:t xml:space="preserve"> </w:t>
      </w:r>
      <w:r w:rsidRPr="00995906">
        <w:rPr>
          <w:rFonts w:cs="Arial"/>
        </w:rPr>
        <w:t>ist in Anhang II Teil C aufgeführt. Es können andere Methoden verwendet werden, vorausgesetzt, da</w:t>
      </w:r>
      <w:r w:rsidR="00276EF4">
        <w:rPr>
          <w:rFonts w:cs="Arial"/>
        </w:rPr>
        <w:t>ß</w:t>
      </w:r>
      <w:r w:rsidRPr="00995906">
        <w:rPr>
          <w:rFonts w:cs="Arial"/>
        </w:rPr>
        <w:t xml:space="preserve"> ihre</w:t>
      </w:r>
      <w:r w:rsidR="00276EF4">
        <w:rPr>
          <w:rFonts w:cs="Arial"/>
        </w:rPr>
        <w:t xml:space="preserve"> </w:t>
      </w:r>
      <w:r w:rsidRPr="00995906">
        <w:rPr>
          <w:rFonts w:cs="Arial"/>
        </w:rPr>
        <w:t>jeweilige Erfassungsgrenze, Genauigkeit und Richtigkeit mindestens ebenso geeignet sind wie in Anhang II</w:t>
      </w:r>
      <w:r w:rsidR="00276EF4">
        <w:rPr>
          <w:rFonts w:cs="Arial"/>
        </w:rPr>
        <w:t xml:space="preserve"> </w:t>
      </w:r>
      <w:r w:rsidRPr="00995906">
        <w:rPr>
          <w:rFonts w:cs="Arial"/>
        </w:rPr>
        <w:t>Teil C festgelegt.</w:t>
      </w:r>
    </w:p>
    <w:p w:rsidR="0049151F" w:rsidRPr="00995906" w:rsidRDefault="0049151F" w:rsidP="00995906">
      <w:pPr>
        <w:pStyle w:val="GesAbsatz"/>
        <w:rPr>
          <w:rFonts w:cs="Arial"/>
        </w:rPr>
      </w:pPr>
      <w:r w:rsidRPr="00995906">
        <w:rPr>
          <w:rFonts w:cs="Arial"/>
        </w:rPr>
        <w:t>(6) Die Mitgliedstaaten stellen sicher, da</w:t>
      </w:r>
      <w:r w:rsidR="00276EF4">
        <w:rPr>
          <w:rFonts w:cs="Arial"/>
        </w:rPr>
        <w:t>ß</w:t>
      </w:r>
      <w:r w:rsidRPr="00995906">
        <w:rPr>
          <w:rFonts w:cs="Arial"/>
        </w:rPr>
        <w:t xml:space="preserve"> infolge von Maßnahmen im Vollzug dieser Richtlinie keine Erh</w:t>
      </w:r>
      <w:r w:rsidRPr="00995906">
        <w:rPr>
          <w:rFonts w:cs="Arial"/>
        </w:rPr>
        <w:t>ö</w:t>
      </w:r>
      <w:r w:rsidRPr="00995906">
        <w:rPr>
          <w:rFonts w:cs="Arial"/>
        </w:rPr>
        <w:t>hung</w:t>
      </w:r>
      <w:r w:rsidR="00276EF4">
        <w:rPr>
          <w:rFonts w:cs="Arial"/>
        </w:rPr>
        <w:t xml:space="preserve"> </w:t>
      </w:r>
      <w:r w:rsidRPr="00995906">
        <w:rPr>
          <w:rFonts w:cs="Arial"/>
        </w:rPr>
        <w:t>der Verschmutzung durch diese Stoffe in anderen Umweltbereichen, insbesondere im Boden und in</w:t>
      </w:r>
      <w:r w:rsidR="00276EF4">
        <w:rPr>
          <w:rFonts w:cs="Arial"/>
        </w:rPr>
        <w:t xml:space="preserve"> </w:t>
      </w:r>
      <w:r w:rsidRPr="00995906">
        <w:rPr>
          <w:rFonts w:cs="Arial"/>
        </w:rPr>
        <w:t>der Luft, eintritt.</w:t>
      </w:r>
    </w:p>
    <w:p w:rsidR="0049151F" w:rsidRPr="00995906" w:rsidRDefault="0049151F" w:rsidP="00276EF4">
      <w:pPr>
        <w:pStyle w:val="berschrift2"/>
      </w:pPr>
      <w:bookmarkStart w:id="5" w:name="_Toc420510828"/>
      <w:r w:rsidRPr="00995906">
        <w:t>Artikel 4</w:t>
      </w:r>
      <w:bookmarkEnd w:id="5"/>
    </w:p>
    <w:p w:rsidR="0049151F" w:rsidRPr="00995906" w:rsidRDefault="0049151F" w:rsidP="00995906">
      <w:pPr>
        <w:pStyle w:val="GesAbsatz"/>
        <w:rPr>
          <w:rFonts w:cs="Arial"/>
        </w:rPr>
      </w:pPr>
      <w:r w:rsidRPr="00995906">
        <w:rPr>
          <w:rFonts w:cs="Arial"/>
        </w:rPr>
        <w:t>Die betroffenen Mitgliedstaaten sorgen für die Überwachung der Gewässer, die von den Ableitungen aus</w:t>
      </w:r>
      <w:r w:rsidR="00276EF4">
        <w:rPr>
          <w:rFonts w:cs="Arial"/>
        </w:rPr>
        <w:t xml:space="preserve"> </w:t>
      </w:r>
      <w:r w:rsidRPr="00995906">
        <w:rPr>
          <w:rFonts w:cs="Arial"/>
        </w:rPr>
        <w:t>Industriebetrieben oder aus anderen nennenswerte</w:t>
      </w:r>
      <w:r w:rsidR="00A263B9">
        <w:rPr>
          <w:rFonts w:cs="Arial"/>
        </w:rPr>
        <w:t>n</w:t>
      </w:r>
      <w:r w:rsidRPr="00995906">
        <w:rPr>
          <w:rFonts w:cs="Arial"/>
        </w:rPr>
        <w:t xml:space="preserve"> Ableitungen produzierenden Quellen berührt werden.</w:t>
      </w:r>
    </w:p>
    <w:p w:rsidR="0049151F" w:rsidRPr="00995906" w:rsidRDefault="0049151F" w:rsidP="00995906">
      <w:pPr>
        <w:pStyle w:val="GesAbsatz"/>
        <w:rPr>
          <w:rFonts w:cs="Arial"/>
        </w:rPr>
      </w:pPr>
      <w:r w:rsidRPr="00995906">
        <w:rPr>
          <w:rFonts w:cs="Arial"/>
        </w:rPr>
        <w:t>Im Falle von Ableitungen, die die Gewässer mehrerer Mitgliedstaaten betreffen, arbeiten diese Mitgliedsta</w:t>
      </w:r>
      <w:r w:rsidRPr="00995906">
        <w:rPr>
          <w:rFonts w:cs="Arial"/>
        </w:rPr>
        <w:t>a</w:t>
      </w:r>
      <w:r w:rsidRPr="00995906">
        <w:rPr>
          <w:rFonts w:cs="Arial"/>
        </w:rPr>
        <w:t>ten</w:t>
      </w:r>
      <w:r w:rsidR="00276EF4">
        <w:rPr>
          <w:rFonts w:cs="Arial"/>
        </w:rPr>
        <w:t xml:space="preserve"> </w:t>
      </w:r>
      <w:r w:rsidRPr="00995906">
        <w:rPr>
          <w:rFonts w:cs="Arial"/>
        </w:rPr>
        <w:t>mit dem Ziel der Harmonisierung der Überwachungsverfahren zusammen.</w:t>
      </w:r>
    </w:p>
    <w:p w:rsidR="0049151F" w:rsidRPr="00995906" w:rsidRDefault="0049151F" w:rsidP="00276EF4">
      <w:pPr>
        <w:pStyle w:val="berschrift2"/>
      </w:pPr>
      <w:bookmarkStart w:id="6" w:name="_Toc420510829"/>
      <w:r w:rsidRPr="00995906">
        <w:t>Artikel 5</w:t>
      </w:r>
      <w:bookmarkEnd w:id="6"/>
    </w:p>
    <w:p w:rsidR="0049151F" w:rsidRPr="00995906" w:rsidRDefault="0049151F" w:rsidP="00995906">
      <w:pPr>
        <w:pStyle w:val="GesAbsatz"/>
        <w:rPr>
          <w:rFonts w:cs="Arial"/>
        </w:rPr>
      </w:pPr>
      <w:r w:rsidRPr="00995906">
        <w:rPr>
          <w:rFonts w:cs="Arial"/>
        </w:rPr>
        <w:t>(1) Bei den Stoffen, für die ein diesbezüglicher Hinweis in Anhang II enthalten ist, stellen die Mitgliedstaaten</w:t>
      </w:r>
      <w:r w:rsidR="00276EF4">
        <w:rPr>
          <w:rFonts w:cs="Arial"/>
        </w:rPr>
        <w:t xml:space="preserve"> </w:t>
      </w:r>
      <w:r w:rsidRPr="00995906">
        <w:rPr>
          <w:rFonts w:cs="Arial"/>
        </w:rPr>
        <w:t>Sonderprogramme auf, um die Verschmutzung zu vermeiden oder zu beseitigen, die aus Quellen (ei</w:t>
      </w:r>
      <w:r w:rsidRPr="00995906">
        <w:rPr>
          <w:rFonts w:cs="Arial"/>
        </w:rPr>
        <w:t>n</w:t>
      </w:r>
      <w:r w:rsidRPr="00995906">
        <w:rPr>
          <w:rFonts w:cs="Arial"/>
        </w:rPr>
        <w:t>schließlich</w:t>
      </w:r>
      <w:r w:rsidR="00276EF4">
        <w:rPr>
          <w:rFonts w:cs="Arial"/>
        </w:rPr>
        <w:t xml:space="preserve"> </w:t>
      </w:r>
      <w:r w:rsidRPr="00995906">
        <w:rPr>
          <w:rFonts w:cs="Arial"/>
        </w:rPr>
        <w:t>der vielfältigen und diffusen Quellen) stammen, welche in nennenswertem Umfang Ableitungen</w:t>
      </w:r>
      <w:r w:rsidR="00276EF4">
        <w:rPr>
          <w:rFonts w:cs="Arial"/>
        </w:rPr>
        <w:t xml:space="preserve"> </w:t>
      </w:r>
      <w:r w:rsidRPr="00995906">
        <w:rPr>
          <w:rFonts w:cs="Arial"/>
        </w:rPr>
        <w:t>dieser Stoffe produzieren und welche nicht der Regelung der gemeinschaftlichen Grenzwerte oder der ei</w:t>
      </w:r>
      <w:r w:rsidRPr="00995906">
        <w:rPr>
          <w:rFonts w:cs="Arial"/>
        </w:rPr>
        <w:t>n</w:t>
      </w:r>
      <w:r w:rsidRPr="00995906">
        <w:rPr>
          <w:rFonts w:cs="Arial"/>
        </w:rPr>
        <w:t>zelstaatlichen</w:t>
      </w:r>
      <w:r w:rsidR="00276EF4">
        <w:rPr>
          <w:rFonts w:cs="Arial"/>
        </w:rPr>
        <w:t xml:space="preserve"> </w:t>
      </w:r>
      <w:r w:rsidRPr="00995906">
        <w:rPr>
          <w:rFonts w:cs="Arial"/>
        </w:rPr>
        <w:t>Emissionsnormen unterliegen.</w:t>
      </w:r>
    </w:p>
    <w:p w:rsidR="0049151F" w:rsidRPr="00995906" w:rsidRDefault="0049151F" w:rsidP="00995906">
      <w:pPr>
        <w:pStyle w:val="GesAbsatz"/>
        <w:rPr>
          <w:rFonts w:cs="Arial"/>
        </w:rPr>
      </w:pPr>
      <w:r w:rsidRPr="00995906">
        <w:rPr>
          <w:rFonts w:cs="Arial"/>
        </w:rPr>
        <w:t>(2) Diese Programme umfassen insbesondere die Maßnahmen und technischen Verfahren, die am besten</w:t>
      </w:r>
      <w:r w:rsidR="00276EF4">
        <w:rPr>
          <w:rFonts w:cs="Arial"/>
        </w:rPr>
        <w:t xml:space="preserve"> </w:t>
      </w:r>
      <w:r w:rsidRPr="00995906">
        <w:rPr>
          <w:rFonts w:cs="Arial"/>
        </w:rPr>
        <w:t>geeignet sind, die Substitution, die Rückhaltung und/oder die Wiederverwertung der in Absatz 1 genannten</w:t>
      </w:r>
      <w:r w:rsidR="00276EF4">
        <w:rPr>
          <w:rFonts w:cs="Arial"/>
        </w:rPr>
        <w:t xml:space="preserve"> </w:t>
      </w:r>
      <w:r w:rsidRPr="00995906">
        <w:rPr>
          <w:rFonts w:cs="Arial"/>
        </w:rPr>
        <w:t>Stoffe zu gewährleisten.</w:t>
      </w:r>
    </w:p>
    <w:p w:rsidR="0049151F" w:rsidRPr="00995906" w:rsidRDefault="0049151F" w:rsidP="00995906">
      <w:pPr>
        <w:pStyle w:val="GesAbsatz"/>
        <w:rPr>
          <w:rFonts w:cs="Arial"/>
        </w:rPr>
      </w:pPr>
      <w:r w:rsidRPr="00995906">
        <w:rPr>
          <w:rFonts w:cs="Arial"/>
        </w:rPr>
        <w:t>(3) Die Sonderprogramme müssen spätestens fünf Jahre nach dem Zeitpunkt der Bekanntgabe der den</w:t>
      </w:r>
      <w:r w:rsidR="00276EF4">
        <w:rPr>
          <w:rFonts w:cs="Arial"/>
        </w:rPr>
        <w:t xml:space="preserve"> </w:t>
      </w:r>
      <w:r w:rsidRPr="00995906">
        <w:rPr>
          <w:rFonts w:cs="Arial"/>
        </w:rPr>
        <w:t>jeweiligen Stoff betreffenden Richtlinie in Kraft treten.</w:t>
      </w:r>
      <w:r w:rsidR="00CA15C5" w:rsidRPr="00CA15C5">
        <w:rPr>
          <w:rFonts w:cs="Arial"/>
          <w:sz w:val="16"/>
          <w:szCs w:val="16"/>
        </w:rPr>
        <w:t xml:space="preserve"> </w:t>
      </w:r>
    </w:p>
    <w:p w:rsidR="0049151F" w:rsidRPr="00995906" w:rsidRDefault="0049151F" w:rsidP="00276EF4">
      <w:pPr>
        <w:pStyle w:val="berschrift2"/>
      </w:pPr>
      <w:bookmarkStart w:id="7" w:name="_Toc420510830"/>
      <w:r w:rsidRPr="00995906">
        <w:t>Artikel 6</w:t>
      </w:r>
      <w:bookmarkEnd w:id="7"/>
    </w:p>
    <w:p w:rsidR="0049151F" w:rsidRPr="00995906" w:rsidRDefault="0049151F" w:rsidP="00995906">
      <w:pPr>
        <w:pStyle w:val="GesAbsatz"/>
        <w:rPr>
          <w:rFonts w:cs="Arial"/>
        </w:rPr>
      </w:pPr>
      <w:r w:rsidRPr="00995906">
        <w:rPr>
          <w:rFonts w:cs="Arial"/>
        </w:rPr>
        <w:t>(1) Die Mitgliedstaaten übermitteln der Kommission alle drei Jahre Angaben über die Durchführung dieser</w:t>
      </w:r>
      <w:r w:rsidR="00276EF4">
        <w:rPr>
          <w:rFonts w:cs="Arial"/>
        </w:rPr>
        <w:t xml:space="preserve"> </w:t>
      </w:r>
      <w:r w:rsidRPr="00995906">
        <w:rPr>
          <w:rFonts w:cs="Arial"/>
        </w:rPr>
        <w:t>Richtlinie im Rahmen eines sektoralen Berichts, der auch die anderen einschlägigen Gemeinschaftsrichtl</w:t>
      </w:r>
      <w:r w:rsidRPr="00995906">
        <w:rPr>
          <w:rFonts w:cs="Arial"/>
        </w:rPr>
        <w:t>i</w:t>
      </w:r>
      <w:r w:rsidRPr="00995906">
        <w:rPr>
          <w:rFonts w:cs="Arial"/>
        </w:rPr>
        <w:t>nien</w:t>
      </w:r>
      <w:r w:rsidR="00276EF4">
        <w:rPr>
          <w:rFonts w:cs="Arial"/>
        </w:rPr>
        <w:t xml:space="preserve"> </w:t>
      </w:r>
      <w:r w:rsidRPr="00995906">
        <w:rPr>
          <w:rFonts w:cs="Arial"/>
        </w:rPr>
        <w:t>erfa</w:t>
      </w:r>
      <w:r w:rsidR="00276EF4">
        <w:rPr>
          <w:rFonts w:cs="Arial"/>
        </w:rPr>
        <w:t>ß</w:t>
      </w:r>
      <w:r w:rsidRPr="00995906">
        <w:rPr>
          <w:rFonts w:cs="Arial"/>
        </w:rPr>
        <w:t>t. Der Bericht ist anhand eines von der Kommission nach dem Verfahren des Artikels 6 der Richtl</w:t>
      </w:r>
      <w:r w:rsidRPr="00995906">
        <w:rPr>
          <w:rFonts w:cs="Arial"/>
        </w:rPr>
        <w:t>i</w:t>
      </w:r>
      <w:r w:rsidRPr="00995906">
        <w:rPr>
          <w:rFonts w:cs="Arial"/>
        </w:rPr>
        <w:t>nie</w:t>
      </w:r>
      <w:r w:rsidR="00D0265F">
        <w:rPr>
          <w:rFonts w:cs="Arial"/>
        </w:rPr>
        <w:t> </w:t>
      </w:r>
      <w:r w:rsidRPr="00995906">
        <w:rPr>
          <w:rFonts w:cs="Arial"/>
        </w:rPr>
        <w:t>91/692/EWG</w:t>
      </w:r>
      <w:r w:rsidR="00CA15C5">
        <w:rPr>
          <w:rStyle w:val="Funotenzeichen"/>
          <w:rFonts w:cs="Arial"/>
        </w:rPr>
        <w:footnoteReference w:id="6"/>
      </w:r>
      <w:r w:rsidR="00276EF4">
        <w:rPr>
          <w:rFonts w:cs="Arial"/>
        </w:rPr>
        <w:t xml:space="preserve"> </w:t>
      </w:r>
      <w:r w:rsidRPr="00995906">
        <w:rPr>
          <w:rFonts w:cs="Arial"/>
        </w:rPr>
        <w:t>ausgearbeiteten Fragebogens oder Schemas zu erstellen. Der Fragebogen bzw.</w:t>
      </w:r>
      <w:r w:rsidR="00276EF4">
        <w:rPr>
          <w:rFonts w:cs="Arial"/>
        </w:rPr>
        <w:t xml:space="preserve"> </w:t>
      </w:r>
      <w:r w:rsidRPr="00995906">
        <w:rPr>
          <w:rFonts w:cs="Arial"/>
        </w:rPr>
        <w:t>das</w:t>
      </w:r>
      <w:r w:rsidR="00276EF4">
        <w:rPr>
          <w:rFonts w:cs="Arial"/>
        </w:rPr>
        <w:t xml:space="preserve"> </w:t>
      </w:r>
      <w:r w:rsidR="000D6BB7">
        <w:rPr>
          <w:rFonts w:cs="Arial"/>
        </w:rPr>
        <w:t>S</w:t>
      </w:r>
      <w:r w:rsidRPr="00995906">
        <w:rPr>
          <w:rFonts w:cs="Arial"/>
        </w:rPr>
        <w:t>chema</w:t>
      </w:r>
      <w:r w:rsidR="00276EF4">
        <w:rPr>
          <w:rFonts w:cs="Arial"/>
        </w:rPr>
        <w:t xml:space="preserve"> </w:t>
      </w:r>
      <w:r w:rsidRPr="00995906">
        <w:rPr>
          <w:rFonts w:cs="Arial"/>
        </w:rPr>
        <w:t>wird den Mitgliedstaaten sechs Monate vor Beginn des Berichtszeitraums übersandt. Der Bericht ist</w:t>
      </w:r>
      <w:r w:rsidR="00276EF4">
        <w:rPr>
          <w:rFonts w:cs="Arial"/>
        </w:rPr>
        <w:t xml:space="preserve"> </w:t>
      </w:r>
      <w:r w:rsidRPr="00995906">
        <w:rPr>
          <w:rFonts w:cs="Arial"/>
        </w:rPr>
        <w:t>bei der Kommission innerhalb von neun Monaten nach Ablauf des von ihm erfa</w:t>
      </w:r>
      <w:r w:rsidR="00276EF4">
        <w:rPr>
          <w:rFonts w:cs="Arial"/>
        </w:rPr>
        <w:t>ß</w:t>
      </w:r>
      <w:r w:rsidRPr="00995906">
        <w:rPr>
          <w:rFonts w:cs="Arial"/>
        </w:rPr>
        <w:t>ten Dreijahreszeitraums</w:t>
      </w:r>
      <w:r w:rsidR="00276EF4">
        <w:rPr>
          <w:rFonts w:cs="Arial"/>
        </w:rPr>
        <w:t xml:space="preserve"> </w:t>
      </w:r>
      <w:r w:rsidRPr="00995906">
        <w:rPr>
          <w:rFonts w:cs="Arial"/>
        </w:rPr>
        <w:t>einzureichen.</w:t>
      </w:r>
    </w:p>
    <w:p w:rsidR="0049151F" w:rsidRPr="00995906" w:rsidRDefault="0049151F" w:rsidP="00995906">
      <w:pPr>
        <w:pStyle w:val="GesAbsatz"/>
        <w:rPr>
          <w:rFonts w:cs="Arial"/>
        </w:rPr>
      </w:pPr>
      <w:r w:rsidRPr="00995906">
        <w:rPr>
          <w:rFonts w:cs="Arial"/>
        </w:rPr>
        <w:t>Der erste Bericht erfa</w:t>
      </w:r>
      <w:r w:rsidR="00276EF4">
        <w:rPr>
          <w:rFonts w:cs="Arial"/>
        </w:rPr>
        <w:t>ß</w:t>
      </w:r>
      <w:r w:rsidRPr="00995906">
        <w:rPr>
          <w:rFonts w:cs="Arial"/>
        </w:rPr>
        <w:t>t den Zeitraum 1993 bis 1995.</w:t>
      </w:r>
    </w:p>
    <w:p w:rsidR="0049151F" w:rsidRPr="00995906" w:rsidRDefault="0049151F" w:rsidP="00995906">
      <w:pPr>
        <w:pStyle w:val="GesAbsatz"/>
        <w:rPr>
          <w:rFonts w:cs="Arial"/>
        </w:rPr>
      </w:pPr>
      <w:r w:rsidRPr="00995906">
        <w:rPr>
          <w:rFonts w:cs="Arial"/>
        </w:rPr>
        <w:t>Die Kommission veröffentlicht innerhalb von neun Monaten nach Erhalt der einzelstaatlichen Berichte</w:t>
      </w:r>
      <w:r w:rsidR="00276EF4">
        <w:rPr>
          <w:rFonts w:cs="Arial"/>
        </w:rPr>
        <w:t xml:space="preserve"> </w:t>
      </w:r>
      <w:r w:rsidRPr="00995906">
        <w:rPr>
          <w:rFonts w:cs="Arial"/>
        </w:rPr>
        <w:t>einen Gemeinschaftsbericht über die Durchführung dieser Richtlinie.</w:t>
      </w:r>
    </w:p>
    <w:p w:rsidR="0049151F" w:rsidRPr="00995906" w:rsidRDefault="0049151F" w:rsidP="00995906">
      <w:pPr>
        <w:pStyle w:val="GesAbsatz"/>
        <w:rPr>
          <w:rFonts w:cs="Arial"/>
        </w:rPr>
      </w:pPr>
      <w:r w:rsidRPr="00995906">
        <w:rPr>
          <w:rFonts w:cs="Arial"/>
        </w:rPr>
        <w:lastRenderedPageBreak/>
        <w:t>(</w:t>
      </w:r>
      <w:r w:rsidR="003A742A">
        <w:rPr>
          <w:rFonts w:cs="Arial"/>
        </w:rPr>
        <w:t>2</w:t>
      </w:r>
      <w:r w:rsidRPr="00995906">
        <w:rPr>
          <w:rFonts w:cs="Arial"/>
        </w:rPr>
        <w:t>) Die Kommission legt dem Rat im Falle einer Änderung des wissenschaftlichen Erkenntnisstandes haup</w:t>
      </w:r>
      <w:r w:rsidRPr="00995906">
        <w:rPr>
          <w:rFonts w:cs="Arial"/>
        </w:rPr>
        <w:t>t</w:t>
      </w:r>
      <w:r w:rsidRPr="00995906">
        <w:rPr>
          <w:rFonts w:cs="Arial"/>
        </w:rPr>
        <w:t>sächlich</w:t>
      </w:r>
      <w:r w:rsidR="00276EF4">
        <w:rPr>
          <w:rFonts w:cs="Arial"/>
        </w:rPr>
        <w:t xml:space="preserve"> </w:t>
      </w:r>
      <w:r w:rsidRPr="00995906">
        <w:rPr>
          <w:rFonts w:cs="Arial"/>
        </w:rPr>
        <w:t>in bezug auf die Toxizität, Langlebigkeit und Akkumulation der in Artikel 2 Buchstabe a) genannten</w:t>
      </w:r>
      <w:r w:rsidR="00276EF4">
        <w:rPr>
          <w:rFonts w:cs="Arial"/>
        </w:rPr>
        <w:t xml:space="preserve"> </w:t>
      </w:r>
      <w:r w:rsidRPr="00995906">
        <w:rPr>
          <w:rFonts w:cs="Arial"/>
        </w:rPr>
        <w:t>Stoffe in lebenden Organismen und in Sedimenten oder im Falle einer Verbesserung der besten verfügbaren</w:t>
      </w:r>
      <w:r w:rsidR="00276EF4">
        <w:rPr>
          <w:rFonts w:cs="Arial"/>
        </w:rPr>
        <w:t xml:space="preserve"> </w:t>
      </w:r>
      <w:r w:rsidRPr="00995906">
        <w:rPr>
          <w:rFonts w:cs="Arial"/>
        </w:rPr>
        <w:t>technischen Mittel geeignete Vorschläge vor, mit denen die Grenzwerte und Qualitätsziele erforderlichenfalls</w:t>
      </w:r>
      <w:r w:rsidR="00276EF4">
        <w:rPr>
          <w:rFonts w:cs="Arial"/>
        </w:rPr>
        <w:t xml:space="preserve"> </w:t>
      </w:r>
      <w:r w:rsidRPr="00995906">
        <w:rPr>
          <w:rFonts w:cs="Arial"/>
        </w:rPr>
        <w:t>verbessert oder zusätzliche Grenzwerte und Qualitätsziele festgelegt werden sollen.</w:t>
      </w:r>
    </w:p>
    <w:p w:rsidR="0049151F" w:rsidRPr="00995906" w:rsidRDefault="0049151F" w:rsidP="00276EF4">
      <w:pPr>
        <w:pStyle w:val="berschrift2"/>
      </w:pPr>
      <w:bookmarkStart w:id="8" w:name="_Toc420510831"/>
      <w:r w:rsidRPr="00995906">
        <w:t>Artikel 7</w:t>
      </w:r>
      <w:bookmarkEnd w:id="8"/>
    </w:p>
    <w:p w:rsidR="0049151F" w:rsidRPr="00995906" w:rsidRDefault="0049151F" w:rsidP="00995906">
      <w:pPr>
        <w:pStyle w:val="GesAbsatz"/>
        <w:rPr>
          <w:rFonts w:cs="Arial"/>
        </w:rPr>
      </w:pPr>
      <w:r w:rsidRPr="00995906">
        <w:rPr>
          <w:rFonts w:cs="Arial"/>
        </w:rPr>
        <w:t>(1) Die Mitgliedstaaten treffen die erforderlichen Maßnahmen, um dieser Richtlinie vor dem 1. Januar 1988</w:t>
      </w:r>
      <w:r w:rsidR="00276EF4">
        <w:rPr>
          <w:rFonts w:cs="Arial"/>
        </w:rPr>
        <w:t xml:space="preserve"> </w:t>
      </w:r>
      <w:r w:rsidRPr="00995906">
        <w:rPr>
          <w:rFonts w:cs="Arial"/>
        </w:rPr>
        <w:t>nachzukommen. Sie setzen die Kommission unverzüglich davon in Kenntnis.</w:t>
      </w:r>
    </w:p>
    <w:p w:rsidR="0049151F" w:rsidRPr="00995906" w:rsidRDefault="0049151F" w:rsidP="00995906">
      <w:pPr>
        <w:pStyle w:val="GesAbsatz"/>
        <w:rPr>
          <w:rFonts w:cs="Arial"/>
        </w:rPr>
      </w:pPr>
      <w:r w:rsidRPr="00995906">
        <w:rPr>
          <w:rFonts w:cs="Arial"/>
        </w:rPr>
        <w:t>(2) Die Mitgliedstaaten teilen der Kommission den Wortlaut der innerstaatlichen Rechtsvorschriften, die sie</w:t>
      </w:r>
      <w:r w:rsidR="00276EF4">
        <w:rPr>
          <w:rFonts w:cs="Arial"/>
        </w:rPr>
        <w:t xml:space="preserve"> </w:t>
      </w:r>
      <w:r w:rsidRPr="00995906">
        <w:rPr>
          <w:rFonts w:cs="Arial"/>
        </w:rPr>
        <w:t>auf dem unter diese</w:t>
      </w:r>
      <w:r w:rsidR="003E4A13">
        <w:rPr>
          <w:rFonts w:cs="Arial"/>
        </w:rPr>
        <w:t>r</w:t>
      </w:r>
      <w:r w:rsidRPr="00995906">
        <w:rPr>
          <w:rFonts w:cs="Arial"/>
        </w:rPr>
        <w:t xml:space="preserve"> Richtlinie fallenden Gebiet erlassen, unverzüglich nach ihrer Annahme mit.</w:t>
      </w:r>
    </w:p>
    <w:p w:rsidR="0049151F" w:rsidRPr="00995906" w:rsidRDefault="0049151F" w:rsidP="00276EF4">
      <w:pPr>
        <w:pStyle w:val="berschrift2"/>
      </w:pPr>
      <w:bookmarkStart w:id="9" w:name="_Toc420510832"/>
      <w:r w:rsidRPr="00995906">
        <w:t>Artikel 8</w:t>
      </w:r>
      <w:bookmarkEnd w:id="9"/>
    </w:p>
    <w:p w:rsidR="0049151F" w:rsidRPr="00995906" w:rsidRDefault="0049151F" w:rsidP="00995906">
      <w:pPr>
        <w:pStyle w:val="GesAbsatz"/>
        <w:rPr>
          <w:rFonts w:cs="Arial"/>
        </w:rPr>
      </w:pPr>
      <w:r w:rsidRPr="00995906">
        <w:rPr>
          <w:rFonts w:cs="Arial"/>
        </w:rPr>
        <w:t>Diese Richtlinie ist an die Mitgliedstaaten gerichtet.</w:t>
      </w:r>
    </w:p>
    <w:p w:rsidR="0049151F" w:rsidRPr="00995906" w:rsidRDefault="00276EF4" w:rsidP="005972BF">
      <w:pPr>
        <w:pStyle w:val="berschrift2"/>
        <w:jc w:val="left"/>
      </w:pPr>
      <w:r>
        <w:br w:type="page"/>
      </w:r>
      <w:bookmarkStart w:id="10" w:name="_Toc420510833"/>
      <w:r w:rsidR="0049151F" w:rsidRPr="00995906">
        <w:lastRenderedPageBreak/>
        <w:t>A</w:t>
      </w:r>
      <w:r w:rsidR="005972BF">
        <w:t>nhang</w:t>
      </w:r>
      <w:r w:rsidR="0049151F" w:rsidRPr="00995906">
        <w:t xml:space="preserve"> I</w:t>
      </w:r>
      <w:bookmarkEnd w:id="10"/>
    </w:p>
    <w:p w:rsidR="0049151F" w:rsidRPr="005972BF" w:rsidRDefault="0049151F" w:rsidP="005972BF">
      <w:pPr>
        <w:pStyle w:val="GesAbsatz"/>
        <w:jc w:val="center"/>
        <w:rPr>
          <w:rFonts w:cs="Arial"/>
          <w:b/>
        </w:rPr>
      </w:pPr>
      <w:r w:rsidRPr="005972BF">
        <w:rPr>
          <w:rFonts w:cs="Arial"/>
          <w:b/>
        </w:rPr>
        <w:t>A</w:t>
      </w:r>
      <w:r w:rsidR="005972BF">
        <w:rPr>
          <w:rFonts w:cs="Arial"/>
          <w:b/>
        </w:rPr>
        <w:t>llgemeine</w:t>
      </w:r>
      <w:r w:rsidRPr="005972BF">
        <w:rPr>
          <w:rFonts w:cs="Arial"/>
          <w:b/>
        </w:rPr>
        <w:t xml:space="preserve"> B</w:t>
      </w:r>
      <w:r w:rsidR="005972BF">
        <w:rPr>
          <w:rFonts w:cs="Arial"/>
          <w:b/>
        </w:rPr>
        <w:t>estimmungen</w:t>
      </w:r>
    </w:p>
    <w:p w:rsidR="0049151F" w:rsidRPr="00995906" w:rsidRDefault="0049151F" w:rsidP="00995906">
      <w:pPr>
        <w:pStyle w:val="GesAbsatz"/>
        <w:rPr>
          <w:rFonts w:cs="Arial"/>
        </w:rPr>
      </w:pPr>
      <w:r w:rsidRPr="00995906">
        <w:rPr>
          <w:rFonts w:cs="Arial"/>
        </w:rPr>
        <w:t>Der vorliegende Anhang umfa</w:t>
      </w:r>
      <w:r w:rsidR="00510343">
        <w:rPr>
          <w:rFonts w:cs="Arial"/>
        </w:rPr>
        <w:t>ß</w:t>
      </w:r>
      <w:r w:rsidRPr="00995906">
        <w:rPr>
          <w:rFonts w:cs="Arial"/>
        </w:rPr>
        <w:t>t drei Teile mit allgemeinen Bestimmungen zur Anwendung auf die Stoffe:</w:t>
      </w:r>
    </w:p>
    <w:p w:rsidR="0049151F" w:rsidRPr="00995906" w:rsidRDefault="0049151F" w:rsidP="00995906">
      <w:pPr>
        <w:pStyle w:val="GesAbsatz"/>
        <w:rPr>
          <w:rFonts w:cs="Arial"/>
        </w:rPr>
      </w:pPr>
      <w:r w:rsidRPr="00995906">
        <w:rPr>
          <w:rFonts w:cs="Arial"/>
        </w:rPr>
        <w:t>-</w:t>
      </w:r>
      <w:r w:rsidR="00510343">
        <w:rPr>
          <w:rFonts w:cs="Arial"/>
        </w:rPr>
        <w:tab/>
      </w:r>
      <w:r w:rsidRPr="00995906">
        <w:rPr>
          <w:rFonts w:cs="Arial"/>
        </w:rPr>
        <w:t>Teil A: Grenzwerte für Emissionsnormen;</w:t>
      </w:r>
    </w:p>
    <w:p w:rsidR="0049151F" w:rsidRPr="00995906" w:rsidRDefault="0049151F" w:rsidP="00995906">
      <w:pPr>
        <w:pStyle w:val="GesAbsatz"/>
        <w:rPr>
          <w:rFonts w:cs="Arial"/>
        </w:rPr>
      </w:pPr>
      <w:r w:rsidRPr="00995906">
        <w:rPr>
          <w:rFonts w:cs="Arial"/>
        </w:rPr>
        <w:t>-</w:t>
      </w:r>
      <w:r w:rsidR="00510343">
        <w:rPr>
          <w:rFonts w:cs="Arial"/>
        </w:rPr>
        <w:tab/>
      </w:r>
      <w:r w:rsidRPr="00995906">
        <w:rPr>
          <w:rFonts w:cs="Arial"/>
        </w:rPr>
        <w:t>Teil B: Qualitätsziele;</w:t>
      </w:r>
    </w:p>
    <w:p w:rsidR="0049151F" w:rsidRPr="00995906" w:rsidRDefault="0049151F" w:rsidP="00995906">
      <w:pPr>
        <w:pStyle w:val="GesAbsatz"/>
        <w:rPr>
          <w:rFonts w:cs="Arial"/>
        </w:rPr>
      </w:pPr>
      <w:r w:rsidRPr="00995906">
        <w:rPr>
          <w:rFonts w:cs="Arial"/>
        </w:rPr>
        <w:t>-</w:t>
      </w:r>
      <w:r w:rsidR="00510343">
        <w:rPr>
          <w:rFonts w:cs="Arial"/>
        </w:rPr>
        <w:tab/>
      </w:r>
      <w:r w:rsidRPr="00995906">
        <w:rPr>
          <w:rFonts w:cs="Arial"/>
        </w:rPr>
        <w:t>Teil C: Referenzme</w:t>
      </w:r>
      <w:r w:rsidR="00510343">
        <w:rPr>
          <w:rFonts w:cs="Arial"/>
        </w:rPr>
        <w:t>ß</w:t>
      </w:r>
      <w:r w:rsidRPr="00995906">
        <w:rPr>
          <w:rFonts w:cs="Arial"/>
        </w:rPr>
        <w:t>verfahren.</w:t>
      </w:r>
    </w:p>
    <w:p w:rsidR="0049151F" w:rsidRPr="00995906" w:rsidRDefault="0049151F" w:rsidP="00995906">
      <w:pPr>
        <w:pStyle w:val="GesAbsatz"/>
        <w:rPr>
          <w:rFonts w:cs="Arial"/>
        </w:rPr>
      </w:pPr>
      <w:r w:rsidRPr="00995906">
        <w:rPr>
          <w:rFonts w:cs="Arial"/>
        </w:rPr>
        <w:t>Die allgemeinen Bestimmungen werden in Anhang II durch eine Reihe spezifischer Bestimmungen für jeden</w:t>
      </w:r>
      <w:r w:rsidR="00510343">
        <w:rPr>
          <w:rFonts w:cs="Arial"/>
        </w:rPr>
        <w:t xml:space="preserve"> </w:t>
      </w:r>
      <w:r w:rsidRPr="00995906">
        <w:rPr>
          <w:rFonts w:cs="Arial"/>
        </w:rPr>
        <w:t>einzelnen Stoff präzisiert und ergänzt.</w:t>
      </w:r>
    </w:p>
    <w:p w:rsidR="0049151F" w:rsidRPr="00510343" w:rsidRDefault="0049151F" w:rsidP="00510343">
      <w:pPr>
        <w:pStyle w:val="GesAbsatz"/>
        <w:jc w:val="center"/>
        <w:rPr>
          <w:rFonts w:cs="Arial"/>
          <w:b/>
        </w:rPr>
      </w:pPr>
      <w:r w:rsidRPr="00510343">
        <w:rPr>
          <w:rFonts w:cs="Arial"/>
          <w:b/>
        </w:rPr>
        <w:t>T</w:t>
      </w:r>
      <w:r w:rsidR="00510343">
        <w:rPr>
          <w:rFonts w:cs="Arial"/>
          <w:b/>
        </w:rPr>
        <w:t>eil</w:t>
      </w:r>
      <w:r w:rsidRPr="00510343">
        <w:rPr>
          <w:rFonts w:cs="Arial"/>
          <w:b/>
        </w:rPr>
        <w:t xml:space="preserve"> A</w:t>
      </w:r>
      <w:r w:rsidR="00510343">
        <w:rPr>
          <w:rFonts w:cs="Arial"/>
          <w:b/>
        </w:rPr>
        <w:br/>
      </w:r>
      <w:r w:rsidRPr="00510343">
        <w:rPr>
          <w:rFonts w:cs="Arial"/>
          <w:b/>
        </w:rPr>
        <w:t>Grenzwerte, Zeitpunkte für ihre Einhaltung und Verfahren zur</w:t>
      </w:r>
      <w:r w:rsidR="00510343">
        <w:rPr>
          <w:rFonts w:cs="Arial"/>
          <w:b/>
        </w:rPr>
        <w:br/>
      </w:r>
      <w:r w:rsidRPr="00510343">
        <w:rPr>
          <w:rFonts w:cs="Arial"/>
          <w:b/>
        </w:rPr>
        <w:t>Überwachung und Kontrolle der Ableitungen</w:t>
      </w:r>
    </w:p>
    <w:p w:rsidR="0049151F" w:rsidRPr="00995906" w:rsidRDefault="0049151F" w:rsidP="00510343">
      <w:pPr>
        <w:pStyle w:val="GesAbsatz"/>
        <w:ind w:left="426" w:hanging="426"/>
        <w:rPr>
          <w:rFonts w:cs="Arial"/>
        </w:rPr>
      </w:pPr>
      <w:r w:rsidRPr="00995906">
        <w:rPr>
          <w:rFonts w:cs="Arial"/>
        </w:rPr>
        <w:t>1.</w:t>
      </w:r>
      <w:r w:rsidR="00510343">
        <w:rPr>
          <w:rFonts w:cs="Arial"/>
        </w:rPr>
        <w:tab/>
      </w:r>
      <w:r w:rsidRPr="00995906">
        <w:rPr>
          <w:rFonts w:cs="Arial"/>
        </w:rPr>
        <w:t>Für die verschiedenen betroffenen Typen von Industriebetrieben sind die Grenzwerte, die Referenzd</w:t>
      </w:r>
      <w:r w:rsidRPr="00995906">
        <w:rPr>
          <w:rFonts w:cs="Arial"/>
        </w:rPr>
        <w:t>a</w:t>
      </w:r>
      <w:r w:rsidRPr="00995906">
        <w:rPr>
          <w:rFonts w:cs="Arial"/>
        </w:rPr>
        <w:t>ten</w:t>
      </w:r>
      <w:r w:rsidR="00510343">
        <w:rPr>
          <w:rFonts w:cs="Arial"/>
        </w:rPr>
        <w:t xml:space="preserve"> </w:t>
      </w:r>
      <w:r w:rsidRPr="00995906">
        <w:rPr>
          <w:rFonts w:cs="Arial"/>
        </w:rPr>
        <w:t>und die Zeitpunkte für ihre Einhaltung in Anhang II unter Teil A aufgeführt.</w:t>
      </w:r>
    </w:p>
    <w:p w:rsidR="0049151F" w:rsidRPr="00995906" w:rsidRDefault="0049151F" w:rsidP="00510343">
      <w:pPr>
        <w:pStyle w:val="GesAbsatz"/>
        <w:ind w:left="426" w:hanging="426"/>
        <w:rPr>
          <w:rFonts w:cs="Arial"/>
        </w:rPr>
      </w:pPr>
      <w:r w:rsidRPr="00995906">
        <w:rPr>
          <w:rFonts w:cs="Arial"/>
        </w:rPr>
        <w:t>2.</w:t>
      </w:r>
      <w:r w:rsidR="00510343">
        <w:rPr>
          <w:rFonts w:cs="Arial"/>
        </w:rPr>
        <w:tab/>
      </w:r>
      <w:r w:rsidRPr="00995906">
        <w:rPr>
          <w:rFonts w:cs="Arial"/>
        </w:rPr>
        <w:t>Die Mengen der abgeleiteten Stoffe werden nach der Menge der vom Industriebetrieb im gleichen</w:t>
      </w:r>
      <w:r w:rsidR="00510343">
        <w:rPr>
          <w:rFonts w:cs="Arial"/>
        </w:rPr>
        <w:t xml:space="preserve"> </w:t>
      </w:r>
      <w:r w:rsidRPr="00995906">
        <w:rPr>
          <w:rFonts w:cs="Arial"/>
        </w:rPr>
        <w:t>Zei</w:t>
      </w:r>
      <w:r w:rsidRPr="00995906">
        <w:rPr>
          <w:rFonts w:cs="Arial"/>
        </w:rPr>
        <w:t>t</w:t>
      </w:r>
      <w:r w:rsidRPr="00995906">
        <w:rPr>
          <w:rFonts w:cs="Arial"/>
        </w:rPr>
        <w:t>raum hergestellten, verarbeiteten oder benutzten Stoffe oder gemäß Artikel 6 Absatz 1 der Richtl</w:t>
      </w:r>
      <w:r w:rsidRPr="00995906">
        <w:rPr>
          <w:rFonts w:cs="Arial"/>
        </w:rPr>
        <w:t>i</w:t>
      </w:r>
      <w:r w:rsidRPr="00995906">
        <w:rPr>
          <w:rFonts w:cs="Arial"/>
        </w:rPr>
        <w:t>nie</w:t>
      </w:r>
      <w:r w:rsidR="000D6BB7">
        <w:rPr>
          <w:rFonts w:cs="Arial"/>
        </w:rPr>
        <w:t> </w:t>
      </w:r>
      <w:r w:rsidRPr="00995906">
        <w:rPr>
          <w:rFonts w:cs="Arial"/>
        </w:rPr>
        <w:t>76/464/EWG nach einem anderen für die betreffende Tätigkeit charakteristischen Parameter ausg</w:t>
      </w:r>
      <w:r w:rsidRPr="00995906">
        <w:rPr>
          <w:rFonts w:cs="Arial"/>
        </w:rPr>
        <w:t>e</w:t>
      </w:r>
      <w:r w:rsidRPr="00995906">
        <w:rPr>
          <w:rFonts w:cs="Arial"/>
        </w:rPr>
        <w:t>drückt.</w:t>
      </w:r>
    </w:p>
    <w:p w:rsidR="0049151F" w:rsidRPr="00995906" w:rsidRDefault="0049151F" w:rsidP="00510343">
      <w:pPr>
        <w:pStyle w:val="GesAbsatz"/>
        <w:ind w:left="426" w:hanging="426"/>
        <w:rPr>
          <w:rFonts w:cs="Arial"/>
        </w:rPr>
      </w:pPr>
      <w:r w:rsidRPr="00995906">
        <w:rPr>
          <w:rFonts w:cs="Arial"/>
        </w:rPr>
        <w:t>3.</w:t>
      </w:r>
      <w:r w:rsidR="00510343">
        <w:rPr>
          <w:rFonts w:cs="Arial"/>
        </w:rPr>
        <w:tab/>
      </w:r>
      <w:r w:rsidRPr="00995906">
        <w:rPr>
          <w:rFonts w:cs="Arial"/>
        </w:rPr>
        <w:t>Für die Industriebetriebe, die in Artikel 2 Buchstabe a) genannte Stoffe ableiten und in Anhang II Teil</w:t>
      </w:r>
      <w:r w:rsidR="00510343">
        <w:rPr>
          <w:rFonts w:cs="Arial"/>
        </w:rPr>
        <w:t xml:space="preserve"> </w:t>
      </w:r>
      <w:r w:rsidRPr="00995906">
        <w:rPr>
          <w:rFonts w:cs="Arial"/>
        </w:rPr>
        <w:t>A nicht erwähnt sind, werden die Grenzwerte im Bedarfsfall vom Rat später festgesetzt. In der Zwische</w:t>
      </w:r>
      <w:r w:rsidRPr="00995906">
        <w:rPr>
          <w:rFonts w:cs="Arial"/>
        </w:rPr>
        <w:t>n</w:t>
      </w:r>
      <w:r w:rsidRPr="00995906">
        <w:rPr>
          <w:rFonts w:cs="Arial"/>
        </w:rPr>
        <w:t>zeit</w:t>
      </w:r>
      <w:r w:rsidR="00510343">
        <w:rPr>
          <w:rFonts w:cs="Arial"/>
        </w:rPr>
        <w:t xml:space="preserve"> </w:t>
      </w:r>
      <w:r w:rsidRPr="00995906">
        <w:rPr>
          <w:rFonts w:cs="Arial"/>
        </w:rPr>
        <w:t>setzen die Mitgliedstaaten selbständig gemäß Richtlinie 76/464/EWG Emissionsnormen für</w:t>
      </w:r>
      <w:r w:rsidR="00510343">
        <w:rPr>
          <w:rFonts w:cs="Arial"/>
        </w:rPr>
        <w:t xml:space="preserve"> </w:t>
      </w:r>
      <w:r w:rsidRPr="00995906">
        <w:rPr>
          <w:rFonts w:cs="Arial"/>
        </w:rPr>
        <w:t>die A</w:t>
      </w:r>
      <w:r w:rsidRPr="00995906">
        <w:rPr>
          <w:rFonts w:cs="Arial"/>
        </w:rPr>
        <w:t>b</w:t>
      </w:r>
      <w:r w:rsidRPr="00995906">
        <w:rPr>
          <w:rFonts w:cs="Arial"/>
        </w:rPr>
        <w:t>leitungen dieser Stoffe fest. Diese Normen müssen den besten verfügbaren technischen Mitteln</w:t>
      </w:r>
      <w:r w:rsidR="00510343">
        <w:rPr>
          <w:rFonts w:cs="Arial"/>
        </w:rPr>
        <w:t xml:space="preserve"> </w:t>
      </w:r>
      <w:r w:rsidRPr="00995906">
        <w:rPr>
          <w:rFonts w:cs="Arial"/>
        </w:rPr>
        <w:t>en</w:t>
      </w:r>
      <w:r w:rsidRPr="00995906">
        <w:rPr>
          <w:rFonts w:cs="Arial"/>
        </w:rPr>
        <w:t>t</w:t>
      </w:r>
      <w:r w:rsidRPr="00995906">
        <w:rPr>
          <w:rFonts w:cs="Arial"/>
        </w:rPr>
        <w:t>sprechen und dürfen nicht weniger streng sein als der am besten vergleichbare Grenzwert in Anhang</w:t>
      </w:r>
      <w:r w:rsidR="00510343">
        <w:rPr>
          <w:rFonts w:cs="Arial"/>
        </w:rPr>
        <w:t xml:space="preserve"> </w:t>
      </w:r>
      <w:r w:rsidRPr="00995906">
        <w:rPr>
          <w:rFonts w:cs="Arial"/>
        </w:rPr>
        <w:t>II Teil A.</w:t>
      </w:r>
    </w:p>
    <w:p w:rsidR="0049151F" w:rsidRPr="00995906" w:rsidRDefault="0049151F" w:rsidP="005C5DCF">
      <w:pPr>
        <w:pStyle w:val="GesAbsatz"/>
        <w:ind w:left="426"/>
        <w:rPr>
          <w:rFonts w:cs="Arial"/>
        </w:rPr>
      </w:pPr>
      <w:r w:rsidRPr="00995906">
        <w:rPr>
          <w:rFonts w:cs="Arial"/>
        </w:rPr>
        <w:t>Die Bestimmungen dieses Absatzes finden auch dann Anwendung, wenn ein Industriebetrieb andere</w:t>
      </w:r>
      <w:r w:rsidR="00510343">
        <w:rPr>
          <w:rFonts w:cs="Arial"/>
        </w:rPr>
        <w:t xml:space="preserve"> </w:t>
      </w:r>
      <w:r w:rsidRPr="00995906">
        <w:rPr>
          <w:rFonts w:cs="Arial"/>
        </w:rPr>
        <w:t>Tätigkeiten als diejenigen umfa</w:t>
      </w:r>
      <w:r w:rsidR="00510343">
        <w:rPr>
          <w:rFonts w:cs="Arial"/>
        </w:rPr>
        <w:t>ß</w:t>
      </w:r>
      <w:r w:rsidRPr="00995906">
        <w:rPr>
          <w:rFonts w:cs="Arial"/>
        </w:rPr>
        <w:t>t, für die in Anhang II Teil A Grenzwerte festgesetzt wurden, und</w:t>
      </w:r>
      <w:r w:rsidR="00510343">
        <w:rPr>
          <w:rFonts w:cs="Arial"/>
        </w:rPr>
        <w:t xml:space="preserve"> </w:t>
      </w:r>
      <w:r w:rsidRPr="00995906">
        <w:rPr>
          <w:rFonts w:cs="Arial"/>
        </w:rPr>
        <w:t>wenn diese zu Ableitungen von in Artikel 2 Buchstabe a) genannten Stoffen führen können.</w:t>
      </w:r>
    </w:p>
    <w:p w:rsidR="0049151F" w:rsidRPr="00995906" w:rsidRDefault="0049151F" w:rsidP="00510343">
      <w:pPr>
        <w:pStyle w:val="GesAbsatz"/>
        <w:ind w:left="426" w:hanging="426"/>
        <w:rPr>
          <w:rFonts w:cs="Arial"/>
        </w:rPr>
      </w:pPr>
      <w:r w:rsidRPr="00995906">
        <w:rPr>
          <w:rFonts w:cs="Arial"/>
        </w:rPr>
        <w:t>4.</w:t>
      </w:r>
      <w:r w:rsidR="00510343">
        <w:rPr>
          <w:rFonts w:cs="Arial"/>
        </w:rPr>
        <w:tab/>
      </w:r>
      <w:r w:rsidRPr="00995906">
        <w:rPr>
          <w:rFonts w:cs="Arial"/>
        </w:rPr>
        <w:t>Die als Konzentration ausgedrückten Grenzwerte, die grundsätzlich nicht überschritten werden dürfen,</w:t>
      </w:r>
      <w:r w:rsidR="00510343">
        <w:rPr>
          <w:rFonts w:cs="Arial"/>
        </w:rPr>
        <w:t xml:space="preserve"> </w:t>
      </w:r>
      <w:r w:rsidRPr="00995906">
        <w:rPr>
          <w:rFonts w:cs="Arial"/>
        </w:rPr>
        <w:t>sind für die betroffenen Industriebetriebe in Anhang II Teil A aufgeführt. Auf keinen Fall dürfen die</w:t>
      </w:r>
      <w:r w:rsidR="00510343">
        <w:rPr>
          <w:rFonts w:cs="Arial"/>
        </w:rPr>
        <w:t xml:space="preserve"> </w:t>
      </w:r>
      <w:r w:rsidRPr="00995906">
        <w:rPr>
          <w:rFonts w:cs="Arial"/>
        </w:rPr>
        <w:t>als Höchstkonzentration ausgedrückten Grenzwerte - sofern es sich dabei nicht um die einzig anwendb</w:t>
      </w:r>
      <w:r w:rsidRPr="00995906">
        <w:rPr>
          <w:rFonts w:cs="Arial"/>
        </w:rPr>
        <w:t>a</w:t>
      </w:r>
      <w:r w:rsidRPr="00995906">
        <w:rPr>
          <w:rFonts w:cs="Arial"/>
        </w:rPr>
        <w:t>ren</w:t>
      </w:r>
      <w:r w:rsidR="00510343">
        <w:rPr>
          <w:rFonts w:cs="Arial"/>
        </w:rPr>
        <w:t xml:space="preserve"> </w:t>
      </w:r>
      <w:r w:rsidRPr="00995906">
        <w:rPr>
          <w:rFonts w:cs="Arial"/>
        </w:rPr>
        <w:t>Werte handelt - über den Werten liegen, die sich aus der Division der Gewichtsmengen</w:t>
      </w:r>
      <w:r w:rsidR="00510343">
        <w:rPr>
          <w:rFonts w:cs="Arial"/>
        </w:rPr>
        <w:t xml:space="preserve"> </w:t>
      </w:r>
      <w:r w:rsidRPr="00995906">
        <w:rPr>
          <w:rFonts w:cs="Arial"/>
        </w:rPr>
        <w:t>durch den Wasserbedarf je Einheit des charakteristischen Elements der verunreinigenden Tätigkeit</w:t>
      </w:r>
      <w:r w:rsidR="00510343">
        <w:rPr>
          <w:rFonts w:cs="Arial"/>
        </w:rPr>
        <w:t xml:space="preserve"> </w:t>
      </w:r>
      <w:r w:rsidRPr="00995906">
        <w:rPr>
          <w:rFonts w:cs="Arial"/>
        </w:rPr>
        <w:t>ergeben. Da jedoch die Konzentration dieser Stoffe in den Abwässern von der verwendeten Wassermenge</w:t>
      </w:r>
      <w:r w:rsidR="00510343">
        <w:rPr>
          <w:rFonts w:cs="Arial"/>
        </w:rPr>
        <w:t xml:space="preserve"> </w:t>
      </w:r>
      <w:r w:rsidRPr="00995906">
        <w:rPr>
          <w:rFonts w:cs="Arial"/>
        </w:rPr>
        <w:t>abhängt, die sich jeweils nach Verfahren und Industriebetrieb unterscheidet, müssen die in</w:t>
      </w:r>
      <w:r w:rsidR="00510343">
        <w:rPr>
          <w:rFonts w:cs="Arial"/>
        </w:rPr>
        <w:t xml:space="preserve"> </w:t>
      </w:r>
      <w:r w:rsidRPr="00995906">
        <w:rPr>
          <w:rFonts w:cs="Arial"/>
        </w:rPr>
        <w:t>Anhang II Teil A a</w:t>
      </w:r>
      <w:r w:rsidRPr="00995906">
        <w:rPr>
          <w:rFonts w:cs="Arial"/>
        </w:rPr>
        <w:t>n</w:t>
      </w:r>
      <w:r w:rsidRPr="00995906">
        <w:rPr>
          <w:rFonts w:cs="Arial"/>
        </w:rPr>
        <w:t>gegebenen Grenzwerte, die als Gewichtsmenge der abgeleiteten Stoffe im Verhältnis</w:t>
      </w:r>
      <w:r w:rsidR="00510343">
        <w:rPr>
          <w:rFonts w:cs="Arial"/>
        </w:rPr>
        <w:t xml:space="preserve"> </w:t>
      </w:r>
      <w:r w:rsidRPr="00995906">
        <w:rPr>
          <w:rFonts w:cs="Arial"/>
        </w:rPr>
        <w:t>zu den für die b</w:t>
      </w:r>
      <w:r w:rsidRPr="00995906">
        <w:rPr>
          <w:rFonts w:cs="Arial"/>
        </w:rPr>
        <w:t>e</w:t>
      </w:r>
      <w:r w:rsidRPr="00995906">
        <w:rPr>
          <w:rFonts w:cs="Arial"/>
        </w:rPr>
        <w:t>treffende Tätigkeit charakteristischen Parametern ausgedrückt sind, in jedem</w:t>
      </w:r>
      <w:r w:rsidR="00510343">
        <w:rPr>
          <w:rFonts w:cs="Arial"/>
        </w:rPr>
        <w:t xml:space="preserve"> </w:t>
      </w:r>
      <w:r w:rsidRPr="00995906">
        <w:rPr>
          <w:rFonts w:cs="Arial"/>
        </w:rPr>
        <w:t>Fall eingehalten werden.</w:t>
      </w:r>
    </w:p>
    <w:p w:rsidR="0049151F" w:rsidRPr="00995906" w:rsidRDefault="0049151F" w:rsidP="00510343">
      <w:pPr>
        <w:pStyle w:val="GesAbsatz"/>
        <w:ind w:left="426" w:hanging="426"/>
        <w:rPr>
          <w:rFonts w:cs="Arial"/>
        </w:rPr>
      </w:pPr>
      <w:r w:rsidRPr="00995906">
        <w:rPr>
          <w:rFonts w:cs="Arial"/>
        </w:rPr>
        <w:t>5.</w:t>
      </w:r>
      <w:r w:rsidR="00510343">
        <w:rPr>
          <w:rFonts w:cs="Arial"/>
        </w:rPr>
        <w:tab/>
      </w:r>
      <w:r w:rsidRPr="00995906">
        <w:rPr>
          <w:rFonts w:cs="Arial"/>
        </w:rPr>
        <w:t xml:space="preserve">Um zu überprüfen, ob die Ableitungen der in Artikel 2 </w:t>
      </w:r>
      <w:proofErr w:type="gramStart"/>
      <w:r w:rsidRPr="00995906">
        <w:rPr>
          <w:rFonts w:cs="Arial"/>
        </w:rPr>
        <w:t>Buchstabe a) genannten Stoffe</w:t>
      </w:r>
      <w:proofErr w:type="gramEnd"/>
      <w:r w:rsidRPr="00995906">
        <w:rPr>
          <w:rFonts w:cs="Arial"/>
        </w:rPr>
        <w:t xml:space="preserve"> den Emiss</w:t>
      </w:r>
      <w:r w:rsidRPr="00995906">
        <w:rPr>
          <w:rFonts w:cs="Arial"/>
        </w:rPr>
        <w:t>i</w:t>
      </w:r>
      <w:r w:rsidRPr="00995906">
        <w:rPr>
          <w:rFonts w:cs="Arial"/>
        </w:rPr>
        <w:t>onsnormen</w:t>
      </w:r>
      <w:r w:rsidR="00510343">
        <w:rPr>
          <w:rFonts w:cs="Arial"/>
        </w:rPr>
        <w:t xml:space="preserve"> </w:t>
      </w:r>
      <w:r w:rsidRPr="00995906">
        <w:rPr>
          <w:rFonts w:cs="Arial"/>
        </w:rPr>
        <w:t>genügen, mu</w:t>
      </w:r>
      <w:r w:rsidR="00510343">
        <w:rPr>
          <w:rFonts w:cs="Arial"/>
        </w:rPr>
        <w:t>ß</w:t>
      </w:r>
      <w:r w:rsidRPr="00995906">
        <w:rPr>
          <w:rFonts w:cs="Arial"/>
        </w:rPr>
        <w:t xml:space="preserve"> ein Kontrollverfahren eingeführt werden.</w:t>
      </w:r>
    </w:p>
    <w:p w:rsidR="0049151F" w:rsidRPr="00995906" w:rsidRDefault="00510343" w:rsidP="00510343">
      <w:pPr>
        <w:pStyle w:val="GesAbsatz"/>
        <w:ind w:left="426" w:hanging="426"/>
        <w:rPr>
          <w:rFonts w:cs="Arial"/>
        </w:rPr>
      </w:pPr>
      <w:r>
        <w:rPr>
          <w:rFonts w:cs="Arial"/>
        </w:rPr>
        <w:tab/>
      </w:r>
      <w:r w:rsidR="0049151F" w:rsidRPr="00995906">
        <w:rPr>
          <w:rFonts w:cs="Arial"/>
        </w:rPr>
        <w:t>Dieses Kontrollverfahren mu</w:t>
      </w:r>
      <w:r>
        <w:rPr>
          <w:rFonts w:cs="Arial"/>
        </w:rPr>
        <w:t>ß</w:t>
      </w:r>
      <w:r w:rsidR="0049151F" w:rsidRPr="00995906">
        <w:rPr>
          <w:rFonts w:cs="Arial"/>
        </w:rPr>
        <w:t xml:space="preserve"> die Entnahme und die Analyse von Proben, die Messung des Abflusses</w:t>
      </w:r>
      <w:r>
        <w:rPr>
          <w:rFonts w:cs="Arial"/>
        </w:rPr>
        <w:t xml:space="preserve"> </w:t>
      </w:r>
      <w:r w:rsidR="0049151F" w:rsidRPr="00995906">
        <w:rPr>
          <w:rFonts w:cs="Arial"/>
        </w:rPr>
        <w:t>und der Menge der verwendeten Stoffe sowie gegebenenfalls die Messung der charakteristischen</w:t>
      </w:r>
      <w:r>
        <w:rPr>
          <w:rFonts w:cs="Arial"/>
        </w:rPr>
        <w:t xml:space="preserve"> </w:t>
      </w:r>
      <w:r w:rsidR="0049151F" w:rsidRPr="00995906">
        <w:rPr>
          <w:rFonts w:cs="Arial"/>
        </w:rPr>
        <w:t>P</w:t>
      </w:r>
      <w:r w:rsidR="0049151F" w:rsidRPr="00995906">
        <w:rPr>
          <w:rFonts w:cs="Arial"/>
        </w:rPr>
        <w:t>a</w:t>
      </w:r>
      <w:r w:rsidR="0049151F" w:rsidRPr="00995906">
        <w:rPr>
          <w:rFonts w:cs="Arial"/>
        </w:rPr>
        <w:t>rameter der verunreinigenden Tätigkeit gemäß Anhang II Teil A vorsehen.</w:t>
      </w:r>
    </w:p>
    <w:p w:rsidR="0049151F" w:rsidRPr="00995906" w:rsidRDefault="00510343" w:rsidP="00510343">
      <w:pPr>
        <w:pStyle w:val="GesAbsatz"/>
        <w:ind w:left="426" w:hanging="426"/>
        <w:rPr>
          <w:rFonts w:cs="Arial"/>
        </w:rPr>
      </w:pPr>
      <w:r>
        <w:rPr>
          <w:rFonts w:cs="Arial"/>
        </w:rPr>
        <w:tab/>
      </w:r>
      <w:r w:rsidR="0049151F" w:rsidRPr="00995906">
        <w:rPr>
          <w:rFonts w:cs="Arial"/>
        </w:rPr>
        <w:t>Insbesondere kann, wenn sich die Menge der verwendeten Stoffe nicht ermitteln lä</w:t>
      </w:r>
      <w:r>
        <w:rPr>
          <w:rFonts w:cs="Arial"/>
        </w:rPr>
        <w:t>ß</w:t>
      </w:r>
      <w:r w:rsidR="0049151F" w:rsidRPr="00995906">
        <w:rPr>
          <w:rFonts w:cs="Arial"/>
        </w:rPr>
        <w:t>t, beim Kontrollve</w:t>
      </w:r>
      <w:r w:rsidR="0049151F" w:rsidRPr="00995906">
        <w:rPr>
          <w:rFonts w:cs="Arial"/>
        </w:rPr>
        <w:t>r</w:t>
      </w:r>
      <w:r w:rsidR="0049151F" w:rsidRPr="00995906">
        <w:rPr>
          <w:rFonts w:cs="Arial"/>
        </w:rPr>
        <w:t>fahren</w:t>
      </w:r>
      <w:r>
        <w:rPr>
          <w:rFonts w:cs="Arial"/>
        </w:rPr>
        <w:t xml:space="preserve"> </w:t>
      </w:r>
      <w:r w:rsidR="0049151F" w:rsidRPr="00995906">
        <w:rPr>
          <w:rFonts w:cs="Arial"/>
        </w:rPr>
        <w:t>von der Menge der Stoffe ausgegangen werden, die nach der Produktionskapazität, die der</w:t>
      </w:r>
      <w:r>
        <w:rPr>
          <w:rFonts w:cs="Arial"/>
        </w:rPr>
        <w:t xml:space="preserve"> </w:t>
      </w:r>
      <w:r w:rsidR="0049151F" w:rsidRPr="00995906">
        <w:rPr>
          <w:rFonts w:cs="Arial"/>
        </w:rPr>
        <w:t>G</w:t>
      </w:r>
      <w:r w:rsidR="0049151F" w:rsidRPr="00995906">
        <w:rPr>
          <w:rFonts w:cs="Arial"/>
        </w:rPr>
        <w:t>e</w:t>
      </w:r>
      <w:r w:rsidR="0049151F" w:rsidRPr="00995906">
        <w:rPr>
          <w:rFonts w:cs="Arial"/>
        </w:rPr>
        <w:t>nehmigung zugrunde liegt, verwendet werden kann.</w:t>
      </w:r>
    </w:p>
    <w:p w:rsidR="0049151F" w:rsidRPr="00995906" w:rsidRDefault="0049151F" w:rsidP="00510343">
      <w:pPr>
        <w:pStyle w:val="GesAbsatz"/>
        <w:ind w:left="426" w:hanging="426"/>
        <w:rPr>
          <w:rFonts w:cs="Arial"/>
        </w:rPr>
      </w:pPr>
      <w:r w:rsidRPr="00995906">
        <w:rPr>
          <w:rFonts w:cs="Arial"/>
        </w:rPr>
        <w:t>6.</w:t>
      </w:r>
      <w:r w:rsidR="00510343">
        <w:rPr>
          <w:rFonts w:cs="Arial"/>
        </w:rPr>
        <w:tab/>
      </w:r>
      <w:r w:rsidRPr="00995906">
        <w:rPr>
          <w:rFonts w:cs="Arial"/>
        </w:rPr>
        <w:t>Es wird eine repräsentative Probe der Abflüsse innerhalb eines 24-Stunden-Zeitraums entnommen.</w:t>
      </w:r>
      <w:r w:rsidR="00510343">
        <w:rPr>
          <w:rFonts w:cs="Arial"/>
        </w:rPr>
        <w:t xml:space="preserve"> </w:t>
      </w:r>
      <w:r w:rsidRPr="00995906">
        <w:rPr>
          <w:rFonts w:cs="Arial"/>
        </w:rPr>
        <w:t>Die während eines Monats abgeleitete Menge an Stoffen wird auf der Grundlage der täglich abgeleiteten</w:t>
      </w:r>
      <w:r w:rsidR="00510343">
        <w:rPr>
          <w:rFonts w:cs="Arial"/>
        </w:rPr>
        <w:t xml:space="preserve"> </w:t>
      </w:r>
      <w:r w:rsidRPr="00995906">
        <w:rPr>
          <w:rFonts w:cs="Arial"/>
        </w:rPr>
        <w:t>Stoffmenge berechnet.</w:t>
      </w:r>
    </w:p>
    <w:p w:rsidR="0049151F" w:rsidRPr="00995906" w:rsidRDefault="00510343" w:rsidP="00510343">
      <w:pPr>
        <w:pStyle w:val="GesAbsatz"/>
        <w:ind w:left="426" w:hanging="426"/>
        <w:rPr>
          <w:rFonts w:cs="Arial"/>
        </w:rPr>
      </w:pPr>
      <w:r>
        <w:rPr>
          <w:rFonts w:cs="Arial"/>
        </w:rPr>
        <w:tab/>
      </w:r>
      <w:r w:rsidR="0049151F" w:rsidRPr="00995906">
        <w:rPr>
          <w:rFonts w:cs="Arial"/>
        </w:rPr>
        <w:t>In Anhang II kann jedoch für die Ableitung bestimmter Stoffe eine Quantitätsschwelle festgesetzt we</w:t>
      </w:r>
      <w:r w:rsidR="0049151F" w:rsidRPr="00995906">
        <w:rPr>
          <w:rFonts w:cs="Arial"/>
        </w:rPr>
        <w:t>r</w:t>
      </w:r>
      <w:r w:rsidR="0049151F" w:rsidRPr="00995906">
        <w:rPr>
          <w:rFonts w:cs="Arial"/>
        </w:rPr>
        <w:t>den,</w:t>
      </w:r>
      <w:r>
        <w:rPr>
          <w:rFonts w:cs="Arial"/>
        </w:rPr>
        <w:t xml:space="preserve"> </w:t>
      </w:r>
      <w:r w:rsidR="0049151F" w:rsidRPr="00995906">
        <w:rPr>
          <w:rFonts w:cs="Arial"/>
        </w:rPr>
        <w:t>bei deren Unterschreitung von den Mitgliedstaaten ein vereinfachtes Überwachungsverfahren</w:t>
      </w:r>
      <w:r>
        <w:rPr>
          <w:rFonts w:cs="Arial"/>
        </w:rPr>
        <w:t xml:space="preserve"> </w:t>
      </w:r>
      <w:r w:rsidR="0049151F" w:rsidRPr="00995906">
        <w:rPr>
          <w:rFonts w:cs="Arial"/>
        </w:rPr>
        <w:t>a</w:t>
      </w:r>
      <w:r w:rsidR="0049151F" w:rsidRPr="00995906">
        <w:rPr>
          <w:rFonts w:cs="Arial"/>
        </w:rPr>
        <w:t>n</w:t>
      </w:r>
      <w:r w:rsidR="0049151F" w:rsidRPr="00995906">
        <w:rPr>
          <w:rFonts w:cs="Arial"/>
        </w:rPr>
        <w:t>gewandt werden kann.</w:t>
      </w:r>
    </w:p>
    <w:p w:rsidR="0049151F" w:rsidRPr="00995906" w:rsidRDefault="0049151F" w:rsidP="00510343">
      <w:pPr>
        <w:pStyle w:val="GesAbsatz"/>
        <w:ind w:left="426" w:hanging="426"/>
        <w:rPr>
          <w:rFonts w:cs="Arial"/>
        </w:rPr>
      </w:pPr>
      <w:r w:rsidRPr="00995906">
        <w:rPr>
          <w:rFonts w:cs="Arial"/>
        </w:rPr>
        <w:t>7.</w:t>
      </w:r>
      <w:r w:rsidR="00510343">
        <w:rPr>
          <w:rFonts w:cs="Arial"/>
        </w:rPr>
        <w:tab/>
      </w:r>
      <w:r w:rsidRPr="00995906">
        <w:rPr>
          <w:rFonts w:cs="Arial"/>
        </w:rPr>
        <w:t>Die unter Nummer 5 vorgesehenen Probenahmen und Abflu</w:t>
      </w:r>
      <w:r w:rsidR="00510343">
        <w:rPr>
          <w:rFonts w:cs="Arial"/>
        </w:rPr>
        <w:t>ß</w:t>
      </w:r>
      <w:r w:rsidRPr="00995906">
        <w:rPr>
          <w:rFonts w:cs="Arial"/>
        </w:rPr>
        <w:t>messungen erfolgen normalerweise an</w:t>
      </w:r>
      <w:r w:rsidR="00510343">
        <w:rPr>
          <w:rFonts w:cs="Arial"/>
        </w:rPr>
        <w:t xml:space="preserve"> </w:t>
      </w:r>
      <w:r w:rsidRPr="00995906">
        <w:rPr>
          <w:rFonts w:cs="Arial"/>
        </w:rPr>
        <w:t>der Stelle, an der gemäß Artikel 3 Absatz 2 dieser Richtlinie die Grenzwerte angewandt werden.</w:t>
      </w:r>
    </w:p>
    <w:p w:rsidR="0049151F" w:rsidRPr="00995906" w:rsidRDefault="00510343" w:rsidP="00510343">
      <w:pPr>
        <w:pStyle w:val="GesAbsatz"/>
        <w:ind w:left="426" w:hanging="426"/>
        <w:rPr>
          <w:rFonts w:cs="Arial"/>
        </w:rPr>
      </w:pPr>
      <w:r>
        <w:rPr>
          <w:rFonts w:cs="Arial"/>
        </w:rPr>
        <w:tab/>
      </w:r>
      <w:r w:rsidR="0049151F" w:rsidRPr="00995906">
        <w:rPr>
          <w:rFonts w:cs="Arial"/>
        </w:rPr>
        <w:t>Die Mitgliedstaaten können allerdings zulassen - sofern dies erforderlich ist, um zu gewährleisten,</w:t>
      </w:r>
      <w:r>
        <w:rPr>
          <w:rFonts w:cs="Arial"/>
        </w:rPr>
        <w:t xml:space="preserve"> </w:t>
      </w:r>
      <w:r w:rsidR="0049151F" w:rsidRPr="00995906">
        <w:rPr>
          <w:rFonts w:cs="Arial"/>
        </w:rPr>
        <w:t>da</w:t>
      </w:r>
      <w:r>
        <w:rPr>
          <w:rFonts w:cs="Arial"/>
        </w:rPr>
        <w:t>ß</w:t>
      </w:r>
      <w:r w:rsidR="0049151F" w:rsidRPr="00995906">
        <w:rPr>
          <w:rFonts w:cs="Arial"/>
        </w:rPr>
        <w:t xml:space="preserve"> die Maßnahmen den Erfordernissen in Teil C der Anhänge entsprechen - da</w:t>
      </w:r>
      <w:r>
        <w:rPr>
          <w:rFonts w:cs="Arial"/>
        </w:rPr>
        <w:t>ß</w:t>
      </w:r>
      <w:r w:rsidR="0049151F" w:rsidRPr="00995906">
        <w:rPr>
          <w:rFonts w:cs="Arial"/>
        </w:rPr>
        <w:t xml:space="preserve"> die betreffenden</w:t>
      </w:r>
      <w:r>
        <w:rPr>
          <w:rFonts w:cs="Arial"/>
        </w:rPr>
        <w:t xml:space="preserve"> </w:t>
      </w:r>
      <w:r w:rsidR="0049151F" w:rsidRPr="00995906">
        <w:rPr>
          <w:rFonts w:cs="Arial"/>
        </w:rPr>
        <w:t>Prob</w:t>
      </w:r>
      <w:r w:rsidR="0049151F" w:rsidRPr="00995906">
        <w:rPr>
          <w:rFonts w:cs="Arial"/>
        </w:rPr>
        <w:t>e</w:t>
      </w:r>
      <w:r w:rsidR="0049151F" w:rsidRPr="00995906">
        <w:rPr>
          <w:rFonts w:cs="Arial"/>
        </w:rPr>
        <w:lastRenderedPageBreak/>
        <w:t>nahmen und Abflu</w:t>
      </w:r>
      <w:r>
        <w:rPr>
          <w:rFonts w:cs="Arial"/>
        </w:rPr>
        <w:t>ß</w:t>
      </w:r>
      <w:r w:rsidR="0049151F" w:rsidRPr="00995906">
        <w:rPr>
          <w:rFonts w:cs="Arial"/>
        </w:rPr>
        <w:t>messungen an einer anderen, vor der Anwendungsstelle für die Grenzwerte</w:t>
      </w:r>
      <w:r>
        <w:rPr>
          <w:rFonts w:cs="Arial"/>
        </w:rPr>
        <w:t xml:space="preserve"> </w:t>
      </w:r>
      <w:r w:rsidR="0049151F" w:rsidRPr="00995906">
        <w:rPr>
          <w:rFonts w:cs="Arial"/>
        </w:rPr>
        <w:t>liege</w:t>
      </w:r>
      <w:r w:rsidR="0049151F" w:rsidRPr="00995906">
        <w:rPr>
          <w:rFonts w:cs="Arial"/>
        </w:rPr>
        <w:t>n</w:t>
      </w:r>
      <w:r w:rsidR="0049151F" w:rsidRPr="00995906">
        <w:rPr>
          <w:rFonts w:cs="Arial"/>
        </w:rPr>
        <w:t>den Stelle erfolgen; Voraussetzung hierfür ist, da</w:t>
      </w:r>
      <w:r>
        <w:rPr>
          <w:rFonts w:cs="Arial"/>
        </w:rPr>
        <w:t>ß</w:t>
      </w:r>
    </w:p>
    <w:p w:rsidR="0049151F" w:rsidRPr="00995906" w:rsidRDefault="006C74C5" w:rsidP="006C74C5">
      <w:pPr>
        <w:pStyle w:val="GesAbsatz"/>
        <w:ind w:left="851" w:hanging="851"/>
        <w:rPr>
          <w:rFonts w:cs="Arial"/>
        </w:rPr>
      </w:pPr>
      <w:r>
        <w:rPr>
          <w:rFonts w:cs="Arial"/>
        </w:rPr>
        <w:tab/>
      </w:r>
      <w:r w:rsidR="0049151F" w:rsidRPr="00995906">
        <w:rPr>
          <w:rFonts w:cs="Arial"/>
        </w:rPr>
        <w:t>-</w:t>
      </w:r>
      <w:r>
        <w:rPr>
          <w:rFonts w:cs="Arial"/>
        </w:rPr>
        <w:tab/>
      </w:r>
      <w:r w:rsidR="0049151F" w:rsidRPr="00995906">
        <w:rPr>
          <w:rFonts w:cs="Arial"/>
        </w:rPr>
        <w:t>das ganze Wasser des Betriebs, das durch den betreffenden Stoff verunreinigt werden könnte,</w:t>
      </w:r>
      <w:r>
        <w:rPr>
          <w:rFonts w:cs="Arial"/>
        </w:rPr>
        <w:t xml:space="preserve"> </w:t>
      </w:r>
      <w:r w:rsidR="0049151F" w:rsidRPr="00995906">
        <w:rPr>
          <w:rFonts w:cs="Arial"/>
        </w:rPr>
        <w:t>durch diese Messungen erfa</w:t>
      </w:r>
      <w:r>
        <w:rPr>
          <w:rFonts w:cs="Arial"/>
        </w:rPr>
        <w:t>ß</w:t>
      </w:r>
      <w:r w:rsidR="0049151F" w:rsidRPr="00995906">
        <w:rPr>
          <w:rFonts w:cs="Arial"/>
        </w:rPr>
        <w:t>t wird;</w:t>
      </w:r>
    </w:p>
    <w:p w:rsidR="0049151F" w:rsidRPr="00995906" w:rsidRDefault="006C74C5" w:rsidP="006C74C5">
      <w:pPr>
        <w:pStyle w:val="GesAbsatz"/>
        <w:ind w:left="851" w:hanging="851"/>
        <w:rPr>
          <w:rFonts w:cs="Arial"/>
        </w:rPr>
      </w:pPr>
      <w:r>
        <w:rPr>
          <w:rFonts w:cs="Arial"/>
        </w:rPr>
        <w:tab/>
      </w:r>
      <w:r w:rsidR="0049151F" w:rsidRPr="00995906">
        <w:rPr>
          <w:rFonts w:cs="Arial"/>
        </w:rPr>
        <w:t>-</w:t>
      </w:r>
      <w:r>
        <w:rPr>
          <w:rFonts w:cs="Arial"/>
        </w:rPr>
        <w:tab/>
      </w:r>
      <w:r w:rsidR="0049151F" w:rsidRPr="00995906">
        <w:rPr>
          <w:rFonts w:cs="Arial"/>
        </w:rPr>
        <w:t>regelmäßige Nachprüfungen beweisen, da</w:t>
      </w:r>
      <w:r>
        <w:rPr>
          <w:rFonts w:cs="Arial"/>
        </w:rPr>
        <w:t>ß</w:t>
      </w:r>
      <w:r w:rsidR="0049151F" w:rsidRPr="00995906">
        <w:rPr>
          <w:rFonts w:cs="Arial"/>
        </w:rPr>
        <w:t xml:space="preserve"> die Messungen tatsächlich für die an der Anwe</w:t>
      </w:r>
      <w:r w:rsidR="0049151F" w:rsidRPr="00995906">
        <w:rPr>
          <w:rFonts w:cs="Arial"/>
        </w:rPr>
        <w:t>n</w:t>
      </w:r>
      <w:r w:rsidR="0049151F" w:rsidRPr="00995906">
        <w:rPr>
          <w:rFonts w:cs="Arial"/>
        </w:rPr>
        <w:t>dungsstelle</w:t>
      </w:r>
      <w:r>
        <w:rPr>
          <w:rFonts w:cs="Arial"/>
        </w:rPr>
        <w:t xml:space="preserve"> </w:t>
      </w:r>
      <w:r w:rsidR="0049151F" w:rsidRPr="00995906">
        <w:rPr>
          <w:rFonts w:cs="Arial"/>
        </w:rPr>
        <w:t>für die Grenzwerte abgeleiteten Mengen repräsentativ sind bzw. stets über diesen li</w:t>
      </w:r>
      <w:r w:rsidR="0049151F" w:rsidRPr="00995906">
        <w:rPr>
          <w:rFonts w:cs="Arial"/>
        </w:rPr>
        <w:t>e</w:t>
      </w:r>
      <w:r w:rsidR="0049151F" w:rsidRPr="00995906">
        <w:rPr>
          <w:rFonts w:cs="Arial"/>
        </w:rPr>
        <w:t>gen.</w:t>
      </w:r>
    </w:p>
    <w:p w:rsidR="0049151F" w:rsidRPr="006C74C5" w:rsidRDefault="0049151F" w:rsidP="006C74C5">
      <w:pPr>
        <w:pStyle w:val="GesAbsatz"/>
        <w:jc w:val="center"/>
        <w:rPr>
          <w:rFonts w:cs="Arial"/>
          <w:b/>
        </w:rPr>
      </w:pPr>
      <w:r w:rsidRPr="006C74C5">
        <w:rPr>
          <w:rFonts w:cs="Arial"/>
          <w:b/>
        </w:rPr>
        <w:t>T</w:t>
      </w:r>
      <w:r w:rsidR="006C74C5">
        <w:rPr>
          <w:rFonts w:cs="Arial"/>
          <w:b/>
        </w:rPr>
        <w:t>eil</w:t>
      </w:r>
      <w:r w:rsidRPr="006C74C5">
        <w:rPr>
          <w:rFonts w:cs="Arial"/>
          <w:b/>
        </w:rPr>
        <w:t xml:space="preserve"> B</w:t>
      </w:r>
      <w:r w:rsidR="008404F8">
        <w:rPr>
          <w:rFonts w:cs="Arial"/>
          <w:b/>
        </w:rPr>
        <w:br/>
      </w:r>
      <w:r w:rsidRPr="006C74C5">
        <w:rPr>
          <w:rFonts w:cs="Arial"/>
          <w:b/>
        </w:rPr>
        <w:t>Qualitätsziele, Zeitpunkte für ihre Einhaltung und Verfahren zur</w:t>
      </w:r>
      <w:r w:rsidR="006C74C5">
        <w:rPr>
          <w:rFonts w:cs="Arial"/>
          <w:b/>
        </w:rPr>
        <w:br/>
      </w:r>
      <w:r w:rsidRPr="006C74C5">
        <w:rPr>
          <w:rFonts w:cs="Arial"/>
          <w:b/>
        </w:rPr>
        <w:t>Überwachung und Kontrolle der Qualitätsziele</w:t>
      </w:r>
    </w:p>
    <w:p w:rsidR="0049151F" w:rsidRPr="00995906" w:rsidRDefault="0049151F" w:rsidP="006C74C5">
      <w:pPr>
        <w:pStyle w:val="GesAbsatz"/>
        <w:ind w:left="426" w:hanging="426"/>
        <w:rPr>
          <w:rFonts w:cs="Arial"/>
        </w:rPr>
      </w:pPr>
      <w:r w:rsidRPr="00995906">
        <w:rPr>
          <w:rFonts w:cs="Arial"/>
        </w:rPr>
        <w:t>1.</w:t>
      </w:r>
      <w:r w:rsidR="006C74C5">
        <w:rPr>
          <w:rFonts w:cs="Arial"/>
        </w:rPr>
        <w:tab/>
      </w:r>
      <w:r w:rsidRPr="00995906">
        <w:rPr>
          <w:rFonts w:cs="Arial"/>
        </w:rPr>
        <w:t>Für die Mitgliedstaaten, welche die Ausnahmeregelung nach Artikel 6 Absatz 3 der Richtl</w:t>
      </w:r>
      <w:r w:rsidRPr="00995906">
        <w:rPr>
          <w:rFonts w:cs="Arial"/>
        </w:rPr>
        <w:t>i</w:t>
      </w:r>
      <w:r w:rsidRPr="00995906">
        <w:rPr>
          <w:rFonts w:cs="Arial"/>
        </w:rPr>
        <w:t>nie</w:t>
      </w:r>
      <w:r w:rsidR="000D6BB7">
        <w:rPr>
          <w:rFonts w:cs="Arial"/>
        </w:rPr>
        <w:t> </w:t>
      </w:r>
      <w:r w:rsidRPr="00995906">
        <w:rPr>
          <w:rFonts w:cs="Arial"/>
        </w:rPr>
        <w:t>76/464/EWG anwenden, werden die Emissionsnormen, die die Mitgliedstaaten gemäß Artikel 5 der</w:t>
      </w:r>
      <w:r w:rsidR="006C74C5">
        <w:rPr>
          <w:rFonts w:cs="Arial"/>
        </w:rPr>
        <w:t xml:space="preserve"> </w:t>
      </w:r>
      <w:r w:rsidRPr="00995906">
        <w:rPr>
          <w:rFonts w:cs="Arial"/>
        </w:rPr>
        <w:t>genannten Richtlinie aufstellen und zur Anwendung bringen müssen, so festgesetzt, da</w:t>
      </w:r>
      <w:r w:rsidR="006C74C5">
        <w:rPr>
          <w:rFonts w:cs="Arial"/>
        </w:rPr>
        <w:t>ß</w:t>
      </w:r>
      <w:r w:rsidRPr="00995906">
        <w:rPr>
          <w:rFonts w:cs="Arial"/>
        </w:rPr>
        <w:t xml:space="preserve"> das oder</w:t>
      </w:r>
      <w:r w:rsidR="006C74C5">
        <w:rPr>
          <w:rFonts w:cs="Arial"/>
        </w:rPr>
        <w:t xml:space="preserve"> </w:t>
      </w:r>
      <w:r w:rsidRPr="00995906">
        <w:rPr>
          <w:rFonts w:cs="Arial"/>
        </w:rPr>
        <w:t>die entsprechende(n) Qualitätsziel(e) unter den nach den Nummern 2 oder 3 festgesetzten Zielen in</w:t>
      </w:r>
      <w:r w:rsidR="006C74C5">
        <w:rPr>
          <w:rFonts w:cs="Arial"/>
        </w:rPr>
        <w:t xml:space="preserve"> </w:t>
      </w:r>
      <w:r w:rsidRPr="00995906">
        <w:rPr>
          <w:rFonts w:cs="Arial"/>
        </w:rPr>
        <w:t>dem Gebiet, das von den Ableitungen von Stoffen nach Artikel 2 Buchstabe a) betroffen ist, eingehalten</w:t>
      </w:r>
      <w:r w:rsidR="006C74C5">
        <w:rPr>
          <w:rFonts w:cs="Arial"/>
        </w:rPr>
        <w:t xml:space="preserve"> </w:t>
      </w:r>
      <w:r w:rsidRPr="00995906">
        <w:rPr>
          <w:rFonts w:cs="Arial"/>
        </w:rPr>
        <w:t>wird (werden). Die zuständige Behörde bezeichnet das betroffene Gebiet in jedem Einzelfall und</w:t>
      </w:r>
      <w:r w:rsidR="006C74C5">
        <w:rPr>
          <w:rFonts w:cs="Arial"/>
        </w:rPr>
        <w:t xml:space="preserve"> </w:t>
      </w:r>
      <w:r w:rsidRPr="00995906">
        <w:rPr>
          <w:rFonts w:cs="Arial"/>
        </w:rPr>
        <w:t>wählt unter den nach den Nummern 2 oder 3 festgesetzten Qualitätszielen dasjenige oder diejenigen</w:t>
      </w:r>
      <w:r w:rsidR="006C74C5">
        <w:rPr>
          <w:rFonts w:cs="Arial"/>
        </w:rPr>
        <w:t xml:space="preserve"> </w:t>
      </w:r>
      <w:r w:rsidRPr="00995906">
        <w:rPr>
          <w:rFonts w:cs="Arial"/>
        </w:rPr>
        <w:t>aus, das (die) ihr im Hinblick auf die Zweckbestimmung des betroffenen Gebiets angemessen erscheint</w:t>
      </w:r>
      <w:r w:rsidR="006C74C5">
        <w:rPr>
          <w:rFonts w:cs="Arial"/>
        </w:rPr>
        <w:t xml:space="preserve"> </w:t>
      </w:r>
      <w:r w:rsidRPr="00995906">
        <w:rPr>
          <w:rFonts w:cs="Arial"/>
        </w:rPr>
        <w:t>(erscheinen); dabei trägt sie dem Umstand Rechnung, da</w:t>
      </w:r>
      <w:r w:rsidR="006C74C5">
        <w:rPr>
          <w:rFonts w:cs="Arial"/>
        </w:rPr>
        <w:t>ß</w:t>
      </w:r>
      <w:r w:rsidRPr="00995906">
        <w:rPr>
          <w:rFonts w:cs="Arial"/>
        </w:rPr>
        <w:t xml:space="preserve"> durch diese Richtlinie jegliche</w:t>
      </w:r>
      <w:r w:rsidR="006C74C5">
        <w:rPr>
          <w:rFonts w:cs="Arial"/>
        </w:rPr>
        <w:t xml:space="preserve"> </w:t>
      </w:r>
      <w:r w:rsidRPr="00995906">
        <w:rPr>
          <w:rFonts w:cs="Arial"/>
        </w:rPr>
        <w:t>Verschmutzung beseitigt werden soll.</w:t>
      </w:r>
    </w:p>
    <w:p w:rsidR="0049151F" w:rsidRPr="00995906" w:rsidRDefault="0049151F" w:rsidP="006C74C5">
      <w:pPr>
        <w:pStyle w:val="GesAbsatz"/>
        <w:ind w:left="426" w:hanging="426"/>
        <w:rPr>
          <w:rFonts w:cs="Arial"/>
        </w:rPr>
      </w:pPr>
      <w:r w:rsidRPr="00995906">
        <w:rPr>
          <w:rFonts w:cs="Arial"/>
        </w:rPr>
        <w:t>2.</w:t>
      </w:r>
      <w:r w:rsidR="006C74C5">
        <w:rPr>
          <w:rFonts w:cs="Arial"/>
        </w:rPr>
        <w:tab/>
      </w:r>
      <w:r w:rsidRPr="00995906">
        <w:rPr>
          <w:rFonts w:cs="Arial"/>
        </w:rPr>
        <w:t>Um die Verschmutzung im Sinne der Richtlinie 76/464/EWG gemäß deren Artikel 2 zu beseitigen,</w:t>
      </w:r>
      <w:r w:rsidR="006C74C5">
        <w:rPr>
          <w:rFonts w:cs="Arial"/>
        </w:rPr>
        <w:t xml:space="preserve"> </w:t>
      </w:r>
      <w:r w:rsidRPr="00995906">
        <w:rPr>
          <w:rFonts w:cs="Arial"/>
        </w:rPr>
        <w:t>we</w:t>
      </w:r>
      <w:r w:rsidRPr="00995906">
        <w:rPr>
          <w:rFonts w:cs="Arial"/>
        </w:rPr>
        <w:t>r</w:t>
      </w:r>
      <w:r w:rsidRPr="00995906">
        <w:rPr>
          <w:rFonts w:cs="Arial"/>
        </w:rPr>
        <w:t>den in Anhang II Teil B die Qualitätsziele und die Zeitpunkte für ihre Einhaltung festgelegt.</w:t>
      </w:r>
    </w:p>
    <w:p w:rsidR="0049151F" w:rsidRPr="00995906" w:rsidRDefault="0049151F" w:rsidP="006C74C5">
      <w:pPr>
        <w:pStyle w:val="GesAbsatz"/>
        <w:ind w:left="426" w:hanging="426"/>
        <w:rPr>
          <w:rFonts w:cs="Arial"/>
        </w:rPr>
      </w:pPr>
      <w:r w:rsidRPr="00995906">
        <w:rPr>
          <w:rFonts w:cs="Arial"/>
        </w:rPr>
        <w:t>3.</w:t>
      </w:r>
      <w:r w:rsidR="006C74C5">
        <w:rPr>
          <w:rFonts w:cs="Arial"/>
        </w:rPr>
        <w:tab/>
      </w:r>
      <w:r w:rsidRPr="00995906">
        <w:rPr>
          <w:rFonts w:cs="Arial"/>
        </w:rPr>
        <w:t>Sofern in den Sonderbestimmungen in Anhang II Teil B nichts anderes vorgesehen ist, beziehen sich</w:t>
      </w:r>
      <w:r w:rsidR="006C74C5">
        <w:rPr>
          <w:rFonts w:cs="Arial"/>
        </w:rPr>
        <w:t xml:space="preserve"> </w:t>
      </w:r>
      <w:r w:rsidRPr="00995906">
        <w:rPr>
          <w:rFonts w:cs="Arial"/>
        </w:rPr>
        <w:t>sämtliche als Qualitätsziele genannten Konzentrationen auf das arithmetische Mittel der während eines</w:t>
      </w:r>
      <w:r w:rsidR="006C74C5">
        <w:rPr>
          <w:rFonts w:cs="Arial"/>
        </w:rPr>
        <w:t xml:space="preserve"> </w:t>
      </w:r>
      <w:r w:rsidRPr="00995906">
        <w:rPr>
          <w:rFonts w:cs="Arial"/>
        </w:rPr>
        <w:t>Jahres erzielten Ergebnisse.</w:t>
      </w:r>
    </w:p>
    <w:p w:rsidR="0049151F" w:rsidRPr="00995906" w:rsidRDefault="0049151F" w:rsidP="006C74C5">
      <w:pPr>
        <w:pStyle w:val="GesAbsatz"/>
        <w:ind w:left="426" w:hanging="426"/>
        <w:rPr>
          <w:rFonts w:cs="Arial"/>
        </w:rPr>
      </w:pPr>
      <w:r w:rsidRPr="00995906">
        <w:rPr>
          <w:rFonts w:cs="Arial"/>
        </w:rPr>
        <w:t>4.</w:t>
      </w:r>
      <w:r w:rsidR="006C74C5">
        <w:rPr>
          <w:rFonts w:cs="Arial"/>
        </w:rPr>
        <w:tab/>
      </w:r>
      <w:r w:rsidRPr="00995906">
        <w:rPr>
          <w:rFonts w:cs="Arial"/>
        </w:rPr>
        <w:t>Sind mehrere Qualitätsziele für die Gewässer eines Gebiets anwendbar, so mu</w:t>
      </w:r>
      <w:r w:rsidR="006C74C5">
        <w:rPr>
          <w:rFonts w:cs="Arial"/>
        </w:rPr>
        <w:t>ß</w:t>
      </w:r>
      <w:r w:rsidRPr="00995906">
        <w:rPr>
          <w:rFonts w:cs="Arial"/>
        </w:rPr>
        <w:t xml:space="preserve"> die Qualität des</w:t>
      </w:r>
      <w:r w:rsidR="006C74C5">
        <w:rPr>
          <w:rFonts w:cs="Arial"/>
        </w:rPr>
        <w:t xml:space="preserve"> </w:t>
      </w:r>
      <w:r w:rsidRPr="00995906">
        <w:rPr>
          <w:rFonts w:cs="Arial"/>
        </w:rPr>
        <w:t>Wa</w:t>
      </w:r>
      <w:r w:rsidRPr="00995906">
        <w:rPr>
          <w:rFonts w:cs="Arial"/>
        </w:rPr>
        <w:t>s</w:t>
      </w:r>
      <w:r w:rsidRPr="00995906">
        <w:rPr>
          <w:rFonts w:cs="Arial"/>
        </w:rPr>
        <w:t>sers jedem dieser Ziele entsprechen.</w:t>
      </w:r>
    </w:p>
    <w:p w:rsidR="0049151F" w:rsidRPr="00995906" w:rsidRDefault="0049151F" w:rsidP="006C74C5">
      <w:pPr>
        <w:pStyle w:val="GesAbsatz"/>
        <w:ind w:left="426" w:hanging="426"/>
        <w:rPr>
          <w:rFonts w:cs="Arial"/>
        </w:rPr>
      </w:pPr>
      <w:r w:rsidRPr="00995906">
        <w:rPr>
          <w:rFonts w:cs="Arial"/>
        </w:rPr>
        <w:t>5.</w:t>
      </w:r>
      <w:r w:rsidR="006C74C5">
        <w:rPr>
          <w:rFonts w:cs="Arial"/>
        </w:rPr>
        <w:tab/>
      </w:r>
      <w:r w:rsidRPr="00995906">
        <w:rPr>
          <w:rFonts w:cs="Arial"/>
        </w:rPr>
        <w:t>Für jede in Anwendung dieser Richtlinie erteilte Genehmigung gibt die zuständige Behörde die Vo</w:t>
      </w:r>
      <w:r w:rsidRPr="00995906">
        <w:rPr>
          <w:rFonts w:cs="Arial"/>
        </w:rPr>
        <w:t>r</w:t>
      </w:r>
      <w:r w:rsidRPr="00995906">
        <w:rPr>
          <w:rFonts w:cs="Arial"/>
        </w:rPr>
        <w:t>schriften,</w:t>
      </w:r>
      <w:r w:rsidR="006C74C5">
        <w:rPr>
          <w:rFonts w:cs="Arial"/>
        </w:rPr>
        <w:t xml:space="preserve"> </w:t>
      </w:r>
      <w:r w:rsidRPr="00995906">
        <w:rPr>
          <w:rFonts w:cs="Arial"/>
        </w:rPr>
        <w:t>die Überwachungsmodalitäten sowie die Zeitpunkte für die Einhaltung des oder der Qualität</w:t>
      </w:r>
      <w:r w:rsidRPr="00995906">
        <w:rPr>
          <w:rFonts w:cs="Arial"/>
        </w:rPr>
        <w:t>s</w:t>
      </w:r>
      <w:r w:rsidRPr="00995906">
        <w:rPr>
          <w:rFonts w:cs="Arial"/>
        </w:rPr>
        <w:t>ziele</w:t>
      </w:r>
      <w:r w:rsidR="006C74C5">
        <w:rPr>
          <w:rFonts w:cs="Arial"/>
        </w:rPr>
        <w:t xml:space="preserve"> </w:t>
      </w:r>
      <w:r w:rsidRPr="00995906">
        <w:rPr>
          <w:rFonts w:cs="Arial"/>
        </w:rPr>
        <w:t>an.</w:t>
      </w:r>
    </w:p>
    <w:p w:rsidR="0049151F" w:rsidRPr="00995906" w:rsidRDefault="0049151F" w:rsidP="006C74C5">
      <w:pPr>
        <w:pStyle w:val="GesAbsatz"/>
        <w:ind w:left="426" w:hanging="426"/>
        <w:rPr>
          <w:rFonts w:cs="Arial"/>
        </w:rPr>
      </w:pPr>
      <w:r w:rsidRPr="00995906">
        <w:rPr>
          <w:rFonts w:cs="Arial"/>
        </w:rPr>
        <w:t>6.</w:t>
      </w:r>
      <w:r w:rsidR="006C74C5">
        <w:rPr>
          <w:rFonts w:cs="Arial"/>
        </w:rPr>
        <w:tab/>
      </w:r>
      <w:r w:rsidRPr="00995906">
        <w:rPr>
          <w:rFonts w:cs="Arial"/>
        </w:rPr>
        <w:t>In Übereinstimmung mit Artikel 6 Absatz 3 der Richtlinie 76/464/EWG unterrichtet der Mitgliedstaat die</w:t>
      </w:r>
      <w:r w:rsidR="006C74C5">
        <w:rPr>
          <w:rFonts w:cs="Arial"/>
        </w:rPr>
        <w:t xml:space="preserve"> </w:t>
      </w:r>
      <w:r w:rsidRPr="00995906">
        <w:rPr>
          <w:rFonts w:cs="Arial"/>
        </w:rPr>
        <w:t>Kommission bei jedem ausgewählten und angewandten Qualitätsziel über</w:t>
      </w:r>
    </w:p>
    <w:p w:rsidR="0049151F" w:rsidRPr="00995906" w:rsidRDefault="006C74C5" w:rsidP="006C74C5">
      <w:pPr>
        <w:pStyle w:val="GesAbsatz"/>
        <w:tabs>
          <w:tab w:val="left" w:pos="851"/>
        </w:tabs>
        <w:ind w:left="426" w:hanging="426"/>
        <w:rPr>
          <w:rFonts w:cs="Arial"/>
        </w:rPr>
      </w:pPr>
      <w:r>
        <w:rPr>
          <w:rFonts w:cs="Arial"/>
        </w:rPr>
        <w:tab/>
      </w:r>
      <w:r w:rsidR="0049151F" w:rsidRPr="00995906">
        <w:rPr>
          <w:rFonts w:cs="Arial"/>
        </w:rPr>
        <w:t>-</w:t>
      </w:r>
      <w:r>
        <w:rPr>
          <w:rFonts w:cs="Arial"/>
        </w:rPr>
        <w:tab/>
      </w:r>
      <w:r w:rsidR="0049151F" w:rsidRPr="00995906">
        <w:rPr>
          <w:rFonts w:cs="Arial"/>
        </w:rPr>
        <w:t>die Ableitungsstellen und Dispersionsvorrichtungen,</w:t>
      </w:r>
    </w:p>
    <w:p w:rsidR="0049151F" w:rsidRPr="00995906" w:rsidRDefault="006C74C5" w:rsidP="006C74C5">
      <w:pPr>
        <w:pStyle w:val="GesAbsatz"/>
        <w:tabs>
          <w:tab w:val="left" w:pos="851"/>
        </w:tabs>
        <w:ind w:left="426" w:hanging="426"/>
        <w:rPr>
          <w:rFonts w:cs="Arial"/>
        </w:rPr>
      </w:pPr>
      <w:r>
        <w:rPr>
          <w:rFonts w:cs="Arial"/>
        </w:rPr>
        <w:tab/>
      </w:r>
      <w:r w:rsidR="0049151F" w:rsidRPr="00995906">
        <w:rPr>
          <w:rFonts w:cs="Arial"/>
        </w:rPr>
        <w:t>-</w:t>
      </w:r>
      <w:r>
        <w:rPr>
          <w:rFonts w:cs="Arial"/>
        </w:rPr>
        <w:tab/>
      </w:r>
      <w:r w:rsidR="0049151F" w:rsidRPr="00995906">
        <w:rPr>
          <w:rFonts w:cs="Arial"/>
        </w:rPr>
        <w:t>das geographische Gebiet, in welchem das Qualitätsziel angewandt wird,</w:t>
      </w:r>
    </w:p>
    <w:p w:rsidR="0049151F" w:rsidRPr="00995906" w:rsidRDefault="006C74C5" w:rsidP="006C74C5">
      <w:pPr>
        <w:pStyle w:val="GesAbsatz"/>
        <w:tabs>
          <w:tab w:val="left" w:pos="851"/>
        </w:tabs>
        <w:ind w:left="426" w:hanging="426"/>
        <w:rPr>
          <w:rFonts w:cs="Arial"/>
        </w:rPr>
      </w:pPr>
      <w:r>
        <w:rPr>
          <w:rFonts w:cs="Arial"/>
        </w:rPr>
        <w:tab/>
      </w:r>
      <w:r w:rsidR="0049151F" w:rsidRPr="00995906">
        <w:rPr>
          <w:rFonts w:cs="Arial"/>
        </w:rPr>
        <w:t>-</w:t>
      </w:r>
      <w:r>
        <w:rPr>
          <w:rFonts w:cs="Arial"/>
        </w:rPr>
        <w:tab/>
      </w:r>
      <w:r w:rsidR="0049151F" w:rsidRPr="00995906">
        <w:rPr>
          <w:rFonts w:cs="Arial"/>
        </w:rPr>
        <w:t>die Orte der Probenahme,</w:t>
      </w:r>
    </w:p>
    <w:p w:rsidR="0049151F" w:rsidRPr="00995906" w:rsidRDefault="006C74C5" w:rsidP="006C74C5">
      <w:pPr>
        <w:pStyle w:val="GesAbsatz"/>
        <w:tabs>
          <w:tab w:val="left" w:pos="851"/>
        </w:tabs>
        <w:ind w:left="426" w:hanging="426"/>
        <w:rPr>
          <w:rFonts w:cs="Arial"/>
        </w:rPr>
      </w:pPr>
      <w:r>
        <w:rPr>
          <w:rFonts w:cs="Arial"/>
        </w:rPr>
        <w:tab/>
      </w:r>
      <w:r w:rsidR="0049151F" w:rsidRPr="00995906">
        <w:rPr>
          <w:rFonts w:cs="Arial"/>
        </w:rPr>
        <w:t>-</w:t>
      </w:r>
      <w:r>
        <w:rPr>
          <w:rFonts w:cs="Arial"/>
        </w:rPr>
        <w:tab/>
      </w:r>
      <w:r w:rsidR="0049151F" w:rsidRPr="00995906">
        <w:rPr>
          <w:rFonts w:cs="Arial"/>
        </w:rPr>
        <w:t>die Häufigkeit der Probenahme,</w:t>
      </w:r>
    </w:p>
    <w:p w:rsidR="0049151F" w:rsidRPr="00995906" w:rsidRDefault="006C74C5" w:rsidP="006C74C5">
      <w:pPr>
        <w:pStyle w:val="GesAbsatz"/>
        <w:tabs>
          <w:tab w:val="left" w:pos="851"/>
        </w:tabs>
        <w:ind w:left="426" w:hanging="426"/>
        <w:rPr>
          <w:rFonts w:cs="Arial"/>
        </w:rPr>
      </w:pPr>
      <w:r>
        <w:rPr>
          <w:rFonts w:cs="Arial"/>
        </w:rPr>
        <w:tab/>
      </w:r>
      <w:r w:rsidR="0049151F" w:rsidRPr="00995906">
        <w:rPr>
          <w:rFonts w:cs="Arial"/>
        </w:rPr>
        <w:t>-</w:t>
      </w:r>
      <w:r>
        <w:rPr>
          <w:rFonts w:cs="Arial"/>
        </w:rPr>
        <w:tab/>
      </w:r>
      <w:r w:rsidR="0049151F" w:rsidRPr="00995906">
        <w:rPr>
          <w:rFonts w:cs="Arial"/>
        </w:rPr>
        <w:t>die Probenahme- und Meßmethoden,</w:t>
      </w:r>
    </w:p>
    <w:p w:rsidR="0049151F" w:rsidRPr="00995906" w:rsidRDefault="006C74C5" w:rsidP="006C74C5">
      <w:pPr>
        <w:pStyle w:val="GesAbsatz"/>
        <w:tabs>
          <w:tab w:val="left" w:pos="851"/>
        </w:tabs>
        <w:ind w:left="426" w:hanging="426"/>
        <w:rPr>
          <w:rFonts w:cs="Arial"/>
        </w:rPr>
      </w:pPr>
      <w:r>
        <w:rPr>
          <w:rFonts w:cs="Arial"/>
        </w:rPr>
        <w:tab/>
      </w:r>
      <w:r w:rsidR="0049151F" w:rsidRPr="00995906">
        <w:rPr>
          <w:rFonts w:cs="Arial"/>
        </w:rPr>
        <w:t>-</w:t>
      </w:r>
      <w:r>
        <w:rPr>
          <w:rFonts w:cs="Arial"/>
        </w:rPr>
        <w:tab/>
      </w:r>
      <w:r w:rsidR="0049151F" w:rsidRPr="00995906">
        <w:rPr>
          <w:rFonts w:cs="Arial"/>
        </w:rPr>
        <w:t>die Ergebnisse.</w:t>
      </w:r>
    </w:p>
    <w:p w:rsidR="0049151F" w:rsidRPr="00995906" w:rsidRDefault="0049151F" w:rsidP="006C74C5">
      <w:pPr>
        <w:pStyle w:val="GesAbsatz"/>
        <w:ind w:left="426" w:hanging="426"/>
        <w:rPr>
          <w:rFonts w:cs="Arial"/>
        </w:rPr>
      </w:pPr>
      <w:r w:rsidRPr="00995906">
        <w:rPr>
          <w:rFonts w:cs="Arial"/>
        </w:rPr>
        <w:t>7.</w:t>
      </w:r>
      <w:r w:rsidR="006C74C5">
        <w:rPr>
          <w:rFonts w:cs="Arial"/>
        </w:rPr>
        <w:tab/>
      </w:r>
      <w:r w:rsidRPr="00995906">
        <w:rPr>
          <w:rFonts w:cs="Arial"/>
        </w:rPr>
        <w:t>Die Proben müssen in hinreichender Nähe der Ableitungsstelle entnommen werden, damit sie für die</w:t>
      </w:r>
      <w:r w:rsidR="006C74C5">
        <w:rPr>
          <w:rFonts w:cs="Arial"/>
        </w:rPr>
        <w:t xml:space="preserve"> </w:t>
      </w:r>
      <w:r w:rsidRPr="00995906">
        <w:rPr>
          <w:rFonts w:cs="Arial"/>
        </w:rPr>
        <w:t>Qualität der Gewässer in dem durch die Ableitung betroffenen Gebiet repräsentativ sind; die Prob</w:t>
      </w:r>
      <w:r w:rsidRPr="00995906">
        <w:rPr>
          <w:rFonts w:cs="Arial"/>
        </w:rPr>
        <w:t>e</w:t>
      </w:r>
      <w:r w:rsidRPr="00995906">
        <w:rPr>
          <w:rFonts w:cs="Arial"/>
        </w:rPr>
        <w:t>nahmehäufigkeit</w:t>
      </w:r>
      <w:r w:rsidR="006C74C5">
        <w:rPr>
          <w:rFonts w:cs="Arial"/>
        </w:rPr>
        <w:t xml:space="preserve"> </w:t>
      </w:r>
      <w:r w:rsidRPr="00995906">
        <w:rPr>
          <w:rFonts w:cs="Arial"/>
        </w:rPr>
        <w:t>mu</w:t>
      </w:r>
      <w:r w:rsidR="006C74C5">
        <w:rPr>
          <w:rFonts w:cs="Arial"/>
        </w:rPr>
        <w:t>ß</w:t>
      </w:r>
      <w:r w:rsidRPr="00995906">
        <w:rPr>
          <w:rFonts w:cs="Arial"/>
        </w:rPr>
        <w:t xml:space="preserve"> genügend hoch sein, um etwaige Änderungen des Zustandes der Gewässer</w:t>
      </w:r>
      <w:r w:rsidR="006C74C5">
        <w:rPr>
          <w:rFonts w:cs="Arial"/>
        </w:rPr>
        <w:t xml:space="preserve"> </w:t>
      </w:r>
      <w:r w:rsidRPr="00995906">
        <w:rPr>
          <w:rFonts w:cs="Arial"/>
        </w:rPr>
        <w:t>au</w:t>
      </w:r>
      <w:r w:rsidRPr="00995906">
        <w:rPr>
          <w:rFonts w:cs="Arial"/>
        </w:rPr>
        <w:t>f</w:t>
      </w:r>
      <w:r w:rsidRPr="00995906">
        <w:rPr>
          <w:rFonts w:cs="Arial"/>
        </w:rPr>
        <w:t>zeigen zu können, insbesondere unter Berücksichtigung der natürlichen Veränderungen des Wasse</w:t>
      </w:r>
      <w:r w:rsidRPr="00995906">
        <w:rPr>
          <w:rFonts w:cs="Arial"/>
        </w:rPr>
        <w:t>r</w:t>
      </w:r>
      <w:r w:rsidRPr="00995906">
        <w:rPr>
          <w:rFonts w:cs="Arial"/>
        </w:rPr>
        <w:t>haushalts.</w:t>
      </w:r>
    </w:p>
    <w:p w:rsidR="0049151F" w:rsidRPr="006C74C5" w:rsidRDefault="000D6BB7" w:rsidP="006C74C5">
      <w:pPr>
        <w:pStyle w:val="GesAbsatz"/>
        <w:jc w:val="center"/>
        <w:rPr>
          <w:rFonts w:cs="Arial"/>
          <w:b/>
        </w:rPr>
      </w:pPr>
      <w:r>
        <w:rPr>
          <w:rFonts w:cs="Arial"/>
          <w:b/>
        </w:rPr>
        <w:br w:type="page"/>
      </w:r>
      <w:r w:rsidR="0049151F" w:rsidRPr="006C74C5">
        <w:rPr>
          <w:rFonts w:cs="Arial"/>
          <w:b/>
        </w:rPr>
        <w:lastRenderedPageBreak/>
        <w:t>T</w:t>
      </w:r>
      <w:r w:rsidR="006C74C5">
        <w:rPr>
          <w:rFonts w:cs="Arial"/>
          <w:b/>
        </w:rPr>
        <w:t>eil</w:t>
      </w:r>
      <w:r w:rsidR="0049151F" w:rsidRPr="006C74C5">
        <w:rPr>
          <w:rFonts w:cs="Arial"/>
          <w:b/>
        </w:rPr>
        <w:t xml:space="preserve"> C</w:t>
      </w:r>
      <w:r w:rsidR="006C74C5">
        <w:rPr>
          <w:rFonts w:cs="Arial"/>
          <w:b/>
        </w:rPr>
        <w:br/>
      </w:r>
      <w:r w:rsidR="0049151F" w:rsidRPr="006C74C5">
        <w:rPr>
          <w:rFonts w:cs="Arial"/>
          <w:b/>
        </w:rPr>
        <w:t>Referenzme</w:t>
      </w:r>
      <w:r w:rsidR="006C74C5">
        <w:rPr>
          <w:rFonts w:cs="Arial"/>
          <w:b/>
        </w:rPr>
        <w:t>ß</w:t>
      </w:r>
      <w:r w:rsidR="0049151F" w:rsidRPr="006C74C5">
        <w:rPr>
          <w:rFonts w:cs="Arial"/>
          <w:b/>
        </w:rPr>
        <w:t>verfahren und Erfassungsgrenze</w:t>
      </w:r>
    </w:p>
    <w:p w:rsidR="0049151F" w:rsidRPr="00995906" w:rsidRDefault="0049151F" w:rsidP="006C74C5">
      <w:pPr>
        <w:pStyle w:val="GesAbsatz"/>
        <w:ind w:left="426" w:hanging="426"/>
        <w:rPr>
          <w:rFonts w:cs="Arial"/>
        </w:rPr>
      </w:pPr>
      <w:r w:rsidRPr="00995906">
        <w:rPr>
          <w:rFonts w:cs="Arial"/>
        </w:rPr>
        <w:t>1.</w:t>
      </w:r>
      <w:r w:rsidR="006C74C5">
        <w:rPr>
          <w:rFonts w:cs="Arial"/>
        </w:rPr>
        <w:tab/>
      </w:r>
      <w:r w:rsidRPr="00995906">
        <w:rPr>
          <w:rFonts w:cs="Arial"/>
        </w:rPr>
        <w:t>Die Definitionen in der Richtlinie 79/869/EWG des Rates vom 9. Oktober 1979 über Meßmethoden</w:t>
      </w:r>
      <w:r w:rsidR="006C74C5">
        <w:rPr>
          <w:rFonts w:cs="Arial"/>
        </w:rPr>
        <w:t xml:space="preserve"> </w:t>
      </w:r>
      <w:r w:rsidRPr="00995906">
        <w:rPr>
          <w:rFonts w:cs="Arial"/>
        </w:rPr>
        <w:t>s</w:t>
      </w:r>
      <w:r w:rsidRPr="00995906">
        <w:rPr>
          <w:rFonts w:cs="Arial"/>
        </w:rPr>
        <w:t>o</w:t>
      </w:r>
      <w:r w:rsidRPr="00995906">
        <w:rPr>
          <w:rFonts w:cs="Arial"/>
        </w:rPr>
        <w:t>wie über die Häufigkeit der Probenahmen und der Analysen des Oberflächenwassers für die Trinkwa</w:t>
      </w:r>
      <w:r w:rsidRPr="00995906">
        <w:rPr>
          <w:rFonts w:cs="Arial"/>
        </w:rPr>
        <w:t>s</w:t>
      </w:r>
      <w:r w:rsidRPr="00995906">
        <w:rPr>
          <w:rFonts w:cs="Arial"/>
        </w:rPr>
        <w:t>sergewinnung</w:t>
      </w:r>
      <w:r w:rsidR="006C74C5">
        <w:rPr>
          <w:rFonts w:cs="Arial"/>
        </w:rPr>
        <w:t xml:space="preserve"> </w:t>
      </w:r>
      <w:r w:rsidRPr="00995906">
        <w:rPr>
          <w:rFonts w:cs="Arial"/>
        </w:rPr>
        <w:t>in den Mitgliedstaaten</w:t>
      </w:r>
      <w:r w:rsidR="00CA15C5">
        <w:rPr>
          <w:rStyle w:val="Funotenzeichen"/>
          <w:rFonts w:cs="Arial"/>
        </w:rPr>
        <w:footnoteReference w:id="7"/>
      </w:r>
      <w:r w:rsidRPr="00995906">
        <w:rPr>
          <w:rFonts w:cs="Arial"/>
        </w:rPr>
        <w:t xml:space="preserve"> gelten im Rahmen der vorliegenden Richtlinie.</w:t>
      </w:r>
    </w:p>
    <w:p w:rsidR="0049151F" w:rsidRPr="00995906" w:rsidRDefault="0049151F" w:rsidP="006C74C5">
      <w:pPr>
        <w:pStyle w:val="GesAbsatz"/>
        <w:ind w:left="426" w:hanging="426"/>
        <w:rPr>
          <w:rFonts w:cs="Arial"/>
        </w:rPr>
      </w:pPr>
      <w:r w:rsidRPr="00995906">
        <w:rPr>
          <w:rFonts w:cs="Arial"/>
        </w:rPr>
        <w:t>2.</w:t>
      </w:r>
      <w:r w:rsidR="006C74C5">
        <w:rPr>
          <w:rFonts w:cs="Arial"/>
        </w:rPr>
        <w:tab/>
      </w:r>
      <w:r w:rsidRPr="00995906">
        <w:rPr>
          <w:rFonts w:cs="Arial"/>
        </w:rPr>
        <w:t>Die Referenzme</w:t>
      </w:r>
      <w:r w:rsidR="006C74C5">
        <w:rPr>
          <w:rFonts w:cs="Arial"/>
        </w:rPr>
        <w:t>ß</w:t>
      </w:r>
      <w:r w:rsidRPr="00995906">
        <w:rPr>
          <w:rFonts w:cs="Arial"/>
        </w:rPr>
        <w:t>verfahren zur Bestimmung der Konzentration der genannten Stoffe sowie die Erfa</w:t>
      </w:r>
      <w:r w:rsidRPr="00995906">
        <w:rPr>
          <w:rFonts w:cs="Arial"/>
        </w:rPr>
        <w:t>s</w:t>
      </w:r>
      <w:r w:rsidRPr="00995906">
        <w:rPr>
          <w:rFonts w:cs="Arial"/>
        </w:rPr>
        <w:t>sungsgrenze</w:t>
      </w:r>
      <w:r w:rsidR="006C74C5">
        <w:rPr>
          <w:rFonts w:cs="Arial"/>
        </w:rPr>
        <w:t xml:space="preserve"> </w:t>
      </w:r>
      <w:r w:rsidRPr="00995906">
        <w:rPr>
          <w:rFonts w:cs="Arial"/>
        </w:rPr>
        <w:t>für den betreffenden Umweltbereich sind in Anhang II Teil C festgelegt.</w:t>
      </w:r>
    </w:p>
    <w:p w:rsidR="0049151F" w:rsidRPr="00995906" w:rsidRDefault="0049151F" w:rsidP="006C74C5">
      <w:pPr>
        <w:pStyle w:val="GesAbsatz"/>
        <w:ind w:left="426" w:hanging="426"/>
        <w:rPr>
          <w:rFonts w:cs="Arial"/>
        </w:rPr>
      </w:pPr>
      <w:r w:rsidRPr="00995906">
        <w:rPr>
          <w:rFonts w:cs="Arial"/>
        </w:rPr>
        <w:t>3.</w:t>
      </w:r>
      <w:r w:rsidR="006C74C5">
        <w:rPr>
          <w:rFonts w:cs="Arial"/>
        </w:rPr>
        <w:tab/>
      </w:r>
      <w:r w:rsidRPr="00995906">
        <w:rPr>
          <w:rFonts w:cs="Arial"/>
        </w:rPr>
        <w:t xml:space="preserve">Die Erfassungsgrenze, die Richtigkeit und die Genauigkeit der Methode </w:t>
      </w:r>
      <w:proofErr w:type="gramStart"/>
      <w:r w:rsidRPr="00995906">
        <w:rPr>
          <w:rFonts w:cs="Arial"/>
        </w:rPr>
        <w:t>wird</w:t>
      </w:r>
      <w:proofErr w:type="gramEnd"/>
      <w:r w:rsidRPr="00995906">
        <w:rPr>
          <w:rFonts w:cs="Arial"/>
        </w:rPr>
        <w:t xml:space="preserve"> für jeden Stoff in Anhang</w:t>
      </w:r>
      <w:r w:rsidR="006C74C5">
        <w:rPr>
          <w:rFonts w:cs="Arial"/>
        </w:rPr>
        <w:t xml:space="preserve"> </w:t>
      </w:r>
      <w:r w:rsidRPr="00995906">
        <w:rPr>
          <w:rFonts w:cs="Arial"/>
        </w:rPr>
        <w:t>II Teil C festgelegt.</w:t>
      </w:r>
    </w:p>
    <w:p w:rsidR="0049151F" w:rsidRPr="00995906" w:rsidRDefault="0049151F" w:rsidP="00995906">
      <w:pPr>
        <w:pStyle w:val="GesAbsatz"/>
        <w:rPr>
          <w:rFonts w:cs="Arial"/>
        </w:rPr>
      </w:pPr>
      <w:r w:rsidRPr="00995906">
        <w:rPr>
          <w:rFonts w:cs="Arial"/>
        </w:rPr>
        <w:t>4.</w:t>
      </w:r>
      <w:r w:rsidR="006C74C5">
        <w:rPr>
          <w:rFonts w:cs="Arial"/>
        </w:rPr>
        <w:tab/>
      </w:r>
      <w:r w:rsidRPr="00995906">
        <w:rPr>
          <w:rFonts w:cs="Arial"/>
        </w:rPr>
        <w:t>Für die Messung der Abflu</w:t>
      </w:r>
      <w:r w:rsidR="006C74C5">
        <w:rPr>
          <w:rFonts w:cs="Arial"/>
        </w:rPr>
        <w:t>ß</w:t>
      </w:r>
      <w:r w:rsidRPr="00995906">
        <w:rPr>
          <w:rFonts w:cs="Arial"/>
        </w:rPr>
        <w:t>menge ist eine Genauigkeit von ± 20 % vorgeschrieben.</w:t>
      </w:r>
    </w:p>
    <w:p w:rsidR="0049151F" w:rsidRPr="00995906" w:rsidRDefault="0049151F" w:rsidP="006C74C5">
      <w:pPr>
        <w:pStyle w:val="berschrift2"/>
        <w:jc w:val="left"/>
      </w:pPr>
      <w:bookmarkStart w:id="11" w:name="_Toc420510834"/>
      <w:r w:rsidRPr="00995906">
        <w:t>A</w:t>
      </w:r>
      <w:r w:rsidR="006C74C5">
        <w:t>nhang</w:t>
      </w:r>
      <w:r w:rsidRPr="00995906">
        <w:t xml:space="preserve"> II</w:t>
      </w:r>
      <w:bookmarkEnd w:id="11"/>
    </w:p>
    <w:p w:rsidR="0049151F" w:rsidRPr="006C74C5" w:rsidRDefault="0049151F" w:rsidP="006C74C5">
      <w:pPr>
        <w:pStyle w:val="GesAbsatz"/>
        <w:jc w:val="center"/>
        <w:rPr>
          <w:rFonts w:cs="Arial"/>
          <w:b/>
        </w:rPr>
      </w:pPr>
      <w:r w:rsidRPr="006C74C5">
        <w:rPr>
          <w:rFonts w:cs="Arial"/>
          <w:b/>
        </w:rPr>
        <w:t>S</w:t>
      </w:r>
      <w:r w:rsidR="006C74C5">
        <w:rPr>
          <w:rFonts w:cs="Arial"/>
          <w:b/>
        </w:rPr>
        <w:t>onderbestimmungen</w:t>
      </w:r>
    </w:p>
    <w:p w:rsidR="0049151F" w:rsidRPr="00995906" w:rsidRDefault="0049151F" w:rsidP="00995906">
      <w:pPr>
        <w:pStyle w:val="GesAbsatz"/>
        <w:rPr>
          <w:rFonts w:cs="Arial"/>
        </w:rPr>
      </w:pPr>
      <w:r w:rsidRPr="00995906">
        <w:rPr>
          <w:rFonts w:cs="Arial"/>
        </w:rPr>
        <w:t>1.</w:t>
      </w:r>
      <w:r w:rsidR="006C74C5">
        <w:rPr>
          <w:rFonts w:cs="Arial"/>
        </w:rPr>
        <w:tab/>
      </w:r>
      <w:r w:rsidRPr="00995906">
        <w:rPr>
          <w:rFonts w:cs="Arial"/>
        </w:rPr>
        <w:t>Betreffend Tetrachlorkohlenstoff,</w:t>
      </w:r>
    </w:p>
    <w:p w:rsidR="0049151F" w:rsidRPr="00995906" w:rsidRDefault="0049151F" w:rsidP="00995906">
      <w:pPr>
        <w:pStyle w:val="GesAbsatz"/>
        <w:rPr>
          <w:rFonts w:cs="Arial"/>
        </w:rPr>
      </w:pPr>
      <w:r w:rsidRPr="00995906">
        <w:rPr>
          <w:rFonts w:cs="Arial"/>
        </w:rPr>
        <w:t>2.</w:t>
      </w:r>
      <w:r w:rsidR="006C74C5">
        <w:rPr>
          <w:rFonts w:cs="Arial"/>
        </w:rPr>
        <w:tab/>
      </w:r>
      <w:r w:rsidRPr="00995906">
        <w:rPr>
          <w:rFonts w:cs="Arial"/>
        </w:rPr>
        <w:t>betreffend DDT,</w:t>
      </w:r>
    </w:p>
    <w:p w:rsidR="0049151F" w:rsidRPr="00995906" w:rsidRDefault="0049151F" w:rsidP="00995906">
      <w:pPr>
        <w:pStyle w:val="GesAbsatz"/>
        <w:rPr>
          <w:rFonts w:cs="Arial"/>
        </w:rPr>
      </w:pPr>
      <w:r w:rsidRPr="00995906">
        <w:rPr>
          <w:rFonts w:cs="Arial"/>
        </w:rPr>
        <w:t>3.</w:t>
      </w:r>
      <w:r w:rsidR="006C74C5">
        <w:rPr>
          <w:rFonts w:cs="Arial"/>
        </w:rPr>
        <w:tab/>
      </w:r>
      <w:r w:rsidRPr="00995906">
        <w:rPr>
          <w:rFonts w:cs="Arial"/>
        </w:rPr>
        <w:t>betreffend Pentachlorphenol,</w:t>
      </w:r>
    </w:p>
    <w:p w:rsidR="0049151F" w:rsidRPr="00995906" w:rsidRDefault="0049151F" w:rsidP="00995906">
      <w:pPr>
        <w:pStyle w:val="GesAbsatz"/>
        <w:rPr>
          <w:rFonts w:cs="Arial"/>
        </w:rPr>
      </w:pPr>
      <w:r w:rsidRPr="00995906">
        <w:rPr>
          <w:rFonts w:cs="Arial"/>
        </w:rPr>
        <w:t>4.</w:t>
      </w:r>
      <w:r w:rsidR="006C74C5">
        <w:rPr>
          <w:rFonts w:cs="Arial"/>
        </w:rPr>
        <w:tab/>
      </w:r>
      <w:r w:rsidRPr="00995906">
        <w:rPr>
          <w:rFonts w:cs="Arial"/>
        </w:rPr>
        <w:t>betreffend Aldrin, Dieldrin, Endrin und Isodrin,</w:t>
      </w:r>
    </w:p>
    <w:p w:rsidR="0049151F" w:rsidRPr="00995906" w:rsidRDefault="0049151F" w:rsidP="00995906">
      <w:pPr>
        <w:pStyle w:val="GesAbsatz"/>
        <w:rPr>
          <w:rFonts w:cs="Arial"/>
        </w:rPr>
      </w:pPr>
      <w:r w:rsidRPr="00995906">
        <w:rPr>
          <w:rFonts w:cs="Arial"/>
        </w:rPr>
        <w:t>5.</w:t>
      </w:r>
      <w:r w:rsidR="006C74C5">
        <w:rPr>
          <w:rFonts w:cs="Arial"/>
        </w:rPr>
        <w:tab/>
      </w:r>
      <w:r w:rsidRPr="00995906">
        <w:rPr>
          <w:rFonts w:cs="Arial"/>
        </w:rPr>
        <w:t>betreffend Hexachlorbenzol,</w:t>
      </w:r>
    </w:p>
    <w:p w:rsidR="0049151F" w:rsidRPr="00995906" w:rsidRDefault="0049151F" w:rsidP="00995906">
      <w:pPr>
        <w:pStyle w:val="GesAbsatz"/>
        <w:rPr>
          <w:rFonts w:cs="Arial"/>
        </w:rPr>
      </w:pPr>
      <w:r w:rsidRPr="00995906">
        <w:rPr>
          <w:rFonts w:cs="Arial"/>
        </w:rPr>
        <w:t>6.</w:t>
      </w:r>
      <w:r w:rsidR="006C74C5">
        <w:rPr>
          <w:rFonts w:cs="Arial"/>
        </w:rPr>
        <w:tab/>
      </w:r>
      <w:r w:rsidRPr="00995906">
        <w:rPr>
          <w:rFonts w:cs="Arial"/>
        </w:rPr>
        <w:t>betreffend Hexachlorbutadien,</w:t>
      </w:r>
    </w:p>
    <w:p w:rsidR="0049151F" w:rsidRPr="00995906" w:rsidRDefault="0049151F" w:rsidP="00995906">
      <w:pPr>
        <w:pStyle w:val="GesAbsatz"/>
        <w:rPr>
          <w:rFonts w:cs="Arial"/>
        </w:rPr>
      </w:pPr>
      <w:r w:rsidRPr="00995906">
        <w:rPr>
          <w:rFonts w:cs="Arial"/>
        </w:rPr>
        <w:t>7.</w:t>
      </w:r>
      <w:r w:rsidR="006C74C5">
        <w:rPr>
          <w:rFonts w:cs="Arial"/>
        </w:rPr>
        <w:tab/>
      </w:r>
      <w:r w:rsidRPr="00995906">
        <w:rPr>
          <w:rFonts w:cs="Arial"/>
        </w:rPr>
        <w:t>betreffend Chloroform,</w:t>
      </w:r>
    </w:p>
    <w:p w:rsidR="0049151F" w:rsidRPr="00995906" w:rsidRDefault="0049151F" w:rsidP="00995906">
      <w:pPr>
        <w:pStyle w:val="GesAbsatz"/>
        <w:rPr>
          <w:rFonts w:cs="Arial"/>
        </w:rPr>
      </w:pPr>
      <w:r w:rsidRPr="00995906">
        <w:rPr>
          <w:rFonts w:cs="Arial"/>
        </w:rPr>
        <w:t>8.</w:t>
      </w:r>
      <w:r w:rsidR="006C74C5">
        <w:rPr>
          <w:rFonts w:cs="Arial"/>
        </w:rPr>
        <w:tab/>
      </w:r>
      <w:r w:rsidRPr="00995906">
        <w:rPr>
          <w:rFonts w:cs="Arial"/>
        </w:rPr>
        <w:t>betreffend 1,2-Dichlorethan (EDC),</w:t>
      </w:r>
    </w:p>
    <w:p w:rsidR="0049151F" w:rsidRPr="00995906" w:rsidRDefault="0049151F" w:rsidP="00995906">
      <w:pPr>
        <w:pStyle w:val="GesAbsatz"/>
        <w:rPr>
          <w:rFonts w:cs="Arial"/>
        </w:rPr>
      </w:pPr>
      <w:r w:rsidRPr="00995906">
        <w:rPr>
          <w:rFonts w:cs="Arial"/>
        </w:rPr>
        <w:t>9.</w:t>
      </w:r>
      <w:r w:rsidR="006C74C5">
        <w:rPr>
          <w:rFonts w:cs="Arial"/>
        </w:rPr>
        <w:tab/>
      </w:r>
      <w:r w:rsidRPr="00995906">
        <w:rPr>
          <w:rFonts w:cs="Arial"/>
        </w:rPr>
        <w:t>betreffend Trichlorethen (TRI),</w:t>
      </w:r>
    </w:p>
    <w:p w:rsidR="0049151F" w:rsidRPr="00995906" w:rsidRDefault="0049151F" w:rsidP="00995906">
      <w:pPr>
        <w:pStyle w:val="GesAbsatz"/>
        <w:rPr>
          <w:rFonts w:cs="Arial"/>
        </w:rPr>
      </w:pPr>
      <w:r w:rsidRPr="00995906">
        <w:rPr>
          <w:rFonts w:cs="Arial"/>
        </w:rPr>
        <w:t>10.</w:t>
      </w:r>
      <w:r w:rsidR="006C74C5">
        <w:rPr>
          <w:rFonts w:cs="Arial"/>
        </w:rPr>
        <w:tab/>
      </w:r>
      <w:r w:rsidRPr="00995906">
        <w:rPr>
          <w:rFonts w:cs="Arial"/>
        </w:rPr>
        <w:t xml:space="preserve">betreffend </w:t>
      </w:r>
      <w:r w:rsidR="00A11F89" w:rsidRPr="00995906">
        <w:rPr>
          <w:rFonts w:cs="Arial"/>
        </w:rPr>
        <w:t>Tetrachlorethen</w:t>
      </w:r>
      <w:r w:rsidRPr="00995906">
        <w:rPr>
          <w:rFonts w:cs="Arial"/>
        </w:rPr>
        <w:t xml:space="preserve"> (PER),</w:t>
      </w:r>
    </w:p>
    <w:p w:rsidR="0049151F" w:rsidRPr="00995906" w:rsidRDefault="0049151F" w:rsidP="00995906">
      <w:pPr>
        <w:pStyle w:val="GesAbsatz"/>
        <w:rPr>
          <w:rFonts w:cs="Arial"/>
        </w:rPr>
      </w:pPr>
      <w:r w:rsidRPr="00995906">
        <w:rPr>
          <w:rFonts w:cs="Arial"/>
        </w:rPr>
        <w:t>11.</w:t>
      </w:r>
      <w:r w:rsidR="006C74C5">
        <w:rPr>
          <w:rFonts w:cs="Arial"/>
        </w:rPr>
        <w:tab/>
      </w:r>
      <w:r w:rsidRPr="00995906">
        <w:rPr>
          <w:rFonts w:cs="Arial"/>
        </w:rPr>
        <w:t>betreffend Trichlorbenzol (TCB),</w:t>
      </w:r>
    </w:p>
    <w:p w:rsidR="0049151F" w:rsidRPr="00995906" w:rsidRDefault="0049151F" w:rsidP="00995906">
      <w:pPr>
        <w:pStyle w:val="GesAbsatz"/>
        <w:rPr>
          <w:rFonts w:cs="Arial"/>
        </w:rPr>
      </w:pPr>
      <w:r w:rsidRPr="00995906">
        <w:rPr>
          <w:rFonts w:cs="Arial"/>
        </w:rPr>
        <w:t>Die Numerierung der in vorliegendem Anhang aufgeführten Stoffe entspricht der Liste der 129 Stoffe in der</w:t>
      </w:r>
      <w:r w:rsidR="006C74C5">
        <w:rPr>
          <w:rFonts w:cs="Arial"/>
        </w:rPr>
        <w:t xml:space="preserve"> </w:t>
      </w:r>
      <w:r w:rsidRPr="00995906">
        <w:rPr>
          <w:rFonts w:cs="Arial"/>
        </w:rPr>
        <w:t>Mitteilung der Kommission an den Rat vom 22. Juni 1982</w:t>
      </w:r>
      <w:r w:rsidR="00CA15C5">
        <w:rPr>
          <w:rStyle w:val="Funotenzeichen"/>
          <w:rFonts w:cs="Arial"/>
        </w:rPr>
        <w:footnoteReference w:id="8"/>
      </w:r>
      <w:r w:rsidRPr="00995906">
        <w:rPr>
          <w:rFonts w:cs="Arial"/>
        </w:rPr>
        <w:t>.</w:t>
      </w:r>
    </w:p>
    <w:p w:rsidR="0049151F" w:rsidRDefault="0049151F" w:rsidP="00995906">
      <w:pPr>
        <w:pStyle w:val="GesAbsatz"/>
        <w:rPr>
          <w:rFonts w:cs="Arial"/>
        </w:rPr>
      </w:pPr>
      <w:r w:rsidRPr="00995906">
        <w:rPr>
          <w:rFonts w:cs="Arial"/>
        </w:rPr>
        <w:t>Werden zukünftig Stoffe in vorliegenden Anhang aufgenommen, die nicht in der obengenannten Liste entha</w:t>
      </w:r>
      <w:r w:rsidRPr="00995906">
        <w:rPr>
          <w:rFonts w:cs="Arial"/>
        </w:rPr>
        <w:t>l</w:t>
      </w:r>
      <w:r w:rsidRPr="00995906">
        <w:rPr>
          <w:rFonts w:cs="Arial"/>
        </w:rPr>
        <w:t>ten</w:t>
      </w:r>
      <w:r w:rsidR="006C74C5">
        <w:rPr>
          <w:rFonts w:cs="Arial"/>
        </w:rPr>
        <w:t xml:space="preserve"> </w:t>
      </w:r>
      <w:r w:rsidRPr="00995906">
        <w:rPr>
          <w:rFonts w:cs="Arial"/>
        </w:rPr>
        <w:t>sind, werden sie in der chronologischen Reihenfolge ihrer Aufnahme, mit Nr. 130 beginnend, weiter</w:t>
      </w:r>
      <w:r w:rsidR="006C74C5">
        <w:rPr>
          <w:rFonts w:cs="Arial"/>
        </w:rPr>
        <w:t xml:space="preserve"> </w:t>
      </w:r>
      <w:r w:rsidRPr="00995906">
        <w:rPr>
          <w:rFonts w:cs="Arial"/>
        </w:rPr>
        <w:t>n</w:t>
      </w:r>
      <w:r w:rsidRPr="00995906">
        <w:rPr>
          <w:rFonts w:cs="Arial"/>
        </w:rPr>
        <w:t>u</w:t>
      </w:r>
      <w:r w:rsidRPr="00995906">
        <w:rPr>
          <w:rFonts w:cs="Arial"/>
        </w:rPr>
        <w:t>meriert.</w:t>
      </w:r>
    </w:p>
    <w:p w:rsidR="0049151F" w:rsidRPr="006C74C5" w:rsidRDefault="00E33313" w:rsidP="008404F8">
      <w:pPr>
        <w:pStyle w:val="berschrift3"/>
      </w:pPr>
      <w:r>
        <w:br w:type="page"/>
      </w:r>
      <w:bookmarkStart w:id="12" w:name="_Toc420510835"/>
      <w:r w:rsidR="0049151F" w:rsidRPr="006C74C5">
        <w:lastRenderedPageBreak/>
        <w:t>I. Sonderbestimmungen für Tetrachlorkohlenstoff (Nr. 13)</w:t>
      </w:r>
      <w:r w:rsidR="00CA15C5">
        <w:rPr>
          <w:rStyle w:val="Funotenzeichen"/>
        </w:rPr>
        <w:footnoteReference w:id="9"/>
      </w:r>
      <w:bookmarkEnd w:id="12"/>
    </w:p>
    <w:p w:rsidR="0049151F" w:rsidRPr="00995906" w:rsidRDefault="0049151F" w:rsidP="006C74C5">
      <w:pPr>
        <w:pStyle w:val="GesAbsatz"/>
        <w:jc w:val="center"/>
        <w:rPr>
          <w:rFonts w:cs="Arial"/>
        </w:rPr>
      </w:pPr>
      <w:r w:rsidRPr="00995906">
        <w:rPr>
          <w:rFonts w:cs="Arial"/>
        </w:rPr>
        <w:t>CAS - 56-23-5 5</w:t>
      </w:r>
      <w:r w:rsidR="00CA15C5">
        <w:rPr>
          <w:rStyle w:val="Funotenzeichen"/>
          <w:rFonts w:cs="Arial"/>
        </w:rPr>
        <w:footnoteReference w:id="10"/>
      </w:r>
    </w:p>
    <w:p w:rsidR="0049151F" w:rsidRPr="00995906" w:rsidRDefault="0049151F" w:rsidP="00995906">
      <w:pPr>
        <w:pStyle w:val="GesAbsatz"/>
        <w:rPr>
          <w:rFonts w:cs="Arial"/>
        </w:rPr>
      </w:pPr>
      <w:r w:rsidRPr="00076B3B">
        <w:rPr>
          <w:rFonts w:cs="Arial"/>
          <w:b/>
        </w:rPr>
        <w:t>Teil A (13):</w:t>
      </w:r>
      <w:r w:rsidRPr="00995906">
        <w:rPr>
          <w:rFonts w:cs="Arial"/>
        </w:rPr>
        <w:t xml:space="preserve"> Grenzwerte der Emissionsnormen</w:t>
      </w:r>
    </w:p>
    <w:p w:rsidR="0049151F" w:rsidRDefault="0049151F" w:rsidP="00995906">
      <w:pPr>
        <w:pStyle w:val="GesAbsatz"/>
        <w:rPr>
          <w:rFonts w:cs="Arial"/>
        </w:rPr>
      </w:pPr>
    </w:p>
    <w:tbl>
      <w:tblPr>
        <w:tblW w:w="974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A0" w:firstRow="1" w:lastRow="0" w:firstColumn="1" w:lastColumn="0" w:noHBand="0" w:noVBand="0"/>
      </w:tblPr>
      <w:tblGrid>
        <w:gridCol w:w="2376"/>
        <w:gridCol w:w="1418"/>
        <w:gridCol w:w="2977"/>
        <w:gridCol w:w="1701"/>
        <w:gridCol w:w="1275"/>
      </w:tblGrid>
      <w:tr w:rsidR="00D30D90" w:rsidTr="00C85523">
        <w:tc>
          <w:tcPr>
            <w:tcW w:w="2376" w:type="dxa"/>
            <w:vMerge w:val="restart"/>
            <w:vAlign w:val="center"/>
          </w:tcPr>
          <w:p w:rsidR="00D30D90" w:rsidRDefault="00D30D90" w:rsidP="00D30D90">
            <w:pPr>
              <w:pStyle w:val="GesAbsatz"/>
              <w:jc w:val="center"/>
              <w:rPr>
                <w:rFonts w:cs="Arial"/>
              </w:rPr>
            </w:pPr>
            <w:r w:rsidRPr="00995906">
              <w:rPr>
                <w:rFonts w:cs="Arial"/>
              </w:rPr>
              <w:t>Typ des Industriebetri</w:t>
            </w:r>
            <w:r w:rsidRPr="00995906">
              <w:rPr>
                <w:rFonts w:cs="Arial"/>
              </w:rPr>
              <w:t>e</w:t>
            </w:r>
            <w:r w:rsidRPr="00995906">
              <w:rPr>
                <w:rFonts w:cs="Arial"/>
              </w:rPr>
              <w:t>bes</w:t>
            </w:r>
            <w:r w:rsidR="00C85523" w:rsidRPr="00C85523">
              <w:rPr>
                <w:rFonts w:cs="Arial"/>
                <w:vertAlign w:val="superscript"/>
              </w:rPr>
              <w:t>1)</w:t>
            </w:r>
            <w:r w:rsidR="00C85523">
              <w:rPr>
                <w:rStyle w:val="Funotenzeichen"/>
                <w:rFonts w:cs="Arial"/>
              </w:rPr>
              <w:t xml:space="preserve"> 2)</w:t>
            </w:r>
          </w:p>
        </w:tc>
        <w:tc>
          <w:tcPr>
            <w:tcW w:w="1418" w:type="dxa"/>
            <w:vMerge w:val="restart"/>
            <w:vAlign w:val="center"/>
          </w:tcPr>
          <w:p w:rsidR="00D30D90" w:rsidRDefault="00D30D90" w:rsidP="00D30D90">
            <w:pPr>
              <w:pStyle w:val="GesAbsatz"/>
              <w:jc w:val="center"/>
              <w:rPr>
                <w:rFonts w:cs="Arial"/>
              </w:rPr>
            </w:pPr>
            <w:r w:rsidRPr="00995906">
              <w:rPr>
                <w:rFonts w:cs="Arial"/>
              </w:rPr>
              <w:t>Typ des Mi</w:t>
            </w:r>
            <w:r w:rsidRPr="00995906">
              <w:rPr>
                <w:rFonts w:cs="Arial"/>
              </w:rPr>
              <w:t>t</w:t>
            </w:r>
            <w:r w:rsidRPr="00995906">
              <w:rPr>
                <w:rFonts w:cs="Arial"/>
              </w:rPr>
              <w:t>telwertes</w:t>
            </w:r>
          </w:p>
        </w:tc>
        <w:tc>
          <w:tcPr>
            <w:tcW w:w="4678" w:type="dxa"/>
            <w:gridSpan w:val="2"/>
          </w:tcPr>
          <w:p w:rsidR="00D30D90" w:rsidRDefault="00D30D90" w:rsidP="00D30D90">
            <w:pPr>
              <w:pStyle w:val="GesAbsatz"/>
              <w:jc w:val="center"/>
              <w:rPr>
                <w:rFonts w:cs="Arial"/>
              </w:rPr>
            </w:pPr>
            <w:r w:rsidRPr="00995906">
              <w:rPr>
                <w:rFonts w:cs="Arial"/>
              </w:rPr>
              <w:t>Grenzwerte ausgedruckt in</w:t>
            </w:r>
            <w:r w:rsidR="00C85523">
              <w:rPr>
                <w:rFonts w:cs="Arial"/>
              </w:rPr>
              <w:t xml:space="preserve"> </w:t>
            </w:r>
            <w:r w:rsidR="00C85523" w:rsidRPr="00C85523">
              <w:rPr>
                <w:rFonts w:cs="Arial"/>
                <w:vertAlign w:val="superscript"/>
              </w:rPr>
              <w:t>3)</w:t>
            </w:r>
          </w:p>
        </w:tc>
        <w:tc>
          <w:tcPr>
            <w:tcW w:w="1275" w:type="dxa"/>
            <w:vMerge w:val="restart"/>
            <w:vAlign w:val="center"/>
          </w:tcPr>
          <w:p w:rsidR="00D30D90" w:rsidRDefault="00D30D90" w:rsidP="00D30D90">
            <w:pPr>
              <w:pStyle w:val="GesAbsatz"/>
              <w:jc w:val="center"/>
              <w:rPr>
                <w:rFonts w:cs="Arial"/>
              </w:rPr>
            </w:pPr>
            <w:r w:rsidRPr="00995906">
              <w:rPr>
                <w:rFonts w:cs="Arial"/>
              </w:rPr>
              <w:t>Einzuhalten ab</w:t>
            </w:r>
          </w:p>
        </w:tc>
      </w:tr>
      <w:tr w:rsidR="00D30D90" w:rsidTr="00C85523">
        <w:tc>
          <w:tcPr>
            <w:tcW w:w="2376" w:type="dxa"/>
            <w:vMerge/>
          </w:tcPr>
          <w:p w:rsidR="00D30D90" w:rsidRDefault="00D30D90" w:rsidP="00D30D90">
            <w:pPr>
              <w:pStyle w:val="GesAbsatz"/>
              <w:jc w:val="center"/>
              <w:rPr>
                <w:rFonts w:cs="Arial"/>
              </w:rPr>
            </w:pPr>
          </w:p>
        </w:tc>
        <w:tc>
          <w:tcPr>
            <w:tcW w:w="1418" w:type="dxa"/>
            <w:vMerge/>
          </w:tcPr>
          <w:p w:rsidR="00D30D90" w:rsidRDefault="00D30D90" w:rsidP="00D30D90">
            <w:pPr>
              <w:pStyle w:val="GesAbsatz"/>
              <w:jc w:val="center"/>
              <w:rPr>
                <w:rFonts w:cs="Arial"/>
              </w:rPr>
            </w:pPr>
          </w:p>
        </w:tc>
        <w:tc>
          <w:tcPr>
            <w:tcW w:w="2977" w:type="dxa"/>
          </w:tcPr>
          <w:p w:rsidR="00D30D90" w:rsidRDefault="00D30D90" w:rsidP="00D30D90">
            <w:pPr>
              <w:pStyle w:val="GesAbsatz"/>
              <w:jc w:val="center"/>
              <w:rPr>
                <w:rFonts w:cs="Arial"/>
              </w:rPr>
            </w:pPr>
            <w:r w:rsidRPr="00995906">
              <w:rPr>
                <w:rFonts w:cs="Arial"/>
              </w:rPr>
              <w:t>Gewicht</w:t>
            </w:r>
          </w:p>
        </w:tc>
        <w:tc>
          <w:tcPr>
            <w:tcW w:w="1701" w:type="dxa"/>
          </w:tcPr>
          <w:p w:rsidR="00D30D90" w:rsidRDefault="00D30D90" w:rsidP="00D30D90">
            <w:pPr>
              <w:pStyle w:val="GesAbsatz"/>
              <w:jc w:val="center"/>
              <w:rPr>
                <w:rFonts w:cs="Arial"/>
              </w:rPr>
            </w:pPr>
            <w:r w:rsidRPr="00995906">
              <w:rPr>
                <w:rFonts w:cs="Arial"/>
              </w:rPr>
              <w:t>Konzentration</w:t>
            </w:r>
          </w:p>
        </w:tc>
        <w:tc>
          <w:tcPr>
            <w:tcW w:w="1275" w:type="dxa"/>
            <w:vMerge/>
          </w:tcPr>
          <w:p w:rsidR="00D30D90" w:rsidRDefault="00D30D90" w:rsidP="00D30D90">
            <w:pPr>
              <w:pStyle w:val="GesAbsatz"/>
              <w:jc w:val="center"/>
              <w:rPr>
                <w:rFonts w:cs="Arial"/>
              </w:rPr>
            </w:pPr>
          </w:p>
        </w:tc>
      </w:tr>
      <w:tr w:rsidR="00D30D90" w:rsidRPr="00995906" w:rsidTr="00C85523">
        <w:tblPrEx>
          <w:tblLook w:val="0000" w:firstRow="0" w:lastRow="0" w:firstColumn="0" w:lastColumn="0" w:noHBand="0" w:noVBand="0"/>
        </w:tblPrEx>
        <w:trPr>
          <w:trHeight w:val="1149"/>
        </w:trPr>
        <w:tc>
          <w:tcPr>
            <w:tcW w:w="2376" w:type="dxa"/>
            <w:vMerge w:val="restart"/>
          </w:tcPr>
          <w:p w:rsidR="00D30D90" w:rsidRPr="00995906" w:rsidRDefault="00D30D90" w:rsidP="00E33313">
            <w:pPr>
              <w:pStyle w:val="GesAbsatz"/>
              <w:ind w:left="284" w:hanging="284"/>
              <w:jc w:val="left"/>
              <w:rPr>
                <w:rFonts w:cs="Arial"/>
              </w:rPr>
            </w:pPr>
            <w:r w:rsidRPr="00995906">
              <w:rPr>
                <w:rFonts w:cs="Arial"/>
              </w:rPr>
              <w:t>1.</w:t>
            </w:r>
            <w:r>
              <w:rPr>
                <w:rFonts w:cs="Arial"/>
              </w:rPr>
              <w:tab/>
            </w:r>
            <w:r w:rsidRPr="00995906">
              <w:rPr>
                <w:rFonts w:cs="Arial"/>
              </w:rPr>
              <w:t>Herstellung von Te</w:t>
            </w:r>
            <w:r w:rsidRPr="00995906">
              <w:rPr>
                <w:rFonts w:cs="Arial"/>
              </w:rPr>
              <w:t>t</w:t>
            </w:r>
            <w:r>
              <w:rPr>
                <w:rFonts w:cs="Arial"/>
              </w:rPr>
              <w:t>ra</w:t>
            </w:r>
            <w:r w:rsidRPr="00995906">
              <w:rPr>
                <w:rFonts w:cs="Arial"/>
              </w:rPr>
              <w:t xml:space="preserve">chlorkohlenstoff durch Perchlorierung </w:t>
            </w:r>
          </w:p>
        </w:tc>
        <w:tc>
          <w:tcPr>
            <w:tcW w:w="1418" w:type="dxa"/>
            <w:vMerge w:val="restart"/>
            <w:vAlign w:val="center"/>
          </w:tcPr>
          <w:p w:rsidR="00D30D90" w:rsidRPr="00995906" w:rsidRDefault="00D30D90" w:rsidP="000D6BB7">
            <w:pPr>
              <w:pStyle w:val="GesAbsatz"/>
              <w:jc w:val="center"/>
              <w:rPr>
                <w:rFonts w:cs="Arial"/>
              </w:rPr>
            </w:pPr>
            <w:r>
              <w:rPr>
                <w:rFonts w:cs="Arial"/>
              </w:rPr>
              <w:t>Monat</w:t>
            </w:r>
          </w:p>
        </w:tc>
        <w:tc>
          <w:tcPr>
            <w:tcW w:w="2977" w:type="dxa"/>
          </w:tcPr>
          <w:p w:rsidR="00D30D90" w:rsidRPr="00995906" w:rsidRDefault="00D30D90" w:rsidP="00E33313">
            <w:pPr>
              <w:pStyle w:val="GesAbsatz"/>
              <w:ind w:left="317" w:hanging="317"/>
              <w:rPr>
                <w:rFonts w:cs="Arial"/>
              </w:rPr>
            </w:pPr>
            <w:r w:rsidRPr="00995906">
              <w:rPr>
                <w:rFonts w:cs="Arial"/>
              </w:rPr>
              <w:t>a)</w:t>
            </w:r>
            <w:r>
              <w:rPr>
                <w:rFonts w:cs="Arial"/>
              </w:rPr>
              <w:tab/>
            </w:r>
            <w:r w:rsidRPr="00995906">
              <w:rPr>
                <w:rFonts w:cs="Arial"/>
              </w:rPr>
              <w:t>Verfahren mit Ausw</w:t>
            </w:r>
            <w:r w:rsidRPr="00995906">
              <w:rPr>
                <w:rFonts w:cs="Arial"/>
              </w:rPr>
              <w:t>a</w:t>
            </w:r>
            <w:r>
              <w:rPr>
                <w:rFonts w:cs="Arial"/>
              </w:rPr>
              <w:t>schung:</w:t>
            </w:r>
            <w:r w:rsidR="00C85523">
              <w:rPr>
                <w:rFonts w:cs="Arial"/>
              </w:rPr>
              <w:t xml:space="preserve"> </w:t>
            </w:r>
            <w:r w:rsidRPr="00995906">
              <w:rPr>
                <w:rFonts w:cs="Arial"/>
              </w:rPr>
              <w:t>40 g CCl</w:t>
            </w:r>
            <w:r>
              <w:rPr>
                <w:rFonts w:cs="Arial"/>
                <w:vertAlign w:val="subscript"/>
              </w:rPr>
              <w:t>4</w:t>
            </w:r>
            <w:r w:rsidRPr="00995906">
              <w:rPr>
                <w:rFonts w:cs="Arial"/>
              </w:rPr>
              <w:t xml:space="preserve"> je </w:t>
            </w:r>
            <w:r>
              <w:rPr>
                <w:rFonts w:cs="Arial"/>
              </w:rPr>
              <w:t>Tonne Ge</w:t>
            </w:r>
            <w:r w:rsidRPr="00995906">
              <w:rPr>
                <w:rFonts w:cs="Arial"/>
              </w:rPr>
              <w:t>samtproduktionskapaz</w:t>
            </w:r>
            <w:r w:rsidRPr="00995906">
              <w:rPr>
                <w:rFonts w:cs="Arial"/>
              </w:rPr>
              <w:t>i</w:t>
            </w:r>
            <w:r w:rsidRPr="00995906">
              <w:rPr>
                <w:rFonts w:cs="Arial"/>
              </w:rPr>
              <w:t>tät CCl</w:t>
            </w:r>
            <w:r>
              <w:rPr>
                <w:rFonts w:cs="Arial"/>
                <w:vertAlign w:val="subscript"/>
              </w:rPr>
              <w:t>4</w:t>
            </w:r>
            <w:r w:rsidRPr="00995906">
              <w:rPr>
                <w:rFonts w:cs="Arial"/>
              </w:rPr>
              <w:t xml:space="preserve"> und</w:t>
            </w:r>
            <w:r>
              <w:rPr>
                <w:rFonts w:cs="Arial"/>
              </w:rPr>
              <w:t xml:space="preserve"> Perch</w:t>
            </w:r>
            <w:r w:rsidRPr="00995906">
              <w:rPr>
                <w:rFonts w:cs="Arial"/>
              </w:rPr>
              <w:t>loräthy</w:t>
            </w:r>
            <w:r w:rsidRPr="00995906">
              <w:rPr>
                <w:rFonts w:cs="Arial"/>
              </w:rPr>
              <w:t>l</w:t>
            </w:r>
            <w:r w:rsidRPr="00995906">
              <w:rPr>
                <w:rFonts w:cs="Arial"/>
              </w:rPr>
              <w:t xml:space="preserve">en </w:t>
            </w:r>
          </w:p>
        </w:tc>
        <w:tc>
          <w:tcPr>
            <w:tcW w:w="1701" w:type="dxa"/>
            <w:vAlign w:val="bottom"/>
          </w:tcPr>
          <w:p w:rsidR="00D30D90" w:rsidRPr="00995906" w:rsidRDefault="00D30D90" w:rsidP="00D30D90">
            <w:pPr>
              <w:pStyle w:val="GesAbsatz"/>
              <w:jc w:val="center"/>
              <w:rPr>
                <w:rFonts w:cs="Arial"/>
              </w:rPr>
            </w:pPr>
            <w:r w:rsidRPr="00995906">
              <w:rPr>
                <w:rFonts w:cs="Arial"/>
              </w:rPr>
              <w:t>1,5 mg/l</w:t>
            </w:r>
          </w:p>
        </w:tc>
        <w:tc>
          <w:tcPr>
            <w:tcW w:w="1275" w:type="dxa"/>
            <w:vMerge w:val="restart"/>
            <w:vAlign w:val="center"/>
          </w:tcPr>
          <w:p w:rsidR="00D30D90" w:rsidRPr="00995906" w:rsidRDefault="00D30D90" w:rsidP="00D30D90">
            <w:pPr>
              <w:pStyle w:val="GesAbsatz"/>
              <w:jc w:val="center"/>
              <w:rPr>
                <w:rFonts w:cs="Arial"/>
              </w:rPr>
            </w:pPr>
            <w:r w:rsidRPr="00995906">
              <w:rPr>
                <w:rFonts w:cs="Arial"/>
              </w:rPr>
              <w:t>01.01.1988</w:t>
            </w:r>
          </w:p>
        </w:tc>
      </w:tr>
      <w:tr w:rsidR="00D30D90" w:rsidRPr="00995906" w:rsidTr="00C85523">
        <w:tblPrEx>
          <w:tblLook w:val="0000" w:firstRow="0" w:lastRow="0" w:firstColumn="0" w:lastColumn="0" w:noHBand="0" w:noVBand="0"/>
        </w:tblPrEx>
        <w:trPr>
          <w:trHeight w:val="459"/>
        </w:trPr>
        <w:tc>
          <w:tcPr>
            <w:tcW w:w="2376" w:type="dxa"/>
            <w:vMerge/>
          </w:tcPr>
          <w:p w:rsidR="00D30D90" w:rsidRPr="00995906" w:rsidRDefault="00D30D90" w:rsidP="00995906">
            <w:pPr>
              <w:pStyle w:val="GesAbsatz"/>
              <w:rPr>
                <w:rFonts w:cs="Arial"/>
              </w:rPr>
            </w:pPr>
          </w:p>
        </w:tc>
        <w:tc>
          <w:tcPr>
            <w:tcW w:w="1418" w:type="dxa"/>
            <w:vMerge/>
            <w:vAlign w:val="center"/>
          </w:tcPr>
          <w:p w:rsidR="00D30D90" w:rsidRPr="00995906" w:rsidRDefault="00D30D90" w:rsidP="000D6BB7">
            <w:pPr>
              <w:pStyle w:val="GesAbsatz"/>
              <w:jc w:val="center"/>
              <w:rPr>
                <w:rFonts w:cs="Arial"/>
              </w:rPr>
            </w:pPr>
          </w:p>
        </w:tc>
        <w:tc>
          <w:tcPr>
            <w:tcW w:w="2977" w:type="dxa"/>
          </w:tcPr>
          <w:p w:rsidR="00D30D90" w:rsidRPr="00995906" w:rsidRDefault="00D30D90" w:rsidP="00E33313">
            <w:pPr>
              <w:pStyle w:val="GesAbsatz"/>
              <w:ind w:left="317" w:hanging="317"/>
              <w:jc w:val="left"/>
              <w:rPr>
                <w:rFonts w:cs="Arial"/>
              </w:rPr>
            </w:pPr>
            <w:r w:rsidRPr="00995906">
              <w:rPr>
                <w:rFonts w:cs="Arial"/>
              </w:rPr>
              <w:t>b)</w:t>
            </w:r>
            <w:r>
              <w:rPr>
                <w:rFonts w:cs="Arial"/>
              </w:rPr>
              <w:tab/>
            </w:r>
            <w:r w:rsidRPr="00995906">
              <w:rPr>
                <w:rFonts w:cs="Arial"/>
              </w:rPr>
              <w:t>Verfahren ohne Ausw</w:t>
            </w:r>
            <w:r w:rsidRPr="00995906">
              <w:rPr>
                <w:rFonts w:cs="Arial"/>
              </w:rPr>
              <w:t>a</w:t>
            </w:r>
            <w:r w:rsidRPr="00995906">
              <w:rPr>
                <w:rFonts w:cs="Arial"/>
              </w:rPr>
              <w:t xml:space="preserve">schung: 2,5 g/Tonne </w:t>
            </w:r>
          </w:p>
        </w:tc>
        <w:tc>
          <w:tcPr>
            <w:tcW w:w="1701" w:type="dxa"/>
            <w:vAlign w:val="bottom"/>
          </w:tcPr>
          <w:p w:rsidR="00D30D90" w:rsidRPr="00995906" w:rsidRDefault="00D30D90" w:rsidP="00D30D90">
            <w:pPr>
              <w:pStyle w:val="GesAbsatz"/>
              <w:jc w:val="center"/>
              <w:rPr>
                <w:rFonts w:cs="Arial"/>
              </w:rPr>
            </w:pPr>
            <w:r w:rsidRPr="00995906">
              <w:rPr>
                <w:rFonts w:cs="Arial"/>
              </w:rPr>
              <w:t>1,5 mg/l</w:t>
            </w:r>
          </w:p>
        </w:tc>
        <w:tc>
          <w:tcPr>
            <w:tcW w:w="1275" w:type="dxa"/>
            <w:vMerge/>
          </w:tcPr>
          <w:p w:rsidR="00D30D90" w:rsidRPr="00995906" w:rsidRDefault="00D30D90" w:rsidP="00D30D90">
            <w:pPr>
              <w:pStyle w:val="GesAbsatz"/>
              <w:jc w:val="center"/>
              <w:rPr>
                <w:rFonts w:cs="Arial"/>
              </w:rPr>
            </w:pPr>
          </w:p>
        </w:tc>
      </w:tr>
      <w:tr w:rsidR="00D30D90" w:rsidRPr="00995906" w:rsidTr="00C85523">
        <w:tblPrEx>
          <w:tblLook w:val="0000" w:firstRow="0" w:lastRow="0" w:firstColumn="0" w:lastColumn="0" w:noHBand="0" w:noVBand="0"/>
        </w:tblPrEx>
        <w:trPr>
          <w:trHeight w:val="515"/>
        </w:trPr>
        <w:tc>
          <w:tcPr>
            <w:tcW w:w="2376" w:type="dxa"/>
            <w:vMerge/>
          </w:tcPr>
          <w:p w:rsidR="00D30D90" w:rsidRPr="00995906" w:rsidRDefault="00D30D90" w:rsidP="00995906">
            <w:pPr>
              <w:pStyle w:val="GesAbsatz"/>
              <w:rPr>
                <w:rFonts w:cs="Arial"/>
              </w:rPr>
            </w:pPr>
          </w:p>
        </w:tc>
        <w:tc>
          <w:tcPr>
            <w:tcW w:w="1418" w:type="dxa"/>
            <w:vMerge w:val="restart"/>
            <w:vAlign w:val="center"/>
          </w:tcPr>
          <w:p w:rsidR="00D30D90" w:rsidRPr="00995906" w:rsidRDefault="00D30D90" w:rsidP="000D6BB7">
            <w:pPr>
              <w:pStyle w:val="GesAbsatz"/>
              <w:jc w:val="center"/>
              <w:rPr>
                <w:rFonts w:cs="Arial"/>
              </w:rPr>
            </w:pPr>
            <w:r w:rsidRPr="00995906">
              <w:rPr>
                <w:rFonts w:cs="Arial"/>
              </w:rPr>
              <w:t>Tag</w:t>
            </w:r>
          </w:p>
        </w:tc>
        <w:tc>
          <w:tcPr>
            <w:tcW w:w="2977" w:type="dxa"/>
          </w:tcPr>
          <w:p w:rsidR="00D30D90" w:rsidRPr="00995906" w:rsidRDefault="00D30D90" w:rsidP="00D30D90">
            <w:pPr>
              <w:pStyle w:val="GesAbsatz"/>
              <w:ind w:left="317" w:hanging="317"/>
              <w:jc w:val="left"/>
              <w:rPr>
                <w:rFonts w:cs="Arial"/>
              </w:rPr>
            </w:pPr>
            <w:r w:rsidRPr="00995906">
              <w:rPr>
                <w:rFonts w:cs="Arial"/>
              </w:rPr>
              <w:t>a)</w:t>
            </w:r>
            <w:r>
              <w:rPr>
                <w:rFonts w:cs="Arial"/>
              </w:rPr>
              <w:tab/>
            </w:r>
            <w:r w:rsidRPr="00995906">
              <w:rPr>
                <w:rFonts w:cs="Arial"/>
              </w:rPr>
              <w:t>Verfahren mit Ausw</w:t>
            </w:r>
            <w:r w:rsidRPr="00995906">
              <w:rPr>
                <w:rFonts w:cs="Arial"/>
              </w:rPr>
              <w:t>a</w:t>
            </w:r>
            <w:r w:rsidRPr="00995906">
              <w:rPr>
                <w:rFonts w:cs="Arial"/>
              </w:rPr>
              <w:t xml:space="preserve">schung: 80 g/Tonne </w:t>
            </w:r>
          </w:p>
        </w:tc>
        <w:tc>
          <w:tcPr>
            <w:tcW w:w="1701" w:type="dxa"/>
            <w:vAlign w:val="bottom"/>
          </w:tcPr>
          <w:p w:rsidR="00D30D90" w:rsidRPr="00995906" w:rsidRDefault="00D30D90" w:rsidP="00D30D90">
            <w:pPr>
              <w:pStyle w:val="GesAbsatz"/>
              <w:jc w:val="center"/>
              <w:rPr>
                <w:rFonts w:cs="Arial"/>
              </w:rPr>
            </w:pPr>
            <w:r w:rsidRPr="00995906">
              <w:rPr>
                <w:rFonts w:cs="Arial"/>
              </w:rPr>
              <w:t>3 mg/l</w:t>
            </w:r>
          </w:p>
        </w:tc>
        <w:tc>
          <w:tcPr>
            <w:tcW w:w="1275" w:type="dxa"/>
            <w:vMerge/>
          </w:tcPr>
          <w:p w:rsidR="00D30D90" w:rsidRPr="00995906" w:rsidRDefault="00D30D90" w:rsidP="00D30D90">
            <w:pPr>
              <w:pStyle w:val="GesAbsatz"/>
              <w:jc w:val="center"/>
              <w:rPr>
                <w:rFonts w:cs="Arial"/>
              </w:rPr>
            </w:pPr>
          </w:p>
        </w:tc>
      </w:tr>
      <w:tr w:rsidR="00D30D90" w:rsidRPr="00995906" w:rsidTr="00C85523">
        <w:tblPrEx>
          <w:tblLook w:val="0000" w:firstRow="0" w:lastRow="0" w:firstColumn="0" w:lastColumn="0" w:noHBand="0" w:noVBand="0"/>
        </w:tblPrEx>
        <w:trPr>
          <w:trHeight w:val="495"/>
        </w:trPr>
        <w:tc>
          <w:tcPr>
            <w:tcW w:w="2376" w:type="dxa"/>
            <w:vMerge/>
          </w:tcPr>
          <w:p w:rsidR="00D30D90" w:rsidRPr="00995906" w:rsidRDefault="00D30D90" w:rsidP="00995906">
            <w:pPr>
              <w:pStyle w:val="GesAbsatz"/>
              <w:rPr>
                <w:rFonts w:cs="Arial"/>
              </w:rPr>
            </w:pPr>
          </w:p>
        </w:tc>
        <w:tc>
          <w:tcPr>
            <w:tcW w:w="1418" w:type="dxa"/>
            <w:vMerge/>
          </w:tcPr>
          <w:p w:rsidR="00D30D90" w:rsidRPr="00995906" w:rsidRDefault="00D30D90" w:rsidP="00995906">
            <w:pPr>
              <w:pStyle w:val="GesAbsatz"/>
              <w:rPr>
                <w:rFonts w:cs="Arial"/>
              </w:rPr>
            </w:pPr>
          </w:p>
        </w:tc>
        <w:tc>
          <w:tcPr>
            <w:tcW w:w="2977" w:type="dxa"/>
          </w:tcPr>
          <w:p w:rsidR="00D30D90" w:rsidRPr="00995906" w:rsidRDefault="00D30D90" w:rsidP="00D30D90">
            <w:pPr>
              <w:pStyle w:val="GesAbsatz"/>
              <w:ind w:left="317" w:hanging="317"/>
              <w:jc w:val="left"/>
              <w:rPr>
                <w:rFonts w:cs="Arial"/>
              </w:rPr>
            </w:pPr>
            <w:r w:rsidRPr="00995906">
              <w:rPr>
                <w:rFonts w:cs="Arial"/>
              </w:rPr>
              <w:t>b)</w:t>
            </w:r>
            <w:r>
              <w:rPr>
                <w:rFonts w:cs="Arial"/>
              </w:rPr>
              <w:tab/>
            </w:r>
            <w:r w:rsidRPr="00995906">
              <w:rPr>
                <w:rFonts w:cs="Arial"/>
              </w:rPr>
              <w:t>Verfahren ohne Ausw</w:t>
            </w:r>
            <w:r w:rsidRPr="00995906">
              <w:rPr>
                <w:rFonts w:cs="Arial"/>
              </w:rPr>
              <w:t>a</w:t>
            </w:r>
            <w:r w:rsidRPr="00995906">
              <w:rPr>
                <w:rFonts w:cs="Arial"/>
              </w:rPr>
              <w:t xml:space="preserve">schung: 5 g/Tonne </w:t>
            </w:r>
          </w:p>
        </w:tc>
        <w:tc>
          <w:tcPr>
            <w:tcW w:w="1701" w:type="dxa"/>
            <w:vAlign w:val="bottom"/>
          </w:tcPr>
          <w:p w:rsidR="00D30D90" w:rsidRPr="00995906" w:rsidRDefault="00D30D90" w:rsidP="00D30D90">
            <w:pPr>
              <w:pStyle w:val="GesAbsatz"/>
              <w:jc w:val="center"/>
              <w:rPr>
                <w:rFonts w:cs="Arial"/>
              </w:rPr>
            </w:pPr>
            <w:r w:rsidRPr="00995906">
              <w:rPr>
                <w:rFonts w:cs="Arial"/>
              </w:rPr>
              <w:t>3 mg/l</w:t>
            </w:r>
          </w:p>
        </w:tc>
        <w:tc>
          <w:tcPr>
            <w:tcW w:w="1275" w:type="dxa"/>
            <w:vMerge/>
          </w:tcPr>
          <w:p w:rsidR="00D30D90" w:rsidRPr="00995906" w:rsidRDefault="00D30D90" w:rsidP="00D30D90">
            <w:pPr>
              <w:pStyle w:val="GesAbsatz"/>
              <w:jc w:val="center"/>
              <w:rPr>
                <w:rFonts w:cs="Arial"/>
              </w:rPr>
            </w:pPr>
          </w:p>
        </w:tc>
      </w:tr>
      <w:tr w:rsidR="00BD7761" w:rsidRPr="00995906" w:rsidTr="00C85523">
        <w:tblPrEx>
          <w:tblLook w:val="0000" w:firstRow="0" w:lastRow="0" w:firstColumn="0" w:lastColumn="0" w:noHBand="0" w:noVBand="0"/>
        </w:tblPrEx>
        <w:trPr>
          <w:trHeight w:val="738"/>
        </w:trPr>
        <w:tc>
          <w:tcPr>
            <w:tcW w:w="2376" w:type="dxa"/>
            <w:vMerge w:val="restart"/>
          </w:tcPr>
          <w:p w:rsidR="00BD7761" w:rsidRPr="00995906" w:rsidRDefault="00BD7761" w:rsidP="00D30D90">
            <w:pPr>
              <w:pStyle w:val="GesAbsatz"/>
              <w:ind w:left="284" w:hanging="284"/>
              <w:jc w:val="left"/>
              <w:rPr>
                <w:rFonts w:cs="Arial"/>
              </w:rPr>
            </w:pPr>
            <w:r w:rsidRPr="00995906">
              <w:rPr>
                <w:rFonts w:cs="Arial"/>
              </w:rPr>
              <w:t>2.</w:t>
            </w:r>
            <w:r>
              <w:rPr>
                <w:rFonts w:cs="Arial"/>
              </w:rPr>
              <w:tab/>
            </w:r>
            <w:r w:rsidRPr="00995906">
              <w:rPr>
                <w:rFonts w:cs="Arial"/>
              </w:rPr>
              <w:t xml:space="preserve">Herstellung von </w:t>
            </w:r>
            <w:r>
              <w:rPr>
                <w:rFonts w:cs="Arial"/>
              </w:rPr>
              <w:t>Chlor</w:t>
            </w:r>
            <w:r w:rsidRPr="00995906">
              <w:rPr>
                <w:rFonts w:cs="Arial"/>
              </w:rPr>
              <w:t>methanen durch Me</w:t>
            </w:r>
            <w:r>
              <w:rPr>
                <w:rFonts w:cs="Arial"/>
              </w:rPr>
              <w:t>than</w:t>
            </w:r>
            <w:r w:rsidRPr="00995906">
              <w:rPr>
                <w:rFonts w:cs="Arial"/>
              </w:rPr>
              <w:t>chl</w:t>
            </w:r>
            <w:r w:rsidRPr="00995906">
              <w:rPr>
                <w:rFonts w:cs="Arial"/>
              </w:rPr>
              <w:t>o</w:t>
            </w:r>
            <w:r w:rsidRPr="00995906">
              <w:rPr>
                <w:rFonts w:cs="Arial"/>
              </w:rPr>
              <w:t>rierung (einschlie</w:t>
            </w:r>
            <w:r w:rsidRPr="00995906">
              <w:rPr>
                <w:rFonts w:cs="Arial"/>
              </w:rPr>
              <w:t>ß</w:t>
            </w:r>
            <w:r w:rsidRPr="00995906">
              <w:rPr>
                <w:rFonts w:cs="Arial"/>
              </w:rPr>
              <w:t xml:space="preserve">lich Hochdruck-Chlorolyseverfahren) und aus Methanol </w:t>
            </w:r>
          </w:p>
        </w:tc>
        <w:tc>
          <w:tcPr>
            <w:tcW w:w="1418" w:type="dxa"/>
            <w:vAlign w:val="center"/>
          </w:tcPr>
          <w:p w:rsidR="00BD7761" w:rsidRPr="00995906" w:rsidRDefault="00BD7761" w:rsidP="00D30D90">
            <w:pPr>
              <w:pStyle w:val="GesAbsatz"/>
              <w:jc w:val="center"/>
              <w:rPr>
                <w:rFonts w:cs="Arial"/>
              </w:rPr>
            </w:pPr>
            <w:r w:rsidRPr="00995906">
              <w:rPr>
                <w:rFonts w:cs="Arial"/>
              </w:rPr>
              <w:t>Monat</w:t>
            </w:r>
          </w:p>
        </w:tc>
        <w:tc>
          <w:tcPr>
            <w:tcW w:w="2977" w:type="dxa"/>
          </w:tcPr>
          <w:p w:rsidR="00BD7761" w:rsidRPr="00995906" w:rsidRDefault="00BD7761" w:rsidP="00D30D90">
            <w:pPr>
              <w:pStyle w:val="GesAbsatz"/>
              <w:jc w:val="left"/>
              <w:rPr>
                <w:rFonts w:cs="Arial"/>
              </w:rPr>
            </w:pPr>
            <w:r>
              <w:rPr>
                <w:rFonts w:cs="Arial"/>
              </w:rPr>
              <w:t>10 g CCl</w:t>
            </w:r>
            <w:r w:rsidRPr="00D30D90">
              <w:rPr>
                <w:rFonts w:cs="Arial"/>
                <w:vertAlign w:val="subscript"/>
              </w:rPr>
              <w:t>4</w:t>
            </w:r>
            <w:r>
              <w:rPr>
                <w:rFonts w:cs="Arial"/>
              </w:rPr>
              <w:t xml:space="preserve"> je Ton</w:t>
            </w:r>
            <w:r w:rsidRPr="00995906">
              <w:rPr>
                <w:rFonts w:cs="Arial"/>
              </w:rPr>
              <w:t>ne Gesam</w:t>
            </w:r>
            <w:r w:rsidRPr="00995906">
              <w:rPr>
                <w:rFonts w:cs="Arial"/>
              </w:rPr>
              <w:t>t</w:t>
            </w:r>
            <w:r w:rsidRPr="00995906">
              <w:rPr>
                <w:rFonts w:cs="Arial"/>
              </w:rPr>
              <w:t>pro</w:t>
            </w:r>
            <w:r>
              <w:rPr>
                <w:rFonts w:cs="Arial"/>
              </w:rPr>
              <w:t>duk</w:t>
            </w:r>
            <w:r w:rsidRPr="00995906">
              <w:rPr>
                <w:rFonts w:cs="Arial"/>
              </w:rPr>
              <w:t>tionskapazität Chlorm</w:t>
            </w:r>
            <w:r w:rsidRPr="00995906">
              <w:rPr>
                <w:rFonts w:cs="Arial"/>
              </w:rPr>
              <w:t>e</w:t>
            </w:r>
            <w:r w:rsidRPr="00995906">
              <w:rPr>
                <w:rFonts w:cs="Arial"/>
              </w:rPr>
              <w:t xml:space="preserve">thane </w:t>
            </w:r>
          </w:p>
        </w:tc>
        <w:tc>
          <w:tcPr>
            <w:tcW w:w="1701" w:type="dxa"/>
            <w:vAlign w:val="center"/>
          </w:tcPr>
          <w:p w:rsidR="00BD7761" w:rsidRPr="00995906" w:rsidRDefault="00BD7761" w:rsidP="006E2581">
            <w:pPr>
              <w:pStyle w:val="GesAbsatz"/>
              <w:jc w:val="center"/>
              <w:rPr>
                <w:rFonts w:cs="Arial"/>
              </w:rPr>
            </w:pPr>
            <w:r w:rsidRPr="00995906">
              <w:rPr>
                <w:rFonts w:cs="Arial"/>
              </w:rPr>
              <w:t>1,5 mg/l</w:t>
            </w:r>
          </w:p>
        </w:tc>
        <w:tc>
          <w:tcPr>
            <w:tcW w:w="1275" w:type="dxa"/>
            <w:vMerge w:val="restart"/>
            <w:vAlign w:val="center"/>
          </w:tcPr>
          <w:p w:rsidR="00BD7761" w:rsidRPr="00995906" w:rsidRDefault="00BD7761" w:rsidP="006E2581">
            <w:pPr>
              <w:pStyle w:val="GesAbsatz"/>
              <w:jc w:val="center"/>
              <w:rPr>
                <w:rFonts w:cs="Arial"/>
              </w:rPr>
            </w:pPr>
            <w:r w:rsidRPr="00995906">
              <w:rPr>
                <w:rFonts w:cs="Arial"/>
              </w:rPr>
              <w:t>1.1.1988</w:t>
            </w:r>
          </w:p>
        </w:tc>
      </w:tr>
      <w:tr w:rsidR="00BD7761" w:rsidRPr="00995906" w:rsidTr="00C85523">
        <w:tblPrEx>
          <w:tblLook w:val="0000" w:firstRow="0" w:lastRow="0" w:firstColumn="0" w:lastColumn="0" w:noHBand="0" w:noVBand="0"/>
        </w:tblPrEx>
        <w:trPr>
          <w:trHeight w:val="408"/>
        </w:trPr>
        <w:tc>
          <w:tcPr>
            <w:tcW w:w="2376" w:type="dxa"/>
            <w:vMerge/>
          </w:tcPr>
          <w:p w:rsidR="00BD7761" w:rsidRPr="00995906" w:rsidRDefault="00BD7761" w:rsidP="00D30D90">
            <w:pPr>
              <w:pStyle w:val="GesAbsatz"/>
              <w:jc w:val="left"/>
              <w:rPr>
                <w:rFonts w:cs="Arial"/>
              </w:rPr>
            </w:pPr>
          </w:p>
        </w:tc>
        <w:tc>
          <w:tcPr>
            <w:tcW w:w="1418" w:type="dxa"/>
            <w:vAlign w:val="center"/>
          </w:tcPr>
          <w:p w:rsidR="00BD7761" w:rsidRPr="00995906" w:rsidRDefault="00BD7761" w:rsidP="00D30D90">
            <w:pPr>
              <w:pStyle w:val="GesAbsatz"/>
              <w:jc w:val="center"/>
              <w:rPr>
                <w:rFonts w:cs="Arial"/>
              </w:rPr>
            </w:pPr>
            <w:r w:rsidRPr="00995906">
              <w:rPr>
                <w:rFonts w:cs="Arial"/>
              </w:rPr>
              <w:t>Tag</w:t>
            </w:r>
          </w:p>
        </w:tc>
        <w:tc>
          <w:tcPr>
            <w:tcW w:w="2977" w:type="dxa"/>
            <w:vAlign w:val="center"/>
          </w:tcPr>
          <w:p w:rsidR="00BD7761" w:rsidRPr="00995906" w:rsidRDefault="00BD7761" w:rsidP="00D30D90">
            <w:pPr>
              <w:pStyle w:val="GesAbsatz"/>
              <w:jc w:val="center"/>
              <w:rPr>
                <w:rFonts w:cs="Arial"/>
              </w:rPr>
            </w:pPr>
            <w:r w:rsidRPr="00995906">
              <w:rPr>
                <w:rFonts w:cs="Arial"/>
              </w:rPr>
              <w:t>20 g je Tonne</w:t>
            </w:r>
          </w:p>
        </w:tc>
        <w:tc>
          <w:tcPr>
            <w:tcW w:w="1701" w:type="dxa"/>
            <w:vAlign w:val="center"/>
          </w:tcPr>
          <w:p w:rsidR="00BD7761" w:rsidRPr="00995906" w:rsidRDefault="00BD7761" w:rsidP="00D30D90">
            <w:pPr>
              <w:pStyle w:val="GesAbsatz"/>
              <w:jc w:val="center"/>
              <w:rPr>
                <w:rFonts w:cs="Arial"/>
              </w:rPr>
            </w:pPr>
            <w:r w:rsidRPr="00995906">
              <w:rPr>
                <w:rFonts w:cs="Arial"/>
              </w:rPr>
              <w:t>3 mg/l</w:t>
            </w:r>
          </w:p>
        </w:tc>
        <w:tc>
          <w:tcPr>
            <w:tcW w:w="1275" w:type="dxa"/>
            <w:vMerge/>
            <w:vAlign w:val="bottom"/>
          </w:tcPr>
          <w:p w:rsidR="00BD7761" w:rsidRPr="00995906" w:rsidRDefault="00BD7761" w:rsidP="00D30D90">
            <w:pPr>
              <w:pStyle w:val="GesAbsatz"/>
              <w:jc w:val="center"/>
              <w:rPr>
                <w:rFonts w:cs="Arial"/>
              </w:rPr>
            </w:pPr>
          </w:p>
        </w:tc>
      </w:tr>
      <w:tr w:rsidR="006E2581" w:rsidRPr="00995906" w:rsidTr="00C85523">
        <w:tblPrEx>
          <w:tblLook w:val="0000" w:firstRow="0" w:lastRow="0" w:firstColumn="0" w:lastColumn="0" w:noHBand="0" w:noVBand="0"/>
        </w:tblPrEx>
        <w:trPr>
          <w:trHeight w:val="254"/>
        </w:trPr>
        <w:tc>
          <w:tcPr>
            <w:tcW w:w="2376" w:type="dxa"/>
            <w:vMerge w:val="restart"/>
          </w:tcPr>
          <w:p w:rsidR="006E2581" w:rsidRPr="00995906" w:rsidRDefault="006E2581" w:rsidP="00D30D90">
            <w:pPr>
              <w:pStyle w:val="GesAbsatz"/>
              <w:ind w:left="284" w:hanging="284"/>
              <w:rPr>
                <w:rFonts w:cs="Arial"/>
              </w:rPr>
            </w:pPr>
            <w:r w:rsidRPr="00995906">
              <w:rPr>
                <w:rFonts w:cs="Arial"/>
              </w:rPr>
              <w:t>3.</w:t>
            </w:r>
            <w:r>
              <w:rPr>
                <w:rFonts w:cs="Arial"/>
              </w:rPr>
              <w:tab/>
            </w:r>
            <w:r w:rsidRPr="00995906">
              <w:rPr>
                <w:rFonts w:cs="Arial"/>
              </w:rPr>
              <w:t>Herstellung von Fl</w:t>
            </w:r>
            <w:r w:rsidRPr="00995906">
              <w:rPr>
                <w:rFonts w:cs="Arial"/>
              </w:rPr>
              <w:t>u</w:t>
            </w:r>
            <w:r>
              <w:rPr>
                <w:rFonts w:cs="Arial"/>
              </w:rPr>
              <w:t>orc</w:t>
            </w:r>
            <w:r w:rsidRPr="00995906">
              <w:rPr>
                <w:rFonts w:cs="Arial"/>
              </w:rPr>
              <w:t>hlorkohlenwa</w:t>
            </w:r>
            <w:r w:rsidRPr="00995906">
              <w:rPr>
                <w:rFonts w:cs="Arial"/>
              </w:rPr>
              <w:t>s</w:t>
            </w:r>
            <w:r w:rsidRPr="00995906">
              <w:rPr>
                <w:rFonts w:cs="Arial"/>
              </w:rPr>
              <w:t>serstoff</w:t>
            </w:r>
            <w:r w:rsidR="00C85523">
              <w:rPr>
                <w:rFonts w:cs="Arial"/>
                <w:vertAlign w:val="superscript"/>
              </w:rPr>
              <w:t>4)</w:t>
            </w:r>
            <w:r>
              <w:rPr>
                <w:rFonts w:cs="Arial"/>
              </w:rPr>
              <w:t xml:space="preserve"> </w:t>
            </w:r>
          </w:p>
        </w:tc>
        <w:tc>
          <w:tcPr>
            <w:tcW w:w="1418" w:type="dxa"/>
            <w:vAlign w:val="center"/>
          </w:tcPr>
          <w:p w:rsidR="006E2581" w:rsidRPr="00995906" w:rsidRDefault="006E2581" w:rsidP="00D30D90">
            <w:pPr>
              <w:pStyle w:val="GesAbsatz"/>
              <w:jc w:val="center"/>
              <w:rPr>
                <w:rFonts w:cs="Arial"/>
              </w:rPr>
            </w:pPr>
            <w:r>
              <w:rPr>
                <w:rFonts w:cs="Arial"/>
              </w:rPr>
              <w:t>Monat</w:t>
            </w:r>
          </w:p>
        </w:tc>
        <w:tc>
          <w:tcPr>
            <w:tcW w:w="2977" w:type="dxa"/>
            <w:vAlign w:val="center"/>
          </w:tcPr>
          <w:p w:rsidR="006E2581" w:rsidRPr="00995906" w:rsidRDefault="006E2581" w:rsidP="00D30D90">
            <w:pPr>
              <w:pStyle w:val="GesAbsatz"/>
              <w:jc w:val="center"/>
              <w:rPr>
                <w:rFonts w:cs="Arial"/>
              </w:rPr>
            </w:pPr>
            <w:r w:rsidRPr="00995906">
              <w:rPr>
                <w:rFonts w:cs="Arial"/>
              </w:rPr>
              <w:t>-</w:t>
            </w:r>
          </w:p>
        </w:tc>
        <w:tc>
          <w:tcPr>
            <w:tcW w:w="1701" w:type="dxa"/>
            <w:vAlign w:val="center"/>
          </w:tcPr>
          <w:p w:rsidR="006E2581" w:rsidRPr="00995906" w:rsidRDefault="006E2581" w:rsidP="00D30D90">
            <w:pPr>
              <w:pStyle w:val="GesAbsatz"/>
              <w:jc w:val="center"/>
              <w:rPr>
                <w:rFonts w:cs="Arial"/>
              </w:rPr>
            </w:pPr>
            <w:r w:rsidRPr="00995906">
              <w:rPr>
                <w:rFonts w:cs="Arial"/>
              </w:rPr>
              <w:t>-</w:t>
            </w:r>
          </w:p>
        </w:tc>
        <w:tc>
          <w:tcPr>
            <w:tcW w:w="1275" w:type="dxa"/>
            <w:vAlign w:val="center"/>
          </w:tcPr>
          <w:p w:rsidR="006E2581" w:rsidRPr="00995906" w:rsidRDefault="006E2581" w:rsidP="00D30D90">
            <w:pPr>
              <w:pStyle w:val="GesAbsatz"/>
              <w:jc w:val="center"/>
              <w:rPr>
                <w:rFonts w:cs="Arial"/>
              </w:rPr>
            </w:pPr>
            <w:r w:rsidRPr="00995906">
              <w:rPr>
                <w:rFonts w:cs="Arial"/>
              </w:rPr>
              <w:t>-</w:t>
            </w:r>
          </w:p>
        </w:tc>
      </w:tr>
      <w:tr w:rsidR="006E2581" w:rsidRPr="00995906" w:rsidTr="00C85523">
        <w:tblPrEx>
          <w:tblLook w:val="0000" w:firstRow="0" w:lastRow="0" w:firstColumn="0" w:lastColumn="0" w:noHBand="0" w:noVBand="0"/>
        </w:tblPrEx>
        <w:trPr>
          <w:trHeight w:val="315"/>
        </w:trPr>
        <w:tc>
          <w:tcPr>
            <w:tcW w:w="2376" w:type="dxa"/>
            <w:vMerge/>
          </w:tcPr>
          <w:p w:rsidR="006E2581" w:rsidRPr="00995906" w:rsidRDefault="006E2581" w:rsidP="00995906">
            <w:pPr>
              <w:pStyle w:val="GesAbsatz"/>
              <w:rPr>
                <w:rFonts w:cs="Arial"/>
              </w:rPr>
            </w:pPr>
          </w:p>
        </w:tc>
        <w:tc>
          <w:tcPr>
            <w:tcW w:w="1418" w:type="dxa"/>
            <w:vAlign w:val="center"/>
          </w:tcPr>
          <w:p w:rsidR="006E2581" w:rsidRDefault="006E2581" w:rsidP="00D30D90">
            <w:pPr>
              <w:pStyle w:val="GesAbsatz"/>
              <w:jc w:val="center"/>
              <w:rPr>
                <w:rFonts w:cs="Arial"/>
              </w:rPr>
            </w:pPr>
            <w:r w:rsidRPr="00995906">
              <w:rPr>
                <w:rFonts w:cs="Arial"/>
              </w:rPr>
              <w:t>Tag</w:t>
            </w:r>
          </w:p>
        </w:tc>
        <w:tc>
          <w:tcPr>
            <w:tcW w:w="2977" w:type="dxa"/>
            <w:vAlign w:val="center"/>
          </w:tcPr>
          <w:p w:rsidR="006E2581" w:rsidRPr="00995906" w:rsidRDefault="006E2581" w:rsidP="00D30D90">
            <w:pPr>
              <w:pStyle w:val="GesAbsatz"/>
              <w:jc w:val="center"/>
              <w:rPr>
                <w:rFonts w:cs="Arial"/>
              </w:rPr>
            </w:pPr>
            <w:r w:rsidRPr="00995906">
              <w:rPr>
                <w:rFonts w:cs="Arial"/>
              </w:rPr>
              <w:t>-</w:t>
            </w:r>
          </w:p>
        </w:tc>
        <w:tc>
          <w:tcPr>
            <w:tcW w:w="1701" w:type="dxa"/>
            <w:vAlign w:val="center"/>
          </w:tcPr>
          <w:p w:rsidR="006E2581" w:rsidRPr="00995906" w:rsidRDefault="006E2581" w:rsidP="00D30D90">
            <w:pPr>
              <w:pStyle w:val="GesAbsatz"/>
              <w:jc w:val="center"/>
              <w:rPr>
                <w:rFonts w:cs="Arial"/>
              </w:rPr>
            </w:pPr>
            <w:r w:rsidRPr="00995906">
              <w:rPr>
                <w:rFonts w:cs="Arial"/>
              </w:rPr>
              <w:t>-</w:t>
            </w:r>
          </w:p>
        </w:tc>
        <w:tc>
          <w:tcPr>
            <w:tcW w:w="1275" w:type="dxa"/>
            <w:vAlign w:val="center"/>
          </w:tcPr>
          <w:p w:rsidR="006E2581" w:rsidRPr="00995906" w:rsidRDefault="006E2581" w:rsidP="00D30D90">
            <w:pPr>
              <w:pStyle w:val="GesAbsatz"/>
              <w:jc w:val="center"/>
              <w:rPr>
                <w:rFonts w:cs="Arial"/>
              </w:rPr>
            </w:pPr>
            <w:r w:rsidRPr="00995906">
              <w:rPr>
                <w:rFonts w:cs="Arial"/>
              </w:rPr>
              <w:t>-</w:t>
            </w:r>
          </w:p>
        </w:tc>
      </w:tr>
      <w:tr w:rsidR="00306463" w:rsidRPr="00421C9D" w:rsidTr="00C85523">
        <w:tblPrEx>
          <w:tblLook w:val="0000" w:firstRow="0" w:lastRow="0" w:firstColumn="0" w:lastColumn="0" w:noHBand="0" w:noVBand="0"/>
        </w:tblPrEx>
        <w:trPr>
          <w:trHeight w:val="315"/>
        </w:trPr>
        <w:tc>
          <w:tcPr>
            <w:tcW w:w="9747" w:type="dxa"/>
            <w:gridSpan w:val="5"/>
          </w:tcPr>
          <w:p w:rsidR="00306463" w:rsidRPr="00421C9D" w:rsidRDefault="00C85523" w:rsidP="00306463">
            <w:pPr>
              <w:pStyle w:val="GesAbsatz"/>
              <w:rPr>
                <w:rFonts w:cs="Arial"/>
                <w:sz w:val="16"/>
                <w:szCs w:val="16"/>
              </w:rPr>
            </w:pPr>
            <w:r w:rsidRPr="00421C9D">
              <w:rPr>
                <w:rFonts w:cs="Arial"/>
                <w:sz w:val="16"/>
                <w:szCs w:val="16"/>
                <w:vertAlign w:val="superscript"/>
              </w:rPr>
              <w:t xml:space="preserve">1) </w:t>
            </w:r>
            <w:r w:rsidR="00306463" w:rsidRPr="00421C9D">
              <w:rPr>
                <w:rFonts w:cs="Arial"/>
                <w:sz w:val="16"/>
                <w:szCs w:val="16"/>
              </w:rPr>
              <w:t>Bei den in Anhang I Teil A Nummer 3 genannten Industriebetrieben erfolgt ein Hinweisnamentlich auf Betriebe, die Tetrachlorko</w:t>
            </w:r>
            <w:r w:rsidR="00306463" w:rsidRPr="00421C9D">
              <w:rPr>
                <w:rFonts w:cs="Arial"/>
                <w:sz w:val="16"/>
                <w:szCs w:val="16"/>
              </w:rPr>
              <w:t>h</w:t>
            </w:r>
            <w:r w:rsidR="00306463" w:rsidRPr="00421C9D">
              <w:rPr>
                <w:rFonts w:cs="Arial"/>
                <w:sz w:val="16"/>
                <w:szCs w:val="16"/>
              </w:rPr>
              <w:t>lenstoff als Lösungsmittel verwenden.</w:t>
            </w:r>
          </w:p>
          <w:p w:rsidR="00306463" w:rsidRPr="00421C9D" w:rsidRDefault="00C85523" w:rsidP="00306463">
            <w:pPr>
              <w:pStyle w:val="GesAbsatz"/>
              <w:rPr>
                <w:rFonts w:cs="Arial"/>
                <w:sz w:val="16"/>
                <w:szCs w:val="16"/>
              </w:rPr>
            </w:pPr>
            <w:r w:rsidRPr="00421C9D">
              <w:rPr>
                <w:rFonts w:cs="Arial"/>
                <w:sz w:val="16"/>
                <w:szCs w:val="16"/>
                <w:vertAlign w:val="superscript"/>
              </w:rPr>
              <w:t xml:space="preserve">2) </w:t>
            </w:r>
            <w:r w:rsidR="00306463" w:rsidRPr="00421C9D">
              <w:rPr>
                <w:rFonts w:cs="Arial"/>
                <w:sz w:val="16"/>
                <w:szCs w:val="16"/>
              </w:rPr>
              <w:t>Ein vereinfachtes Überwachungsverfahren kann eingerichtet werden, wenn die Ableitungen pro Jahr 30 kg nicht übersteigen.</w:t>
            </w:r>
          </w:p>
          <w:p w:rsidR="00306463" w:rsidRPr="00421C9D" w:rsidRDefault="00C85523" w:rsidP="00306463">
            <w:pPr>
              <w:pStyle w:val="GesAbsatz"/>
              <w:rPr>
                <w:rFonts w:cs="Arial"/>
                <w:sz w:val="16"/>
                <w:szCs w:val="16"/>
              </w:rPr>
            </w:pPr>
            <w:r w:rsidRPr="00421C9D">
              <w:rPr>
                <w:rFonts w:cs="Arial"/>
                <w:sz w:val="16"/>
                <w:szCs w:val="16"/>
                <w:vertAlign w:val="superscript"/>
              </w:rPr>
              <w:t xml:space="preserve">3) </w:t>
            </w:r>
            <w:r w:rsidR="00306463" w:rsidRPr="00421C9D">
              <w:rPr>
                <w:rFonts w:cs="Arial"/>
                <w:sz w:val="16"/>
                <w:szCs w:val="16"/>
              </w:rPr>
              <w:t>In Anbetracht der Flüchtigkeit des Tetrachlorkohlenstoffs und zur Sicherstellung der Einhaltung von Artikel 3 Absatz 6 in Fällen, in denen Verfahren angewandt werden, bei denen die tetrachlorkohlenstoffhaltigen Abwässer einer starken Bewegung an frischer Luft ausgesetzt sind, schreiben die Mitgliedstaaten vor, daß die Grenzwerte vor dem Eintritt der Abwässer in die betreffenden Anlagen eingehalten werden; sie stellen sicher, daß das gesamte Wasser, das verunreinigt sein könnte, wirklich erfaßt wird.</w:t>
            </w:r>
          </w:p>
          <w:p w:rsidR="00306463" w:rsidRPr="00421C9D" w:rsidRDefault="00C85523" w:rsidP="00306463">
            <w:pPr>
              <w:pStyle w:val="GesAbsatz"/>
              <w:rPr>
                <w:rFonts w:cs="Arial"/>
                <w:sz w:val="16"/>
                <w:szCs w:val="16"/>
              </w:rPr>
            </w:pPr>
            <w:r w:rsidRPr="00421C9D">
              <w:rPr>
                <w:rFonts w:cs="Arial"/>
                <w:sz w:val="16"/>
                <w:szCs w:val="16"/>
                <w:vertAlign w:val="superscript"/>
              </w:rPr>
              <w:t xml:space="preserve">4) </w:t>
            </w:r>
            <w:r w:rsidR="00306463" w:rsidRPr="00421C9D">
              <w:rPr>
                <w:rFonts w:cs="Arial"/>
                <w:sz w:val="16"/>
                <w:szCs w:val="16"/>
              </w:rPr>
              <w:t>Es ist gegenwärtig nicht möglich, Grenzwerte für diesen Sektor festzulegen. Der Rat wird diese Grenzwerte später auf Vorschlag der Kommission festlegen.</w:t>
            </w:r>
          </w:p>
        </w:tc>
      </w:tr>
    </w:tbl>
    <w:p w:rsidR="0049151F" w:rsidRDefault="0049151F" w:rsidP="00995906">
      <w:pPr>
        <w:pStyle w:val="GesAbsatz"/>
        <w:rPr>
          <w:rFonts w:cs="Arial"/>
        </w:rPr>
      </w:pPr>
    </w:p>
    <w:p w:rsidR="00D30D90" w:rsidRPr="00995906" w:rsidRDefault="00D30D90" w:rsidP="00995906">
      <w:pPr>
        <w:pStyle w:val="GesAbsatz"/>
        <w:rPr>
          <w:rFonts w:cs="Arial"/>
        </w:rPr>
      </w:pPr>
    </w:p>
    <w:p w:rsidR="0049151F" w:rsidRPr="00995906" w:rsidRDefault="0049151F" w:rsidP="00995906">
      <w:pPr>
        <w:pStyle w:val="GesAbsatz"/>
        <w:rPr>
          <w:rFonts w:cs="Arial"/>
        </w:rPr>
      </w:pPr>
      <w:r w:rsidRPr="0019258F">
        <w:rPr>
          <w:rFonts w:cs="Arial"/>
          <w:b/>
        </w:rPr>
        <w:t>Teil C (13):</w:t>
      </w:r>
      <w:r w:rsidR="0019258F" w:rsidRPr="0019258F">
        <w:rPr>
          <w:rFonts w:cs="Arial"/>
          <w:b/>
        </w:rPr>
        <w:t xml:space="preserve"> </w:t>
      </w:r>
      <w:r w:rsidRPr="00995906">
        <w:rPr>
          <w:rFonts w:cs="Arial"/>
        </w:rPr>
        <w:t>Referenzme</w:t>
      </w:r>
      <w:r w:rsidR="0019258F">
        <w:rPr>
          <w:rFonts w:cs="Arial"/>
        </w:rPr>
        <w:t>ß</w:t>
      </w:r>
      <w:r w:rsidRPr="00995906">
        <w:rPr>
          <w:rFonts w:cs="Arial"/>
        </w:rPr>
        <w:t>verfahren</w:t>
      </w:r>
    </w:p>
    <w:p w:rsidR="0049151F" w:rsidRPr="00995906" w:rsidRDefault="0049151F" w:rsidP="006E2581">
      <w:pPr>
        <w:pStyle w:val="GesAbsatz"/>
        <w:ind w:left="426" w:hanging="426"/>
        <w:rPr>
          <w:rFonts w:cs="Arial"/>
        </w:rPr>
      </w:pPr>
      <w:r w:rsidRPr="00995906">
        <w:rPr>
          <w:rFonts w:cs="Arial"/>
        </w:rPr>
        <w:t>1.</w:t>
      </w:r>
      <w:r w:rsidR="006E2581">
        <w:rPr>
          <w:rFonts w:cs="Arial"/>
        </w:rPr>
        <w:tab/>
      </w:r>
      <w:r w:rsidRPr="00995906">
        <w:rPr>
          <w:rFonts w:cs="Arial"/>
        </w:rPr>
        <w:t>Referenzme</w:t>
      </w:r>
      <w:r w:rsidR="006E2581">
        <w:rPr>
          <w:rFonts w:cs="Arial"/>
        </w:rPr>
        <w:t>ß</w:t>
      </w:r>
      <w:r w:rsidRPr="00995906">
        <w:rPr>
          <w:rFonts w:cs="Arial"/>
        </w:rPr>
        <w:t>verfahren zur Bestimmung von Tetrachlorkohlenstoff in den Abwässern und Gewässern</w:t>
      </w:r>
      <w:r w:rsidR="006E2581">
        <w:rPr>
          <w:rFonts w:cs="Arial"/>
        </w:rPr>
        <w:t xml:space="preserve"> </w:t>
      </w:r>
      <w:r w:rsidRPr="00995906">
        <w:rPr>
          <w:rFonts w:cs="Arial"/>
        </w:rPr>
        <w:t>ist die Gaschromatographie.</w:t>
      </w:r>
    </w:p>
    <w:p w:rsidR="0049151F" w:rsidRPr="00995906" w:rsidRDefault="006E2581" w:rsidP="006E2581">
      <w:pPr>
        <w:pStyle w:val="GesAbsatz"/>
        <w:ind w:left="426" w:hanging="426"/>
        <w:rPr>
          <w:rFonts w:cs="Arial"/>
        </w:rPr>
      </w:pPr>
      <w:r>
        <w:rPr>
          <w:rFonts w:cs="Arial"/>
        </w:rPr>
        <w:tab/>
      </w:r>
      <w:r w:rsidR="0049151F" w:rsidRPr="00995906">
        <w:rPr>
          <w:rFonts w:cs="Arial"/>
        </w:rPr>
        <w:t>Ein empfindlicher Detektor ist zu verwenden, wenn die Konzentration unter 0,5 mg/l liegt; in diesem</w:t>
      </w:r>
      <w:r>
        <w:rPr>
          <w:rFonts w:cs="Arial"/>
        </w:rPr>
        <w:t xml:space="preserve"> </w:t>
      </w:r>
      <w:r w:rsidR="0049151F" w:rsidRPr="00995906">
        <w:rPr>
          <w:rFonts w:cs="Arial"/>
        </w:rPr>
        <w:t>Fall liegt die Bestimmungsgrenze</w:t>
      </w:r>
      <w:bookmarkStart w:id="13" w:name="_Ref151776696"/>
      <w:r w:rsidR="0018710E">
        <w:rPr>
          <w:rStyle w:val="Funotenzeichen"/>
          <w:rFonts w:cs="Arial"/>
        </w:rPr>
        <w:footnoteReference w:id="11"/>
      </w:r>
      <w:bookmarkEnd w:id="13"/>
      <w:r w:rsidR="0018710E">
        <w:rPr>
          <w:rFonts w:cs="Arial"/>
        </w:rPr>
        <w:t xml:space="preserve"> </w:t>
      </w:r>
      <w:r w:rsidR="0049151F" w:rsidRPr="00995906">
        <w:rPr>
          <w:rFonts w:cs="Arial"/>
        </w:rPr>
        <w:t>bei 0,1 µg/l. Bei einer Konzentration von über 0,5 mg/l ist eine</w:t>
      </w:r>
      <w:r>
        <w:rPr>
          <w:rFonts w:cs="Arial"/>
        </w:rPr>
        <w:t xml:space="preserve"> </w:t>
      </w:r>
      <w:r w:rsidR="0049151F" w:rsidRPr="00995906">
        <w:rPr>
          <w:rFonts w:cs="Arial"/>
        </w:rPr>
        <w:t>Besti</w:t>
      </w:r>
      <w:r w:rsidR="0049151F" w:rsidRPr="00995906">
        <w:rPr>
          <w:rFonts w:cs="Arial"/>
        </w:rPr>
        <w:t>m</w:t>
      </w:r>
      <w:r w:rsidR="0049151F" w:rsidRPr="00995906">
        <w:rPr>
          <w:rFonts w:cs="Arial"/>
        </w:rPr>
        <w:t>mungsgrenze</w:t>
      </w:r>
      <w:r w:rsidR="0018710E" w:rsidRPr="0018710E">
        <w:rPr>
          <w:rFonts w:cs="Arial"/>
          <w:vertAlign w:val="superscript"/>
        </w:rPr>
        <w:fldChar w:fldCharType="begin"/>
      </w:r>
      <w:r w:rsidR="0018710E" w:rsidRPr="0018710E">
        <w:rPr>
          <w:rFonts w:cs="Arial"/>
          <w:vertAlign w:val="superscript"/>
        </w:rPr>
        <w:instrText xml:space="preserve"> NOTEREF _Ref151776696 \h </w:instrText>
      </w:r>
      <w:r w:rsidR="0018710E">
        <w:rPr>
          <w:rFonts w:cs="Arial"/>
          <w:vertAlign w:val="superscript"/>
        </w:rPr>
        <w:instrText xml:space="preserve"> \* MERGEFORMAT </w:instrText>
      </w:r>
      <w:r w:rsidR="0018710E" w:rsidRPr="0018710E">
        <w:rPr>
          <w:rFonts w:cs="Arial"/>
          <w:vertAlign w:val="superscript"/>
        </w:rPr>
      </w:r>
      <w:r w:rsidR="0018710E" w:rsidRPr="0018710E">
        <w:rPr>
          <w:rFonts w:cs="Arial"/>
          <w:vertAlign w:val="superscript"/>
        </w:rPr>
        <w:fldChar w:fldCharType="separate"/>
      </w:r>
      <w:r w:rsidR="00421590">
        <w:rPr>
          <w:rFonts w:cs="Arial"/>
          <w:vertAlign w:val="superscript"/>
        </w:rPr>
        <w:t>12</w:t>
      </w:r>
      <w:r w:rsidR="0018710E" w:rsidRPr="0018710E">
        <w:rPr>
          <w:rFonts w:cs="Arial"/>
          <w:vertAlign w:val="superscript"/>
        </w:rPr>
        <w:fldChar w:fldCharType="end"/>
      </w:r>
      <w:r w:rsidR="0049151F" w:rsidRPr="00995906">
        <w:rPr>
          <w:rFonts w:cs="Arial"/>
        </w:rPr>
        <w:t xml:space="preserve"> von 0,1 mg/l angemessen.</w:t>
      </w:r>
    </w:p>
    <w:p w:rsidR="0049151F" w:rsidRDefault="0049151F" w:rsidP="006E2581">
      <w:pPr>
        <w:pStyle w:val="GesAbsatz"/>
        <w:ind w:left="426" w:hanging="426"/>
        <w:rPr>
          <w:rFonts w:cs="Arial"/>
        </w:rPr>
      </w:pPr>
      <w:r w:rsidRPr="00995906">
        <w:rPr>
          <w:rFonts w:cs="Arial"/>
        </w:rPr>
        <w:lastRenderedPageBreak/>
        <w:t>2.</w:t>
      </w:r>
      <w:r w:rsidR="006E2581">
        <w:rPr>
          <w:rFonts w:cs="Arial"/>
        </w:rPr>
        <w:tab/>
      </w:r>
      <w:r w:rsidRPr="00995906">
        <w:rPr>
          <w:rFonts w:cs="Arial"/>
        </w:rPr>
        <w:t>Die Richtigkeit und die Genauigkeit der Methode müssen ± 50 % bei einer Konzentration betragen,</w:t>
      </w:r>
      <w:r w:rsidR="006E2581">
        <w:rPr>
          <w:rFonts w:cs="Arial"/>
        </w:rPr>
        <w:t xml:space="preserve"> </w:t>
      </w:r>
      <w:r w:rsidRPr="00995906">
        <w:rPr>
          <w:rFonts w:cs="Arial"/>
        </w:rPr>
        <w:t>die dem doppelten Wert der Bestimmungsgrenze</w:t>
      </w:r>
      <w:r w:rsidR="0018710E" w:rsidRPr="0018710E">
        <w:rPr>
          <w:rFonts w:cs="Arial"/>
          <w:vertAlign w:val="superscript"/>
        </w:rPr>
        <w:fldChar w:fldCharType="begin"/>
      </w:r>
      <w:r w:rsidR="0018710E" w:rsidRPr="0018710E">
        <w:rPr>
          <w:rFonts w:cs="Arial"/>
          <w:vertAlign w:val="superscript"/>
        </w:rPr>
        <w:instrText xml:space="preserve"> NOTEREF _Ref151776696 \h </w:instrText>
      </w:r>
      <w:r w:rsidR="0018710E">
        <w:rPr>
          <w:rFonts w:cs="Arial"/>
          <w:vertAlign w:val="superscript"/>
        </w:rPr>
        <w:instrText xml:space="preserve"> \* MERGEFORMAT </w:instrText>
      </w:r>
      <w:r w:rsidR="0018710E" w:rsidRPr="0018710E">
        <w:rPr>
          <w:rFonts w:cs="Arial"/>
          <w:vertAlign w:val="superscript"/>
        </w:rPr>
      </w:r>
      <w:r w:rsidR="0018710E" w:rsidRPr="0018710E">
        <w:rPr>
          <w:rFonts w:cs="Arial"/>
          <w:vertAlign w:val="superscript"/>
        </w:rPr>
        <w:fldChar w:fldCharType="separate"/>
      </w:r>
      <w:r w:rsidR="00421590">
        <w:rPr>
          <w:rFonts w:cs="Arial"/>
          <w:vertAlign w:val="superscript"/>
        </w:rPr>
        <w:t>12</w:t>
      </w:r>
      <w:r w:rsidR="0018710E" w:rsidRPr="0018710E">
        <w:rPr>
          <w:rFonts w:cs="Arial"/>
          <w:vertAlign w:val="superscript"/>
        </w:rPr>
        <w:fldChar w:fldCharType="end"/>
      </w:r>
      <w:r w:rsidRPr="00995906">
        <w:rPr>
          <w:rFonts w:cs="Arial"/>
        </w:rPr>
        <w:t xml:space="preserve"> entspricht.</w:t>
      </w:r>
    </w:p>
    <w:p w:rsidR="0049151F" w:rsidRPr="00756F59" w:rsidRDefault="0049151F" w:rsidP="008404F8">
      <w:pPr>
        <w:pStyle w:val="berschrift3"/>
      </w:pPr>
      <w:bookmarkStart w:id="14" w:name="_Toc420510836"/>
      <w:r w:rsidRPr="00756F59">
        <w:t>II. Sonderbestimmungen für DDT (Nr. 46)</w:t>
      </w:r>
      <w:r w:rsidR="0018710E">
        <w:rPr>
          <w:rStyle w:val="Funotenzeichen"/>
        </w:rPr>
        <w:footnoteReference w:id="12"/>
      </w:r>
      <w:r w:rsidR="0018710E">
        <w:t xml:space="preserve"> </w:t>
      </w:r>
      <w:r w:rsidR="0018710E">
        <w:rPr>
          <w:rStyle w:val="Funotenzeichen"/>
        </w:rPr>
        <w:footnoteReference w:id="13"/>
      </w:r>
      <w:bookmarkEnd w:id="14"/>
    </w:p>
    <w:p w:rsidR="0049151F" w:rsidRPr="00995906" w:rsidRDefault="0049151F" w:rsidP="00756F59">
      <w:pPr>
        <w:pStyle w:val="GesAbsatz"/>
        <w:jc w:val="center"/>
        <w:rPr>
          <w:rFonts w:cs="Arial"/>
        </w:rPr>
      </w:pPr>
      <w:r w:rsidRPr="00995906">
        <w:rPr>
          <w:rFonts w:cs="Arial"/>
        </w:rPr>
        <w:t>CAS - 50-29-3</w:t>
      </w:r>
      <w:r w:rsidR="0018710E">
        <w:rPr>
          <w:rStyle w:val="Funotenzeichen"/>
          <w:rFonts w:cs="Arial"/>
        </w:rPr>
        <w:footnoteReference w:id="14"/>
      </w:r>
    </w:p>
    <w:p w:rsidR="0049151F" w:rsidRPr="00995906" w:rsidRDefault="0049151F" w:rsidP="00756F59">
      <w:pPr>
        <w:pStyle w:val="GesAbsatz"/>
        <w:ind w:left="993" w:hanging="993"/>
        <w:rPr>
          <w:rFonts w:cs="Arial"/>
        </w:rPr>
      </w:pPr>
      <w:r w:rsidRPr="00995906">
        <w:rPr>
          <w:rFonts w:cs="Arial"/>
        </w:rPr>
        <w:t>Standstill:</w:t>
      </w:r>
      <w:r w:rsidR="00756F59">
        <w:rPr>
          <w:rFonts w:cs="Arial"/>
        </w:rPr>
        <w:tab/>
      </w:r>
      <w:r w:rsidRPr="00995906">
        <w:rPr>
          <w:rFonts w:cs="Arial"/>
        </w:rPr>
        <w:t>Die DDT-Konzentration in Gewässern, Sedimenten und/oder Weichtieren und/oder Schalentieren</w:t>
      </w:r>
      <w:r w:rsidR="00756F59">
        <w:rPr>
          <w:rFonts w:cs="Arial"/>
        </w:rPr>
        <w:t xml:space="preserve"> </w:t>
      </w:r>
      <w:r w:rsidRPr="00995906">
        <w:rPr>
          <w:rFonts w:cs="Arial"/>
        </w:rPr>
        <w:t>und/oder Fischen darf mit der Zeit nicht wesentlich ansteigen.</w:t>
      </w:r>
    </w:p>
    <w:p w:rsidR="0049151F" w:rsidRPr="00995906" w:rsidRDefault="0049151F" w:rsidP="00995906">
      <w:pPr>
        <w:pStyle w:val="GesAbsatz"/>
        <w:rPr>
          <w:rFonts w:cs="Arial"/>
        </w:rPr>
      </w:pPr>
      <w:r w:rsidRPr="00756F59">
        <w:rPr>
          <w:rFonts w:cs="Arial"/>
          <w:b/>
        </w:rPr>
        <w:t>Teil A (46):</w:t>
      </w:r>
      <w:r w:rsidRPr="00995906">
        <w:rPr>
          <w:rFonts w:cs="Arial"/>
        </w:rPr>
        <w:t xml:space="preserve"> Grenzwerte der Emissionsnormen</w:t>
      </w:r>
      <w:r w:rsidR="0018710E">
        <w:rPr>
          <w:rStyle w:val="Funotenzeichen"/>
          <w:rFonts w:cs="Arial"/>
        </w:rPr>
        <w:footnoteReference w:id="15"/>
      </w:r>
      <w:r w:rsidRPr="00995906">
        <w:rPr>
          <w:rFonts w:cs="Arial"/>
        </w:rPr>
        <w:t xml:space="preserve"> </w:t>
      </w:r>
      <w:r w:rsidR="0018710E">
        <w:rPr>
          <w:rStyle w:val="Funotenzeichen"/>
          <w:rFonts w:cs="Arial"/>
        </w:rPr>
        <w:footnoteReference w:id="16"/>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951"/>
        <w:gridCol w:w="1701"/>
        <w:gridCol w:w="2268"/>
        <w:gridCol w:w="1985"/>
        <w:gridCol w:w="1842"/>
      </w:tblGrid>
      <w:tr w:rsidR="00364734" w:rsidTr="000E7719">
        <w:tc>
          <w:tcPr>
            <w:tcW w:w="1951" w:type="dxa"/>
            <w:vMerge w:val="restart"/>
            <w:vAlign w:val="center"/>
          </w:tcPr>
          <w:p w:rsidR="00364734" w:rsidRDefault="00364734" w:rsidP="000D4BE8">
            <w:pPr>
              <w:pStyle w:val="GesAbsatz"/>
              <w:jc w:val="center"/>
              <w:rPr>
                <w:rFonts w:cs="Arial"/>
              </w:rPr>
            </w:pPr>
            <w:r w:rsidRPr="00995906">
              <w:rPr>
                <w:rFonts w:cs="Arial"/>
              </w:rPr>
              <w:t>Typ des Industri</w:t>
            </w:r>
            <w:r w:rsidRPr="00995906">
              <w:rPr>
                <w:rFonts w:cs="Arial"/>
              </w:rPr>
              <w:t>e</w:t>
            </w:r>
            <w:r w:rsidRPr="00995906">
              <w:rPr>
                <w:rFonts w:cs="Arial"/>
              </w:rPr>
              <w:t>betriebs</w:t>
            </w:r>
            <w:r w:rsidR="00C13FC9">
              <w:rPr>
                <w:rStyle w:val="Funotenzeichen"/>
                <w:rFonts w:cs="Arial"/>
              </w:rPr>
              <w:footnoteReference w:id="17"/>
            </w:r>
            <w:r w:rsidRPr="00995906">
              <w:rPr>
                <w:rFonts w:cs="Arial"/>
              </w:rPr>
              <w:t xml:space="preserve"> </w:t>
            </w:r>
            <w:r w:rsidR="00C13FC9">
              <w:rPr>
                <w:rStyle w:val="Funotenzeichen"/>
                <w:rFonts w:cs="Arial"/>
              </w:rPr>
              <w:footnoteReference w:id="18"/>
            </w:r>
          </w:p>
        </w:tc>
        <w:tc>
          <w:tcPr>
            <w:tcW w:w="1701" w:type="dxa"/>
            <w:vMerge w:val="restart"/>
            <w:vAlign w:val="center"/>
          </w:tcPr>
          <w:p w:rsidR="00364734" w:rsidRDefault="00364734" w:rsidP="000D4BE8">
            <w:pPr>
              <w:pStyle w:val="GesAbsatz"/>
              <w:jc w:val="center"/>
              <w:rPr>
                <w:rFonts w:cs="Arial"/>
              </w:rPr>
            </w:pPr>
            <w:r>
              <w:rPr>
                <w:rFonts w:cs="Arial"/>
              </w:rPr>
              <w:t>Typ des Mit</w:t>
            </w:r>
            <w:r w:rsidRPr="00995906">
              <w:rPr>
                <w:rFonts w:cs="Arial"/>
              </w:rPr>
              <w:t>te</w:t>
            </w:r>
            <w:r w:rsidRPr="00995906">
              <w:rPr>
                <w:rFonts w:cs="Arial"/>
              </w:rPr>
              <w:t>l</w:t>
            </w:r>
            <w:r w:rsidRPr="00995906">
              <w:rPr>
                <w:rFonts w:cs="Arial"/>
              </w:rPr>
              <w:t>wertes</w:t>
            </w:r>
          </w:p>
        </w:tc>
        <w:tc>
          <w:tcPr>
            <w:tcW w:w="4253" w:type="dxa"/>
            <w:gridSpan w:val="2"/>
          </w:tcPr>
          <w:p w:rsidR="00364734" w:rsidRDefault="00364734" w:rsidP="00CE4C9E">
            <w:pPr>
              <w:pStyle w:val="GesAbsatz"/>
              <w:jc w:val="center"/>
              <w:rPr>
                <w:rFonts w:cs="Arial"/>
              </w:rPr>
            </w:pPr>
            <w:r w:rsidRPr="00995906">
              <w:rPr>
                <w:rFonts w:cs="Arial"/>
              </w:rPr>
              <w:t>Grenzwerte ausgedruckt in</w:t>
            </w:r>
          </w:p>
        </w:tc>
        <w:tc>
          <w:tcPr>
            <w:tcW w:w="1842" w:type="dxa"/>
            <w:vMerge w:val="restart"/>
            <w:vAlign w:val="center"/>
          </w:tcPr>
          <w:p w:rsidR="00364734" w:rsidRDefault="00364734" w:rsidP="00364734">
            <w:pPr>
              <w:pStyle w:val="GesAbsatz"/>
              <w:jc w:val="center"/>
              <w:rPr>
                <w:rFonts w:cs="Arial"/>
              </w:rPr>
            </w:pPr>
            <w:r w:rsidRPr="00995906">
              <w:rPr>
                <w:rFonts w:cs="Arial"/>
              </w:rPr>
              <w:t>Einzuhalten ab</w:t>
            </w:r>
          </w:p>
        </w:tc>
      </w:tr>
      <w:tr w:rsidR="00364734" w:rsidTr="000E7719">
        <w:tc>
          <w:tcPr>
            <w:tcW w:w="1951" w:type="dxa"/>
            <w:vMerge/>
          </w:tcPr>
          <w:p w:rsidR="00364734" w:rsidRPr="00995906" w:rsidRDefault="00364734" w:rsidP="00995906">
            <w:pPr>
              <w:pStyle w:val="GesAbsatz"/>
              <w:rPr>
                <w:rFonts w:cs="Arial"/>
              </w:rPr>
            </w:pPr>
          </w:p>
        </w:tc>
        <w:tc>
          <w:tcPr>
            <w:tcW w:w="1701" w:type="dxa"/>
            <w:vMerge/>
          </w:tcPr>
          <w:p w:rsidR="00364734" w:rsidRPr="00995906" w:rsidRDefault="00364734" w:rsidP="00995906">
            <w:pPr>
              <w:pStyle w:val="GesAbsatz"/>
              <w:rPr>
                <w:rFonts w:cs="Arial"/>
              </w:rPr>
            </w:pPr>
          </w:p>
        </w:tc>
        <w:tc>
          <w:tcPr>
            <w:tcW w:w="2268" w:type="dxa"/>
          </w:tcPr>
          <w:p w:rsidR="00364734" w:rsidRDefault="00364734" w:rsidP="00CE4C9E">
            <w:pPr>
              <w:pStyle w:val="GesAbsatz"/>
              <w:jc w:val="center"/>
              <w:rPr>
                <w:rFonts w:cs="Arial"/>
              </w:rPr>
            </w:pPr>
            <w:r w:rsidRPr="00995906">
              <w:rPr>
                <w:rFonts w:cs="Arial"/>
              </w:rPr>
              <w:t>g/t hergestellten, ve</w:t>
            </w:r>
            <w:r w:rsidRPr="00995906">
              <w:rPr>
                <w:rFonts w:cs="Arial"/>
              </w:rPr>
              <w:t>r</w:t>
            </w:r>
            <w:r w:rsidRPr="00995906">
              <w:rPr>
                <w:rFonts w:cs="Arial"/>
              </w:rPr>
              <w:t>arbeiteten oder b</w:t>
            </w:r>
            <w:r w:rsidRPr="00995906">
              <w:rPr>
                <w:rFonts w:cs="Arial"/>
              </w:rPr>
              <w:t>e</w:t>
            </w:r>
            <w:r w:rsidRPr="00995906">
              <w:rPr>
                <w:rFonts w:cs="Arial"/>
              </w:rPr>
              <w:t>nutzten Stoffen</w:t>
            </w:r>
          </w:p>
        </w:tc>
        <w:tc>
          <w:tcPr>
            <w:tcW w:w="1985" w:type="dxa"/>
          </w:tcPr>
          <w:p w:rsidR="00364734" w:rsidRDefault="00364734" w:rsidP="00CE4C9E">
            <w:pPr>
              <w:pStyle w:val="GesAbsatz"/>
              <w:jc w:val="center"/>
              <w:rPr>
                <w:rFonts w:cs="Arial"/>
              </w:rPr>
            </w:pPr>
            <w:r w:rsidRPr="00995906">
              <w:rPr>
                <w:rFonts w:cs="Arial"/>
              </w:rPr>
              <w:t>mg/l abgeleitetem Wasser</w:t>
            </w:r>
          </w:p>
        </w:tc>
        <w:tc>
          <w:tcPr>
            <w:tcW w:w="1842" w:type="dxa"/>
            <w:vMerge/>
          </w:tcPr>
          <w:p w:rsidR="00364734" w:rsidRDefault="00364734" w:rsidP="00995906">
            <w:pPr>
              <w:pStyle w:val="GesAbsatz"/>
              <w:rPr>
                <w:rFonts w:cs="Arial"/>
              </w:rPr>
            </w:pPr>
          </w:p>
        </w:tc>
      </w:tr>
      <w:tr w:rsidR="00B628CC" w:rsidTr="000E7719">
        <w:tc>
          <w:tcPr>
            <w:tcW w:w="1951" w:type="dxa"/>
            <w:vMerge w:val="restart"/>
          </w:tcPr>
          <w:p w:rsidR="00B628CC" w:rsidRPr="00995906" w:rsidRDefault="00B628CC" w:rsidP="00995906">
            <w:pPr>
              <w:pStyle w:val="GesAbsatz"/>
              <w:rPr>
                <w:rFonts w:cs="Arial"/>
              </w:rPr>
            </w:pPr>
            <w:r w:rsidRPr="00995906">
              <w:rPr>
                <w:rFonts w:cs="Arial"/>
              </w:rPr>
              <w:t>Produktion von DDT einschließlich Formulierung von DDT am selben Standort</w:t>
            </w:r>
          </w:p>
        </w:tc>
        <w:tc>
          <w:tcPr>
            <w:tcW w:w="1701" w:type="dxa"/>
          </w:tcPr>
          <w:p w:rsidR="00B628CC" w:rsidRPr="00995906" w:rsidRDefault="00B628CC" w:rsidP="00995906">
            <w:pPr>
              <w:pStyle w:val="GesAbsatz"/>
              <w:rPr>
                <w:rFonts w:cs="Arial"/>
              </w:rPr>
            </w:pPr>
            <w:r w:rsidRPr="00995906">
              <w:rPr>
                <w:rFonts w:cs="Arial"/>
              </w:rPr>
              <w:t xml:space="preserve">Monat </w:t>
            </w:r>
          </w:p>
        </w:tc>
        <w:tc>
          <w:tcPr>
            <w:tcW w:w="2268" w:type="dxa"/>
          </w:tcPr>
          <w:p w:rsidR="00B628CC" w:rsidRPr="00995906" w:rsidRDefault="000D4BE8" w:rsidP="00CE4C9E">
            <w:pPr>
              <w:pStyle w:val="GesAbsatz"/>
              <w:jc w:val="center"/>
              <w:rPr>
                <w:rFonts w:cs="Arial"/>
              </w:rPr>
            </w:pPr>
            <w:r w:rsidRPr="00995906">
              <w:rPr>
                <w:rFonts w:cs="Arial"/>
              </w:rPr>
              <w:t>8</w:t>
            </w:r>
          </w:p>
        </w:tc>
        <w:tc>
          <w:tcPr>
            <w:tcW w:w="1985" w:type="dxa"/>
          </w:tcPr>
          <w:p w:rsidR="00B628CC" w:rsidRPr="00995906" w:rsidRDefault="000D4BE8" w:rsidP="00CE4C9E">
            <w:pPr>
              <w:pStyle w:val="GesAbsatz"/>
              <w:jc w:val="center"/>
              <w:rPr>
                <w:rFonts w:cs="Arial"/>
              </w:rPr>
            </w:pPr>
            <w:r w:rsidRPr="00995906">
              <w:rPr>
                <w:rFonts w:cs="Arial"/>
              </w:rPr>
              <w:t>0,7</w:t>
            </w:r>
          </w:p>
        </w:tc>
        <w:tc>
          <w:tcPr>
            <w:tcW w:w="1842" w:type="dxa"/>
          </w:tcPr>
          <w:p w:rsidR="00B628CC" w:rsidRDefault="000D4BE8" w:rsidP="000D4BE8">
            <w:pPr>
              <w:pStyle w:val="GesAbsatz"/>
              <w:jc w:val="center"/>
              <w:rPr>
                <w:rFonts w:cs="Arial"/>
              </w:rPr>
            </w:pPr>
            <w:r w:rsidRPr="00995906">
              <w:rPr>
                <w:rFonts w:cs="Arial"/>
              </w:rPr>
              <w:t>1.1.1988</w:t>
            </w:r>
          </w:p>
        </w:tc>
      </w:tr>
      <w:tr w:rsidR="00B628CC" w:rsidTr="000E7719">
        <w:tc>
          <w:tcPr>
            <w:tcW w:w="1951" w:type="dxa"/>
            <w:vMerge/>
          </w:tcPr>
          <w:p w:rsidR="00B628CC" w:rsidRPr="00995906" w:rsidRDefault="00B628CC" w:rsidP="00995906">
            <w:pPr>
              <w:pStyle w:val="GesAbsatz"/>
              <w:rPr>
                <w:rFonts w:cs="Arial"/>
              </w:rPr>
            </w:pPr>
          </w:p>
        </w:tc>
        <w:tc>
          <w:tcPr>
            <w:tcW w:w="1701" w:type="dxa"/>
          </w:tcPr>
          <w:p w:rsidR="00B628CC" w:rsidRPr="00995906" w:rsidRDefault="00B628CC" w:rsidP="00995906">
            <w:pPr>
              <w:pStyle w:val="GesAbsatz"/>
              <w:rPr>
                <w:rFonts w:cs="Arial"/>
              </w:rPr>
            </w:pPr>
            <w:r w:rsidRPr="00995906">
              <w:rPr>
                <w:rFonts w:cs="Arial"/>
              </w:rPr>
              <w:t>Tag</w:t>
            </w:r>
          </w:p>
        </w:tc>
        <w:tc>
          <w:tcPr>
            <w:tcW w:w="2268" w:type="dxa"/>
          </w:tcPr>
          <w:p w:rsidR="00B628CC" w:rsidRPr="00995906" w:rsidRDefault="000D4BE8" w:rsidP="00CE4C9E">
            <w:pPr>
              <w:pStyle w:val="GesAbsatz"/>
              <w:jc w:val="center"/>
              <w:rPr>
                <w:rFonts w:cs="Arial"/>
              </w:rPr>
            </w:pPr>
            <w:r w:rsidRPr="00995906">
              <w:rPr>
                <w:rFonts w:cs="Arial"/>
              </w:rPr>
              <w:t>16</w:t>
            </w:r>
          </w:p>
        </w:tc>
        <w:tc>
          <w:tcPr>
            <w:tcW w:w="1985" w:type="dxa"/>
          </w:tcPr>
          <w:p w:rsidR="00B628CC" w:rsidRPr="00995906" w:rsidRDefault="000D4BE8" w:rsidP="00CE4C9E">
            <w:pPr>
              <w:pStyle w:val="GesAbsatz"/>
              <w:jc w:val="center"/>
              <w:rPr>
                <w:rFonts w:cs="Arial"/>
              </w:rPr>
            </w:pPr>
            <w:r w:rsidRPr="00995906">
              <w:rPr>
                <w:rFonts w:cs="Arial"/>
              </w:rPr>
              <w:t>1,3</w:t>
            </w:r>
          </w:p>
        </w:tc>
        <w:tc>
          <w:tcPr>
            <w:tcW w:w="1842" w:type="dxa"/>
          </w:tcPr>
          <w:p w:rsidR="00B628CC" w:rsidRDefault="000D4BE8" w:rsidP="000D4BE8">
            <w:pPr>
              <w:pStyle w:val="GesAbsatz"/>
              <w:jc w:val="center"/>
              <w:rPr>
                <w:rFonts w:cs="Arial"/>
              </w:rPr>
            </w:pPr>
            <w:r w:rsidRPr="00995906">
              <w:rPr>
                <w:rFonts w:cs="Arial"/>
              </w:rPr>
              <w:t>1.1.1988</w:t>
            </w:r>
          </w:p>
        </w:tc>
      </w:tr>
      <w:tr w:rsidR="00B628CC" w:rsidTr="000E7719">
        <w:tc>
          <w:tcPr>
            <w:tcW w:w="1951" w:type="dxa"/>
            <w:vMerge/>
          </w:tcPr>
          <w:p w:rsidR="00B628CC" w:rsidRPr="00995906" w:rsidRDefault="00B628CC" w:rsidP="00995906">
            <w:pPr>
              <w:pStyle w:val="GesAbsatz"/>
              <w:rPr>
                <w:rFonts w:cs="Arial"/>
              </w:rPr>
            </w:pPr>
          </w:p>
        </w:tc>
        <w:tc>
          <w:tcPr>
            <w:tcW w:w="1701" w:type="dxa"/>
          </w:tcPr>
          <w:p w:rsidR="00B628CC" w:rsidRPr="00995906" w:rsidRDefault="00B628CC" w:rsidP="00995906">
            <w:pPr>
              <w:pStyle w:val="GesAbsatz"/>
              <w:rPr>
                <w:rFonts w:cs="Arial"/>
              </w:rPr>
            </w:pPr>
            <w:r w:rsidRPr="00995906">
              <w:rPr>
                <w:rFonts w:cs="Arial"/>
              </w:rPr>
              <w:t>Monat</w:t>
            </w:r>
          </w:p>
        </w:tc>
        <w:tc>
          <w:tcPr>
            <w:tcW w:w="2268" w:type="dxa"/>
          </w:tcPr>
          <w:p w:rsidR="00B628CC" w:rsidRPr="00995906" w:rsidRDefault="000D4BE8" w:rsidP="00CE4C9E">
            <w:pPr>
              <w:pStyle w:val="GesAbsatz"/>
              <w:jc w:val="center"/>
              <w:rPr>
                <w:rFonts w:cs="Arial"/>
              </w:rPr>
            </w:pPr>
            <w:r w:rsidRPr="00995906">
              <w:rPr>
                <w:rFonts w:cs="Arial"/>
              </w:rPr>
              <w:t>4</w:t>
            </w:r>
          </w:p>
        </w:tc>
        <w:tc>
          <w:tcPr>
            <w:tcW w:w="1985" w:type="dxa"/>
          </w:tcPr>
          <w:p w:rsidR="00B628CC" w:rsidRPr="00995906" w:rsidRDefault="000D4BE8" w:rsidP="00CE4C9E">
            <w:pPr>
              <w:pStyle w:val="GesAbsatz"/>
              <w:jc w:val="center"/>
              <w:rPr>
                <w:rFonts w:cs="Arial"/>
              </w:rPr>
            </w:pPr>
            <w:r w:rsidRPr="00995906">
              <w:rPr>
                <w:rFonts w:cs="Arial"/>
              </w:rPr>
              <w:t>0,2</w:t>
            </w:r>
          </w:p>
        </w:tc>
        <w:tc>
          <w:tcPr>
            <w:tcW w:w="1842" w:type="dxa"/>
          </w:tcPr>
          <w:p w:rsidR="00B628CC" w:rsidRDefault="000D4BE8" w:rsidP="000D4BE8">
            <w:pPr>
              <w:pStyle w:val="GesAbsatz"/>
              <w:jc w:val="center"/>
              <w:rPr>
                <w:rFonts w:cs="Arial"/>
              </w:rPr>
            </w:pPr>
            <w:r w:rsidRPr="00995906">
              <w:rPr>
                <w:rFonts w:cs="Arial"/>
              </w:rPr>
              <w:t>1.1.1991</w:t>
            </w:r>
          </w:p>
        </w:tc>
      </w:tr>
      <w:tr w:rsidR="00B628CC" w:rsidTr="000E7719">
        <w:tc>
          <w:tcPr>
            <w:tcW w:w="1951" w:type="dxa"/>
            <w:vMerge/>
          </w:tcPr>
          <w:p w:rsidR="00B628CC" w:rsidRPr="00995906" w:rsidRDefault="00B628CC" w:rsidP="00995906">
            <w:pPr>
              <w:pStyle w:val="GesAbsatz"/>
              <w:rPr>
                <w:rFonts w:cs="Arial"/>
              </w:rPr>
            </w:pPr>
          </w:p>
        </w:tc>
        <w:tc>
          <w:tcPr>
            <w:tcW w:w="1701" w:type="dxa"/>
          </w:tcPr>
          <w:p w:rsidR="00B628CC" w:rsidRPr="00995906" w:rsidRDefault="00B628CC" w:rsidP="00995906">
            <w:pPr>
              <w:pStyle w:val="GesAbsatz"/>
              <w:rPr>
                <w:rFonts w:cs="Arial"/>
              </w:rPr>
            </w:pPr>
            <w:r w:rsidRPr="00995906">
              <w:rPr>
                <w:rFonts w:cs="Arial"/>
              </w:rPr>
              <w:t>Tag</w:t>
            </w:r>
          </w:p>
        </w:tc>
        <w:tc>
          <w:tcPr>
            <w:tcW w:w="2268" w:type="dxa"/>
          </w:tcPr>
          <w:p w:rsidR="00B628CC" w:rsidRPr="00995906" w:rsidRDefault="000D4BE8" w:rsidP="00CE4C9E">
            <w:pPr>
              <w:pStyle w:val="GesAbsatz"/>
              <w:jc w:val="center"/>
              <w:rPr>
                <w:rFonts w:cs="Arial"/>
              </w:rPr>
            </w:pPr>
            <w:r w:rsidRPr="00995906">
              <w:rPr>
                <w:rFonts w:cs="Arial"/>
              </w:rPr>
              <w:t>8</w:t>
            </w:r>
          </w:p>
        </w:tc>
        <w:tc>
          <w:tcPr>
            <w:tcW w:w="1985" w:type="dxa"/>
          </w:tcPr>
          <w:p w:rsidR="00B628CC" w:rsidRPr="00995906" w:rsidRDefault="000D4BE8" w:rsidP="00CE4C9E">
            <w:pPr>
              <w:pStyle w:val="GesAbsatz"/>
              <w:jc w:val="center"/>
              <w:rPr>
                <w:rFonts w:cs="Arial"/>
              </w:rPr>
            </w:pPr>
            <w:r w:rsidRPr="00995906">
              <w:rPr>
                <w:rFonts w:cs="Arial"/>
              </w:rPr>
              <w:t>0,4</w:t>
            </w:r>
          </w:p>
        </w:tc>
        <w:tc>
          <w:tcPr>
            <w:tcW w:w="1842" w:type="dxa"/>
          </w:tcPr>
          <w:p w:rsidR="00B628CC" w:rsidRDefault="000D4BE8" w:rsidP="000D4BE8">
            <w:pPr>
              <w:pStyle w:val="GesAbsatz"/>
              <w:jc w:val="center"/>
              <w:rPr>
                <w:rFonts w:cs="Arial"/>
              </w:rPr>
            </w:pPr>
            <w:r w:rsidRPr="00995906">
              <w:rPr>
                <w:rFonts w:cs="Arial"/>
              </w:rPr>
              <w:t>1.1.1991</w:t>
            </w:r>
          </w:p>
        </w:tc>
      </w:tr>
    </w:tbl>
    <w:p w:rsidR="0049151F" w:rsidRDefault="0049151F" w:rsidP="00995906">
      <w:pPr>
        <w:pStyle w:val="GesAbsatz"/>
        <w:rPr>
          <w:rFonts w:cs="Arial"/>
        </w:rPr>
      </w:pPr>
    </w:p>
    <w:p w:rsidR="0049151F" w:rsidRPr="00995906" w:rsidRDefault="0049151F" w:rsidP="00995906">
      <w:pPr>
        <w:pStyle w:val="GesAbsatz"/>
        <w:rPr>
          <w:rFonts w:cs="Arial"/>
        </w:rPr>
      </w:pPr>
      <w:r w:rsidRPr="00DA5376">
        <w:rPr>
          <w:rFonts w:cs="Arial"/>
          <w:b/>
        </w:rPr>
        <w:t>Teil C (46):</w:t>
      </w:r>
      <w:r w:rsidR="00DA5376" w:rsidRPr="00DA5376">
        <w:rPr>
          <w:rFonts w:cs="Arial"/>
          <w:b/>
        </w:rPr>
        <w:t xml:space="preserve"> </w:t>
      </w:r>
      <w:proofErr w:type="spellStart"/>
      <w:r w:rsidRPr="00995906">
        <w:rPr>
          <w:rFonts w:cs="Arial"/>
        </w:rPr>
        <w:t>Referenzme</w:t>
      </w:r>
      <w:r w:rsidR="00DA5376">
        <w:rPr>
          <w:rFonts w:cs="Arial"/>
        </w:rPr>
        <w:t>ß</w:t>
      </w:r>
      <w:r w:rsidRPr="00995906">
        <w:rPr>
          <w:rFonts w:cs="Arial"/>
        </w:rPr>
        <w:t>verfahren</w:t>
      </w:r>
      <w:proofErr w:type="spellEnd"/>
    </w:p>
    <w:p w:rsidR="0049151F" w:rsidRPr="00995906" w:rsidRDefault="0049151F" w:rsidP="00DA5376">
      <w:pPr>
        <w:pStyle w:val="GesAbsatz"/>
        <w:ind w:left="426" w:hanging="426"/>
        <w:rPr>
          <w:rFonts w:cs="Arial"/>
        </w:rPr>
      </w:pPr>
      <w:r w:rsidRPr="00995906">
        <w:rPr>
          <w:rFonts w:cs="Arial"/>
        </w:rPr>
        <w:t>1.</w:t>
      </w:r>
      <w:r w:rsidR="00DA5376">
        <w:rPr>
          <w:rFonts w:cs="Arial"/>
        </w:rPr>
        <w:tab/>
      </w:r>
      <w:r w:rsidRPr="00995906">
        <w:rPr>
          <w:rFonts w:cs="Arial"/>
        </w:rPr>
        <w:t>Referenzme</w:t>
      </w:r>
      <w:r w:rsidR="00DA5376">
        <w:rPr>
          <w:rFonts w:cs="Arial"/>
        </w:rPr>
        <w:t>ß</w:t>
      </w:r>
      <w:r w:rsidRPr="00995906">
        <w:rPr>
          <w:rFonts w:cs="Arial"/>
        </w:rPr>
        <w:t>verfahren zur Bestimmung von DDT in den Abwässern und Gewässern ist die</w:t>
      </w:r>
      <w:r w:rsidR="00DA5376">
        <w:rPr>
          <w:rFonts w:cs="Arial"/>
        </w:rPr>
        <w:t xml:space="preserve"> </w:t>
      </w:r>
      <w:r w:rsidRPr="00995906">
        <w:rPr>
          <w:rFonts w:cs="Arial"/>
        </w:rPr>
        <w:t>Gaschr</w:t>
      </w:r>
      <w:r w:rsidRPr="00995906">
        <w:rPr>
          <w:rFonts w:cs="Arial"/>
        </w:rPr>
        <w:t>o</w:t>
      </w:r>
      <w:r w:rsidRPr="00995906">
        <w:rPr>
          <w:rFonts w:cs="Arial"/>
        </w:rPr>
        <w:t>matographie mit Elektroneneinfangdetektor nach Extraktion mit einem geeigneten Lösemittel.</w:t>
      </w:r>
      <w:r w:rsidR="00DA5376">
        <w:rPr>
          <w:rFonts w:cs="Arial"/>
        </w:rPr>
        <w:t xml:space="preserve"> </w:t>
      </w:r>
      <w:r w:rsidRPr="00995906">
        <w:rPr>
          <w:rFonts w:cs="Arial"/>
        </w:rPr>
        <w:t>Die B</w:t>
      </w:r>
      <w:r w:rsidRPr="00995906">
        <w:rPr>
          <w:rFonts w:cs="Arial"/>
        </w:rPr>
        <w:t>e</w:t>
      </w:r>
      <w:r w:rsidRPr="00995906">
        <w:rPr>
          <w:rFonts w:cs="Arial"/>
        </w:rPr>
        <w:t>stimmungsgrenze</w:t>
      </w:r>
      <w:bookmarkStart w:id="15" w:name="_Ref151778026"/>
      <w:r w:rsidR="00FC4D49">
        <w:rPr>
          <w:rStyle w:val="Funotenzeichen"/>
          <w:rFonts w:cs="Arial"/>
        </w:rPr>
        <w:footnoteReference w:id="19"/>
      </w:r>
      <w:bookmarkEnd w:id="15"/>
      <w:r w:rsidRPr="00995906">
        <w:rPr>
          <w:rFonts w:cs="Arial"/>
        </w:rPr>
        <w:t xml:space="preserve"> liegt für das DDT insgesamt je nach Anzahl der störenden Begleitstoffe in</w:t>
      </w:r>
      <w:r w:rsidR="00DA5376">
        <w:rPr>
          <w:rFonts w:cs="Arial"/>
        </w:rPr>
        <w:t xml:space="preserve"> </w:t>
      </w:r>
      <w:r w:rsidRPr="00995906">
        <w:rPr>
          <w:rFonts w:cs="Arial"/>
        </w:rPr>
        <w:t>der Probe bei rund 4 ng/l für Gewässer und 1 µg/l für Abwässer.</w:t>
      </w:r>
    </w:p>
    <w:p w:rsidR="0049151F" w:rsidRPr="00995906" w:rsidRDefault="0049151F" w:rsidP="00DA5376">
      <w:pPr>
        <w:pStyle w:val="GesAbsatz"/>
        <w:ind w:left="426" w:hanging="426"/>
        <w:rPr>
          <w:rFonts w:cs="Arial"/>
        </w:rPr>
      </w:pPr>
      <w:r w:rsidRPr="00995906">
        <w:rPr>
          <w:rFonts w:cs="Arial"/>
        </w:rPr>
        <w:t>2.</w:t>
      </w:r>
      <w:r w:rsidR="00DA5376">
        <w:rPr>
          <w:rFonts w:cs="Arial"/>
        </w:rPr>
        <w:tab/>
      </w:r>
      <w:r w:rsidRPr="00995906">
        <w:rPr>
          <w:rFonts w:cs="Arial"/>
        </w:rPr>
        <w:t>Referenzverfahren zur Bestimmung von DDT in Sedimenten und Organismen ist die Gaschromatogr</w:t>
      </w:r>
      <w:r w:rsidRPr="00995906">
        <w:rPr>
          <w:rFonts w:cs="Arial"/>
        </w:rPr>
        <w:t>a</w:t>
      </w:r>
      <w:r w:rsidRPr="00995906">
        <w:rPr>
          <w:rFonts w:cs="Arial"/>
        </w:rPr>
        <w:t>phie</w:t>
      </w:r>
      <w:r w:rsidR="00DA5376">
        <w:rPr>
          <w:rFonts w:cs="Arial"/>
        </w:rPr>
        <w:t xml:space="preserve"> </w:t>
      </w:r>
      <w:r w:rsidRPr="00995906">
        <w:rPr>
          <w:rFonts w:cs="Arial"/>
        </w:rPr>
        <w:t>mit Elektroneneinfangdetektor nach geeigneter Probenvorbereitung. Die Bestimmungsgrenze</w:t>
      </w:r>
      <w:r w:rsidR="00FC4D49" w:rsidRPr="00FC4D49">
        <w:rPr>
          <w:rFonts w:cs="Arial"/>
          <w:vertAlign w:val="superscript"/>
        </w:rPr>
        <w:fldChar w:fldCharType="begin"/>
      </w:r>
      <w:r w:rsidR="00FC4D49" w:rsidRPr="00FC4D49">
        <w:rPr>
          <w:rFonts w:cs="Arial"/>
          <w:vertAlign w:val="superscript"/>
        </w:rPr>
        <w:instrText xml:space="preserve"> NOTEREF _Ref151778026 \h </w:instrText>
      </w:r>
      <w:r w:rsidR="00FC4D49">
        <w:rPr>
          <w:rFonts w:cs="Arial"/>
          <w:vertAlign w:val="superscript"/>
        </w:rPr>
        <w:instrText xml:space="preserve"> \* MERGEFORMAT </w:instrText>
      </w:r>
      <w:r w:rsidR="00FC4D49" w:rsidRPr="00FC4D49">
        <w:rPr>
          <w:rFonts w:cs="Arial"/>
          <w:vertAlign w:val="superscript"/>
        </w:rPr>
      </w:r>
      <w:r w:rsidR="00FC4D49" w:rsidRPr="00FC4D49">
        <w:rPr>
          <w:rFonts w:cs="Arial"/>
          <w:vertAlign w:val="superscript"/>
        </w:rPr>
        <w:fldChar w:fldCharType="separate"/>
      </w:r>
      <w:r w:rsidR="00421590">
        <w:rPr>
          <w:rFonts w:cs="Arial"/>
          <w:vertAlign w:val="superscript"/>
        </w:rPr>
        <w:t>20</w:t>
      </w:r>
      <w:r w:rsidR="00FC4D49" w:rsidRPr="00FC4D49">
        <w:rPr>
          <w:rFonts w:cs="Arial"/>
          <w:vertAlign w:val="superscript"/>
        </w:rPr>
        <w:fldChar w:fldCharType="end"/>
      </w:r>
      <w:r w:rsidRPr="00995906">
        <w:rPr>
          <w:rFonts w:cs="Arial"/>
        </w:rPr>
        <w:t xml:space="preserve"> liegt bei 1 µg/kg.</w:t>
      </w:r>
    </w:p>
    <w:p w:rsidR="0049151F" w:rsidRPr="00995906" w:rsidRDefault="0049151F" w:rsidP="00DA5376">
      <w:pPr>
        <w:pStyle w:val="GesAbsatz"/>
        <w:ind w:left="426" w:hanging="426"/>
        <w:rPr>
          <w:rFonts w:cs="Arial"/>
        </w:rPr>
      </w:pPr>
      <w:r w:rsidRPr="00995906">
        <w:rPr>
          <w:rFonts w:cs="Arial"/>
        </w:rPr>
        <w:t>3.</w:t>
      </w:r>
      <w:r w:rsidR="00DA5376">
        <w:rPr>
          <w:rFonts w:cs="Arial"/>
        </w:rPr>
        <w:tab/>
      </w:r>
      <w:r w:rsidRPr="00995906">
        <w:rPr>
          <w:rFonts w:cs="Arial"/>
        </w:rPr>
        <w:t>Die Richtigkeit und die Genauigkeit der Methode müssen ± 50 % bei einer Konzentration betragen,</w:t>
      </w:r>
      <w:r w:rsidR="00DA5376">
        <w:rPr>
          <w:rFonts w:cs="Arial"/>
        </w:rPr>
        <w:t xml:space="preserve"> </w:t>
      </w:r>
      <w:r w:rsidRPr="00995906">
        <w:rPr>
          <w:rFonts w:cs="Arial"/>
        </w:rPr>
        <w:t>die dem doppelten Wert der Bestimmungsgrenze</w:t>
      </w:r>
      <w:r w:rsidR="00FC4D49" w:rsidRPr="00FC4D49">
        <w:rPr>
          <w:rFonts w:cs="Arial"/>
          <w:vertAlign w:val="superscript"/>
        </w:rPr>
        <w:fldChar w:fldCharType="begin"/>
      </w:r>
      <w:r w:rsidR="00FC4D49" w:rsidRPr="00FC4D49">
        <w:rPr>
          <w:rFonts w:cs="Arial"/>
          <w:vertAlign w:val="superscript"/>
        </w:rPr>
        <w:instrText xml:space="preserve"> NOTEREF _Ref151778026 \h </w:instrText>
      </w:r>
      <w:r w:rsidR="00FC4D49">
        <w:rPr>
          <w:rFonts w:cs="Arial"/>
          <w:vertAlign w:val="superscript"/>
        </w:rPr>
        <w:instrText xml:space="preserve"> \* MERGEFORMAT </w:instrText>
      </w:r>
      <w:r w:rsidR="00FC4D49" w:rsidRPr="00FC4D49">
        <w:rPr>
          <w:rFonts w:cs="Arial"/>
          <w:vertAlign w:val="superscript"/>
        </w:rPr>
      </w:r>
      <w:r w:rsidR="00FC4D49" w:rsidRPr="00FC4D49">
        <w:rPr>
          <w:rFonts w:cs="Arial"/>
          <w:vertAlign w:val="superscript"/>
        </w:rPr>
        <w:fldChar w:fldCharType="separate"/>
      </w:r>
      <w:r w:rsidR="00421590">
        <w:rPr>
          <w:rFonts w:cs="Arial"/>
          <w:vertAlign w:val="superscript"/>
        </w:rPr>
        <w:t>20</w:t>
      </w:r>
      <w:r w:rsidR="00FC4D49" w:rsidRPr="00FC4D49">
        <w:rPr>
          <w:rFonts w:cs="Arial"/>
          <w:vertAlign w:val="superscript"/>
        </w:rPr>
        <w:fldChar w:fldCharType="end"/>
      </w:r>
      <w:r w:rsidRPr="00995906">
        <w:rPr>
          <w:rFonts w:cs="Arial"/>
        </w:rPr>
        <w:t xml:space="preserve"> entspricht.</w:t>
      </w:r>
    </w:p>
    <w:p w:rsidR="0049151F" w:rsidRPr="00995906" w:rsidRDefault="0049151F" w:rsidP="008404F8">
      <w:pPr>
        <w:pStyle w:val="berschrift3"/>
      </w:pPr>
      <w:bookmarkStart w:id="16" w:name="_Toc420510837"/>
      <w:r w:rsidRPr="00DA5376">
        <w:t>III. Sonderbestimmungen für Pentachlorphenol (Nr. 102)</w:t>
      </w:r>
      <w:r w:rsidR="00FC4D49">
        <w:rPr>
          <w:rStyle w:val="Funotenzeichen"/>
        </w:rPr>
        <w:footnoteReference w:id="20"/>
      </w:r>
      <w:r w:rsidRPr="00995906">
        <w:t xml:space="preserve"> </w:t>
      </w:r>
      <w:r w:rsidR="00FC4D49">
        <w:rPr>
          <w:rStyle w:val="Funotenzeichen"/>
        </w:rPr>
        <w:footnoteReference w:id="21"/>
      </w:r>
      <w:bookmarkEnd w:id="16"/>
    </w:p>
    <w:p w:rsidR="0049151F" w:rsidRPr="00995906" w:rsidRDefault="0049151F" w:rsidP="00DA5376">
      <w:pPr>
        <w:pStyle w:val="GesAbsatz"/>
        <w:jc w:val="center"/>
        <w:rPr>
          <w:rFonts w:cs="Arial"/>
        </w:rPr>
      </w:pPr>
      <w:r w:rsidRPr="00995906">
        <w:rPr>
          <w:rFonts w:cs="Arial"/>
        </w:rPr>
        <w:t>CAS-87-86-5</w:t>
      </w:r>
      <w:r w:rsidR="00FC4D49">
        <w:rPr>
          <w:rStyle w:val="Funotenzeichen"/>
          <w:rFonts w:cs="Arial"/>
        </w:rPr>
        <w:footnoteReference w:id="22"/>
      </w:r>
    </w:p>
    <w:p w:rsidR="0049151F" w:rsidRPr="00995906" w:rsidRDefault="0049151F" w:rsidP="00EC6046">
      <w:pPr>
        <w:pStyle w:val="GesAbsatz"/>
        <w:ind w:left="993" w:hanging="993"/>
        <w:rPr>
          <w:rFonts w:cs="Arial"/>
        </w:rPr>
      </w:pPr>
      <w:r w:rsidRPr="00995906">
        <w:rPr>
          <w:rFonts w:cs="Arial"/>
        </w:rPr>
        <w:t>Standstill:</w:t>
      </w:r>
      <w:r w:rsidR="00EC6046">
        <w:rPr>
          <w:rFonts w:cs="Arial"/>
        </w:rPr>
        <w:tab/>
      </w:r>
      <w:r w:rsidRPr="00995906">
        <w:rPr>
          <w:rFonts w:cs="Arial"/>
        </w:rPr>
        <w:t>Die PCP-Konzentration in Sedimenten</w:t>
      </w:r>
      <w:r w:rsidR="00EC6046">
        <w:rPr>
          <w:rFonts w:cs="Arial"/>
        </w:rPr>
        <w:t>, Mollusken, Schalentieren und/</w:t>
      </w:r>
      <w:r w:rsidRPr="00995906">
        <w:rPr>
          <w:rFonts w:cs="Arial"/>
        </w:rPr>
        <w:t>oder Fischen darf mit</w:t>
      </w:r>
      <w:r w:rsidR="00EC6046">
        <w:rPr>
          <w:rFonts w:cs="Arial"/>
        </w:rPr>
        <w:t xml:space="preserve"> </w:t>
      </w:r>
      <w:r w:rsidRPr="00995906">
        <w:rPr>
          <w:rFonts w:cs="Arial"/>
        </w:rPr>
        <w:t>der Zeit nicht wesentlich ansteigen.</w:t>
      </w:r>
    </w:p>
    <w:p w:rsidR="0049151F" w:rsidRPr="00995906" w:rsidRDefault="0049151F" w:rsidP="00995906">
      <w:pPr>
        <w:pStyle w:val="GesAbsatz"/>
        <w:rPr>
          <w:rFonts w:cs="Arial"/>
        </w:rPr>
      </w:pPr>
      <w:r w:rsidRPr="00EC6046">
        <w:rPr>
          <w:rFonts w:cs="Arial"/>
          <w:b/>
        </w:rPr>
        <w:t>Teil A (102):</w:t>
      </w:r>
      <w:r w:rsidRPr="00995906">
        <w:rPr>
          <w:rFonts w:cs="Arial"/>
        </w:rPr>
        <w:t xml:space="preserve"> Grenzwerte der Emissionsnormen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955"/>
        <w:gridCol w:w="1697"/>
        <w:gridCol w:w="2213"/>
        <w:gridCol w:w="1956"/>
        <w:gridCol w:w="1956"/>
      </w:tblGrid>
      <w:tr w:rsidR="00EC6046" w:rsidTr="00FC4D49">
        <w:tc>
          <w:tcPr>
            <w:tcW w:w="1955" w:type="dxa"/>
            <w:vMerge w:val="restart"/>
            <w:vAlign w:val="center"/>
          </w:tcPr>
          <w:p w:rsidR="00EC6046" w:rsidRDefault="00EC6046" w:rsidP="00EC6046">
            <w:pPr>
              <w:pStyle w:val="GesAbsatz"/>
              <w:jc w:val="center"/>
              <w:rPr>
                <w:rFonts w:cs="Arial"/>
              </w:rPr>
            </w:pPr>
            <w:r w:rsidRPr="00995906">
              <w:rPr>
                <w:rFonts w:cs="Arial"/>
              </w:rPr>
              <w:t>Typ des Industri</w:t>
            </w:r>
            <w:r w:rsidRPr="00995906">
              <w:rPr>
                <w:rFonts w:cs="Arial"/>
              </w:rPr>
              <w:t>e</w:t>
            </w:r>
            <w:r w:rsidRPr="00995906">
              <w:rPr>
                <w:rFonts w:cs="Arial"/>
              </w:rPr>
              <w:lastRenderedPageBreak/>
              <w:t>betriebs</w:t>
            </w:r>
          </w:p>
        </w:tc>
        <w:tc>
          <w:tcPr>
            <w:tcW w:w="1697" w:type="dxa"/>
            <w:vMerge w:val="restart"/>
            <w:vAlign w:val="center"/>
          </w:tcPr>
          <w:p w:rsidR="00EC6046" w:rsidRDefault="00EC6046" w:rsidP="00EC6046">
            <w:pPr>
              <w:pStyle w:val="GesAbsatz"/>
              <w:jc w:val="center"/>
              <w:rPr>
                <w:rFonts w:cs="Arial"/>
              </w:rPr>
            </w:pPr>
            <w:r w:rsidRPr="00995906">
              <w:rPr>
                <w:rFonts w:cs="Arial"/>
              </w:rPr>
              <w:lastRenderedPageBreak/>
              <w:t>Typ des Mitte</w:t>
            </w:r>
            <w:r w:rsidRPr="00995906">
              <w:rPr>
                <w:rFonts w:cs="Arial"/>
              </w:rPr>
              <w:t>l</w:t>
            </w:r>
            <w:r w:rsidRPr="00995906">
              <w:rPr>
                <w:rFonts w:cs="Arial"/>
              </w:rPr>
              <w:lastRenderedPageBreak/>
              <w:t>wertes</w:t>
            </w:r>
          </w:p>
        </w:tc>
        <w:tc>
          <w:tcPr>
            <w:tcW w:w="4169" w:type="dxa"/>
            <w:gridSpan w:val="2"/>
          </w:tcPr>
          <w:p w:rsidR="00EC6046" w:rsidRDefault="00EC6046" w:rsidP="00EC6046">
            <w:pPr>
              <w:pStyle w:val="GesAbsatz"/>
              <w:jc w:val="center"/>
              <w:rPr>
                <w:rFonts w:cs="Arial"/>
              </w:rPr>
            </w:pPr>
            <w:r w:rsidRPr="00995906">
              <w:rPr>
                <w:rFonts w:cs="Arial"/>
              </w:rPr>
              <w:lastRenderedPageBreak/>
              <w:t>Grenzwerte ausgedruckt in</w:t>
            </w:r>
          </w:p>
        </w:tc>
        <w:tc>
          <w:tcPr>
            <w:tcW w:w="1956" w:type="dxa"/>
            <w:vMerge w:val="restart"/>
            <w:vAlign w:val="center"/>
          </w:tcPr>
          <w:p w:rsidR="00EC6046" w:rsidRDefault="00EC6046" w:rsidP="00EC6046">
            <w:pPr>
              <w:pStyle w:val="GesAbsatz"/>
              <w:jc w:val="center"/>
              <w:rPr>
                <w:rFonts w:cs="Arial"/>
              </w:rPr>
            </w:pPr>
            <w:r w:rsidRPr="00995906">
              <w:rPr>
                <w:rFonts w:cs="Arial"/>
              </w:rPr>
              <w:t>Einzuhalten ab</w:t>
            </w:r>
          </w:p>
        </w:tc>
      </w:tr>
      <w:tr w:rsidR="00EC6046" w:rsidTr="00FC4D49">
        <w:tc>
          <w:tcPr>
            <w:tcW w:w="1955" w:type="dxa"/>
            <w:vMerge/>
          </w:tcPr>
          <w:p w:rsidR="00EC6046" w:rsidRDefault="00EC6046" w:rsidP="00995906">
            <w:pPr>
              <w:pStyle w:val="GesAbsatz"/>
              <w:rPr>
                <w:rFonts w:cs="Arial"/>
              </w:rPr>
            </w:pPr>
          </w:p>
        </w:tc>
        <w:tc>
          <w:tcPr>
            <w:tcW w:w="1697" w:type="dxa"/>
            <w:vMerge/>
          </w:tcPr>
          <w:p w:rsidR="00EC6046" w:rsidRDefault="00EC6046" w:rsidP="00995906">
            <w:pPr>
              <w:pStyle w:val="GesAbsatz"/>
              <w:rPr>
                <w:rFonts w:cs="Arial"/>
              </w:rPr>
            </w:pPr>
          </w:p>
        </w:tc>
        <w:tc>
          <w:tcPr>
            <w:tcW w:w="2213" w:type="dxa"/>
          </w:tcPr>
          <w:p w:rsidR="00EC6046" w:rsidRDefault="00EC6046" w:rsidP="00EC6046">
            <w:pPr>
              <w:pStyle w:val="GesAbsatz"/>
              <w:jc w:val="center"/>
              <w:rPr>
                <w:rFonts w:cs="Arial"/>
              </w:rPr>
            </w:pPr>
            <w:r>
              <w:rPr>
                <w:rFonts w:cs="Arial"/>
              </w:rPr>
              <w:t>g/t</w:t>
            </w:r>
            <w:r>
              <w:rPr>
                <w:rFonts w:cs="Arial"/>
              </w:rPr>
              <w:br/>
            </w:r>
            <w:r w:rsidRPr="00995906">
              <w:rPr>
                <w:rFonts w:cs="Arial"/>
              </w:rPr>
              <w:t>Produktionskapazität</w:t>
            </w:r>
            <w:r>
              <w:rPr>
                <w:rFonts w:cs="Arial"/>
              </w:rPr>
              <w:t xml:space="preserve"> </w:t>
            </w:r>
            <w:r w:rsidRPr="00995906">
              <w:rPr>
                <w:rFonts w:cs="Arial"/>
              </w:rPr>
              <w:t>bzw.</w:t>
            </w:r>
            <w:r>
              <w:rPr>
                <w:rFonts w:cs="Arial"/>
              </w:rPr>
              <w:t xml:space="preserve"> </w:t>
            </w:r>
            <w:r w:rsidRPr="00995906">
              <w:rPr>
                <w:rFonts w:cs="Arial"/>
              </w:rPr>
              <w:t>Einsatzkapazität</w:t>
            </w:r>
          </w:p>
        </w:tc>
        <w:tc>
          <w:tcPr>
            <w:tcW w:w="1956" w:type="dxa"/>
          </w:tcPr>
          <w:p w:rsidR="00EC6046" w:rsidRDefault="00EC6046" w:rsidP="00EC6046">
            <w:pPr>
              <w:pStyle w:val="GesAbsatz"/>
              <w:jc w:val="center"/>
              <w:rPr>
                <w:rFonts w:cs="Arial"/>
              </w:rPr>
            </w:pPr>
            <w:r>
              <w:rPr>
                <w:rFonts w:cs="Arial"/>
              </w:rPr>
              <w:t>mg/l</w:t>
            </w:r>
            <w:r>
              <w:rPr>
                <w:rFonts w:cs="Arial"/>
              </w:rPr>
              <w:br/>
            </w:r>
            <w:r w:rsidRPr="00995906">
              <w:rPr>
                <w:rFonts w:cs="Arial"/>
              </w:rPr>
              <w:t>abg</w:t>
            </w:r>
            <w:r>
              <w:rPr>
                <w:rFonts w:cs="Arial"/>
              </w:rPr>
              <w:t>e</w:t>
            </w:r>
            <w:r w:rsidRPr="00995906">
              <w:rPr>
                <w:rFonts w:cs="Arial"/>
              </w:rPr>
              <w:t>leitetem</w:t>
            </w:r>
            <w:r>
              <w:rPr>
                <w:rFonts w:cs="Arial"/>
              </w:rPr>
              <w:t xml:space="preserve"> </w:t>
            </w:r>
            <w:r w:rsidRPr="00995906">
              <w:rPr>
                <w:rFonts w:cs="Arial"/>
              </w:rPr>
              <w:t>Wa</w:t>
            </w:r>
            <w:r w:rsidRPr="00995906">
              <w:rPr>
                <w:rFonts w:cs="Arial"/>
              </w:rPr>
              <w:t>s</w:t>
            </w:r>
            <w:r w:rsidRPr="00995906">
              <w:rPr>
                <w:rFonts w:cs="Arial"/>
              </w:rPr>
              <w:t>ser</w:t>
            </w:r>
          </w:p>
        </w:tc>
        <w:tc>
          <w:tcPr>
            <w:tcW w:w="1956" w:type="dxa"/>
            <w:vMerge/>
          </w:tcPr>
          <w:p w:rsidR="00EC6046" w:rsidRDefault="00EC6046" w:rsidP="00995906">
            <w:pPr>
              <w:pStyle w:val="GesAbsatz"/>
              <w:rPr>
                <w:rFonts w:cs="Arial"/>
              </w:rPr>
            </w:pPr>
          </w:p>
        </w:tc>
      </w:tr>
      <w:tr w:rsidR="00EC6046" w:rsidTr="00FC4D49">
        <w:trPr>
          <w:trHeight w:val="346"/>
        </w:trPr>
        <w:tc>
          <w:tcPr>
            <w:tcW w:w="1955" w:type="dxa"/>
            <w:vMerge w:val="restart"/>
          </w:tcPr>
          <w:p w:rsidR="00EC6046" w:rsidRDefault="00EC6046" w:rsidP="00EC6046">
            <w:pPr>
              <w:pStyle w:val="GesAbsatz"/>
              <w:rPr>
                <w:rFonts w:cs="Arial"/>
              </w:rPr>
            </w:pPr>
            <w:r w:rsidRPr="00995906">
              <w:rPr>
                <w:rFonts w:cs="Arial"/>
              </w:rPr>
              <w:lastRenderedPageBreak/>
              <w:t>Produktion von PCP.Na</w:t>
            </w:r>
            <w:r>
              <w:rPr>
                <w:rFonts w:cs="Arial"/>
              </w:rPr>
              <w:t xml:space="preserve"> </w:t>
            </w:r>
            <w:r w:rsidRPr="00995906">
              <w:rPr>
                <w:rFonts w:cs="Arial"/>
              </w:rPr>
              <w:t>durch Hydrolyse von Hexachlorbenzo</w:t>
            </w:r>
            <w:r>
              <w:rPr>
                <w:rFonts w:cs="Arial"/>
              </w:rPr>
              <w:t>l</w:t>
            </w:r>
          </w:p>
        </w:tc>
        <w:tc>
          <w:tcPr>
            <w:tcW w:w="1697" w:type="dxa"/>
          </w:tcPr>
          <w:p w:rsidR="00EC6046" w:rsidRDefault="00EC6046" w:rsidP="00EC6046">
            <w:pPr>
              <w:pStyle w:val="GesAbsatz"/>
              <w:jc w:val="center"/>
              <w:rPr>
                <w:rFonts w:cs="Arial"/>
              </w:rPr>
            </w:pPr>
            <w:r w:rsidRPr="00995906">
              <w:rPr>
                <w:rFonts w:cs="Arial"/>
              </w:rPr>
              <w:t>Monat</w:t>
            </w:r>
          </w:p>
        </w:tc>
        <w:tc>
          <w:tcPr>
            <w:tcW w:w="2213" w:type="dxa"/>
          </w:tcPr>
          <w:p w:rsidR="00EC6046" w:rsidRPr="00995906" w:rsidRDefault="00EC6046" w:rsidP="00EC6046">
            <w:pPr>
              <w:pStyle w:val="GesAbsatz"/>
              <w:jc w:val="center"/>
              <w:rPr>
                <w:rFonts w:cs="Arial"/>
              </w:rPr>
            </w:pPr>
            <w:r w:rsidRPr="00995906">
              <w:rPr>
                <w:rFonts w:cs="Arial"/>
              </w:rPr>
              <w:t>25</w:t>
            </w:r>
          </w:p>
        </w:tc>
        <w:tc>
          <w:tcPr>
            <w:tcW w:w="1956" w:type="dxa"/>
          </w:tcPr>
          <w:p w:rsidR="00EC6046" w:rsidRPr="00995906" w:rsidRDefault="00EC6046" w:rsidP="00EC6046">
            <w:pPr>
              <w:pStyle w:val="GesAbsatz"/>
              <w:jc w:val="center"/>
              <w:rPr>
                <w:rFonts w:cs="Arial"/>
              </w:rPr>
            </w:pPr>
            <w:r w:rsidRPr="00995906">
              <w:rPr>
                <w:rFonts w:cs="Arial"/>
              </w:rPr>
              <w:t>1</w:t>
            </w:r>
          </w:p>
        </w:tc>
        <w:tc>
          <w:tcPr>
            <w:tcW w:w="1956" w:type="dxa"/>
          </w:tcPr>
          <w:p w:rsidR="00EC6046" w:rsidRDefault="00EC6046" w:rsidP="00EC6046">
            <w:pPr>
              <w:pStyle w:val="GesAbsatz"/>
              <w:jc w:val="center"/>
              <w:rPr>
                <w:rFonts w:cs="Arial"/>
              </w:rPr>
            </w:pPr>
            <w:r w:rsidRPr="00995906">
              <w:rPr>
                <w:rFonts w:cs="Arial"/>
              </w:rPr>
              <w:t>1.1.1988</w:t>
            </w:r>
          </w:p>
        </w:tc>
      </w:tr>
      <w:tr w:rsidR="00EC6046" w:rsidTr="00FC4D49">
        <w:trPr>
          <w:trHeight w:val="503"/>
        </w:trPr>
        <w:tc>
          <w:tcPr>
            <w:tcW w:w="1955" w:type="dxa"/>
            <w:vMerge/>
          </w:tcPr>
          <w:p w:rsidR="00EC6046" w:rsidRDefault="00EC6046" w:rsidP="00995906">
            <w:pPr>
              <w:pStyle w:val="GesAbsatz"/>
              <w:rPr>
                <w:rFonts w:cs="Arial"/>
              </w:rPr>
            </w:pPr>
          </w:p>
        </w:tc>
        <w:tc>
          <w:tcPr>
            <w:tcW w:w="1697" w:type="dxa"/>
            <w:vAlign w:val="center"/>
          </w:tcPr>
          <w:p w:rsidR="00EC6046" w:rsidRDefault="00EC6046" w:rsidP="00EC6046">
            <w:pPr>
              <w:pStyle w:val="GesAbsatz"/>
              <w:jc w:val="center"/>
              <w:rPr>
                <w:rFonts w:cs="Arial"/>
              </w:rPr>
            </w:pPr>
            <w:r w:rsidRPr="00995906">
              <w:rPr>
                <w:rFonts w:cs="Arial"/>
              </w:rPr>
              <w:t>Tag</w:t>
            </w:r>
          </w:p>
        </w:tc>
        <w:tc>
          <w:tcPr>
            <w:tcW w:w="2213" w:type="dxa"/>
            <w:vAlign w:val="center"/>
          </w:tcPr>
          <w:p w:rsidR="00EC6046" w:rsidRPr="00995906" w:rsidRDefault="00EC6046" w:rsidP="00EC6046">
            <w:pPr>
              <w:pStyle w:val="GesAbsatz"/>
              <w:jc w:val="center"/>
              <w:rPr>
                <w:rFonts w:cs="Arial"/>
              </w:rPr>
            </w:pPr>
            <w:r w:rsidRPr="00995906">
              <w:rPr>
                <w:rFonts w:cs="Arial"/>
              </w:rPr>
              <w:t>50</w:t>
            </w:r>
          </w:p>
        </w:tc>
        <w:tc>
          <w:tcPr>
            <w:tcW w:w="1956" w:type="dxa"/>
            <w:vAlign w:val="center"/>
          </w:tcPr>
          <w:p w:rsidR="00EC6046" w:rsidRPr="00995906" w:rsidRDefault="00EC6046" w:rsidP="00EC6046">
            <w:pPr>
              <w:pStyle w:val="GesAbsatz"/>
              <w:jc w:val="center"/>
              <w:rPr>
                <w:rFonts w:cs="Arial"/>
              </w:rPr>
            </w:pPr>
            <w:r w:rsidRPr="00995906">
              <w:rPr>
                <w:rFonts w:cs="Arial"/>
              </w:rPr>
              <w:t>2</w:t>
            </w:r>
          </w:p>
        </w:tc>
        <w:tc>
          <w:tcPr>
            <w:tcW w:w="1956" w:type="dxa"/>
            <w:vAlign w:val="center"/>
          </w:tcPr>
          <w:p w:rsidR="00EC6046" w:rsidRDefault="00EC6046" w:rsidP="00EC6046">
            <w:pPr>
              <w:pStyle w:val="GesAbsatz"/>
              <w:jc w:val="center"/>
              <w:rPr>
                <w:rFonts w:cs="Arial"/>
              </w:rPr>
            </w:pPr>
            <w:r w:rsidRPr="00995906">
              <w:rPr>
                <w:rFonts w:cs="Arial"/>
              </w:rPr>
              <w:t>1.1.1988</w:t>
            </w:r>
          </w:p>
        </w:tc>
      </w:tr>
    </w:tbl>
    <w:p w:rsidR="00EC6046" w:rsidRDefault="00EC6046" w:rsidP="00995906">
      <w:pPr>
        <w:pStyle w:val="GesAbsatz"/>
        <w:rPr>
          <w:rFonts w:cs="Arial"/>
        </w:rPr>
      </w:pPr>
    </w:p>
    <w:p w:rsidR="0049151F" w:rsidRPr="00995906" w:rsidRDefault="0049151F" w:rsidP="00995906">
      <w:pPr>
        <w:pStyle w:val="GesAbsatz"/>
        <w:rPr>
          <w:rFonts w:cs="Arial"/>
        </w:rPr>
      </w:pPr>
      <w:r w:rsidRPr="009C1219">
        <w:rPr>
          <w:rFonts w:cs="Arial"/>
          <w:b/>
        </w:rPr>
        <w:t>Teil C (102):</w:t>
      </w:r>
      <w:r w:rsidRPr="00995906">
        <w:rPr>
          <w:rFonts w:cs="Arial"/>
        </w:rPr>
        <w:t xml:space="preserve"> </w:t>
      </w:r>
      <w:proofErr w:type="spellStart"/>
      <w:r w:rsidRPr="00995906">
        <w:rPr>
          <w:rFonts w:cs="Arial"/>
        </w:rPr>
        <w:t>Referenzme</w:t>
      </w:r>
      <w:r w:rsidR="009C1219">
        <w:rPr>
          <w:rFonts w:cs="Arial"/>
        </w:rPr>
        <w:t>ß</w:t>
      </w:r>
      <w:r w:rsidRPr="00995906">
        <w:rPr>
          <w:rFonts w:cs="Arial"/>
        </w:rPr>
        <w:t>verfahren</w:t>
      </w:r>
      <w:proofErr w:type="spellEnd"/>
    </w:p>
    <w:p w:rsidR="0049151F" w:rsidRPr="00995906" w:rsidRDefault="0049151F" w:rsidP="009C1219">
      <w:pPr>
        <w:pStyle w:val="GesAbsatz"/>
        <w:ind w:left="426" w:hanging="426"/>
        <w:rPr>
          <w:rFonts w:cs="Arial"/>
        </w:rPr>
      </w:pPr>
      <w:r w:rsidRPr="00995906">
        <w:rPr>
          <w:rFonts w:cs="Arial"/>
        </w:rPr>
        <w:t>1.</w:t>
      </w:r>
      <w:r w:rsidR="009C1219">
        <w:rPr>
          <w:rFonts w:cs="Arial"/>
        </w:rPr>
        <w:tab/>
      </w:r>
      <w:r w:rsidRPr="00995906">
        <w:rPr>
          <w:rFonts w:cs="Arial"/>
        </w:rPr>
        <w:t>Referenzme</w:t>
      </w:r>
      <w:r w:rsidR="009C1219">
        <w:rPr>
          <w:rFonts w:cs="Arial"/>
        </w:rPr>
        <w:t>ß</w:t>
      </w:r>
      <w:r w:rsidRPr="00995906">
        <w:rPr>
          <w:rFonts w:cs="Arial"/>
        </w:rPr>
        <w:t>verfahren zur Bestimmung von Pentachlorphenol im Abwasser und in Gewässern sind</w:t>
      </w:r>
      <w:r w:rsidR="009C1219">
        <w:rPr>
          <w:rFonts w:cs="Arial"/>
        </w:rPr>
        <w:t xml:space="preserve"> </w:t>
      </w:r>
      <w:r w:rsidRPr="00995906">
        <w:rPr>
          <w:rFonts w:cs="Arial"/>
        </w:rPr>
        <w:t>die Hochdruck-Flüssigkeits-Chromatographie bzw. die Gaschromatographie mit Elektroneneinfangdetektor</w:t>
      </w:r>
      <w:r w:rsidR="009C1219">
        <w:rPr>
          <w:rFonts w:cs="Arial"/>
        </w:rPr>
        <w:t xml:space="preserve"> </w:t>
      </w:r>
      <w:r w:rsidRPr="00995906">
        <w:rPr>
          <w:rFonts w:cs="Arial"/>
        </w:rPr>
        <w:t>nach Extraktion mit einem geeigneten Lösemittel. Die Bestimmungsgrenze</w:t>
      </w:r>
      <w:bookmarkStart w:id="17" w:name="_Ref151782689"/>
      <w:r w:rsidR="00E431AA">
        <w:rPr>
          <w:rStyle w:val="Funotenzeichen"/>
          <w:rFonts w:cs="Arial"/>
        </w:rPr>
        <w:footnoteReference w:id="23"/>
      </w:r>
      <w:bookmarkEnd w:id="17"/>
      <w:r w:rsidRPr="00995906">
        <w:rPr>
          <w:rFonts w:cs="Arial"/>
        </w:rPr>
        <w:t xml:space="preserve"> liegt bei 2 µg/l für</w:t>
      </w:r>
      <w:r w:rsidR="009C1219">
        <w:rPr>
          <w:rFonts w:cs="Arial"/>
        </w:rPr>
        <w:t xml:space="preserve"> </w:t>
      </w:r>
      <w:r w:rsidRPr="00995906">
        <w:rPr>
          <w:rFonts w:cs="Arial"/>
        </w:rPr>
        <w:t>Abwa</w:t>
      </w:r>
      <w:r w:rsidRPr="00995906">
        <w:rPr>
          <w:rFonts w:cs="Arial"/>
        </w:rPr>
        <w:t>s</w:t>
      </w:r>
      <w:r w:rsidRPr="00995906">
        <w:rPr>
          <w:rFonts w:cs="Arial"/>
        </w:rPr>
        <w:t>ser und bei 0,1 µg/l für Gewässer.</w:t>
      </w:r>
    </w:p>
    <w:p w:rsidR="0049151F" w:rsidRPr="00995906" w:rsidRDefault="0049151F" w:rsidP="009C1219">
      <w:pPr>
        <w:pStyle w:val="GesAbsatz"/>
        <w:ind w:left="426" w:hanging="426"/>
        <w:rPr>
          <w:rFonts w:cs="Arial"/>
        </w:rPr>
      </w:pPr>
      <w:r w:rsidRPr="00995906">
        <w:rPr>
          <w:rFonts w:cs="Arial"/>
        </w:rPr>
        <w:t>2.</w:t>
      </w:r>
      <w:r w:rsidR="009C1219">
        <w:rPr>
          <w:rFonts w:cs="Arial"/>
        </w:rPr>
        <w:tab/>
      </w:r>
      <w:r w:rsidRPr="00995906">
        <w:rPr>
          <w:rFonts w:cs="Arial"/>
        </w:rPr>
        <w:t>Referenzverfahren zur Bestimmung von Pentachlorphenol in Sedimenten und Organismen sind die</w:t>
      </w:r>
      <w:r w:rsidR="009C1219">
        <w:rPr>
          <w:rFonts w:cs="Arial"/>
        </w:rPr>
        <w:t xml:space="preserve"> </w:t>
      </w:r>
      <w:r w:rsidRPr="00995906">
        <w:rPr>
          <w:rFonts w:cs="Arial"/>
        </w:rPr>
        <w:t>Hochdruck-Flüssigkeits-Chromatographie bzw. die Gaschromatographie mit Elektroneneinfangdetektor</w:t>
      </w:r>
      <w:r w:rsidR="009C1219">
        <w:rPr>
          <w:rFonts w:cs="Arial"/>
        </w:rPr>
        <w:t xml:space="preserve"> </w:t>
      </w:r>
      <w:r w:rsidRPr="00995906">
        <w:rPr>
          <w:rFonts w:cs="Arial"/>
        </w:rPr>
        <w:t>nach geeigneter Probenvorbereitung. Die Bestimmungsgrenze</w:t>
      </w:r>
      <w:r w:rsidR="00E431AA" w:rsidRPr="00E431AA">
        <w:rPr>
          <w:rFonts w:cs="Arial"/>
          <w:vertAlign w:val="superscript"/>
        </w:rPr>
        <w:fldChar w:fldCharType="begin"/>
      </w:r>
      <w:r w:rsidR="00E431AA" w:rsidRPr="00E431AA">
        <w:rPr>
          <w:rFonts w:cs="Arial"/>
          <w:vertAlign w:val="superscript"/>
        </w:rPr>
        <w:instrText xml:space="preserve"> NOTEREF _Ref151782689 \h </w:instrText>
      </w:r>
      <w:r w:rsidR="00E431AA">
        <w:rPr>
          <w:rFonts w:cs="Arial"/>
          <w:vertAlign w:val="superscript"/>
        </w:rPr>
        <w:instrText xml:space="preserve"> \* MERGEFORMAT </w:instrText>
      </w:r>
      <w:r w:rsidR="00E431AA" w:rsidRPr="00E431AA">
        <w:rPr>
          <w:rFonts w:cs="Arial"/>
          <w:vertAlign w:val="superscript"/>
        </w:rPr>
      </w:r>
      <w:r w:rsidR="00E431AA" w:rsidRPr="00E431AA">
        <w:rPr>
          <w:rFonts w:cs="Arial"/>
          <w:vertAlign w:val="superscript"/>
        </w:rPr>
        <w:fldChar w:fldCharType="separate"/>
      </w:r>
      <w:r w:rsidR="00421590">
        <w:rPr>
          <w:rFonts w:cs="Arial"/>
          <w:vertAlign w:val="superscript"/>
        </w:rPr>
        <w:t>24</w:t>
      </w:r>
      <w:r w:rsidR="00E431AA" w:rsidRPr="00E431AA">
        <w:rPr>
          <w:rFonts w:cs="Arial"/>
          <w:vertAlign w:val="superscript"/>
        </w:rPr>
        <w:fldChar w:fldCharType="end"/>
      </w:r>
      <w:r w:rsidRPr="00995906">
        <w:rPr>
          <w:rFonts w:cs="Arial"/>
        </w:rPr>
        <w:t xml:space="preserve"> liegt bei 1 µg/kg.</w:t>
      </w:r>
    </w:p>
    <w:p w:rsidR="0049151F" w:rsidRDefault="0049151F" w:rsidP="009C1219">
      <w:pPr>
        <w:pStyle w:val="GesAbsatz"/>
        <w:ind w:left="426" w:hanging="426"/>
        <w:rPr>
          <w:rFonts w:cs="Arial"/>
        </w:rPr>
      </w:pPr>
      <w:r w:rsidRPr="00995906">
        <w:rPr>
          <w:rFonts w:cs="Arial"/>
        </w:rPr>
        <w:t>3.</w:t>
      </w:r>
      <w:r w:rsidR="009C1219">
        <w:rPr>
          <w:rFonts w:cs="Arial"/>
        </w:rPr>
        <w:tab/>
      </w:r>
      <w:r w:rsidRPr="00995906">
        <w:rPr>
          <w:rFonts w:cs="Arial"/>
        </w:rPr>
        <w:t>Die Richtlinie und die Genauigkeit der Methode müssen ± 50 % bei einer Konzentration betragen, die</w:t>
      </w:r>
      <w:r w:rsidR="009C1219">
        <w:rPr>
          <w:rFonts w:cs="Arial"/>
        </w:rPr>
        <w:t xml:space="preserve"> </w:t>
      </w:r>
      <w:r w:rsidRPr="00995906">
        <w:rPr>
          <w:rFonts w:cs="Arial"/>
        </w:rPr>
        <w:t>dem doppelten Wert der Bestimmungsgrenze</w:t>
      </w:r>
      <w:r w:rsidR="00E431AA" w:rsidRPr="00E431AA">
        <w:rPr>
          <w:rFonts w:cs="Arial"/>
          <w:vertAlign w:val="superscript"/>
        </w:rPr>
        <w:fldChar w:fldCharType="begin"/>
      </w:r>
      <w:r w:rsidR="00E431AA" w:rsidRPr="00E431AA">
        <w:rPr>
          <w:rFonts w:cs="Arial"/>
          <w:vertAlign w:val="superscript"/>
        </w:rPr>
        <w:instrText xml:space="preserve"> NOTEREF _Ref151782689 \h </w:instrText>
      </w:r>
      <w:r w:rsidR="00E431AA">
        <w:rPr>
          <w:rFonts w:cs="Arial"/>
          <w:vertAlign w:val="superscript"/>
        </w:rPr>
        <w:instrText xml:space="preserve"> \* MERGEFORMAT </w:instrText>
      </w:r>
      <w:r w:rsidR="00E431AA" w:rsidRPr="00E431AA">
        <w:rPr>
          <w:rFonts w:cs="Arial"/>
          <w:vertAlign w:val="superscript"/>
        </w:rPr>
      </w:r>
      <w:r w:rsidR="00E431AA" w:rsidRPr="00E431AA">
        <w:rPr>
          <w:rFonts w:cs="Arial"/>
          <w:vertAlign w:val="superscript"/>
        </w:rPr>
        <w:fldChar w:fldCharType="separate"/>
      </w:r>
      <w:r w:rsidR="00421590">
        <w:rPr>
          <w:rFonts w:cs="Arial"/>
          <w:vertAlign w:val="superscript"/>
        </w:rPr>
        <w:t>24</w:t>
      </w:r>
      <w:r w:rsidR="00E431AA" w:rsidRPr="00E431AA">
        <w:rPr>
          <w:rFonts w:cs="Arial"/>
          <w:vertAlign w:val="superscript"/>
        </w:rPr>
        <w:fldChar w:fldCharType="end"/>
      </w:r>
      <w:r w:rsidRPr="00995906">
        <w:rPr>
          <w:rFonts w:cs="Arial"/>
        </w:rPr>
        <w:t xml:space="preserve"> entspricht.</w:t>
      </w:r>
    </w:p>
    <w:p w:rsidR="0049151F" w:rsidRPr="009C1219" w:rsidRDefault="0049151F" w:rsidP="008404F8">
      <w:pPr>
        <w:pStyle w:val="berschrift3"/>
      </w:pPr>
      <w:bookmarkStart w:id="18" w:name="_Toc420510838"/>
      <w:r w:rsidRPr="009C1219">
        <w:t>IV. Sonderbestimmungen für</w:t>
      </w:r>
      <w:r w:rsidR="008404F8">
        <w:t xml:space="preserve"> Aldrin, Dieldrin, Endrin, Isodrin</w:t>
      </w:r>
      <w:bookmarkEnd w:id="18"/>
    </w:p>
    <w:p w:rsidR="0049151F" w:rsidRPr="009C1219" w:rsidRDefault="0049151F" w:rsidP="00995906">
      <w:pPr>
        <w:pStyle w:val="GesAbsatz"/>
        <w:rPr>
          <w:rFonts w:cs="Arial"/>
          <w:lang w:val="fr-FR"/>
        </w:rPr>
      </w:pPr>
      <w:r w:rsidRPr="009C1219">
        <w:rPr>
          <w:rFonts w:cs="Arial"/>
          <w:lang w:val="fr-FR"/>
        </w:rPr>
        <w:t>Aldrin (Nr. 1)</w:t>
      </w:r>
      <w:r w:rsidR="00E431AA">
        <w:rPr>
          <w:rStyle w:val="Funotenzeichen"/>
          <w:rFonts w:cs="Arial"/>
          <w:lang w:val="fr-FR"/>
        </w:rPr>
        <w:footnoteReference w:id="24"/>
      </w:r>
      <w:r w:rsidRPr="009C1219">
        <w:rPr>
          <w:rFonts w:cs="Arial"/>
          <w:lang w:val="fr-FR"/>
        </w:rPr>
        <w:t xml:space="preserve"> CAS-309-00-2</w:t>
      </w:r>
    </w:p>
    <w:p w:rsidR="0049151F" w:rsidRPr="00995906" w:rsidRDefault="0049151F" w:rsidP="00995906">
      <w:pPr>
        <w:pStyle w:val="GesAbsatz"/>
        <w:rPr>
          <w:rFonts w:cs="Arial"/>
          <w:lang w:val="fr-FR"/>
        </w:rPr>
      </w:pPr>
      <w:r w:rsidRPr="00995906">
        <w:rPr>
          <w:rFonts w:cs="Arial"/>
          <w:lang w:val="fr-FR"/>
        </w:rPr>
        <w:t>Dieldrin (Nr. 71)</w:t>
      </w:r>
      <w:r w:rsidR="00E431AA">
        <w:rPr>
          <w:rStyle w:val="Funotenzeichen"/>
          <w:rFonts w:cs="Arial"/>
          <w:lang w:val="fr-FR"/>
        </w:rPr>
        <w:footnoteReference w:id="25"/>
      </w:r>
      <w:r w:rsidRPr="00995906">
        <w:rPr>
          <w:rFonts w:cs="Arial"/>
          <w:lang w:val="fr-FR"/>
        </w:rPr>
        <w:t xml:space="preserve"> CAS-60-57-I</w:t>
      </w:r>
    </w:p>
    <w:p w:rsidR="0049151F" w:rsidRPr="00995906" w:rsidRDefault="0049151F" w:rsidP="00995906">
      <w:pPr>
        <w:pStyle w:val="GesAbsatz"/>
        <w:rPr>
          <w:rFonts w:cs="Arial"/>
          <w:lang w:val="fr-FR"/>
        </w:rPr>
      </w:pPr>
      <w:r w:rsidRPr="00995906">
        <w:rPr>
          <w:rFonts w:cs="Arial"/>
          <w:lang w:val="fr-FR"/>
        </w:rPr>
        <w:t>Endrin (Nr. 77)</w:t>
      </w:r>
      <w:r w:rsidR="00E431AA">
        <w:rPr>
          <w:rStyle w:val="Funotenzeichen"/>
          <w:rFonts w:cs="Arial"/>
          <w:lang w:val="fr-FR"/>
        </w:rPr>
        <w:footnoteReference w:id="26"/>
      </w:r>
      <w:r w:rsidRPr="00995906">
        <w:rPr>
          <w:rFonts w:cs="Arial"/>
          <w:lang w:val="fr-FR"/>
        </w:rPr>
        <w:t xml:space="preserve"> CAS-72-20-8</w:t>
      </w:r>
    </w:p>
    <w:p w:rsidR="0049151F" w:rsidRPr="00744F76" w:rsidRDefault="0049151F" w:rsidP="00995906">
      <w:pPr>
        <w:pStyle w:val="GesAbsatz"/>
        <w:rPr>
          <w:rFonts w:cs="Arial"/>
          <w:lang w:val="fr-FR"/>
        </w:rPr>
      </w:pPr>
      <w:r w:rsidRPr="00744F76">
        <w:rPr>
          <w:rFonts w:cs="Arial"/>
          <w:lang w:val="fr-FR"/>
        </w:rPr>
        <w:t>Isodrin (Nr. 130)</w:t>
      </w:r>
      <w:r w:rsidR="00E431AA">
        <w:rPr>
          <w:rStyle w:val="Funotenzeichen"/>
          <w:rFonts w:cs="Arial"/>
        </w:rPr>
        <w:footnoteReference w:id="27"/>
      </w:r>
      <w:r w:rsidRPr="00744F76">
        <w:rPr>
          <w:rFonts w:cs="Arial"/>
          <w:lang w:val="fr-FR"/>
        </w:rPr>
        <w:t xml:space="preserve"> CAS-465-73-6.</w:t>
      </w:r>
    </w:p>
    <w:p w:rsidR="00E431AA" w:rsidRPr="00744F76" w:rsidRDefault="00E431AA" w:rsidP="00995906">
      <w:pPr>
        <w:pStyle w:val="GesAbsatz"/>
        <w:rPr>
          <w:rFonts w:cs="Arial"/>
          <w:b/>
          <w:lang w:val="fr-FR"/>
        </w:rPr>
      </w:pPr>
    </w:p>
    <w:p w:rsidR="0049151F" w:rsidRPr="00995906" w:rsidRDefault="0049151F" w:rsidP="00E431AA">
      <w:pPr>
        <w:pStyle w:val="GesAbsatz"/>
        <w:rPr>
          <w:rFonts w:cs="Arial"/>
        </w:rPr>
      </w:pPr>
      <w:r w:rsidRPr="00AB0736">
        <w:rPr>
          <w:rFonts w:cs="Arial"/>
          <w:b/>
        </w:rPr>
        <w:t>Teil A (1, 71, 77, 130):</w:t>
      </w:r>
      <w:r w:rsidRPr="00995906">
        <w:rPr>
          <w:rFonts w:cs="Arial"/>
        </w:rPr>
        <w:t xml:space="preserve"> Grenzwerte der Emissionsnormen</w:t>
      </w:r>
      <w:r w:rsidR="00E431AA">
        <w:rPr>
          <w:rStyle w:val="Funotenzeichen"/>
          <w:rFonts w:cs="Arial"/>
        </w:rPr>
        <w:footnoteReference w:id="28"/>
      </w:r>
    </w:p>
    <w:tbl>
      <w:tblPr>
        <w:tblW w:w="9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235"/>
        <w:gridCol w:w="1984"/>
        <w:gridCol w:w="2126"/>
        <w:gridCol w:w="1679"/>
        <w:gridCol w:w="1701"/>
      </w:tblGrid>
      <w:tr w:rsidR="00682CEE" w:rsidTr="00700A77">
        <w:tc>
          <w:tcPr>
            <w:tcW w:w="2235" w:type="dxa"/>
            <w:vMerge w:val="restart"/>
            <w:vAlign w:val="center"/>
          </w:tcPr>
          <w:p w:rsidR="00682CEE" w:rsidRDefault="00682CEE" w:rsidP="00301CCC">
            <w:pPr>
              <w:pStyle w:val="GesAbsatz"/>
              <w:jc w:val="center"/>
              <w:rPr>
                <w:rFonts w:cs="Arial"/>
              </w:rPr>
            </w:pPr>
            <w:r w:rsidRPr="00995906">
              <w:rPr>
                <w:rFonts w:cs="Arial"/>
              </w:rPr>
              <w:t>Typ des Industrieb</w:t>
            </w:r>
            <w:r w:rsidRPr="00995906">
              <w:rPr>
                <w:rFonts w:cs="Arial"/>
              </w:rPr>
              <w:t>e</w:t>
            </w:r>
            <w:r w:rsidRPr="00995906">
              <w:rPr>
                <w:rFonts w:cs="Arial"/>
              </w:rPr>
              <w:t>triebs</w:t>
            </w:r>
            <w:r w:rsidR="00E431AA">
              <w:rPr>
                <w:rStyle w:val="Funotenzeichen"/>
                <w:rFonts w:cs="Arial"/>
              </w:rPr>
              <w:footnoteReference w:id="29"/>
            </w:r>
          </w:p>
        </w:tc>
        <w:tc>
          <w:tcPr>
            <w:tcW w:w="1984" w:type="dxa"/>
            <w:vMerge w:val="restart"/>
            <w:vAlign w:val="center"/>
          </w:tcPr>
          <w:p w:rsidR="00682CEE" w:rsidRDefault="00682CEE" w:rsidP="00301CCC">
            <w:pPr>
              <w:pStyle w:val="GesAbsatz"/>
              <w:jc w:val="center"/>
              <w:rPr>
                <w:rFonts w:cs="Arial"/>
              </w:rPr>
            </w:pPr>
            <w:r w:rsidRPr="00995906">
              <w:rPr>
                <w:rFonts w:cs="Arial"/>
              </w:rPr>
              <w:t>Typ des Mittelwerts</w:t>
            </w:r>
          </w:p>
        </w:tc>
        <w:tc>
          <w:tcPr>
            <w:tcW w:w="3805" w:type="dxa"/>
            <w:gridSpan w:val="2"/>
          </w:tcPr>
          <w:p w:rsidR="00682CEE" w:rsidRDefault="00682CEE" w:rsidP="00301CCC">
            <w:pPr>
              <w:pStyle w:val="GesAbsatz"/>
              <w:jc w:val="center"/>
              <w:rPr>
                <w:rFonts w:cs="Arial"/>
              </w:rPr>
            </w:pPr>
            <w:r w:rsidRPr="00995906">
              <w:rPr>
                <w:rFonts w:cs="Arial"/>
              </w:rPr>
              <w:t>Grenzwerte ausgedrückt in</w:t>
            </w:r>
          </w:p>
        </w:tc>
        <w:tc>
          <w:tcPr>
            <w:tcW w:w="1701" w:type="dxa"/>
            <w:vMerge w:val="restart"/>
            <w:vAlign w:val="center"/>
          </w:tcPr>
          <w:p w:rsidR="00682CEE" w:rsidRDefault="00682CEE" w:rsidP="00301CCC">
            <w:pPr>
              <w:pStyle w:val="GesAbsatz"/>
              <w:jc w:val="center"/>
              <w:rPr>
                <w:rFonts w:cs="Arial"/>
              </w:rPr>
            </w:pPr>
            <w:r w:rsidRPr="00995906">
              <w:rPr>
                <w:rFonts w:cs="Arial"/>
              </w:rPr>
              <w:t>Einzuhalten ab</w:t>
            </w:r>
          </w:p>
        </w:tc>
      </w:tr>
      <w:tr w:rsidR="00682CEE" w:rsidTr="00700A77">
        <w:tc>
          <w:tcPr>
            <w:tcW w:w="2235" w:type="dxa"/>
            <w:vMerge/>
          </w:tcPr>
          <w:p w:rsidR="00682CEE" w:rsidRDefault="00682CEE" w:rsidP="00995906">
            <w:pPr>
              <w:pStyle w:val="GesAbsatz"/>
              <w:rPr>
                <w:rFonts w:cs="Arial"/>
              </w:rPr>
            </w:pPr>
          </w:p>
        </w:tc>
        <w:tc>
          <w:tcPr>
            <w:tcW w:w="1984" w:type="dxa"/>
            <w:vMerge/>
          </w:tcPr>
          <w:p w:rsidR="00682CEE" w:rsidRDefault="00682CEE" w:rsidP="00995906">
            <w:pPr>
              <w:pStyle w:val="GesAbsatz"/>
              <w:rPr>
                <w:rFonts w:cs="Arial"/>
              </w:rPr>
            </w:pPr>
          </w:p>
        </w:tc>
        <w:tc>
          <w:tcPr>
            <w:tcW w:w="2126" w:type="dxa"/>
            <w:vAlign w:val="center"/>
          </w:tcPr>
          <w:p w:rsidR="00682CEE" w:rsidRDefault="00682CEE" w:rsidP="00301CCC">
            <w:pPr>
              <w:pStyle w:val="GesAbsatz"/>
              <w:jc w:val="center"/>
              <w:rPr>
                <w:rFonts w:cs="Arial"/>
              </w:rPr>
            </w:pPr>
            <w:r w:rsidRPr="00995906">
              <w:rPr>
                <w:rFonts w:cs="Arial"/>
              </w:rPr>
              <w:t>Fracht</w:t>
            </w:r>
          </w:p>
        </w:tc>
        <w:tc>
          <w:tcPr>
            <w:tcW w:w="1679" w:type="dxa"/>
          </w:tcPr>
          <w:p w:rsidR="00682CEE" w:rsidRDefault="00682CEE" w:rsidP="00301CCC">
            <w:pPr>
              <w:pStyle w:val="GesAbsatz"/>
              <w:jc w:val="center"/>
              <w:rPr>
                <w:rFonts w:cs="Arial"/>
              </w:rPr>
            </w:pPr>
            <w:r w:rsidRPr="00995906">
              <w:rPr>
                <w:rFonts w:cs="Arial"/>
              </w:rPr>
              <w:t>Konzentration</w:t>
            </w:r>
            <w:r>
              <w:rPr>
                <w:rFonts w:cs="Arial"/>
              </w:rPr>
              <w:t xml:space="preserve"> </w:t>
            </w:r>
            <w:r w:rsidRPr="00995906">
              <w:rPr>
                <w:rFonts w:cs="Arial"/>
              </w:rPr>
              <w:t>µg/l abgeleit</w:t>
            </w:r>
            <w:r w:rsidRPr="00995906">
              <w:rPr>
                <w:rFonts w:cs="Arial"/>
              </w:rPr>
              <w:t>e</w:t>
            </w:r>
            <w:r w:rsidRPr="00995906">
              <w:rPr>
                <w:rFonts w:cs="Arial"/>
              </w:rPr>
              <w:t>tem</w:t>
            </w:r>
            <w:r>
              <w:rPr>
                <w:rFonts w:cs="Arial"/>
              </w:rPr>
              <w:t xml:space="preserve"> </w:t>
            </w:r>
            <w:r w:rsidRPr="00995906">
              <w:rPr>
                <w:rFonts w:cs="Arial"/>
              </w:rPr>
              <w:t>Wasser</w:t>
            </w:r>
            <w:r w:rsidR="00E431AA">
              <w:rPr>
                <w:rStyle w:val="Funotenzeichen"/>
                <w:rFonts w:cs="Arial"/>
              </w:rPr>
              <w:footnoteReference w:id="30"/>
            </w:r>
          </w:p>
        </w:tc>
        <w:tc>
          <w:tcPr>
            <w:tcW w:w="1701" w:type="dxa"/>
            <w:vMerge/>
          </w:tcPr>
          <w:p w:rsidR="00682CEE" w:rsidRDefault="00682CEE" w:rsidP="00995906">
            <w:pPr>
              <w:pStyle w:val="GesAbsatz"/>
              <w:rPr>
                <w:rFonts w:cs="Arial"/>
              </w:rPr>
            </w:pPr>
          </w:p>
        </w:tc>
      </w:tr>
      <w:tr w:rsidR="00682CEE" w:rsidTr="00700A77">
        <w:tc>
          <w:tcPr>
            <w:tcW w:w="2235" w:type="dxa"/>
            <w:vMerge w:val="restart"/>
          </w:tcPr>
          <w:p w:rsidR="00682CEE" w:rsidRDefault="00682CEE" w:rsidP="00995906">
            <w:pPr>
              <w:pStyle w:val="GesAbsatz"/>
              <w:rPr>
                <w:rFonts w:cs="Arial"/>
              </w:rPr>
            </w:pPr>
            <w:r w:rsidRPr="00995906">
              <w:rPr>
                <w:rFonts w:cs="Arial"/>
              </w:rPr>
              <w:t>Herstellung von Aldrin</w:t>
            </w:r>
            <w:r>
              <w:rPr>
                <w:rFonts w:cs="Arial"/>
              </w:rPr>
              <w:t xml:space="preserve"> </w:t>
            </w:r>
            <w:r w:rsidRPr="00995906">
              <w:rPr>
                <w:rFonts w:cs="Arial"/>
              </w:rPr>
              <w:t>und/oder Dieldin und/oder</w:t>
            </w:r>
            <w:r>
              <w:rPr>
                <w:rFonts w:cs="Arial"/>
              </w:rPr>
              <w:t xml:space="preserve"> </w:t>
            </w:r>
            <w:r w:rsidRPr="00995906">
              <w:rPr>
                <w:rFonts w:cs="Arial"/>
              </w:rPr>
              <w:t>Endrin, ei</w:t>
            </w:r>
            <w:r w:rsidRPr="00995906">
              <w:rPr>
                <w:rFonts w:cs="Arial"/>
              </w:rPr>
              <w:t>n</w:t>
            </w:r>
            <w:r w:rsidRPr="00995906">
              <w:rPr>
                <w:rFonts w:cs="Arial"/>
              </w:rPr>
              <w:t>schließlich Formuli</w:t>
            </w:r>
            <w:r w:rsidRPr="00995906">
              <w:rPr>
                <w:rFonts w:cs="Arial"/>
              </w:rPr>
              <w:t>e</w:t>
            </w:r>
            <w:r w:rsidRPr="00995906">
              <w:rPr>
                <w:rFonts w:cs="Arial"/>
              </w:rPr>
              <w:t>rung</w:t>
            </w:r>
            <w:r>
              <w:rPr>
                <w:rFonts w:cs="Arial"/>
              </w:rPr>
              <w:t xml:space="preserve"> </w:t>
            </w:r>
            <w:r w:rsidRPr="00995906">
              <w:rPr>
                <w:rFonts w:cs="Arial"/>
              </w:rPr>
              <w:t>dieser Stoffe am</w:t>
            </w:r>
            <w:r>
              <w:rPr>
                <w:rFonts w:cs="Arial"/>
              </w:rPr>
              <w:t xml:space="preserve"> </w:t>
            </w:r>
            <w:r w:rsidRPr="00995906">
              <w:rPr>
                <w:rFonts w:cs="Arial"/>
              </w:rPr>
              <w:t>selben Standort</w:t>
            </w:r>
          </w:p>
        </w:tc>
        <w:tc>
          <w:tcPr>
            <w:tcW w:w="1984" w:type="dxa"/>
            <w:vAlign w:val="center"/>
          </w:tcPr>
          <w:p w:rsidR="00682CEE" w:rsidRDefault="00682CEE" w:rsidP="00301CCC">
            <w:pPr>
              <w:pStyle w:val="GesAbsatz"/>
              <w:jc w:val="center"/>
              <w:rPr>
                <w:rFonts w:cs="Arial"/>
              </w:rPr>
            </w:pPr>
            <w:r w:rsidRPr="00995906">
              <w:rPr>
                <w:rFonts w:cs="Arial"/>
              </w:rPr>
              <w:t>Monat</w:t>
            </w:r>
          </w:p>
        </w:tc>
        <w:tc>
          <w:tcPr>
            <w:tcW w:w="2126" w:type="dxa"/>
          </w:tcPr>
          <w:p w:rsidR="00682CEE" w:rsidRPr="00995906" w:rsidRDefault="00682CEE" w:rsidP="00995906">
            <w:pPr>
              <w:pStyle w:val="GesAbsatz"/>
              <w:rPr>
                <w:rFonts w:cs="Arial"/>
              </w:rPr>
            </w:pPr>
            <w:r w:rsidRPr="00995906">
              <w:rPr>
                <w:rFonts w:cs="Arial"/>
              </w:rPr>
              <w:t>3</w:t>
            </w:r>
            <w:r>
              <w:rPr>
                <w:rFonts w:cs="Arial"/>
              </w:rPr>
              <w:t xml:space="preserve"> </w:t>
            </w:r>
            <w:r w:rsidRPr="00995906">
              <w:rPr>
                <w:rFonts w:cs="Arial"/>
              </w:rPr>
              <w:t>g je Tonne G</w:t>
            </w:r>
            <w:r w:rsidRPr="00995906">
              <w:rPr>
                <w:rFonts w:cs="Arial"/>
              </w:rPr>
              <w:t>e</w:t>
            </w:r>
            <w:r w:rsidRPr="00995906">
              <w:rPr>
                <w:rFonts w:cs="Arial"/>
              </w:rPr>
              <w:t>samtproduktionsk</w:t>
            </w:r>
            <w:r w:rsidRPr="00995906">
              <w:rPr>
                <w:rFonts w:cs="Arial"/>
              </w:rPr>
              <w:t>a</w:t>
            </w:r>
            <w:r w:rsidRPr="00995906">
              <w:rPr>
                <w:rFonts w:cs="Arial"/>
              </w:rPr>
              <w:t>pazität</w:t>
            </w:r>
            <w:r>
              <w:rPr>
                <w:rFonts w:cs="Arial"/>
              </w:rPr>
              <w:t xml:space="preserve"> </w:t>
            </w:r>
            <w:r w:rsidRPr="00995906">
              <w:rPr>
                <w:rFonts w:cs="Arial"/>
              </w:rPr>
              <w:t>(g/t)</w:t>
            </w:r>
          </w:p>
        </w:tc>
        <w:tc>
          <w:tcPr>
            <w:tcW w:w="1679" w:type="dxa"/>
            <w:vAlign w:val="center"/>
          </w:tcPr>
          <w:p w:rsidR="00682CEE" w:rsidRPr="00995906" w:rsidRDefault="00682CEE" w:rsidP="00301CCC">
            <w:pPr>
              <w:pStyle w:val="GesAbsatz"/>
              <w:jc w:val="center"/>
              <w:rPr>
                <w:rFonts w:cs="Arial"/>
              </w:rPr>
            </w:pPr>
            <w:r w:rsidRPr="00995906">
              <w:rPr>
                <w:rFonts w:cs="Arial"/>
              </w:rPr>
              <w:t>2</w:t>
            </w:r>
          </w:p>
        </w:tc>
        <w:tc>
          <w:tcPr>
            <w:tcW w:w="1701" w:type="dxa"/>
            <w:vAlign w:val="center"/>
          </w:tcPr>
          <w:p w:rsidR="00682CEE" w:rsidRDefault="00682CEE" w:rsidP="00301CCC">
            <w:pPr>
              <w:pStyle w:val="GesAbsatz"/>
              <w:jc w:val="center"/>
              <w:rPr>
                <w:rFonts w:cs="Arial"/>
              </w:rPr>
            </w:pPr>
            <w:r w:rsidRPr="00995906">
              <w:rPr>
                <w:rFonts w:cs="Arial"/>
              </w:rPr>
              <w:t>1.1.1989</w:t>
            </w:r>
          </w:p>
        </w:tc>
      </w:tr>
      <w:tr w:rsidR="00682CEE" w:rsidTr="00700A77">
        <w:trPr>
          <w:trHeight w:val="728"/>
        </w:trPr>
        <w:tc>
          <w:tcPr>
            <w:tcW w:w="2235" w:type="dxa"/>
            <w:vMerge/>
          </w:tcPr>
          <w:p w:rsidR="00682CEE" w:rsidRPr="00995906" w:rsidRDefault="00682CEE" w:rsidP="00995906">
            <w:pPr>
              <w:pStyle w:val="GesAbsatz"/>
              <w:rPr>
                <w:rFonts w:cs="Arial"/>
              </w:rPr>
            </w:pPr>
          </w:p>
        </w:tc>
        <w:tc>
          <w:tcPr>
            <w:tcW w:w="1984" w:type="dxa"/>
            <w:vAlign w:val="center"/>
          </w:tcPr>
          <w:p w:rsidR="00682CEE" w:rsidRDefault="00682CEE" w:rsidP="00301CCC">
            <w:pPr>
              <w:pStyle w:val="GesAbsatz"/>
              <w:jc w:val="center"/>
              <w:rPr>
                <w:rFonts w:cs="Arial"/>
              </w:rPr>
            </w:pPr>
            <w:r w:rsidRPr="00995906">
              <w:rPr>
                <w:rFonts w:cs="Arial"/>
              </w:rPr>
              <w:t>Tag</w:t>
            </w:r>
          </w:p>
        </w:tc>
        <w:tc>
          <w:tcPr>
            <w:tcW w:w="2126" w:type="dxa"/>
          </w:tcPr>
          <w:p w:rsidR="00682CEE" w:rsidRPr="00995906" w:rsidRDefault="00682CEE" w:rsidP="00995906">
            <w:pPr>
              <w:pStyle w:val="GesAbsatz"/>
              <w:rPr>
                <w:rFonts w:cs="Arial"/>
              </w:rPr>
            </w:pPr>
            <w:r w:rsidRPr="00995906">
              <w:rPr>
                <w:rFonts w:cs="Arial"/>
              </w:rPr>
              <w:t>15 g je Tonne</w:t>
            </w:r>
            <w:r>
              <w:rPr>
                <w:rFonts w:cs="Arial"/>
              </w:rPr>
              <w:t xml:space="preserve"> </w:t>
            </w:r>
            <w:r w:rsidRPr="00995906">
              <w:rPr>
                <w:rFonts w:cs="Arial"/>
              </w:rPr>
              <w:t>G</w:t>
            </w:r>
            <w:r w:rsidRPr="00995906">
              <w:rPr>
                <w:rFonts w:cs="Arial"/>
              </w:rPr>
              <w:t>e</w:t>
            </w:r>
            <w:r w:rsidRPr="00995906">
              <w:rPr>
                <w:rFonts w:cs="Arial"/>
              </w:rPr>
              <w:t>samtproduktionsk</w:t>
            </w:r>
            <w:r w:rsidRPr="00995906">
              <w:rPr>
                <w:rFonts w:cs="Arial"/>
              </w:rPr>
              <w:t>a</w:t>
            </w:r>
            <w:r w:rsidRPr="00995906">
              <w:rPr>
                <w:rFonts w:cs="Arial"/>
              </w:rPr>
              <w:lastRenderedPageBreak/>
              <w:t>pazität</w:t>
            </w:r>
            <w:r>
              <w:rPr>
                <w:rFonts w:cs="Arial"/>
              </w:rPr>
              <w:t xml:space="preserve"> </w:t>
            </w:r>
            <w:r w:rsidRPr="00995906">
              <w:rPr>
                <w:rFonts w:cs="Arial"/>
              </w:rPr>
              <w:t>(g/t)</w:t>
            </w:r>
          </w:p>
        </w:tc>
        <w:tc>
          <w:tcPr>
            <w:tcW w:w="1679" w:type="dxa"/>
            <w:vAlign w:val="center"/>
          </w:tcPr>
          <w:p w:rsidR="00682CEE" w:rsidRPr="00995906" w:rsidRDefault="00682CEE" w:rsidP="00301CCC">
            <w:pPr>
              <w:pStyle w:val="GesAbsatz"/>
              <w:jc w:val="center"/>
              <w:rPr>
                <w:rFonts w:cs="Arial"/>
              </w:rPr>
            </w:pPr>
            <w:r w:rsidRPr="00995906">
              <w:rPr>
                <w:rFonts w:cs="Arial"/>
              </w:rPr>
              <w:lastRenderedPageBreak/>
              <w:t>10</w:t>
            </w:r>
            <w:r w:rsidR="00E431AA">
              <w:rPr>
                <w:rStyle w:val="Funotenzeichen"/>
                <w:rFonts w:cs="Arial"/>
              </w:rPr>
              <w:footnoteReference w:id="31"/>
            </w:r>
          </w:p>
        </w:tc>
        <w:tc>
          <w:tcPr>
            <w:tcW w:w="1701" w:type="dxa"/>
            <w:vAlign w:val="center"/>
          </w:tcPr>
          <w:p w:rsidR="00682CEE" w:rsidRDefault="00682CEE" w:rsidP="00301CCC">
            <w:pPr>
              <w:pStyle w:val="GesAbsatz"/>
              <w:jc w:val="center"/>
              <w:rPr>
                <w:rFonts w:cs="Arial"/>
              </w:rPr>
            </w:pPr>
            <w:r w:rsidRPr="00995906">
              <w:rPr>
                <w:rFonts w:cs="Arial"/>
              </w:rPr>
              <w:t>1.1.1989</w:t>
            </w:r>
          </w:p>
        </w:tc>
      </w:tr>
    </w:tbl>
    <w:p w:rsidR="0049151F" w:rsidRPr="00995906" w:rsidRDefault="0049151F" w:rsidP="00C2664E">
      <w:pPr>
        <w:pStyle w:val="GesAbsatz"/>
        <w:ind w:left="993" w:hanging="993"/>
        <w:rPr>
          <w:rFonts w:cs="Arial"/>
        </w:rPr>
      </w:pPr>
      <w:r w:rsidRPr="00995906">
        <w:rPr>
          <w:rFonts w:cs="Arial"/>
        </w:rPr>
        <w:lastRenderedPageBreak/>
        <w:t>Standstill:</w:t>
      </w:r>
      <w:r w:rsidR="00C2664E">
        <w:rPr>
          <w:rFonts w:cs="Arial"/>
        </w:rPr>
        <w:tab/>
      </w:r>
      <w:r w:rsidRPr="00995906">
        <w:rPr>
          <w:rFonts w:cs="Arial"/>
        </w:rPr>
        <w:t>Die Konzentration(en) von Aldrin und/oder Dieldrin und/oder Endrin und/oder Isodrin in Sedime</w:t>
      </w:r>
      <w:r w:rsidRPr="00995906">
        <w:rPr>
          <w:rFonts w:cs="Arial"/>
        </w:rPr>
        <w:t>n</w:t>
      </w:r>
      <w:r w:rsidRPr="00995906">
        <w:rPr>
          <w:rFonts w:cs="Arial"/>
        </w:rPr>
        <w:t>ten</w:t>
      </w:r>
      <w:r w:rsidR="00C2664E">
        <w:rPr>
          <w:rFonts w:cs="Arial"/>
        </w:rPr>
        <w:t xml:space="preserve"> </w:t>
      </w:r>
      <w:r w:rsidRPr="00995906">
        <w:rPr>
          <w:rFonts w:cs="Arial"/>
        </w:rPr>
        <w:t>und/oder Weichtieren und/oder Schalentieren und/oder Fischen darf mit der Zeit</w:t>
      </w:r>
      <w:r w:rsidR="00C2664E">
        <w:rPr>
          <w:rFonts w:cs="Arial"/>
        </w:rPr>
        <w:t xml:space="preserve"> </w:t>
      </w:r>
      <w:r w:rsidRPr="00995906">
        <w:rPr>
          <w:rFonts w:cs="Arial"/>
        </w:rPr>
        <w:t>nicht w</w:t>
      </w:r>
      <w:r w:rsidRPr="00995906">
        <w:rPr>
          <w:rFonts w:cs="Arial"/>
        </w:rPr>
        <w:t>e</w:t>
      </w:r>
      <w:r w:rsidRPr="00995906">
        <w:rPr>
          <w:rFonts w:cs="Arial"/>
        </w:rPr>
        <w:t>sentlich ansteigen.</w:t>
      </w:r>
    </w:p>
    <w:p w:rsidR="0049151F" w:rsidRPr="00995906" w:rsidRDefault="0049151F" w:rsidP="00995906">
      <w:pPr>
        <w:pStyle w:val="GesAbsatz"/>
        <w:rPr>
          <w:rFonts w:cs="Arial"/>
        </w:rPr>
      </w:pPr>
      <w:r w:rsidRPr="00C2664E">
        <w:rPr>
          <w:rFonts w:cs="Arial"/>
          <w:b/>
        </w:rPr>
        <w:t>Teil C (1, 71, 77, 130):</w:t>
      </w:r>
      <w:r w:rsidRPr="00995906">
        <w:rPr>
          <w:rFonts w:cs="Arial"/>
        </w:rPr>
        <w:t xml:space="preserve"> Referenzme</w:t>
      </w:r>
      <w:r w:rsidR="00C2664E">
        <w:rPr>
          <w:rFonts w:cs="Arial"/>
        </w:rPr>
        <w:t>ß</w:t>
      </w:r>
      <w:r w:rsidRPr="00995906">
        <w:rPr>
          <w:rFonts w:cs="Arial"/>
        </w:rPr>
        <w:t>verfahren</w:t>
      </w:r>
    </w:p>
    <w:p w:rsidR="0049151F" w:rsidRPr="00995906" w:rsidRDefault="0049151F" w:rsidP="00C2664E">
      <w:pPr>
        <w:pStyle w:val="GesAbsatz"/>
        <w:ind w:left="426" w:hanging="426"/>
        <w:rPr>
          <w:rFonts w:cs="Arial"/>
        </w:rPr>
      </w:pPr>
      <w:r w:rsidRPr="00995906">
        <w:rPr>
          <w:rFonts w:cs="Arial"/>
        </w:rPr>
        <w:t>1.</w:t>
      </w:r>
      <w:r w:rsidR="00C2664E">
        <w:rPr>
          <w:rFonts w:cs="Arial"/>
        </w:rPr>
        <w:tab/>
      </w:r>
      <w:r w:rsidRPr="00995906">
        <w:rPr>
          <w:rFonts w:cs="Arial"/>
        </w:rPr>
        <w:t>Referenzme</w:t>
      </w:r>
      <w:r w:rsidR="00C2664E">
        <w:rPr>
          <w:rFonts w:cs="Arial"/>
        </w:rPr>
        <w:t>ß</w:t>
      </w:r>
      <w:r w:rsidRPr="00995906">
        <w:rPr>
          <w:rFonts w:cs="Arial"/>
        </w:rPr>
        <w:t>verfahren zur Bestimmung von Aldrin, Dieldrin und Endrin und/oder Isodrin in den Abwä</w:t>
      </w:r>
      <w:r w:rsidRPr="00995906">
        <w:rPr>
          <w:rFonts w:cs="Arial"/>
        </w:rPr>
        <w:t>s</w:t>
      </w:r>
      <w:r w:rsidRPr="00995906">
        <w:rPr>
          <w:rFonts w:cs="Arial"/>
        </w:rPr>
        <w:t>sern</w:t>
      </w:r>
      <w:r w:rsidR="00C2664E">
        <w:rPr>
          <w:rFonts w:cs="Arial"/>
        </w:rPr>
        <w:t xml:space="preserve"> </w:t>
      </w:r>
      <w:r w:rsidRPr="00995906">
        <w:rPr>
          <w:rFonts w:cs="Arial"/>
        </w:rPr>
        <w:t>und Gewässern ist die Gaschromatographie mit Elektroneneinfangdetektor nach Extraktion</w:t>
      </w:r>
      <w:r w:rsidR="00C2664E">
        <w:rPr>
          <w:rFonts w:cs="Arial"/>
        </w:rPr>
        <w:t xml:space="preserve"> </w:t>
      </w:r>
      <w:r w:rsidRPr="00995906">
        <w:rPr>
          <w:rFonts w:cs="Arial"/>
        </w:rPr>
        <w:t>mit e</w:t>
      </w:r>
      <w:r w:rsidRPr="00995906">
        <w:rPr>
          <w:rFonts w:cs="Arial"/>
        </w:rPr>
        <w:t>i</w:t>
      </w:r>
      <w:r w:rsidRPr="00995906">
        <w:rPr>
          <w:rFonts w:cs="Arial"/>
        </w:rPr>
        <w:t>nem geeigneten Lösemittel. Die Bestimmungsgrenze</w:t>
      </w:r>
      <w:r w:rsidR="00115A5E">
        <w:rPr>
          <w:rStyle w:val="Funotenzeichen"/>
          <w:rFonts w:cs="Arial"/>
        </w:rPr>
        <w:footnoteReference w:id="32"/>
      </w:r>
      <w:r w:rsidRPr="00995906">
        <w:rPr>
          <w:rFonts w:cs="Arial"/>
        </w:rPr>
        <w:t xml:space="preserve"> liegt für jede Substanz je nach Anzahl</w:t>
      </w:r>
      <w:r w:rsidR="00C2664E">
        <w:rPr>
          <w:rFonts w:cs="Arial"/>
        </w:rPr>
        <w:t xml:space="preserve"> </w:t>
      </w:r>
      <w:r w:rsidRPr="00995906">
        <w:rPr>
          <w:rFonts w:cs="Arial"/>
        </w:rPr>
        <w:t>der st</w:t>
      </w:r>
      <w:r w:rsidRPr="00995906">
        <w:rPr>
          <w:rFonts w:cs="Arial"/>
        </w:rPr>
        <w:t>ö</w:t>
      </w:r>
      <w:r w:rsidRPr="00995906">
        <w:rPr>
          <w:rFonts w:cs="Arial"/>
        </w:rPr>
        <w:t>renden Begleitstoffe in der Probe bei 2,5 ng/l für die Gewässer und bei 400 ng/l für Abwässer.</w:t>
      </w:r>
    </w:p>
    <w:p w:rsidR="0049151F" w:rsidRPr="00995906" w:rsidRDefault="0049151F" w:rsidP="00C2664E">
      <w:pPr>
        <w:pStyle w:val="GesAbsatz"/>
        <w:ind w:left="426" w:hanging="426"/>
        <w:rPr>
          <w:rFonts w:cs="Arial"/>
        </w:rPr>
      </w:pPr>
      <w:r w:rsidRPr="00995906">
        <w:rPr>
          <w:rFonts w:cs="Arial"/>
        </w:rPr>
        <w:t>2.</w:t>
      </w:r>
      <w:r w:rsidR="00C2664E">
        <w:rPr>
          <w:rFonts w:cs="Arial"/>
        </w:rPr>
        <w:tab/>
      </w:r>
      <w:r w:rsidRPr="00995906">
        <w:rPr>
          <w:rFonts w:cs="Arial"/>
        </w:rPr>
        <w:t>Referenzverfahren zur Bestimmung von Aldrin, Dieldrin und/oder Endrin und/oder Isodrin in Sedimenten</w:t>
      </w:r>
      <w:r w:rsidR="00C2664E">
        <w:rPr>
          <w:rFonts w:cs="Arial"/>
        </w:rPr>
        <w:t xml:space="preserve"> </w:t>
      </w:r>
      <w:r w:rsidRPr="00995906">
        <w:rPr>
          <w:rFonts w:cs="Arial"/>
        </w:rPr>
        <w:t>und Organismen ist die Gaschromatographie mit Elektroneneinfangdetektor nach geeigneter Probe</w:t>
      </w:r>
      <w:r w:rsidRPr="00995906">
        <w:rPr>
          <w:rFonts w:cs="Arial"/>
        </w:rPr>
        <w:t>n</w:t>
      </w:r>
      <w:r w:rsidRPr="00995906">
        <w:rPr>
          <w:rFonts w:cs="Arial"/>
        </w:rPr>
        <w:t>vorbereitung.</w:t>
      </w:r>
      <w:r w:rsidR="00C2664E">
        <w:rPr>
          <w:rFonts w:cs="Arial"/>
        </w:rPr>
        <w:t xml:space="preserve"> </w:t>
      </w:r>
      <w:r w:rsidRPr="00995906">
        <w:rPr>
          <w:rFonts w:cs="Arial"/>
        </w:rPr>
        <w:t>Die Bestimmungsgrenze liegt für jeden einzelnen Stoff bei 1 µg/kg Trockengewicht.</w:t>
      </w:r>
    </w:p>
    <w:p w:rsidR="0049151F" w:rsidRDefault="0049151F" w:rsidP="00C2664E">
      <w:pPr>
        <w:pStyle w:val="GesAbsatz"/>
        <w:ind w:left="426" w:hanging="426"/>
        <w:rPr>
          <w:rFonts w:cs="Arial"/>
        </w:rPr>
      </w:pPr>
      <w:r w:rsidRPr="00995906">
        <w:rPr>
          <w:rFonts w:cs="Arial"/>
        </w:rPr>
        <w:t>3.</w:t>
      </w:r>
      <w:r w:rsidR="00C2664E">
        <w:rPr>
          <w:rFonts w:cs="Arial"/>
        </w:rPr>
        <w:tab/>
      </w:r>
      <w:r w:rsidRPr="00995906">
        <w:rPr>
          <w:rFonts w:cs="Arial"/>
        </w:rPr>
        <w:t>Die Richtigkeit und die Genauigkeit der Methode müssen ± 50 % bei einer Konzentration betragen,</w:t>
      </w:r>
      <w:r w:rsidR="00C2664E">
        <w:rPr>
          <w:rFonts w:cs="Arial"/>
        </w:rPr>
        <w:t xml:space="preserve"> </w:t>
      </w:r>
      <w:r w:rsidRPr="00995906">
        <w:rPr>
          <w:rFonts w:cs="Arial"/>
        </w:rPr>
        <w:t>die dem doppelten Wert der Bestimmungsgrenze entspricht.</w:t>
      </w:r>
    </w:p>
    <w:p w:rsidR="0049151F" w:rsidRPr="00C2664E" w:rsidRDefault="0049151F" w:rsidP="008404F8">
      <w:pPr>
        <w:pStyle w:val="berschrift3"/>
      </w:pPr>
      <w:bookmarkStart w:id="19" w:name="_Toc420510839"/>
      <w:r w:rsidRPr="00C2664E">
        <w:t>V. Sonderbestimmungen für Hexachlorbenzol (HCB) (Nr. 83)</w:t>
      </w:r>
      <w:bookmarkEnd w:id="19"/>
    </w:p>
    <w:p w:rsidR="0049151F" w:rsidRPr="00995906" w:rsidRDefault="0049151F" w:rsidP="00C2664E">
      <w:pPr>
        <w:pStyle w:val="GesAbsatz"/>
        <w:jc w:val="center"/>
        <w:rPr>
          <w:rFonts w:cs="Arial"/>
        </w:rPr>
      </w:pPr>
      <w:r w:rsidRPr="00995906">
        <w:rPr>
          <w:rFonts w:cs="Arial"/>
        </w:rPr>
        <w:t>CAS-118-74-1</w:t>
      </w:r>
    </w:p>
    <w:p w:rsidR="0049151F" w:rsidRPr="00995906" w:rsidRDefault="0049151F" w:rsidP="00995906">
      <w:pPr>
        <w:pStyle w:val="GesAbsatz"/>
        <w:rPr>
          <w:rFonts w:cs="Arial"/>
        </w:rPr>
      </w:pPr>
      <w:r w:rsidRPr="00C2664E">
        <w:rPr>
          <w:rFonts w:cs="Arial"/>
          <w:b/>
        </w:rPr>
        <w:t>Teil A (83):</w:t>
      </w:r>
      <w:r w:rsidRPr="00995906">
        <w:rPr>
          <w:rFonts w:cs="Arial"/>
        </w:rPr>
        <w:t xml:space="preserve"> Grenzwerte der Emissionsnormen</w:t>
      </w:r>
    </w:p>
    <w:p w:rsidR="00BB3BBB" w:rsidRDefault="0049151F" w:rsidP="00C2664E">
      <w:pPr>
        <w:pStyle w:val="GesAbsatz"/>
        <w:ind w:left="993" w:hanging="993"/>
        <w:rPr>
          <w:rFonts w:cs="Arial"/>
        </w:rPr>
      </w:pPr>
      <w:r w:rsidRPr="00995906">
        <w:rPr>
          <w:rFonts w:cs="Arial"/>
        </w:rPr>
        <w:t>Standstill</w:t>
      </w:r>
      <w:r w:rsidRPr="00995906">
        <w:rPr>
          <w:rFonts w:cs="Arial"/>
          <w:i/>
          <w:iCs/>
        </w:rPr>
        <w:t>:</w:t>
      </w:r>
      <w:r w:rsidR="00C2664E">
        <w:rPr>
          <w:rFonts w:cs="Arial"/>
          <w:i/>
          <w:iCs/>
        </w:rPr>
        <w:tab/>
      </w:r>
      <w:r w:rsidRPr="00995906">
        <w:rPr>
          <w:rFonts w:cs="Arial"/>
        </w:rPr>
        <w:t>Die Verschmutzung durch Ableitung von HCB, die sich auf die Konzentration in Sedimenten</w:t>
      </w:r>
      <w:r w:rsidR="00C2664E">
        <w:rPr>
          <w:rFonts w:cs="Arial"/>
        </w:rPr>
        <w:t xml:space="preserve"> </w:t>
      </w:r>
      <w:r w:rsidRPr="00995906">
        <w:rPr>
          <w:rFonts w:cs="Arial"/>
        </w:rPr>
        <w:t>und/oder Weichtieren und/oder Schalentieren und/oder Fischen auswirkt, darf mit der Zeit</w:t>
      </w:r>
      <w:r w:rsidR="00C2664E">
        <w:rPr>
          <w:rFonts w:cs="Arial"/>
        </w:rPr>
        <w:t xml:space="preserve"> </w:t>
      </w:r>
      <w:r w:rsidRPr="00995906">
        <w:rPr>
          <w:rFonts w:cs="Arial"/>
        </w:rPr>
        <w:t>direkt oder indirekt nicht wesentlich zunehmen.</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235"/>
        <w:gridCol w:w="1675"/>
        <w:gridCol w:w="2152"/>
        <w:gridCol w:w="1843"/>
        <w:gridCol w:w="1842"/>
      </w:tblGrid>
      <w:tr w:rsidR="00BB3BBB" w:rsidTr="00115A5E">
        <w:trPr>
          <w:trHeight w:val="311"/>
          <w:tblHeader/>
        </w:trPr>
        <w:tc>
          <w:tcPr>
            <w:tcW w:w="2235" w:type="dxa"/>
            <w:vMerge w:val="restart"/>
          </w:tcPr>
          <w:p w:rsidR="00BB3BBB" w:rsidRDefault="00BB3BBB" w:rsidP="00D43B13">
            <w:pPr>
              <w:pStyle w:val="GesAbsatz"/>
              <w:jc w:val="center"/>
              <w:rPr>
                <w:rFonts w:cs="Arial"/>
              </w:rPr>
            </w:pPr>
            <w:r w:rsidRPr="00995906">
              <w:rPr>
                <w:rFonts w:cs="Arial"/>
              </w:rPr>
              <w:t>Typ des Industrieb</w:t>
            </w:r>
            <w:r w:rsidRPr="00995906">
              <w:rPr>
                <w:rFonts w:cs="Arial"/>
              </w:rPr>
              <w:t>e</w:t>
            </w:r>
            <w:r w:rsidRPr="00995906">
              <w:rPr>
                <w:rFonts w:cs="Arial"/>
              </w:rPr>
              <w:t>triebs</w:t>
            </w:r>
            <w:r w:rsidR="00115A5E">
              <w:rPr>
                <w:rStyle w:val="Funotenzeichen"/>
                <w:rFonts w:cs="Arial"/>
              </w:rPr>
              <w:footnoteReference w:id="33"/>
            </w:r>
            <w:r w:rsidR="00115A5E">
              <w:rPr>
                <w:rFonts w:cs="Arial"/>
              </w:rPr>
              <w:t xml:space="preserve"> </w:t>
            </w:r>
            <w:r w:rsidR="00115A5E">
              <w:rPr>
                <w:rStyle w:val="Funotenzeichen"/>
                <w:rFonts w:cs="Arial"/>
              </w:rPr>
              <w:footnoteReference w:id="34"/>
            </w:r>
            <w:r w:rsidRPr="00995906">
              <w:rPr>
                <w:rFonts w:cs="Arial"/>
              </w:rPr>
              <w:t xml:space="preserve"> </w:t>
            </w:r>
            <w:r w:rsidR="00115A5E">
              <w:rPr>
                <w:rStyle w:val="Funotenzeichen"/>
                <w:rFonts w:cs="Arial"/>
              </w:rPr>
              <w:footnoteReference w:id="35"/>
            </w:r>
          </w:p>
        </w:tc>
        <w:tc>
          <w:tcPr>
            <w:tcW w:w="1675" w:type="dxa"/>
            <w:vMerge w:val="restart"/>
          </w:tcPr>
          <w:p w:rsidR="00BB3BBB" w:rsidRDefault="00BB3BBB" w:rsidP="00D43B13">
            <w:pPr>
              <w:pStyle w:val="GesAbsatz"/>
              <w:jc w:val="center"/>
              <w:rPr>
                <w:rFonts w:cs="Arial"/>
              </w:rPr>
            </w:pPr>
            <w:r w:rsidRPr="00995906">
              <w:rPr>
                <w:rFonts w:cs="Arial"/>
              </w:rPr>
              <w:t>Typ des Mitte</w:t>
            </w:r>
            <w:r w:rsidRPr="00995906">
              <w:rPr>
                <w:rFonts w:cs="Arial"/>
              </w:rPr>
              <w:t>l</w:t>
            </w:r>
            <w:r w:rsidRPr="00995906">
              <w:rPr>
                <w:rFonts w:cs="Arial"/>
              </w:rPr>
              <w:t>werts</w:t>
            </w:r>
          </w:p>
        </w:tc>
        <w:tc>
          <w:tcPr>
            <w:tcW w:w="3995" w:type="dxa"/>
            <w:gridSpan w:val="2"/>
          </w:tcPr>
          <w:p w:rsidR="00BB3BBB" w:rsidRDefault="00BB3BBB" w:rsidP="00D43B13">
            <w:pPr>
              <w:pStyle w:val="GesAbsatz"/>
              <w:jc w:val="center"/>
              <w:rPr>
                <w:rFonts w:cs="Arial"/>
              </w:rPr>
            </w:pPr>
            <w:r w:rsidRPr="00995906">
              <w:rPr>
                <w:rFonts w:cs="Arial"/>
              </w:rPr>
              <w:t>Grenzwerte ausgedrückt in</w:t>
            </w:r>
          </w:p>
        </w:tc>
        <w:tc>
          <w:tcPr>
            <w:tcW w:w="1842" w:type="dxa"/>
            <w:vMerge w:val="restart"/>
          </w:tcPr>
          <w:p w:rsidR="00BB3BBB" w:rsidRDefault="00BB3BBB" w:rsidP="00D43B13">
            <w:pPr>
              <w:pStyle w:val="GesAbsatz"/>
              <w:jc w:val="center"/>
              <w:rPr>
                <w:rFonts w:cs="Arial"/>
              </w:rPr>
            </w:pPr>
            <w:r w:rsidRPr="00995906">
              <w:rPr>
                <w:rFonts w:cs="Arial"/>
              </w:rPr>
              <w:t>Einzuhalten</w:t>
            </w:r>
            <w:r>
              <w:rPr>
                <w:rFonts w:cs="Arial"/>
              </w:rPr>
              <w:t xml:space="preserve"> </w:t>
            </w:r>
            <w:r w:rsidRPr="00995906">
              <w:rPr>
                <w:rFonts w:cs="Arial"/>
              </w:rPr>
              <w:t>ab</w:t>
            </w:r>
          </w:p>
        </w:tc>
      </w:tr>
      <w:tr w:rsidR="00BB3BBB" w:rsidTr="00115A5E">
        <w:trPr>
          <w:trHeight w:val="230"/>
          <w:tblHeader/>
        </w:trPr>
        <w:tc>
          <w:tcPr>
            <w:tcW w:w="2235" w:type="dxa"/>
            <w:vMerge/>
          </w:tcPr>
          <w:p w:rsidR="00BB3BBB" w:rsidRDefault="00BB3BBB" w:rsidP="00D43B13">
            <w:pPr>
              <w:pStyle w:val="GesAbsatz"/>
              <w:jc w:val="center"/>
              <w:rPr>
                <w:rFonts w:cs="Arial"/>
              </w:rPr>
            </w:pPr>
          </w:p>
        </w:tc>
        <w:tc>
          <w:tcPr>
            <w:tcW w:w="1675" w:type="dxa"/>
            <w:vMerge/>
          </w:tcPr>
          <w:p w:rsidR="00BB3BBB" w:rsidRDefault="00BB3BBB" w:rsidP="00D43B13">
            <w:pPr>
              <w:pStyle w:val="GesAbsatz"/>
              <w:jc w:val="center"/>
              <w:rPr>
                <w:rFonts w:cs="Arial"/>
              </w:rPr>
            </w:pPr>
          </w:p>
        </w:tc>
        <w:tc>
          <w:tcPr>
            <w:tcW w:w="2152" w:type="dxa"/>
          </w:tcPr>
          <w:p w:rsidR="00BB3BBB" w:rsidRDefault="00BB3BBB" w:rsidP="00D43B13">
            <w:pPr>
              <w:pStyle w:val="GesAbsatz"/>
              <w:jc w:val="center"/>
              <w:rPr>
                <w:rFonts w:cs="Arial"/>
              </w:rPr>
            </w:pPr>
            <w:r w:rsidRPr="00995906">
              <w:rPr>
                <w:rFonts w:cs="Arial"/>
              </w:rPr>
              <w:t>Fracht</w:t>
            </w:r>
          </w:p>
        </w:tc>
        <w:tc>
          <w:tcPr>
            <w:tcW w:w="1843" w:type="dxa"/>
          </w:tcPr>
          <w:p w:rsidR="00BB3BBB" w:rsidRDefault="00BB3BBB" w:rsidP="00D43B13">
            <w:pPr>
              <w:pStyle w:val="GesAbsatz"/>
              <w:jc w:val="center"/>
              <w:rPr>
                <w:rFonts w:cs="Arial"/>
              </w:rPr>
            </w:pPr>
            <w:r w:rsidRPr="00995906">
              <w:rPr>
                <w:rFonts w:cs="Arial"/>
              </w:rPr>
              <w:t>Konzentration</w:t>
            </w:r>
          </w:p>
        </w:tc>
        <w:tc>
          <w:tcPr>
            <w:tcW w:w="1842" w:type="dxa"/>
            <w:vMerge/>
          </w:tcPr>
          <w:p w:rsidR="00BB3BBB" w:rsidRDefault="00BB3BBB" w:rsidP="00115A5E">
            <w:pPr>
              <w:pStyle w:val="GesAbsatz"/>
              <w:jc w:val="left"/>
              <w:rPr>
                <w:rFonts w:cs="Arial"/>
              </w:rPr>
            </w:pPr>
          </w:p>
        </w:tc>
      </w:tr>
      <w:tr w:rsidR="00BB3BBB" w:rsidTr="00115A5E">
        <w:trPr>
          <w:trHeight w:val="704"/>
        </w:trPr>
        <w:tc>
          <w:tcPr>
            <w:tcW w:w="2235" w:type="dxa"/>
            <w:vMerge w:val="restart"/>
          </w:tcPr>
          <w:p w:rsidR="00BB3BBB" w:rsidRDefault="00BB3BBB" w:rsidP="00115A5E">
            <w:pPr>
              <w:pStyle w:val="GesAbsatz"/>
              <w:ind w:left="284" w:hanging="284"/>
              <w:jc w:val="left"/>
              <w:rPr>
                <w:rFonts w:cs="Arial"/>
              </w:rPr>
            </w:pPr>
            <w:r w:rsidRPr="00995906">
              <w:rPr>
                <w:rFonts w:cs="Arial"/>
              </w:rPr>
              <w:t>1.</w:t>
            </w:r>
            <w:r w:rsidR="00E6459F">
              <w:rPr>
                <w:rFonts w:cs="Arial"/>
              </w:rPr>
              <w:tab/>
            </w:r>
            <w:r w:rsidRPr="00995906">
              <w:rPr>
                <w:rFonts w:cs="Arial"/>
              </w:rPr>
              <w:t xml:space="preserve">HCB-Produktion und </w:t>
            </w:r>
            <w:r w:rsidR="00E6459F">
              <w:rPr>
                <w:rFonts w:cs="Arial"/>
              </w:rPr>
              <w:noBreakHyphen/>
            </w:r>
            <w:r w:rsidRPr="00995906">
              <w:rPr>
                <w:rFonts w:cs="Arial"/>
              </w:rPr>
              <w:t>behandlung</w:t>
            </w:r>
          </w:p>
        </w:tc>
        <w:tc>
          <w:tcPr>
            <w:tcW w:w="1675" w:type="dxa"/>
          </w:tcPr>
          <w:p w:rsidR="00BB3BBB" w:rsidRDefault="00BB3BBB" w:rsidP="00115A5E">
            <w:pPr>
              <w:pStyle w:val="GesAbsatz"/>
              <w:jc w:val="left"/>
              <w:rPr>
                <w:rFonts w:cs="Arial"/>
              </w:rPr>
            </w:pPr>
            <w:r w:rsidRPr="00995906">
              <w:rPr>
                <w:rFonts w:cs="Arial"/>
              </w:rPr>
              <w:t>Monat</w:t>
            </w:r>
          </w:p>
        </w:tc>
        <w:tc>
          <w:tcPr>
            <w:tcW w:w="2152" w:type="dxa"/>
          </w:tcPr>
          <w:p w:rsidR="00BB3BBB" w:rsidRPr="00995906" w:rsidRDefault="00BB3BBB" w:rsidP="00115A5E">
            <w:pPr>
              <w:pStyle w:val="GesAbsatz"/>
              <w:jc w:val="left"/>
              <w:rPr>
                <w:rFonts w:cs="Arial"/>
              </w:rPr>
            </w:pPr>
            <w:r w:rsidRPr="00995906">
              <w:rPr>
                <w:rFonts w:cs="Arial"/>
              </w:rPr>
              <w:t>10 g HCB je</w:t>
            </w:r>
            <w:r>
              <w:rPr>
                <w:rFonts w:cs="Arial"/>
              </w:rPr>
              <w:t xml:space="preserve"> </w:t>
            </w:r>
            <w:r w:rsidRPr="00995906">
              <w:rPr>
                <w:rFonts w:cs="Arial"/>
              </w:rPr>
              <w:t>Tonne Produktionskapazität</w:t>
            </w:r>
            <w:r>
              <w:rPr>
                <w:rFonts w:cs="Arial"/>
              </w:rPr>
              <w:t xml:space="preserve"> </w:t>
            </w:r>
            <w:r w:rsidRPr="00995906">
              <w:rPr>
                <w:rFonts w:cs="Arial"/>
              </w:rPr>
              <w:t>HCB</w:t>
            </w:r>
          </w:p>
        </w:tc>
        <w:tc>
          <w:tcPr>
            <w:tcW w:w="1843" w:type="dxa"/>
          </w:tcPr>
          <w:p w:rsidR="00BB3BBB" w:rsidRPr="00995906" w:rsidRDefault="00BB3BBB" w:rsidP="00115A5E">
            <w:pPr>
              <w:pStyle w:val="GesAbsatz"/>
              <w:jc w:val="left"/>
              <w:rPr>
                <w:rFonts w:cs="Arial"/>
              </w:rPr>
            </w:pPr>
            <w:r w:rsidRPr="00995906">
              <w:rPr>
                <w:rFonts w:cs="Arial"/>
              </w:rPr>
              <w:t>1 mg/l HCB</w:t>
            </w:r>
          </w:p>
        </w:tc>
        <w:tc>
          <w:tcPr>
            <w:tcW w:w="1842" w:type="dxa"/>
            <w:vMerge w:val="restart"/>
          </w:tcPr>
          <w:p w:rsidR="00BB3BBB" w:rsidRDefault="00BB3BBB" w:rsidP="00115A5E">
            <w:pPr>
              <w:pStyle w:val="GesAbsatz"/>
              <w:jc w:val="left"/>
              <w:rPr>
                <w:rFonts w:cs="Arial"/>
              </w:rPr>
            </w:pPr>
            <w:r w:rsidRPr="00995906">
              <w:rPr>
                <w:rFonts w:cs="Arial"/>
              </w:rPr>
              <w:t>1.1.1990</w:t>
            </w:r>
          </w:p>
        </w:tc>
      </w:tr>
      <w:tr w:rsidR="00BB3BBB" w:rsidTr="00115A5E">
        <w:trPr>
          <w:trHeight w:val="729"/>
        </w:trPr>
        <w:tc>
          <w:tcPr>
            <w:tcW w:w="2235" w:type="dxa"/>
            <w:vMerge/>
          </w:tcPr>
          <w:p w:rsidR="00BB3BBB" w:rsidRPr="00995906" w:rsidRDefault="00BB3BBB" w:rsidP="00115A5E">
            <w:pPr>
              <w:pStyle w:val="GesAbsatz"/>
              <w:jc w:val="left"/>
              <w:rPr>
                <w:rFonts w:cs="Arial"/>
              </w:rPr>
            </w:pPr>
          </w:p>
        </w:tc>
        <w:tc>
          <w:tcPr>
            <w:tcW w:w="1675" w:type="dxa"/>
          </w:tcPr>
          <w:p w:rsidR="00BB3BBB" w:rsidRPr="00995906" w:rsidRDefault="00BB3BBB" w:rsidP="00115A5E">
            <w:pPr>
              <w:pStyle w:val="GesAbsatz"/>
              <w:jc w:val="left"/>
              <w:rPr>
                <w:rFonts w:cs="Arial"/>
              </w:rPr>
            </w:pPr>
            <w:r w:rsidRPr="00995906">
              <w:rPr>
                <w:rFonts w:cs="Arial"/>
              </w:rPr>
              <w:t>Tag</w:t>
            </w:r>
          </w:p>
        </w:tc>
        <w:tc>
          <w:tcPr>
            <w:tcW w:w="2152" w:type="dxa"/>
          </w:tcPr>
          <w:p w:rsidR="00BB3BBB" w:rsidRPr="00995906" w:rsidRDefault="00BB3BBB" w:rsidP="00115A5E">
            <w:pPr>
              <w:pStyle w:val="GesAbsatz"/>
              <w:jc w:val="left"/>
              <w:rPr>
                <w:rFonts w:cs="Arial"/>
              </w:rPr>
            </w:pPr>
            <w:r w:rsidRPr="00995906">
              <w:rPr>
                <w:rFonts w:cs="Arial"/>
              </w:rPr>
              <w:t>20 g HCB je</w:t>
            </w:r>
            <w:r>
              <w:rPr>
                <w:rFonts w:cs="Arial"/>
              </w:rPr>
              <w:t xml:space="preserve"> </w:t>
            </w:r>
            <w:r w:rsidRPr="00995906">
              <w:rPr>
                <w:rFonts w:cs="Arial"/>
              </w:rPr>
              <w:t>Tonne Produktionskapazität</w:t>
            </w:r>
            <w:r>
              <w:rPr>
                <w:rFonts w:cs="Arial"/>
              </w:rPr>
              <w:t xml:space="preserve"> </w:t>
            </w:r>
            <w:r w:rsidRPr="00995906">
              <w:rPr>
                <w:rFonts w:cs="Arial"/>
              </w:rPr>
              <w:t>HCB</w:t>
            </w:r>
          </w:p>
        </w:tc>
        <w:tc>
          <w:tcPr>
            <w:tcW w:w="1843" w:type="dxa"/>
          </w:tcPr>
          <w:p w:rsidR="00BB3BBB" w:rsidRPr="00995906" w:rsidRDefault="00BB3BBB" w:rsidP="00115A5E">
            <w:pPr>
              <w:pStyle w:val="GesAbsatz"/>
              <w:jc w:val="left"/>
              <w:rPr>
                <w:rFonts w:cs="Arial"/>
              </w:rPr>
            </w:pPr>
            <w:r w:rsidRPr="00995906">
              <w:rPr>
                <w:rFonts w:cs="Arial"/>
              </w:rPr>
              <w:t>2 mg/l HCB</w:t>
            </w:r>
          </w:p>
        </w:tc>
        <w:tc>
          <w:tcPr>
            <w:tcW w:w="1842" w:type="dxa"/>
            <w:vMerge/>
          </w:tcPr>
          <w:p w:rsidR="00BB3BBB" w:rsidRDefault="00BB3BBB" w:rsidP="00115A5E">
            <w:pPr>
              <w:pStyle w:val="GesAbsatz"/>
              <w:jc w:val="left"/>
              <w:rPr>
                <w:rFonts w:cs="Arial"/>
              </w:rPr>
            </w:pPr>
          </w:p>
        </w:tc>
      </w:tr>
      <w:tr w:rsidR="00AD03B0" w:rsidTr="00115A5E">
        <w:tc>
          <w:tcPr>
            <w:tcW w:w="2235" w:type="dxa"/>
            <w:vMerge w:val="restart"/>
          </w:tcPr>
          <w:p w:rsidR="00AD03B0" w:rsidRPr="00995906" w:rsidRDefault="00AD03B0" w:rsidP="00115A5E">
            <w:pPr>
              <w:pStyle w:val="GesAbsatz"/>
              <w:tabs>
                <w:tab w:val="clear" w:pos="425"/>
              </w:tabs>
              <w:ind w:left="284" w:hanging="284"/>
              <w:jc w:val="left"/>
              <w:rPr>
                <w:rFonts w:cs="Arial"/>
              </w:rPr>
            </w:pPr>
            <w:r w:rsidRPr="00995906">
              <w:rPr>
                <w:rFonts w:cs="Arial"/>
              </w:rPr>
              <w:t>2.</w:t>
            </w:r>
            <w:r>
              <w:rPr>
                <w:rFonts w:cs="Arial"/>
              </w:rPr>
              <w:tab/>
            </w:r>
            <w:r w:rsidRPr="00995906">
              <w:rPr>
                <w:rFonts w:cs="Arial"/>
              </w:rPr>
              <w:t>Herstellung von Perchlorethylen</w:t>
            </w:r>
            <w:r>
              <w:rPr>
                <w:rFonts w:cs="Arial"/>
              </w:rPr>
              <w:t xml:space="preserve"> </w:t>
            </w:r>
            <w:r w:rsidRPr="00995906">
              <w:rPr>
                <w:rFonts w:cs="Arial"/>
              </w:rPr>
              <w:t>(PER) und</w:t>
            </w:r>
            <w:r>
              <w:rPr>
                <w:rFonts w:cs="Arial"/>
              </w:rPr>
              <w:t xml:space="preserve"> </w:t>
            </w:r>
            <w:r w:rsidRPr="00995906">
              <w:rPr>
                <w:rFonts w:cs="Arial"/>
              </w:rPr>
              <w:t>Tetrac</w:t>
            </w:r>
            <w:r w:rsidRPr="00995906">
              <w:rPr>
                <w:rFonts w:cs="Arial"/>
              </w:rPr>
              <w:t>h</w:t>
            </w:r>
            <w:r w:rsidRPr="00995906">
              <w:rPr>
                <w:rFonts w:cs="Arial"/>
              </w:rPr>
              <w:t>lorkohlenstoff</w:t>
            </w:r>
            <w:r>
              <w:rPr>
                <w:rFonts w:cs="Arial"/>
              </w:rPr>
              <w:t xml:space="preserve"> </w:t>
            </w:r>
            <w:r w:rsidRPr="00995906">
              <w:rPr>
                <w:rFonts w:cs="Arial"/>
              </w:rPr>
              <w:t>(CCl</w:t>
            </w:r>
            <w:r w:rsidRPr="00BB3BBB">
              <w:rPr>
                <w:rFonts w:cs="Arial"/>
                <w:vertAlign w:val="subscript"/>
              </w:rPr>
              <w:t>4</w:t>
            </w:r>
            <w:r w:rsidRPr="00995906">
              <w:rPr>
                <w:rFonts w:cs="Arial"/>
              </w:rPr>
              <w:t>) durch Perchlorierung</w:t>
            </w:r>
            <w:r>
              <w:rPr>
                <w:rFonts w:cs="Arial"/>
              </w:rPr>
              <w:t xml:space="preserve"> </w:t>
            </w:r>
          </w:p>
        </w:tc>
        <w:tc>
          <w:tcPr>
            <w:tcW w:w="1675" w:type="dxa"/>
          </w:tcPr>
          <w:p w:rsidR="00AD03B0" w:rsidRPr="00995906" w:rsidRDefault="00AD03B0" w:rsidP="00115A5E">
            <w:pPr>
              <w:pStyle w:val="GesAbsatz"/>
              <w:jc w:val="left"/>
              <w:rPr>
                <w:rFonts w:cs="Arial"/>
              </w:rPr>
            </w:pPr>
            <w:r w:rsidRPr="00995906">
              <w:rPr>
                <w:rFonts w:cs="Arial"/>
              </w:rPr>
              <w:t>Monat</w:t>
            </w:r>
          </w:p>
        </w:tc>
        <w:tc>
          <w:tcPr>
            <w:tcW w:w="2152" w:type="dxa"/>
          </w:tcPr>
          <w:p w:rsidR="00AD03B0" w:rsidRPr="00995906" w:rsidRDefault="00AD03B0" w:rsidP="00115A5E">
            <w:pPr>
              <w:pStyle w:val="GesAbsatz"/>
              <w:jc w:val="left"/>
              <w:rPr>
                <w:rFonts w:cs="Arial"/>
              </w:rPr>
            </w:pPr>
            <w:r w:rsidRPr="00995906">
              <w:rPr>
                <w:rFonts w:cs="Arial"/>
              </w:rPr>
              <w:t>1,5 g HCB je</w:t>
            </w:r>
            <w:r>
              <w:rPr>
                <w:rFonts w:cs="Arial"/>
              </w:rPr>
              <w:t xml:space="preserve"> </w:t>
            </w:r>
            <w:r w:rsidRPr="00995906">
              <w:rPr>
                <w:rFonts w:cs="Arial"/>
              </w:rPr>
              <w:t>Tonne Gesamtproduktion</w:t>
            </w:r>
            <w:r w:rsidRPr="00995906">
              <w:rPr>
                <w:rFonts w:cs="Arial"/>
              </w:rPr>
              <w:t>s</w:t>
            </w:r>
            <w:r w:rsidRPr="00995906">
              <w:rPr>
                <w:rFonts w:cs="Arial"/>
              </w:rPr>
              <w:t>kapazität</w:t>
            </w:r>
            <w:r>
              <w:rPr>
                <w:rFonts w:cs="Arial"/>
              </w:rPr>
              <w:t xml:space="preserve"> </w:t>
            </w:r>
            <w:r w:rsidRPr="00995906">
              <w:rPr>
                <w:rFonts w:cs="Arial"/>
              </w:rPr>
              <w:t>PER +</w:t>
            </w:r>
            <w:r>
              <w:rPr>
                <w:rFonts w:cs="Arial"/>
              </w:rPr>
              <w:t xml:space="preserve"> </w:t>
            </w:r>
            <w:r w:rsidRPr="00995906">
              <w:rPr>
                <w:rFonts w:cs="Arial"/>
              </w:rPr>
              <w:t>CCl</w:t>
            </w:r>
            <w:r w:rsidRPr="00E6459F">
              <w:rPr>
                <w:rFonts w:cs="Arial"/>
                <w:vertAlign w:val="subscript"/>
              </w:rPr>
              <w:t>4</w:t>
            </w:r>
          </w:p>
        </w:tc>
        <w:tc>
          <w:tcPr>
            <w:tcW w:w="1843" w:type="dxa"/>
          </w:tcPr>
          <w:p w:rsidR="00AD03B0" w:rsidRPr="00995906" w:rsidRDefault="00AD03B0" w:rsidP="00115A5E">
            <w:pPr>
              <w:pStyle w:val="GesAbsatz"/>
              <w:jc w:val="left"/>
              <w:rPr>
                <w:rFonts w:cs="Arial"/>
              </w:rPr>
            </w:pPr>
            <w:r>
              <w:rPr>
                <w:rFonts w:cs="Arial"/>
              </w:rPr>
              <w:t>1</w:t>
            </w:r>
            <w:r w:rsidRPr="00995906">
              <w:rPr>
                <w:rFonts w:cs="Arial"/>
              </w:rPr>
              <w:t>,5 mg/l HCB</w:t>
            </w:r>
          </w:p>
        </w:tc>
        <w:tc>
          <w:tcPr>
            <w:tcW w:w="1842" w:type="dxa"/>
            <w:vMerge w:val="restart"/>
          </w:tcPr>
          <w:p w:rsidR="00AD03B0" w:rsidRDefault="00AD03B0" w:rsidP="00115A5E">
            <w:pPr>
              <w:pStyle w:val="GesAbsatz"/>
              <w:jc w:val="left"/>
              <w:rPr>
                <w:rFonts w:cs="Arial"/>
              </w:rPr>
            </w:pPr>
            <w:r w:rsidRPr="00995906">
              <w:rPr>
                <w:rFonts w:cs="Arial"/>
              </w:rPr>
              <w:t>1.1.1990</w:t>
            </w:r>
          </w:p>
        </w:tc>
      </w:tr>
      <w:tr w:rsidR="00AD03B0" w:rsidTr="00D43B13">
        <w:trPr>
          <w:trHeight w:val="640"/>
        </w:trPr>
        <w:tc>
          <w:tcPr>
            <w:tcW w:w="2235" w:type="dxa"/>
            <w:vMerge/>
          </w:tcPr>
          <w:p w:rsidR="00AD03B0" w:rsidRPr="00995906" w:rsidRDefault="00AD03B0" w:rsidP="00115A5E">
            <w:pPr>
              <w:pStyle w:val="GesAbsatz"/>
              <w:jc w:val="left"/>
              <w:rPr>
                <w:rFonts w:cs="Arial"/>
              </w:rPr>
            </w:pPr>
          </w:p>
        </w:tc>
        <w:tc>
          <w:tcPr>
            <w:tcW w:w="1675" w:type="dxa"/>
          </w:tcPr>
          <w:p w:rsidR="00AD03B0" w:rsidRPr="00995906" w:rsidRDefault="00AD03B0" w:rsidP="00115A5E">
            <w:pPr>
              <w:pStyle w:val="GesAbsatz"/>
              <w:jc w:val="left"/>
              <w:rPr>
                <w:rFonts w:cs="Arial"/>
              </w:rPr>
            </w:pPr>
            <w:r w:rsidRPr="00995906">
              <w:rPr>
                <w:rFonts w:cs="Arial"/>
              </w:rPr>
              <w:t>Tag</w:t>
            </w:r>
          </w:p>
        </w:tc>
        <w:tc>
          <w:tcPr>
            <w:tcW w:w="2152" w:type="dxa"/>
          </w:tcPr>
          <w:p w:rsidR="00AD03B0" w:rsidRPr="00995906" w:rsidRDefault="00AD03B0" w:rsidP="00115A5E">
            <w:pPr>
              <w:pStyle w:val="GesAbsatz"/>
              <w:jc w:val="left"/>
              <w:rPr>
                <w:rFonts w:cs="Arial"/>
              </w:rPr>
            </w:pPr>
            <w:r w:rsidRPr="00995906">
              <w:rPr>
                <w:rFonts w:cs="Arial"/>
              </w:rPr>
              <w:t>3 g HCB je Tonne</w:t>
            </w:r>
            <w:r>
              <w:rPr>
                <w:rFonts w:cs="Arial"/>
              </w:rPr>
              <w:t xml:space="preserve"> </w:t>
            </w:r>
            <w:r w:rsidRPr="00995906">
              <w:rPr>
                <w:rFonts w:cs="Arial"/>
              </w:rPr>
              <w:t>Gesamtproduktion</w:t>
            </w:r>
            <w:r w:rsidRPr="00995906">
              <w:rPr>
                <w:rFonts w:cs="Arial"/>
              </w:rPr>
              <w:t>s</w:t>
            </w:r>
            <w:r w:rsidRPr="00995906">
              <w:rPr>
                <w:rFonts w:cs="Arial"/>
              </w:rPr>
              <w:t>kapazität</w:t>
            </w:r>
            <w:r>
              <w:rPr>
                <w:rFonts w:cs="Arial"/>
              </w:rPr>
              <w:t xml:space="preserve"> </w:t>
            </w:r>
            <w:r w:rsidRPr="00995906">
              <w:rPr>
                <w:rFonts w:cs="Arial"/>
              </w:rPr>
              <w:t>PER + CCl</w:t>
            </w:r>
            <w:r w:rsidRPr="002A026C">
              <w:rPr>
                <w:rFonts w:cs="Arial"/>
                <w:vertAlign w:val="subscript"/>
              </w:rPr>
              <w:t>4</w:t>
            </w:r>
          </w:p>
        </w:tc>
        <w:tc>
          <w:tcPr>
            <w:tcW w:w="1843" w:type="dxa"/>
          </w:tcPr>
          <w:p w:rsidR="00AD03B0" w:rsidRPr="00995906" w:rsidRDefault="00AD03B0" w:rsidP="00115A5E">
            <w:pPr>
              <w:pStyle w:val="GesAbsatz"/>
              <w:jc w:val="left"/>
              <w:rPr>
                <w:rFonts w:cs="Arial"/>
              </w:rPr>
            </w:pPr>
            <w:r w:rsidRPr="00995906">
              <w:rPr>
                <w:rFonts w:cs="Arial"/>
              </w:rPr>
              <w:t>3 mg/l HCB</w:t>
            </w:r>
          </w:p>
        </w:tc>
        <w:tc>
          <w:tcPr>
            <w:tcW w:w="1842" w:type="dxa"/>
            <w:vMerge/>
          </w:tcPr>
          <w:p w:rsidR="00AD03B0" w:rsidRDefault="00AD03B0" w:rsidP="00115A5E">
            <w:pPr>
              <w:pStyle w:val="GesAbsatz"/>
              <w:jc w:val="left"/>
              <w:rPr>
                <w:rFonts w:cs="Arial"/>
              </w:rPr>
            </w:pPr>
          </w:p>
        </w:tc>
      </w:tr>
      <w:tr w:rsidR="002A026C" w:rsidTr="00115A5E">
        <w:tc>
          <w:tcPr>
            <w:tcW w:w="2235" w:type="dxa"/>
            <w:vMerge w:val="restart"/>
          </w:tcPr>
          <w:p w:rsidR="002A026C" w:rsidRPr="00995906" w:rsidRDefault="002A026C" w:rsidP="00115A5E">
            <w:pPr>
              <w:pStyle w:val="GesAbsatz"/>
              <w:tabs>
                <w:tab w:val="clear" w:pos="425"/>
              </w:tabs>
              <w:ind w:left="284" w:hanging="284"/>
              <w:jc w:val="left"/>
              <w:rPr>
                <w:rFonts w:cs="Arial"/>
              </w:rPr>
            </w:pPr>
            <w:r w:rsidRPr="00995906">
              <w:rPr>
                <w:rFonts w:cs="Arial"/>
              </w:rPr>
              <w:t>3.</w:t>
            </w:r>
            <w:r>
              <w:rPr>
                <w:rFonts w:cs="Arial"/>
              </w:rPr>
              <w:tab/>
            </w:r>
            <w:r w:rsidRPr="00995906">
              <w:rPr>
                <w:rFonts w:cs="Arial"/>
              </w:rPr>
              <w:t>Herstellung von Trichlorethylen</w:t>
            </w:r>
            <w:r>
              <w:rPr>
                <w:rFonts w:cs="Arial"/>
              </w:rPr>
              <w:t xml:space="preserve"> </w:t>
            </w:r>
            <w:r w:rsidRPr="00995906">
              <w:rPr>
                <w:rFonts w:cs="Arial"/>
              </w:rPr>
              <w:t>und/oder Perchl</w:t>
            </w:r>
            <w:r w:rsidRPr="00995906">
              <w:rPr>
                <w:rFonts w:cs="Arial"/>
              </w:rPr>
              <w:t>o</w:t>
            </w:r>
            <w:r w:rsidRPr="00995906">
              <w:rPr>
                <w:rFonts w:cs="Arial"/>
              </w:rPr>
              <w:lastRenderedPageBreak/>
              <w:t>rethylen</w:t>
            </w:r>
            <w:r>
              <w:rPr>
                <w:rFonts w:cs="Arial"/>
              </w:rPr>
              <w:t xml:space="preserve"> </w:t>
            </w:r>
            <w:r w:rsidRPr="00995906">
              <w:rPr>
                <w:rFonts w:cs="Arial"/>
              </w:rPr>
              <w:t>durch a</w:t>
            </w:r>
            <w:r w:rsidRPr="00995906">
              <w:rPr>
                <w:rFonts w:cs="Arial"/>
              </w:rPr>
              <w:t>n</w:t>
            </w:r>
            <w:r w:rsidRPr="00995906">
              <w:rPr>
                <w:rFonts w:cs="Arial"/>
              </w:rPr>
              <w:t>dere</w:t>
            </w:r>
            <w:r>
              <w:rPr>
                <w:rFonts w:cs="Arial"/>
              </w:rPr>
              <w:t xml:space="preserve"> </w:t>
            </w:r>
            <w:r w:rsidRPr="00995906">
              <w:rPr>
                <w:rFonts w:cs="Arial"/>
              </w:rPr>
              <w:t>Verfahren</w:t>
            </w:r>
            <w:r w:rsidR="00115A5E">
              <w:rPr>
                <w:rStyle w:val="Funotenzeichen"/>
                <w:rFonts w:cs="Arial"/>
              </w:rPr>
              <w:footnoteReference w:id="36"/>
            </w:r>
            <w:r>
              <w:rPr>
                <w:rFonts w:cs="Arial"/>
              </w:rPr>
              <w:t xml:space="preserve"> </w:t>
            </w:r>
          </w:p>
        </w:tc>
        <w:tc>
          <w:tcPr>
            <w:tcW w:w="1675" w:type="dxa"/>
          </w:tcPr>
          <w:p w:rsidR="002A026C" w:rsidRPr="00995906" w:rsidRDefault="002A026C" w:rsidP="00115A5E">
            <w:pPr>
              <w:pStyle w:val="GesAbsatz"/>
              <w:jc w:val="left"/>
              <w:rPr>
                <w:rFonts w:cs="Arial"/>
              </w:rPr>
            </w:pPr>
            <w:r w:rsidRPr="00995906">
              <w:rPr>
                <w:rFonts w:cs="Arial"/>
              </w:rPr>
              <w:lastRenderedPageBreak/>
              <w:t>Monat</w:t>
            </w:r>
          </w:p>
        </w:tc>
        <w:tc>
          <w:tcPr>
            <w:tcW w:w="2152" w:type="dxa"/>
          </w:tcPr>
          <w:p w:rsidR="002A026C" w:rsidRPr="00995906" w:rsidRDefault="002A026C" w:rsidP="00115A5E">
            <w:pPr>
              <w:pStyle w:val="GesAbsatz"/>
              <w:jc w:val="left"/>
              <w:rPr>
                <w:rFonts w:cs="Arial"/>
              </w:rPr>
            </w:pPr>
            <w:r w:rsidRPr="00995906">
              <w:rPr>
                <w:rFonts w:cs="Arial"/>
              </w:rPr>
              <w:t>-</w:t>
            </w:r>
          </w:p>
        </w:tc>
        <w:tc>
          <w:tcPr>
            <w:tcW w:w="1843" w:type="dxa"/>
          </w:tcPr>
          <w:p w:rsidR="002A026C" w:rsidRPr="00995906" w:rsidRDefault="002A026C" w:rsidP="00115A5E">
            <w:pPr>
              <w:pStyle w:val="GesAbsatz"/>
              <w:jc w:val="left"/>
              <w:rPr>
                <w:rFonts w:cs="Arial"/>
              </w:rPr>
            </w:pPr>
            <w:r w:rsidRPr="00995906">
              <w:rPr>
                <w:rFonts w:cs="Arial"/>
              </w:rPr>
              <w:t>-</w:t>
            </w:r>
          </w:p>
        </w:tc>
        <w:tc>
          <w:tcPr>
            <w:tcW w:w="1842" w:type="dxa"/>
          </w:tcPr>
          <w:p w:rsidR="002A026C" w:rsidRDefault="002A026C" w:rsidP="00115A5E">
            <w:pPr>
              <w:pStyle w:val="GesAbsatz"/>
              <w:jc w:val="left"/>
              <w:rPr>
                <w:rFonts w:cs="Arial"/>
              </w:rPr>
            </w:pPr>
            <w:r w:rsidRPr="00995906">
              <w:rPr>
                <w:rFonts w:cs="Arial"/>
              </w:rPr>
              <w:t>-</w:t>
            </w:r>
          </w:p>
        </w:tc>
      </w:tr>
      <w:tr w:rsidR="002A026C" w:rsidTr="00115A5E">
        <w:tc>
          <w:tcPr>
            <w:tcW w:w="2235" w:type="dxa"/>
            <w:vMerge/>
          </w:tcPr>
          <w:p w:rsidR="002A026C" w:rsidRPr="00995906" w:rsidRDefault="002A026C" w:rsidP="00115A5E">
            <w:pPr>
              <w:pStyle w:val="GesAbsatz"/>
              <w:jc w:val="left"/>
              <w:rPr>
                <w:rFonts w:cs="Arial"/>
              </w:rPr>
            </w:pPr>
          </w:p>
        </w:tc>
        <w:tc>
          <w:tcPr>
            <w:tcW w:w="1675" w:type="dxa"/>
          </w:tcPr>
          <w:p w:rsidR="002A026C" w:rsidRPr="00995906" w:rsidRDefault="002A026C" w:rsidP="00115A5E">
            <w:pPr>
              <w:pStyle w:val="GesAbsatz"/>
              <w:jc w:val="left"/>
              <w:rPr>
                <w:rFonts w:cs="Arial"/>
              </w:rPr>
            </w:pPr>
            <w:r w:rsidRPr="00995906">
              <w:rPr>
                <w:rFonts w:cs="Arial"/>
              </w:rPr>
              <w:t>Tag</w:t>
            </w:r>
          </w:p>
        </w:tc>
        <w:tc>
          <w:tcPr>
            <w:tcW w:w="2152" w:type="dxa"/>
          </w:tcPr>
          <w:p w:rsidR="002A026C" w:rsidRPr="00995906" w:rsidRDefault="002A026C" w:rsidP="00115A5E">
            <w:pPr>
              <w:pStyle w:val="GesAbsatz"/>
              <w:jc w:val="left"/>
              <w:rPr>
                <w:rFonts w:cs="Arial"/>
              </w:rPr>
            </w:pPr>
            <w:r w:rsidRPr="00995906">
              <w:rPr>
                <w:rFonts w:cs="Arial"/>
              </w:rPr>
              <w:t>-</w:t>
            </w:r>
          </w:p>
        </w:tc>
        <w:tc>
          <w:tcPr>
            <w:tcW w:w="1843" w:type="dxa"/>
          </w:tcPr>
          <w:p w:rsidR="002A026C" w:rsidRPr="00995906" w:rsidRDefault="002A026C" w:rsidP="00115A5E">
            <w:pPr>
              <w:pStyle w:val="GesAbsatz"/>
              <w:jc w:val="left"/>
              <w:rPr>
                <w:rFonts w:cs="Arial"/>
              </w:rPr>
            </w:pPr>
            <w:r w:rsidRPr="00995906">
              <w:rPr>
                <w:rFonts w:cs="Arial"/>
              </w:rPr>
              <w:t>-</w:t>
            </w:r>
          </w:p>
        </w:tc>
        <w:tc>
          <w:tcPr>
            <w:tcW w:w="1842" w:type="dxa"/>
          </w:tcPr>
          <w:p w:rsidR="002A026C" w:rsidRDefault="002A026C" w:rsidP="00115A5E">
            <w:pPr>
              <w:pStyle w:val="GesAbsatz"/>
              <w:jc w:val="left"/>
              <w:rPr>
                <w:rFonts w:cs="Arial"/>
              </w:rPr>
            </w:pPr>
            <w:r w:rsidRPr="00995906">
              <w:rPr>
                <w:rFonts w:cs="Arial"/>
              </w:rPr>
              <w:t>-</w:t>
            </w:r>
          </w:p>
        </w:tc>
      </w:tr>
    </w:tbl>
    <w:p w:rsidR="00C2664E" w:rsidRDefault="00C2664E" w:rsidP="00995906">
      <w:pPr>
        <w:pStyle w:val="GesAbsatz"/>
        <w:rPr>
          <w:rFonts w:cs="Arial"/>
        </w:rPr>
      </w:pPr>
    </w:p>
    <w:p w:rsidR="0049151F" w:rsidRPr="00995906" w:rsidRDefault="0049151F" w:rsidP="00995906">
      <w:pPr>
        <w:pStyle w:val="GesAbsatz"/>
        <w:rPr>
          <w:rFonts w:cs="Arial"/>
        </w:rPr>
      </w:pPr>
      <w:r w:rsidRPr="00AD03B0">
        <w:rPr>
          <w:rFonts w:cs="Arial"/>
          <w:b/>
        </w:rPr>
        <w:t>Teil C (83):</w:t>
      </w:r>
      <w:r w:rsidRPr="00995906">
        <w:rPr>
          <w:rFonts w:cs="Arial"/>
        </w:rPr>
        <w:t xml:space="preserve"> </w:t>
      </w:r>
      <w:proofErr w:type="spellStart"/>
      <w:r w:rsidRPr="00995906">
        <w:rPr>
          <w:rFonts w:cs="Arial"/>
        </w:rPr>
        <w:t>Referenzme</w:t>
      </w:r>
      <w:r w:rsidR="00AD03B0">
        <w:rPr>
          <w:rFonts w:cs="Arial"/>
        </w:rPr>
        <w:t>ß</w:t>
      </w:r>
      <w:r w:rsidRPr="00995906">
        <w:rPr>
          <w:rFonts w:cs="Arial"/>
        </w:rPr>
        <w:t>verfahren</w:t>
      </w:r>
      <w:proofErr w:type="spellEnd"/>
    </w:p>
    <w:p w:rsidR="0049151F" w:rsidRPr="00995906" w:rsidRDefault="0049151F" w:rsidP="00AD03B0">
      <w:pPr>
        <w:pStyle w:val="GesAbsatz"/>
        <w:ind w:left="426" w:hanging="426"/>
        <w:rPr>
          <w:rFonts w:cs="Arial"/>
        </w:rPr>
      </w:pPr>
      <w:r w:rsidRPr="00995906">
        <w:rPr>
          <w:rFonts w:cs="Arial"/>
        </w:rPr>
        <w:t>1.</w:t>
      </w:r>
      <w:r w:rsidR="00AD03B0">
        <w:rPr>
          <w:rFonts w:cs="Arial"/>
        </w:rPr>
        <w:tab/>
      </w:r>
      <w:r w:rsidRPr="00995906">
        <w:rPr>
          <w:rFonts w:cs="Arial"/>
        </w:rPr>
        <w:t>Referenzme</w:t>
      </w:r>
      <w:r w:rsidR="00AD03B0">
        <w:rPr>
          <w:rFonts w:cs="Arial"/>
        </w:rPr>
        <w:t>ß</w:t>
      </w:r>
      <w:r w:rsidRPr="00995906">
        <w:rPr>
          <w:rFonts w:cs="Arial"/>
        </w:rPr>
        <w:t>verfahren zur Bestimmung von HCB in den Abwässern und Gewässern ist die</w:t>
      </w:r>
      <w:r w:rsidR="00AD03B0">
        <w:rPr>
          <w:rFonts w:cs="Arial"/>
        </w:rPr>
        <w:t xml:space="preserve"> </w:t>
      </w:r>
      <w:r w:rsidRPr="00995906">
        <w:rPr>
          <w:rFonts w:cs="Arial"/>
        </w:rPr>
        <w:t>Gaschr</w:t>
      </w:r>
      <w:r w:rsidRPr="00995906">
        <w:rPr>
          <w:rFonts w:cs="Arial"/>
        </w:rPr>
        <w:t>o</w:t>
      </w:r>
      <w:r w:rsidRPr="00995906">
        <w:rPr>
          <w:rFonts w:cs="Arial"/>
        </w:rPr>
        <w:t>matographie mit Elektroneneinfangdetektor nach Extraktion mit einem geeigneten Lösemittel.</w:t>
      </w:r>
      <w:r w:rsidR="00AD03B0">
        <w:rPr>
          <w:rFonts w:cs="Arial"/>
        </w:rPr>
        <w:t xml:space="preserve"> </w:t>
      </w:r>
      <w:r w:rsidRPr="00995906">
        <w:rPr>
          <w:rFonts w:cs="Arial"/>
        </w:rPr>
        <w:t>Die B</w:t>
      </w:r>
      <w:r w:rsidRPr="00995906">
        <w:rPr>
          <w:rFonts w:cs="Arial"/>
        </w:rPr>
        <w:t>e</w:t>
      </w:r>
      <w:r w:rsidRPr="00995906">
        <w:rPr>
          <w:rFonts w:cs="Arial"/>
        </w:rPr>
        <w:t>stimmungsgrenze</w:t>
      </w:r>
      <w:bookmarkStart w:id="20" w:name="_Ref151783949"/>
      <w:r w:rsidR="00D43B13">
        <w:rPr>
          <w:rStyle w:val="Funotenzeichen"/>
          <w:rFonts w:cs="Arial"/>
        </w:rPr>
        <w:footnoteReference w:id="37"/>
      </w:r>
      <w:bookmarkEnd w:id="20"/>
      <w:r w:rsidRPr="00995906">
        <w:rPr>
          <w:rFonts w:cs="Arial"/>
        </w:rPr>
        <w:t xml:space="preserve"> für HCB liegt je nach Anzahl der störenden Begleitstoffe in der Probe im</w:t>
      </w:r>
      <w:r w:rsidR="00373616">
        <w:rPr>
          <w:rFonts w:cs="Arial"/>
        </w:rPr>
        <w:t xml:space="preserve"> </w:t>
      </w:r>
      <w:r w:rsidRPr="00995906">
        <w:rPr>
          <w:rFonts w:cs="Arial"/>
        </w:rPr>
        <w:t>Bereich</w:t>
      </w:r>
      <w:r w:rsidR="00373616">
        <w:rPr>
          <w:rFonts w:cs="Arial"/>
        </w:rPr>
        <w:t> </w:t>
      </w:r>
      <w:r w:rsidRPr="00995906">
        <w:rPr>
          <w:rFonts w:cs="Arial"/>
        </w:rPr>
        <w:t>1</w:t>
      </w:r>
      <w:r w:rsidR="00D43B13">
        <w:rPr>
          <w:rFonts w:cs="Arial"/>
        </w:rPr>
        <w:t>-</w:t>
      </w:r>
      <w:r w:rsidRPr="00995906">
        <w:rPr>
          <w:rFonts w:cs="Arial"/>
        </w:rPr>
        <w:t>10 ng/l für Gewässer und im Bereich 0,5-1 µg/l für Abwässer.</w:t>
      </w:r>
    </w:p>
    <w:p w:rsidR="0049151F" w:rsidRPr="00995906" w:rsidRDefault="0049151F" w:rsidP="00373616">
      <w:pPr>
        <w:pStyle w:val="GesAbsatz"/>
        <w:ind w:left="426" w:hanging="426"/>
        <w:rPr>
          <w:rFonts w:cs="Arial"/>
        </w:rPr>
      </w:pPr>
      <w:r w:rsidRPr="00995906">
        <w:rPr>
          <w:rFonts w:cs="Arial"/>
        </w:rPr>
        <w:t>2.</w:t>
      </w:r>
      <w:r w:rsidR="00373616">
        <w:rPr>
          <w:rFonts w:cs="Arial"/>
        </w:rPr>
        <w:tab/>
      </w:r>
      <w:r w:rsidRPr="00995906">
        <w:rPr>
          <w:rFonts w:cs="Arial"/>
        </w:rPr>
        <w:t>Referenzverfahren zur Bestimmung von HCB in Sedimenten und Organismen ist die Gaschromatogr</w:t>
      </w:r>
      <w:r w:rsidRPr="00995906">
        <w:rPr>
          <w:rFonts w:cs="Arial"/>
        </w:rPr>
        <w:t>a</w:t>
      </w:r>
      <w:r w:rsidRPr="00995906">
        <w:rPr>
          <w:rFonts w:cs="Arial"/>
        </w:rPr>
        <w:t>phie</w:t>
      </w:r>
      <w:r w:rsidR="00373616">
        <w:rPr>
          <w:rFonts w:cs="Arial"/>
        </w:rPr>
        <w:t xml:space="preserve"> </w:t>
      </w:r>
      <w:r w:rsidRPr="00995906">
        <w:rPr>
          <w:rFonts w:cs="Arial"/>
        </w:rPr>
        <w:t>mit Elektroneneinfangdetektor nach geeigneter Probenvorbereitung. Die Bestimmungsgrenze</w:t>
      </w:r>
      <w:r w:rsidR="00D43B13" w:rsidRPr="00D43B13">
        <w:rPr>
          <w:rFonts w:cs="Arial"/>
          <w:vertAlign w:val="superscript"/>
        </w:rPr>
        <w:fldChar w:fldCharType="begin"/>
      </w:r>
      <w:r w:rsidR="00D43B13" w:rsidRPr="00D43B13">
        <w:rPr>
          <w:rFonts w:cs="Arial"/>
          <w:vertAlign w:val="superscript"/>
        </w:rPr>
        <w:instrText xml:space="preserve"> NOTEREF _Ref151783949 \h </w:instrText>
      </w:r>
      <w:r w:rsidR="00D43B13">
        <w:rPr>
          <w:rFonts w:cs="Arial"/>
          <w:vertAlign w:val="superscript"/>
        </w:rPr>
        <w:instrText xml:space="preserve"> \* MERGEFORMAT </w:instrText>
      </w:r>
      <w:r w:rsidR="00D43B13" w:rsidRPr="00D43B13">
        <w:rPr>
          <w:rFonts w:cs="Arial"/>
          <w:vertAlign w:val="superscript"/>
        </w:rPr>
      </w:r>
      <w:r w:rsidR="00D43B13" w:rsidRPr="00D43B13">
        <w:rPr>
          <w:rFonts w:cs="Arial"/>
          <w:vertAlign w:val="superscript"/>
        </w:rPr>
        <w:fldChar w:fldCharType="separate"/>
      </w:r>
      <w:r w:rsidR="00421590">
        <w:rPr>
          <w:rFonts w:cs="Arial"/>
          <w:vertAlign w:val="superscript"/>
        </w:rPr>
        <w:t>38</w:t>
      </w:r>
      <w:r w:rsidR="00D43B13" w:rsidRPr="00D43B13">
        <w:rPr>
          <w:rFonts w:cs="Arial"/>
          <w:vertAlign w:val="superscript"/>
        </w:rPr>
        <w:fldChar w:fldCharType="end"/>
      </w:r>
      <w:r w:rsidR="00373616">
        <w:rPr>
          <w:rFonts w:cs="Arial"/>
        </w:rPr>
        <w:t xml:space="preserve"> </w:t>
      </w:r>
      <w:r w:rsidRPr="00995906">
        <w:rPr>
          <w:rFonts w:cs="Arial"/>
        </w:rPr>
        <w:t>liegt im Bereich 1-10 µg/kg Trockenmasse.</w:t>
      </w:r>
    </w:p>
    <w:p w:rsidR="0049151F" w:rsidRDefault="0049151F" w:rsidP="00373616">
      <w:pPr>
        <w:pStyle w:val="GesAbsatz"/>
        <w:ind w:left="426" w:hanging="426"/>
        <w:rPr>
          <w:rFonts w:cs="Arial"/>
        </w:rPr>
      </w:pPr>
      <w:r w:rsidRPr="00995906">
        <w:rPr>
          <w:rFonts w:cs="Arial"/>
        </w:rPr>
        <w:t>3.</w:t>
      </w:r>
      <w:r w:rsidR="00373616">
        <w:rPr>
          <w:rFonts w:cs="Arial"/>
        </w:rPr>
        <w:tab/>
      </w:r>
      <w:r w:rsidRPr="00995906">
        <w:rPr>
          <w:rFonts w:cs="Arial"/>
        </w:rPr>
        <w:t>Die Richtigkeit und Genauigkeit der Methode müssen ± 50% bei einer Konzentration betragen, die</w:t>
      </w:r>
      <w:r w:rsidR="00373616">
        <w:rPr>
          <w:rFonts w:cs="Arial"/>
        </w:rPr>
        <w:t xml:space="preserve"> </w:t>
      </w:r>
      <w:r w:rsidRPr="00995906">
        <w:rPr>
          <w:rFonts w:cs="Arial"/>
        </w:rPr>
        <w:t>dem doppelten Wert der Bestimmungsgrenze</w:t>
      </w:r>
      <w:r w:rsidR="00D43B13" w:rsidRPr="00D43B13">
        <w:rPr>
          <w:rFonts w:cs="Arial"/>
          <w:vertAlign w:val="superscript"/>
        </w:rPr>
        <w:fldChar w:fldCharType="begin"/>
      </w:r>
      <w:r w:rsidR="00D43B13" w:rsidRPr="00D43B13">
        <w:rPr>
          <w:rFonts w:cs="Arial"/>
          <w:vertAlign w:val="superscript"/>
        </w:rPr>
        <w:instrText xml:space="preserve"> NOTEREF _Ref151783949 \h </w:instrText>
      </w:r>
      <w:r w:rsidR="00D43B13">
        <w:rPr>
          <w:rFonts w:cs="Arial"/>
          <w:vertAlign w:val="superscript"/>
        </w:rPr>
        <w:instrText xml:space="preserve"> \* MERGEFORMAT </w:instrText>
      </w:r>
      <w:r w:rsidR="00D43B13" w:rsidRPr="00D43B13">
        <w:rPr>
          <w:rFonts w:cs="Arial"/>
          <w:vertAlign w:val="superscript"/>
        </w:rPr>
      </w:r>
      <w:r w:rsidR="00D43B13" w:rsidRPr="00D43B13">
        <w:rPr>
          <w:rFonts w:cs="Arial"/>
          <w:vertAlign w:val="superscript"/>
        </w:rPr>
        <w:fldChar w:fldCharType="separate"/>
      </w:r>
      <w:r w:rsidR="00421590">
        <w:rPr>
          <w:rFonts w:cs="Arial"/>
          <w:vertAlign w:val="superscript"/>
        </w:rPr>
        <w:t>38</w:t>
      </w:r>
      <w:r w:rsidR="00D43B13" w:rsidRPr="00D43B13">
        <w:rPr>
          <w:rFonts w:cs="Arial"/>
          <w:vertAlign w:val="superscript"/>
        </w:rPr>
        <w:fldChar w:fldCharType="end"/>
      </w:r>
      <w:r w:rsidRPr="00995906">
        <w:rPr>
          <w:rFonts w:cs="Arial"/>
        </w:rPr>
        <w:t xml:space="preserve"> entspricht.</w:t>
      </w:r>
    </w:p>
    <w:p w:rsidR="0049151F" w:rsidRPr="00373616" w:rsidRDefault="0049151F" w:rsidP="008404F8">
      <w:pPr>
        <w:pStyle w:val="berschrift3"/>
      </w:pPr>
      <w:bookmarkStart w:id="21" w:name="_Toc420510840"/>
      <w:r w:rsidRPr="00373616">
        <w:t>VI. Sonderbestimmungen für Hexachlorbutadien (HCBD) (Nr. 84)</w:t>
      </w:r>
      <w:bookmarkEnd w:id="21"/>
    </w:p>
    <w:p w:rsidR="0049151F" w:rsidRPr="00995906" w:rsidRDefault="0049151F" w:rsidP="00373616">
      <w:pPr>
        <w:pStyle w:val="GesAbsatz"/>
        <w:jc w:val="center"/>
        <w:rPr>
          <w:rFonts w:cs="Arial"/>
        </w:rPr>
      </w:pPr>
      <w:r w:rsidRPr="00995906">
        <w:rPr>
          <w:rFonts w:cs="Arial"/>
        </w:rPr>
        <w:t>CAS-87-68-3</w:t>
      </w:r>
    </w:p>
    <w:p w:rsidR="0049151F" w:rsidRPr="00995906" w:rsidRDefault="0049151F" w:rsidP="00995906">
      <w:pPr>
        <w:pStyle w:val="GesAbsatz"/>
        <w:rPr>
          <w:rFonts w:cs="Arial"/>
        </w:rPr>
      </w:pPr>
      <w:r w:rsidRPr="00373616">
        <w:rPr>
          <w:rFonts w:cs="Arial"/>
          <w:b/>
        </w:rPr>
        <w:t>Teil A (84):</w:t>
      </w:r>
      <w:r w:rsidRPr="00995906">
        <w:rPr>
          <w:rFonts w:cs="Arial"/>
        </w:rPr>
        <w:t xml:space="preserve"> Grenzwerte der Emissionsnormen</w:t>
      </w:r>
    </w:p>
    <w:p w:rsidR="000D6BB7" w:rsidRDefault="0049151F" w:rsidP="00573B87">
      <w:pPr>
        <w:pStyle w:val="GesAbsatz"/>
        <w:ind w:left="993" w:hanging="993"/>
        <w:rPr>
          <w:rFonts w:cs="Arial"/>
        </w:rPr>
      </w:pPr>
      <w:r w:rsidRPr="00995906">
        <w:rPr>
          <w:rFonts w:cs="Arial"/>
        </w:rPr>
        <w:t>Standstill</w:t>
      </w:r>
      <w:r w:rsidRPr="00995906">
        <w:rPr>
          <w:rFonts w:cs="Arial"/>
          <w:i/>
          <w:iCs/>
        </w:rPr>
        <w:t>:</w:t>
      </w:r>
      <w:r w:rsidR="00573B87">
        <w:rPr>
          <w:rFonts w:cs="Arial"/>
          <w:i/>
          <w:iCs/>
        </w:rPr>
        <w:tab/>
      </w:r>
      <w:r w:rsidRPr="00995906">
        <w:rPr>
          <w:rFonts w:cs="Arial"/>
        </w:rPr>
        <w:t>Die Verschmutzung durch Ableitung von HCBD die sich auf die Konzentration in Sedimenten</w:t>
      </w:r>
      <w:r w:rsidR="00573B87">
        <w:rPr>
          <w:rFonts w:cs="Arial"/>
        </w:rPr>
        <w:t xml:space="preserve"> </w:t>
      </w:r>
      <w:r w:rsidRPr="00995906">
        <w:rPr>
          <w:rFonts w:cs="Arial"/>
        </w:rPr>
        <w:t>und/oder Weichtieren und/oder Schalentieren und/oder Fischen auswirkt, darf mit der</w:t>
      </w:r>
      <w:r w:rsidR="00573B87">
        <w:rPr>
          <w:rFonts w:cs="Arial"/>
        </w:rPr>
        <w:t xml:space="preserve"> </w:t>
      </w:r>
      <w:r w:rsidRPr="00995906">
        <w:rPr>
          <w:rFonts w:cs="Arial"/>
        </w:rPr>
        <w:t>Zeit direkt oder indirekt nicht wesentlich zunehmen.</w:t>
      </w:r>
    </w:p>
    <w:p w:rsidR="00D43B13" w:rsidRDefault="00D43B13" w:rsidP="00573B87">
      <w:pPr>
        <w:pStyle w:val="GesAbsatz"/>
        <w:ind w:left="993" w:hanging="993"/>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376"/>
        <w:gridCol w:w="1534"/>
        <w:gridCol w:w="1955"/>
        <w:gridCol w:w="1956"/>
        <w:gridCol w:w="1956"/>
      </w:tblGrid>
      <w:tr w:rsidR="00573B87" w:rsidTr="00D43B13">
        <w:tc>
          <w:tcPr>
            <w:tcW w:w="2376" w:type="dxa"/>
            <w:vMerge w:val="restart"/>
            <w:vAlign w:val="center"/>
          </w:tcPr>
          <w:p w:rsidR="00573B87" w:rsidRDefault="00573B87" w:rsidP="00573B87">
            <w:pPr>
              <w:pStyle w:val="GesAbsatz"/>
              <w:jc w:val="center"/>
              <w:rPr>
                <w:rFonts w:cs="Arial"/>
              </w:rPr>
            </w:pPr>
            <w:r w:rsidRPr="00995906">
              <w:rPr>
                <w:rFonts w:cs="Arial"/>
              </w:rPr>
              <w:t>Typ des Industrieb</w:t>
            </w:r>
            <w:r w:rsidRPr="00995906">
              <w:rPr>
                <w:rFonts w:cs="Arial"/>
              </w:rPr>
              <w:t>e</w:t>
            </w:r>
            <w:r w:rsidRPr="00995906">
              <w:rPr>
                <w:rFonts w:cs="Arial"/>
              </w:rPr>
              <w:t>triebs</w:t>
            </w:r>
            <w:r w:rsidR="00D43B13">
              <w:rPr>
                <w:rStyle w:val="Funotenzeichen"/>
                <w:rFonts w:cs="Arial"/>
              </w:rPr>
              <w:footnoteReference w:id="38"/>
            </w:r>
            <w:r w:rsidR="00D43B13">
              <w:rPr>
                <w:rFonts w:cs="Arial"/>
              </w:rPr>
              <w:t xml:space="preserve"> </w:t>
            </w:r>
            <w:r w:rsidR="00D43B13">
              <w:rPr>
                <w:rStyle w:val="Funotenzeichen"/>
                <w:rFonts w:cs="Arial"/>
              </w:rPr>
              <w:footnoteReference w:id="39"/>
            </w:r>
            <w:r>
              <w:rPr>
                <w:rFonts w:cs="Arial"/>
              </w:rPr>
              <w:t xml:space="preserve"> </w:t>
            </w:r>
            <w:r w:rsidR="00D43B13">
              <w:rPr>
                <w:rStyle w:val="Funotenzeichen"/>
                <w:rFonts w:cs="Arial"/>
              </w:rPr>
              <w:footnoteReference w:id="40"/>
            </w:r>
            <w:r w:rsidR="00465F40">
              <w:rPr>
                <w:rFonts w:cs="Arial"/>
              </w:rPr>
              <w:t xml:space="preserve"> </w:t>
            </w:r>
          </w:p>
        </w:tc>
        <w:tc>
          <w:tcPr>
            <w:tcW w:w="1534" w:type="dxa"/>
            <w:vMerge w:val="restart"/>
            <w:vAlign w:val="center"/>
          </w:tcPr>
          <w:p w:rsidR="00573B87" w:rsidRDefault="00573B87" w:rsidP="00573B87">
            <w:pPr>
              <w:pStyle w:val="GesAbsatz"/>
              <w:jc w:val="center"/>
              <w:rPr>
                <w:rFonts w:cs="Arial"/>
              </w:rPr>
            </w:pPr>
            <w:r w:rsidRPr="00995906">
              <w:rPr>
                <w:rFonts w:cs="Arial"/>
              </w:rPr>
              <w:t>Typ des</w:t>
            </w:r>
            <w:r>
              <w:rPr>
                <w:rFonts w:cs="Arial"/>
              </w:rPr>
              <w:t xml:space="preserve"> </w:t>
            </w:r>
            <w:r w:rsidRPr="00995906">
              <w:rPr>
                <w:rFonts w:cs="Arial"/>
              </w:rPr>
              <w:t>Mi</w:t>
            </w:r>
            <w:r w:rsidRPr="00995906">
              <w:rPr>
                <w:rFonts w:cs="Arial"/>
              </w:rPr>
              <w:t>t</w:t>
            </w:r>
            <w:r w:rsidRPr="00995906">
              <w:rPr>
                <w:rFonts w:cs="Arial"/>
              </w:rPr>
              <w:t>telwerts</w:t>
            </w:r>
          </w:p>
        </w:tc>
        <w:tc>
          <w:tcPr>
            <w:tcW w:w="3911" w:type="dxa"/>
            <w:gridSpan w:val="2"/>
          </w:tcPr>
          <w:p w:rsidR="00573B87" w:rsidRDefault="00573B87" w:rsidP="00573B87">
            <w:pPr>
              <w:pStyle w:val="GesAbsatz"/>
              <w:jc w:val="center"/>
              <w:rPr>
                <w:rFonts w:cs="Arial"/>
              </w:rPr>
            </w:pPr>
            <w:r w:rsidRPr="00995906">
              <w:rPr>
                <w:rFonts w:cs="Arial"/>
              </w:rPr>
              <w:t>Grenzwerte ausgedrückt in</w:t>
            </w:r>
          </w:p>
        </w:tc>
        <w:tc>
          <w:tcPr>
            <w:tcW w:w="1956" w:type="dxa"/>
            <w:vMerge w:val="restart"/>
            <w:vAlign w:val="center"/>
          </w:tcPr>
          <w:p w:rsidR="00573B87" w:rsidRDefault="00573B87" w:rsidP="00573B87">
            <w:pPr>
              <w:pStyle w:val="GesAbsatz"/>
              <w:jc w:val="center"/>
              <w:rPr>
                <w:rFonts w:cs="Arial"/>
              </w:rPr>
            </w:pPr>
            <w:r w:rsidRPr="00995906">
              <w:rPr>
                <w:rFonts w:cs="Arial"/>
              </w:rPr>
              <w:t>Einzuhalten ab</w:t>
            </w:r>
          </w:p>
        </w:tc>
      </w:tr>
      <w:tr w:rsidR="00573B87" w:rsidTr="00D43B13">
        <w:tc>
          <w:tcPr>
            <w:tcW w:w="2376" w:type="dxa"/>
            <w:vMerge/>
          </w:tcPr>
          <w:p w:rsidR="00573B87" w:rsidRDefault="00573B87" w:rsidP="00995906">
            <w:pPr>
              <w:pStyle w:val="GesAbsatz"/>
              <w:rPr>
                <w:rFonts w:cs="Arial"/>
              </w:rPr>
            </w:pPr>
          </w:p>
        </w:tc>
        <w:tc>
          <w:tcPr>
            <w:tcW w:w="1534" w:type="dxa"/>
            <w:vMerge/>
          </w:tcPr>
          <w:p w:rsidR="00573B87" w:rsidRDefault="00573B87" w:rsidP="00995906">
            <w:pPr>
              <w:pStyle w:val="GesAbsatz"/>
              <w:rPr>
                <w:rFonts w:cs="Arial"/>
              </w:rPr>
            </w:pPr>
          </w:p>
        </w:tc>
        <w:tc>
          <w:tcPr>
            <w:tcW w:w="1955" w:type="dxa"/>
          </w:tcPr>
          <w:p w:rsidR="00573B87" w:rsidRDefault="00573B87" w:rsidP="00573B87">
            <w:pPr>
              <w:pStyle w:val="GesAbsatz"/>
              <w:jc w:val="center"/>
              <w:rPr>
                <w:rFonts w:cs="Arial"/>
              </w:rPr>
            </w:pPr>
            <w:r w:rsidRPr="00995906">
              <w:rPr>
                <w:rFonts w:cs="Arial"/>
              </w:rPr>
              <w:t>Fracht</w:t>
            </w:r>
          </w:p>
        </w:tc>
        <w:tc>
          <w:tcPr>
            <w:tcW w:w="1956" w:type="dxa"/>
          </w:tcPr>
          <w:p w:rsidR="00573B87" w:rsidRDefault="00573B87" w:rsidP="00573B87">
            <w:pPr>
              <w:pStyle w:val="GesAbsatz"/>
              <w:jc w:val="center"/>
              <w:rPr>
                <w:rFonts w:cs="Arial"/>
              </w:rPr>
            </w:pPr>
            <w:r w:rsidRPr="00995906">
              <w:rPr>
                <w:rFonts w:cs="Arial"/>
              </w:rPr>
              <w:t>Konzentration</w:t>
            </w:r>
          </w:p>
        </w:tc>
        <w:tc>
          <w:tcPr>
            <w:tcW w:w="1956" w:type="dxa"/>
            <w:vMerge/>
          </w:tcPr>
          <w:p w:rsidR="00573B87" w:rsidRDefault="00573B87" w:rsidP="00573B87">
            <w:pPr>
              <w:pStyle w:val="GesAbsatz"/>
              <w:jc w:val="left"/>
              <w:rPr>
                <w:rFonts w:cs="Arial"/>
              </w:rPr>
            </w:pPr>
          </w:p>
        </w:tc>
      </w:tr>
      <w:tr w:rsidR="00573B87" w:rsidTr="00D43B13">
        <w:tc>
          <w:tcPr>
            <w:tcW w:w="2376" w:type="dxa"/>
            <w:vMerge w:val="restart"/>
          </w:tcPr>
          <w:p w:rsidR="00573B87" w:rsidRDefault="00573B87" w:rsidP="00573B87">
            <w:pPr>
              <w:pStyle w:val="GesAbsatz"/>
              <w:ind w:left="284" w:hanging="284"/>
              <w:rPr>
                <w:rFonts w:cs="Arial"/>
              </w:rPr>
            </w:pPr>
            <w:r w:rsidRPr="00995906">
              <w:rPr>
                <w:rFonts w:cs="Arial"/>
              </w:rPr>
              <w:t>1.</w:t>
            </w:r>
            <w:r>
              <w:rPr>
                <w:rFonts w:cs="Arial"/>
              </w:rPr>
              <w:tab/>
            </w:r>
            <w:r w:rsidRPr="00995906">
              <w:rPr>
                <w:rFonts w:cs="Arial"/>
              </w:rPr>
              <w:t>Herstellung von Perchlorethylen</w:t>
            </w:r>
            <w:r>
              <w:rPr>
                <w:rFonts w:cs="Arial"/>
              </w:rPr>
              <w:t xml:space="preserve"> </w:t>
            </w:r>
            <w:r w:rsidRPr="00995906">
              <w:rPr>
                <w:rFonts w:cs="Arial"/>
              </w:rPr>
              <w:t>(PER) und</w:t>
            </w:r>
            <w:r>
              <w:rPr>
                <w:rFonts w:cs="Arial"/>
              </w:rPr>
              <w:t xml:space="preserve"> </w:t>
            </w:r>
            <w:r w:rsidRPr="00995906">
              <w:rPr>
                <w:rFonts w:cs="Arial"/>
              </w:rPr>
              <w:t>Tetrac</w:t>
            </w:r>
            <w:r w:rsidRPr="00995906">
              <w:rPr>
                <w:rFonts w:cs="Arial"/>
              </w:rPr>
              <w:t>h</w:t>
            </w:r>
            <w:r w:rsidRPr="00995906">
              <w:rPr>
                <w:rFonts w:cs="Arial"/>
              </w:rPr>
              <w:t>lorkohlenstoff</w:t>
            </w:r>
            <w:r>
              <w:rPr>
                <w:rFonts w:cs="Arial"/>
              </w:rPr>
              <w:t xml:space="preserve"> </w:t>
            </w:r>
            <w:r w:rsidRPr="00995906">
              <w:rPr>
                <w:rFonts w:cs="Arial"/>
              </w:rPr>
              <w:t>(CCl</w:t>
            </w:r>
            <w:r w:rsidRPr="00573B87">
              <w:rPr>
                <w:rFonts w:cs="Arial"/>
                <w:vertAlign w:val="subscript"/>
              </w:rPr>
              <w:t>4</w:t>
            </w:r>
            <w:r w:rsidRPr="00995906">
              <w:rPr>
                <w:rFonts w:cs="Arial"/>
              </w:rPr>
              <w:t>) durch Perchlorierung</w:t>
            </w:r>
          </w:p>
        </w:tc>
        <w:tc>
          <w:tcPr>
            <w:tcW w:w="1534" w:type="dxa"/>
            <w:vAlign w:val="center"/>
          </w:tcPr>
          <w:p w:rsidR="00573B87" w:rsidRDefault="00573B87" w:rsidP="00573B87">
            <w:pPr>
              <w:pStyle w:val="GesAbsatz"/>
              <w:jc w:val="center"/>
              <w:rPr>
                <w:rFonts w:cs="Arial"/>
              </w:rPr>
            </w:pPr>
            <w:r w:rsidRPr="00995906">
              <w:rPr>
                <w:rFonts w:cs="Arial"/>
              </w:rPr>
              <w:t>Monat</w:t>
            </w:r>
          </w:p>
        </w:tc>
        <w:tc>
          <w:tcPr>
            <w:tcW w:w="1955" w:type="dxa"/>
          </w:tcPr>
          <w:p w:rsidR="00573B87" w:rsidRPr="00995906" w:rsidRDefault="00573B87" w:rsidP="00573B87">
            <w:pPr>
              <w:pStyle w:val="GesAbsatz"/>
              <w:rPr>
                <w:rFonts w:cs="Arial"/>
              </w:rPr>
            </w:pPr>
            <w:r>
              <w:rPr>
                <w:rFonts w:cs="Arial"/>
              </w:rPr>
              <w:t>1</w:t>
            </w:r>
            <w:r w:rsidRPr="00995906">
              <w:rPr>
                <w:rFonts w:cs="Arial"/>
              </w:rPr>
              <w:t>,5 g HCBD je</w:t>
            </w:r>
            <w:r>
              <w:rPr>
                <w:rFonts w:cs="Arial"/>
              </w:rPr>
              <w:t xml:space="preserve"> </w:t>
            </w:r>
            <w:r w:rsidRPr="00995906">
              <w:rPr>
                <w:rFonts w:cs="Arial"/>
              </w:rPr>
              <w:t>Tonne Gesamtpr</w:t>
            </w:r>
            <w:r w:rsidRPr="00995906">
              <w:rPr>
                <w:rFonts w:cs="Arial"/>
              </w:rPr>
              <w:t>o</w:t>
            </w:r>
            <w:r w:rsidRPr="00995906">
              <w:rPr>
                <w:rFonts w:cs="Arial"/>
              </w:rPr>
              <w:t>duktionskapazität</w:t>
            </w:r>
            <w:r>
              <w:rPr>
                <w:rFonts w:cs="Arial"/>
              </w:rPr>
              <w:t xml:space="preserve"> </w:t>
            </w:r>
            <w:r w:rsidRPr="00995906">
              <w:rPr>
                <w:rFonts w:cs="Arial"/>
              </w:rPr>
              <w:t>PER +</w:t>
            </w:r>
            <w:r>
              <w:rPr>
                <w:rFonts w:cs="Arial"/>
              </w:rPr>
              <w:t xml:space="preserve"> </w:t>
            </w:r>
            <w:r w:rsidRPr="00995906">
              <w:rPr>
                <w:rFonts w:cs="Arial"/>
              </w:rPr>
              <w:t>CCl</w:t>
            </w:r>
            <w:r w:rsidRPr="00573B87">
              <w:rPr>
                <w:rFonts w:cs="Arial"/>
                <w:vertAlign w:val="subscript"/>
              </w:rPr>
              <w:t>4</w:t>
            </w:r>
          </w:p>
        </w:tc>
        <w:tc>
          <w:tcPr>
            <w:tcW w:w="1956" w:type="dxa"/>
            <w:vAlign w:val="center"/>
          </w:tcPr>
          <w:p w:rsidR="00573B87" w:rsidRPr="00995906" w:rsidRDefault="00573B87" w:rsidP="00573B87">
            <w:pPr>
              <w:pStyle w:val="GesAbsatz"/>
              <w:jc w:val="center"/>
              <w:rPr>
                <w:rFonts w:cs="Arial"/>
              </w:rPr>
            </w:pPr>
            <w:r w:rsidRPr="00995906">
              <w:rPr>
                <w:rFonts w:cs="Arial"/>
              </w:rPr>
              <w:t>1,5 mg/l HCBD</w:t>
            </w:r>
          </w:p>
        </w:tc>
        <w:tc>
          <w:tcPr>
            <w:tcW w:w="1956" w:type="dxa"/>
            <w:vMerge w:val="restart"/>
            <w:vAlign w:val="center"/>
          </w:tcPr>
          <w:p w:rsidR="00573B87" w:rsidRDefault="00573B87" w:rsidP="00573B87">
            <w:pPr>
              <w:pStyle w:val="GesAbsatz"/>
              <w:jc w:val="center"/>
              <w:rPr>
                <w:rFonts w:cs="Arial"/>
              </w:rPr>
            </w:pPr>
            <w:r w:rsidRPr="00995906">
              <w:rPr>
                <w:rFonts w:cs="Arial"/>
              </w:rPr>
              <w:t>1.1.1990</w:t>
            </w:r>
          </w:p>
        </w:tc>
      </w:tr>
      <w:tr w:rsidR="00573B87" w:rsidTr="00D43B13">
        <w:tc>
          <w:tcPr>
            <w:tcW w:w="2376" w:type="dxa"/>
            <w:vMerge/>
          </w:tcPr>
          <w:p w:rsidR="00573B87" w:rsidRPr="00995906" w:rsidRDefault="00573B87" w:rsidP="00573B87">
            <w:pPr>
              <w:pStyle w:val="GesAbsatz"/>
              <w:ind w:left="284" w:hanging="284"/>
              <w:rPr>
                <w:rFonts w:cs="Arial"/>
              </w:rPr>
            </w:pPr>
          </w:p>
        </w:tc>
        <w:tc>
          <w:tcPr>
            <w:tcW w:w="1534" w:type="dxa"/>
            <w:vAlign w:val="center"/>
          </w:tcPr>
          <w:p w:rsidR="00573B87" w:rsidRPr="00995906" w:rsidRDefault="00573B87" w:rsidP="00573B87">
            <w:pPr>
              <w:pStyle w:val="GesAbsatz"/>
              <w:jc w:val="center"/>
              <w:rPr>
                <w:rFonts w:cs="Arial"/>
              </w:rPr>
            </w:pPr>
            <w:r w:rsidRPr="00995906">
              <w:rPr>
                <w:rFonts w:cs="Arial"/>
              </w:rPr>
              <w:t>Tag</w:t>
            </w:r>
          </w:p>
        </w:tc>
        <w:tc>
          <w:tcPr>
            <w:tcW w:w="1955" w:type="dxa"/>
          </w:tcPr>
          <w:p w:rsidR="00573B87" w:rsidRDefault="00573B87" w:rsidP="00573B87">
            <w:pPr>
              <w:pStyle w:val="GesAbsatz"/>
              <w:rPr>
                <w:rFonts w:cs="Arial"/>
              </w:rPr>
            </w:pPr>
            <w:r w:rsidRPr="00995906">
              <w:rPr>
                <w:rFonts w:cs="Arial"/>
              </w:rPr>
              <w:t>3 g HCBD je</w:t>
            </w:r>
            <w:r>
              <w:rPr>
                <w:rFonts w:cs="Arial"/>
              </w:rPr>
              <w:t xml:space="preserve"> </w:t>
            </w:r>
            <w:r w:rsidRPr="00995906">
              <w:rPr>
                <w:rFonts w:cs="Arial"/>
              </w:rPr>
              <w:t>Tonne Gesamtprodukt</w:t>
            </w:r>
            <w:r w:rsidRPr="00995906">
              <w:rPr>
                <w:rFonts w:cs="Arial"/>
              </w:rPr>
              <w:t>i</w:t>
            </w:r>
            <w:r w:rsidRPr="00995906">
              <w:rPr>
                <w:rFonts w:cs="Arial"/>
              </w:rPr>
              <w:t>onskapazität</w:t>
            </w:r>
            <w:r>
              <w:rPr>
                <w:rFonts w:cs="Arial"/>
              </w:rPr>
              <w:t xml:space="preserve"> </w:t>
            </w:r>
            <w:r w:rsidRPr="00995906">
              <w:rPr>
                <w:rFonts w:cs="Arial"/>
              </w:rPr>
              <w:t>PER +</w:t>
            </w:r>
            <w:r>
              <w:rPr>
                <w:rFonts w:cs="Arial"/>
              </w:rPr>
              <w:t xml:space="preserve"> </w:t>
            </w:r>
            <w:r w:rsidRPr="00995906">
              <w:rPr>
                <w:rFonts w:cs="Arial"/>
              </w:rPr>
              <w:t>CCl</w:t>
            </w:r>
            <w:r w:rsidRPr="00573B87">
              <w:rPr>
                <w:rFonts w:cs="Arial"/>
                <w:vertAlign w:val="subscript"/>
              </w:rPr>
              <w:t>4</w:t>
            </w:r>
          </w:p>
        </w:tc>
        <w:tc>
          <w:tcPr>
            <w:tcW w:w="1956" w:type="dxa"/>
            <w:vAlign w:val="center"/>
          </w:tcPr>
          <w:p w:rsidR="00573B87" w:rsidRPr="00995906" w:rsidRDefault="00573B87" w:rsidP="00573B87">
            <w:pPr>
              <w:pStyle w:val="GesAbsatz"/>
              <w:jc w:val="center"/>
              <w:rPr>
                <w:rFonts w:cs="Arial"/>
              </w:rPr>
            </w:pPr>
            <w:r w:rsidRPr="00995906">
              <w:rPr>
                <w:rFonts w:cs="Arial"/>
              </w:rPr>
              <w:t>3 mg/l HCBD</w:t>
            </w:r>
          </w:p>
        </w:tc>
        <w:tc>
          <w:tcPr>
            <w:tcW w:w="1956" w:type="dxa"/>
            <w:vMerge/>
          </w:tcPr>
          <w:p w:rsidR="00573B87" w:rsidRPr="00995906" w:rsidRDefault="00573B87" w:rsidP="00573B87">
            <w:pPr>
              <w:pStyle w:val="GesAbsatz"/>
              <w:rPr>
                <w:rFonts w:cs="Arial"/>
              </w:rPr>
            </w:pPr>
          </w:p>
        </w:tc>
      </w:tr>
      <w:tr w:rsidR="00465F40" w:rsidTr="00D43B13">
        <w:tc>
          <w:tcPr>
            <w:tcW w:w="2376" w:type="dxa"/>
            <w:vMerge w:val="restart"/>
          </w:tcPr>
          <w:p w:rsidR="00465F40" w:rsidRPr="00995906" w:rsidRDefault="00465F40" w:rsidP="00573B87">
            <w:pPr>
              <w:pStyle w:val="GesAbsatz"/>
              <w:ind w:left="284" w:hanging="284"/>
              <w:rPr>
                <w:rFonts w:cs="Arial"/>
              </w:rPr>
            </w:pPr>
            <w:r w:rsidRPr="00995906">
              <w:rPr>
                <w:rFonts w:cs="Arial"/>
              </w:rPr>
              <w:t>2.</w:t>
            </w:r>
            <w:r>
              <w:rPr>
                <w:rFonts w:cs="Arial"/>
              </w:rPr>
              <w:tab/>
            </w:r>
            <w:r w:rsidRPr="00995906">
              <w:rPr>
                <w:rFonts w:cs="Arial"/>
              </w:rPr>
              <w:t>Herstellung von Trichlorethylen</w:t>
            </w:r>
            <w:r>
              <w:rPr>
                <w:rFonts w:cs="Arial"/>
              </w:rPr>
              <w:t xml:space="preserve"> </w:t>
            </w:r>
            <w:r w:rsidRPr="00995906">
              <w:rPr>
                <w:rFonts w:cs="Arial"/>
              </w:rPr>
              <w:t>und/oder</w:t>
            </w:r>
            <w:r>
              <w:rPr>
                <w:rFonts w:cs="Arial"/>
              </w:rPr>
              <w:t xml:space="preserve"> </w:t>
            </w:r>
            <w:r w:rsidRPr="00995906">
              <w:rPr>
                <w:rFonts w:cs="Arial"/>
              </w:rPr>
              <w:t>Per</w:t>
            </w:r>
            <w:r>
              <w:rPr>
                <w:rFonts w:cs="Arial"/>
              </w:rPr>
              <w:softHyphen/>
            </w:r>
            <w:r w:rsidRPr="00995906">
              <w:rPr>
                <w:rFonts w:cs="Arial"/>
              </w:rPr>
              <w:lastRenderedPageBreak/>
              <w:t>chlorehtylen durch</w:t>
            </w:r>
            <w:r>
              <w:rPr>
                <w:rFonts w:cs="Arial"/>
              </w:rPr>
              <w:t xml:space="preserve"> </w:t>
            </w:r>
            <w:r w:rsidRPr="00995906">
              <w:rPr>
                <w:rFonts w:cs="Arial"/>
              </w:rPr>
              <w:t>andere Verfahren</w:t>
            </w:r>
            <w:r w:rsidR="00D43B13">
              <w:rPr>
                <w:rStyle w:val="Funotenzeichen"/>
                <w:rFonts w:cs="Arial"/>
              </w:rPr>
              <w:footnoteReference w:id="41"/>
            </w:r>
          </w:p>
        </w:tc>
        <w:tc>
          <w:tcPr>
            <w:tcW w:w="1534" w:type="dxa"/>
            <w:vAlign w:val="center"/>
          </w:tcPr>
          <w:p w:rsidR="00465F40" w:rsidRPr="00995906" w:rsidRDefault="00465F40" w:rsidP="00573B87">
            <w:pPr>
              <w:pStyle w:val="GesAbsatz"/>
              <w:jc w:val="center"/>
              <w:rPr>
                <w:rFonts w:cs="Arial"/>
              </w:rPr>
            </w:pPr>
            <w:r w:rsidRPr="00995906">
              <w:rPr>
                <w:rFonts w:cs="Arial"/>
              </w:rPr>
              <w:lastRenderedPageBreak/>
              <w:t>Monat</w:t>
            </w:r>
          </w:p>
        </w:tc>
        <w:tc>
          <w:tcPr>
            <w:tcW w:w="1955" w:type="dxa"/>
            <w:vAlign w:val="center"/>
          </w:tcPr>
          <w:p w:rsidR="00465F40" w:rsidRPr="00995906" w:rsidRDefault="00465F40" w:rsidP="00465F40">
            <w:pPr>
              <w:pStyle w:val="GesAbsatz"/>
              <w:tabs>
                <w:tab w:val="clear" w:pos="425"/>
                <w:tab w:val="center" w:pos="869"/>
              </w:tabs>
              <w:jc w:val="center"/>
              <w:rPr>
                <w:rFonts w:cs="Arial"/>
              </w:rPr>
            </w:pPr>
            <w:r w:rsidRPr="00995906">
              <w:rPr>
                <w:rFonts w:cs="Arial"/>
              </w:rPr>
              <w:t>-</w:t>
            </w:r>
          </w:p>
        </w:tc>
        <w:tc>
          <w:tcPr>
            <w:tcW w:w="1956" w:type="dxa"/>
            <w:vAlign w:val="center"/>
          </w:tcPr>
          <w:p w:rsidR="00465F40" w:rsidRPr="00995906" w:rsidRDefault="00465F40" w:rsidP="00465F40">
            <w:pPr>
              <w:pStyle w:val="GesAbsatz"/>
              <w:jc w:val="center"/>
              <w:rPr>
                <w:rFonts w:cs="Arial"/>
              </w:rPr>
            </w:pPr>
            <w:r w:rsidRPr="00995906">
              <w:rPr>
                <w:rFonts w:cs="Arial"/>
              </w:rPr>
              <w:t>-</w:t>
            </w:r>
          </w:p>
        </w:tc>
        <w:tc>
          <w:tcPr>
            <w:tcW w:w="1956" w:type="dxa"/>
            <w:vAlign w:val="center"/>
          </w:tcPr>
          <w:p w:rsidR="00465F40" w:rsidRPr="00995906" w:rsidRDefault="00465F40" w:rsidP="00465F40">
            <w:pPr>
              <w:pStyle w:val="GesAbsatz"/>
              <w:jc w:val="center"/>
              <w:rPr>
                <w:rFonts w:cs="Arial"/>
              </w:rPr>
            </w:pPr>
            <w:r w:rsidRPr="00995906">
              <w:rPr>
                <w:rFonts w:cs="Arial"/>
              </w:rPr>
              <w:t>-</w:t>
            </w:r>
          </w:p>
        </w:tc>
      </w:tr>
      <w:tr w:rsidR="00465F40" w:rsidTr="00D43B13">
        <w:tc>
          <w:tcPr>
            <w:tcW w:w="2376" w:type="dxa"/>
            <w:vMerge/>
          </w:tcPr>
          <w:p w:rsidR="00465F40" w:rsidRPr="00995906" w:rsidRDefault="00465F40" w:rsidP="00573B87">
            <w:pPr>
              <w:pStyle w:val="GesAbsatz"/>
              <w:rPr>
                <w:rFonts w:cs="Arial"/>
              </w:rPr>
            </w:pPr>
          </w:p>
        </w:tc>
        <w:tc>
          <w:tcPr>
            <w:tcW w:w="1534" w:type="dxa"/>
            <w:vAlign w:val="center"/>
          </w:tcPr>
          <w:p w:rsidR="00465F40" w:rsidRPr="00995906" w:rsidRDefault="00465F40" w:rsidP="00573B87">
            <w:pPr>
              <w:pStyle w:val="GesAbsatz"/>
              <w:jc w:val="center"/>
              <w:rPr>
                <w:rFonts w:cs="Arial"/>
              </w:rPr>
            </w:pPr>
            <w:r w:rsidRPr="00995906">
              <w:rPr>
                <w:rFonts w:cs="Arial"/>
              </w:rPr>
              <w:t>Tag</w:t>
            </w:r>
          </w:p>
        </w:tc>
        <w:tc>
          <w:tcPr>
            <w:tcW w:w="1955" w:type="dxa"/>
            <w:vAlign w:val="center"/>
          </w:tcPr>
          <w:p w:rsidR="00465F40" w:rsidRPr="00995906" w:rsidRDefault="00465F40" w:rsidP="00465F40">
            <w:pPr>
              <w:pStyle w:val="GesAbsatz"/>
              <w:jc w:val="center"/>
              <w:rPr>
                <w:rFonts w:cs="Arial"/>
              </w:rPr>
            </w:pPr>
            <w:r w:rsidRPr="00995906">
              <w:rPr>
                <w:rFonts w:cs="Arial"/>
              </w:rPr>
              <w:t>-</w:t>
            </w:r>
          </w:p>
        </w:tc>
        <w:tc>
          <w:tcPr>
            <w:tcW w:w="1956" w:type="dxa"/>
            <w:vAlign w:val="center"/>
          </w:tcPr>
          <w:p w:rsidR="00465F40" w:rsidRPr="00995906" w:rsidRDefault="00465F40" w:rsidP="00465F40">
            <w:pPr>
              <w:pStyle w:val="GesAbsatz"/>
              <w:jc w:val="center"/>
              <w:rPr>
                <w:rFonts w:cs="Arial"/>
              </w:rPr>
            </w:pPr>
            <w:r w:rsidRPr="00995906">
              <w:rPr>
                <w:rFonts w:cs="Arial"/>
              </w:rPr>
              <w:t>-</w:t>
            </w:r>
          </w:p>
        </w:tc>
        <w:tc>
          <w:tcPr>
            <w:tcW w:w="1956" w:type="dxa"/>
            <w:vAlign w:val="center"/>
          </w:tcPr>
          <w:p w:rsidR="00465F40" w:rsidRPr="00995906" w:rsidRDefault="00465F40" w:rsidP="00465F40">
            <w:pPr>
              <w:pStyle w:val="GesAbsatz"/>
              <w:jc w:val="center"/>
              <w:rPr>
                <w:rFonts w:cs="Arial"/>
              </w:rPr>
            </w:pPr>
            <w:r w:rsidRPr="00995906">
              <w:rPr>
                <w:rFonts w:cs="Arial"/>
              </w:rPr>
              <w:t>-</w:t>
            </w:r>
          </w:p>
        </w:tc>
      </w:tr>
    </w:tbl>
    <w:p w:rsidR="00573B87" w:rsidRDefault="00573B87" w:rsidP="00995906">
      <w:pPr>
        <w:pStyle w:val="GesAbsatz"/>
        <w:rPr>
          <w:rFonts w:cs="Arial"/>
        </w:rPr>
      </w:pPr>
    </w:p>
    <w:p w:rsidR="0049151F" w:rsidRPr="00995906" w:rsidRDefault="0049151F" w:rsidP="00995906">
      <w:pPr>
        <w:pStyle w:val="GesAbsatz"/>
        <w:rPr>
          <w:rFonts w:cs="Arial"/>
        </w:rPr>
      </w:pPr>
      <w:r w:rsidRPr="00840261">
        <w:rPr>
          <w:rFonts w:cs="Arial"/>
          <w:b/>
        </w:rPr>
        <w:t>Teil C (84):</w:t>
      </w:r>
      <w:r w:rsidRPr="00995906">
        <w:rPr>
          <w:rFonts w:cs="Arial"/>
        </w:rPr>
        <w:t xml:space="preserve"> </w:t>
      </w:r>
      <w:proofErr w:type="spellStart"/>
      <w:r w:rsidRPr="00995906">
        <w:rPr>
          <w:rFonts w:cs="Arial"/>
        </w:rPr>
        <w:t>Referenzme</w:t>
      </w:r>
      <w:r w:rsidR="00840261">
        <w:rPr>
          <w:rFonts w:cs="Arial"/>
        </w:rPr>
        <w:t>ß</w:t>
      </w:r>
      <w:r w:rsidRPr="00995906">
        <w:rPr>
          <w:rFonts w:cs="Arial"/>
        </w:rPr>
        <w:t>ve</w:t>
      </w:r>
      <w:r w:rsidR="00840261">
        <w:rPr>
          <w:rFonts w:cs="Arial"/>
        </w:rPr>
        <w:t>r</w:t>
      </w:r>
      <w:r w:rsidRPr="00995906">
        <w:rPr>
          <w:rFonts w:cs="Arial"/>
        </w:rPr>
        <w:t>fahren</w:t>
      </w:r>
      <w:proofErr w:type="spellEnd"/>
    </w:p>
    <w:p w:rsidR="0049151F" w:rsidRPr="00995906" w:rsidRDefault="00840261" w:rsidP="00840261">
      <w:pPr>
        <w:pStyle w:val="GesAbsatz"/>
        <w:ind w:left="426" w:hanging="426"/>
        <w:rPr>
          <w:rFonts w:cs="Arial"/>
        </w:rPr>
      </w:pPr>
      <w:r>
        <w:rPr>
          <w:rFonts w:cs="Arial"/>
        </w:rPr>
        <w:t>1.</w:t>
      </w:r>
      <w:r>
        <w:rPr>
          <w:rFonts w:cs="Arial"/>
        </w:rPr>
        <w:tab/>
      </w:r>
      <w:r w:rsidR="0049151F" w:rsidRPr="00995906">
        <w:rPr>
          <w:rFonts w:cs="Arial"/>
        </w:rPr>
        <w:t>Referenzme</w:t>
      </w:r>
      <w:r>
        <w:rPr>
          <w:rFonts w:cs="Arial"/>
        </w:rPr>
        <w:t>ß</w:t>
      </w:r>
      <w:r w:rsidR="0049151F" w:rsidRPr="00995906">
        <w:rPr>
          <w:rFonts w:cs="Arial"/>
        </w:rPr>
        <w:t>verfahren zur Bestimmung von HCBD in den Abwässern und Gewässern ist die</w:t>
      </w:r>
      <w:r>
        <w:rPr>
          <w:rFonts w:cs="Arial"/>
        </w:rPr>
        <w:t xml:space="preserve"> </w:t>
      </w:r>
      <w:r w:rsidR="0049151F" w:rsidRPr="00995906">
        <w:rPr>
          <w:rFonts w:cs="Arial"/>
        </w:rPr>
        <w:t>Ga</w:t>
      </w:r>
      <w:r w:rsidR="0049151F" w:rsidRPr="00995906">
        <w:rPr>
          <w:rFonts w:cs="Arial"/>
        </w:rPr>
        <w:t>s</w:t>
      </w:r>
      <w:r w:rsidR="0049151F" w:rsidRPr="00995906">
        <w:rPr>
          <w:rFonts w:cs="Arial"/>
        </w:rPr>
        <w:t>chromatographie mit Elektroneneinfangdetektor nach Extraktion mit einem geeigneten Lösemittel.</w:t>
      </w:r>
      <w:r>
        <w:rPr>
          <w:rFonts w:cs="Arial"/>
        </w:rPr>
        <w:t xml:space="preserve"> </w:t>
      </w:r>
      <w:r w:rsidR="0049151F" w:rsidRPr="00995906">
        <w:rPr>
          <w:rFonts w:cs="Arial"/>
        </w:rPr>
        <w:t>Die Bestimmungsgrenze</w:t>
      </w:r>
      <w:bookmarkStart w:id="22" w:name="_Ref151784695"/>
      <w:r w:rsidR="004E051B">
        <w:rPr>
          <w:rStyle w:val="Funotenzeichen"/>
          <w:rFonts w:cs="Arial"/>
        </w:rPr>
        <w:footnoteReference w:id="42"/>
      </w:r>
      <w:bookmarkEnd w:id="22"/>
      <w:r w:rsidR="0049151F" w:rsidRPr="00995906">
        <w:rPr>
          <w:rFonts w:cs="Arial"/>
        </w:rPr>
        <w:t xml:space="preserve"> für HCBD liegt je nach Anzahl der störenden Begleitstoffe in der Probe im</w:t>
      </w:r>
      <w:r>
        <w:rPr>
          <w:rFonts w:cs="Arial"/>
        </w:rPr>
        <w:t xml:space="preserve"> </w:t>
      </w:r>
      <w:r w:rsidR="0049151F" w:rsidRPr="00995906">
        <w:rPr>
          <w:rFonts w:cs="Arial"/>
        </w:rPr>
        <w:t>B</w:t>
      </w:r>
      <w:r w:rsidR="0049151F" w:rsidRPr="00995906">
        <w:rPr>
          <w:rFonts w:cs="Arial"/>
        </w:rPr>
        <w:t>e</w:t>
      </w:r>
      <w:r w:rsidR="0049151F" w:rsidRPr="00995906">
        <w:rPr>
          <w:rFonts w:cs="Arial"/>
        </w:rPr>
        <w:t>reich 1-10 ng/l für Gewässer und im Bereich 0,5-1 µg/l für Abwässer.</w:t>
      </w:r>
    </w:p>
    <w:p w:rsidR="0049151F" w:rsidRPr="00995906" w:rsidRDefault="0049151F" w:rsidP="00840261">
      <w:pPr>
        <w:pStyle w:val="GesAbsatz"/>
        <w:ind w:left="426" w:hanging="426"/>
        <w:rPr>
          <w:rFonts w:cs="Arial"/>
        </w:rPr>
      </w:pPr>
      <w:r w:rsidRPr="00995906">
        <w:rPr>
          <w:rFonts w:cs="Arial"/>
        </w:rPr>
        <w:t>2.</w:t>
      </w:r>
      <w:r w:rsidR="00840261">
        <w:rPr>
          <w:rFonts w:cs="Arial"/>
        </w:rPr>
        <w:tab/>
      </w:r>
      <w:r w:rsidRPr="00995906">
        <w:rPr>
          <w:rFonts w:cs="Arial"/>
        </w:rPr>
        <w:t>Referenzverfahren zur Bestimmung von HCBD in Sedimenten und Organismen ist die Gaschromat</w:t>
      </w:r>
      <w:r w:rsidRPr="00995906">
        <w:rPr>
          <w:rFonts w:cs="Arial"/>
        </w:rPr>
        <w:t>o</w:t>
      </w:r>
      <w:r w:rsidRPr="00995906">
        <w:rPr>
          <w:rFonts w:cs="Arial"/>
        </w:rPr>
        <w:t>graphie</w:t>
      </w:r>
      <w:r w:rsidR="00840261">
        <w:rPr>
          <w:rFonts w:cs="Arial"/>
        </w:rPr>
        <w:t xml:space="preserve"> </w:t>
      </w:r>
      <w:r w:rsidRPr="00995906">
        <w:rPr>
          <w:rFonts w:cs="Arial"/>
        </w:rPr>
        <w:t>mit Elektroneneinfangdetektor nach geeigneter Probenvorbereitung. Die Bestimmungsgrenze</w:t>
      </w:r>
      <w:r w:rsidR="004E051B" w:rsidRPr="004E051B">
        <w:rPr>
          <w:rFonts w:cs="Arial"/>
          <w:vertAlign w:val="superscript"/>
        </w:rPr>
        <w:fldChar w:fldCharType="begin"/>
      </w:r>
      <w:r w:rsidR="004E051B" w:rsidRPr="004E051B">
        <w:rPr>
          <w:rFonts w:cs="Arial"/>
          <w:vertAlign w:val="superscript"/>
        </w:rPr>
        <w:instrText xml:space="preserve"> NOTEREF _Ref151784695 \h </w:instrText>
      </w:r>
      <w:r w:rsidR="004E051B">
        <w:rPr>
          <w:rFonts w:cs="Arial"/>
          <w:vertAlign w:val="superscript"/>
        </w:rPr>
        <w:instrText xml:space="preserve"> \* MERGEFORMAT </w:instrText>
      </w:r>
      <w:r w:rsidR="004E051B" w:rsidRPr="004E051B">
        <w:rPr>
          <w:rFonts w:cs="Arial"/>
          <w:vertAlign w:val="superscript"/>
        </w:rPr>
      </w:r>
      <w:r w:rsidR="004E051B" w:rsidRPr="004E051B">
        <w:rPr>
          <w:rFonts w:cs="Arial"/>
          <w:vertAlign w:val="superscript"/>
        </w:rPr>
        <w:fldChar w:fldCharType="separate"/>
      </w:r>
      <w:r w:rsidR="00421590">
        <w:rPr>
          <w:rFonts w:cs="Arial"/>
          <w:vertAlign w:val="superscript"/>
        </w:rPr>
        <w:t>44</w:t>
      </w:r>
      <w:r w:rsidR="004E051B" w:rsidRPr="004E051B">
        <w:rPr>
          <w:rFonts w:cs="Arial"/>
          <w:vertAlign w:val="superscript"/>
        </w:rPr>
        <w:fldChar w:fldCharType="end"/>
      </w:r>
      <w:r w:rsidR="00840261">
        <w:rPr>
          <w:rFonts w:cs="Arial"/>
          <w:vertAlign w:val="superscript"/>
        </w:rPr>
        <w:t xml:space="preserve"> </w:t>
      </w:r>
      <w:r w:rsidRPr="00995906">
        <w:rPr>
          <w:rFonts w:cs="Arial"/>
        </w:rPr>
        <w:t>liegt im Bereich 1 - 10 µg/kg Trockenmasse.</w:t>
      </w:r>
    </w:p>
    <w:p w:rsidR="0049151F" w:rsidRPr="00995906" w:rsidRDefault="0049151F" w:rsidP="00C914EA">
      <w:pPr>
        <w:pStyle w:val="GesAbsatz"/>
        <w:ind w:left="426" w:hanging="426"/>
        <w:rPr>
          <w:rFonts w:cs="Arial"/>
        </w:rPr>
      </w:pPr>
      <w:r w:rsidRPr="00995906">
        <w:rPr>
          <w:rFonts w:cs="Arial"/>
        </w:rPr>
        <w:t>3.</w:t>
      </w:r>
      <w:r w:rsidR="00C914EA">
        <w:rPr>
          <w:rFonts w:cs="Arial"/>
        </w:rPr>
        <w:tab/>
      </w:r>
      <w:r w:rsidRPr="00995906">
        <w:rPr>
          <w:rFonts w:cs="Arial"/>
        </w:rPr>
        <w:t>Die Richtigkeit und Genauigkeit der Methode müssen ± 50 % bei einer Konzentration betragen, die</w:t>
      </w:r>
      <w:r w:rsidR="00C914EA">
        <w:rPr>
          <w:rFonts w:cs="Arial"/>
        </w:rPr>
        <w:t xml:space="preserve"> </w:t>
      </w:r>
      <w:r w:rsidRPr="00995906">
        <w:rPr>
          <w:rFonts w:cs="Arial"/>
        </w:rPr>
        <w:t>dem doppelten Wert der Bestimmungsgrenze 42 entspricht.</w:t>
      </w:r>
    </w:p>
    <w:p w:rsidR="0049151F" w:rsidRPr="00C914EA" w:rsidRDefault="0049151F" w:rsidP="008404F8">
      <w:pPr>
        <w:pStyle w:val="berschrift3"/>
      </w:pPr>
      <w:bookmarkStart w:id="23" w:name="_Toc420510841"/>
      <w:r w:rsidRPr="00C914EA">
        <w:t>VII. Sonderbestimmungen für Chloroform (CHCl</w:t>
      </w:r>
      <w:r w:rsidRPr="00C914EA">
        <w:rPr>
          <w:vertAlign w:val="subscript"/>
        </w:rPr>
        <w:t>3</w:t>
      </w:r>
      <w:r w:rsidRPr="00C914EA">
        <w:t>) (Nr. 23)</w:t>
      </w:r>
      <w:r w:rsidR="004E051B">
        <w:rPr>
          <w:rStyle w:val="Funotenzeichen"/>
        </w:rPr>
        <w:footnoteReference w:id="43"/>
      </w:r>
      <w:bookmarkEnd w:id="23"/>
    </w:p>
    <w:p w:rsidR="0049151F" w:rsidRPr="00995906" w:rsidRDefault="0049151F" w:rsidP="00C914EA">
      <w:pPr>
        <w:pStyle w:val="GesAbsatz"/>
        <w:jc w:val="center"/>
        <w:rPr>
          <w:rFonts w:cs="Arial"/>
        </w:rPr>
      </w:pPr>
      <w:r w:rsidRPr="00995906">
        <w:rPr>
          <w:rFonts w:cs="Arial"/>
        </w:rPr>
        <w:t>CAS-67-66-3</w:t>
      </w:r>
    </w:p>
    <w:p w:rsidR="0049151F" w:rsidRPr="00995906" w:rsidRDefault="0049151F" w:rsidP="00995906">
      <w:pPr>
        <w:pStyle w:val="GesAbsatz"/>
        <w:rPr>
          <w:rFonts w:cs="Arial"/>
        </w:rPr>
      </w:pPr>
      <w:r w:rsidRPr="00C914EA">
        <w:rPr>
          <w:rFonts w:cs="Arial"/>
          <w:b/>
        </w:rPr>
        <w:t>Teil A (23):</w:t>
      </w:r>
      <w:r w:rsidRPr="00995906">
        <w:rPr>
          <w:rFonts w:cs="Arial"/>
        </w:rPr>
        <w:t xml:space="preserve"> Grenzwerte der Emissionsnormen</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794"/>
        <w:gridCol w:w="2787"/>
        <w:gridCol w:w="1752"/>
        <w:gridCol w:w="1414"/>
      </w:tblGrid>
      <w:tr w:rsidR="008A2010" w:rsidTr="001130FD">
        <w:tc>
          <w:tcPr>
            <w:tcW w:w="3794" w:type="dxa"/>
            <w:vMerge w:val="restart"/>
            <w:vAlign w:val="center"/>
          </w:tcPr>
          <w:p w:rsidR="008A2010" w:rsidRDefault="008A2010" w:rsidP="00C92312">
            <w:pPr>
              <w:pStyle w:val="GesAbsatz"/>
              <w:jc w:val="center"/>
              <w:rPr>
                <w:rFonts w:cs="Arial"/>
              </w:rPr>
            </w:pPr>
            <w:r w:rsidRPr="00995906">
              <w:rPr>
                <w:rFonts w:cs="Arial"/>
              </w:rPr>
              <w:t>Typ des Industriebetriebs</w:t>
            </w:r>
            <w:r w:rsidR="0009261A">
              <w:rPr>
                <w:rStyle w:val="Funotenzeichen"/>
                <w:rFonts w:cs="Arial"/>
              </w:rPr>
              <w:footnoteReference w:id="44"/>
            </w:r>
            <w:r w:rsidR="0009261A">
              <w:rPr>
                <w:rFonts w:cs="Arial"/>
              </w:rPr>
              <w:t xml:space="preserve"> </w:t>
            </w:r>
            <w:r w:rsidR="0009261A">
              <w:rPr>
                <w:rStyle w:val="Funotenzeichen"/>
                <w:rFonts w:cs="Arial"/>
              </w:rPr>
              <w:footnoteReference w:id="45"/>
            </w:r>
            <w:r>
              <w:rPr>
                <w:rFonts w:cs="Arial"/>
              </w:rPr>
              <w:t xml:space="preserve"> </w:t>
            </w:r>
          </w:p>
        </w:tc>
        <w:tc>
          <w:tcPr>
            <w:tcW w:w="4539" w:type="dxa"/>
            <w:gridSpan w:val="2"/>
          </w:tcPr>
          <w:p w:rsidR="008A2010" w:rsidRDefault="008A2010" w:rsidP="00C92312">
            <w:pPr>
              <w:pStyle w:val="GesAbsatz"/>
              <w:jc w:val="center"/>
              <w:rPr>
                <w:rFonts w:cs="Arial"/>
              </w:rPr>
            </w:pPr>
            <w:r w:rsidRPr="00995906">
              <w:rPr>
                <w:rFonts w:cs="Arial"/>
              </w:rPr>
              <w:t>Grenzwerte</w:t>
            </w:r>
            <w:r>
              <w:rPr>
                <w:rFonts w:cs="Arial"/>
              </w:rPr>
              <w:t>(monatliche Mittelwerte)</w:t>
            </w:r>
            <w:r w:rsidRPr="00995906">
              <w:rPr>
                <w:rFonts w:cs="Arial"/>
              </w:rPr>
              <w:t xml:space="preserve"> ausgedrückt in</w:t>
            </w:r>
            <w:r w:rsidR="0009261A">
              <w:rPr>
                <w:rStyle w:val="Funotenzeichen"/>
                <w:rFonts w:cs="Arial"/>
              </w:rPr>
              <w:footnoteReference w:id="46"/>
            </w:r>
            <w:r>
              <w:rPr>
                <w:rFonts w:cs="Arial"/>
              </w:rPr>
              <w:t xml:space="preserve"> </w:t>
            </w:r>
            <w:r w:rsidR="0009261A">
              <w:rPr>
                <w:rStyle w:val="Funotenzeichen"/>
                <w:rFonts w:cs="Arial"/>
              </w:rPr>
              <w:footnoteReference w:id="47"/>
            </w:r>
          </w:p>
        </w:tc>
        <w:tc>
          <w:tcPr>
            <w:tcW w:w="1414" w:type="dxa"/>
            <w:vMerge w:val="restart"/>
            <w:vAlign w:val="center"/>
          </w:tcPr>
          <w:p w:rsidR="008A2010" w:rsidRDefault="008A2010" w:rsidP="00C92312">
            <w:pPr>
              <w:pStyle w:val="GesAbsatz"/>
              <w:jc w:val="center"/>
              <w:rPr>
                <w:rFonts w:cs="Arial"/>
              </w:rPr>
            </w:pPr>
            <w:r w:rsidRPr="00995906">
              <w:rPr>
                <w:rFonts w:cs="Arial"/>
              </w:rPr>
              <w:t>Einzuhalten ab</w:t>
            </w:r>
          </w:p>
        </w:tc>
      </w:tr>
      <w:tr w:rsidR="008A2010" w:rsidTr="001130FD">
        <w:tc>
          <w:tcPr>
            <w:tcW w:w="3794" w:type="dxa"/>
            <w:vMerge/>
            <w:vAlign w:val="center"/>
          </w:tcPr>
          <w:p w:rsidR="008A2010" w:rsidRPr="00995906" w:rsidRDefault="008A2010" w:rsidP="00C92312">
            <w:pPr>
              <w:pStyle w:val="GesAbsatz"/>
              <w:jc w:val="center"/>
              <w:rPr>
                <w:rFonts w:cs="Arial"/>
              </w:rPr>
            </w:pPr>
          </w:p>
        </w:tc>
        <w:tc>
          <w:tcPr>
            <w:tcW w:w="2787" w:type="dxa"/>
          </w:tcPr>
          <w:p w:rsidR="008A2010" w:rsidRPr="00995906" w:rsidRDefault="008A2010" w:rsidP="00C92312">
            <w:pPr>
              <w:pStyle w:val="GesAbsatz"/>
              <w:jc w:val="center"/>
              <w:rPr>
                <w:rFonts w:cs="Arial"/>
              </w:rPr>
            </w:pPr>
            <w:r>
              <w:rPr>
                <w:rFonts w:cs="Arial"/>
              </w:rPr>
              <w:t>Fracht</w:t>
            </w:r>
          </w:p>
        </w:tc>
        <w:tc>
          <w:tcPr>
            <w:tcW w:w="1752" w:type="dxa"/>
          </w:tcPr>
          <w:p w:rsidR="008A2010" w:rsidRPr="00995906" w:rsidRDefault="008A2010" w:rsidP="00C92312">
            <w:pPr>
              <w:pStyle w:val="GesAbsatz"/>
              <w:jc w:val="center"/>
              <w:rPr>
                <w:rFonts w:cs="Arial"/>
              </w:rPr>
            </w:pPr>
            <w:r>
              <w:rPr>
                <w:rFonts w:cs="Arial"/>
              </w:rPr>
              <w:t>Konzentration</w:t>
            </w:r>
          </w:p>
        </w:tc>
        <w:tc>
          <w:tcPr>
            <w:tcW w:w="1414" w:type="dxa"/>
            <w:vMerge/>
            <w:vAlign w:val="center"/>
          </w:tcPr>
          <w:p w:rsidR="008A2010" w:rsidRPr="00995906" w:rsidRDefault="008A2010" w:rsidP="00C92312">
            <w:pPr>
              <w:pStyle w:val="GesAbsatz"/>
              <w:jc w:val="center"/>
              <w:rPr>
                <w:rFonts w:cs="Arial"/>
              </w:rPr>
            </w:pPr>
          </w:p>
        </w:tc>
      </w:tr>
      <w:tr w:rsidR="008A2010" w:rsidTr="001130FD">
        <w:tc>
          <w:tcPr>
            <w:tcW w:w="3794" w:type="dxa"/>
            <w:vAlign w:val="center"/>
          </w:tcPr>
          <w:p w:rsidR="008A2010" w:rsidRPr="00995906" w:rsidRDefault="008A2010" w:rsidP="008A2010">
            <w:pPr>
              <w:pStyle w:val="GesAbsatz"/>
              <w:ind w:left="284" w:hanging="284"/>
              <w:jc w:val="left"/>
              <w:rPr>
                <w:rFonts w:cs="Arial"/>
              </w:rPr>
            </w:pPr>
            <w:r w:rsidRPr="00995906">
              <w:rPr>
                <w:rFonts w:cs="Arial"/>
              </w:rPr>
              <w:t>1.</w:t>
            </w:r>
            <w:r>
              <w:rPr>
                <w:rFonts w:cs="Arial"/>
              </w:rPr>
              <w:tab/>
            </w:r>
            <w:r w:rsidRPr="00995906">
              <w:rPr>
                <w:rFonts w:cs="Arial"/>
              </w:rPr>
              <w:t>Herstellung von Chlormethanen</w:t>
            </w:r>
            <w:r>
              <w:rPr>
                <w:rFonts w:cs="Arial"/>
              </w:rPr>
              <w:t xml:space="preserve"> </w:t>
            </w:r>
            <w:r w:rsidRPr="00995906">
              <w:rPr>
                <w:rFonts w:cs="Arial"/>
              </w:rPr>
              <w:t>aus Methanol</w:t>
            </w:r>
            <w:r>
              <w:rPr>
                <w:rFonts w:cs="Arial"/>
              </w:rPr>
              <w:t xml:space="preserve"> </w:t>
            </w:r>
            <w:r w:rsidRPr="00995906">
              <w:rPr>
                <w:rFonts w:cs="Arial"/>
              </w:rPr>
              <w:t>oder nach einem Verfa</w:t>
            </w:r>
            <w:r w:rsidRPr="00995906">
              <w:rPr>
                <w:rFonts w:cs="Arial"/>
              </w:rPr>
              <w:t>h</w:t>
            </w:r>
            <w:r w:rsidRPr="00995906">
              <w:rPr>
                <w:rFonts w:cs="Arial"/>
              </w:rPr>
              <w:t>ren</w:t>
            </w:r>
            <w:r>
              <w:rPr>
                <w:rFonts w:cs="Arial"/>
              </w:rPr>
              <w:t xml:space="preserve"> </w:t>
            </w:r>
            <w:r w:rsidRPr="00995906">
              <w:rPr>
                <w:rFonts w:cs="Arial"/>
              </w:rPr>
              <w:t>der Kombination</w:t>
            </w:r>
            <w:r>
              <w:rPr>
                <w:rFonts w:cs="Arial"/>
              </w:rPr>
              <w:t xml:space="preserve"> </w:t>
            </w:r>
            <w:r w:rsidRPr="00995906">
              <w:rPr>
                <w:rFonts w:cs="Arial"/>
              </w:rPr>
              <w:t>von Methanol und Methan</w:t>
            </w:r>
            <w:r w:rsidR="001130FD">
              <w:rPr>
                <w:rStyle w:val="Funotenzeichen"/>
                <w:rFonts w:cs="Arial"/>
              </w:rPr>
              <w:footnoteReference w:id="48"/>
            </w:r>
            <w:r>
              <w:rPr>
                <w:rFonts w:cs="Arial"/>
              </w:rPr>
              <w:t xml:space="preserve"> </w:t>
            </w:r>
          </w:p>
        </w:tc>
        <w:tc>
          <w:tcPr>
            <w:tcW w:w="2787" w:type="dxa"/>
          </w:tcPr>
          <w:p w:rsidR="008A2010" w:rsidRPr="00995906" w:rsidRDefault="008A2010" w:rsidP="008A2010">
            <w:pPr>
              <w:pStyle w:val="GesAbsatz"/>
              <w:jc w:val="left"/>
              <w:rPr>
                <w:rFonts w:cs="Arial"/>
              </w:rPr>
            </w:pPr>
            <w:r w:rsidRPr="00995906">
              <w:rPr>
                <w:rFonts w:cs="Arial"/>
              </w:rPr>
              <w:t>10 g CHCl</w:t>
            </w:r>
            <w:r w:rsidRPr="008A2010">
              <w:rPr>
                <w:rFonts w:cs="Arial"/>
                <w:vertAlign w:val="subscript"/>
              </w:rPr>
              <w:t>3</w:t>
            </w:r>
            <w:r w:rsidRPr="00995906">
              <w:rPr>
                <w:rFonts w:cs="Arial"/>
              </w:rPr>
              <w:t xml:space="preserve"> je Tonne G</w:t>
            </w:r>
            <w:r w:rsidRPr="00995906">
              <w:rPr>
                <w:rFonts w:cs="Arial"/>
              </w:rPr>
              <w:t>e</w:t>
            </w:r>
            <w:r w:rsidRPr="00995906">
              <w:rPr>
                <w:rFonts w:cs="Arial"/>
              </w:rPr>
              <w:t>samtproduktionskapazität</w:t>
            </w:r>
            <w:r>
              <w:rPr>
                <w:rFonts w:cs="Arial"/>
              </w:rPr>
              <w:t xml:space="preserve"> </w:t>
            </w:r>
            <w:r w:rsidRPr="00995906">
              <w:rPr>
                <w:rFonts w:cs="Arial"/>
              </w:rPr>
              <w:t>Chlormethane</w:t>
            </w:r>
          </w:p>
        </w:tc>
        <w:tc>
          <w:tcPr>
            <w:tcW w:w="1752" w:type="dxa"/>
            <w:vAlign w:val="center"/>
          </w:tcPr>
          <w:p w:rsidR="008A2010" w:rsidRPr="00995906" w:rsidRDefault="008A2010" w:rsidP="008A2010">
            <w:pPr>
              <w:pStyle w:val="GesAbsatz"/>
              <w:jc w:val="center"/>
              <w:rPr>
                <w:rFonts w:cs="Arial"/>
              </w:rPr>
            </w:pPr>
            <w:r w:rsidRPr="00995906">
              <w:rPr>
                <w:rFonts w:cs="Arial"/>
              </w:rPr>
              <w:t>1 mg/l</w:t>
            </w:r>
          </w:p>
        </w:tc>
        <w:tc>
          <w:tcPr>
            <w:tcW w:w="1414" w:type="dxa"/>
            <w:vAlign w:val="center"/>
          </w:tcPr>
          <w:p w:rsidR="008A2010" w:rsidRPr="00995906" w:rsidRDefault="008A2010" w:rsidP="00C92312">
            <w:pPr>
              <w:pStyle w:val="GesAbsatz"/>
              <w:jc w:val="center"/>
              <w:rPr>
                <w:rFonts w:cs="Arial"/>
              </w:rPr>
            </w:pPr>
            <w:r w:rsidRPr="00995906">
              <w:rPr>
                <w:rFonts w:cs="Arial"/>
              </w:rPr>
              <w:t>1.1.1990</w:t>
            </w:r>
          </w:p>
        </w:tc>
      </w:tr>
      <w:tr w:rsidR="008A2010" w:rsidTr="001130FD">
        <w:tc>
          <w:tcPr>
            <w:tcW w:w="3794" w:type="dxa"/>
            <w:vAlign w:val="center"/>
          </w:tcPr>
          <w:p w:rsidR="008A2010" w:rsidRPr="00995906" w:rsidRDefault="008A2010" w:rsidP="00C716BF">
            <w:pPr>
              <w:pStyle w:val="GesAbsatz"/>
              <w:ind w:left="284" w:hanging="284"/>
              <w:jc w:val="left"/>
              <w:rPr>
                <w:rFonts w:cs="Arial"/>
              </w:rPr>
            </w:pPr>
            <w:r w:rsidRPr="00995906">
              <w:rPr>
                <w:rFonts w:cs="Arial"/>
              </w:rPr>
              <w:t>2.</w:t>
            </w:r>
            <w:r>
              <w:rPr>
                <w:rFonts w:cs="Arial"/>
              </w:rPr>
              <w:tab/>
            </w:r>
            <w:r w:rsidRPr="00995906">
              <w:rPr>
                <w:rFonts w:cs="Arial"/>
              </w:rPr>
              <w:t>Herstellung von Chlormethanen</w:t>
            </w:r>
            <w:r>
              <w:rPr>
                <w:rFonts w:cs="Arial"/>
              </w:rPr>
              <w:t xml:space="preserve"> </w:t>
            </w:r>
            <w:r w:rsidRPr="00995906">
              <w:rPr>
                <w:rFonts w:cs="Arial"/>
              </w:rPr>
              <w:t>durch Methanchlorierung</w:t>
            </w:r>
          </w:p>
        </w:tc>
        <w:tc>
          <w:tcPr>
            <w:tcW w:w="2787" w:type="dxa"/>
          </w:tcPr>
          <w:p w:rsidR="008A2010" w:rsidRPr="00995906" w:rsidRDefault="008A2010" w:rsidP="008A2010">
            <w:pPr>
              <w:pStyle w:val="GesAbsatz"/>
              <w:jc w:val="left"/>
              <w:rPr>
                <w:rFonts w:cs="Arial"/>
              </w:rPr>
            </w:pPr>
            <w:r w:rsidRPr="00995906">
              <w:rPr>
                <w:rFonts w:cs="Arial"/>
              </w:rPr>
              <w:t>7.5 g CHCl</w:t>
            </w:r>
            <w:r w:rsidRPr="008A2010">
              <w:rPr>
                <w:rFonts w:cs="Arial"/>
                <w:vertAlign w:val="subscript"/>
              </w:rPr>
              <w:t>3</w:t>
            </w:r>
            <w:r w:rsidRPr="00995906">
              <w:rPr>
                <w:rFonts w:cs="Arial"/>
              </w:rPr>
              <w:t xml:space="preserve"> je Tonne G</w:t>
            </w:r>
            <w:r w:rsidRPr="00995906">
              <w:rPr>
                <w:rFonts w:cs="Arial"/>
              </w:rPr>
              <w:t>e</w:t>
            </w:r>
            <w:r w:rsidRPr="00995906">
              <w:rPr>
                <w:rFonts w:cs="Arial"/>
              </w:rPr>
              <w:t>samtproduktionskapazität</w:t>
            </w:r>
            <w:r>
              <w:rPr>
                <w:rFonts w:cs="Arial"/>
              </w:rPr>
              <w:t xml:space="preserve"> </w:t>
            </w:r>
            <w:r w:rsidRPr="00995906">
              <w:rPr>
                <w:rFonts w:cs="Arial"/>
              </w:rPr>
              <w:t>Chlormethane</w:t>
            </w:r>
          </w:p>
        </w:tc>
        <w:tc>
          <w:tcPr>
            <w:tcW w:w="1752" w:type="dxa"/>
            <w:vAlign w:val="center"/>
          </w:tcPr>
          <w:p w:rsidR="008A2010" w:rsidRPr="00995906" w:rsidRDefault="008A2010" w:rsidP="008A2010">
            <w:pPr>
              <w:pStyle w:val="GesAbsatz"/>
              <w:jc w:val="center"/>
              <w:rPr>
                <w:rFonts w:cs="Arial"/>
              </w:rPr>
            </w:pPr>
            <w:r w:rsidRPr="00995906">
              <w:rPr>
                <w:rFonts w:cs="Arial"/>
              </w:rPr>
              <w:t>1 mg/l</w:t>
            </w:r>
          </w:p>
        </w:tc>
        <w:tc>
          <w:tcPr>
            <w:tcW w:w="1414" w:type="dxa"/>
            <w:vAlign w:val="center"/>
          </w:tcPr>
          <w:p w:rsidR="008A2010" w:rsidRPr="00995906" w:rsidRDefault="008A2010" w:rsidP="00C92312">
            <w:pPr>
              <w:pStyle w:val="GesAbsatz"/>
              <w:jc w:val="center"/>
              <w:rPr>
                <w:rFonts w:cs="Arial"/>
              </w:rPr>
            </w:pPr>
            <w:r w:rsidRPr="00995906">
              <w:rPr>
                <w:rFonts w:cs="Arial"/>
              </w:rPr>
              <w:t>1.1.1990</w:t>
            </w:r>
          </w:p>
        </w:tc>
      </w:tr>
      <w:tr w:rsidR="008A2010" w:rsidTr="001130FD">
        <w:tc>
          <w:tcPr>
            <w:tcW w:w="3794" w:type="dxa"/>
            <w:vAlign w:val="center"/>
          </w:tcPr>
          <w:p w:rsidR="008A2010" w:rsidRPr="00995906" w:rsidRDefault="008A2010" w:rsidP="008A2010">
            <w:pPr>
              <w:pStyle w:val="GesAbsatz"/>
              <w:ind w:left="284" w:hanging="284"/>
              <w:jc w:val="left"/>
              <w:rPr>
                <w:rFonts w:cs="Arial"/>
              </w:rPr>
            </w:pPr>
            <w:r w:rsidRPr="00995906">
              <w:rPr>
                <w:rFonts w:cs="Arial"/>
              </w:rPr>
              <w:t>3.</w:t>
            </w:r>
            <w:r>
              <w:rPr>
                <w:rFonts w:cs="Arial"/>
              </w:rPr>
              <w:tab/>
            </w:r>
            <w:r w:rsidRPr="00995906">
              <w:rPr>
                <w:rFonts w:cs="Arial"/>
              </w:rPr>
              <w:t>Herstellung von Fluorchlorkohle</w:t>
            </w:r>
            <w:r w:rsidRPr="00995906">
              <w:rPr>
                <w:rFonts w:cs="Arial"/>
              </w:rPr>
              <w:t>n</w:t>
            </w:r>
            <w:r w:rsidRPr="00995906">
              <w:rPr>
                <w:rFonts w:cs="Arial"/>
              </w:rPr>
              <w:t>wasserstoffen</w:t>
            </w:r>
            <w:r w:rsidR="001130FD">
              <w:rPr>
                <w:rStyle w:val="Funotenzeichen"/>
                <w:rFonts w:cs="Arial"/>
              </w:rPr>
              <w:footnoteReference w:id="49"/>
            </w:r>
          </w:p>
        </w:tc>
        <w:tc>
          <w:tcPr>
            <w:tcW w:w="2787" w:type="dxa"/>
            <w:vAlign w:val="center"/>
          </w:tcPr>
          <w:p w:rsidR="008A2010" w:rsidRPr="00995906" w:rsidRDefault="00533469" w:rsidP="00533469">
            <w:pPr>
              <w:pStyle w:val="GesAbsatz"/>
              <w:jc w:val="center"/>
              <w:rPr>
                <w:rFonts w:cs="Arial"/>
              </w:rPr>
            </w:pPr>
            <w:r>
              <w:rPr>
                <w:rFonts w:cs="Arial"/>
              </w:rPr>
              <w:t>-</w:t>
            </w:r>
          </w:p>
        </w:tc>
        <w:tc>
          <w:tcPr>
            <w:tcW w:w="1752" w:type="dxa"/>
            <w:vAlign w:val="center"/>
          </w:tcPr>
          <w:p w:rsidR="008A2010" w:rsidRPr="00995906" w:rsidRDefault="00533469" w:rsidP="008A2010">
            <w:pPr>
              <w:pStyle w:val="GesAbsatz"/>
              <w:jc w:val="center"/>
              <w:rPr>
                <w:rFonts w:cs="Arial"/>
              </w:rPr>
            </w:pPr>
            <w:r>
              <w:rPr>
                <w:rFonts w:cs="Arial"/>
              </w:rPr>
              <w:t>-</w:t>
            </w:r>
          </w:p>
        </w:tc>
        <w:tc>
          <w:tcPr>
            <w:tcW w:w="1414" w:type="dxa"/>
            <w:vAlign w:val="center"/>
          </w:tcPr>
          <w:p w:rsidR="008A2010" w:rsidRPr="00995906" w:rsidRDefault="00533469" w:rsidP="00C92312">
            <w:pPr>
              <w:pStyle w:val="GesAbsatz"/>
              <w:jc w:val="center"/>
              <w:rPr>
                <w:rFonts w:cs="Arial"/>
              </w:rPr>
            </w:pPr>
            <w:r>
              <w:rPr>
                <w:rFonts w:cs="Arial"/>
              </w:rPr>
              <w:t>-</w:t>
            </w:r>
          </w:p>
        </w:tc>
      </w:tr>
    </w:tbl>
    <w:p w:rsidR="0049151F" w:rsidRPr="00995906" w:rsidRDefault="0049151F" w:rsidP="00995906">
      <w:pPr>
        <w:pStyle w:val="GesAbsatz"/>
        <w:rPr>
          <w:rFonts w:cs="Arial"/>
        </w:rPr>
      </w:pPr>
    </w:p>
    <w:p w:rsidR="0049151F" w:rsidRPr="00995906" w:rsidRDefault="0049151F" w:rsidP="00995906">
      <w:pPr>
        <w:pStyle w:val="GesAbsatz"/>
        <w:rPr>
          <w:rFonts w:cs="Arial"/>
        </w:rPr>
      </w:pPr>
      <w:r w:rsidRPr="00275934">
        <w:rPr>
          <w:rFonts w:cs="Arial"/>
          <w:b/>
        </w:rPr>
        <w:t>Teil C (23):</w:t>
      </w:r>
      <w:r w:rsidRPr="00995906">
        <w:rPr>
          <w:rFonts w:cs="Arial"/>
        </w:rPr>
        <w:t xml:space="preserve"> Referenzme</w:t>
      </w:r>
      <w:r w:rsidR="00275934">
        <w:rPr>
          <w:rFonts w:cs="Arial"/>
        </w:rPr>
        <w:t>ß</w:t>
      </w:r>
      <w:r w:rsidRPr="00995906">
        <w:rPr>
          <w:rFonts w:cs="Arial"/>
        </w:rPr>
        <w:t>ve</w:t>
      </w:r>
      <w:r w:rsidR="00275934">
        <w:rPr>
          <w:rFonts w:cs="Arial"/>
        </w:rPr>
        <w:t>r</w:t>
      </w:r>
      <w:r w:rsidRPr="00995906">
        <w:rPr>
          <w:rFonts w:cs="Arial"/>
        </w:rPr>
        <w:t>fahren</w:t>
      </w:r>
    </w:p>
    <w:p w:rsidR="0049151F" w:rsidRPr="00995906" w:rsidRDefault="0049151F" w:rsidP="00275934">
      <w:pPr>
        <w:pStyle w:val="GesAbsatz"/>
        <w:ind w:left="426" w:hanging="426"/>
        <w:rPr>
          <w:rFonts w:cs="Arial"/>
        </w:rPr>
      </w:pPr>
      <w:r w:rsidRPr="00995906">
        <w:rPr>
          <w:rFonts w:cs="Arial"/>
        </w:rPr>
        <w:lastRenderedPageBreak/>
        <w:t>1.</w:t>
      </w:r>
      <w:r w:rsidR="00275934">
        <w:rPr>
          <w:rFonts w:cs="Arial"/>
        </w:rPr>
        <w:tab/>
      </w:r>
      <w:r w:rsidRPr="00995906">
        <w:rPr>
          <w:rFonts w:cs="Arial"/>
        </w:rPr>
        <w:t>Referenzme</w:t>
      </w:r>
      <w:r w:rsidR="00275934">
        <w:rPr>
          <w:rFonts w:cs="Arial"/>
        </w:rPr>
        <w:t>ß</w:t>
      </w:r>
      <w:r w:rsidRPr="00995906">
        <w:rPr>
          <w:rFonts w:cs="Arial"/>
        </w:rPr>
        <w:t>verfahren zur Bestimmung von Chloroform in den Abwässern und Gewässern ist die</w:t>
      </w:r>
      <w:r w:rsidR="00275934">
        <w:rPr>
          <w:rFonts w:cs="Arial"/>
        </w:rPr>
        <w:t xml:space="preserve"> </w:t>
      </w:r>
      <w:r w:rsidRPr="00995906">
        <w:rPr>
          <w:rFonts w:cs="Arial"/>
        </w:rPr>
        <w:t>Ga</w:t>
      </w:r>
      <w:r w:rsidRPr="00995906">
        <w:rPr>
          <w:rFonts w:cs="Arial"/>
        </w:rPr>
        <w:t>s</w:t>
      </w:r>
      <w:r w:rsidRPr="00995906">
        <w:rPr>
          <w:rFonts w:cs="Arial"/>
        </w:rPr>
        <w:t>chromatographie.</w:t>
      </w:r>
      <w:r w:rsidR="00275934">
        <w:rPr>
          <w:rFonts w:cs="Arial"/>
        </w:rPr>
        <w:t xml:space="preserve"> </w:t>
      </w:r>
      <w:r w:rsidRPr="00995906">
        <w:rPr>
          <w:rFonts w:cs="Arial"/>
        </w:rPr>
        <w:t>Ein empfindlicher Detektor ist zu verwenden, wenn die Konzentration unter 0,5</w:t>
      </w:r>
      <w:r w:rsidR="001130FD">
        <w:rPr>
          <w:rFonts w:cs="Arial"/>
        </w:rPr>
        <w:t> </w:t>
      </w:r>
      <w:r w:rsidRPr="00995906">
        <w:rPr>
          <w:rFonts w:cs="Arial"/>
        </w:rPr>
        <w:t>mg/l liegt; in diesem</w:t>
      </w:r>
      <w:r w:rsidR="00275934">
        <w:rPr>
          <w:rFonts w:cs="Arial"/>
        </w:rPr>
        <w:t xml:space="preserve"> </w:t>
      </w:r>
      <w:r w:rsidRPr="00995906">
        <w:rPr>
          <w:rFonts w:cs="Arial"/>
        </w:rPr>
        <w:t>Fall liegt die Bestimmungsgrenze</w:t>
      </w:r>
      <w:r w:rsidR="001130FD">
        <w:rPr>
          <w:rStyle w:val="Funotenzeichen"/>
          <w:rFonts w:cs="Arial"/>
        </w:rPr>
        <w:footnoteReference w:id="50"/>
      </w:r>
      <w:r w:rsidRPr="00995906">
        <w:rPr>
          <w:rFonts w:cs="Arial"/>
        </w:rPr>
        <w:t xml:space="preserve"> bei 0,1 µg/l. Bei einer Konzentration von über 0,5 mg/l ist eine</w:t>
      </w:r>
      <w:r w:rsidR="00275934">
        <w:rPr>
          <w:rFonts w:cs="Arial"/>
        </w:rPr>
        <w:t xml:space="preserve"> </w:t>
      </w:r>
      <w:r w:rsidRPr="00995906">
        <w:rPr>
          <w:rFonts w:cs="Arial"/>
        </w:rPr>
        <w:t>Bestimmungsgrenze von 0,1 mg/l angemessen.</w:t>
      </w:r>
    </w:p>
    <w:p w:rsidR="0049151F" w:rsidRPr="00995906" w:rsidRDefault="0049151F" w:rsidP="00275934">
      <w:pPr>
        <w:pStyle w:val="GesAbsatz"/>
        <w:ind w:left="426" w:hanging="426"/>
        <w:rPr>
          <w:rFonts w:cs="Arial"/>
        </w:rPr>
      </w:pPr>
      <w:r w:rsidRPr="00995906">
        <w:rPr>
          <w:rFonts w:cs="Arial"/>
        </w:rPr>
        <w:t>2.</w:t>
      </w:r>
      <w:r w:rsidR="00275934">
        <w:rPr>
          <w:rFonts w:cs="Arial"/>
        </w:rPr>
        <w:tab/>
      </w:r>
      <w:r w:rsidRPr="00995906">
        <w:rPr>
          <w:rFonts w:cs="Arial"/>
        </w:rPr>
        <w:t>Die Genauigkeit und die Richtigkeit der Methode müssen ± 50 % bei einer Konzentration betragen,</w:t>
      </w:r>
      <w:r w:rsidR="00275934">
        <w:rPr>
          <w:rFonts w:cs="Arial"/>
        </w:rPr>
        <w:t xml:space="preserve"> </w:t>
      </w:r>
      <w:r w:rsidRPr="00995906">
        <w:rPr>
          <w:rFonts w:cs="Arial"/>
        </w:rPr>
        <w:t>die dem doppelten Wert der Bestimmungsgrenze entspricht.</w:t>
      </w:r>
    </w:p>
    <w:p w:rsidR="0049151F" w:rsidRPr="00995906" w:rsidRDefault="0049151F" w:rsidP="008404F8">
      <w:pPr>
        <w:pStyle w:val="berschrift3"/>
      </w:pPr>
      <w:bookmarkStart w:id="24" w:name="_Toc420510842"/>
      <w:r w:rsidRPr="00275934">
        <w:t>VIII. Sonderbestimmungen für 1,2-Dichlorethan (EDC) (Nr. 59)</w:t>
      </w:r>
      <w:r w:rsidR="001130FD">
        <w:rPr>
          <w:rStyle w:val="Funotenzeichen"/>
        </w:rPr>
        <w:footnoteReference w:id="51"/>
      </w:r>
      <w:bookmarkEnd w:id="24"/>
    </w:p>
    <w:p w:rsidR="0049151F" w:rsidRPr="00995906" w:rsidRDefault="0049151F" w:rsidP="00275934">
      <w:pPr>
        <w:pStyle w:val="GesAbsatz"/>
        <w:jc w:val="center"/>
        <w:rPr>
          <w:rFonts w:cs="Arial"/>
        </w:rPr>
      </w:pPr>
      <w:r w:rsidRPr="00995906">
        <w:rPr>
          <w:rFonts w:cs="Arial"/>
        </w:rPr>
        <w:t>CAS 107-06-2</w:t>
      </w:r>
    </w:p>
    <w:p w:rsidR="0049151F" w:rsidRPr="00995906" w:rsidRDefault="0049151F" w:rsidP="00995906">
      <w:pPr>
        <w:pStyle w:val="GesAbsatz"/>
        <w:rPr>
          <w:rFonts w:cs="Arial"/>
        </w:rPr>
      </w:pPr>
      <w:r w:rsidRPr="00275934">
        <w:rPr>
          <w:rFonts w:cs="Arial"/>
          <w:b/>
        </w:rPr>
        <w:t>Teil A (59):</w:t>
      </w:r>
      <w:r w:rsidRPr="00995906">
        <w:rPr>
          <w:rFonts w:cs="Arial"/>
        </w:rPr>
        <w:t xml:space="preserve"> Grenzwerte der Emissionsnormen</w:t>
      </w:r>
      <w:r w:rsidR="001130FD">
        <w:rPr>
          <w:rStyle w:val="Funotenzeichen"/>
          <w:rFonts w:cs="Arial"/>
        </w:rPr>
        <w:footnoteReference w:id="52"/>
      </w:r>
    </w:p>
    <w:tbl>
      <w:tblPr>
        <w:tblW w:w="95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43"/>
        <w:gridCol w:w="1985"/>
        <w:gridCol w:w="1417"/>
        <w:gridCol w:w="1560"/>
        <w:gridCol w:w="1651"/>
      </w:tblGrid>
      <w:tr w:rsidR="00275934" w:rsidTr="006E2DB0">
        <w:trPr>
          <w:tblHeader/>
        </w:trPr>
        <w:tc>
          <w:tcPr>
            <w:tcW w:w="2943" w:type="dxa"/>
            <w:vMerge w:val="restart"/>
            <w:vAlign w:val="center"/>
          </w:tcPr>
          <w:p w:rsidR="00275934" w:rsidRDefault="00275934" w:rsidP="00C92312">
            <w:pPr>
              <w:pStyle w:val="GesAbsatz"/>
              <w:jc w:val="center"/>
              <w:rPr>
                <w:rFonts w:cs="Arial"/>
              </w:rPr>
            </w:pPr>
            <w:r w:rsidRPr="00995906">
              <w:rPr>
                <w:rFonts w:cs="Arial"/>
              </w:rPr>
              <w:t>Typ des Industriebetriebs</w:t>
            </w:r>
            <w:r w:rsidR="001130FD">
              <w:rPr>
                <w:rStyle w:val="Funotenzeichen"/>
                <w:rFonts w:cs="Arial"/>
              </w:rPr>
              <w:footnoteReference w:id="53"/>
            </w:r>
            <w:r w:rsidR="001130FD">
              <w:rPr>
                <w:rFonts w:cs="Arial"/>
              </w:rPr>
              <w:t xml:space="preserve"> </w:t>
            </w:r>
            <w:r w:rsidR="001130FD">
              <w:rPr>
                <w:rStyle w:val="Funotenzeichen"/>
                <w:rFonts w:cs="Arial"/>
              </w:rPr>
              <w:footnoteReference w:id="54"/>
            </w:r>
            <w:r>
              <w:rPr>
                <w:rFonts w:cs="Arial"/>
              </w:rPr>
              <w:t xml:space="preserve"> </w:t>
            </w:r>
          </w:p>
        </w:tc>
        <w:tc>
          <w:tcPr>
            <w:tcW w:w="1985" w:type="dxa"/>
            <w:vMerge w:val="restart"/>
            <w:vAlign w:val="center"/>
          </w:tcPr>
          <w:p w:rsidR="00275934" w:rsidRDefault="00275934" w:rsidP="00C92312">
            <w:pPr>
              <w:pStyle w:val="GesAbsatz"/>
              <w:jc w:val="center"/>
              <w:rPr>
                <w:rFonts w:cs="Arial"/>
              </w:rPr>
            </w:pPr>
            <w:r w:rsidRPr="00995906">
              <w:rPr>
                <w:rFonts w:cs="Arial"/>
              </w:rPr>
              <w:t>Typ des</w:t>
            </w:r>
            <w:r>
              <w:rPr>
                <w:rFonts w:cs="Arial"/>
              </w:rPr>
              <w:t xml:space="preserve"> </w:t>
            </w:r>
            <w:r w:rsidRPr="00995906">
              <w:rPr>
                <w:rFonts w:cs="Arial"/>
              </w:rPr>
              <w:t>Mittelwerts</w:t>
            </w:r>
          </w:p>
        </w:tc>
        <w:tc>
          <w:tcPr>
            <w:tcW w:w="2977" w:type="dxa"/>
            <w:gridSpan w:val="2"/>
          </w:tcPr>
          <w:p w:rsidR="00275934" w:rsidRDefault="00275934" w:rsidP="00C92312">
            <w:pPr>
              <w:pStyle w:val="GesAbsatz"/>
              <w:jc w:val="center"/>
              <w:rPr>
                <w:rFonts w:cs="Arial"/>
              </w:rPr>
            </w:pPr>
            <w:r w:rsidRPr="00995906">
              <w:rPr>
                <w:rFonts w:cs="Arial"/>
              </w:rPr>
              <w:t>Grenzwerte</w:t>
            </w:r>
            <w:r w:rsidR="006B25EC">
              <w:rPr>
                <w:rFonts w:cs="Arial"/>
              </w:rPr>
              <w:t>,</w:t>
            </w:r>
            <w:r w:rsidRPr="00995906">
              <w:rPr>
                <w:rFonts w:cs="Arial"/>
              </w:rPr>
              <w:t xml:space="preserve"> ausgedrückt in</w:t>
            </w:r>
          </w:p>
        </w:tc>
        <w:tc>
          <w:tcPr>
            <w:tcW w:w="1651" w:type="dxa"/>
            <w:vMerge w:val="restart"/>
            <w:vAlign w:val="center"/>
          </w:tcPr>
          <w:p w:rsidR="00275934" w:rsidRDefault="00275934" w:rsidP="00C92312">
            <w:pPr>
              <w:pStyle w:val="GesAbsatz"/>
              <w:jc w:val="center"/>
              <w:rPr>
                <w:rFonts w:cs="Arial"/>
              </w:rPr>
            </w:pPr>
            <w:r w:rsidRPr="00995906">
              <w:rPr>
                <w:rFonts w:cs="Arial"/>
              </w:rPr>
              <w:t>Einzuhalten ab</w:t>
            </w:r>
          </w:p>
        </w:tc>
      </w:tr>
      <w:tr w:rsidR="00275934" w:rsidTr="006E2DB0">
        <w:trPr>
          <w:tblHeader/>
        </w:trPr>
        <w:tc>
          <w:tcPr>
            <w:tcW w:w="2943" w:type="dxa"/>
            <w:vMerge/>
          </w:tcPr>
          <w:p w:rsidR="00275934" w:rsidRDefault="00275934" w:rsidP="00C92312">
            <w:pPr>
              <w:pStyle w:val="GesAbsatz"/>
              <w:rPr>
                <w:rFonts w:cs="Arial"/>
              </w:rPr>
            </w:pPr>
          </w:p>
        </w:tc>
        <w:tc>
          <w:tcPr>
            <w:tcW w:w="1985" w:type="dxa"/>
            <w:vMerge/>
          </w:tcPr>
          <w:p w:rsidR="00275934" w:rsidRDefault="00275934" w:rsidP="00C92312">
            <w:pPr>
              <w:pStyle w:val="GesAbsatz"/>
              <w:rPr>
                <w:rFonts w:cs="Arial"/>
              </w:rPr>
            </w:pPr>
          </w:p>
        </w:tc>
        <w:tc>
          <w:tcPr>
            <w:tcW w:w="1417" w:type="dxa"/>
            <w:vAlign w:val="center"/>
          </w:tcPr>
          <w:p w:rsidR="00275934" w:rsidRDefault="006B25EC" w:rsidP="0071150D">
            <w:pPr>
              <w:pStyle w:val="GesAbsatz"/>
              <w:jc w:val="center"/>
              <w:rPr>
                <w:rFonts w:cs="Arial"/>
              </w:rPr>
            </w:pPr>
            <w:r>
              <w:rPr>
                <w:rFonts w:cs="Arial"/>
              </w:rPr>
              <w:t>Gewicht (g/t)</w:t>
            </w:r>
            <w:r w:rsidR="006E2DB0">
              <w:rPr>
                <w:rStyle w:val="Funotenzeichen"/>
                <w:rFonts w:cs="Arial"/>
              </w:rPr>
              <w:footnoteReference w:id="55"/>
            </w:r>
          </w:p>
        </w:tc>
        <w:tc>
          <w:tcPr>
            <w:tcW w:w="1560" w:type="dxa"/>
          </w:tcPr>
          <w:p w:rsidR="00275934" w:rsidRDefault="00275934" w:rsidP="00C92312">
            <w:pPr>
              <w:pStyle w:val="GesAbsatz"/>
              <w:jc w:val="center"/>
              <w:rPr>
                <w:rFonts w:cs="Arial"/>
              </w:rPr>
            </w:pPr>
            <w:r w:rsidRPr="00995906">
              <w:rPr>
                <w:rFonts w:cs="Arial"/>
              </w:rPr>
              <w:t>Konzentration</w:t>
            </w:r>
            <w:r w:rsidR="006B25EC">
              <w:rPr>
                <w:rFonts w:cs="Arial"/>
              </w:rPr>
              <w:t xml:space="preserve"> (mg/l)</w:t>
            </w:r>
            <w:r w:rsidR="006E2DB0">
              <w:rPr>
                <w:rStyle w:val="Funotenzeichen"/>
                <w:rFonts w:cs="Arial"/>
              </w:rPr>
              <w:footnoteReference w:id="56"/>
            </w:r>
          </w:p>
        </w:tc>
        <w:tc>
          <w:tcPr>
            <w:tcW w:w="1651" w:type="dxa"/>
            <w:vMerge/>
          </w:tcPr>
          <w:p w:rsidR="00275934" w:rsidRDefault="00275934" w:rsidP="00C92312">
            <w:pPr>
              <w:pStyle w:val="GesAbsatz"/>
              <w:jc w:val="left"/>
              <w:rPr>
                <w:rFonts w:cs="Arial"/>
              </w:rPr>
            </w:pPr>
          </w:p>
        </w:tc>
      </w:tr>
      <w:tr w:rsidR="006C5DF9" w:rsidTr="006E2DB0">
        <w:trPr>
          <w:trHeight w:val="278"/>
        </w:trPr>
        <w:tc>
          <w:tcPr>
            <w:tcW w:w="2943" w:type="dxa"/>
            <w:vMerge w:val="restart"/>
          </w:tcPr>
          <w:p w:rsidR="006C5DF9" w:rsidRDefault="006C5DF9" w:rsidP="00364734">
            <w:pPr>
              <w:pStyle w:val="GesAbsatz"/>
              <w:ind w:left="284" w:hanging="284"/>
              <w:rPr>
                <w:rFonts w:cs="Arial"/>
              </w:rPr>
            </w:pPr>
            <w:r w:rsidRPr="00995906">
              <w:rPr>
                <w:rFonts w:cs="Arial"/>
              </w:rPr>
              <w:t>a)</w:t>
            </w:r>
            <w:r w:rsidR="00364734">
              <w:rPr>
                <w:rFonts w:cs="Arial"/>
              </w:rPr>
              <w:tab/>
            </w:r>
            <w:r w:rsidRPr="00995906">
              <w:rPr>
                <w:rFonts w:cs="Arial"/>
              </w:rPr>
              <w:t>Ausschließlich Produktion</w:t>
            </w:r>
            <w:r>
              <w:rPr>
                <w:rFonts w:cs="Arial"/>
              </w:rPr>
              <w:t xml:space="preserve"> </w:t>
            </w:r>
            <w:r w:rsidRPr="00995906">
              <w:rPr>
                <w:rFonts w:cs="Arial"/>
              </w:rPr>
              <w:t>von 1,2-Dichlorethan</w:t>
            </w:r>
            <w:r>
              <w:rPr>
                <w:rFonts w:cs="Arial"/>
              </w:rPr>
              <w:t xml:space="preserve"> </w:t>
            </w:r>
            <w:r w:rsidRPr="00995906">
              <w:rPr>
                <w:rFonts w:cs="Arial"/>
              </w:rPr>
              <w:t>(ohne Verarbeitung bzw.</w:t>
            </w:r>
            <w:r>
              <w:rPr>
                <w:rFonts w:cs="Arial"/>
              </w:rPr>
              <w:t xml:space="preserve"> </w:t>
            </w:r>
            <w:r w:rsidRPr="00995906">
              <w:rPr>
                <w:rFonts w:cs="Arial"/>
              </w:rPr>
              <w:t>Ve</w:t>
            </w:r>
            <w:r w:rsidRPr="00995906">
              <w:rPr>
                <w:rFonts w:cs="Arial"/>
              </w:rPr>
              <w:t>r</w:t>
            </w:r>
            <w:r w:rsidRPr="00995906">
              <w:rPr>
                <w:rFonts w:cs="Arial"/>
              </w:rPr>
              <w:t>wendung auf demselben</w:t>
            </w:r>
            <w:r>
              <w:rPr>
                <w:rFonts w:cs="Arial"/>
              </w:rPr>
              <w:t xml:space="preserve"> </w:t>
            </w:r>
            <w:r w:rsidR="003C4C86">
              <w:rPr>
                <w:rFonts w:cs="Arial"/>
              </w:rPr>
              <w:t>Werk</w:t>
            </w:r>
            <w:r w:rsidRPr="00995906">
              <w:rPr>
                <w:rFonts w:cs="Arial"/>
              </w:rPr>
              <w:t>sgelände)</w:t>
            </w:r>
          </w:p>
        </w:tc>
        <w:tc>
          <w:tcPr>
            <w:tcW w:w="1985" w:type="dxa"/>
            <w:vMerge w:val="restart"/>
            <w:vAlign w:val="center"/>
          </w:tcPr>
          <w:p w:rsidR="006C5DF9" w:rsidRDefault="006C5DF9" w:rsidP="00364734">
            <w:pPr>
              <w:pStyle w:val="GesAbsatz"/>
              <w:jc w:val="center"/>
              <w:rPr>
                <w:rFonts w:cs="Arial"/>
              </w:rPr>
            </w:pPr>
            <w:r w:rsidRPr="00995906">
              <w:rPr>
                <w:rFonts w:cs="Arial"/>
              </w:rPr>
              <w:t>Monat</w:t>
            </w:r>
          </w:p>
        </w:tc>
        <w:tc>
          <w:tcPr>
            <w:tcW w:w="1417" w:type="dxa"/>
          </w:tcPr>
          <w:p w:rsidR="006C5DF9" w:rsidRPr="00995906" w:rsidRDefault="006C5DF9" w:rsidP="00C92312">
            <w:pPr>
              <w:pStyle w:val="GesAbsatz"/>
              <w:jc w:val="center"/>
              <w:rPr>
                <w:rFonts w:cs="Arial"/>
              </w:rPr>
            </w:pPr>
            <w:r w:rsidRPr="00995906">
              <w:rPr>
                <w:rFonts w:cs="Arial"/>
              </w:rPr>
              <w:t>4</w:t>
            </w:r>
          </w:p>
        </w:tc>
        <w:tc>
          <w:tcPr>
            <w:tcW w:w="1560" w:type="dxa"/>
          </w:tcPr>
          <w:p w:rsidR="006C5DF9" w:rsidRPr="00995906" w:rsidRDefault="006C5DF9" w:rsidP="00C92312">
            <w:pPr>
              <w:pStyle w:val="GesAbsatz"/>
              <w:jc w:val="center"/>
              <w:rPr>
                <w:rFonts w:cs="Arial"/>
              </w:rPr>
            </w:pPr>
            <w:r w:rsidRPr="00995906">
              <w:rPr>
                <w:rFonts w:cs="Arial"/>
              </w:rPr>
              <w:t>2</w:t>
            </w:r>
          </w:p>
        </w:tc>
        <w:tc>
          <w:tcPr>
            <w:tcW w:w="1651" w:type="dxa"/>
            <w:vAlign w:val="center"/>
          </w:tcPr>
          <w:p w:rsidR="006C5DF9" w:rsidRDefault="006C5DF9" w:rsidP="006C5DF9">
            <w:pPr>
              <w:pStyle w:val="GesAbsatz"/>
              <w:jc w:val="center"/>
              <w:rPr>
                <w:rFonts w:cs="Arial"/>
              </w:rPr>
            </w:pPr>
            <w:r>
              <w:rPr>
                <w:rFonts w:cs="Arial"/>
              </w:rPr>
              <w:t>1</w:t>
            </w:r>
            <w:r w:rsidRPr="00995906">
              <w:rPr>
                <w:rFonts w:cs="Arial"/>
              </w:rPr>
              <w:t>.1.1993</w:t>
            </w:r>
          </w:p>
        </w:tc>
      </w:tr>
      <w:tr w:rsidR="006C5DF9" w:rsidTr="006E2DB0">
        <w:tc>
          <w:tcPr>
            <w:tcW w:w="2943" w:type="dxa"/>
            <w:vMerge/>
          </w:tcPr>
          <w:p w:rsidR="006C5DF9" w:rsidRPr="00995906" w:rsidRDefault="006C5DF9" w:rsidP="00364734">
            <w:pPr>
              <w:pStyle w:val="GesAbsatz"/>
              <w:ind w:left="284" w:hanging="284"/>
              <w:rPr>
                <w:rFonts w:cs="Arial"/>
              </w:rPr>
            </w:pPr>
          </w:p>
        </w:tc>
        <w:tc>
          <w:tcPr>
            <w:tcW w:w="1985" w:type="dxa"/>
            <w:vMerge/>
            <w:vAlign w:val="center"/>
          </w:tcPr>
          <w:p w:rsidR="006C5DF9" w:rsidRPr="00995906" w:rsidRDefault="006C5DF9" w:rsidP="00364734">
            <w:pPr>
              <w:pStyle w:val="GesAbsatz"/>
              <w:jc w:val="center"/>
              <w:rPr>
                <w:rFonts w:cs="Arial"/>
              </w:rPr>
            </w:pPr>
          </w:p>
        </w:tc>
        <w:tc>
          <w:tcPr>
            <w:tcW w:w="1417" w:type="dxa"/>
          </w:tcPr>
          <w:p w:rsidR="006C5DF9" w:rsidRPr="00995906" w:rsidRDefault="006C5DF9" w:rsidP="00C92312">
            <w:pPr>
              <w:pStyle w:val="GesAbsatz"/>
              <w:jc w:val="center"/>
              <w:rPr>
                <w:rFonts w:cs="Arial"/>
              </w:rPr>
            </w:pPr>
            <w:r>
              <w:rPr>
                <w:rFonts w:cs="Arial"/>
              </w:rPr>
              <w:t>2,5</w:t>
            </w:r>
          </w:p>
        </w:tc>
        <w:tc>
          <w:tcPr>
            <w:tcW w:w="1560" w:type="dxa"/>
          </w:tcPr>
          <w:p w:rsidR="006C5DF9" w:rsidRPr="00995906" w:rsidRDefault="006C5DF9" w:rsidP="00C92312">
            <w:pPr>
              <w:pStyle w:val="GesAbsatz"/>
              <w:jc w:val="center"/>
              <w:rPr>
                <w:rFonts w:cs="Arial"/>
              </w:rPr>
            </w:pPr>
            <w:r w:rsidRPr="00995906">
              <w:rPr>
                <w:rFonts w:cs="Arial"/>
              </w:rPr>
              <w:t>1,25</w:t>
            </w:r>
          </w:p>
        </w:tc>
        <w:tc>
          <w:tcPr>
            <w:tcW w:w="1651" w:type="dxa"/>
            <w:vAlign w:val="center"/>
          </w:tcPr>
          <w:p w:rsidR="006C5DF9" w:rsidRDefault="006C5DF9" w:rsidP="006C5DF9">
            <w:pPr>
              <w:pStyle w:val="GesAbsatz"/>
              <w:jc w:val="center"/>
              <w:rPr>
                <w:rFonts w:cs="Arial"/>
              </w:rPr>
            </w:pPr>
            <w:r w:rsidRPr="00995906">
              <w:rPr>
                <w:rFonts w:cs="Arial"/>
              </w:rPr>
              <w:t>1.1.1995</w:t>
            </w:r>
          </w:p>
        </w:tc>
      </w:tr>
      <w:tr w:rsidR="006C5DF9" w:rsidTr="006E2DB0">
        <w:tc>
          <w:tcPr>
            <w:tcW w:w="2943" w:type="dxa"/>
            <w:vMerge/>
          </w:tcPr>
          <w:p w:rsidR="006C5DF9" w:rsidRPr="00995906" w:rsidRDefault="006C5DF9" w:rsidP="00364734">
            <w:pPr>
              <w:pStyle w:val="GesAbsatz"/>
              <w:ind w:left="284" w:hanging="284"/>
              <w:rPr>
                <w:rFonts w:cs="Arial"/>
              </w:rPr>
            </w:pPr>
          </w:p>
        </w:tc>
        <w:tc>
          <w:tcPr>
            <w:tcW w:w="1985" w:type="dxa"/>
            <w:vMerge w:val="restart"/>
            <w:vAlign w:val="center"/>
          </w:tcPr>
          <w:p w:rsidR="006C5DF9" w:rsidRPr="00995906" w:rsidRDefault="006C5DF9" w:rsidP="00364734">
            <w:pPr>
              <w:pStyle w:val="GesAbsatz"/>
              <w:jc w:val="center"/>
              <w:rPr>
                <w:rFonts w:cs="Arial"/>
              </w:rPr>
            </w:pPr>
            <w:r w:rsidRPr="00995906">
              <w:rPr>
                <w:rFonts w:cs="Arial"/>
              </w:rPr>
              <w:t>Tag</w:t>
            </w:r>
          </w:p>
        </w:tc>
        <w:tc>
          <w:tcPr>
            <w:tcW w:w="1417" w:type="dxa"/>
            <w:vAlign w:val="center"/>
          </w:tcPr>
          <w:p w:rsidR="006C5DF9" w:rsidRDefault="006C5DF9" w:rsidP="006C5DF9">
            <w:pPr>
              <w:pStyle w:val="GesAbsatz"/>
              <w:jc w:val="center"/>
              <w:rPr>
                <w:rFonts w:cs="Arial"/>
              </w:rPr>
            </w:pPr>
            <w:r w:rsidRPr="00995906">
              <w:rPr>
                <w:rFonts w:cs="Arial"/>
              </w:rPr>
              <w:t>8</w:t>
            </w:r>
          </w:p>
        </w:tc>
        <w:tc>
          <w:tcPr>
            <w:tcW w:w="1560" w:type="dxa"/>
          </w:tcPr>
          <w:p w:rsidR="006C5DF9" w:rsidRPr="00995906" w:rsidRDefault="006C5DF9" w:rsidP="00C92312">
            <w:pPr>
              <w:pStyle w:val="GesAbsatz"/>
              <w:jc w:val="center"/>
              <w:rPr>
                <w:rFonts w:cs="Arial"/>
              </w:rPr>
            </w:pPr>
            <w:r w:rsidRPr="00995906">
              <w:rPr>
                <w:rFonts w:cs="Arial"/>
              </w:rPr>
              <w:t>4</w:t>
            </w:r>
          </w:p>
        </w:tc>
        <w:tc>
          <w:tcPr>
            <w:tcW w:w="1651" w:type="dxa"/>
            <w:vAlign w:val="center"/>
          </w:tcPr>
          <w:p w:rsidR="006C5DF9" w:rsidRDefault="006C5DF9" w:rsidP="006C5DF9">
            <w:pPr>
              <w:pStyle w:val="GesAbsatz"/>
              <w:jc w:val="center"/>
              <w:rPr>
                <w:rFonts w:cs="Arial"/>
              </w:rPr>
            </w:pPr>
            <w:r w:rsidRPr="00995906">
              <w:rPr>
                <w:rFonts w:cs="Arial"/>
              </w:rPr>
              <w:t>1.1.1993</w:t>
            </w:r>
          </w:p>
        </w:tc>
      </w:tr>
      <w:tr w:rsidR="006C5DF9" w:rsidTr="006E2DB0">
        <w:trPr>
          <w:trHeight w:val="336"/>
        </w:trPr>
        <w:tc>
          <w:tcPr>
            <w:tcW w:w="2943" w:type="dxa"/>
            <w:vMerge/>
          </w:tcPr>
          <w:p w:rsidR="006C5DF9" w:rsidRPr="00995906" w:rsidRDefault="006C5DF9" w:rsidP="00364734">
            <w:pPr>
              <w:pStyle w:val="GesAbsatz"/>
              <w:ind w:left="284" w:hanging="284"/>
              <w:rPr>
                <w:rFonts w:cs="Arial"/>
              </w:rPr>
            </w:pPr>
          </w:p>
        </w:tc>
        <w:tc>
          <w:tcPr>
            <w:tcW w:w="1985" w:type="dxa"/>
            <w:vMerge/>
            <w:vAlign w:val="center"/>
          </w:tcPr>
          <w:p w:rsidR="006C5DF9" w:rsidRPr="00995906" w:rsidRDefault="006C5DF9" w:rsidP="00364734">
            <w:pPr>
              <w:pStyle w:val="GesAbsatz"/>
              <w:jc w:val="center"/>
              <w:rPr>
                <w:rFonts w:cs="Arial"/>
              </w:rPr>
            </w:pPr>
          </w:p>
        </w:tc>
        <w:tc>
          <w:tcPr>
            <w:tcW w:w="1417" w:type="dxa"/>
            <w:vAlign w:val="center"/>
          </w:tcPr>
          <w:p w:rsidR="006C5DF9" w:rsidRPr="00995906" w:rsidRDefault="006C5DF9" w:rsidP="006C5DF9">
            <w:pPr>
              <w:pStyle w:val="GesAbsatz"/>
              <w:jc w:val="center"/>
              <w:rPr>
                <w:rFonts w:cs="Arial"/>
              </w:rPr>
            </w:pPr>
            <w:r w:rsidRPr="00995906">
              <w:rPr>
                <w:rFonts w:cs="Arial"/>
              </w:rPr>
              <w:t>5</w:t>
            </w:r>
          </w:p>
        </w:tc>
        <w:tc>
          <w:tcPr>
            <w:tcW w:w="1560" w:type="dxa"/>
          </w:tcPr>
          <w:p w:rsidR="006C5DF9" w:rsidRPr="00995906" w:rsidRDefault="006C5DF9" w:rsidP="00C92312">
            <w:pPr>
              <w:pStyle w:val="GesAbsatz"/>
              <w:jc w:val="center"/>
              <w:rPr>
                <w:rFonts w:cs="Arial"/>
              </w:rPr>
            </w:pPr>
            <w:r w:rsidRPr="00995906">
              <w:rPr>
                <w:rFonts w:cs="Arial"/>
              </w:rPr>
              <w:t>2,5</w:t>
            </w:r>
          </w:p>
        </w:tc>
        <w:tc>
          <w:tcPr>
            <w:tcW w:w="1651" w:type="dxa"/>
            <w:vAlign w:val="center"/>
          </w:tcPr>
          <w:p w:rsidR="006C5DF9" w:rsidRDefault="006C5DF9" w:rsidP="006C5DF9">
            <w:pPr>
              <w:pStyle w:val="GesAbsatz"/>
              <w:jc w:val="center"/>
              <w:rPr>
                <w:rFonts w:cs="Arial"/>
              </w:rPr>
            </w:pPr>
            <w:r w:rsidRPr="00995906">
              <w:rPr>
                <w:rFonts w:cs="Arial"/>
              </w:rPr>
              <w:t>1.1.1995</w:t>
            </w:r>
          </w:p>
        </w:tc>
      </w:tr>
      <w:tr w:rsidR="002226E1" w:rsidTr="006E2DB0">
        <w:tc>
          <w:tcPr>
            <w:tcW w:w="2943" w:type="dxa"/>
            <w:vMerge w:val="restart"/>
          </w:tcPr>
          <w:p w:rsidR="002226E1" w:rsidRPr="00995906" w:rsidRDefault="002226E1" w:rsidP="00364734">
            <w:pPr>
              <w:pStyle w:val="GesAbsatz"/>
              <w:ind w:left="284" w:hanging="284"/>
              <w:rPr>
                <w:rFonts w:cs="Arial"/>
              </w:rPr>
            </w:pPr>
            <w:r w:rsidRPr="00995906">
              <w:rPr>
                <w:rFonts w:cs="Arial"/>
              </w:rPr>
              <w:t>b)</w:t>
            </w:r>
            <w:r w:rsidR="00364734">
              <w:rPr>
                <w:rFonts w:cs="Arial"/>
              </w:rPr>
              <w:tab/>
            </w:r>
            <w:r w:rsidRPr="00995906">
              <w:rPr>
                <w:rFonts w:cs="Arial"/>
              </w:rPr>
              <w:t>Produktion von 1,2-Dichlor</w:t>
            </w:r>
            <w:r w:rsidR="00364734">
              <w:rPr>
                <w:rFonts w:cs="Arial"/>
              </w:rPr>
              <w:softHyphen/>
            </w:r>
            <w:r w:rsidRPr="00995906">
              <w:rPr>
                <w:rFonts w:cs="Arial"/>
              </w:rPr>
              <w:t>ethan und Verarbeitung</w:t>
            </w:r>
            <w:r>
              <w:rPr>
                <w:rFonts w:cs="Arial"/>
              </w:rPr>
              <w:t xml:space="preserve"> </w:t>
            </w:r>
            <w:r w:rsidRPr="00995906">
              <w:rPr>
                <w:rFonts w:cs="Arial"/>
              </w:rPr>
              <w:t>bzw. Verwendung</w:t>
            </w:r>
            <w:r>
              <w:rPr>
                <w:rFonts w:cs="Arial"/>
              </w:rPr>
              <w:t xml:space="preserve"> </w:t>
            </w:r>
            <w:r w:rsidRPr="00995906">
              <w:rPr>
                <w:rFonts w:cs="Arial"/>
              </w:rPr>
              <w:t xml:space="preserve">auf demselben </w:t>
            </w:r>
            <w:r w:rsidR="003C4C86">
              <w:rPr>
                <w:rFonts w:cs="Arial"/>
              </w:rPr>
              <w:t>Werk</w:t>
            </w:r>
            <w:r w:rsidRPr="00995906">
              <w:rPr>
                <w:rFonts w:cs="Arial"/>
              </w:rPr>
              <w:t>sgelände,</w:t>
            </w:r>
            <w:r>
              <w:rPr>
                <w:rFonts w:cs="Arial"/>
              </w:rPr>
              <w:t xml:space="preserve"> </w:t>
            </w:r>
            <w:r w:rsidRPr="00995906">
              <w:rPr>
                <w:rFonts w:cs="Arial"/>
              </w:rPr>
              <w:t>mit Ausnahme</w:t>
            </w:r>
            <w:r>
              <w:rPr>
                <w:rFonts w:cs="Arial"/>
              </w:rPr>
              <w:t xml:space="preserve"> </w:t>
            </w:r>
            <w:r w:rsidRPr="00995906">
              <w:rPr>
                <w:rFonts w:cs="Arial"/>
              </w:rPr>
              <w:t>der unter e) definierten</w:t>
            </w:r>
            <w:r>
              <w:rPr>
                <w:rFonts w:cs="Arial"/>
              </w:rPr>
              <w:t xml:space="preserve"> </w:t>
            </w:r>
            <w:r w:rsidRPr="00995906">
              <w:rPr>
                <w:rFonts w:cs="Arial"/>
              </w:rPr>
              <w:t>Verwendung</w:t>
            </w:r>
            <w:r w:rsidR="006E2DB0">
              <w:rPr>
                <w:rStyle w:val="Funotenzeichen"/>
                <w:rFonts w:cs="Arial"/>
              </w:rPr>
              <w:footnoteReference w:id="57"/>
            </w:r>
            <w:r w:rsidR="006E2DB0">
              <w:rPr>
                <w:rFonts w:cs="Arial"/>
              </w:rPr>
              <w:t xml:space="preserve"> </w:t>
            </w:r>
            <w:r w:rsidR="006E2DB0">
              <w:rPr>
                <w:rStyle w:val="Funotenzeichen"/>
                <w:rFonts w:cs="Arial"/>
              </w:rPr>
              <w:footnoteReference w:id="58"/>
            </w:r>
            <w:r w:rsidRPr="00995906">
              <w:rPr>
                <w:rFonts w:cs="Arial"/>
              </w:rPr>
              <w:t xml:space="preserve"> </w:t>
            </w:r>
          </w:p>
        </w:tc>
        <w:tc>
          <w:tcPr>
            <w:tcW w:w="1985" w:type="dxa"/>
            <w:vMerge w:val="restart"/>
            <w:vAlign w:val="center"/>
          </w:tcPr>
          <w:p w:rsidR="002226E1" w:rsidRPr="00995906" w:rsidRDefault="002226E1" w:rsidP="00364734">
            <w:pPr>
              <w:pStyle w:val="GesAbsatz"/>
              <w:jc w:val="center"/>
              <w:rPr>
                <w:rFonts w:cs="Arial"/>
              </w:rPr>
            </w:pPr>
            <w:r w:rsidRPr="00995906">
              <w:rPr>
                <w:rFonts w:cs="Arial"/>
              </w:rPr>
              <w:t>Monat</w:t>
            </w:r>
          </w:p>
        </w:tc>
        <w:tc>
          <w:tcPr>
            <w:tcW w:w="1417" w:type="dxa"/>
            <w:vAlign w:val="center"/>
          </w:tcPr>
          <w:p w:rsidR="002226E1" w:rsidRPr="00995906" w:rsidRDefault="002226E1" w:rsidP="00364734">
            <w:pPr>
              <w:pStyle w:val="GesAbsatz"/>
              <w:jc w:val="center"/>
              <w:rPr>
                <w:rFonts w:cs="Arial"/>
              </w:rPr>
            </w:pPr>
            <w:r>
              <w:rPr>
                <w:rFonts w:cs="Arial"/>
              </w:rPr>
              <w:t>1</w:t>
            </w:r>
            <w:r w:rsidRPr="00995906">
              <w:rPr>
                <w:rFonts w:cs="Arial"/>
              </w:rPr>
              <w:t>2</w:t>
            </w:r>
          </w:p>
        </w:tc>
        <w:tc>
          <w:tcPr>
            <w:tcW w:w="1560" w:type="dxa"/>
          </w:tcPr>
          <w:p w:rsidR="002226E1" w:rsidRPr="00995906" w:rsidRDefault="002226E1" w:rsidP="00364734">
            <w:pPr>
              <w:pStyle w:val="GesAbsatz"/>
              <w:jc w:val="center"/>
              <w:rPr>
                <w:rFonts w:cs="Arial"/>
              </w:rPr>
            </w:pPr>
            <w:r w:rsidRPr="00995906">
              <w:rPr>
                <w:rFonts w:cs="Arial"/>
              </w:rPr>
              <w:t>6</w:t>
            </w:r>
          </w:p>
        </w:tc>
        <w:tc>
          <w:tcPr>
            <w:tcW w:w="1651" w:type="dxa"/>
            <w:vAlign w:val="center"/>
          </w:tcPr>
          <w:p w:rsidR="002226E1" w:rsidRPr="00995906" w:rsidRDefault="002226E1" w:rsidP="00364734">
            <w:pPr>
              <w:pStyle w:val="GesAbsatz"/>
              <w:jc w:val="center"/>
              <w:rPr>
                <w:rFonts w:cs="Arial"/>
              </w:rPr>
            </w:pPr>
            <w:r w:rsidRPr="00995906">
              <w:rPr>
                <w:rFonts w:cs="Arial"/>
              </w:rPr>
              <w:t>1.1.1993</w:t>
            </w:r>
          </w:p>
        </w:tc>
      </w:tr>
      <w:tr w:rsidR="002226E1" w:rsidTr="006E2DB0">
        <w:tc>
          <w:tcPr>
            <w:tcW w:w="2943" w:type="dxa"/>
            <w:vMerge/>
          </w:tcPr>
          <w:p w:rsidR="002226E1" w:rsidRPr="00995906" w:rsidRDefault="002226E1" w:rsidP="00364734">
            <w:pPr>
              <w:pStyle w:val="GesAbsatz"/>
              <w:ind w:left="284" w:hanging="284"/>
              <w:rPr>
                <w:rFonts w:cs="Arial"/>
              </w:rPr>
            </w:pPr>
          </w:p>
        </w:tc>
        <w:tc>
          <w:tcPr>
            <w:tcW w:w="1985" w:type="dxa"/>
            <w:vMerge/>
            <w:vAlign w:val="center"/>
          </w:tcPr>
          <w:p w:rsidR="002226E1" w:rsidRPr="00995906" w:rsidRDefault="002226E1" w:rsidP="00364734">
            <w:pPr>
              <w:pStyle w:val="GesAbsatz"/>
              <w:jc w:val="center"/>
              <w:rPr>
                <w:rFonts w:cs="Arial"/>
              </w:rPr>
            </w:pPr>
          </w:p>
        </w:tc>
        <w:tc>
          <w:tcPr>
            <w:tcW w:w="1417" w:type="dxa"/>
            <w:vAlign w:val="center"/>
          </w:tcPr>
          <w:p w:rsidR="002226E1" w:rsidRPr="00995906" w:rsidRDefault="002226E1" w:rsidP="00364734">
            <w:pPr>
              <w:pStyle w:val="GesAbsatz"/>
              <w:jc w:val="center"/>
              <w:rPr>
                <w:rFonts w:cs="Arial"/>
              </w:rPr>
            </w:pPr>
            <w:r w:rsidRPr="00995906">
              <w:rPr>
                <w:rFonts w:cs="Arial"/>
              </w:rPr>
              <w:t>5</w:t>
            </w:r>
          </w:p>
        </w:tc>
        <w:tc>
          <w:tcPr>
            <w:tcW w:w="1560" w:type="dxa"/>
          </w:tcPr>
          <w:p w:rsidR="002226E1" w:rsidRPr="00995906" w:rsidRDefault="002226E1" w:rsidP="00C92312">
            <w:pPr>
              <w:pStyle w:val="GesAbsatz"/>
              <w:jc w:val="center"/>
              <w:rPr>
                <w:rFonts w:cs="Arial"/>
              </w:rPr>
            </w:pPr>
            <w:r w:rsidRPr="00995906">
              <w:rPr>
                <w:rFonts w:cs="Arial"/>
              </w:rPr>
              <w:t>2,5</w:t>
            </w:r>
          </w:p>
        </w:tc>
        <w:tc>
          <w:tcPr>
            <w:tcW w:w="1651" w:type="dxa"/>
            <w:vAlign w:val="center"/>
          </w:tcPr>
          <w:p w:rsidR="002226E1" w:rsidRPr="00995906" w:rsidRDefault="002226E1" w:rsidP="00364734">
            <w:pPr>
              <w:pStyle w:val="GesAbsatz"/>
              <w:jc w:val="center"/>
              <w:rPr>
                <w:rFonts w:cs="Arial"/>
              </w:rPr>
            </w:pPr>
            <w:r w:rsidRPr="00995906">
              <w:rPr>
                <w:rFonts w:cs="Arial"/>
              </w:rPr>
              <w:t>1.1.1995</w:t>
            </w:r>
          </w:p>
        </w:tc>
      </w:tr>
      <w:tr w:rsidR="002226E1" w:rsidTr="006E2DB0">
        <w:tc>
          <w:tcPr>
            <w:tcW w:w="2943" w:type="dxa"/>
            <w:vMerge/>
          </w:tcPr>
          <w:p w:rsidR="002226E1" w:rsidRPr="00995906" w:rsidRDefault="002226E1" w:rsidP="00364734">
            <w:pPr>
              <w:pStyle w:val="GesAbsatz"/>
              <w:ind w:left="284" w:hanging="284"/>
              <w:rPr>
                <w:rFonts w:cs="Arial"/>
              </w:rPr>
            </w:pPr>
          </w:p>
        </w:tc>
        <w:tc>
          <w:tcPr>
            <w:tcW w:w="1985" w:type="dxa"/>
            <w:vMerge w:val="restart"/>
            <w:vAlign w:val="center"/>
          </w:tcPr>
          <w:p w:rsidR="002226E1" w:rsidRDefault="002226E1" w:rsidP="00364734">
            <w:pPr>
              <w:pStyle w:val="GesAbsatz"/>
              <w:jc w:val="center"/>
              <w:rPr>
                <w:rFonts w:cs="Arial"/>
              </w:rPr>
            </w:pPr>
            <w:r>
              <w:rPr>
                <w:rFonts w:cs="Arial"/>
              </w:rPr>
              <w:t>Tag</w:t>
            </w:r>
          </w:p>
        </w:tc>
        <w:tc>
          <w:tcPr>
            <w:tcW w:w="1417" w:type="dxa"/>
            <w:vAlign w:val="center"/>
          </w:tcPr>
          <w:p w:rsidR="002226E1" w:rsidRPr="00995906" w:rsidRDefault="002226E1" w:rsidP="00364734">
            <w:pPr>
              <w:pStyle w:val="GesAbsatz"/>
              <w:jc w:val="center"/>
              <w:rPr>
                <w:rFonts w:cs="Arial"/>
              </w:rPr>
            </w:pPr>
            <w:r w:rsidRPr="00995906">
              <w:rPr>
                <w:rFonts w:cs="Arial"/>
              </w:rPr>
              <w:t>24</w:t>
            </w:r>
          </w:p>
        </w:tc>
        <w:tc>
          <w:tcPr>
            <w:tcW w:w="1560" w:type="dxa"/>
          </w:tcPr>
          <w:p w:rsidR="002226E1" w:rsidRPr="00995906" w:rsidRDefault="002226E1" w:rsidP="00C92312">
            <w:pPr>
              <w:pStyle w:val="GesAbsatz"/>
              <w:jc w:val="center"/>
              <w:rPr>
                <w:rFonts w:cs="Arial"/>
              </w:rPr>
            </w:pPr>
            <w:r w:rsidRPr="00995906">
              <w:rPr>
                <w:rFonts w:cs="Arial"/>
              </w:rPr>
              <w:t>12</w:t>
            </w:r>
          </w:p>
        </w:tc>
        <w:tc>
          <w:tcPr>
            <w:tcW w:w="1651" w:type="dxa"/>
            <w:vAlign w:val="center"/>
          </w:tcPr>
          <w:p w:rsidR="002226E1" w:rsidRPr="00995906" w:rsidRDefault="002226E1" w:rsidP="00364734">
            <w:pPr>
              <w:pStyle w:val="GesAbsatz"/>
              <w:jc w:val="center"/>
              <w:rPr>
                <w:rFonts w:cs="Arial"/>
              </w:rPr>
            </w:pPr>
            <w:r w:rsidRPr="00995906">
              <w:rPr>
                <w:rFonts w:cs="Arial"/>
              </w:rPr>
              <w:t>1.1.1993</w:t>
            </w:r>
          </w:p>
        </w:tc>
      </w:tr>
      <w:tr w:rsidR="002226E1" w:rsidTr="006E2DB0">
        <w:tc>
          <w:tcPr>
            <w:tcW w:w="2943" w:type="dxa"/>
            <w:vMerge/>
          </w:tcPr>
          <w:p w:rsidR="002226E1" w:rsidRPr="00995906" w:rsidRDefault="002226E1" w:rsidP="00364734">
            <w:pPr>
              <w:pStyle w:val="GesAbsatz"/>
              <w:ind w:left="284" w:hanging="284"/>
              <w:rPr>
                <w:rFonts w:cs="Arial"/>
              </w:rPr>
            </w:pPr>
          </w:p>
        </w:tc>
        <w:tc>
          <w:tcPr>
            <w:tcW w:w="1985" w:type="dxa"/>
            <w:vMerge/>
            <w:vAlign w:val="center"/>
          </w:tcPr>
          <w:p w:rsidR="002226E1" w:rsidRDefault="002226E1" w:rsidP="00364734">
            <w:pPr>
              <w:pStyle w:val="GesAbsatz"/>
              <w:jc w:val="center"/>
              <w:rPr>
                <w:rFonts w:cs="Arial"/>
              </w:rPr>
            </w:pPr>
          </w:p>
        </w:tc>
        <w:tc>
          <w:tcPr>
            <w:tcW w:w="1417" w:type="dxa"/>
            <w:vAlign w:val="center"/>
          </w:tcPr>
          <w:p w:rsidR="002226E1" w:rsidRPr="00995906" w:rsidRDefault="002226E1" w:rsidP="00364734">
            <w:pPr>
              <w:pStyle w:val="GesAbsatz"/>
              <w:jc w:val="center"/>
              <w:rPr>
                <w:rFonts w:cs="Arial"/>
              </w:rPr>
            </w:pPr>
            <w:r w:rsidRPr="00995906">
              <w:rPr>
                <w:rFonts w:cs="Arial"/>
              </w:rPr>
              <w:t>10</w:t>
            </w:r>
          </w:p>
        </w:tc>
        <w:tc>
          <w:tcPr>
            <w:tcW w:w="1560" w:type="dxa"/>
            <w:vAlign w:val="center"/>
          </w:tcPr>
          <w:p w:rsidR="002226E1" w:rsidRPr="00995906" w:rsidRDefault="002226E1" w:rsidP="00364734">
            <w:pPr>
              <w:pStyle w:val="GesAbsatz"/>
              <w:jc w:val="center"/>
              <w:rPr>
                <w:rFonts w:cs="Arial"/>
              </w:rPr>
            </w:pPr>
            <w:r w:rsidRPr="00995906">
              <w:rPr>
                <w:rFonts w:cs="Arial"/>
              </w:rPr>
              <w:t>5</w:t>
            </w:r>
          </w:p>
        </w:tc>
        <w:tc>
          <w:tcPr>
            <w:tcW w:w="1651" w:type="dxa"/>
            <w:vAlign w:val="center"/>
          </w:tcPr>
          <w:p w:rsidR="002226E1" w:rsidRPr="00995906" w:rsidRDefault="002226E1" w:rsidP="00364734">
            <w:pPr>
              <w:pStyle w:val="GesAbsatz"/>
              <w:jc w:val="center"/>
              <w:rPr>
                <w:rFonts w:cs="Arial"/>
              </w:rPr>
            </w:pPr>
            <w:r w:rsidRPr="00995906">
              <w:rPr>
                <w:rFonts w:cs="Arial"/>
              </w:rPr>
              <w:t>1.1.1995</w:t>
            </w:r>
          </w:p>
        </w:tc>
      </w:tr>
      <w:tr w:rsidR="00B32807" w:rsidTr="006E2DB0">
        <w:tc>
          <w:tcPr>
            <w:tcW w:w="2943" w:type="dxa"/>
            <w:vMerge w:val="restart"/>
          </w:tcPr>
          <w:p w:rsidR="00B32807" w:rsidRPr="00995906" w:rsidRDefault="00B32807" w:rsidP="00364734">
            <w:pPr>
              <w:pStyle w:val="GesAbsatz"/>
              <w:ind w:left="284" w:hanging="284"/>
              <w:rPr>
                <w:rFonts w:cs="Arial"/>
              </w:rPr>
            </w:pPr>
            <w:r w:rsidRPr="00995906">
              <w:rPr>
                <w:rFonts w:cs="Arial"/>
              </w:rPr>
              <w:lastRenderedPageBreak/>
              <w:t>c)</w:t>
            </w:r>
            <w:r w:rsidR="00364734">
              <w:rPr>
                <w:rFonts w:cs="Arial"/>
              </w:rPr>
              <w:tab/>
            </w:r>
            <w:r w:rsidRPr="00995906">
              <w:rPr>
                <w:rFonts w:cs="Arial"/>
              </w:rPr>
              <w:t>Verarbeitung von 1,2-Dichlorethan zu anderen</w:t>
            </w:r>
            <w:r>
              <w:rPr>
                <w:rFonts w:cs="Arial"/>
              </w:rPr>
              <w:t xml:space="preserve"> </w:t>
            </w:r>
            <w:r w:rsidRPr="00995906">
              <w:rPr>
                <w:rFonts w:cs="Arial"/>
              </w:rPr>
              <w:t>Stoffen als Vinylchlorid</w:t>
            </w:r>
            <w:r w:rsidR="006E2DB0">
              <w:rPr>
                <w:rStyle w:val="Funotenzeichen"/>
                <w:rFonts w:cs="Arial"/>
              </w:rPr>
              <w:footnoteReference w:id="59"/>
            </w:r>
          </w:p>
        </w:tc>
        <w:tc>
          <w:tcPr>
            <w:tcW w:w="1985" w:type="dxa"/>
            <w:vAlign w:val="center"/>
          </w:tcPr>
          <w:p w:rsidR="00B32807" w:rsidRDefault="00B32807" w:rsidP="00364734">
            <w:pPr>
              <w:pStyle w:val="GesAbsatz"/>
              <w:jc w:val="center"/>
              <w:rPr>
                <w:rFonts w:cs="Arial"/>
              </w:rPr>
            </w:pPr>
            <w:r w:rsidRPr="00995906">
              <w:rPr>
                <w:rFonts w:cs="Arial"/>
              </w:rPr>
              <w:t>Monat</w:t>
            </w:r>
          </w:p>
        </w:tc>
        <w:tc>
          <w:tcPr>
            <w:tcW w:w="1417" w:type="dxa"/>
            <w:vAlign w:val="center"/>
          </w:tcPr>
          <w:p w:rsidR="00B32807" w:rsidRPr="00995906" w:rsidRDefault="00B32807" w:rsidP="00364734">
            <w:pPr>
              <w:pStyle w:val="GesAbsatz"/>
              <w:jc w:val="center"/>
              <w:rPr>
                <w:rFonts w:cs="Arial"/>
              </w:rPr>
            </w:pPr>
            <w:r w:rsidRPr="00995906">
              <w:rPr>
                <w:rFonts w:cs="Arial"/>
              </w:rPr>
              <w:t>2,5</w:t>
            </w:r>
          </w:p>
        </w:tc>
        <w:tc>
          <w:tcPr>
            <w:tcW w:w="1560" w:type="dxa"/>
            <w:vAlign w:val="center"/>
          </w:tcPr>
          <w:p w:rsidR="00B32807" w:rsidRPr="00995906" w:rsidRDefault="00B32807" w:rsidP="00364734">
            <w:pPr>
              <w:pStyle w:val="GesAbsatz"/>
              <w:jc w:val="center"/>
              <w:rPr>
                <w:rFonts w:cs="Arial"/>
              </w:rPr>
            </w:pPr>
            <w:r>
              <w:rPr>
                <w:rFonts w:cs="Arial"/>
              </w:rPr>
              <w:t>1</w:t>
            </w:r>
          </w:p>
        </w:tc>
        <w:tc>
          <w:tcPr>
            <w:tcW w:w="1651" w:type="dxa"/>
            <w:vAlign w:val="center"/>
          </w:tcPr>
          <w:p w:rsidR="00B32807" w:rsidRPr="00995906" w:rsidRDefault="00B32807" w:rsidP="00364734">
            <w:pPr>
              <w:pStyle w:val="GesAbsatz"/>
              <w:jc w:val="center"/>
              <w:rPr>
                <w:rFonts w:cs="Arial"/>
              </w:rPr>
            </w:pPr>
            <w:r w:rsidRPr="00995906">
              <w:rPr>
                <w:rFonts w:cs="Arial"/>
              </w:rPr>
              <w:t>1.1.1993</w:t>
            </w:r>
          </w:p>
        </w:tc>
      </w:tr>
      <w:tr w:rsidR="00B32807" w:rsidTr="006E2DB0">
        <w:tc>
          <w:tcPr>
            <w:tcW w:w="2943" w:type="dxa"/>
            <w:vMerge/>
          </w:tcPr>
          <w:p w:rsidR="00B32807" w:rsidRPr="00995906" w:rsidRDefault="00B32807" w:rsidP="006C5DF9">
            <w:pPr>
              <w:pStyle w:val="GesAbsatz"/>
              <w:rPr>
                <w:rFonts w:cs="Arial"/>
              </w:rPr>
            </w:pPr>
          </w:p>
        </w:tc>
        <w:tc>
          <w:tcPr>
            <w:tcW w:w="1985" w:type="dxa"/>
            <w:vAlign w:val="center"/>
          </w:tcPr>
          <w:p w:rsidR="00B32807" w:rsidRDefault="00B32807" w:rsidP="00364734">
            <w:pPr>
              <w:pStyle w:val="GesAbsatz"/>
              <w:jc w:val="center"/>
              <w:rPr>
                <w:rFonts w:cs="Arial"/>
              </w:rPr>
            </w:pPr>
            <w:r w:rsidRPr="00995906">
              <w:rPr>
                <w:rFonts w:cs="Arial"/>
              </w:rPr>
              <w:t>Tag</w:t>
            </w:r>
          </w:p>
        </w:tc>
        <w:tc>
          <w:tcPr>
            <w:tcW w:w="1417" w:type="dxa"/>
            <w:vAlign w:val="center"/>
          </w:tcPr>
          <w:p w:rsidR="00B32807" w:rsidRPr="00995906" w:rsidRDefault="00B32807" w:rsidP="00364734">
            <w:pPr>
              <w:pStyle w:val="GesAbsatz"/>
              <w:jc w:val="center"/>
              <w:rPr>
                <w:rFonts w:cs="Arial"/>
              </w:rPr>
            </w:pPr>
            <w:r w:rsidRPr="00995906">
              <w:rPr>
                <w:rFonts w:cs="Arial"/>
              </w:rPr>
              <w:t>5</w:t>
            </w:r>
          </w:p>
        </w:tc>
        <w:tc>
          <w:tcPr>
            <w:tcW w:w="1560" w:type="dxa"/>
            <w:vAlign w:val="center"/>
          </w:tcPr>
          <w:p w:rsidR="00B32807" w:rsidRPr="00995906" w:rsidRDefault="00B32807" w:rsidP="00364734">
            <w:pPr>
              <w:pStyle w:val="GesAbsatz"/>
              <w:jc w:val="center"/>
              <w:rPr>
                <w:rFonts w:cs="Arial"/>
              </w:rPr>
            </w:pPr>
            <w:r w:rsidRPr="00995906">
              <w:rPr>
                <w:rFonts w:cs="Arial"/>
              </w:rPr>
              <w:t>2</w:t>
            </w:r>
          </w:p>
        </w:tc>
        <w:tc>
          <w:tcPr>
            <w:tcW w:w="1651" w:type="dxa"/>
            <w:vAlign w:val="center"/>
          </w:tcPr>
          <w:p w:rsidR="00B32807" w:rsidRPr="00995906" w:rsidRDefault="00B32807" w:rsidP="00364734">
            <w:pPr>
              <w:pStyle w:val="GesAbsatz"/>
              <w:jc w:val="center"/>
              <w:rPr>
                <w:rFonts w:cs="Arial"/>
              </w:rPr>
            </w:pPr>
            <w:r w:rsidRPr="00995906">
              <w:rPr>
                <w:rFonts w:cs="Arial"/>
              </w:rPr>
              <w:t>1.1.1993</w:t>
            </w:r>
          </w:p>
        </w:tc>
      </w:tr>
      <w:tr w:rsidR="00C251DB" w:rsidTr="006E2DB0">
        <w:tc>
          <w:tcPr>
            <w:tcW w:w="2943" w:type="dxa"/>
            <w:vMerge w:val="restart"/>
          </w:tcPr>
          <w:p w:rsidR="00C251DB" w:rsidRPr="00995906" w:rsidRDefault="00C251DB" w:rsidP="00C251DB">
            <w:pPr>
              <w:pStyle w:val="GesAbsatz"/>
              <w:ind w:left="284" w:hanging="284"/>
              <w:rPr>
                <w:rFonts w:cs="Arial"/>
              </w:rPr>
            </w:pPr>
            <w:r w:rsidRPr="00995906">
              <w:rPr>
                <w:rFonts w:cs="Arial"/>
              </w:rPr>
              <w:t>d)</w:t>
            </w:r>
            <w:r>
              <w:rPr>
                <w:rFonts w:cs="Arial"/>
              </w:rPr>
              <w:tab/>
            </w:r>
            <w:r w:rsidRPr="00995906">
              <w:rPr>
                <w:rFonts w:cs="Arial"/>
              </w:rPr>
              <w:t>Verwendung von EDC</w:t>
            </w:r>
            <w:r>
              <w:rPr>
                <w:rFonts w:cs="Arial"/>
              </w:rPr>
              <w:t xml:space="preserve"> </w:t>
            </w:r>
            <w:r w:rsidRPr="00995906">
              <w:rPr>
                <w:rFonts w:cs="Arial"/>
              </w:rPr>
              <w:t>zum Entfetten von Metallen</w:t>
            </w:r>
            <w:r>
              <w:rPr>
                <w:rFonts w:cs="Arial"/>
              </w:rPr>
              <w:t xml:space="preserve"> </w:t>
            </w:r>
            <w:r w:rsidRPr="00995906">
              <w:rPr>
                <w:rFonts w:cs="Arial"/>
              </w:rPr>
              <w:t>(außerhalb des</w:t>
            </w:r>
            <w:r>
              <w:rPr>
                <w:rFonts w:cs="Arial"/>
              </w:rPr>
              <w:t xml:space="preserve"> </w:t>
            </w:r>
            <w:r w:rsidRPr="00995906">
              <w:rPr>
                <w:rFonts w:cs="Arial"/>
              </w:rPr>
              <w:t>unter Buchstabe b) genannten</w:t>
            </w:r>
            <w:r>
              <w:rPr>
                <w:rFonts w:cs="Arial"/>
              </w:rPr>
              <w:t xml:space="preserve"> </w:t>
            </w:r>
            <w:r w:rsidR="003C4C86">
              <w:rPr>
                <w:rFonts w:cs="Arial"/>
              </w:rPr>
              <w:t>Werk</w:t>
            </w:r>
            <w:r w:rsidRPr="00995906">
              <w:rPr>
                <w:rFonts w:cs="Arial"/>
              </w:rPr>
              <w:t>sgeländes)</w:t>
            </w:r>
            <w:r w:rsidR="006E2DB0">
              <w:rPr>
                <w:rStyle w:val="Funotenzeichen"/>
                <w:rFonts w:cs="Arial"/>
              </w:rPr>
              <w:footnoteReference w:id="60"/>
            </w:r>
          </w:p>
        </w:tc>
        <w:tc>
          <w:tcPr>
            <w:tcW w:w="1985" w:type="dxa"/>
            <w:vAlign w:val="center"/>
          </w:tcPr>
          <w:p w:rsidR="00C251DB" w:rsidRDefault="00C251DB" w:rsidP="00C251DB">
            <w:pPr>
              <w:pStyle w:val="GesAbsatz"/>
              <w:jc w:val="center"/>
              <w:rPr>
                <w:rFonts w:cs="Arial"/>
              </w:rPr>
            </w:pPr>
            <w:r w:rsidRPr="00995906">
              <w:rPr>
                <w:rFonts w:cs="Arial"/>
              </w:rPr>
              <w:t>Monat</w:t>
            </w:r>
          </w:p>
        </w:tc>
        <w:tc>
          <w:tcPr>
            <w:tcW w:w="1417" w:type="dxa"/>
            <w:vAlign w:val="center"/>
          </w:tcPr>
          <w:p w:rsidR="00C251DB" w:rsidRPr="00995906" w:rsidRDefault="00C251DB" w:rsidP="00C251DB">
            <w:pPr>
              <w:pStyle w:val="GesAbsatz"/>
              <w:jc w:val="center"/>
              <w:rPr>
                <w:rFonts w:cs="Arial"/>
              </w:rPr>
            </w:pPr>
            <w:r w:rsidRPr="00995906">
              <w:rPr>
                <w:rFonts w:cs="Arial"/>
              </w:rPr>
              <w:t>-</w:t>
            </w:r>
          </w:p>
        </w:tc>
        <w:tc>
          <w:tcPr>
            <w:tcW w:w="1560" w:type="dxa"/>
            <w:vAlign w:val="center"/>
          </w:tcPr>
          <w:p w:rsidR="00C251DB" w:rsidRPr="00995906" w:rsidRDefault="00C251DB" w:rsidP="00C251DB">
            <w:pPr>
              <w:pStyle w:val="GesAbsatz"/>
              <w:jc w:val="center"/>
              <w:rPr>
                <w:rFonts w:cs="Arial"/>
              </w:rPr>
            </w:pPr>
            <w:r w:rsidRPr="00995906">
              <w:rPr>
                <w:rFonts w:cs="Arial"/>
              </w:rPr>
              <w:t>0,1</w:t>
            </w:r>
          </w:p>
        </w:tc>
        <w:tc>
          <w:tcPr>
            <w:tcW w:w="1651" w:type="dxa"/>
            <w:vAlign w:val="center"/>
          </w:tcPr>
          <w:p w:rsidR="00C251DB" w:rsidRPr="00995906" w:rsidRDefault="00C251DB" w:rsidP="00C251DB">
            <w:pPr>
              <w:pStyle w:val="GesAbsatz"/>
              <w:jc w:val="center"/>
              <w:rPr>
                <w:rFonts w:cs="Arial"/>
              </w:rPr>
            </w:pPr>
            <w:r w:rsidRPr="00995906">
              <w:rPr>
                <w:rFonts w:cs="Arial"/>
              </w:rPr>
              <w:t>1.1.1993</w:t>
            </w:r>
          </w:p>
        </w:tc>
      </w:tr>
      <w:tr w:rsidR="00C251DB" w:rsidTr="006E2DB0">
        <w:tc>
          <w:tcPr>
            <w:tcW w:w="2943" w:type="dxa"/>
            <w:vMerge/>
          </w:tcPr>
          <w:p w:rsidR="00C251DB" w:rsidRPr="00995906" w:rsidRDefault="00C251DB" w:rsidP="00C251DB">
            <w:pPr>
              <w:pStyle w:val="GesAbsatz"/>
              <w:rPr>
                <w:rFonts w:cs="Arial"/>
              </w:rPr>
            </w:pPr>
          </w:p>
        </w:tc>
        <w:tc>
          <w:tcPr>
            <w:tcW w:w="1985" w:type="dxa"/>
            <w:vAlign w:val="center"/>
          </w:tcPr>
          <w:p w:rsidR="00C251DB" w:rsidRDefault="00C251DB" w:rsidP="00C251DB">
            <w:pPr>
              <w:pStyle w:val="GesAbsatz"/>
              <w:jc w:val="center"/>
              <w:rPr>
                <w:rFonts w:cs="Arial"/>
              </w:rPr>
            </w:pPr>
            <w:r w:rsidRPr="00995906">
              <w:rPr>
                <w:rFonts w:cs="Arial"/>
              </w:rPr>
              <w:t>Tag</w:t>
            </w:r>
          </w:p>
        </w:tc>
        <w:tc>
          <w:tcPr>
            <w:tcW w:w="1417" w:type="dxa"/>
            <w:vAlign w:val="center"/>
          </w:tcPr>
          <w:p w:rsidR="00C251DB" w:rsidRPr="00995906" w:rsidRDefault="00C251DB" w:rsidP="00C251DB">
            <w:pPr>
              <w:pStyle w:val="GesAbsatz"/>
              <w:jc w:val="center"/>
              <w:rPr>
                <w:rFonts w:cs="Arial"/>
              </w:rPr>
            </w:pPr>
            <w:r w:rsidRPr="00995906">
              <w:rPr>
                <w:rFonts w:cs="Arial"/>
              </w:rPr>
              <w:t>-</w:t>
            </w:r>
          </w:p>
        </w:tc>
        <w:tc>
          <w:tcPr>
            <w:tcW w:w="1560" w:type="dxa"/>
            <w:vAlign w:val="center"/>
          </w:tcPr>
          <w:p w:rsidR="00C251DB" w:rsidRPr="00995906" w:rsidRDefault="00C251DB" w:rsidP="00C251DB">
            <w:pPr>
              <w:pStyle w:val="GesAbsatz"/>
              <w:jc w:val="center"/>
              <w:rPr>
                <w:rFonts w:cs="Arial"/>
              </w:rPr>
            </w:pPr>
            <w:r w:rsidRPr="00995906">
              <w:rPr>
                <w:rFonts w:cs="Arial"/>
              </w:rPr>
              <w:t>0,2</w:t>
            </w:r>
          </w:p>
        </w:tc>
        <w:tc>
          <w:tcPr>
            <w:tcW w:w="1651" w:type="dxa"/>
            <w:vAlign w:val="center"/>
          </w:tcPr>
          <w:p w:rsidR="00C251DB" w:rsidRPr="00995906" w:rsidRDefault="00C251DB" w:rsidP="00C251DB">
            <w:pPr>
              <w:pStyle w:val="GesAbsatz"/>
              <w:jc w:val="center"/>
              <w:rPr>
                <w:rFonts w:cs="Arial"/>
              </w:rPr>
            </w:pPr>
            <w:r w:rsidRPr="00995906">
              <w:rPr>
                <w:rFonts w:cs="Arial"/>
              </w:rPr>
              <w:t>1.1.1993</w:t>
            </w:r>
          </w:p>
        </w:tc>
      </w:tr>
      <w:tr w:rsidR="00C251DB" w:rsidTr="006E2DB0">
        <w:tc>
          <w:tcPr>
            <w:tcW w:w="2943" w:type="dxa"/>
            <w:vMerge w:val="restart"/>
          </w:tcPr>
          <w:p w:rsidR="00C251DB" w:rsidRPr="00995906" w:rsidRDefault="00C251DB" w:rsidP="00C251DB">
            <w:pPr>
              <w:pStyle w:val="GesAbsatz"/>
              <w:ind w:left="284" w:hanging="284"/>
              <w:rPr>
                <w:rFonts w:cs="Arial"/>
              </w:rPr>
            </w:pPr>
            <w:r w:rsidRPr="00995906">
              <w:rPr>
                <w:rFonts w:cs="Arial"/>
              </w:rPr>
              <w:t>e)</w:t>
            </w:r>
            <w:r>
              <w:rPr>
                <w:rFonts w:cs="Arial"/>
              </w:rPr>
              <w:tab/>
            </w:r>
            <w:r w:rsidRPr="00995906">
              <w:rPr>
                <w:rFonts w:cs="Arial"/>
              </w:rPr>
              <w:t>Verwendung von EDC</w:t>
            </w:r>
            <w:r>
              <w:rPr>
                <w:rFonts w:cs="Arial"/>
              </w:rPr>
              <w:t xml:space="preserve"> </w:t>
            </w:r>
            <w:r w:rsidRPr="00995906">
              <w:rPr>
                <w:rFonts w:cs="Arial"/>
              </w:rPr>
              <w:t>für die Herstellung von</w:t>
            </w:r>
            <w:r>
              <w:rPr>
                <w:rFonts w:cs="Arial"/>
              </w:rPr>
              <w:t xml:space="preserve"> </w:t>
            </w:r>
            <w:r w:rsidRPr="00995906">
              <w:rPr>
                <w:rFonts w:cs="Arial"/>
              </w:rPr>
              <w:t>Ione</w:t>
            </w:r>
            <w:r w:rsidRPr="00995906">
              <w:rPr>
                <w:rFonts w:cs="Arial"/>
              </w:rPr>
              <w:t>n</w:t>
            </w:r>
            <w:r w:rsidRPr="00995906">
              <w:rPr>
                <w:rFonts w:cs="Arial"/>
              </w:rPr>
              <w:t>austauschern</w:t>
            </w:r>
            <w:r w:rsidR="006E2DB0">
              <w:rPr>
                <w:rStyle w:val="Funotenzeichen"/>
                <w:rFonts w:cs="Arial"/>
              </w:rPr>
              <w:footnoteReference w:id="61"/>
            </w:r>
          </w:p>
        </w:tc>
        <w:tc>
          <w:tcPr>
            <w:tcW w:w="1985" w:type="dxa"/>
          </w:tcPr>
          <w:p w:rsidR="00C251DB" w:rsidRPr="00995906" w:rsidRDefault="00C251DB" w:rsidP="00C251DB">
            <w:pPr>
              <w:pStyle w:val="GesAbsatz"/>
              <w:jc w:val="center"/>
              <w:rPr>
                <w:rFonts w:cs="Arial"/>
              </w:rPr>
            </w:pPr>
            <w:r w:rsidRPr="00995906">
              <w:rPr>
                <w:rFonts w:cs="Arial"/>
              </w:rPr>
              <w:t>Monat</w:t>
            </w:r>
          </w:p>
        </w:tc>
        <w:tc>
          <w:tcPr>
            <w:tcW w:w="1417" w:type="dxa"/>
          </w:tcPr>
          <w:p w:rsidR="00C251DB" w:rsidRPr="00995906" w:rsidRDefault="00C251DB" w:rsidP="00C251DB">
            <w:pPr>
              <w:pStyle w:val="GesAbsatz"/>
              <w:jc w:val="center"/>
              <w:rPr>
                <w:rFonts w:cs="Arial"/>
              </w:rPr>
            </w:pPr>
            <w:r w:rsidRPr="00995906">
              <w:rPr>
                <w:rFonts w:cs="Arial"/>
              </w:rPr>
              <w:t>-</w:t>
            </w:r>
          </w:p>
        </w:tc>
        <w:tc>
          <w:tcPr>
            <w:tcW w:w="1560" w:type="dxa"/>
          </w:tcPr>
          <w:p w:rsidR="00C251DB" w:rsidRPr="00995906" w:rsidRDefault="00C251DB" w:rsidP="00C251DB">
            <w:pPr>
              <w:pStyle w:val="GesAbsatz"/>
              <w:jc w:val="center"/>
              <w:rPr>
                <w:rFonts w:cs="Arial"/>
              </w:rPr>
            </w:pPr>
            <w:r w:rsidRPr="00995906">
              <w:rPr>
                <w:rFonts w:cs="Arial"/>
              </w:rPr>
              <w:t>-</w:t>
            </w:r>
          </w:p>
        </w:tc>
        <w:tc>
          <w:tcPr>
            <w:tcW w:w="1651" w:type="dxa"/>
          </w:tcPr>
          <w:p w:rsidR="00C251DB" w:rsidRPr="00995906" w:rsidRDefault="00C251DB" w:rsidP="00C251DB">
            <w:pPr>
              <w:pStyle w:val="GesAbsatz"/>
              <w:jc w:val="center"/>
              <w:rPr>
                <w:rFonts w:cs="Arial"/>
              </w:rPr>
            </w:pPr>
            <w:r w:rsidRPr="00995906">
              <w:rPr>
                <w:rFonts w:cs="Arial"/>
              </w:rPr>
              <w:t>-</w:t>
            </w:r>
          </w:p>
        </w:tc>
      </w:tr>
      <w:tr w:rsidR="00C251DB" w:rsidTr="006E2DB0">
        <w:tc>
          <w:tcPr>
            <w:tcW w:w="2943" w:type="dxa"/>
            <w:vMerge/>
          </w:tcPr>
          <w:p w:rsidR="00C251DB" w:rsidRPr="00995906" w:rsidRDefault="00C251DB" w:rsidP="00C251DB">
            <w:pPr>
              <w:pStyle w:val="GesAbsatz"/>
              <w:rPr>
                <w:rFonts w:cs="Arial"/>
              </w:rPr>
            </w:pPr>
          </w:p>
        </w:tc>
        <w:tc>
          <w:tcPr>
            <w:tcW w:w="1985" w:type="dxa"/>
            <w:vAlign w:val="center"/>
          </w:tcPr>
          <w:p w:rsidR="00C251DB" w:rsidRPr="00995906" w:rsidRDefault="00C251DB" w:rsidP="00C251DB">
            <w:pPr>
              <w:pStyle w:val="GesAbsatz"/>
              <w:jc w:val="center"/>
              <w:rPr>
                <w:rFonts w:cs="Arial"/>
              </w:rPr>
            </w:pPr>
            <w:r w:rsidRPr="00995906">
              <w:rPr>
                <w:rFonts w:cs="Arial"/>
              </w:rPr>
              <w:t>Tag</w:t>
            </w:r>
          </w:p>
        </w:tc>
        <w:tc>
          <w:tcPr>
            <w:tcW w:w="1417" w:type="dxa"/>
            <w:vAlign w:val="center"/>
          </w:tcPr>
          <w:p w:rsidR="00C251DB" w:rsidRPr="00995906" w:rsidRDefault="00C251DB" w:rsidP="00C251DB">
            <w:pPr>
              <w:pStyle w:val="GesAbsatz"/>
              <w:jc w:val="center"/>
              <w:rPr>
                <w:rFonts w:cs="Arial"/>
              </w:rPr>
            </w:pPr>
            <w:r w:rsidRPr="00995906">
              <w:rPr>
                <w:rFonts w:cs="Arial"/>
              </w:rPr>
              <w:t>-</w:t>
            </w:r>
          </w:p>
        </w:tc>
        <w:tc>
          <w:tcPr>
            <w:tcW w:w="1560" w:type="dxa"/>
            <w:vAlign w:val="center"/>
          </w:tcPr>
          <w:p w:rsidR="00C251DB" w:rsidRPr="00995906" w:rsidRDefault="00C251DB" w:rsidP="00C251DB">
            <w:pPr>
              <w:pStyle w:val="GesAbsatz"/>
              <w:jc w:val="center"/>
              <w:rPr>
                <w:rFonts w:cs="Arial"/>
              </w:rPr>
            </w:pPr>
            <w:r w:rsidRPr="00995906">
              <w:rPr>
                <w:rFonts w:cs="Arial"/>
              </w:rPr>
              <w:t>-</w:t>
            </w:r>
          </w:p>
        </w:tc>
        <w:tc>
          <w:tcPr>
            <w:tcW w:w="1651" w:type="dxa"/>
            <w:vAlign w:val="center"/>
          </w:tcPr>
          <w:p w:rsidR="00C251DB" w:rsidRPr="00995906" w:rsidRDefault="00C251DB" w:rsidP="00C251DB">
            <w:pPr>
              <w:pStyle w:val="GesAbsatz"/>
              <w:jc w:val="center"/>
              <w:rPr>
                <w:rFonts w:cs="Arial"/>
              </w:rPr>
            </w:pPr>
            <w:r w:rsidRPr="00995906">
              <w:rPr>
                <w:rFonts w:cs="Arial"/>
              </w:rPr>
              <w:t>-</w:t>
            </w:r>
          </w:p>
        </w:tc>
      </w:tr>
    </w:tbl>
    <w:p w:rsidR="00C251DB" w:rsidRDefault="0049151F" w:rsidP="00995906">
      <w:pPr>
        <w:pStyle w:val="GesAbsatz"/>
        <w:rPr>
          <w:rFonts w:cs="Arial"/>
        </w:rPr>
      </w:pPr>
      <w:r w:rsidRPr="00995906">
        <w:rPr>
          <w:rFonts w:cs="Arial"/>
        </w:rPr>
        <w:t>Die Kommission wird die Ergebnisse der gemäß Artikel 13 Absatz 1 dritter Gedankenstrich der Richtl</w:t>
      </w:r>
      <w:r w:rsidRPr="00995906">
        <w:rPr>
          <w:rFonts w:cs="Arial"/>
        </w:rPr>
        <w:t>i</w:t>
      </w:r>
      <w:r w:rsidRPr="00995906">
        <w:rPr>
          <w:rFonts w:cs="Arial"/>
        </w:rPr>
        <w:t>nie</w:t>
      </w:r>
      <w:r w:rsidR="00F808D0">
        <w:rPr>
          <w:rFonts w:cs="Arial"/>
        </w:rPr>
        <w:t> </w:t>
      </w:r>
      <w:r w:rsidRPr="00995906">
        <w:rPr>
          <w:rFonts w:cs="Arial"/>
        </w:rPr>
        <w:t>76/464/EWG durchgeführten Überprüfung mit einer Richtkonzentration von 2,5 µg/l vergleichen.</w:t>
      </w:r>
    </w:p>
    <w:p w:rsidR="0049151F" w:rsidRPr="00995906" w:rsidRDefault="0049151F" w:rsidP="00995906">
      <w:pPr>
        <w:pStyle w:val="GesAbsatz"/>
        <w:rPr>
          <w:rFonts w:cs="Arial"/>
        </w:rPr>
      </w:pPr>
      <w:r w:rsidRPr="00995906">
        <w:rPr>
          <w:rFonts w:cs="Arial"/>
        </w:rPr>
        <w:t>Die Kommission wird bis 1998 die Qualitätsziele aufgrund der Erfahrungen mit der Anwendung dieser Ma</w:t>
      </w:r>
      <w:r w:rsidRPr="00995906">
        <w:rPr>
          <w:rFonts w:cs="Arial"/>
        </w:rPr>
        <w:t>ß</w:t>
      </w:r>
      <w:r w:rsidRPr="00995906">
        <w:rPr>
          <w:rFonts w:cs="Arial"/>
        </w:rPr>
        <w:t>nahmen</w:t>
      </w:r>
      <w:r w:rsidR="00C251DB">
        <w:rPr>
          <w:rFonts w:cs="Arial"/>
        </w:rPr>
        <w:t xml:space="preserve"> </w:t>
      </w:r>
      <w:r w:rsidRPr="00995906">
        <w:rPr>
          <w:rFonts w:cs="Arial"/>
        </w:rPr>
        <w:t>überprüfen.</w:t>
      </w:r>
    </w:p>
    <w:p w:rsidR="0049151F" w:rsidRPr="00995906" w:rsidRDefault="0049151F" w:rsidP="00995906">
      <w:pPr>
        <w:pStyle w:val="GesAbsatz"/>
        <w:rPr>
          <w:rFonts w:cs="Arial"/>
        </w:rPr>
      </w:pPr>
      <w:r w:rsidRPr="00C251DB">
        <w:rPr>
          <w:rFonts w:cs="Arial"/>
          <w:b/>
        </w:rPr>
        <w:t>Teil C (59):</w:t>
      </w:r>
      <w:r w:rsidRPr="00995906">
        <w:rPr>
          <w:rFonts w:cs="Arial"/>
        </w:rPr>
        <w:t xml:space="preserve"> Referenzme</w:t>
      </w:r>
      <w:r w:rsidR="00C251DB">
        <w:rPr>
          <w:rFonts w:cs="Arial"/>
        </w:rPr>
        <w:t>ß</w:t>
      </w:r>
      <w:r w:rsidRPr="00995906">
        <w:rPr>
          <w:rFonts w:cs="Arial"/>
        </w:rPr>
        <w:t>verfahren</w:t>
      </w:r>
    </w:p>
    <w:p w:rsidR="0049151F" w:rsidRPr="00995906" w:rsidRDefault="0049151F" w:rsidP="0071150D">
      <w:pPr>
        <w:pStyle w:val="GesAbsatz"/>
        <w:ind w:left="426" w:hanging="426"/>
        <w:rPr>
          <w:rFonts w:cs="Arial"/>
        </w:rPr>
      </w:pPr>
      <w:r w:rsidRPr="00995906">
        <w:rPr>
          <w:rFonts w:cs="Arial"/>
        </w:rPr>
        <w:t>1.</w:t>
      </w:r>
      <w:r w:rsidR="0071150D">
        <w:rPr>
          <w:rFonts w:cs="Arial"/>
        </w:rPr>
        <w:tab/>
      </w:r>
      <w:r w:rsidRPr="00995906">
        <w:rPr>
          <w:rFonts w:cs="Arial"/>
        </w:rPr>
        <w:t>Das Referenzme</w:t>
      </w:r>
      <w:r w:rsidR="00C251DB">
        <w:rPr>
          <w:rFonts w:cs="Arial"/>
        </w:rPr>
        <w:t>ß</w:t>
      </w:r>
      <w:r w:rsidRPr="00995906">
        <w:rPr>
          <w:rFonts w:cs="Arial"/>
        </w:rPr>
        <w:t>verfahren zur Bestimmung von 1,2-Dichlorethan in Abwässern und Gewässern ist</w:t>
      </w:r>
      <w:r w:rsidR="0071150D">
        <w:rPr>
          <w:rFonts w:cs="Arial"/>
        </w:rPr>
        <w:t xml:space="preserve"> </w:t>
      </w:r>
      <w:r w:rsidRPr="00995906">
        <w:rPr>
          <w:rFonts w:cs="Arial"/>
        </w:rPr>
        <w:t>die Gaschromatographie mit Elektroneneinfangdetektor nach Extraktion mit einem geeigneten Lösemittel</w:t>
      </w:r>
      <w:r w:rsidR="0071150D">
        <w:rPr>
          <w:rFonts w:cs="Arial"/>
        </w:rPr>
        <w:t xml:space="preserve"> </w:t>
      </w:r>
      <w:r w:rsidRPr="00995906">
        <w:rPr>
          <w:rFonts w:cs="Arial"/>
        </w:rPr>
        <w:t>oder die Gaschromatographie nach Isolierung mit dem "purge and trap"-Verfahren und Ausfrieren</w:t>
      </w:r>
      <w:r w:rsidR="0071150D">
        <w:rPr>
          <w:rFonts w:cs="Arial"/>
        </w:rPr>
        <w:t xml:space="preserve"> </w:t>
      </w:r>
      <w:r w:rsidRPr="00995906">
        <w:rPr>
          <w:rFonts w:cs="Arial"/>
        </w:rPr>
        <w:t>mit Hilfe einer kryogenen Kapillarkühlfalle. Die Bestimmungsgrenze liegt bei 10 µg/l für Abwässer</w:t>
      </w:r>
      <w:r w:rsidR="0071150D">
        <w:rPr>
          <w:rFonts w:cs="Arial"/>
        </w:rPr>
        <w:t xml:space="preserve"> </w:t>
      </w:r>
      <w:r w:rsidRPr="00995906">
        <w:rPr>
          <w:rFonts w:cs="Arial"/>
        </w:rPr>
        <w:t>und 1 µg/l für Gewässer.</w:t>
      </w:r>
    </w:p>
    <w:p w:rsidR="0049151F" w:rsidRPr="00995906" w:rsidRDefault="0049151F" w:rsidP="0071150D">
      <w:pPr>
        <w:pStyle w:val="GesAbsatz"/>
        <w:ind w:left="426" w:hanging="426"/>
        <w:rPr>
          <w:rFonts w:cs="Arial"/>
        </w:rPr>
      </w:pPr>
      <w:r w:rsidRPr="00995906">
        <w:rPr>
          <w:rFonts w:cs="Arial"/>
        </w:rPr>
        <w:t>2.</w:t>
      </w:r>
      <w:r w:rsidR="0071150D">
        <w:rPr>
          <w:rFonts w:cs="Arial"/>
        </w:rPr>
        <w:tab/>
      </w:r>
      <w:r w:rsidRPr="00995906">
        <w:rPr>
          <w:rFonts w:cs="Arial"/>
        </w:rPr>
        <w:t>Die Genauigkeit und die Richtigkeit der Methode müssen gewährleisten, da</w:t>
      </w:r>
      <w:r w:rsidR="0071150D">
        <w:rPr>
          <w:rFonts w:cs="Arial"/>
        </w:rPr>
        <w:t>ß</w:t>
      </w:r>
      <w:r w:rsidRPr="00995906">
        <w:rPr>
          <w:rFonts w:cs="Arial"/>
        </w:rPr>
        <w:t xml:space="preserve"> die Me</w:t>
      </w:r>
      <w:r w:rsidR="0071150D">
        <w:rPr>
          <w:rFonts w:cs="Arial"/>
        </w:rPr>
        <w:t>ß</w:t>
      </w:r>
      <w:r w:rsidRPr="00995906">
        <w:rPr>
          <w:rFonts w:cs="Arial"/>
        </w:rPr>
        <w:t>ergebnisse bei</w:t>
      </w:r>
      <w:r w:rsidR="003C4C86">
        <w:rPr>
          <w:rFonts w:cs="Arial"/>
        </w:rPr>
        <w:t xml:space="preserve"> </w:t>
      </w:r>
      <w:r w:rsidRPr="00995906">
        <w:rPr>
          <w:rFonts w:cs="Arial"/>
        </w:rPr>
        <w:t>einer Konzentration, die dem doppelten Wert der Bestimmungsgrenze entspricht, höchstens um 50 %</w:t>
      </w:r>
      <w:r w:rsidR="0071150D">
        <w:rPr>
          <w:rFonts w:cs="Arial"/>
        </w:rPr>
        <w:t xml:space="preserve"> </w:t>
      </w:r>
      <w:r w:rsidRPr="00995906">
        <w:rPr>
          <w:rFonts w:cs="Arial"/>
        </w:rPr>
        <w:t>abweichen.</w:t>
      </w:r>
    </w:p>
    <w:p w:rsidR="0049151F" w:rsidRPr="00995906" w:rsidRDefault="0049151F" w:rsidP="0071150D">
      <w:pPr>
        <w:pStyle w:val="GesAbsatz"/>
        <w:ind w:left="426" w:hanging="426"/>
        <w:rPr>
          <w:rFonts w:cs="Arial"/>
        </w:rPr>
      </w:pPr>
      <w:r w:rsidRPr="00995906">
        <w:rPr>
          <w:rFonts w:cs="Arial"/>
        </w:rPr>
        <w:t>3.</w:t>
      </w:r>
      <w:r w:rsidR="0071150D">
        <w:rPr>
          <w:rFonts w:cs="Arial"/>
        </w:rPr>
        <w:tab/>
      </w:r>
      <w:r w:rsidRPr="00995906">
        <w:rPr>
          <w:rFonts w:cs="Arial"/>
        </w:rPr>
        <w:t>Die Mitgliedstaaten können bis zum Erla</w:t>
      </w:r>
      <w:r w:rsidR="0071150D">
        <w:rPr>
          <w:rFonts w:cs="Arial"/>
        </w:rPr>
        <w:t>ß</w:t>
      </w:r>
      <w:r w:rsidRPr="00995906">
        <w:rPr>
          <w:rFonts w:cs="Arial"/>
        </w:rPr>
        <w:t xml:space="preserve"> der allgemeinen Richtlinie über Lösemittel die EDC</w:t>
      </w:r>
      <w:r w:rsidR="0071150D">
        <w:rPr>
          <w:rFonts w:cs="Arial"/>
        </w:rPr>
        <w:t>-</w:t>
      </w:r>
      <w:r w:rsidRPr="00995906">
        <w:rPr>
          <w:rFonts w:cs="Arial"/>
        </w:rPr>
        <w:t>Konzentration</w:t>
      </w:r>
      <w:r w:rsidR="0071150D">
        <w:rPr>
          <w:rFonts w:cs="Arial"/>
        </w:rPr>
        <w:t xml:space="preserve"> </w:t>
      </w:r>
      <w:r w:rsidRPr="00995906">
        <w:rPr>
          <w:rFonts w:cs="Arial"/>
        </w:rPr>
        <w:t>im Verhältnis zu der Menge AOX, EOX oder VOX bestimmen, sofern gegenüber der</w:t>
      </w:r>
      <w:r w:rsidR="0071150D">
        <w:rPr>
          <w:rFonts w:cs="Arial"/>
        </w:rPr>
        <w:t xml:space="preserve"> </w:t>
      </w:r>
      <w:r w:rsidRPr="00995906">
        <w:rPr>
          <w:rFonts w:cs="Arial"/>
        </w:rPr>
        <w:t>Kommission zuvor nachgewiesen wird, da</w:t>
      </w:r>
      <w:r w:rsidR="00C716BF">
        <w:rPr>
          <w:rFonts w:cs="Arial"/>
        </w:rPr>
        <w:t>ß</w:t>
      </w:r>
      <w:r w:rsidRPr="00995906">
        <w:rPr>
          <w:rFonts w:cs="Arial"/>
        </w:rPr>
        <w:t xml:space="preserve"> diese Methoden zu gleichwertigen Ergebnissen führen.</w:t>
      </w:r>
    </w:p>
    <w:p w:rsidR="0049151F" w:rsidRPr="00995906" w:rsidRDefault="0071150D" w:rsidP="0071150D">
      <w:pPr>
        <w:pStyle w:val="GesAbsatz"/>
        <w:ind w:left="426" w:hanging="426"/>
        <w:rPr>
          <w:rFonts w:cs="Arial"/>
        </w:rPr>
      </w:pPr>
      <w:r>
        <w:rPr>
          <w:rFonts w:cs="Arial"/>
        </w:rPr>
        <w:tab/>
      </w:r>
      <w:r w:rsidR="0049151F" w:rsidRPr="00995906">
        <w:rPr>
          <w:rFonts w:cs="Arial"/>
        </w:rPr>
        <w:t>Die betreffenden Mitgliedstaaten legen in regelmäßigen Abständen das Verhältnis zwischen EDC und</w:t>
      </w:r>
      <w:r>
        <w:rPr>
          <w:rFonts w:cs="Arial"/>
        </w:rPr>
        <w:t xml:space="preserve"> </w:t>
      </w:r>
      <w:r w:rsidR="0049151F" w:rsidRPr="00995906">
        <w:rPr>
          <w:rFonts w:cs="Arial"/>
        </w:rPr>
        <w:t>dem verwendeten Parameter bezogen auf die Konzentration fest.</w:t>
      </w:r>
    </w:p>
    <w:p w:rsidR="0049151F" w:rsidRPr="0071150D" w:rsidRDefault="0049151F" w:rsidP="008404F8">
      <w:pPr>
        <w:pStyle w:val="berschrift3"/>
      </w:pPr>
      <w:bookmarkStart w:id="25" w:name="_Toc420510843"/>
      <w:r w:rsidRPr="0071150D">
        <w:t>IX. Sonderbestimmungen für Trichlorethen (TRI) (Nr. 121)</w:t>
      </w:r>
      <w:r w:rsidR="006E2DB0">
        <w:rPr>
          <w:rStyle w:val="Funotenzeichen"/>
        </w:rPr>
        <w:footnoteReference w:id="62"/>
      </w:r>
      <w:bookmarkEnd w:id="25"/>
    </w:p>
    <w:p w:rsidR="0049151F" w:rsidRPr="00995906" w:rsidRDefault="0049151F" w:rsidP="0071150D">
      <w:pPr>
        <w:pStyle w:val="GesAbsatz"/>
        <w:jc w:val="center"/>
        <w:rPr>
          <w:rFonts w:cs="Arial"/>
        </w:rPr>
      </w:pPr>
      <w:r w:rsidRPr="00995906">
        <w:rPr>
          <w:rFonts w:cs="Arial"/>
        </w:rPr>
        <w:t>CAS 79-0</w:t>
      </w:r>
      <w:r w:rsidR="00F808D0">
        <w:rPr>
          <w:rFonts w:cs="Arial"/>
        </w:rPr>
        <w:t>1</w:t>
      </w:r>
      <w:r w:rsidRPr="00995906">
        <w:rPr>
          <w:rFonts w:cs="Arial"/>
        </w:rPr>
        <w:t>-6</w:t>
      </w:r>
    </w:p>
    <w:p w:rsidR="0049151F" w:rsidRDefault="0049151F" w:rsidP="00995906">
      <w:pPr>
        <w:pStyle w:val="GesAbsatz"/>
        <w:rPr>
          <w:rFonts w:cs="Arial"/>
        </w:rPr>
      </w:pPr>
      <w:r w:rsidRPr="0071150D">
        <w:rPr>
          <w:rFonts w:cs="Arial"/>
          <w:b/>
        </w:rPr>
        <w:t>Teil A (121):</w:t>
      </w:r>
      <w:r w:rsidRPr="00995906">
        <w:rPr>
          <w:rFonts w:cs="Arial"/>
        </w:rPr>
        <w:t xml:space="preserve"> Grenzwerte der Emissionsnormen</w:t>
      </w:r>
      <w:r w:rsidR="00832146">
        <w:rPr>
          <w:rStyle w:val="Funotenzeichen"/>
          <w:rFonts w:cs="Arial"/>
        </w:rPr>
        <w:footnoteReference w:id="63"/>
      </w:r>
    </w:p>
    <w:p w:rsidR="00F92316" w:rsidRPr="00995906" w:rsidRDefault="00F92316" w:rsidP="00995906">
      <w:pPr>
        <w:pStyle w:val="GesAbsatz"/>
        <w:rPr>
          <w:rFonts w:cs="Arial"/>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085"/>
        <w:gridCol w:w="1370"/>
        <w:gridCol w:w="1843"/>
        <w:gridCol w:w="1759"/>
        <w:gridCol w:w="1690"/>
      </w:tblGrid>
      <w:tr w:rsidR="0071150D" w:rsidTr="00F92316">
        <w:tc>
          <w:tcPr>
            <w:tcW w:w="3085" w:type="dxa"/>
            <w:vMerge w:val="restart"/>
            <w:vAlign w:val="center"/>
          </w:tcPr>
          <w:p w:rsidR="0071150D" w:rsidRDefault="0071150D" w:rsidP="00FA0360">
            <w:pPr>
              <w:pStyle w:val="GesAbsatz"/>
              <w:jc w:val="center"/>
              <w:rPr>
                <w:rFonts w:cs="Arial"/>
              </w:rPr>
            </w:pPr>
            <w:r w:rsidRPr="00995906">
              <w:rPr>
                <w:rFonts w:cs="Arial"/>
              </w:rPr>
              <w:t>Typ des Industriebetriebs</w:t>
            </w:r>
            <w:r w:rsidR="00F92316">
              <w:rPr>
                <w:rStyle w:val="Funotenzeichen"/>
                <w:rFonts w:cs="Arial"/>
              </w:rPr>
              <w:footnoteReference w:id="64"/>
            </w:r>
          </w:p>
        </w:tc>
        <w:tc>
          <w:tcPr>
            <w:tcW w:w="1370" w:type="dxa"/>
            <w:vMerge w:val="restart"/>
            <w:vAlign w:val="center"/>
          </w:tcPr>
          <w:p w:rsidR="0071150D" w:rsidRDefault="0071150D" w:rsidP="00FA0360">
            <w:pPr>
              <w:pStyle w:val="GesAbsatz"/>
              <w:jc w:val="center"/>
              <w:rPr>
                <w:rFonts w:cs="Arial"/>
              </w:rPr>
            </w:pPr>
            <w:r w:rsidRPr="00995906">
              <w:rPr>
                <w:rFonts w:cs="Arial"/>
              </w:rPr>
              <w:t>Typ des</w:t>
            </w:r>
            <w:r>
              <w:rPr>
                <w:rFonts w:cs="Arial"/>
              </w:rPr>
              <w:t xml:space="preserve"> </w:t>
            </w:r>
            <w:r w:rsidRPr="00995906">
              <w:rPr>
                <w:rFonts w:cs="Arial"/>
              </w:rPr>
              <w:t>Mittelwerts</w:t>
            </w:r>
          </w:p>
        </w:tc>
        <w:tc>
          <w:tcPr>
            <w:tcW w:w="3602" w:type="dxa"/>
            <w:gridSpan w:val="2"/>
          </w:tcPr>
          <w:p w:rsidR="0071150D" w:rsidRDefault="0071150D" w:rsidP="00FA0360">
            <w:pPr>
              <w:pStyle w:val="GesAbsatz"/>
              <w:jc w:val="center"/>
              <w:rPr>
                <w:rFonts w:cs="Arial"/>
              </w:rPr>
            </w:pPr>
            <w:r w:rsidRPr="00995906">
              <w:rPr>
                <w:rFonts w:cs="Arial"/>
              </w:rPr>
              <w:t>Grenzwerte</w:t>
            </w:r>
            <w:r>
              <w:rPr>
                <w:rFonts w:cs="Arial"/>
              </w:rPr>
              <w:t>,</w:t>
            </w:r>
            <w:r w:rsidRPr="00995906">
              <w:rPr>
                <w:rFonts w:cs="Arial"/>
              </w:rPr>
              <w:t xml:space="preserve"> ausgedrückt in</w:t>
            </w:r>
          </w:p>
        </w:tc>
        <w:tc>
          <w:tcPr>
            <w:tcW w:w="1690" w:type="dxa"/>
            <w:vMerge w:val="restart"/>
            <w:vAlign w:val="center"/>
          </w:tcPr>
          <w:p w:rsidR="0071150D" w:rsidRDefault="0071150D" w:rsidP="00FA0360">
            <w:pPr>
              <w:pStyle w:val="GesAbsatz"/>
              <w:jc w:val="center"/>
              <w:rPr>
                <w:rFonts w:cs="Arial"/>
              </w:rPr>
            </w:pPr>
            <w:r w:rsidRPr="00995906">
              <w:rPr>
                <w:rFonts w:cs="Arial"/>
              </w:rPr>
              <w:t>Einzuhalten ab</w:t>
            </w:r>
          </w:p>
        </w:tc>
      </w:tr>
      <w:tr w:rsidR="0071150D" w:rsidTr="00F92316">
        <w:tc>
          <w:tcPr>
            <w:tcW w:w="3085" w:type="dxa"/>
            <w:vMerge/>
          </w:tcPr>
          <w:p w:rsidR="0071150D" w:rsidRDefault="0071150D" w:rsidP="00FA0360">
            <w:pPr>
              <w:pStyle w:val="GesAbsatz"/>
              <w:rPr>
                <w:rFonts w:cs="Arial"/>
              </w:rPr>
            </w:pPr>
          </w:p>
        </w:tc>
        <w:tc>
          <w:tcPr>
            <w:tcW w:w="1370" w:type="dxa"/>
            <w:vMerge/>
          </w:tcPr>
          <w:p w:rsidR="0071150D" w:rsidRDefault="0071150D" w:rsidP="00FA0360">
            <w:pPr>
              <w:pStyle w:val="GesAbsatz"/>
              <w:rPr>
                <w:rFonts w:cs="Arial"/>
              </w:rPr>
            </w:pPr>
          </w:p>
        </w:tc>
        <w:tc>
          <w:tcPr>
            <w:tcW w:w="1843" w:type="dxa"/>
            <w:vAlign w:val="center"/>
          </w:tcPr>
          <w:p w:rsidR="0071150D" w:rsidRDefault="0071150D" w:rsidP="0071150D">
            <w:pPr>
              <w:pStyle w:val="GesAbsatz"/>
              <w:jc w:val="center"/>
              <w:rPr>
                <w:rFonts w:cs="Arial"/>
              </w:rPr>
            </w:pPr>
            <w:r>
              <w:rPr>
                <w:rFonts w:cs="Arial"/>
              </w:rPr>
              <w:t>Gewicht (g/t)</w:t>
            </w:r>
            <w:r w:rsidR="00F92316">
              <w:rPr>
                <w:rStyle w:val="Funotenzeichen"/>
                <w:rFonts w:cs="Arial"/>
              </w:rPr>
              <w:footnoteReference w:id="65"/>
            </w:r>
          </w:p>
        </w:tc>
        <w:tc>
          <w:tcPr>
            <w:tcW w:w="1759" w:type="dxa"/>
          </w:tcPr>
          <w:p w:rsidR="0071150D" w:rsidRDefault="0071150D" w:rsidP="00FA0360">
            <w:pPr>
              <w:pStyle w:val="GesAbsatz"/>
              <w:jc w:val="center"/>
              <w:rPr>
                <w:rFonts w:cs="Arial"/>
              </w:rPr>
            </w:pPr>
            <w:r w:rsidRPr="00995906">
              <w:rPr>
                <w:rFonts w:cs="Arial"/>
              </w:rPr>
              <w:t>Konzentration</w:t>
            </w:r>
            <w:r>
              <w:rPr>
                <w:rFonts w:cs="Arial"/>
              </w:rPr>
              <w:t xml:space="preserve"> (mg/l)</w:t>
            </w:r>
            <w:r w:rsidR="00F92316">
              <w:rPr>
                <w:rStyle w:val="Funotenzeichen"/>
                <w:rFonts w:cs="Arial"/>
              </w:rPr>
              <w:footnoteReference w:id="66"/>
            </w:r>
          </w:p>
        </w:tc>
        <w:tc>
          <w:tcPr>
            <w:tcW w:w="1690" w:type="dxa"/>
            <w:vMerge/>
          </w:tcPr>
          <w:p w:rsidR="0071150D" w:rsidRDefault="0071150D" w:rsidP="00FA0360">
            <w:pPr>
              <w:pStyle w:val="GesAbsatz"/>
              <w:jc w:val="left"/>
              <w:rPr>
                <w:rFonts w:cs="Arial"/>
              </w:rPr>
            </w:pPr>
          </w:p>
        </w:tc>
      </w:tr>
      <w:tr w:rsidR="00CC600B" w:rsidTr="00F92316">
        <w:tc>
          <w:tcPr>
            <w:tcW w:w="3085" w:type="dxa"/>
            <w:vMerge w:val="restart"/>
          </w:tcPr>
          <w:p w:rsidR="00CC600B" w:rsidRDefault="00CC600B" w:rsidP="00CC600B">
            <w:pPr>
              <w:pStyle w:val="GesAbsatz"/>
              <w:ind w:left="284" w:hanging="284"/>
              <w:rPr>
                <w:rFonts w:cs="Arial"/>
              </w:rPr>
            </w:pPr>
            <w:r w:rsidRPr="00995906">
              <w:rPr>
                <w:rFonts w:cs="Arial"/>
              </w:rPr>
              <w:t>a)</w:t>
            </w:r>
            <w:r>
              <w:rPr>
                <w:rFonts w:cs="Arial"/>
              </w:rPr>
              <w:tab/>
            </w:r>
            <w:r w:rsidRPr="00995906">
              <w:rPr>
                <w:rFonts w:cs="Arial"/>
              </w:rPr>
              <w:t>Produktion von Trichlorethen</w:t>
            </w:r>
            <w:r>
              <w:rPr>
                <w:rFonts w:cs="Arial"/>
              </w:rPr>
              <w:t xml:space="preserve"> </w:t>
            </w:r>
            <w:r w:rsidRPr="00995906">
              <w:rPr>
                <w:rFonts w:cs="Arial"/>
              </w:rPr>
              <w:t>(TRI) und</w:t>
            </w:r>
            <w:r>
              <w:rPr>
                <w:rFonts w:cs="Arial"/>
              </w:rPr>
              <w:t xml:space="preserve"> </w:t>
            </w:r>
            <w:r w:rsidRPr="00995906">
              <w:rPr>
                <w:rFonts w:cs="Arial"/>
              </w:rPr>
              <w:t>Tetrachlorethen (PER)</w:t>
            </w:r>
          </w:p>
        </w:tc>
        <w:tc>
          <w:tcPr>
            <w:tcW w:w="1370" w:type="dxa"/>
            <w:vMerge w:val="restart"/>
            <w:vAlign w:val="center"/>
          </w:tcPr>
          <w:p w:rsidR="00CC600B" w:rsidRDefault="00CC600B" w:rsidP="00CC600B">
            <w:pPr>
              <w:pStyle w:val="GesAbsatz"/>
              <w:jc w:val="center"/>
              <w:rPr>
                <w:rFonts w:cs="Arial"/>
              </w:rPr>
            </w:pPr>
            <w:r w:rsidRPr="00995906">
              <w:rPr>
                <w:rFonts w:cs="Arial"/>
              </w:rPr>
              <w:t>Monat</w:t>
            </w:r>
          </w:p>
        </w:tc>
        <w:tc>
          <w:tcPr>
            <w:tcW w:w="1843" w:type="dxa"/>
            <w:vAlign w:val="center"/>
          </w:tcPr>
          <w:p w:rsidR="00CC600B" w:rsidRDefault="00CC600B" w:rsidP="00CC600B">
            <w:pPr>
              <w:pStyle w:val="GesAbsatz"/>
              <w:jc w:val="center"/>
              <w:rPr>
                <w:rFonts w:cs="Arial"/>
              </w:rPr>
            </w:pPr>
            <w:r w:rsidRPr="00995906">
              <w:rPr>
                <w:rFonts w:cs="Arial"/>
              </w:rPr>
              <w:t>10</w:t>
            </w:r>
          </w:p>
        </w:tc>
        <w:tc>
          <w:tcPr>
            <w:tcW w:w="1759" w:type="dxa"/>
            <w:vAlign w:val="center"/>
          </w:tcPr>
          <w:p w:rsidR="00CC600B" w:rsidRPr="00995906" w:rsidRDefault="00CC600B" w:rsidP="00CC600B">
            <w:pPr>
              <w:pStyle w:val="GesAbsatz"/>
              <w:jc w:val="center"/>
              <w:rPr>
                <w:rFonts w:cs="Arial"/>
              </w:rPr>
            </w:pPr>
            <w:r w:rsidRPr="00995906">
              <w:rPr>
                <w:rFonts w:cs="Arial"/>
              </w:rPr>
              <w:t>2</w:t>
            </w:r>
          </w:p>
        </w:tc>
        <w:tc>
          <w:tcPr>
            <w:tcW w:w="1690" w:type="dxa"/>
            <w:vAlign w:val="center"/>
          </w:tcPr>
          <w:p w:rsidR="00CC600B" w:rsidRDefault="00CC600B" w:rsidP="00CC600B">
            <w:pPr>
              <w:pStyle w:val="GesAbsatz"/>
              <w:jc w:val="center"/>
              <w:rPr>
                <w:rFonts w:cs="Arial"/>
              </w:rPr>
            </w:pPr>
            <w:r w:rsidRPr="00995906">
              <w:rPr>
                <w:rFonts w:cs="Arial"/>
              </w:rPr>
              <w:t>1.1.1993</w:t>
            </w:r>
          </w:p>
        </w:tc>
      </w:tr>
      <w:tr w:rsidR="00CC600B" w:rsidTr="00F92316">
        <w:tc>
          <w:tcPr>
            <w:tcW w:w="3085" w:type="dxa"/>
            <w:vMerge/>
          </w:tcPr>
          <w:p w:rsidR="00CC600B" w:rsidRDefault="00CC600B" w:rsidP="00CC600B">
            <w:pPr>
              <w:pStyle w:val="GesAbsatz"/>
              <w:ind w:left="284" w:hanging="284"/>
              <w:rPr>
                <w:rFonts w:cs="Arial"/>
              </w:rPr>
            </w:pPr>
          </w:p>
        </w:tc>
        <w:tc>
          <w:tcPr>
            <w:tcW w:w="1370" w:type="dxa"/>
            <w:vMerge/>
            <w:vAlign w:val="center"/>
          </w:tcPr>
          <w:p w:rsidR="00CC600B" w:rsidRDefault="00CC600B" w:rsidP="00CC600B">
            <w:pPr>
              <w:pStyle w:val="GesAbsatz"/>
              <w:jc w:val="center"/>
              <w:rPr>
                <w:rFonts w:cs="Arial"/>
              </w:rPr>
            </w:pPr>
          </w:p>
        </w:tc>
        <w:tc>
          <w:tcPr>
            <w:tcW w:w="1843" w:type="dxa"/>
            <w:vAlign w:val="center"/>
          </w:tcPr>
          <w:p w:rsidR="00CC600B" w:rsidRDefault="00CC600B" w:rsidP="00CC600B">
            <w:pPr>
              <w:pStyle w:val="GesAbsatz"/>
              <w:jc w:val="center"/>
              <w:rPr>
                <w:rFonts w:cs="Arial"/>
              </w:rPr>
            </w:pPr>
            <w:r w:rsidRPr="00995906">
              <w:rPr>
                <w:rFonts w:cs="Arial"/>
              </w:rPr>
              <w:t>2,5</w:t>
            </w:r>
          </w:p>
        </w:tc>
        <w:tc>
          <w:tcPr>
            <w:tcW w:w="1759" w:type="dxa"/>
            <w:vAlign w:val="center"/>
          </w:tcPr>
          <w:p w:rsidR="00CC600B" w:rsidRPr="00995906" w:rsidRDefault="00CC600B" w:rsidP="00CC600B">
            <w:pPr>
              <w:pStyle w:val="GesAbsatz"/>
              <w:jc w:val="center"/>
              <w:rPr>
                <w:rFonts w:cs="Arial"/>
              </w:rPr>
            </w:pPr>
            <w:r w:rsidRPr="00995906">
              <w:rPr>
                <w:rFonts w:cs="Arial"/>
              </w:rPr>
              <w:t>0,5</w:t>
            </w:r>
          </w:p>
        </w:tc>
        <w:tc>
          <w:tcPr>
            <w:tcW w:w="1690" w:type="dxa"/>
            <w:vAlign w:val="center"/>
          </w:tcPr>
          <w:p w:rsidR="00CC600B" w:rsidRDefault="00CC600B" w:rsidP="00CC600B">
            <w:pPr>
              <w:pStyle w:val="GesAbsatz"/>
              <w:jc w:val="center"/>
              <w:rPr>
                <w:rFonts w:cs="Arial"/>
              </w:rPr>
            </w:pPr>
            <w:r w:rsidRPr="00995906">
              <w:rPr>
                <w:rFonts w:cs="Arial"/>
              </w:rPr>
              <w:t>1.</w:t>
            </w:r>
            <w:r>
              <w:rPr>
                <w:rFonts w:cs="Arial"/>
              </w:rPr>
              <w:t>1</w:t>
            </w:r>
            <w:r w:rsidRPr="00995906">
              <w:rPr>
                <w:rFonts w:cs="Arial"/>
              </w:rPr>
              <w:t>.1995</w:t>
            </w:r>
          </w:p>
        </w:tc>
      </w:tr>
      <w:tr w:rsidR="00CC600B" w:rsidTr="00F92316">
        <w:tc>
          <w:tcPr>
            <w:tcW w:w="3085" w:type="dxa"/>
            <w:vMerge/>
          </w:tcPr>
          <w:p w:rsidR="00CC600B" w:rsidRDefault="00CC600B" w:rsidP="00CC600B">
            <w:pPr>
              <w:pStyle w:val="GesAbsatz"/>
              <w:ind w:left="284" w:hanging="284"/>
              <w:rPr>
                <w:rFonts w:cs="Arial"/>
              </w:rPr>
            </w:pPr>
          </w:p>
        </w:tc>
        <w:tc>
          <w:tcPr>
            <w:tcW w:w="1370" w:type="dxa"/>
            <w:vMerge w:val="restart"/>
            <w:vAlign w:val="center"/>
          </w:tcPr>
          <w:p w:rsidR="00CC600B" w:rsidRDefault="00CC600B" w:rsidP="00CC600B">
            <w:pPr>
              <w:pStyle w:val="GesAbsatz"/>
              <w:jc w:val="center"/>
              <w:rPr>
                <w:rFonts w:cs="Arial"/>
              </w:rPr>
            </w:pPr>
            <w:r w:rsidRPr="00995906">
              <w:rPr>
                <w:rFonts w:cs="Arial"/>
              </w:rPr>
              <w:t>Tag</w:t>
            </w:r>
          </w:p>
        </w:tc>
        <w:tc>
          <w:tcPr>
            <w:tcW w:w="1843" w:type="dxa"/>
            <w:vAlign w:val="center"/>
          </w:tcPr>
          <w:p w:rsidR="00CC600B" w:rsidRPr="00995906" w:rsidRDefault="00CC600B" w:rsidP="00CC600B">
            <w:pPr>
              <w:pStyle w:val="GesAbsatz"/>
              <w:jc w:val="center"/>
              <w:rPr>
                <w:rFonts w:cs="Arial"/>
              </w:rPr>
            </w:pPr>
            <w:r w:rsidRPr="00995906">
              <w:rPr>
                <w:rFonts w:cs="Arial"/>
              </w:rPr>
              <w:t>20</w:t>
            </w:r>
          </w:p>
        </w:tc>
        <w:tc>
          <w:tcPr>
            <w:tcW w:w="1759" w:type="dxa"/>
            <w:vAlign w:val="center"/>
          </w:tcPr>
          <w:p w:rsidR="00CC600B" w:rsidRPr="00995906" w:rsidRDefault="00CC600B" w:rsidP="00CC600B">
            <w:pPr>
              <w:pStyle w:val="GesAbsatz"/>
              <w:jc w:val="center"/>
              <w:rPr>
                <w:rFonts w:cs="Arial"/>
              </w:rPr>
            </w:pPr>
            <w:r w:rsidRPr="00995906">
              <w:rPr>
                <w:rFonts w:cs="Arial"/>
              </w:rPr>
              <w:t>4</w:t>
            </w:r>
          </w:p>
        </w:tc>
        <w:tc>
          <w:tcPr>
            <w:tcW w:w="1690" w:type="dxa"/>
            <w:vAlign w:val="center"/>
          </w:tcPr>
          <w:p w:rsidR="00CC600B" w:rsidRPr="00995906" w:rsidRDefault="00CC600B" w:rsidP="00CC600B">
            <w:pPr>
              <w:pStyle w:val="GesAbsatz"/>
              <w:jc w:val="center"/>
              <w:rPr>
                <w:rFonts w:cs="Arial"/>
              </w:rPr>
            </w:pPr>
            <w:r w:rsidRPr="00995906">
              <w:rPr>
                <w:rFonts w:cs="Arial"/>
              </w:rPr>
              <w:t>1.1.1993</w:t>
            </w:r>
          </w:p>
        </w:tc>
      </w:tr>
      <w:tr w:rsidR="00CC600B" w:rsidTr="00F92316">
        <w:trPr>
          <w:trHeight w:val="194"/>
        </w:trPr>
        <w:tc>
          <w:tcPr>
            <w:tcW w:w="3085" w:type="dxa"/>
            <w:vMerge/>
          </w:tcPr>
          <w:p w:rsidR="00CC600B" w:rsidRDefault="00CC600B" w:rsidP="00CC600B">
            <w:pPr>
              <w:pStyle w:val="GesAbsatz"/>
              <w:ind w:left="284" w:hanging="284"/>
              <w:rPr>
                <w:rFonts w:cs="Arial"/>
              </w:rPr>
            </w:pPr>
          </w:p>
        </w:tc>
        <w:tc>
          <w:tcPr>
            <w:tcW w:w="1370" w:type="dxa"/>
            <w:vMerge/>
            <w:vAlign w:val="center"/>
          </w:tcPr>
          <w:p w:rsidR="00CC600B" w:rsidRPr="00995906" w:rsidRDefault="00CC600B" w:rsidP="00CC600B">
            <w:pPr>
              <w:pStyle w:val="GesAbsatz"/>
              <w:jc w:val="center"/>
              <w:rPr>
                <w:rFonts w:cs="Arial"/>
              </w:rPr>
            </w:pPr>
          </w:p>
        </w:tc>
        <w:tc>
          <w:tcPr>
            <w:tcW w:w="1843" w:type="dxa"/>
            <w:vAlign w:val="center"/>
          </w:tcPr>
          <w:p w:rsidR="00CC600B" w:rsidRPr="00995906" w:rsidRDefault="00CC600B" w:rsidP="00CC600B">
            <w:pPr>
              <w:pStyle w:val="GesAbsatz"/>
              <w:jc w:val="center"/>
              <w:rPr>
                <w:rFonts w:cs="Arial"/>
              </w:rPr>
            </w:pPr>
            <w:r w:rsidRPr="00995906">
              <w:rPr>
                <w:rFonts w:cs="Arial"/>
              </w:rPr>
              <w:t>5</w:t>
            </w:r>
          </w:p>
        </w:tc>
        <w:tc>
          <w:tcPr>
            <w:tcW w:w="1759" w:type="dxa"/>
            <w:vAlign w:val="center"/>
          </w:tcPr>
          <w:p w:rsidR="00CC600B" w:rsidRPr="00995906" w:rsidRDefault="00CC600B" w:rsidP="00CC600B">
            <w:pPr>
              <w:pStyle w:val="GesAbsatz"/>
              <w:jc w:val="center"/>
              <w:rPr>
                <w:rFonts w:cs="Arial"/>
              </w:rPr>
            </w:pPr>
            <w:r w:rsidRPr="00995906">
              <w:rPr>
                <w:rFonts w:cs="Arial"/>
              </w:rPr>
              <w:t>1</w:t>
            </w:r>
          </w:p>
        </w:tc>
        <w:tc>
          <w:tcPr>
            <w:tcW w:w="1690" w:type="dxa"/>
            <w:vAlign w:val="center"/>
          </w:tcPr>
          <w:p w:rsidR="00CC600B" w:rsidRPr="00995906" w:rsidRDefault="00CC600B" w:rsidP="00CC600B">
            <w:pPr>
              <w:pStyle w:val="GesAbsatz"/>
              <w:jc w:val="center"/>
              <w:rPr>
                <w:rFonts w:cs="Arial"/>
              </w:rPr>
            </w:pPr>
            <w:r w:rsidRPr="00995906">
              <w:rPr>
                <w:rFonts w:cs="Arial"/>
              </w:rPr>
              <w:t>1.1.1995</w:t>
            </w:r>
          </w:p>
        </w:tc>
      </w:tr>
      <w:tr w:rsidR="00CC600B" w:rsidTr="00F92316">
        <w:tc>
          <w:tcPr>
            <w:tcW w:w="3085" w:type="dxa"/>
            <w:vMerge w:val="restart"/>
          </w:tcPr>
          <w:p w:rsidR="00CC600B" w:rsidRDefault="00CC600B" w:rsidP="00CC600B">
            <w:pPr>
              <w:pStyle w:val="GesAbsatz"/>
              <w:ind w:left="284" w:hanging="284"/>
              <w:rPr>
                <w:rFonts w:cs="Arial"/>
              </w:rPr>
            </w:pPr>
            <w:r w:rsidRPr="00995906">
              <w:rPr>
                <w:rFonts w:cs="Arial"/>
              </w:rPr>
              <w:t>b)</w:t>
            </w:r>
            <w:r>
              <w:rPr>
                <w:rFonts w:cs="Arial"/>
              </w:rPr>
              <w:tab/>
            </w:r>
            <w:r w:rsidRPr="00995906">
              <w:rPr>
                <w:rFonts w:cs="Arial"/>
              </w:rPr>
              <w:t>Verwendung von TRI</w:t>
            </w:r>
            <w:r>
              <w:rPr>
                <w:rFonts w:cs="Arial"/>
              </w:rPr>
              <w:t xml:space="preserve"> </w:t>
            </w:r>
            <w:r w:rsidRPr="00995906">
              <w:rPr>
                <w:rFonts w:cs="Arial"/>
              </w:rPr>
              <w:t>zum Entfetten von Metallen</w:t>
            </w:r>
            <w:r w:rsidR="00F92316">
              <w:rPr>
                <w:rStyle w:val="Funotenzeichen"/>
                <w:rFonts w:cs="Arial"/>
              </w:rPr>
              <w:footnoteReference w:id="67"/>
            </w:r>
          </w:p>
        </w:tc>
        <w:tc>
          <w:tcPr>
            <w:tcW w:w="1370" w:type="dxa"/>
            <w:vAlign w:val="center"/>
          </w:tcPr>
          <w:p w:rsidR="00CC600B" w:rsidRPr="00995906" w:rsidRDefault="00CC600B" w:rsidP="00CC600B">
            <w:pPr>
              <w:pStyle w:val="GesAbsatz"/>
              <w:jc w:val="center"/>
              <w:rPr>
                <w:rFonts w:cs="Arial"/>
              </w:rPr>
            </w:pPr>
            <w:r w:rsidRPr="00995906">
              <w:rPr>
                <w:rFonts w:cs="Arial"/>
              </w:rPr>
              <w:t>Monat</w:t>
            </w:r>
          </w:p>
        </w:tc>
        <w:tc>
          <w:tcPr>
            <w:tcW w:w="1843" w:type="dxa"/>
            <w:vAlign w:val="center"/>
          </w:tcPr>
          <w:p w:rsidR="00CC600B" w:rsidRPr="00995906" w:rsidRDefault="00CC600B" w:rsidP="00CC600B">
            <w:pPr>
              <w:pStyle w:val="GesAbsatz"/>
              <w:jc w:val="center"/>
              <w:rPr>
                <w:rFonts w:cs="Arial"/>
              </w:rPr>
            </w:pPr>
          </w:p>
        </w:tc>
        <w:tc>
          <w:tcPr>
            <w:tcW w:w="1759" w:type="dxa"/>
            <w:vAlign w:val="center"/>
          </w:tcPr>
          <w:p w:rsidR="00CC600B" w:rsidRPr="00995906" w:rsidRDefault="00CC600B" w:rsidP="00CC600B">
            <w:pPr>
              <w:pStyle w:val="GesAbsatz"/>
              <w:jc w:val="center"/>
              <w:rPr>
                <w:rFonts w:cs="Arial"/>
              </w:rPr>
            </w:pPr>
            <w:r w:rsidRPr="00995906">
              <w:rPr>
                <w:rFonts w:cs="Arial"/>
              </w:rPr>
              <w:t>0,</w:t>
            </w:r>
            <w:r>
              <w:rPr>
                <w:rFonts w:cs="Arial"/>
              </w:rPr>
              <w:t>1</w:t>
            </w:r>
          </w:p>
        </w:tc>
        <w:tc>
          <w:tcPr>
            <w:tcW w:w="1690" w:type="dxa"/>
            <w:vAlign w:val="center"/>
          </w:tcPr>
          <w:p w:rsidR="00CC600B" w:rsidRPr="00995906" w:rsidRDefault="00CC600B" w:rsidP="00CC600B">
            <w:pPr>
              <w:pStyle w:val="GesAbsatz"/>
              <w:jc w:val="center"/>
              <w:rPr>
                <w:rFonts w:cs="Arial"/>
              </w:rPr>
            </w:pPr>
            <w:r w:rsidRPr="00995906">
              <w:rPr>
                <w:rFonts w:cs="Arial"/>
              </w:rPr>
              <w:t>1.1.1993</w:t>
            </w:r>
          </w:p>
        </w:tc>
      </w:tr>
      <w:tr w:rsidR="00CC600B" w:rsidTr="00F92316">
        <w:trPr>
          <w:trHeight w:val="176"/>
        </w:trPr>
        <w:tc>
          <w:tcPr>
            <w:tcW w:w="3085" w:type="dxa"/>
            <w:vMerge/>
          </w:tcPr>
          <w:p w:rsidR="00CC600B" w:rsidRPr="00995906" w:rsidRDefault="00CC600B" w:rsidP="0071150D">
            <w:pPr>
              <w:pStyle w:val="GesAbsatz"/>
              <w:rPr>
                <w:rFonts w:cs="Arial"/>
              </w:rPr>
            </w:pPr>
          </w:p>
        </w:tc>
        <w:tc>
          <w:tcPr>
            <w:tcW w:w="1370" w:type="dxa"/>
            <w:vAlign w:val="center"/>
          </w:tcPr>
          <w:p w:rsidR="00CC600B" w:rsidRPr="00995906" w:rsidRDefault="00CC600B" w:rsidP="00CC600B">
            <w:pPr>
              <w:pStyle w:val="GesAbsatz"/>
              <w:jc w:val="center"/>
              <w:rPr>
                <w:rFonts w:cs="Arial"/>
              </w:rPr>
            </w:pPr>
            <w:r w:rsidRPr="00995906">
              <w:rPr>
                <w:rFonts w:cs="Arial"/>
              </w:rPr>
              <w:t>Tag</w:t>
            </w:r>
          </w:p>
        </w:tc>
        <w:tc>
          <w:tcPr>
            <w:tcW w:w="1843" w:type="dxa"/>
            <w:vAlign w:val="center"/>
          </w:tcPr>
          <w:p w:rsidR="00CC600B" w:rsidRPr="00995906" w:rsidRDefault="00CC600B" w:rsidP="00CC600B">
            <w:pPr>
              <w:pStyle w:val="GesAbsatz"/>
              <w:jc w:val="center"/>
              <w:rPr>
                <w:rFonts w:cs="Arial"/>
              </w:rPr>
            </w:pPr>
          </w:p>
        </w:tc>
        <w:tc>
          <w:tcPr>
            <w:tcW w:w="1759" w:type="dxa"/>
            <w:vAlign w:val="center"/>
          </w:tcPr>
          <w:p w:rsidR="00CC600B" w:rsidRPr="00995906" w:rsidRDefault="00CC600B" w:rsidP="00CC600B">
            <w:pPr>
              <w:pStyle w:val="GesAbsatz"/>
              <w:jc w:val="center"/>
              <w:rPr>
                <w:rFonts w:cs="Arial"/>
              </w:rPr>
            </w:pPr>
            <w:r w:rsidRPr="00995906">
              <w:rPr>
                <w:rFonts w:cs="Arial"/>
              </w:rPr>
              <w:t>0,2</w:t>
            </w:r>
          </w:p>
        </w:tc>
        <w:tc>
          <w:tcPr>
            <w:tcW w:w="1690" w:type="dxa"/>
            <w:vAlign w:val="center"/>
          </w:tcPr>
          <w:p w:rsidR="00CC600B" w:rsidRPr="00995906" w:rsidRDefault="00CC600B" w:rsidP="00CC600B">
            <w:pPr>
              <w:pStyle w:val="GesAbsatz"/>
              <w:jc w:val="center"/>
              <w:rPr>
                <w:rFonts w:cs="Arial"/>
              </w:rPr>
            </w:pPr>
            <w:r w:rsidRPr="00995906">
              <w:rPr>
                <w:rFonts w:cs="Arial"/>
              </w:rPr>
              <w:t>1.1.199</w:t>
            </w:r>
            <w:r w:rsidR="003C4C86">
              <w:rPr>
                <w:rFonts w:cs="Arial"/>
              </w:rPr>
              <w:t>5</w:t>
            </w:r>
          </w:p>
        </w:tc>
      </w:tr>
    </w:tbl>
    <w:p w:rsidR="0071150D" w:rsidRDefault="0071150D" w:rsidP="00995906">
      <w:pPr>
        <w:pStyle w:val="GesAbsatz"/>
        <w:rPr>
          <w:rFonts w:cs="Arial"/>
        </w:rPr>
      </w:pPr>
    </w:p>
    <w:p w:rsidR="0049151F" w:rsidRPr="00995906" w:rsidRDefault="0049151F" w:rsidP="00995906">
      <w:pPr>
        <w:pStyle w:val="GesAbsatz"/>
        <w:rPr>
          <w:rFonts w:cs="Arial"/>
        </w:rPr>
      </w:pPr>
      <w:r w:rsidRPr="00D7191B">
        <w:rPr>
          <w:rFonts w:cs="Arial"/>
          <w:b/>
        </w:rPr>
        <w:t>Teil C (121):</w:t>
      </w:r>
      <w:r w:rsidRPr="00995906">
        <w:rPr>
          <w:rFonts w:cs="Arial"/>
        </w:rPr>
        <w:t xml:space="preserve"> </w:t>
      </w:r>
      <w:proofErr w:type="spellStart"/>
      <w:r w:rsidRPr="00995906">
        <w:rPr>
          <w:rFonts w:cs="Arial"/>
        </w:rPr>
        <w:t>Referenzme</w:t>
      </w:r>
      <w:r w:rsidR="00D7191B">
        <w:rPr>
          <w:rFonts w:cs="Arial"/>
        </w:rPr>
        <w:t>ß</w:t>
      </w:r>
      <w:r w:rsidRPr="00995906">
        <w:rPr>
          <w:rFonts w:cs="Arial"/>
        </w:rPr>
        <w:t>verfahren</w:t>
      </w:r>
      <w:proofErr w:type="spellEnd"/>
    </w:p>
    <w:p w:rsidR="00D7191B" w:rsidRDefault="00D7191B" w:rsidP="00D7191B">
      <w:pPr>
        <w:pStyle w:val="GesAbsatz"/>
        <w:ind w:left="426" w:hanging="426"/>
        <w:rPr>
          <w:rFonts w:cs="Arial"/>
        </w:rPr>
      </w:pPr>
      <w:r>
        <w:rPr>
          <w:rFonts w:cs="Arial"/>
        </w:rPr>
        <w:t>1.</w:t>
      </w:r>
      <w:r>
        <w:rPr>
          <w:rFonts w:cs="Arial"/>
        </w:rPr>
        <w:tab/>
      </w:r>
      <w:r w:rsidR="0049151F" w:rsidRPr="00995906">
        <w:rPr>
          <w:rFonts w:cs="Arial"/>
        </w:rPr>
        <w:t>Das Referenzme</w:t>
      </w:r>
      <w:r>
        <w:rPr>
          <w:rFonts w:cs="Arial"/>
        </w:rPr>
        <w:t>ß</w:t>
      </w:r>
      <w:r w:rsidR="0049151F" w:rsidRPr="00995906">
        <w:rPr>
          <w:rFonts w:cs="Arial"/>
        </w:rPr>
        <w:t>verfahren zur Bestimmung von Trichlorethen (TRI) in Abwässern und Gewässern</w:t>
      </w:r>
      <w:r>
        <w:rPr>
          <w:rFonts w:cs="Arial"/>
        </w:rPr>
        <w:t xml:space="preserve"> </w:t>
      </w:r>
      <w:r w:rsidR="0049151F" w:rsidRPr="00995906">
        <w:rPr>
          <w:rFonts w:cs="Arial"/>
        </w:rPr>
        <w:t>ist die Gaschromatographie mit Elektroneneinfangdetektor nach Extraktion mit einem geeigneten Lösemi</w:t>
      </w:r>
      <w:r w:rsidR="0049151F" w:rsidRPr="00995906">
        <w:rPr>
          <w:rFonts w:cs="Arial"/>
        </w:rPr>
        <w:t>t</w:t>
      </w:r>
      <w:r w:rsidR="0049151F" w:rsidRPr="00995906">
        <w:rPr>
          <w:rFonts w:cs="Arial"/>
        </w:rPr>
        <w:t>tel.</w:t>
      </w:r>
    </w:p>
    <w:p w:rsidR="0049151F" w:rsidRPr="00995906" w:rsidRDefault="00D7191B" w:rsidP="00D7191B">
      <w:pPr>
        <w:pStyle w:val="GesAbsatz"/>
        <w:ind w:left="426" w:hanging="426"/>
        <w:rPr>
          <w:rFonts w:cs="Arial"/>
        </w:rPr>
      </w:pPr>
      <w:r>
        <w:rPr>
          <w:rFonts w:cs="Arial"/>
        </w:rPr>
        <w:tab/>
      </w:r>
      <w:r w:rsidR="0049151F" w:rsidRPr="00995906">
        <w:rPr>
          <w:rFonts w:cs="Arial"/>
        </w:rPr>
        <w:t>Die Bestimmungsgrenze für TRI liegt bei 10 µg/l für Abwässer und 0,1 µg/l für Gewässer.</w:t>
      </w:r>
    </w:p>
    <w:p w:rsidR="0049151F" w:rsidRPr="00995906" w:rsidRDefault="0049151F" w:rsidP="00D7191B">
      <w:pPr>
        <w:pStyle w:val="GesAbsatz"/>
        <w:ind w:left="426" w:hanging="426"/>
        <w:rPr>
          <w:rFonts w:cs="Arial"/>
        </w:rPr>
      </w:pPr>
      <w:r w:rsidRPr="00995906">
        <w:rPr>
          <w:rFonts w:cs="Arial"/>
        </w:rPr>
        <w:t>2.</w:t>
      </w:r>
      <w:r w:rsidR="00D7191B">
        <w:rPr>
          <w:rFonts w:cs="Arial"/>
        </w:rPr>
        <w:tab/>
      </w:r>
      <w:r w:rsidRPr="00995906">
        <w:rPr>
          <w:rFonts w:cs="Arial"/>
        </w:rPr>
        <w:t>Die Genauigkeit und die Richtigkeit der Methode müssen gewährleisten, da</w:t>
      </w:r>
      <w:r w:rsidR="00D7191B">
        <w:rPr>
          <w:rFonts w:cs="Arial"/>
        </w:rPr>
        <w:t>ß</w:t>
      </w:r>
      <w:r w:rsidRPr="00995906">
        <w:rPr>
          <w:rFonts w:cs="Arial"/>
        </w:rPr>
        <w:t xml:space="preserve"> die Me</w:t>
      </w:r>
      <w:r w:rsidR="00D7191B">
        <w:rPr>
          <w:rFonts w:cs="Arial"/>
        </w:rPr>
        <w:t>ß</w:t>
      </w:r>
      <w:r w:rsidRPr="00995906">
        <w:rPr>
          <w:rFonts w:cs="Arial"/>
        </w:rPr>
        <w:t>ergebnisse bei</w:t>
      </w:r>
      <w:r w:rsidR="00D7191B">
        <w:rPr>
          <w:rFonts w:cs="Arial"/>
        </w:rPr>
        <w:t xml:space="preserve"> </w:t>
      </w:r>
      <w:r w:rsidRPr="00995906">
        <w:rPr>
          <w:rFonts w:cs="Arial"/>
        </w:rPr>
        <w:t>einer Konzentration, die dem doppelten Wert der Bestimmungsgrenze entspricht, höchstens um 50 %</w:t>
      </w:r>
      <w:r w:rsidR="00D7191B">
        <w:rPr>
          <w:rFonts w:cs="Arial"/>
        </w:rPr>
        <w:t xml:space="preserve"> </w:t>
      </w:r>
      <w:r w:rsidRPr="00995906">
        <w:rPr>
          <w:rFonts w:cs="Arial"/>
        </w:rPr>
        <w:t>abweichen.</w:t>
      </w:r>
    </w:p>
    <w:p w:rsidR="0049151F" w:rsidRPr="00995906" w:rsidRDefault="0049151F" w:rsidP="00902CA8">
      <w:pPr>
        <w:pStyle w:val="GesAbsatz"/>
        <w:ind w:left="426" w:hanging="426"/>
        <w:rPr>
          <w:rFonts w:cs="Arial"/>
        </w:rPr>
      </w:pPr>
      <w:r w:rsidRPr="00995906">
        <w:rPr>
          <w:rFonts w:cs="Arial"/>
        </w:rPr>
        <w:t>3.</w:t>
      </w:r>
      <w:r w:rsidR="00902CA8">
        <w:rPr>
          <w:rFonts w:cs="Arial"/>
        </w:rPr>
        <w:tab/>
      </w:r>
      <w:r w:rsidRPr="00995906">
        <w:rPr>
          <w:rFonts w:cs="Arial"/>
        </w:rPr>
        <w:t>Die Mitgliedstaaten können bis zum Erla</w:t>
      </w:r>
      <w:r w:rsidR="00D7191B">
        <w:rPr>
          <w:rFonts w:cs="Arial"/>
        </w:rPr>
        <w:t>ß</w:t>
      </w:r>
      <w:r w:rsidRPr="00995906">
        <w:rPr>
          <w:rFonts w:cs="Arial"/>
        </w:rPr>
        <w:t xml:space="preserve"> der allgemeinen Richtlinie über Lösemittel die TRI</w:t>
      </w:r>
      <w:r w:rsidR="00D7191B">
        <w:rPr>
          <w:rFonts w:cs="Arial"/>
        </w:rPr>
        <w:t>-</w:t>
      </w:r>
      <w:r w:rsidRPr="00995906">
        <w:rPr>
          <w:rFonts w:cs="Arial"/>
        </w:rPr>
        <w:t>Konzentration</w:t>
      </w:r>
      <w:r w:rsidR="00D7191B">
        <w:rPr>
          <w:rFonts w:cs="Arial"/>
        </w:rPr>
        <w:t xml:space="preserve"> </w:t>
      </w:r>
      <w:r w:rsidRPr="00995906">
        <w:rPr>
          <w:rFonts w:cs="Arial"/>
        </w:rPr>
        <w:t>im Verhältnis zu der Menge AOX, EOX oder VOX bestimmen, sofern gegenüber der</w:t>
      </w:r>
      <w:r w:rsidR="00D7191B">
        <w:rPr>
          <w:rFonts w:cs="Arial"/>
        </w:rPr>
        <w:t xml:space="preserve"> </w:t>
      </w:r>
      <w:r w:rsidRPr="00995906">
        <w:rPr>
          <w:rFonts w:cs="Arial"/>
        </w:rPr>
        <w:t>Kommission zuvor nachgewiesen wird, da</w:t>
      </w:r>
      <w:r w:rsidR="00D7191B">
        <w:rPr>
          <w:rFonts w:cs="Arial"/>
        </w:rPr>
        <w:t>ß</w:t>
      </w:r>
      <w:r w:rsidRPr="00995906">
        <w:rPr>
          <w:rFonts w:cs="Arial"/>
        </w:rPr>
        <w:t xml:space="preserve"> diese Methoden zu gleichwertigen Ergebnissen führen.</w:t>
      </w:r>
    </w:p>
    <w:p w:rsidR="0049151F" w:rsidRDefault="00902CA8" w:rsidP="00902CA8">
      <w:pPr>
        <w:pStyle w:val="GesAbsatz"/>
        <w:ind w:left="426" w:hanging="426"/>
        <w:rPr>
          <w:rFonts w:cs="Arial"/>
        </w:rPr>
      </w:pPr>
      <w:r>
        <w:rPr>
          <w:rFonts w:cs="Arial"/>
        </w:rPr>
        <w:tab/>
      </w:r>
      <w:r w:rsidR="0049151F" w:rsidRPr="00995906">
        <w:rPr>
          <w:rFonts w:cs="Arial"/>
        </w:rPr>
        <w:t>Die betreffenden Mitgliedstaaten legen in regelmäßigen Abständen das Verhältnis zwischen TRI und</w:t>
      </w:r>
      <w:r w:rsidR="00D7191B">
        <w:rPr>
          <w:rFonts w:cs="Arial"/>
        </w:rPr>
        <w:t xml:space="preserve"> </w:t>
      </w:r>
      <w:r w:rsidR="0049151F" w:rsidRPr="00995906">
        <w:rPr>
          <w:rFonts w:cs="Arial"/>
        </w:rPr>
        <w:t>dem verwendeten Parameter bezogen auf die Konzentration fest.</w:t>
      </w:r>
    </w:p>
    <w:p w:rsidR="0049151F" w:rsidRPr="006F7239" w:rsidRDefault="0049151F" w:rsidP="008404F8">
      <w:pPr>
        <w:pStyle w:val="berschrift3"/>
      </w:pPr>
      <w:bookmarkStart w:id="26" w:name="_Toc420510844"/>
      <w:r w:rsidRPr="006F7239">
        <w:t>X. Sonderbestimmungen für Tetrachlorethen (PER) (Nr. 111)</w:t>
      </w:r>
      <w:r w:rsidR="00700A77">
        <w:rPr>
          <w:rStyle w:val="Funotenzeichen"/>
        </w:rPr>
        <w:footnoteReference w:id="68"/>
      </w:r>
      <w:bookmarkEnd w:id="26"/>
    </w:p>
    <w:p w:rsidR="0049151F" w:rsidRPr="00995906" w:rsidRDefault="0049151F" w:rsidP="006F7239">
      <w:pPr>
        <w:pStyle w:val="GesAbsatz"/>
        <w:jc w:val="center"/>
        <w:rPr>
          <w:rFonts w:cs="Arial"/>
        </w:rPr>
      </w:pPr>
      <w:r w:rsidRPr="00995906">
        <w:rPr>
          <w:rFonts w:cs="Arial"/>
        </w:rPr>
        <w:t xml:space="preserve">CAS </w:t>
      </w:r>
      <w:r w:rsidR="006F7239">
        <w:rPr>
          <w:rFonts w:cs="Arial"/>
        </w:rPr>
        <w:t>1</w:t>
      </w:r>
      <w:r w:rsidRPr="00995906">
        <w:rPr>
          <w:rFonts w:cs="Arial"/>
        </w:rPr>
        <w:t>27-18-4</w:t>
      </w:r>
    </w:p>
    <w:p w:rsidR="0049151F" w:rsidRPr="00995906" w:rsidRDefault="0049151F" w:rsidP="00995906">
      <w:pPr>
        <w:pStyle w:val="GesAbsatz"/>
        <w:rPr>
          <w:rFonts w:cs="Arial"/>
        </w:rPr>
      </w:pPr>
      <w:r w:rsidRPr="006F7239">
        <w:rPr>
          <w:rFonts w:cs="Arial"/>
          <w:b/>
        </w:rPr>
        <w:t>Teil A (111):</w:t>
      </w:r>
      <w:r w:rsidRPr="00995906">
        <w:rPr>
          <w:rFonts w:cs="Arial"/>
        </w:rPr>
        <w:t xml:space="preserve"> Grenzwerte für Emissionsnormen</w:t>
      </w:r>
      <w:r w:rsidR="00700A77">
        <w:rPr>
          <w:rStyle w:val="Funotenzeichen"/>
          <w:rFonts w:cs="Arial"/>
        </w:rPr>
        <w:footnoteReference w:id="69"/>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085"/>
        <w:gridCol w:w="1370"/>
        <w:gridCol w:w="1843"/>
        <w:gridCol w:w="1759"/>
        <w:gridCol w:w="1690"/>
      </w:tblGrid>
      <w:tr w:rsidR="006F7239" w:rsidTr="00700A77">
        <w:tc>
          <w:tcPr>
            <w:tcW w:w="3085" w:type="dxa"/>
            <w:vMerge w:val="restart"/>
            <w:vAlign w:val="center"/>
          </w:tcPr>
          <w:p w:rsidR="006F7239" w:rsidRDefault="006F7239" w:rsidP="00FA0360">
            <w:pPr>
              <w:pStyle w:val="GesAbsatz"/>
              <w:jc w:val="center"/>
              <w:rPr>
                <w:rFonts w:cs="Arial"/>
              </w:rPr>
            </w:pPr>
            <w:r w:rsidRPr="00995906">
              <w:rPr>
                <w:rFonts w:cs="Arial"/>
              </w:rPr>
              <w:t>Typ des Industriebetriebs</w:t>
            </w:r>
            <w:r w:rsidR="00700A77">
              <w:rPr>
                <w:rStyle w:val="Funotenzeichen"/>
                <w:rFonts w:cs="Arial"/>
              </w:rPr>
              <w:footnoteReference w:id="70"/>
            </w:r>
          </w:p>
        </w:tc>
        <w:tc>
          <w:tcPr>
            <w:tcW w:w="1370" w:type="dxa"/>
            <w:vMerge w:val="restart"/>
            <w:vAlign w:val="center"/>
          </w:tcPr>
          <w:p w:rsidR="006F7239" w:rsidRDefault="006F7239" w:rsidP="00FA0360">
            <w:pPr>
              <w:pStyle w:val="GesAbsatz"/>
              <w:jc w:val="center"/>
              <w:rPr>
                <w:rFonts w:cs="Arial"/>
              </w:rPr>
            </w:pPr>
            <w:r w:rsidRPr="00995906">
              <w:rPr>
                <w:rFonts w:cs="Arial"/>
              </w:rPr>
              <w:t>Typ des</w:t>
            </w:r>
            <w:r>
              <w:rPr>
                <w:rFonts w:cs="Arial"/>
              </w:rPr>
              <w:t xml:space="preserve"> </w:t>
            </w:r>
            <w:r w:rsidRPr="00995906">
              <w:rPr>
                <w:rFonts w:cs="Arial"/>
              </w:rPr>
              <w:lastRenderedPageBreak/>
              <w:t>Mittelwerts</w:t>
            </w:r>
          </w:p>
        </w:tc>
        <w:tc>
          <w:tcPr>
            <w:tcW w:w="3602" w:type="dxa"/>
            <w:gridSpan w:val="2"/>
          </w:tcPr>
          <w:p w:rsidR="006F7239" w:rsidRDefault="006F7239" w:rsidP="00FA0360">
            <w:pPr>
              <w:pStyle w:val="GesAbsatz"/>
              <w:jc w:val="center"/>
              <w:rPr>
                <w:rFonts w:cs="Arial"/>
              </w:rPr>
            </w:pPr>
            <w:r w:rsidRPr="00995906">
              <w:rPr>
                <w:rFonts w:cs="Arial"/>
              </w:rPr>
              <w:lastRenderedPageBreak/>
              <w:t>Grenzwerte</w:t>
            </w:r>
            <w:r>
              <w:rPr>
                <w:rFonts w:cs="Arial"/>
              </w:rPr>
              <w:t>,</w:t>
            </w:r>
            <w:r w:rsidRPr="00995906">
              <w:rPr>
                <w:rFonts w:cs="Arial"/>
              </w:rPr>
              <w:t xml:space="preserve"> ausgedrückt in</w:t>
            </w:r>
          </w:p>
        </w:tc>
        <w:tc>
          <w:tcPr>
            <w:tcW w:w="1690" w:type="dxa"/>
            <w:vMerge w:val="restart"/>
            <w:vAlign w:val="center"/>
          </w:tcPr>
          <w:p w:rsidR="006F7239" w:rsidRDefault="006F7239" w:rsidP="00FA0360">
            <w:pPr>
              <w:pStyle w:val="GesAbsatz"/>
              <w:jc w:val="center"/>
              <w:rPr>
                <w:rFonts w:cs="Arial"/>
              </w:rPr>
            </w:pPr>
            <w:r w:rsidRPr="00995906">
              <w:rPr>
                <w:rFonts w:cs="Arial"/>
              </w:rPr>
              <w:t>Einzuhalten ab</w:t>
            </w:r>
          </w:p>
        </w:tc>
      </w:tr>
      <w:tr w:rsidR="006F7239" w:rsidTr="00700A77">
        <w:tc>
          <w:tcPr>
            <w:tcW w:w="3085" w:type="dxa"/>
            <w:vMerge/>
          </w:tcPr>
          <w:p w:rsidR="006F7239" w:rsidRDefault="006F7239" w:rsidP="00FA0360">
            <w:pPr>
              <w:pStyle w:val="GesAbsatz"/>
              <w:rPr>
                <w:rFonts w:cs="Arial"/>
              </w:rPr>
            </w:pPr>
          </w:p>
        </w:tc>
        <w:tc>
          <w:tcPr>
            <w:tcW w:w="1370" w:type="dxa"/>
            <w:vMerge/>
          </w:tcPr>
          <w:p w:rsidR="006F7239" w:rsidRDefault="006F7239" w:rsidP="00FA0360">
            <w:pPr>
              <w:pStyle w:val="GesAbsatz"/>
              <w:rPr>
                <w:rFonts w:cs="Arial"/>
              </w:rPr>
            </w:pPr>
          </w:p>
        </w:tc>
        <w:tc>
          <w:tcPr>
            <w:tcW w:w="1843" w:type="dxa"/>
            <w:vAlign w:val="center"/>
          </w:tcPr>
          <w:p w:rsidR="006F7239" w:rsidRDefault="006F7239" w:rsidP="00FA0360">
            <w:pPr>
              <w:pStyle w:val="GesAbsatz"/>
              <w:jc w:val="center"/>
              <w:rPr>
                <w:rFonts w:cs="Arial"/>
              </w:rPr>
            </w:pPr>
            <w:r>
              <w:rPr>
                <w:rFonts w:cs="Arial"/>
              </w:rPr>
              <w:t>Gewicht (g/t)</w:t>
            </w:r>
            <w:r w:rsidR="00700A77">
              <w:rPr>
                <w:rStyle w:val="Funotenzeichen"/>
                <w:rFonts w:cs="Arial"/>
              </w:rPr>
              <w:footnoteReference w:id="71"/>
            </w:r>
          </w:p>
        </w:tc>
        <w:tc>
          <w:tcPr>
            <w:tcW w:w="1759" w:type="dxa"/>
          </w:tcPr>
          <w:p w:rsidR="006F7239" w:rsidRDefault="006F7239" w:rsidP="00FA0360">
            <w:pPr>
              <w:pStyle w:val="GesAbsatz"/>
              <w:jc w:val="center"/>
              <w:rPr>
                <w:rFonts w:cs="Arial"/>
              </w:rPr>
            </w:pPr>
            <w:r w:rsidRPr="00995906">
              <w:rPr>
                <w:rFonts w:cs="Arial"/>
              </w:rPr>
              <w:t>Konzentration</w:t>
            </w:r>
            <w:r>
              <w:rPr>
                <w:rFonts w:cs="Arial"/>
              </w:rPr>
              <w:t xml:space="preserve"> (mg/l)</w:t>
            </w:r>
            <w:r w:rsidR="00700A77">
              <w:rPr>
                <w:rStyle w:val="Funotenzeichen"/>
                <w:rFonts w:cs="Arial"/>
              </w:rPr>
              <w:footnoteReference w:id="72"/>
            </w:r>
          </w:p>
        </w:tc>
        <w:tc>
          <w:tcPr>
            <w:tcW w:w="1690" w:type="dxa"/>
            <w:vMerge/>
          </w:tcPr>
          <w:p w:rsidR="006F7239" w:rsidRDefault="006F7239" w:rsidP="00FA0360">
            <w:pPr>
              <w:pStyle w:val="GesAbsatz"/>
              <w:jc w:val="left"/>
              <w:rPr>
                <w:rFonts w:cs="Arial"/>
              </w:rPr>
            </w:pPr>
          </w:p>
        </w:tc>
      </w:tr>
      <w:tr w:rsidR="006F7239" w:rsidTr="00700A77">
        <w:trPr>
          <w:trHeight w:val="326"/>
        </w:trPr>
        <w:tc>
          <w:tcPr>
            <w:tcW w:w="3085" w:type="dxa"/>
            <w:vMerge w:val="restart"/>
          </w:tcPr>
          <w:p w:rsidR="006F7239" w:rsidRDefault="006F7239" w:rsidP="00C16634">
            <w:pPr>
              <w:pStyle w:val="GesAbsatz"/>
              <w:ind w:left="284" w:hanging="284"/>
              <w:rPr>
                <w:rFonts w:cs="Arial"/>
              </w:rPr>
            </w:pPr>
            <w:r w:rsidRPr="00995906">
              <w:rPr>
                <w:rFonts w:cs="Arial"/>
              </w:rPr>
              <w:lastRenderedPageBreak/>
              <w:t>a)</w:t>
            </w:r>
            <w:r w:rsidR="00C16634">
              <w:rPr>
                <w:rFonts w:cs="Arial"/>
              </w:rPr>
              <w:tab/>
            </w:r>
            <w:r w:rsidRPr="00995906">
              <w:rPr>
                <w:rFonts w:cs="Arial"/>
              </w:rPr>
              <w:t>Produktion von Trichlorethen</w:t>
            </w:r>
            <w:r>
              <w:rPr>
                <w:rFonts w:cs="Arial"/>
              </w:rPr>
              <w:t xml:space="preserve"> </w:t>
            </w:r>
            <w:r w:rsidRPr="006F7239">
              <w:rPr>
                <w:rFonts w:cs="Arial"/>
              </w:rPr>
              <w:t xml:space="preserve">(TRI) und </w:t>
            </w:r>
            <w:r w:rsidR="00A11F89" w:rsidRPr="006F7239">
              <w:rPr>
                <w:rFonts w:cs="Arial"/>
              </w:rPr>
              <w:t>Tetrachlorethen</w:t>
            </w:r>
            <w:r>
              <w:rPr>
                <w:rFonts w:cs="Arial"/>
              </w:rPr>
              <w:t xml:space="preserve"> </w:t>
            </w:r>
            <w:r w:rsidRPr="006F7239">
              <w:rPr>
                <w:rFonts w:cs="Arial"/>
              </w:rPr>
              <w:t>(PER) (</w:t>
            </w:r>
            <w:r w:rsidR="00A11F89" w:rsidRPr="006F7239">
              <w:rPr>
                <w:rFonts w:cs="Arial"/>
              </w:rPr>
              <w:t>TRI</w:t>
            </w:r>
            <w:r w:rsidR="00A11F89">
              <w:rPr>
                <w:rFonts w:cs="Arial"/>
              </w:rPr>
              <w:t>-</w:t>
            </w:r>
            <w:r w:rsidR="00A11F89" w:rsidRPr="006F7239">
              <w:rPr>
                <w:rFonts w:cs="Arial"/>
              </w:rPr>
              <w:t>PER-</w:t>
            </w:r>
            <w:r w:rsidR="00A11F89" w:rsidRPr="00995906">
              <w:rPr>
                <w:rFonts w:cs="Arial"/>
              </w:rPr>
              <w:t>Verfahren</w:t>
            </w:r>
            <w:r w:rsidRPr="00995906">
              <w:rPr>
                <w:rFonts w:cs="Arial"/>
              </w:rPr>
              <w:t>)</w:t>
            </w:r>
          </w:p>
        </w:tc>
        <w:tc>
          <w:tcPr>
            <w:tcW w:w="1370" w:type="dxa"/>
            <w:vMerge w:val="restart"/>
            <w:vAlign w:val="center"/>
          </w:tcPr>
          <w:p w:rsidR="006F7239" w:rsidRDefault="006F7239" w:rsidP="00C16634">
            <w:pPr>
              <w:pStyle w:val="GesAbsatz"/>
              <w:jc w:val="center"/>
              <w:rPr>
                <w:rFonts w:cs="Arial"/>
              </w:rPr>
            </w:pPr>
            <w:r w:rsidRPr="00995906">
              <w:rPr>
                <w:rFonts w:cs="Arial"/>
              </w:rPr>
              <w:t>Monat</w:t>
            </w:r>
          </w:p>
        </w:tc>
        <w:tc>
          <w:tcPr>
            <w:tcW w:w="1843" w:type="dxa"/>
            <w:vAlign w:val="center"/>
          </w:tcPr>
          <w:p w:rsidR="006F7239" w:rsidRDefault="006F7239" w:rsidP="00C16634">
            <w:pPr>
              <w:pStyle w:val="GesAbsatz"/>
              <w:jc w:val="center"/>
              <w:rPr>
                <w:rFonts w:cs="Arial"/>
              </w:rPr>
            </w:pPr>
            <w:r w:rsidRPr="00995906">
              <w:rPr>
                <w:rFonts w:cs="Arial"/>
              </w:rPr>
              <w:t>10</w:t>
            </w:r>
          </w:p>
        </w:tc>
        <w:tc>
          <w:tcPr>
            <w:tcW w:w="1759" w:type="dxa"/>
            <w:vAlign w:val="center"/>
          </w:tcPr>
          <w:p w:rsidR="006F7239" w:rsidRPr="00995906" w:rsidRDefault="006F7239" w:rsidP="00C16634">
            <w:pPr>
              <w:pStyle w:val="GesAbsatz"/>
              <w:jc w:val="center"/>
              <w:rPr>
                <w:rFonts w:cs="Arial"/>
              </w:rPr>
            </w:pPr>
            <w:r w:rsidRPr="00995906">
              <w:rPr>
                <w:rFonts w:cs="Arial"/>
              </w:rPr>
              <w:t>2</w:t>
            </w:r>
          </w:p>
        </w:tc>
        <w:tc>
          <w:tcPr>
            <w:tcW w:w="1690" w:type="dxa"/>
            <w:vAlign w:val="center"/>
          </w:tcPr>
          <w:p w:rsidR="006F7239" w:rsidRDefault="006F7239" w:rsidP="00C16634">
            <w:pPr>
              <w:pStyle w:val="GesAbsatz"/>
              <w:jc w:val="center"/>
              <w:rPr>
                <w:rFonts w:cs="Arial"/>
              </w:rPr>
            </w:pPr>
            <w:r w:rsidRPr="00995906">
              <w:rPr>
                <w:rFonts w:cs="Arial"/>
              </w:rPr>
              <w:t>1.1.1993</w:t>
            </w:r>
          </w:p>
        </w:tc>
      </w:tr>
      <w:tr w:rsidR="006F7239" w:rsidTr="00700A77">
        <w:tc>
          <w:tcPr>
            <w:tcW w:w="3085" w:type="dxa"/>
            <w:vMerge/>
          </w:tcPr>
          <w:p w:rsidR="006F7239" w:rsidRDefault="006F7239" w:rsidP="00C16634">
            <w:pPr>
              <w:pStyle w:val="GesAbsatz"/>
              <w:ind w:left="284" w:hanging="284"/>
              <w:rPr>
                <w:rFonts w:cs="Arial"/>
              </w:rPr>
            </w:pPr>
          </w:p>
        </w:tc>
        <w:tc>
          <w:tcPr>
            <w:tcW w:w="1370" w:type="dxa"/>
            <w:vMerge/>
            <w:vAlign w:val="center"/>
          </w:tcPr>
          <w:p w:rsidR="006F7239" w:rsidRDefault="006F7239" w:rsidP="00C16634">
            <w:pPr>
              <w:pStyle w:val="GesAbsatz"/>
              <w:jc w:val="center"/>
              <w:rPr>
                <w:rFonts w:cs="Arial"/>
              </w:rPr>
            </w:pPr>
          </w:p>
        </w:tc>
        <w:tc>
          <w:tcPr>
            <w:tcW w:w="1843" w:type="dxa"/>
            <w:vAlign w:val="center"/>
          </w:tcPr>
          <w:p w:rsidR="006F7239" w:rsidRDefault="006F7239" w:rsidP="00C16634">
            <w:pPr>
              <w:pStyle w:val="GesAbsatz"/>
              <w:jc w:val="center"/>
              <w:rPr>
                <w:rFonts w:cs="Arial"/>
              </w:rPr>
            </w:pPr>
            <w:r w:rsidRPr="00995906">
              <w:rPr>
                <w:rFonts w:cs="Arial"/>
              </w:rPr>
              <w:t>2,5</w:t>
            </w:r>
          </w:p>
        </w:tc>
        <w:tc>
          <w:tcPr>
            <w:tcW w:w="1759" w:type="dxa"/>
            <w:vAlign w:val="center"/>
          </w:tcPr>
          <w:p w:rsidR="006F7239" w:rsidRPr="00995906" w:rsidRDefault="006F7239" w:rsidP="00C16634">
            <w:pPr>
              <w:pStyle w:val="GesAbsatz"/>
              <w:jc w:val="center"/>
              <w:rPr>
                <w:rFonts w:cs="Arial"/>
              </w:rPr>
            </w:pPr>
            <w:r w:rsidRPr="00995906">
              <w:rPr>
                <w:rFonts w:cs="Arial"/>
              </w:rPr>
              <w:t>0,5</w:t>
            </w:r>
          </w:p>
        </w:tc>
        <w:tc>
          <w:tcPr>
            <w:tcW w:w="1690" w:type="dxa"/>
            <w:vAlign w:val="center"/>
          </w:tcPr>
          <w:p w:rsidR="006F7239" w:rsidRDefault="006F7239" w:rsidP="00C16634">
            <w:pPr>
              <w:pStyle w:val="GesAbsatz"/>
              <w:jc w:val="center"/>
              <w:rPr>
                <w:rFonts w:cs="Arial"/>
              </w:rPr>
            </w:pPr>
            <w:r w:rsidRPr="00995906">
              <w:rPr>
                <w:rFonts w:cs="Arial"/>
              </w:rPr>
              <w:t>1.1.1995</w:t>
            </w:r>
          </w:p>
        </w:tc>
      </w:tr>
      <w:tr w:rsidR="006F7239" w:rsidTr="00700A77">
        <w:tc>
          <w:tcPr>
            <w:tcW w:w="3085" w:type="dxa"/>
            <w:vMerge/>
          </w:tcPr>
          <w:p w:rsidR="006F7239" w:rsidRDefault="006F7239" w:rsidP="00C16634">
            <w:pPr>
              <w:pStyle w:val="GesAbsatz"/>
              <w:ind w:left="284" w:hanging="284"/>
              <w:rPr>
                <w:rFonts w:cs="Arial"/>
              </w:rPr>
            </w:pPr>
          </w:p>
        </w:tc>
        <w:tc>
          <w:tcPr>
            <w:tcW w:w="1370" w:type="dxa"/>
            <w:vMerge w:val="restart"/>
            <w:vAlign w:val="center"/>
          </w:tcPr>
          <w:p w:rsidR="006F7239" w:rsidRDefault="006F7239" w:rsidP="00C16634">
            <w:pPr>
              <w:pStyle w:val="GesAbsatz"/>
              <w:jc w:val="center"/>
              <w:rPr>
                <w:rFonts w:cs="Arial"/>
              </w:rPr>
            </w:pPr>
            <w:r w:rsidRPr="00995906">
              <w:rPr>
                <w:rFonts w:cs="Arial"/>
              </w:rPr>
              <w:t>Tag</w:t>
            </w:r>
          </w:p>
        </w:tc>
        <w:tc>
          <w:tcPr>
            <w:tcW w:w="1843" w:type="dxa"/>
            <w:vAlign w:val="center"/>
          </w:tcPr>
          <w:p w:rsidR="006F7239" w:rsidRDefault="006F7239" w:rsidP="00C16634">
            <w:pPr>
              <w:pStyle w:val="GesAbsatz"/>
              <w:jc w:val="center"/>
              <w:rPr>
                <w:rFonts w:cs="Arial"/>
              </w:rPr>
            </w:pPr>
            <w:r w:rsidRPr="00995906">
              <w:rPr>
                <w:rFonts w:cs="Arial"/>
              </w:rPr>
              <w:t>20</w:t>
            </w:r>
          </w:p>
        </w:tc>
        <w:tc>
          <w:tcPr>
            <w:tcW w:w="1759" w:type="dxa"/>
            <w:vAlign w:val="center"/>
          </w:tcPr>
          <w:p w:rsidR="006F7239" w:rsidRPr="00995906" w:rsidRDefault="006F7239" w:rsidP="00C16634">
            <w:pPr>
              <w:pStyle w:val="GesAbsatz"/>
              <w:jc w:val="center"/>
              <w:rPr>
                <w:rFonts w:cs="Arial"/>
              </w:rPr>
            </w:pPr>
            <w:r w:rsidRPr="00995906">
              <w:rPr>
                <w:rFonts w:cs="Arial"/>
              </w:rPr>
              <w:t>4</w:t>
            </w:r>
          </w:p>
        </w:tc>
        <w:tc>
          <w:tcPr>
            <w:tcW w:w="1690" w:type="dxa"/>
            <w:vAlign w:val="center"/>
          </w:tcPr>
          <w:p w:rsidR="006F7239" w:rsidRDefault="006F7239" w:rsidP="00C16634">
            <w:pPr>
              <w:pStyle w:val="GesAbsatz"/>
              <w:jc w:val="center"/>
              <w:rPr>
                <w:rFonts w:cs="Arial"/>
              </w:rPr>
            </w:pPr>
            <w:r w:rsidRPr="00995906">
              <w:rPr>
                <w:rFonts w:cs="Arial"/>
              </w:rPr>
              <w:t>1.1.1993</w:t>
            </w:r>
          </w:p>
        </w:tc>
      </w:tr>
      <w:tr w:rsidR="006F7239" w:rsidTr="00700A77">
        <w:tc>
          <w:tcPr>
            <w:tcW w:w="3085" w:type="dxa"/>
            <w:vMerge/>
          </w:tcPr>
          <w:p w:rsidR="006F7239" w:rsidRDefault="006F7239" w:rsidP="00C16634">
            <w:pPr>
              <w:pStyle w:val="GesAbsatz"/>
              <w:ind w:left="284" w:hanging="284"/>
              <w:rPr>
                <w:rFonts w:cs="Arial"/>
              </w:rPr>
            </w:pPr>
          </w:p>
        </w:tc>
        <w:tc>
          <w:tcPr>
            <w:tcW w:w="1370" w:type="dxa"/>
            <w:vMerge/>
            <w:vAlign w:val="center"/>
          </w:tcPr>
          <w:p w:rsidR="006F7239" w:rsidRPr="00995906" w:rsidRDefault="006F7239" w:rsidP="00C16634">
            <w:pPr>
              <w:pStyle w:val="GesAbsatz"/>
              <w:jc w:val="center"/>
              <w:rPr>
                <w:rFonts w:cs="Arial"/>
              </w:rPr>
            </w:pPr>
          </w:p>
        </w:tc>
        <w:tc>
          <w:tcPr>
            <w:tcW w:w="1843" w:type="dxa"/>
            <w:vAlign w:val="center"/>
          </w:tcPr>
          <w:p w:rsidR="006F7239" w:rsidRDefault="006F7239" w:rsidP="00C16634">
            <w:pPr>
              <w:pStyle w:val="GesAbsatz"/>
              <w:jc w:val="center"/>
              <w:rPr>
                <w:rFonts w:cs="Arial"/>
              </w:rPr>
            </w:pPr>
            <w:r w:rsidRPr="00995906">
              <w:rPr>
                <w:rFonts w:cs="Arial"/>
              </w:rPr>
              <w:t>5</w:t>
            </w:r>
          </w:p>
        </w:tc>
        <w:tc>
          <w:tcPr>
            <w:tcW w:w="1759" w:type="dxa"/>
            <w:vAlign w:val="center"/>
          </w:tcPr>
          <w:p w:rsidR="006F7239" w:rsidRPr="00995906" w:rsidRDefault="006F7239" w:rsidP="00C16634">
            <w:pPr>
              <w:pStyle w:val="GesAbsatz"/>
              <w:jc w:val="center"/>
              <w:rPr>
                <w:rFonts w:cs="Arial"/>
              </w:rPr>
            </w:pPr>
            <w:r w:rsidRPr="00995906">
              <w:rPr>
                <w:rFonts w:cs="Arial"/>
              </w:rPr>
              <w:t>1</w:t>
            </w:r>
          </w:p>
        </w:tc>
        <w:tc>
          <w:tcPr>
            <w:tcW w:w="1690" w:type="dxa"/>
            <w:vAlign w:val="center"/>
          </w:tcPr>
          <w:p w:rsidR="006F7239" w:rsidRDefault="006F7239" w:rsidP="00C16634">
            <w:pPr>
              <w:pStyle w:val="GesAbsatz"/>
              <w:jc w:val="center"/>
              <w:rPr>
                <w:rFonts w:cs="Arial"/>
              </w:rPr>
            </w:pPr>
            <w:r w:rsidRPr="00995906">
              <w:rPr>
                <w:rFonts w:cs="Arial"/>
              </w:rPr>
              <w:t>1.1.1995</w:t>
            </w:r>
          </w:p>
        </w:tc>
      </w:tr>
      <w:tr w:rsidR="00C16634" w:rsidTr="00700A77">
        <w:tc>
          <w:tcPr>
            <w:tcW w:w="3085" w:type="dxa"/>
            <w:vMerge w:val="restart"/>
          </w:tcPr>
          <w:p w:rsidR="00C16634" w:rsidRDefault="00C16634" w:rsidP="00C16634">
            <w:pPr>
              <w:pStyle w:val="GesAbsatz"/>
              <w:ind w:left="284" w:hanging="284"/>
              <w:rPr>
                <w:rFonts w:cs="Arial"/>
              </w:rPr>
            </w:pPr>
            <w:r w:rsidRPr="00995906">
              <w:rPr>
                <w:rFonts w:cs="Arial"/>
              </w:rPr>
              <w:t>b)</w:t>
            </w:r>
            <w:r>
              <w:rPr>
                <w:rFonts w:cs="Arial"/>
              </w:rPr>
              <w:tab/>
            </w:r>
            <w:r w:rsidRPr="00995906">
              <w:rPr>
                <w:rFonts w:cs="Arial"/>
              </w:rPr>
              <w:t>Produktion von Tetrachlo</w:t>
            </w:r>
            <w:r w:rsidRPr="00995906">
              <w:rPr>
                <w:rFonts w:cs="Arial"/>
              </w:rPr>
              <w:t>r</w:t>
            </w:r>
            <w:r w:rsidRPr="00995906">
              <w:rPr>
                <w:rFonts w:cs="Arial"/>
              </w:rPr>
              <w:t>kohlenstoff</w:t>
            </w:r>
            <w:r>
              <w:rPr>
                <w:rFonts w:cs="Arial"/>
              </w:rPr>
              <w:t xml:space="preserve"> </w:t>
            </w:r>
            <w:r w:rsidRPr="00995906">
              <w:rPr>
                <w:rFonts w:cs="Arial"/>
              </w:rPr>
              <w:t>und</w:t>
            </w:r>
            <w:r>
              <w:rPr>
                <w:rFonts w:cs="Arial"/>
              </w:rPr>
              <w:t xml:space="preserve"> </w:t>
            </w:r>
            <w:r w:rsidRPr="00995906">
              <w:rPr>
                <w:rFonts w:cs="Arial"/>
              </w:rPr>
              <w:t>Tetrachl</w:t>
            </w:r>
            <w:r w:rsidRPr="00995906">
              <w:rPr>
                <w:rFonts w:cs="Arial"/>
              </w:rPr>
              <w:t>o</w:t>
            </w:r>
            <w:r w:rsidRPr="00995906">
              <w:rPr>
                <w:rFonts w:cs="Arial"/>
              </w:rPr>
              <w:t>rethen</w:t>
            </w:r>
            <w:r>
              <w:rPr>
                <w:rFonts w:cs="Arial"/>
              </w:rPr>
              <w:t xml:space="preserve"> </w:t>
            </w:r>
            <w:r w:rsidRPr="00995906">
              <w:rPr>
                <w:rFonts w:cs="Arial"/>
              </w:rPr>
              <w:t>(TETRA-PER Verfa</w:t>
            </w:r>
            <w:r w:rsidRPr="00995906">
              <w:rPr>
                <w:rFonts w:cs="Arial"/>
              </w:rPr>
              <w:t>h</w:t>
            </w:r>
            <w:r w:rsidRPr="00995906">
              <w:rPr>
                <w:rFonts w:cs="Arial"/>
              </w:rPr>
              <w:t>ren)</w:t>
            </w:r>
          </w:p>
        </w:tc>
        <w:tc>
          <w:tcPr>
            <w:tcW w:w="1370" w:type="dxa"/>
            <w:vMerge w:val="restart"/>
            <w:vAlign w:val="center"/>
          </w:tcPr>
          <w:p w:rsidR="00C16634" w:rsidRPr="00995906" w:rsidRDefault="00C16634" w:rsidP="00C16634">
            <w:pPr>
              <w:pStyle w:val="GesAbsatz"/>
              <w:jc w:val="center"/>
              <w:rPr>
                <w:rFonts w:cs="Arial"/>
              </w:rPr>
            </w:pPr>
            <w:r w:rsidRPr="00995906">
              <w:rPr>
                <w:rFonts w:cs="Arial"/>
              </w:rPr>
              <w:t>Monat</w:t>
            </w:r>
          </w:p>
        </w:tc>
        <w:tc>
          <w:tcPr>
            <w:tcW w:w="1843" w:type="dxa"/>
            <w:vAlign w:val="center"/>
          </w:tcPr>
          <w:p w:rsidR="00C16634" w:rsidRPr="00995906" w:rsidRDefault="00C16634" w:rsidP="00C16634">
            <w:pPr>
              <w:pStyle w:val="GesAbsatz"/>
              <w:jc w:val="center"/>
              <w:rPr>
                <w:rFonts w:cs="Arial"/>
              </w:rPr>
            </w:pPr>
            <w:r w:rsidRPr="00995906">
              <w:rPr>
                <w:rFonts w:cs="Arial"/>
              </w:rPr>
              <w:t>10</w:t>
            </w:r>
          </w:p>
        </w:tc>
        <w:tc>
          <w:tcPr>
            <w:tcW w:w="1759" w:type="dxa"/>
            <w:vAlign w:val="center"/>
          </w:tcPr>
          <w:p w:rsidR="00C16634" w:rsidRPr="00995906" w:rsidRDefault="00C16634" w:rsidP="00C16634">
            <w:pPr>
              <w:pStyle w:val="GesAbsatz"/>
              <w:jc w:val="center"/>
              <w:rPr>
                <w:rFonts w:cs="Arial"/>
              </w:rPr>
            </w:pPr>
            <w:r w:rsidRPr="00995906">
              <w:rPr>
                <w:rFonts w:cs="Arial"/>
              </w:rPr>
              <w:t>5</w:t>
            </w:r>
          </w:p>
        </w:tc>
        <w:tc>
          <w:tcPr>
            <w:tcW w:w="1690" w:type="dxa"/>
            <w:vAlign w:val="center"/>
          </w:tcPr>
          <w:p w:rsidR="00C16634" w:rsidRPr="00995906" w:rsidRDefault="00C16634" w:rsidP="00C16634">
            <w:pPr>
              <w:pStyle w:val="GesAbsatz"/>
              <w:jc w:val="center"/>
              <w:rPr>
                <w:rFonts w:cs="Arial"/>
              </w:rPr>
            </w:pPr>
            <w:r w:rsidRPr="00995906">
              <w:rPr>
                <w:rFonts w:cs="Arial"/>
              </w:rPr>
              <w:t>1.1.1993</w:t>
            </w:r>
          </w:p>
        </w:tc>
      </w:tr>
      <w:tr w:rsidR="00C16634" w:rsidTr="00700A77">
        <w:tc>
          <w:tcPr>
            <w:tcW w:w="3085" w:type="dxa"/>
            <w:vMerge/>
          </w:tcPr>
          <w:p w:rsidR="00C16634" w:rsidRPr="00995906" w:rsidRDefault="00C16634" w:rsidP="00C16634">
            <w:pPr>
              <w:pStyle w:val="GesAbsatz"/>
              <w:ind w:left="284" w:hanging="284"/>
              <w:rPr>
                <w:rFonts w:cs="Arial"/>
              </w:rPr>
            </w:pPr>
          </w:p>
        </w:tc>
        <w:tc>
          <w:tcPr>
            <w:tcW w:w="1370" w:type="dxa"/>
            <w:vMerge/>
            <w:vAlign w:val="center"/>
          </w:tcPr>
          <w:p w:rsidR="00C16634" w:rsidRPr="00995906" w:rsidRDefault="00C16634" w:rsidP="00C16634">
            <w:pPr>
              <w:pStyle w:val="GesAbsatz"/>
              <w:jc w:val="center"/>
              <w:rPr>
                <w:rFonts w:cs="Arial"/>
              </w:rPr>
            </w:pPr>
          </w:p>
        </w:tc>
        <w:tc>
          <w:tcPr>
            <w:tcW w:w="1843" w:type="dxa"/>
            <w:vAlign w:val="center"/>
          </w:tcPr>
          <w:p w:rsidR="00C16634" w:rsidRPr="00995906" w:rsidRDefault="00C16634" w:rsidP="00C16634">
            <w:pPr>
              <w:pStyle w:val="GesAbsatz"/>
              <w:jc w:val="center"/>
              <w:rPr>
                <w:rFonts w:cs="Arial"/>
              </w:rPr>
            </w:pPr>
            <w:r w:rsidRPr="00995906">
              <w:rPr>
                <w:rFonts w:cs="Arial"/>
              </w:rPr>
              <w:t>2,5</w:t>
            </w:r>
          </w:p>
        </w:tc>
        <w:tc>
          <w:tcPr>
            <w:tcW w:w="1759" w:type="dxa"/>
            <w:vAlign w:val="center"/>
          </w:tcPr>
          <w:p w:rsidR="00C16634" w:rsidRPr="00995906" w:rsidRDefault="00C16634" w:rsidP="00C16634">
            <w:pPr>
              <w:pStyle w:val="GesAbsatz"/>
              <w:jc w:val="center"/>
              <w:rPr>
                <w:rFonts w:cs="Arial"/>
              </w:rPr>
            </w:pPr>
            <w:r w:rsidRPr="00995906">
              <w:rPr>
                <w:rFonts w:cs="Arial"/>
              </w:rPr>
              <w:t>1,25</w:t>
            </w:r>
          </w:p>
        </w:tc>
        <w:tc>
          <w:tcPr>
            <w:tcW w:w="1690" w:type="dxa"/>
            <w:vAlign w:val="center"/>
          </w:tcPr>
          <w:p w:rsidR="00C16634" w:rsidRPr="00995906" w:rsidRDefault="00C16634" w:rsidP="00C16634">
            <w:pPr>
              <w:pStyle w:val="GesAbsatz"/>
              <w:jc w:val="center"/>
              <w:rPr>
                <w:rFonts w:cs="Arial"/>
              </w:rPr>
            </w:pPr>
            <w:r w:rsidRPr="00995906">
              <w:rPr>
                <w:rFonts w:cs="Arial"/>
              </w:rPr>
              <w:t>1.1.1995</w:t>
            </w:r>
          </w:p>
        </w:tc>
      </w:tr>
      <w:tr w:rsidR="00C16634" w:rsidTr="00700A77">
        <w:tc>
          <w:tcPr>
            <w:tcW w:w="3085" w:type="dxa"/>
            <w:vMerge/>
          </w:tcPr>
          <w:p w:rsidR="00C16634" w:rsidRPr="00995906" w:rsidRDefault="00C16634" w:rsidP="00C16634">
            <w:pPr>
              <w:pStyle w:val="GesAbsatz"/>
              <w:ind w:left="284" w:hanging="284"/>
              <w:rPr>
                <w:rFonts w:cs="Arial"/>
              </w:rPr>
            </w:pPr>
          </w:p>
        </w:tc>
        <w:tc>
          <w:tcPr>
            <w:tcW w:w="1370" w:type="dxa"/>
            <w:vMerge w:val="restart"/>
            <w:vAlign w:val="center"/>
          </w:tcPr>
          <w:p w:rsidR="00C16634" w:rsidRPr="00995906" w:rsidRDefault="00C16634" w:rsidP="00C16634">
            <w:pPr>
              <w:pStyle w:val="GesAbsatz"/>
              <w:jc w:val="center"/>
              <w:rPr>
                <w:rFonts w:cs="Arial"/>
              </w:rPr>
            </w:pPr>
            <w:r w:rsidRPr="00995906">
              <w:rPr>
                <w:rFonts w:cs="Arial"/>
              </w:rPr>
              <w:t>Tag</w:t>
            </w:r>
          </w:p>
        </w:tc>
        <w:tc>
          <w:tcPr>
            <w:tcW w:w="1843" w:type="dxa"/>
            <w:vAlign w:val="center"/>
          </w:tcPr>
          <w:p w:rsidR="00C16634" w:rsidRPr="00995906" w:rsidRDefault="00C16634" w:rsidP="00C16634">
            <w:pPr>
              <w:pStyle w:val="GesAbsatz"/>
              <w:jc w:val="center"/>
              <w:rPr>
                <w:rFonts w:cs="Arial"/>
              </w:rPr>
            </w:pPr>
            <w:r w:rsidRPr="00995906">
              <w:rPr>
                <w:rFonts w:cs="Arial"/>
              </w:rPr>
              <w:t>20</w:t>
            </w:r>
          </w:p>
        </w:tc>
        <w:tc>
          <w:tcPr>
            <w:tcW w:w="1759" w:type="dxa"/>
            <w:vAlign w:val="center"/>
          </w:tcPr>
          <w:p w:rsidR="00C16634" w:rsidRPr="00995906" w:rsidRDefault="00C16634" w:rsidP="00C16634">
            <w:pPr>
              <w:pStyle w:val="GesAbsatz"/>
              <w:jc w:val="center"/>
              <w:rPr>
                <w:rFonts w:cs="Arial"/>
              </w:rPr>
            </w:pPr>
            <w:r w:rsidRPr="00995906">
              <w:rPr>
                <w:rFonts w:cs="Arial"/>
              </w:rPr>
              <w:t>10</w:t>
            </w:r>
          </w:p>
        </w:tc>
        <w:tc>
          <w:tcPr>
            <w:tcW w:w="1690" w:type="dxa"/>
            <w:vAlign w:val="center"/>
          </w:tcPr>
          <w:p w:rsidR="00C16634" w:rsidRPr="00995906" w:rsidRDefault="00C16634" w:rsidP="00C16634">
            <w:pPr>
              <w:pStyle w:val="GesAbsatz"/>
              <w:jc w:val="center"/>
              <w:rPr>
                <w:rFonts w:cs="Arial"/>
              </w:rPr>
            </w:pPr>
            <w:r w:rsidRPr="00995906">
              <w:rPr>
                <w:rFonts w:cs="Arial"/>
              </w:rPr>
              <w:t>1.1.1993</w:t>
            </w:r>
          </w:p>
        </w:tc>
      </w:tr>
      <w:tr w:rsidR="00C16634" w:rsidTr="00700A77">
        <w:tc>
          <w:tcPr>
            <w:tcW w:w="3085" w:type="dxa"/>
            <w:vMerge/>
          </w:tcPr>
          <w:p w:rsidR="00C16634" w:rsidRPr="00995906" w:rsidRDefault="00C16634" w:rsidP="00C16634">
            <w:pPr>
              <w:pStyle w:val="GesAbsatz"/>
              <w:ind w:left="284" w:hanging="284"/>
              <w:rPr>
                <w:rFonts w:cs="Arial"/>
              </w:rPr>
            </w:pPr>
          </w:p>
        </w:tc>
        <w:tc>
          <w:tcPr>
            <w:tcW w:w="1370" w:type="dxa"/>
            <w:vMerge/>
            <w:vAlign w:val="center"/>
          </w:tcPr>
          <w:p w:rsidR="00C16634" w:rsidRPr="00995906" w:rsidRDefault="00C16634" w:rsidP="00C16634">
            <w:pPr>
              <w:pStyle w:val="GesAbsatz"/>
              <w:jc w:val="center"/>
              <w:rPr>
                <w:rFonts w:cs="Arial"/>
              </w:rPr>
            </w:pPr>
          </w:p>
        </w:tc>
        <w:tc>
          <w:tcPr>
            <w:tcW w:w="1843" w:type="dxa"/>
            <w:vAlign w:val="center"/>
          </w:tcPr>
          <w:p w:rsidR="00C16634" w:rsidRPr="00995906" w:rsidRDefault="00C16634" w:rsidP="00C16634">
            <w:pPr>
              <w:pStyle w:val="GesAbsatz"/>
              <w:jc w:val="center"/>
              <w:rPr>
                <w:rFonts w:cs="Arial"/>
              </w:rPr>
            </w:pPr>
            <w:r w:rsidRPr="00995906">
              <w:rPr>
                <w:rFonts w:cs="Arial"/>
              </w:rPr>
              <w:t>5</w:t>
            </w:r>
          </w:p>
        </w:tc>
        <w:tc>
          <w:tcPr>
            <w:tcW w:w="1759" w:type="dxa"/>
            <w:vAlign w:val="center"/>
          </w:tcPr>
          <w:p w:rsidR="00C16634" w:rsidRPr="00995906" w:rsidRDefault="00C16634" w:rsidP="00C16634">
            <w:pPr>
              <w:pStyle w:val="GesAbsatz"/>
              <w:jc w:val="center"/>
              <w:rPr>
                <w:rFonts w:cs="Arial"/>
              </w:rPr>
            </w:pPr>
            <w:r w:rsidRPr="00995906">
              <w:rPr>
                <w:rFonts w:cs="Arial"/>
              </w:rPr>
              <w:t>2,5</w:t>
            </w:r>
          </w:p>
        </w:tc>
        <w:tc>
          <w:tcPr>
            <w:tcW w:w="1690" w:type="dxa"/>
            <w:vAlign w:val="center"/>
          </w:tcPr>
          <w:p w:rsidR="00C16634" w:rsidRPr="00995906" w:rsidRDefault="00C16634" w:rsidP="00C16634">
            <w:pPr>
              <w:pStyle w:val="GesAbsatz"/>
              <w:jc w:val="center"/>
              <w:rPr>
                <w:rFonts w:cs="Arial"/>
              </w:rPr>
            </w:pPr>
            <w:r w:rsidRPr="00995906">
              <w:rPr>
                <w:rFonts w:cs="Arial"/>
              </w:rPr>
              <w:t>1.1.1995</w:t>
            </w:r>
          </w:p>
        </w:tc>
      </w:tr>
      <w:tr w:rsidR="00AD3BEC" w:rsidTr="00700A77">
        <w:tc>
          <w:tcPr>
            <w:tcW w:w="3085" w:type="dxa"/>
            <w:vMerge w:val="restart"/>
          </w:tcPr>
          <w:p w:rsidR="00AD3BEC" w:rsidRPr="00995906" w:rsidRDefault="00AD3BEC" w:rsidP="00C16634">
            <w:pPr>
              <w:pStyle w:val="GesAbsatz"/>
              <w:ind w:left="284" w:hanging="284"/>
              <w:rPr>
                <w:rFonts w:cs="Arial"/>
              </w:rPr>
            </w:pPr>
            <w:r w:rsidRPr="00995906">
              <w:rPr>
                <w:rFonts w:cs="Arial"/>
              </w:rPr>
              <w:t>c)</w:t>
            </w:r>
            <w:r>
              <w:rPr>
                <w:rFonts w:cs="Arial"/>
              </w:rPr>
              <w:tab/>
            </w:r>
            <w:r w:rsidRPr="00995906">
              <w:rPr>
                <w:rFonts w:cs="Arial"/>
              </w:rPr>
              <w:t>Verwendung von PER</w:t>
            </w:r>
            <w:r>
              <w:rPr>
                <w:rFonts w:cs="Arial"/>
              </w:rPr>
              <w:t xml:space="preserve"> </w:t>
            </w:r>
            <w:r w:rsidRPr="00995906">
              <w:rPr>
                <w:rFonts w:cs="Arial"/>
              </w:rPr>
              <w:t>zum Entfetten von Metallen</w:t>
            </w:r>
            <w:r w:rsidR="00700A77">
              <w:rPr>
                <w:rStyle w:val="Funotenzeichen"/>
                <w:rFonts w:cs="Arial"/>
              </w:rPr>
              <w:footnoteReference w:id="73"/>
            </w:r>
          </w:p>
        </w:tc>
        <w:tc>
          <w:tcPr>
            <w:tcW w:w="1370" w:type="dxa"/>
            <w:vAlign w:val="center"/>
          </w:tcPr>
          <w:p w:rsidR="00AD3BEC" w:rsidRPr="00995906" w:rsidRDefault="00AD3BEC" w:rsidP="00C16634">
            <w:pPr>
              <w:pStyle w:val="GesAbsatz"/>
              <w:jc w:val="center"/>
              <w:rPr>
                <w:rFonts w:cs="Arial"/>
              </w:rPr>
            </w:pPr>
            <w:r w:rsidRPr="00995906">
              <w:rPr>
                <w:rFonts w:cs="Arial"/>
              </w:rPr>
              <w:t>Monat</w:t>
            </w:r>
          </w:p>
        </w:tc>
        <w:tc>
          <w:tcPr>
            <w:tcW w:w="1843" w:type="dxa"/>
            <w:vAlign w:val="center"/>
          </w:tcPr>
          <w:p w:rsidR="00AD3BEC" w:rsidRPr="00995906" w:rsidRDefault="00AD3BEC" w:rsidP="00C16634">
            <w:pPr>
              <w:pStyle w:val="GesAbsatz"/>
              <w:jc w:val="center"/>
              <w:rPr>
                <w:rFonts w:cs="Arial"/>
              </w:rPr>
            </w:pPr>
            <w:r w:rsidRPr="00995906">
              <w:rPr>
                <w:rFonts w:cs="Arial"/>
              </w:rPr>
              <w:t>-</w:t>
            </w:r>
          </w:p>
        </w:tc>
        <w:tc>
          <w:tcPr>
            <w:tcW w:w="1759" w:type="dxa"/>
            <w:vAlign w:val="center"/>
          </w:tcPr>
          <w:p w:rsidR="00AD3BEC" w:rsidRPr="00995906" w:rsidRDefault="00AD3BEC" w:rsidP="00C16634">
            <w:pPr>
              <w:pStyle w:val="GesAbsatz"/>
              <w:jc w:val="center"/>
              <w:rPr>
                <w:rFonts w:cs="Arial"/>
              </w:rPr>
            </w:pPr>
            <w:r w:rsidRPr="00995906">
              <w:rPr>
                <w:rFonts w:cs="Arial"/>
              </w:rPr>
              <w:t>0,1</w:t>
            </w:r>
          </w:p>
        </w:tc>
        <w:tc>
          <w:tcPr>
            <w:tcW w:w="1690" w:type="dxa"/>
            <w:vAlign w:val="center"/>
          </w:tcPr>
          <w:p w:rsidR="00AD3BEC" w:rsidRPr="00995906" w:rsidRDefault="00AD3BEC" w:rsidP="00C16634">
            <w:pPr>
              <w:pStyle w:val="GesAbsatz"/>
              <w:jc w:val="center"/>
              <w:rPr>
                <w:rFonts w:cs="Arial"/>
              </w:rPr>
            </w:pPr>
            <w:r w:rsidRPr="00995906">
              <w:rPr>
                <w:rFonts w:cs="Arial"/>
              </w:rPr>
              <w:t>1.1.1993</w:t>
            </w:r>
          </w:p>
        </w:tc>
      </w:tr>
      <w:tr w:rsidR="00AD3BEC" w:rsidTr="00700A77">
        <w:tc>
          <w:tcPr>
            <w:tcW w:w="3085" w:type="dxa"/>
            <w:vMerge/>
          </w:tcPr>
          <w:p w:rsidR="00AD3BEC" w:rsidRPr="00995906" w:rsidRDefault="00AD3BEC" w:rsidP="00FA0360">
            <w:pPr>
              <w:pStyle w:val="GesAbsatz"/>
              <w:rPr>
                <w:rFonts w:cs="Arial"/>
              </w:rPr>
            </w:pPr>
          </w:p>
        </w:tc>
        <w:tc>
          <w:tcPr>
            <w:tcW w:w="1370" w:type="dxa"/>
            <w:vAlign w:val="center"/>
          </w:tcPr>
          <w:p w:rsidR="00AD3BEC" w:rsidRPr="00995906" w:rsidRDefault="00AD3BEC" w:rsidP="00C16634">
            <w:pPr>
              <w:pStyle w:val="GesAbsatz"/>
              <w:jc w:val="center"/>
              <w:rPr>
                <w:rFonts w:cs="Arial"/>
              </w:rPr>
            </w:pPr>
            <w:r w:rsidRPr="00995906">
              <w:rPr>
                <w:rFonts w:cs="Arial"/>
              </w:rPr>
              <w:t>Tag</w:t>
            </w:r>
          </w:p>
        </w:tc>
        <w:tc>
          <w:tcPr>
            <w:tcW w:w="1843" w:type="dxa"/>
            <w:vAlign w:val="center"/>
          </w:tcPr>
          <w:p w:rsidR="00AD3BEC" w:rsidRPr="00995906" w:rsidRDefault="00AD3BEC" w:rsidP="00C16634">
            <w:pPr>
              <w:pStyle w:val="GesAbsatz"/>
              <w:jc w:val="center"/>
              <w:rPr>
                <w:rFonts w:cs="Arial"/>
              </w:rPr>
            </w:pPr>
            <w:r w:rsidRPr="00995906">
              <w:rPr>
                <w:rFonts w:cs="Arial"/>
              </w:rPr>
              <w:t>-</w:t>
            </w:r>
          </w:p>
        </w:tc>
        <w:tc>
          <w:tcPr>
            <w:tcW w:w="1759" w:type="dxa"/>
            <w:vAlign w:val="center"/>
          </w:tcPr>
          <w:p w:rsidR="00AD3BEC" w:rsidRPr="00995906" w:rsidRDefault="00AD3BEC" w:rsidP="00C16634">
            <w:pPr>
              <w:pStyle w:val="GesAbsatz"/>
              <w:jc w:val="center"/>
              <w:rPr>
                <w:rFonts w:cs="Arial"/>
              </w:rPr>
            </w:pPr>
            <w:r w:rsidRPr="00995906">
              <w:rPr>
                <w:rFonts w:cs="Arial"/>
              </w:rPr>
              <w:t>0,2</w:t>
            </w:r>
          </w:p>
        </w:tc>
        <w:tc>
          <w:tcPr>
            <w:tcW w:w="1690" w:type="dxa"/>
            <w:vAlign w:val="center"/>
          </w:tcPr>
          <w:p w:rsidR="00AD3BEC" w:rsidRPr="00995906" w:rsidRDefault="00AD3BEC" w:rsidP="00C16634">
            <w:pPr>
              <w:pStyle w:val="GesAbsatz"/>
              <w:jc w:val="center"/>
              <w:rPr>
                <w:rFonts w:cs="Arial"/>
              </w:rPr>
            </w:pPr>
            <w:r w:rsidRPr="00995906">
              <w:rPr>
                <w:rFonts w:cs="Arial"/>
              </w:rPr>
              <w:t>1.1.1993</w:t>
            </w:r>
          </w:p>
        </w:tc>
      </w:tr>
      <w:tr w:rsidR="00C16634" w:rsidTr="00700A77">
        <w:tc>
          <w:tcPr>
            <w:tcW w:w="3085" w:type="dxa"/>
            <w:vMerge w:val="restart"/>
          </w:tcPr>
          <w:p w:rsidR="00C16634" w:rsidRPr="00995906" w:rsidRDefault="00C16634" w:rsidP="00C16634">
            <w:pPr>
              <w:pStyle w:val="GesAbsatz"/>
              <w:ind w:left="284" w:hanging="284"/>
              <w:rPr>
                <w:rFonts w:cs="Arial"/>
              </w:rPr>
            </w:pPr>
            <w:r w:rsidRPr="00995906">
              <w:rPr>
                <w:rFonts w:cs="Arial"/>
              </w:rPr>
              <w:t>d)</w:t>
            </w:r>
            <w:r>
              <w:rPr>
                <w:rFonts w:cs="Arial"/>
              </w:rPr>
              <w:tab/>
            </w:r>
            <w:r w:rsidRPr="00995906">
              <w:rPr>
                <w:rFonts w:cs="Arial"/>
              </w:rPr>
              <w:t>Produktion von Chlorfluo</w:t>
            </w:r>
            <w:r w:rsidRPr="00995906">
              <w:rPr>
                <w:rFonts w:cs="Arial"/>
              </w:rPr>
              <w:t>r</w:t>
            </w:r>
            <w:r w:rsidRPr="00995906">
              <w:rPr>
                <w:rFonts w:cs="Arial"/>
              </w:rPr>
              <w:t>kohlenwasserstoff</w:t>
            </w:r>
            <w:r w:rsidR="00700A77">
              <w:rPr>
                <w:rStyle w:val="Funotenzeichen"/>
                <w:rFonts w:cs="Arial"/>
              </w:rPr>
              <w:footnoteReference w:id="74"/>
            </w:r>
          </w:p>
        </w:tc>
        <w:tc>
          <w:tcPr>
            <w:tcW w:w="1370" w:type="dxa"/>
            <w:vAlign w:val="center"/>
          </w:tcPr>
          <w:p w:rsidR="00C16634" w:rsidRPr="00995906" w:rsidRDefault="00C16634" w:rsidP="00C16634">
            <w:pPr>
              <w:pStyle w:val="GesAbsatz"/>
              <w:jc w:val="center"/>
              <w:rPr>
                <w:rFonts w:cs="Arial"/>
              </w:rPr>
            </w:pPr>
            <w:r w:rsidRPr="00995906">
              <w:rPr>
                <w:rFonts w:cs="Arial"/>
              </w:rPr>
              <w:t>Monat</w:t>
            </w:r>
          </w:p>
        </w:tc>
        <w:tc>
          <w:tcPr>
            <w:tcW w:w="1843" w:type="dxa"/>
            <w:vAlign w:val="center"/>
          </w:tcPr>
          <w:p w:rsidR="00C16634" w:rsidRPr="00995906" w:rsidRDefault="00C16634" w:rsidP="00C16634">
            <w:pPr>
              <w:pStyle w:val="GesAbsatz"/>
              <w:jc w:val="center"/>
              <w:rPr>
                <w:rFonts w:cs="Arial"/>
              </w:rPr>
            </w:pPr>
            <w:r w:rsidRPr="00995906">
              <w:rPr>
                <w:rFonts w:cs="Arial"/>
              </w:rPr>
              <w:t>-</w:t>
            </w:r>
          </w:p>
        </w:tc>
        <w:tc>
          <w:tcPr>
            <w:tcW w:w="1759" w:type="dxa"/>
            <w:vAlign w:val="center"/>
          </w:tcPr>
          <w:p w:rsidR="00C16634" w:rsidRPr="00995906" w:rsidRDefault="00C16634" w:rsidP="00C16634">
            <w:pPr>
              <w:pStyle w:val="GesAbsatz"/>
              <w:jc w:val="center"/>
              <w:rPr>
                <w:rFonts w:cs="Arial"/>
              </w:rPr>
            </w:pPr>
            <w:r w:rsidRPr="00995906">
              <w:rPr>
                <w:rFonts w:cs="Arial"/>
              </w:rPr>
              <w:t>-</w:t>
            </w:r>
          </w:p>
        </w:tc>
        <w:tc>
          <w:tcPr>
            <w:tcW w:w="1690" w:type="dxa"/>
            <w:vAlign w:val="center"/>
          </w:tcPr>
          <w:p w:rsidR="00C16634" w:rsidRPr="00995906" w:rsidRDefault="00C16634" w:rsidP="00C16634">
            <w:pPr>
              <w:pStyle w:val="GesAbsatz"/>
              <w:jc w:val="center"/>
              <w:rPr>
                <w:rFonts w:cs="Arial"/>
              </w:rPr>
            </w:pPr>
            <w:r w:rsidRPr="00995906">
              <w:rPr>
                <w:rFonts w:cs="Arial"/>
              </w:rPr>
              <w:t>-</w:t>
            </w:r>
          </w:p>
        </w:tc>
      </w:tr>
      <w:tr w:rsidR="00C16634" w:rsidTr="00700A77">
        <w:tc>
          <w:tcPr>
            <w:tcW w:w="3085" w:type="dxa"/>
            <w:vMerge/>
          </w:tcPr>
          <w:p w:rsidR="00C16634" w:rsidRPr="00995906" w:rsidRDefault="00C16634" w:rsidP="00FA0360">
            <w:pPr>
              <w:pStyle w:val="GesAbsatz"/>
              <w:rPr>
                <w:rFonts w:cs="Arial"/>
              </w:rPr>
            </w:pPr>
          </w:p>
        </w:tc>
        <w:tc>
          <w:tcPr>
            <w:tcW w:w="1370" w:type="dxa"/>
            <w:vAlign w:val="center"/>
          </w:tcPr>
          <w:p w:rsidR="00C16634" w:rsidRPr="00995906" w:rsidRDefault="00C16634" w:rsidP="00C16634">
            <w:pPr>
              <w:pStyle w:val="GesAbsatz"/>
              <w:jc w:val="center"/>
              <w:rPr>
                <w:rFonts w:cs="Arial"/>
              </w:rPr>
            </w:pPr>
            <w:r w:rsidRPr="00995906">
              <w:rPr>
                <w:rFonts w:cs="Arial"/>
              </w:rPr>
              <w:t>Tag</w:t>
            </w:r>
          </w:p>
        </w:tc>
        <w:tc>
          <w:tcPr>
            <w:tcW w:w="1843" w:type="dxa"/>
            <w:vAlign w:val="center"/>
          </w:tcPr>
          <w:p w:rsidR="00C16634" w:rsidRPr="00995906" w:rsidRDefault="00C16634" w:rsidP="00C16634">
            <w:pPr>
              <w:pStyle w:val="GesAbsatz"/>
              <w:jc w:val="center"/>
              <w:rPr>
                <w:rFonts w:cs="Arial"/>
              </w:rPr>
            </w:pPr>
            <w:r w:rsidRPr="00995906">
              <w:rPr>
                <w:rFonts w:cs="Arial"/>
              </w:rPr>
              <w:t>-</w:t>
            </w:r>
          </w:p>
        </w:tc>
        <w:tc>
          <w:tcPr>
            <w:tcW w:w="1759" w:type="dxa"/>
            <w:vAlign w:val="center"/>
          </w:tcPr>
          <w:p w:rsidR="00C16634" w:rsidRPr="00995906" w:rsidRDefault="00C16634" w:rsidP="00C16634">
            <w:pPr>
              <w:pStyle w:val="GesAbsatz"/>
              <w:jc w:val="center"/>
              <w:rPr>
                <w:rFonts w:cs="Arial"/>
              </w:rPr>
            </w:pPr>
            <w:r w:rsidRPr="00995906">
              <w:rPr>
                <w:rFonts w:cs="Arial"/>
              </w:rPr>
              <w:t>-</w:t>
            </w:r>
          </w:p>
        </w:tc>
        <w:tc>
          <w:tcPr>
            <w:tcW w:w="1690" w:type="dxa"/>
            <w:vAlign w:val="center"/>
          </w:tcPr>
          <w:p w:rsidR="00C16634" w:rsidRPr="00995906" w:rsidRDefault="00C16634" w:rsidP="00C16634">
            <w:pPr>
              <w:pStyle w:val="GesAbsatz"/>
              <w:jc w:val="center"/>
              <w:rPr>
                <w:rFonts w:cs="Arial"/>
              </w:rPr>
            </w:pPr>
            <w:r w:rsidRPr="00995906">
              <w:rPr>
                <w:rFonts w:cs="Arial"/>
              </w:rPr>
              <w:t>-</w:t>
            </w:r>
          </w:p>
        </w:tc>
      </w:tr>
    </w:tbl>
    <w:p w:rsidR="006F7239" w:rsidRDefault="006F7239" w:rsidP="00995906">
      <w:pPr>
        <w:pStyle w:val="GesAbsatz"/>
        <w:rPr>
          <w:rFonts w:cs="Arial"/>
        </w:rPr>
      </w:pPr>
    </w:p>
    <w:p w:rsidR="0049151F" w:rsidRPr="00995906" w:rsidRDefault="0049151F" w:rsidP="00995906">
      <w:pPr>
        <w:pStyle w:val="GesAbsatz"/>
        <w:rPr>
          <w:rFonts w:cs="Arial"/>
        </w:rPr>
      </w:pPr>
      <w:r w:rsidRPr="0039209C">
        <w:rPr>
          <w:rFonts w:cs="Arial"/>
          <w:b/>
        </w:rPr>
        <w:t>Teil C (111):</w:t>
      </w:r>
      <w:r w:rsidRPr="00995906">
        <w:rPr>
          <w:rFonts w:cs="Arial"/>
        </w:rPr>
        <w:t xml:space="preserve"> </w:t>
      </w:r>
      <w:proofErr w:type="spellStart"/>
      <w:r w:rsidRPr="00995906">
        <w:rPr>
          <w:rFonts w:cs="Arial"/>
        </w:rPr>
        <w:t>Referenzme</w:t>
      </w:r>
      <w:r w:rsidR="0039209C">
        <w:rPr>
          <w:rFonts w:cs="Arial"/>
        </w:rPr>
        <w:t>ß</w:t>
      </w:r>
      <w:r w:rsidRPr="00995906">
        <w:rPr>
          <w:rFonts w:cs="Arial"/>
        </w:rPr>
        <w:t>verfahren</w:t>
      </w:r>
      <w:proofErr w:type="spellEnd"/>
    </w:p>
    <w:p w:rsidR="0049151F" w:rsidRPr="00995906" w:rsidRDefault="0049151F" w:rsidP="0039209C">
      <w:pPr>
        <w:pStyle w:val="GesAbsatz"/>
        <w:ind w:left="426" w:hanging="426"/>
        <w:rPr>
          <w:rFonts w:cs="Arial"/>
        </w:rPr>
      </w:pPr>
      <w:r w:rsidRPr="00995906">
        <w:rPr>
          <w:rFonts w:cs="Arial"/>
        </w:rPr>
        <w:t>1.</w:t>
      </w:r>
      <w:r w:rsidR="0039209C">
        <w:rPr>
          <w:rFonts w:cs="Arial"/>
        </w:rPr>
        <w:tab/>
      </w:r>
      <w:r w:rsidRPr="00995906">
        <w:rPr>
          <w:rFonts w:cs="Arial"/>
        </w:rPr>
        <w:t>Das Referenzme</w:t>
      </w:r>
      <w:r w:rsidR="0039209C">
        <w:rPr>
          <w:rFonts w:cs="Arial"/>
        </w:rPr>
        <w:t>ß</w:t>
      </w:r>
      <w:r w:rsidRPr="00995906">
        <w:rPr>
          <w:rFonts w:cs="Arial"/>
        </w:rPr>
        <w:t>verfahren zur Bestimmung von Tetrachlorethen (PER) in Abwässern und Gewässern</w:t>
      </w:r>
      <w:r w:rsidR="0039209C">
        <w:rPr>
          <w:rFonts w:cs="Arial"/>
        </w:rPr>
        <w:t xml:space="preserve"> </w:t>
      </w:r>
      <w:r w:rsidRPr="00995906">
        <w:rPr>
          <w:rFonts w:cs="Arial"/>
        </w:rPr>
        <w:t>ist die Gaschromatographie mit Elektroneneinfangdetektor nach Extraktion mit einem geeigneten</w:t>
      </w:r>
      <w:r w:rsidR="0039209C">
        <w:rPr>
          <w:rFonts w:cs="Arial"/>
        </w:rPr>
        <w:t xml:space="preserve"> </w:t>
      </w:r>
      <w:r w:rsidRPr="00995906">
        <w:rPr>
          <w:rFonts w:cs="Arial"/>
        </w:rPr>
        <w:t>L</w:t>
      </w:r>
      <w:r w:rsidRPr="00995906">
        <w:rPr>
          <w:rFonts w:cs="Arial"/>
        </w:rPr>
        <w:t>ö</w:t>
      </w:r>
      <w:r w:rsidRPr="00995906">
        <w:rPr>
          <w:rFonts w:cs="Arial"/>
        </w:rPr>
        <w:t>semittel.</w:t>
      </w:r>
    </w:p>
    <w:p w:rsidR="0049151F" w:rsidRPr="00995906" w:rsidRDefault="0049151F" w:rsidP="000E7719">
      <w:pPr>
        <w:pStyle w:val="GesAbsatz"/>
        <w:ind w:left="426"/>
        <w:rPr>
          <w:rFonts w:cs="Arial"/>
        </w:rPr>
      </w:pPr>
      <w:r w:rsidRPr="00995906">
        <w:rPr>
          <w:rFonts w:cs="Arial"/>
        </w:rPr>
        <w:t>Die Bestimmungsgrenze für PER liegt bei 10 µg/l für Abwässer und 0,1 µg/l für Gewässer.</w:t>
      </w:r>
    </w:p>
    <w:p w:rsidR="0049151F" w:rsidRPr="00995906" w:rsidRDefault="0049151F" w:rsidP="0039209C">
      <w:pPr>
        <w:pStyle w:val="GesAbsatz"/>
        <w:ind w:left="426" w:hanging="426"/>
        <w:rPr>
          <w:rFonts w:cs="Arial"/>
        </w:rPr>
      </w:pPr>
      <w:r w:rsidRPr="00995906">
        <w:rPr>
          <w:rFonts w:cs="Arial"/>
        </w:rPr>
        <w:t>2.</w:t>
      </w:r>
      <w:r w:rsidR="0039209C">
        <w:rPr>
          <w:rFonts w:cs="Arial"/>
        </w:rPr>
        <w:tab/>
      </w:r>
      <w:r w:rsidRPr="00995906">
        <w:rPr>
          <w:rFonts w:cs="Arial"/>
        </w:rPr>
        <w:t>Die Genauigkeit und die Richtigkeit der Methode müssen gewährleisten, da</w:t>
      </w:r>
      <w:r w:rsidR="0039209C">
        <w:rPr>
          <w:rFonts w:cs="Arial"/>
        </w:rPr>
        <w:t>ß</w:t>
      </w:r>
      <w:r w:rsidRPr="00995906">
        <w:rPr>
          <w:rFonts w:cs="Arial"/>
        </w:rPr>
        <w:t xml:space="preserve"> die Me</w:t>
      </w:r>
      <w:r w:rsidR="0039209C">
        <w:rPr>
          <w:rFonts w:cs="Arial"/>
        </w:rPr>
        <w:t>ß</w:t>
      </w:r>
      <w:r w:rsidRPr="00995906">
        <w:rPr>
          <w:rFonts w:cs="Arial"/>
        </w:rPr>
        <w:t>ergebnisse bei</w:t>
      </w:r>
      <w:r w:rsidR="0039209C">
        <w:rPr>
          <w:rFonts w:cs="Arial"/>
        </w:rPr>
        <w:t xml:space="preserve"> </w:t>
      </w:r>
      <w:r w:rsidRPr="00995906">
        <w:rPr>
          <w:rFonts w:cs="Arial"/>
        </w:rPr>
        <w:t>einer Konzentration, die dem doppelten Wert der Bestimmungsgrenze entspricht, höchstens um 50 %</w:t>
      </w:r>
      <w:r w:rsidR="0039209C">
        <w:rPr>
          <w:rFonts w:cs="Arial"/>
        </w:rPr>
        <w:t xml:space="preserve"> </w:t>
      </w:r>
      <w:r w:rsidRPr="00995906">
        <w:rPr>
          <w:rFonts w:cs="Arial"/>
        </w:rPr>
        <w:t>abweichen.</w:t>
      </w:r>
    </w:p>
    <w:p w:rsidR="0049151F" w:rsidRPr="00995906" w:rsidRDefault="0049151F" w:rsidP="0039209C">
      <w:pPr>
        <w:pStyle w:val="GesAbsatz"/>
        <w:ind w:left="426" w:hanging="426"/>
        <w:rPr>
          <w:rFonts w:cs="Arial"/>
        </w:rPr>
      </w:pPr>
      <w:r w:rsidRPr="00995906">
        <w:rPr>
          <w:rFonts w:cs="Arial"/>
        </w:rPr>
        <w:t>3.</w:t>
      </w:r>
      <w:r w:rsidR="0039209C">
        <w:rPr>
          <w:rFonts w:cs="Arial"/>
        </w:rPr>
        <w:tab/>
      </w:r>
      <w:r w:rsidRPr="00995906">
        <w:rPr>
          <w:rFonts w:cs="Arial"/>
        </w:rPr>
        <w:t>Die Mitgliedstaaten können bis zum Erla</w:t>
      </w:r>
      <w:r w:rsidR="0039209C">
        <w:rPr>
          <w:rFonts w:cs="Arial"/>
        </w:rPr>
        <w:t>ß</w:t>
      </w:r>
      <w:r w:rsidRPr="00995906">
        <w:rPr>
          <w:rFonts w:cs="Arial"/>
        </w:rPr>
        <w:t xml:space="preserve"> der allgemeinen Richtlinie über Lösemittel die PER</w:t>
      </w:r>
      <w:r w:rsidR="0039209C">
        <w:rPr>
          <w:rFonts w:cs="Arial"/>
        </w:rPr>
        <w:t>-</w:t>
      </w:r>
      <w:r w:rsidRPr="00995906">
        <w:rPr>
          <w:rFonts w:cs="Arial"/>
        </w:rPr>
        <w:t>Konzentration</w:t>
      </w:r>
      <w:r w:rsidR="0039209C">
        <w:rPr>
          <w:rFonts w:cs="Arial"/>
        </w:rPr>
        <w:t xml:space="preserve"> </w:t>
      </w:r>
      <w:r w:rsidRPr="00995906">
        <w:rPr>
          <w:rFonts w:cs="Arial"/>
        </w:rPr>
        <w:t>im Verhältnis zu der Menge AOX, EOX oder VOX bestimmen, sofern gegenüber der</w:t>
      </w:r>
      <w:r w:rsidR="0039209C">
        <w:rPr>
          <w:rFonts w:cs="Arial"/>
        </w:rPr>
        <w:t xml:space="preserve"> </w:t>
      </w:r>
      <w:r w:rsidRPr="00995906">
        <w:rPr>
          <w:rFonts w:cs="Arial"/>
        </w:rPr>
        <w:t>Kommission zuvor nachgewiesen wird, da</w:t>
      </w:r>
      <w:r w:rsidR="0039209C">
        <w:rPr>
          <w:rFonts w:cs="Arial"/>
        </w:rPr>
        <w:t>ß</w:t>
      </w:r>
      <w:r w:rsidRPr="00995906">
        <w:rPr>
          <w:rFonts w:cs="Arial"/>
        </w:rPr>
        <w:t xml:space="preserve"> diese Methoden zu gleichwertigen Ergebnissen führen.</w:t>
      </w:r>
    </w:p>
    <w:p w:rsidR="0049151F" w:rsidRPr="00995906" w:rsidRDefault="0049151F" w:rsidP="000E7719">
      <w:pPr>
        <w:pStyle w:val="GesAbsatz"/>
        <w:ind w:left="426"/>
        <w:rPr>
          <w:rFonts w:cs="Arial"/>
        </w:rPr>
      </w:pPr>
      <w:r w:rsidRPr="00995906">
        <w:rPr>
          <w:rFonts w:cs="Arial"/>
        </w:rPr>
        <w:t>Die betreffenden Mitgliedstaaten legen in regelmäßigen Abständen das Verhältnis zwischen PER und</w:t>
      </w:r>
      <w:r w:rsidR="0039209C">
        <w:rPr>
          <w:rFonts w:cs="Arial"/>
        </w:rPr>
        <w:t xml:space="preserve"> </w:t>
      </w:r>
      <w:r w:rsidRPr="00995906">
        <w:rPr>
          <w:rFonts w:cs="Arial"/>
        </w:rPr>
        <w:t>dem verwendeten Parameter bezogen auf die Konzentration fest.</w:t>
      </w:r>
    </w:p>
    <w:p w:rsidR="0049151F" w:rsidRPr="005A5866" w:rsidRDefault="0049151F" w:rsidP="008404F8">
      <w:pPr>
        <w:pStyle w:val="berschrift3"/>
      </w:pPr>
      <w:bookmarkStart w:id="27" w:name="_Toc420510845"/>
      <w:r w:rsidRPr="005A5866">
        <w:lastRenderedPageBreak/>
        <w:t>XI. Sonderbestimmungen für Trichlorbenzol</w:t>
      </w:r>
      <w:r w:rsidR="00700A77">
        <w:rPr>
          <w:rStyle w:val="Funotenzeichen"/>
        </w:rPr>
        <w:footnoteReference w:id="75"/>
      </w:r>
      <w:r w:rsidRPr="005A5866">
        <w:t xml:space="preserve"> (TCB) (Nrn.117, 118)</w:t>
      </w:r>
      <w:r w:rsidR="00700A77">
        <w:rPr>
          <w:rStyle w:val="Funotenzeichen"/>
        </w:rPr>
        <w:footnoteReference w:id="76"/>
      </w:r>
      <w:bookmarkEnd w:id="27"/>
    </w:p>
    <w:p w:rsidR="0049151F" w:rsidRPr="00995906" w:rsidRDefault="0049151F" w:rsidP="00995906">
      <w:pPr>
        <w:pStyle w:val="GesAbsatz"/>
        <w:rPr>
          <w:rFonts w:cs="Arial"/>
        </w:rPr>
      </w:pPr>
      <w:r w:rsidRPr="005A5866">
        <w:rPr>
          <w:rFonts w:cs="Arial"/>
          <w:b/>
        </w:rPr>
        <w:t>Teil A (117,118):</w:t>
      </w:r>
      <w:r w:rsidRPr="00995906">
        <w:rPr>
          <w:rFonts w:cs="Arial"/>
        </w:rPr>
        <w:t xml:space="preserve"> Grenzwerte für Emissionsnormen</w:t>
      </w:r>
    </w:p>
    <w:p w:rsidR="0049151F" w:rsidRPr="00995906" w:rsidRDefault="0049151F" w:rsidP="005A5866">
      <w:pPr>
        <w:pStyle w:val="GesAbsatz"/>
        <w:ind w:left="993" w:hanging="993"/>
        <w:rPr>
          <w:rFonts w:cs="Arial"/>
        </w:rPr>
      </w:pPr>
      <w:r w:rsidRPr="00995906">
        <w:rPr>
          <w:rFonts w:cs="Arial"/>
        </w:rPr>
        <w:t>Standstill</w:t>
      </w:r>
      <w:r w:rsidR="005A5866">
        <w:rPr>
          <w:rFonts w:cs="Arial"/>
          <w:i/>
          <w:iCs/>
        </w:rPr>
        <w:t>:</w:t>
      </w:r>
      <w:r w:rsidR="005A5866">
        <w:rPr>
          <w:rFonts w:cs="Arial"/>
          <w:i/>
          <w:iCs/>
        </w:rPr>
        <w:tab/>
      </w:r>
      <w:r w:rsidRPr="00995906">
        <w:rPr>
          <w:rFonts w:cs="Arial"/>
        </w:rPr>
        <w:t>Die Verschmutzung durch Ableitung von TCB, die sich auf die Konzentration in Sedimenten</w:t>
      </w:r>
      <w:r w:rsidR="005A5866">
        <w:rPr>
          <w:rFonts w:cs="Arial"/>
        </w:rPr>
        <w:t xml:space="preserve"> </w:t>
      </w:r>
      <w:r w:rsidRPr="00995906">
        <w:rPr>
          <w:rFonts w:cs="Arial"/>
        </w:rPr>
        <w:t>und/oder Weichtieren und/oder Schalentieren und/oder Fischen auswirkt, darf mit der Zeit</w:t>
      </w:r>
      <w:r w:rsidR="005A5866">
        <w:rPr>
          <w:rFonts w:cs="Arial"/>
        </w:rPr>
        <w:t xml:space="preserve"> </w:t>
      </w:r>
      <w:r w:rsidRPr="00995906">
        <w:rPr>
          <w:rFonts w:cs="Arial"/>
        </w:rPr>
        <w:t>direkt oder indirekt nicht wesentlich zunehmen.</w:t>
      </w:r>
    </w:p>
    <w:p w:rsidR="005A5866" w:rsidRDefault="005A5866" w:rsidP="00995906">
      <w:pPr>
        <w:pStyle w:val="GesAbsatz"/>
        <w:rPr>
          <w:rFonts w:cs="Arial"/>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085"/>
        <w:gridCol w:w="1370"/>
        <w:gridCol w:w="1843"/>
        <w:gridCol w:w="1759"/>
        <w:gridCol w:w="1690"/>
      </w:tblGrid>
      <w:tr w:rsidR="005A5866" w:rsidTr="00700A77">
        <w:tc>
          <w:tcPr>
            <w:tcW w:w="3085" w:type="dxa"/>
            <w:vMerge w:val="restart"/>
            <w:vAlign w:val="center"/>
          </w:tcPr>
          <w:p w:rsidR="005A5866" w:rsidRDefault="005A5866" w:rsidP="00FA0360">
            <w:pPr>
              <w:pStyle w:val="GesAbsatz"/>
              <w:jc w:val="center"/>
              <w:rPr>
                <w:rFonts w:cs="Arial"/>
              </w:rPr>
            </w:pPr>
            <w:r w:rsidRPr="00995906">
              <w:rPr>
                <w:rFonts w:cs="Arial"/>
              </w:rPr>
              <w:t>Typ des Industriebetriebs</w:t>
            </w:r>
          </w:p>
        </w:tc>
        <w:tc>
          <w:tcPr>
            <w:tcW w:w="1370" w:type="dxa"/>
            <w:vMerge w:val="restart"/>
            <w:vAlign w:val="center"/>
          </w:tcPr>
          <w:p w:rsidR="005A5866" w:rsidRDefault="005A5866" w:rsidP="00FA0360">
            <w:pPr>
              <w:pStyle w:val="GesAbsatz"/>
              <w:jc w:val="center"/>
              <w:rPr>
                <w:rFonts w:cs="Arial"/>
              </w:rPr>
            </w:pPr>
            <w:r w:rsidRPr="00995906">
              <w:rPr>
                <w:rFonts w:cs="Arial"/>
              </w:rPr>
              <w:t>Typ des</w:t>
            </w:r>
            <w:r>
              <w:rPr>
                <w:rFonts w:cs="Arial"/>
              </w:rPr>
              <w:t xml:space="preserve"> </w:t>
            </w:r>
            <w:r w:rsidRPr="00995906">
              <w:rPr>
                <w:rFonts w:cs="Arial"/>
              </w:rPr>
              <w:t>Mittelwerts</w:t>
            </w:r>
          </w:p>
        </w:tc>
        <w:tc>
          <w:tcPr>
            <w:tcW w:w="3602" w:type="dxa"/>
            <w:gridSpan w:val="2"/>
          </w:tcPr>
          <w:p w:rsidR="005A5866" w:rsidRDefault="005A5866" w:rsidP="00FA0360">
            <w:pPr>
              <w:pStyle w:val="GesAbsatz"/>
              <w:jc w:val="center"/>
              <w:rPr>
                <w:rFonts w:cs="Arial"/>
              </w:rPr>
            </w:pPr>
            <w:r w:rsidRPr="00995906">
              <w:rPr>
                <w:rFonts w:cs="Arial"/>
              </w:rPr>
              <w:t>Grenzwerte</w:t>
            </w:r>
            <w:r>
              <w:rPr>
                <w:rFonts w:cs="Arial"/>
              </w:rPr>
              <w:t>,</w:t>
            </w:r>
            <w:r w:rsidRPr="00995906">
              <w:rPr>
                <w:rFonts w:cs="Arial"/>
              </w:rPr>
              <w:t xml:space="preserve"> ausgedrückt in</w:t>
            </w:r>
          </w:p>
        </w:tc>
        <w:tc>
          <w:tcPr>
            <w:tcW w:w="1690" w:type="dxa"/>
            <w:vMerge w:val="restart"/>
            <w:vAlign w:val="center"/>
          </w:tcPr>
          <w:p w:rsidR="005A5866" w:rsidRDefault="005A5866" w:rsidP="00FA0360">
            <w:pPr>
              <w:pStyle w:val="GesAbsatz"/>
              <w:jc w:val="center"/>
              <w:rPr>
                <w:rFonts w:cs="Arial"/>
              </w:rPr>
            </w:pPr>
            <w:r w:rsidRPr="00995906">
              <w:rPr>
                <w:rFonts w:cs="Arial"/>
              </w:rPr>
              <w:t>Einzuhalten ab</w:t>
            </w:r>
          </w:p>
        </w:tc>
      </w:tr>
      <w:tr w:rsidR="005A5866" w:rsidTr="00700A77">
        <w:tc>
          <w:tcPr>
            <w:tcW w:w="3085" w:type="dxa"/>
            <w:vMerge/>
          </w:tcPr>
          <w:p w:rsidR="005A5866" w:rsidRDefault="005A5866" w:rsidP="00FA0360">
            <w:pPr>
              <w:pStyle w:val="GesAbsatz"/>
              <w:rPr>
                <w:rFonts w:cs="Arial"/>
              </w:rPr>
            </w:pPr>
          </w:p>
        </w:tc>
        <w:tc>
          <w:tcPr>
            <w:tcW w:w="1370" w:type="dxa"/>
            <w:vMerge/>
          </w:tcPr>
          <w:p w:rsidR="005A5866" w:rsidRDefault="005A5866" w:rsidP="00FA0360">
            <w:pPr>
              <w:pStyle w:val="GesAbsatz"/>
              <w:rPr>
                <w:rFonts w:cs="Arial"/>
              </w:rPr>
            </w:pPr>
          </w:p>
        </w:tc>
        <w:tc>
          <w:tcPr>
            <w:tcW w:w="1843" w:type="dxa"/>
            <w:vAlign w:val="center"/>
          </w:tcPr>
          <w:p w:rsidR="005A5866" w:rsidRDefault="005A5866" w:rsidP="00FA0360">
            <w:pPr>
              <w:pStyle w:val="GesAbsatz"/>
              <w:jc w:val="center"/>
              <w:rPr>
                <w:rFonts w:cs="Arial"/>
              </w:rPr>
            </w:pPr>
            <w:r>
              <w:rPr>
                <w:rFonts w:cs="Arial"/>
              </w:rPr>
              <w:t>Gewicht (g/t)</w:t>
            </w:r>
            <w:r w:rsidR="00700A77">
              <w:rPr>
                <w:rStyle w:val="Funotenzeichen"/>
                <w:rFonts w:cs="Arial"/>
              </w:rPr>
              <w:footnoteReference w:id="77"/>
            </w:r>
          </w:p>
        </w:tc>
        <w:tc>
          <w:tcPr>
            <w:tcW w:w="1759" w:type="dxa"/>
          </w:tcPr>
          <w:p w:rsidR="005A5866" w:rsidRDefault="005A5866" w:rsidP="00FA0360">
            <w:pPr>
              <w:pStyle w:val="GesAbsatz"/>
              <w:jc w:val="center"/>
              <w:rPr>
                <w:rFonts w:cs="Arial"/>
              </w:rPr>
            </w:pPr>
            <w:r w:rsidRPr="00995906">
              <w:rPr>
                <w:rFonts w:cs="Arial"/>
              </w:rPr>
              <w:t>Konzentration</w:t>
            </w:r>
            <w:r>
              <w:rPr>
                <w:rFonts w:cs="Arial"/>
              </w:rPr>
              <w:t xml:space="preserve"> (mg/l)</w:t>
            </w:r>
            <w:r w:rsidR="00700A77">
              <w:rPr>
                <w:rStyle w:val="Funotenzeichen"/>
                <w:rFonts w:cs="Arial"/>
              </w:rPr>
              <w:footnoteReference w:id="78"/>
            </w:r>
          </w:p>
        </w:tc>
        <w:tc>
          <w:tcPr>
            <w:tcW w:w="1690" w:type="dxa"/>
            <w:vMerge/>
          </w:tcPr>
          <w:p w:rsidR="005A5866" w:rsidRDefault="005A5866" w:rsidP="00FA0360">
            <w:pPr>
              <w:pStyle w:val="GesAbsatz"/>
              <w:jc w:val="left"/>
              <w:rPr>
                <w:rFonts w:cs="Arial"/>
              </w:rPr>
            </w:pPr>
          </w:p>
        </w:tc>
      </w:tr>
      <w:tr w:rsidR="005A5866" w:rsidTr="00700A77">
        <w:trPr>
          <w:trHeight w:val="326"/>
        </w:trPr>
        <w:tc>
          <w:tcPr>
            <w:tcW w:w="3085" w:type="dxa"/>
            <w:vMerge w:val="restart"/>
          </w:tcPr>
          <w:p w:rsidR="005A5866" w:rsidRDefault="005A5866" w:rsidP="00FA0360">
            <w:pPr>
              <w:pStyle w:val="GesAbsatz"/>
              <w:ind w:left="284" w:hanging="284"/>
              <w:rPr>
                <w:rFonts w:cs="Arial"/>
              </w:rPr>
            </w:pPr>
            <w:r w:rsidRPr="00995906">
              <w:rPr>
                <w:rFonts w:cs="Arial"/>
              </w:rPr>
              <w:t>a)</w:t>
            </w:r>
            <w:r w:rsidR="008F749A">
              <w:rPr>
                <w:rFonts w:cs="Arial"/>
              </w:rPr>
              <w:tab/>
            </w:r>
            <w:r w:rsidRPr="00995906">
              <w:rPr>
                <w:rFonts w:cs="Arial"/>
              </w:rPr>
              <w:t>Produktion von TCB</w:t>
            </w:r>
            <w:r w:rsidR="008F749A">
              <w:rPr>
                <w:rFonts w:cs="Arial"/>
              </w:rPr>
              <w:t xml:space="preserve"> </w:t>
            </w:r>
            <w:r w:rsidRPr="00995906">
              <w:rPr>
                <w:rFonts w:cs="Arial"/>
              </w:rPr>
              <w:t>durch Dehydrochlorierung</w:t>
            </w:r>
            <w:r w:rsidR="008F749A">
              <w:rPr>
                <w:rFonts w:cs="Arial"/>
              </w:rPr>
              <w:t xml:space="preserve"> </w:t>
            </w:r>
            <w:r w:rsidRPr="00995906">
              <w:rPr>
                <w:rFonts w:cs="Arial"/>
              </w:rPr>
              <w:t>von HCH</w:t>
            </w:r>
            <w:r w:rsidR="008F749A">
              <w:rPr>
                <w:rFonts w:cs="Arial"/>
              </w:rPr>
              <w:t xml:space="preserve"> </w:t>
            </w:r>
            <w:r w:rsidRPr="00995906">
              <w:rPr>
                <w:rFonts w:cs="Arial"/>
              </w:rPr>
              <w:t>und/oder Verarbeitung</w:t>
            </w:r>
            <w:r w:rsidR="008F749A">
              <w:rPr>
                <w:rFonts w:cs="Arial"/>
              </w:rPr>
              <w:t xml:space="preserve"> </w:t>
            </w:r>
            <w:r w:rsidRPr="00995906">
              <w:rPr>
                <w:rFonts w:cs="Arial"/>
              </w:rPr>
              <w:t>von TCB</w:t>
            </w:r>
          </w:p>
        </w:tc>
        <w:tc>
          <w:tcPr>
            <w:tcW w:w="1370" w:type="dxa"/>
            <w:vMerge w:val="restart"/>
            <w:vAlign w:val="center"/>
          </w:tcPr>
          <w:p w:rsidR="005A5866" w:rsidRDefault="005A5866" w:rsidP="00FA0360">
            <w:pPr>
              <w:pStyle w:val="GesAbsatz"/>
              <w:jc w:val="center"/>
              <w:rPr>
                <w:rFonts w:cs="Arial"/>
              </w:rPr>
            </w:pPr>
            <w:r w:rsidRPr="00995906">
              <w:rPr>
                <w:rFonts w:cs="Arial"/>
              </w:rPr>
              <w:t>Monat</w:t>
            </w:r>
          </w:p>
        </w:tc>
        <w:tc>
          <w:tcPr>
            <w:tcW w:w="1843" w:type="dxa"/>
            <w:vAlign w:val="center"/>
          </w:tcPr>
          <w:p w:rsidR="005A5866" w:rsidRDefault="005A5866" w:rsidP="00FA0360">
            <w:pPr>
              <w:pStyle w:val="GesAbsatz"/>
              <w:jc w:val="center"/>
              <w:rPr>
                <w:rFonts w:cs="Arial"/>
              </w:rPr>
            </w:pPr>
            <w:r w:rsidRPr="00995906">
              <w:rPr>
                <w:rFonts w:cs="Arial"/>
              </w:rPr>
              <w:t>25</w:t>
            </w:r>
          </w:p>
        </w:tc>
        <w:tc>
          <w:tcPr>
            <w:tcW w:w="1759" w:type="dxa"/>
            <w:vAlign w:val="center"/>
          </w:tcPr>
          <w:p w:rsidR="005A5866" w:rsidRPr="00995906" w:rsidRDefault="005A5866" w:rsidP="00FA0360">
            <w:pPr>
              <w:pStyle w:val="GesAbsatz"/>
              <w:jc w:val="center"/>
              <w:rPr>
                <w:rFonts w:cs="Arial"/>
              </w:rPr>
            </w:pPr>
            <w:r w:rsidRPr="00995906">
              <w:rPr>
                <w:rFonts w:cs="Arial"/>
              </w:rPr>
              <w:t>2,5</w:t>
            </w:r>
          </w:p>
        </w:tc>
        <w:tc>
          <w:tcPr>
            <w:tcW w:w="1690" w:type="dxa"/>
            <w:vAlign w:val="center"/>
          </w:tcPr>
          <w:p w:rsidR="005A5866" w:rsidRDefault="005A5866" w:rsidP="00FA0360">
            <w:pPr>
              <w:pStyle w:val="GesAbsatz"/>
              <w:jc w:val="center"/>
              <w:rPr>
                <w:rFonts w:cs="Arial"/>
              </w:rPr>
            </w:pPr>
            <w:r w:rsidRPr="00995906">
              <w:rPr>
                <w:rFonts w:cs="Arial"/>
              </w:rPr>
              <w:t>1.1.1993</w:t>
            </w:r>
          </w:p>
        </w:tc>
      </w:tr>
      <w:tr w:rsidR="005A5866" w:rsidTr="00700A77">
        <w:tc>
          <w:tcPr>
            <w:tcW w:w="3085" w:type="dxa"/>
            <w:vMerge/>
          </w:tcPr>
          <w:p w:rsidR="005A5866" w:rsidRDefault="005A5866" w:rsidP="00FA0360">
            <w:pPr>
              <w:pStyle w:val="GesAbsatz"/>
              <w:ind w:left="284" w:hanging="284"/>
              <w:rPr>
                <w:rFonts w:cs="Arial"/>
              </w:rPr>
            </w:pPr>
          </w:p>
        </w:tc>
        <w:tc>
          <w:tcPr>
            <w:tcW w:w="1370" w:type="dxa"/>
            <w:vMerge/>
            <w:vAlign w:val="center"/>
          </w:tcPr>
          <w:p w:rsidR="005A5866" w:rsidRDefault="005A5866" w:rsidP="00FA0360">
            <w:pPr>
              <w:pStyle w:val="GesAbsatz"/>
              <w:jc w:val="center"/>
              <w:rPr>
                <w:rFonts w:cs="Arial"/>
              </w:rPr>
            </w:pPr>
          </w:p>
        </w:tc>
        <w:tc>
          <w:tcPr>
            <w:tcW w:w="1843" w:type="dxa"/>
            <w:vAlign w:val="center"/>
          </w:tcPr>
          <w:p w:rsidR="005A5866" w:rsidRDefault="005A5866" w:rsidP="00FA0360">
            <w:pPr>
              <w:pStyle w:val="GesAbsatz"/>
              <w:jc w:val="center"/>
              <w:rPr>
                <w:rFonts w:cs="Arial"/>
              </w:rPr>
            </w:pPr>
            <w:r w:rsidRPr="00995906">
              <w:rPr>
                <w:rFonts w:cs="Arial"/>
              </w:rPr>
              <w:t>10</w:t>
            </w:r>
          </w:p>
        </w:tc>
        <w:tc>
          <w:tcPr>
            <w:tcW w:w="1759" w:type="dxa"/>
            <w:vAlign w:val="center"/>
          </w:tcPr>
          <w:p w:rsidR="005A5866" w:rsidRPr="00995906" w:rsidRDefault="005A5866" w:rsidP="00FA0360">
            <w:pPr>
              <w:pStyle w:val="GesAbsatz"/>
              <w:jc w:val="center"/>
              <w:rPr>
                <w:rFonts w:cs="Arial"/>
              </w:rPr>
            </w:pPr>
            <w:r w:rsidRPr="00995906">
              <w:rPr>
                <w:rFonts w:cs="Arial"/>
              </w:rPr>
              <w:t>1</w:t>
            </w:r>
          </w:p>
        </w:tc>
        <w:tc>
          <w:tcPr>
            <w:tcW w:w="1690" w:type="dxa"/>
            <w:vAlign w:val="center"/>
          </w:tcPr>
          <w:p w:rsidR="005A5866" w:rsidRDefault="005A5866" w:rsidP="00FA0360">
            <w:pPr>
              <w:pStyle w:val="GesAbsatz"/>
              <w:jc w:val="center"/>
              <w:rPr>
                <w:rFonts w:cs="Arial"/>
              </w:rPr>
            </w:pPr>
            <w:r w:rsidRPr="00995906">
              <w:rPr>
                <w:rFonts w:cs="Arial"/>
              </w:rPr>
              <w:t>1.1.1995</w:t>
            </w:r>
          </w:p>
        </w:tc>
      </w:tr>
      <w:tr w:rsidR="005A5866" w:rsidTr="00700A77">
        <w:tc>
          <w:tcPr>
            <w:tcW w:w="3085" w:type="dxa"/>
            <w:vMerge/>
          </w:tcPr>
          <w:p w:rsidR="005A5866" w:rsidRDefault="005A5866" w:rsidP="00FA0360">
            <w:pPr>
              <w:pStyle w:val="GesAbsatz"/>
              <w:ind w:left="284" w:hanging="284"/>
              <w:rPr>
                <w:rFonts w:cs="Arial"/>
              </w:rPr>
            </w:pPr>
          </w:p>
        </w:tc>
        <w:tc>
          <w:tcPr>
            <w:tcW w:w="1370" w:type="dxa"/>
            <w:vMerge w:val="restart"/>
            <w:vAlign w:val="center"/>
          </w:tcPr>
          <w:p w:rsidR="005A5866" w:rsidRDefault="005A5866" w:rsidP="00FA0360">
            <w:pPr>
              <w:pStyle w:val="GesAbsatz"/>
              <w:jc w:val="center"/>
              <w:rPr>
                <w:rFonts w:cs="Arial"/>
              </w:rPr>
            </w:pPr>
            <w:r w:rsidRPr="00995906">
              <w:rPr>
                <w:rFonts w:cs="Arial"/>
              </w:rPr>
              <w:t>Tag</w:t>
            </w:r>
          </w:p>
        </w:tc>
        <w:tc>
          <w:tcPr>
            <w:tcW w:w="1843" w:type="dxa"/>
            <w:vAlign w:val="center"/>
          </w:tcPr>
          <w:p w:rsidR="005A5866" w:rsidRDefault="005A5866" w:rsidP="00FA0360">
            <w:pPr>
              <w:pStyle w:val="GesAbsatz"/>
              <w:jc w:val="center"/>
              <w:rPr>
                <w:rFonts w:cs="Arial"/>
              </w:rPr>
            </w:pPr>
            <w:r w:rsidRPr="00995906">
              <w:rPr>
                <w:rFonts w:cs="Arial"/>
              </w:rPr>
              <w:t>50</w:t>
            </w:r>
          </w:p>
        </w:tc>
        <w:tc>
          <w:tcPr>
            <w:tcW w:w="1759" w:type="dxa"/>
            <w:vAlign w:val="center"/>
          </w:tcPr>
          <w:p w:rsidR="005A5866" w:rsidRPr="00995906" w:rsidRDefault="005A5866" w:rsidP="00FA0360">
            <w:pPr>
              <w:pStyle w:val="GesAbsatz"/>
              <w:jc w:val="center"/>
              <w:rPr>
                <w:rFonts w:cs="Arial"/>
              </w:rPr>
            </w:pPr>
            <w:r w:rsidRPr="00995906">
              <w:rPr>
                <w:rFonts w:cs="Arial"/>
              </w:rPr>
              <w:t>1</w:t>
            </w:r>
          </w:p>
        </w:tc>
        <w:tc>
          <w:tcPr>
            <w:tcW w:w="1690" w:type="dxa"/>
            <w:vAlign w:val="center"/>
          </w:tcPr>
          <w:p w:rsidR="005A5866" w:rsidRDefault="005A5866" w:rsidP="00FA0360">
            <w:pPr>
              <w:pStyle w:val="GesAbsatz"/>
              <w:jc w:val="center"/>
              <w:rPr>
                <w:rFonts w:cs="Arial"/>
              </w:rPr>
            </w:pPr>
            <w:r w:rsidRPr="00995906">
              <w:rPr>
                <w:rFonts w:cs="Arial"/>
              </w:rPr>
              <w:t>1.1.1993</w:t>
            </w:r>
          </w:p>
        </w:tc>
      </w:tr>
      <w:tr w:rsidR="005A5866" w:rsidTr="00700A77">
        <w:tc>
          <w:tcPr>
            <w:tcW w:w="3085" w:type="dxa"/>
            <w:vMerge/>
          </w:tcPr>
          <w:p w:rsidR="005A5866" w:rsidRDefault="005A5866" w:rsidP="00FA0360">
            <w:pPr>
              <w:pStyle w:val="GesAbsatz"/>
              <w:ind w:left="284" w:hanging="284"/>
              <w:rPr>
                <w:rFonts w:cs="Arial"/>
              </w:rPr>
            </w:pPr>
          </w:p>
        </w:tc>
        <w:tc>
          <w:tcPr>
            <w:tcW w:w="1370" w:type="dxa"/>
            <w:vMerge/>
            <w:vAlign w:val="center"/>
          </w:tcPr>
          <w:p w:rsidR="005A5866" w:rsidRPr="00995906" w:rsidRDefault="005A5866" w:rsidP="00FA0360">
            <w:pPr>
              <w:pStyle w:val="GesAbsatz"/>
              <w:jc w:val="center"/>
              <w:rPr>
                <w:rFonts w:cs="Arial"/>
              </w:rPr>
            </w:pPr>
          </w:p>
        </w:tc>
        <w:tc>
          <w:tcPr>
            <w:tcW w:w="1843" w:type="dxa"/>
            <w:vAlign w:val="center"/>
          </w:tcPr>
          <w:p w:rsidR="005A5866" w:rsidRDefault="005A5866" w:rsidP="00FA0360">
            <w:pPr>
              <w:pStyle w:val="GesAbsatz"/>
              <w:jc w:val="center"/>
              <w:rPr>
                <w:rFonts w:cs="Arial"/>
              </w:rPr>
            </w:pPr>
            <w:r w:rsidRPr="00995906">
              <w:rPr>
                <w:rFonts w:cs="Arial"/>
              </w:rPr>
              <w:t>20</w:t>
            </w:r>
          </w:p>
        </w:tc>
        <w:tc>
          <w:tcPr>
            <w:tcW w:w="1759" w:type="dxa"/>
            <w:vAlign w:val="center"/>
          </w:tcPr>
          <w:p w:rsidR="005A5866" w:rsidRPr="00995906" w:rsidRDefault="005A5866" w:rsidP="00FA0360">
            <w:pPr>
              <w:pStyle w:val="GesAbsatz"/>
              <w:jc w:val="center"/>
              <w:rPr>
                <w:rFonts w:cs="Arial"/>
              </w:rPr>
            </w:pPr>
            <w:r w:rsidRPr="00995906">
              <w:rPr>
                <w:rFonts w:cs="Arial"/>
              </w:rPr>
              <w:t>5</w:t>
            </w:r>
          </w:p>
        </w:tc>
        <w:tc>
          <w:tcPr>
            <w:tcW w:w="1690" w:type="dxa"/>
            <w:vAlign w:val="center"/>
          </w:tcPr>
          <w:p w:rsidR="005A5866" w:rsidRDefault="005A5866" w:rsidP="00FA0360">
            <w:pPr>
              <w:pStyle w:val="GesAbsatz"/>
              <w:jc w:val="center"/>
              <w:rPr>
                <w:rFonts w:cs="Arial"/>
              </w:rPr>
            </w:pPr>
            <w:r w:rsidRPr="00995906">
              <w:rPr>
                <w:rFonts w:cs="Arial"/>
              </w:rPr>
              <w:t>1.1.1995</w:t>
            </w:r>
          </w:p>
        </w:tc>
      </w:tr>
      <w:tr w:rsidR="005A5866" w:rsidRPr="00995906" w:rsidTr="00700A77">
        <w:tc>
          <w:tcPr>
            <w:tcW w:w="3085" w:type="dxa"/>
            <w:vMerge w:val="restart"/>
          </w:tcPr>
          <w:p w:rsidR="005A5866" w:rsidRDefault="005A5866" w:rsidP="00FA0360">
            <w:pPr>
              <w:pStyle w:val="GesAbsatz"/>
              <w:ind w:left="284" w:hanging="284"/>
              <w:rPr>
                <w:rFonts w:cs="Arial"/>
              </w:rPr>
            </w:pPr>
            <w:r w:rsidRPr="00995906">
              <w:rPr>
                <w:rFonts w:cs="Arial"/>
              </w:rPr>
              <w:t>b)</w:t>
            </w:r>
            <w:r w:rsidR="008F749A">
              <w:rPr>
                <w:rFonts w:cs="Arial"/>
              </w:rPr>
              <w:tab/>
            </w:r>
            <w:r w:rsidRPr="00995906">
              <w:rPr>
                <w:rFonts w:cs="Arial"/>
              </w:rPr>
              <w:t>Produktion und/oder</w:t>
            </w:r>
            <w:r w:rsidR="008F749A">
              <w:rPr>
                <w:rFonts w:cs="Arial"/>
              </w:rPr>
              <w:t xml:space="preserve"> </w:t>
            </w:r>
            <w:r w:rsidRPr="00995906">
              <w:rPr>
                <w:rFonts w:cs="Arial"/>
              </w:rPr>
              <w:t>Vera</w:t>
            </w:r>
            <w:r w:rsidRPr="00995906">
              <w:rPr>
                <w:rFonts w:cs="Arial"/>
              </w:rPr>
              <w:t>r</w:t>
            </w:r>
            <w:r w:rsidRPr="00995906">
              <w:rPr>
                <w:rFonts w:cs="Arial"/>
              </w:rPr>
              <w:t>beitung von Chlorbenzolen</w:t>
            </w:r>
            <w:r w:rsidR="008F749A">
              <w:rPr>
                <w:rFonts w:cs="Arial"/>
              </w:rPr>
              <w:t xml:space="preserve"> </w:t>
            </w:r>
            <w:r w:rsidRPr="00995906">
              <w:rPr>
                <w:rFonts w:cs="Arial"/>
              </w:rPr>
              <w:t>durch Chlorierung</w:t>
            </w:r>
            <w:r w:rsidR="008F749A">
              <w:rPr>
                <w:rFonts w:cs="Arial"/>
              </w:rPr>
              <w:t xml:space="preserve"> </w:t>
            </w:r>
            <w:r w:rsidRPr="00995906">
              <w:rPr>
                <w:rFonts w:cs="Arial"/>
              </w:rPr>
              <w:t>von Be</w:t>
            </w:r>
            <w:r w:rsidRPr="00995906">
              <w:rPr>
                <w:rFonts w:cs="Arial"/>
              </w:rPr>
              <w:t>n</w:t>
            </w:r>
            <w:r w:rsidRPr="00995906">
              <w:rPr>
                <w:rFonts w:cs="Arial"/>
              </w:rPr>
              <w:t>zol</w:t>
            </w:r>
            <w:r w:rsidR="00700A77">
              <w:rPr>
                <w:rStyle w:val="Funotenzeichen"/>
                <w:rFonts w:cs="Arial"/>
              </w:rPr>
              <w:footnoteReference w:id="79"/>
            </w:r>
            <w:r w:rsidR="008F749A">
              <w:rPr>
                <w:rFonts w:cs="Arial"/>
              </w:rPr>
              <w:t xml:space="preserve"> </w:t>
            </w:r>
          </w:p>
        </w:tc>
        <w:tc>
          <w:tcPr>
            <w:tcW w:w="1370" w:type="dxa"/>
            <w:vMerge w:val="restart"/>
            <w:vAlign w:val="center"/>
          </w:tcPr>
          <w:p w:rsidR="005A5866" w:rsidRPr="00995906" w:rsidRDefault="005A5866" w:rsidP="00FA0360">
            <w:pPr>
              <w:pStyle w:val="GesAbsatz"/>
              <w:jc w:val="center"/>
              <w:rPr>
                <w:rFonts w:cs="Arial"/>
              </w:rPr>
            </w:pPr>
            <w:r w:rsidRPr="00995906">
              <w:rPr>
                <w:rFonts w:cs="Arial"/>
              </w:rPr>
              <w:t>Monat</w:t>
            </w:r>
          </w:p>
        </w:tc>
        <w:tc>
          <w:tcPr>
            <w:tcW w:w="1843" w:type="dxa"/>
            <w:vAlign w:val="center"/>
          </w:tcPr>
          <w:p w:rsidR="005A5866" w:rsidRPr="00995906" w:rsidRDefault="008F749A" w:rsidP="00FA0360">
            <w:pPr>
              <w:pStyle w:val="GesAbsatz"/>
              <w:jc w:val="center"/>
              <w:rPr>
                <w:rFonts w:cs="Arial"/>
              </w:rPr>
            </w:pPr>
            <w:r w:rsidRPr="00995906">
              <w:rPr>
                <w:rFonts w:cs="Arial"/>
              </w:rPr>
              <w:t>5</w:t>
            </w:r>
          </w:p>
        </w:tc>
        <w:tc>
          <w:tcPr>
            <w:tcW w:w="1759" w:type="dxa"/>
            <w:vAlign w:val="center"/>
          </w:tcPr>
          <w:p w:rsidR="005A5866" w:rsidRPr="00995906" w:rsidRDefault="008F749A" w:rsidP="00FA0360">
            <w:pPr>
              <w:pStyle w:val="GesAbsatz"/>
              <w:jc w:val="center"/>
              <w:rPr>
                <w:rFonts w:cs="Arial"/>
              </w:rPr>
            </w:pPr>
            <w:r w:rsidRPr="00995906">
              <w:rPr>
                <w:rFonts w:cs="Arial"/>
              </w:rPr>
              <w:t>0,5</w:t>
            </w:r>
          </w:p>
        </w:tc>
        <w:tc>
          <w:tcPr>
            <w:tcW w:w="1690" w:type="dxa"/>
            <w:vAlign w:val="center"/>
          </w:tcPr>
          <w:p w:rsidR="005A5866" w:rsidRPr="00995906" w:rsidRDefault="008F749A" w:rsidP="00FA0360">
            <w:pPr>
              <w:pStyle w:val="GesAbsatz"/>
              <w:jc w:val="center"/>
              <w:rPr>
                <w:rFonts w:cs="Arial"/>
              </w:rPr>
            </w:pPr>
            <w:r w:rsidRPr="00995906">
              <w:rPr>
                <w:rFonts w:cs="Arial"/>
              </w:rPr>
              <w:t>1.1.1993</w:t>
            </w:r>
          </w:p>
        </w:tc>
      </w:tr>
      <w:tr w:rsidR="005A5866" w:rsidRPr="00995906" w:rsidTr="00700A77">
        <w:tc>
          <w:tcPr>
            <w:tcW w:w="3085" w:type="dxa"/>
            <w:vMerge/>
          </w:tcPr>
          <w:p w:rsidR="005A5866" w:rsidRPr="00995906" w:rsidRDefault="005A5866" w:rsidP="00FA0360">
            <w:pPr>
              <w:pStyle w:val="GesAbsatz"/>
              <w:ind w:left="284" w:hanging="284"/>
              <w:rPr>
                <w:rFonts w:cs="Arial"/>
              </w:rPr>
            </w:pPr>
          </w:p>
        </w:tc>
        <w:tc>
          <w:tcPr>
            <w:tcW w:w="1370" w:type="dxa"/>
            <w:vMerge/>
            <w:vAlign w:val="center"/>
          </w:tcPr>
          <w:p w:rsidR="005A5866" w:rsidRPr="00995906" w:rsidRDefault="005A5866" w:rsidP="00FA0360">
            <w:pPr>
              <w:pStyle w:val="GesAbsatz"/>
              <w:jc w:val="center"/>
              <w:rPr>
                <w:rFonts w:cs="Arial"/>
              </w:rPr>
            </w:pPr>
          </w:p>
        </w:tc>
        <w:tc>
          <w:tcPr>
            <w:tcW w:w="1843" w:type="dxa"/>
            <w:vAlign w:val="center"/>
          </w:tcPr>
          <w:p w:rsidR="005A5866" w:rsidRPr="00995906" w:rsidRDefault="008F749A" w:rsidP="00FA0360">
            <w:pPr>
              <w:pStyle w:val="GesAbsatz"/>
              <w:jc w:val="center"/>
              <w:rPr>
                <w:rFonts w:cs="Arial"/>
              </w:rPr>
            </w:pPr>
            <w:r w:rsidRPr="00995906">
              <w:rPr>
                <w:rFonts w:cs="Arial"/>
              </w:rPr>
              <w:t>0,5</w:t>
            </w:r>
          </w:p>
        </w:tc>
        <w:tc>
          <w:tcPr>
            <w:tcW w:w="1759" w:type="dxa"/>
            <w:vAlign w:val="center"/>
          </w:tcPr>
          <w:p w:rsidR="005A5866" w:rsidRPr="00995906" w:rsidRDefault="008F749A" w:rsidP="00FA0360">
            <w:pPr>
              <w:pStyle w:val="GesAbsatz"/>
              <w:jc w:val="center"/>
              <w:rPr>
                <w:rFonts w:cs="Arial"/>
              </w:rPr>
            </w:pPr>
            <w:r w:rsidRPr="00995906">
              <w:rPr>
                <w:rFonts w:cs="Arial"/>
              </w:rPr>
              <w:t>0,05</w:t>
            </w:r>
          </w:p>
        </w:tc>
        <w:tc>
          <w:tcPr>
            <w:tcW w:w="1690" w:type="dxa"/>
            <w:vAlign w:val="center"/>
          </w:tcPr>
          <w:p w:rsidR="005A5866" w:rsidRPr="00995906" w:rsidRDefault="008F749A" w:rsidP="00FA0360">
            <w:pPr>
              <w:pStyle w:val="GesAbsatz"/>
              <w:jc w:val="center"/>
              <w:rPr>
                <w:rFonts w:cs="Arial"/>
              </w:rPr>
            </w:pPr>
            <w:r w:rsidRPr="00995906">
              <w:rPr>
                <w:rFonts w:cs="Arial"/>
              </w:rPr>
              <w:t>1.1.1995</w:t>
            </w:r>
          </w:p>
        </w:tc>
      </w:tr>
      <w:tr w:rsidR="005A5866" w:rsidRPr="00995906" w:rsidTr="00700A77">
        <w:tc>
          <w:tcPr>
            <w:tcW w:w="3085" w:type="dxa"/>
            <w:vMerge/>
          </w:tcPr>
          <w:p w:rsidR="005A5866" w:rsidRPr="00995906" w:rsidRDefault="005A5866" w:rsidP="00FA0360">
            <w:pPr>
              <w:pStyle w:val="GesAbsatz"/>
              <w:ind w:left="284" w:hanging="284"/>
              <w:rPr>
                <w:rFonts w:cs="Arial"/>
              </w:rPr>
            </w:pPr>
          </w:p>
        </w:tc>
        <w:tc>
          <w:tcPr>
            <w:tcW w:w="1370" w:type="dxa"/>
            <w:vMerge w:val="restart"/>
            <w:vAlign w:val="center"/>
          </w:tcPr>
          <w:p w:rsidR="005A5866" w:rsidRPr="00995906" w:rsidRDefault="005A5866" w:rsidP="00FA0360">
            <w:pPr>
              <w:pStyle w:val="GesAbsatz"/>
              <w:jc w:val="center"/>
              <w:rPr>
                <w:rFonts w:cs="Arial"/>
              </w:rPr>
            </w:pPr>
            <w:r w:rsidRPr="00995906">
              <w:rPr>
                <w:rFonts w:cs="Arial"/>
              </w:rPr>
              <w:t>Tag</w:t>
            </w:r>
          </w:p>
        </w:tc>
        <w:tc>
          <w:tcPr>
            <w:tcW w:w="1843" w:type="dxa"/>
            <w:vAlign w:val="center"/>
          </w:tcPr>
          <w:p w:rsidR="005A5866" w:rsidRPr="00995906" w:rsidRDefault="008F749A" w:rsidP="00FA0360">
            <w:pPr>
              <w:pStyle w:val="GesAbsatz"/>
              <w:jc w:val="center"/>
              <w:rPr>
                <w:rFonts w:cs="Arial"/>
              </w:rPr>
            </w:pPr>
            <w:r w:rsidRPr="00995906">
              <w:rPr>
                <w:rFonts w:cs="Arial"/>
              </w:rPr>
              <w:t>10</w:t>
            </w:r>
          </w:p>
        </w:tc>
        <w:tc>
          <w:tcPr>
            <w:tcW w:w="1759" w:type="dxa"/>
            <w:vAlign w:val="center"/>
          </w:tcPr>
          <w:p w:rsidR="005A5866" w:rsidRPr="00995906" w:rsidRDefault="008F749A" w:rsidP="00FA0360">
            <w:pPr>
              <w:pStyle w:val="GesAbsatz"/>
              <w:jc w:val="center"/>
              <w:rPr>
                <w:rFonts w:cs="Arial"/>
              </w:rPr>
            </w:pPr>
            <w:r w:rsidRPr="00995906">
              <w:rPr>
                <w:rFonts w:cs="Arial"/>
              </w:rPr>
              <w:t>1</w:t>
            </w:r>
          </w:p>
        </w:tc>
        <w:tc>
          <w:tcPr>
            <w:tcW w:w="1690" w:type="dxa"/>
            <w:vAlign w:val="center"/>
          </w:tcPr>
          <w:p w:rsidR="005A5866" w:rsidRPr="00995906" w:rsidRDefault="008F749A" w:rsidP="00FA0360">
            <w:pPr>
              <w:pStyle w:val="GesAbsatz"/>
              <w:jc w:val="center"/>
              <w:rPr>
                <w:rFonts w:cs="Arial"/>
              </w:rPr>
            </w:pPr>
            <w:r w:rsidRPr="00995906">
              <w:rPr>
                <w:rFonts w:cs="Arial"/>
              </w:rPr>
              <w:t>1.1.1993</w:t>
            </w:r>
          </w:p>
        </w:tc>
      </w:tr>
      <w:tr w:rsidR="005A5866" w:rsidRPr="00995906" w:rsidTr="00700A77">
        <w:tc>
          <w:tcPr>
            <w:tcW w:w="3085" w:type="dxa"/>
            <w:vMerge/>
          </w:tcPr>
          <w:p w:rsidR="005A5866" w:rsidRPr="00995906" w:rsidRDefault="005A5866" w:rsidP="00FA0360">
            <w:pPr>
              <w:pStyle w:val="GesAbsatz"/>
              <w:ind w:left="284" w:hanging="284"/>
              <w:rPr>
                <w:rFonts w:cs="Arial"/>
              </w:rPr>
            </w:pPr>
          </w:p>
        </w:tc>
        <w:tc>
          <w:tcPr>
            <w:tcW w:w="1370" w:type="dxa"/>
            <w:vMerge/>
            <w:vAlign w:val="center"/>
          </w:tcPr>
          <w:p w:rsidR="005A5866" w:rsidRPr="00995906" w:rsidRDefault="005A5866" w:rsidP="00FA0360">
            <w:pPr>
              <w:pStyle w:val="GesAbsatz"/>
              <w:jc w:val="center"/>
              <w:rPr>
                <w:rFonts w:cs="Arial"/>
              </w:rPr>
            </w:pPr>
          </w:p>
        </w:tc>
        <w:tc>
          <w:tcPr>
            <w:tcW w:w="1843" w:type="dxa"/>
            <w:vAlign w:val="center"/>
          </w:tcPr>
          <w:p w:rsidR="005A5866" w:rsidRPr="00995906" w:rsidRDefault="008F749A" w:rsidP="00FA0360">
            <w:pPr>
              <w:pStyle w:val="GesAbsatz"/>
              <w:jc w:val="center"/>
              <w:rPr>
                <w:rFonts w:cs="Arial"/>
              </w:rPr>
            </w:pPr>
            <w:r w:rsidRPr="00995906">
              <w:rPr>
                <w:rFonts w:cs="Arial"/>
              </w:rPr>
              <w:t>1</w:t>
            </w:r>
          </w:p>
        </w:tc>
        <w:tc>
          <w:tcPr>
            <w:tcW w:w="1759" w:type="dxa"/>
            <w:vAlign w:val="center"/>
          </w:tcPr>
          <w:p w:rsidR="005A5866" w:rsidRPr="00995906" w:rsidRDefault="008F749A" w:rsidP="00FA0360">
            <w:pPr>
              <w:pStyle w:val="GesAbsatz"/>
              <w:jc w:val="center"/>
              <w:rPr>
                <w:rFonts w:cs="Arial"/>
              </w:rPr>
            </w:pPr>
            <w:r w:rsidRPr="00995906">
              <w:rPr>
                <w:rFonts w:cs="Arial"/>
              </w:rPr>
              <w:t>0,1</w:t>
            </w:r>
          </w:p>
        </w:tc>
        <w:tc>
          <w:tcPr>
            <w:tcW w:w="1690" w:type="dxa"/>
            <w:vAlign w:val="center"/>
          </w:tcPr>
          <w:p w:rsidR="005A5866" w:rsidRPr="00995906" w:rsidRDefault="008F749A" w:rsidP="00FA0360">
            <w:pPr>
              <w:pStyle w:val="GesAbsatz"/>
              <w:jc w:val="center"/>
              <w:rPr>
                <w:rFonts w:cs="Arial"/>
              </w:rPr>
            </w:pPr>
            <w:r w:rsidRPr="00995906">
              <w:rPr>
                <w:rFonts w:cs="Arial"/>
              </w:rPr>
              <w:t>1.1.1995</w:t>
            </w:r>
          </w:p>
        </w:tc>
      </w:tr>
    </w:tbl>
    <w:p w:rsidR="005A5866" w:rsidRDefault="005A5866" w:rsidP="00995906">
      <w:pPr>
        <w:pStyle w:val="GesAbsatz"/>
        <w:rPr>
          <w:rFonts w:cs="Arial"/>
        </w:rPr>
      </w:pPr>
    </w:p>
    <w:p w:rsidR="0049151F" w:rsidRPr="00995906" w:rsidRDefault="0049151F" w:rsidP="00995906">
      <w:pPr>
        <w:pStyle w:val="GesAbsatz"/>
        <w:rPr>
          <w:rFonts w:cs="Arial"/>
        </w:rPr>
      </w:pPr>
      <w:r w:rsidRPr="003B748C">
        <w:rPr>
          <w:rFonts w:cs="Arial"/>
          <w:b/>
        </w:rPr>
        <w:t>Teil C (117, 118):</w:t>
      </w:r>
      <w:r w:rsidRPr="00995906">
        <w:rPr>
          <w:rFonts w:cs="Arial"/>
        </w:rPr>
        <w:t xml:space="preserve"> Referenzme</w:t>
      </w:r>
      <w:r w:rsidR="003B748C">
        <w:rPr>
          <w:rFonts w:cs="Arial"/>
        </w:rPr>
        <w:t>ß</w:t>
      </w:r>
      <w:r w:rsidRPr="00995906">
        <w:rPr>
          <w:rFonts w:cs="Arial"/>
        </w:rPr>
        <w:t>verfahren</w:t>
      </w:r>
    </w:p>
    <w:p w:rsidR="0049151F" w:rsidRPr="00995906" w:rsidRDefault="0049151F" w:rsidP="003B748C">
      <w:pPr>
        <w:pStyle w:val="GesAbsatz"/>
        <w:ind w:left="426" w:hanging="426"/>
        <w:rPr>
          <w:rFonts w:cs="Arial"/>
        </w:rPr>
      </w:pPr>
      <w:r w:rsidRPr="00995906">
        <w:rPr>
          <w:rFonts w:cs="Arial"/>
        </w:rPr>
        <w:t>1.</w:t>
      </w:r>
      <w:r w:rsidR="003B748C">
        <w:rPr>
          <w:rFonts w:cs="Arial"/>
        </w:rPr>
        <w:tab/>
      </w:r>
      <w:r w:rsidRPr="00995906">
        <w:rPr>
          <w:rFonts w:cs="Arial"/>
        </w:rPr>
        <w:t>Das Referenzme</w:t>
      </w:r>
      <w:r w:rsidR="003B748C">
        <w:rPr>
          <w:rFonts w:cs="Arial"/>
        </w:rPr>
        <w:t>ß</w:t>
      </w:r>
      <w:r w:rsidRPr="00995906">
        <w:rPr>
          <w:rFonts w:cs="Arial"/>
        </w:rPr>
        <w:t>verfahren zur Bestimmung von Trichlorbenzol (TCB) in Abwässern und Gewässern</w:t>
      </w:r>
      <w:r w:rsidR="003B748C">
        <w:rPr>
          <w:rFonts w:cs="Arial"/>
        </w:rPr>
        <w:t xml:space="preserve"> </w:t>
      </w:r>
      <w:r w:rsidRPr="00995906">
        <w:rPr>
          <w:rFonts w:cs="Arial"/>
        </w:rPr>
        <w:t>ist die Gaschromatographie mit Elektroneneinfangdetektor nach Extraktion mit einem geeigneten L</w:t>
      </w:r>
      <w:r w:rsidRPr="00995906">
        <w:rPr>
          <w:rFonts w:cs="Arial"/>
        </w:rPr>
        <w:t>ö</w:t>
      </w:r>
      <w:r w:rsidRPr="00995906">
        <w:rPr>
          <w:rFonts w:cs="Arial"/>
        </w:rPr>
        <w:t>semittel.</w:t>
      </w:r>
      <w:r w:rsidR="003B748C">
        <w:rPr>
          <w:rFonts w:cs="Arial"/>
        </w:rPr>
        <w:t xml:space="preserve"> </w:t>
      </w:r>
      <w:r w:rsidRPr="00995906">
        <w:rPr>
          <w:rFonts w:cs="Arial"/>
        </w:rPr>
        <w:t>Die Bestimmungsgrenze für jedes einzelne Isomer liegt bei 1 µg/l für Abw</w:t>
      </w:r>
      <w:r w:rsidR="00A263B9">
        <w:rPr>
          <w:rFonts w:cs="Arial"/>
        </w:rPr>
        <w:t>ä</w:t>
      </w:r>
      <w:r w:rsidRPr="00995906">
        <w:rPr>
          <w:rFonts w:cs="Arial"/>
        </w:rPr>
        <w:t>sser und 10 µg/l</w:t>
      </w:r>
      <w:r w:rsidR="003B748C">
        <w:rPr>
          <w:rFonts w:cs="Arial"/>
        </w:rPr>
        <w:t xml:space="preserve"> </w:t>
      </w:r>
      <w:r w:rsidRPr="00995906">
        <w:rPr>
          <w:rFonts w:cs="Arial"/>
        </w:rPr>
        <w:t>für Gewässer.</w:t>
      </w:r>
    </w:p>
    <w:p w:rsidR="0049151F" w:rsidRPr="00995906" w:rsidRDefault="0049151F" w:rsidP="003B748C">
      <w:pPr>
        <w:pStyle w:val="GesAbsatz"/>
        <w:ind w:left="426" w:hanging="426"/>
        <w:rPr>
          <w:rFonts w:cs="Arial"/>
        </w:rPr>
      </w:pPr>
      <w:r w:rsidRPr="00995906">
        <w:rPr>
          <w:rFonts w:cs="Arial"/>
        </w:rPr>
        <w:t>2.</w:t>
      </w:r>
      <w:r w:rsidR="00700A77">
        <w:rPr>
          <w:rFonts w:cs="Arial"/>
        </w:rPr>
        <w:tab/>
      </w:r>
      <w:r w:rsidRPr="00995906">
        <w:rPr>
          <w:rFonts w:cs="Arial"/>
        </w:rPr>
        <w:t>Die Referenzmethode für die Bestimmung von TCB in Sedimenten und Organismen ist die Gaschrom</w:t>
      </w:r>
      <w:r w:rsidRPr="00995906">
        <w:rPr>
          <w:rFonts w:cs="Arial"/>
        </w:rPr>
        <w:t>a</w:t>
      </w:r>
      <w:r w:rsidRPr="00995906">
        <w:rPr>
          <w:rFonts w:cs="Arial"/>
        </w:rPr>
        <w:t>tographie</w:t>
      </w:r>
      <w:r w:rsidR="003B748C">
        <w:rPr>
          <w:rFonts w:cs="Arial"/>
        </w:rPr>
        <w:t xml:space="preserve"> </w:t>
      </w:r>
      <w:r w:rsidRPr="00995906">
        <w:rPr>
          <w:rFonts w:cs="Arial"/>
        </w:rPr>
        <w:t>mit Elektroneneinfangdetektor nach geeigneter Probenvorbereitung. Die Bestimmungsgrenze</w:t>
      </w:r>
      <w:r w:rsidR="003B748C">
        <w:rPr>
          <w:rFonts w:cs="Arial"/>
        </w:rPr>
        <w:t xml:space="preserve"> </w:t>
      </w:r>
      <w:r w:rsidRPr="00995906">
        <w:rPr>
          <w:rFonts w:cs="Arial"/>
        </w:rPr>
        <w:t>für jedes einzelne Isomer liegt bei 1 µg/kg Trockenmasse.</w:t>
      </w:r>
    </w:p>
    <w:p w:rsidR="0049151F" w:rsidRPr="00995906" w:rsidRDefault="0049151F" w:rsidP="003B748C">
      <w:pPr>
        <w:pStyle w:val="GesAbsatz"/>
        <w:ind w:left="426" w:hanging="426"/>
        <w:rPr>
          <w:rFonts w:cs="Arial"/>
        </w:rPr>
      </w:pPr>
      <w:r w:rsidRPr="00995906">
        <w:rPr>
          <w:rFonts w:cs="Arial"/>
        </w:rPr>
        <w:t>3.</w:t>
      </w:r>
      <w:r w:rsidR="003B748C">
        <w:rPr>
          <w:rFonts w:cs="Arial"/>
        </w:rPr>
        <w:tab/>
      </w:r>
      <w:r w:rsidRPr="00995906">
        <w:rPr>
          <w:rFonts w:cs="Arial"/>
        </w:rPr>
        <w:t>Die Mitgliedstaaten können bis zum Erla</w:t>
      </w:r>
      <w:r w:rsidR="003B748C">
        <w:rPr>
          <w:rFonts w:cs="Arial"/>
        </w:rPr>
        <w:t>ß</w:t>
      </w:r>
      <w:r w:rsidRPr="00995906">
        <w:rPr>
          <w:rFonts w:cs="Arial"/>
        </w:rPr>
        <w:t xml:space="preserve"> der allgemeinen Richtlinie über Lösemittel die TCB</w:t>
      </w:r>
      <w:r w:rsidR="003B748C">
        <w:rPr>
          <w:rFonts w:cs="Arial"/>
        </w:rPr>
        <w:t>-</w:t>
      </w:r>
      <w:r w:rsidRPr="00995906">
        <w:rPr>
          <w:rFonts w:cs="Arial"/>
        </w:rPr>
        <w:t>Konzentration</w:t>
      </w:r>
      <w:r w:rsidR="003B748C">
        <w:rPr>
          <w:rFonts w:cs="Arial"/>
        </w:rPr>
        <w:t xml:space="preserve"> </w:t>
      </w:r>
      <w:r w:rsidRPr="00995906">
        <w:rPr>
          <w:rFonts w:cs="Arial"/>
        </w:rPr>
        <w:t>im Verhältnis zu der Menge AOX oder EOX bestimmen, sofern gegenüber der Kommi</w:t>
      </w:r>
      <w:r w:rsidRPr="00995906">
        <w:rPr>
          <w:rFonts w:cs="Arial"/>
        </w:rPr>
        <w:t>s</w:t>
      </w:r>
      <w:r w:rsidRPr="00995906">
        <w:rPr>
          <w:rFonts w:cs="Arial"/>
        </w:rPr>
        <w:t>sion</w:t>
      </w:r>
      <w:r w:rsidR="003B748C">
        <w:rPr>
          <w:rFonts w:cs="Arial"/>
        </w:rPr>
        <w:t xml:space="preserve"> </w:t>
      </w:r>
      <w:r w:rsidRPr="00995906">
        <w:rPr>
          <w:rFonts w:cs="Arial"/>
        </w:rPr>
        <w:t>zuvor nachgewiesen wird, da</w:t>
      </w:r>
      <w:r w:rsidR="003B748C">
        <w:rPr>
          <w:rFonts w:cs="Arial"/>
        </w:rPr>
        <w:t>ß</w:t>
      </w:r>
      <w:r w:rsidRPr="00995906">
        <w:rPr>
          <w:rFonts w:cs="Arial"/>
        </w:rPr>
        <w:t xml:space="preserve"> diese Methoden zu gleichwertigen Ergebnissen führen.</w:t>
      </w:r>
    </w:p>
    <w:p w:rsidR="0049151F" w:rsidRPr="00995906" w:rsidRDefault="0049151F" w:rsidP="000E7719">
      <w:pPr>
        <w:pStyle w:val="GesAbsatz"/>
        <w:ind w:left="426"/>
        <w:rPr>
          <w:rFonts w:cs="Arial"/>
        </w:rPr>
      </w:pPr>
      <w:r w:rsidRPr="00995906">
        <w:rPr>
          <w:rFonts w:cs="Arial"/>
        </w:rPr>
        <w:lastRenderedPageBreak/>
        <w:t>Die betreffenden Mitgliedstaaten legen in regelmäßigen Abständen das Verhältnis zwischen TCB und</w:t>
      </w:r>
      <w:r w:rsidR="003B748C">
        <w:rPr>
          <w:rFonts w:cs="Arial"/>
        </w:rPr>
        <w:t xml:space="preserve"> </w:t>
      </w:r>
      <w:r w:rsidRPr="00995906">
        <w:rPr>
          <w:rFonts w:cs="Arial"/>
        </w:rPr>
        <w:t>dem verwendeten Parameter bezogen auf die Konzentration fest.</w:t>
      </w:r>
    </w:p>
    <w:p w:rsidR="0049151F" w:rsidRPr="00995906" w:rsidRDefault="0049151F" w:rsidP="003B748C">
      <w:pPr>
        <w:pStyle w:val="GesAbsatz"/>
        <w:ind w:left="426" w:hanging="426"/>
        <w:rPr>
          <w:rFonts w:cs="Arial"/>
        </w:rPr>
      </w:pPr>
      <w:r w:rsidRPr="00995906">
        <w:rPr>
          <w:rFonts w:cs="Arial"/>
        </w:rPr>
        <w:t>4.</w:t>
      </w:r>
      <w:r w:rsidR="003B748C">
        <w:rPr>
          <w:rFonts w:cs="Arial"/>
        </w:rPr>
        <w:tab/>
      </w:r>
      <w:r w:rsidRPr="00995906">
        <w:rPr>
          <w:rFonts w:cs="Arial"/>
        </w:rPr>
        <w:t>Die Genauigkeit und die Richtigkeit der Methode müssen gewährleisten, da</w:t>
      </w:r>
      <w:r w:rsidR="003B748C">
        <w:rPr>
          <w:rFonts w:cs="Arial"/>
        </w:rPr>
        <w:t>ß</w:t>
      </w:r>
      <w:r w:rsidRPr="00995906">
        <w:rPr>
          <w:rFonts w:cs="Arial"/>
        </w:rPr>
        <w:t xml:space="preserve"> die Me</w:t>
      </w:r>
      <w:r w:rsidR="003B748C">
        <w:rPr>
          <w:rFonts w:cs="Arial"/>
        </w:rPr>
        <w:t>ß</w:t>
      </w:r>
      <w:r w:rsidRPr="00995906">
        <w:rPr>
          <w:rFonts w:cs="Arial"/>
        </w:rPr>
        <w:t>ergebnisse bei</w:t>
      </w:r>
      <w:r w:rsidR="003B748C">
        <w:rPr>
          <w:rFonts w:cs="Arial"/>
        </w:rPr>
        <w:t xml:space="preserve"> </w:t>
      </w:r>
      <w:r w:rsidRPr="00995906">
        <w:rPr>
          <w:rFonts w:cs="Arial"/>
        </w:rPr>
        <w:t>einer Konzentration, die dem doppelten Wert der Bestimmungsgrenze entspricht, höchstens um 50 %</w:t>
      </w:r>
      <w:r w:rsidR="003B748C">
        <w:rPr>
          <w:rFonts w:cs="Arial"/>
        </w:rPr>
        <w:t xml:space="preserve"> </w:t>
      </w:r>
      <w:r w:rsidRPr="00995906">
        <w:rPr>
          <w:rFonts w:cs="Arial"/>
        </w:rPr>
        <w:t>abweichen.</w:t>
      </w:r>
    </w:p>
    <w:sectPr w:rsidR="0049151F" w:rsidRPr="00995906">
      <w:headerReference w:type="default" r:id="rId17"/>
      <w:footerReference w:type="even" r:id="rId18"/>
      <w:footerReference w:type="default" r:id="rId19"/>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91" w:rsidRDefault="008C3791">
      <w:r>
        <w:separator/>
      </w:r>
    </w:p>
  </w:endnote>
  <w:endnote w:type="continuationSeparator" w:id="0">
    <w:p w:rsidR="008C3791" w:rsidRDefault="008C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ED8" w:rsidRDefault="00EA4ED8">
    <w:pPr>
      <w:framePr w:wrap="around" w:vAnchor="text" w:hAnchor="margin" w:xAlign="right" w:y="1"/>
    </w:pPr>
    <w:r>
      <w:fldChar w:fldCharType="begin"/>
    </w:r>
    <w:r>
      <w:instrText xml:space="preserve">PAGE  </w:instrText>
    </w:r>
    <w:r>
      <w:fldChar w:fldCharType="end"/>
    </w:r>
  </w:p>
  <w:p w:rsidR="00EA4ED8" w:rsidRDefault="00EA4ED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ED8" w:rsidRPr="00744F76" w:rsidRDefault="00EA4ED8" w:rsidP="007A3286">
    <w:pPr>
      <w:pStyle w:val="Fuzeile"/>
    </w:pPr>
    <w:r>
      <w:tab/>
    </w:r>
    <w:smartTag w:uri="urn:schemas-microsoft-com:office:smarttags" w:element="date">
      <w:smartTagPr>
        <w:attr w:name="Year" w:val="1986"/>
        <w:attr w:name="Day" w:val="12"/>
        <w:attr w:name="Month" w:val="06"/>
        <w:attr w:name="ls" w:val="trans"/>
      </w:smartTagPr>
      <w:r>
        <w:t>12.06.</w:t>
      </w:r>
      <w:r w:rsidRPr="006C2F7A">
        <w:t>1986</w:t>
      </w:r>
    </w:smartTag>
    <w:r w:rsidRPr="006C2F7A">
      <w:t xml:space="preserve"> (ABl. L 181 </w:t>
    </w:r>
    <w:r w:rsidR="007944A9">
      <w:t xml:space="preserve">v. 04.07.1986 </w:t>
    </w:r>
    <w:r w:rsidRPr="006C2F7A">
      <w:t>S. 16)</w:t>
    </w:r>
    <w:r>
      <w:tab/>
      <w:t xml:space="preserve">Seite </w:t>
    </w:r>
    <w:r w:rsidRPr="006C2F7A">
      <w:fldChar w:fldCharType="begin"/>
    </w:r>
    <w:r w:rsidRPr="006C2F7A">
      <w:instrText xml:space="preserve"> PAGE </w:instrText>
    </w:r>
    <w:r w:rsidRPr="006C2F7A">
      <w:fldChar w:fldCharType="separate"/>
    </w:r>
    <w:r w:rsidR="00566EDC">
      <w:rPr>
        <w:noProof/>
      </w:rPr>
      <w:t>20</w:t>
    </w:r>
    <w:r w:rsidRPr="006C2F7A">
      <w:fldChar w:fldCharType="end"/>
    </w:r>
  </w:p>
  <w:p w:rsidR="00EA4ED8" w:rsidRPr="007944A9" w:rsidRDefault="00EA4ED8" w:rsidP="007A3286">
    <w:pPr>
      <w:pStyle w:val="Fuzeile"/>
      <w:rPr>
        <w:lang w:val="en-US"/>
      </w:rPr>
    </w:pPr>
    <w:r w:rsidRPr="00744F76">
      <w:tab/>
    </w:r>
    <w:r w:rsidRPr="007944A9">
      <w:rPr>
        <w:lang w:val="en-US"/>
      </w:rPr>
      <w:t xml:space="preserve">Stand </w:t>
    </w:r>
    <w:r w:rsidR="007549EF" w:rsidRPr="007944A9">
      <w:rPr>
        <w:lang w:val="en-US"/>
      </w:rPr>
      <w:t>16.12.2008</w:t>
    </w:r>
    <w:r w:rsidRPr="007944A9">
      <w:rPr>
        <w:lang w:val="en-US"/>
      </w:rPr>
      <w:t xml:space="preserve"> (ABl. L </w:t>
    </w:r>
    <w:r w:rsidR="007549EF" w:rsidRPr="007944A9">
      <w:rPr>
        <w:lang w:val="en-US"/>
      </w:rPr>
      <w:t xml:space="preserve">348 </w:t>
    </w:r>
    <w:r w:rsidR="00E50901" w:rsidRPr="007944A9">
      <w:rPr>
        <w:lang w:val="en-US"/>
      </w:rPr>
      <w:t xml:space="preserve">v. 24.12.2008 </w:t>
    </w:r>
    <w:r w:rsidRPr="007944A9">
      <w:rPr>
        <w:lang w:val="en-US"/>
      </w:rPr>
      <w:t xml:space="preserve">S. </w:t>
    </w:r>
    <w:r w:rsidR="007549EF" w:rsidRPr="007944A9">
      <w:rPr>
        <w:lang w:val="en-US"/>
      </w:rPr>
      <w:t>84</w:t>
    </w:r>
    <w:r w:rsidRPr="007944A9">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91" w:rsidRDefault="008C3791">
      <w:r>
        <w:separator/>
      </w:r>
    </w:p>
  </w:footnote>
  <w:footnote w:type="continuationSeparator" w:id="0">
    <w:p w:rsidR="008C3791" w:rsidRDefault="008C3791">
      <w:r>
        <w:continuationSeparator/>
      </w:r>
    </w:p>
  </w:footnote>
  <w:footnote w:id="1">
    <w:p w:rsidR="00EA4ED8" w:rsidRDefault="00EA4ED8">
      <w:pPr>
        <w:pStyle w:val="Funotentext"/>
      </w:pPr>
      <w:r>
        <w:rPr>
          <w:rStyle w:val="Funotenzeichen"/>
        </w:rPr>
        <w:footnoteRef/>
      </w:r>
      <w:r>
        <w:t xml:space="preserve"> </w:t>
      </w:r>
      <w:r w:rsidRPr="00F57296">
        <w:rPr>
          <w:szCs w:val="16"/>
        </w:rPr>
        <w:t>ABl.</w:t>
      </w:r>
      <w:r>
        <w:rPr>
          <w:szCs w:val="16"/>
        </w:rPr>
        <w:t xml:space="preserve"> </w:t>
      </w:r>
      <w:r w:rsidRPr="00F57296">
        <w:rPr>
          <w:szCs w:val="16"/>
        </w:rPr>
        <w:t xml:space="preserve">Nr. L 129 vom </w:t>
      </w:r>
      <w:smartTag w:uri="urn:schemas-microsoft-com:office:smarttags" w:element="date">
        <w:smartTagPr>
          <w:attr w:name="ls" w:val="trans"/>
          <w:attr w:name="Month" w:val="5"/>
          <w:attr w:name="Day" w:val="18"/>
          <w:attr w:name="Year" w:val="1976"/>
        </w:smartTagPr>
        <w:r w:rsidRPr="00F57296">
          <w:rPr>
            <w:szCs w:val="16"/>
          </w:rPr>
          <w:t>18.5.1976</w:t>
        </w:r>
      </w:smartTag>
      <w:r w:rsidRPr="00F57296">
        <w:rPr>
          <w:szCs w:val="16"/>
        </w:rPr>
        <w:t>, S. 23</w:t>
      </w:r>
    </w:p>
  </w:footnote>
  <w:footnote w:id="2">
    <w:p w:rsidR="00EA4ED8" w:rsidRDefault="00EA4ED8">
      <w:pPr>
        <w:pStyle w:val="Funotentext"/>
      </w:pPr>
      <w:r>
        <w:rPr>
          <w:rStyle w:val="Funotenzeichen"/>
        </w:rPr>
        <w:footnoteRef/>
      </w:r>
      <w:r>
        <w:t xml:space="preserve"> </w:t>
      </w:r>
      <w:r w:rsidRPr="00F57296">
        <w:rPr>
          <w:szCs w:val="16"/>
        </w:rPr>
        <w:t>ABl.</w:t>
      </w:r>
      <w:r>
        <w:rPr>
          <w:szCs w:val="16"/>
        </w:rPr>
        <w:t xml:space="preserve"> </w:t>
      </w:r>
      <w:r w:rsidRPr="00F57296">
        <w:rPr>
          <w:szCs w:val="16"/>
        </w:rPr>
        <w:t>Nr. C 70 vom 18.3.1985, S. 15</w:t>
      </w:r>
    </w:p>
  </w:footnote>
  <w:footnote w:id="3">
    <w:p w:rsidR="00EA4ED8" w:rsidRDefault="00EA4ED8">
      <w:pPr>
        <w:pStyle w:val="Funotentext"/>
      </w:pPr>
      <w:r>
        <w:rPr>
          <w:rStyle w:val="Funotenzeichen"/>
        </w:rPr>
        <w:footnoteRef/>
      </w:r>
      <w:r>
        <w:t xml:space="preserve"> </w:t>
      </w:r>
      <w:r w:rsidRPr="00F57296">
        <w:rPr>
          <w:szCs w:val="16"/>
        </w:rPr>
        <w:t>ABl.</w:t>
      </w:r>
      <w:r>
        <w:rPr>
          <w:szCs w:val="16"/>
        </w:rPr>
        <w:t xml:space="preserve"> </w:t>
      </w:r>
      <w:r w:rsidRPr="00F57296">
        <w:rPr>
          <w:szCs w:val="16"/>
        </w:rPr>
        <w:t>Nr. C 120 vom 20.5.1986</w:t>
      </w:r>
    </w:p>
  </w:footnote>
  <w:footnote w:id="4">
    <w:p w:rsidR="00EA4ED8" w:rsidRDefault="00EA4ED8">
      <w:pPr>
        <w:pStyle w:val="Funotentext"/>
      </w:pPr>
      <w:r>
        <w:rPr>
          <w:rStyle w:val="Funotenzeichen"/>
        </w:rPr>
        <w:footnoteRef/>
      </w:r>
      <w:r>
        <w:t xml:space="preserve"> </w:t>
      </w:r>
      <w:r w:rsidRPr="00F57296">
        <w:rPr>
          <w:szCs w:val="16"/>
        </w:rPr>
        <w:t>ABl.</w:t>
      </w:r>
      <w:r>
        <w:rPr>
          <w:szCs w:val="16"/>
        </w:rPr>
        <w:t xml:space="preserve"> </w:t>
      </w:r>
      <w:r w:rsidRPr="00F57296">
        <w:rPr>
          <w:szCs w:val="16"/>
        </w:rPr>
        <w:t xml:space="preserve">Nr. C 188 vom </w:t>
      </w:r>
      <w:smartTag w:uri="urn:schemas-microsoft-com:office:smarttags" w:element="date">
        <w:smartTagPr>
          <w:attr w:name="ls" w:val="trans"/>
          <w:attr w:name="Month" w:val="7"/>
          <w:attr w:name="Day" w:val="29"/>
          <w:attr w:name="Year" w:val="1985"/>
        </w:smartTagPr>
        <w:r w:rsidRPr="00F57296">
          <w:rPr>
            <w:szCs w:val="16"/>
          </w:rPr>
          <w:t>29.7.1985</w:t>
        </w:r>
      </w:smartTag>
      <w:r w:rsidRPr="00F57296">
        <w:rPr>
          <w:szCs w:val="16"/>
        </w:rPr>
        <w:t>,</w:t>
      </w:r>
      <w:r>
        <w:rPr>
          <w:szCs w:val="16"/>
        </w:rPr>
        <w:t xml:space="preserve"> </w:t>
      </w:r>
      <w:r w:rsidRPr="00F57296">
        <w:rPr>
          <w:szCs w:val="16"/>
        </w:rPr>
        <w:t>S. 19</w:t>
      </w:r>
    </w:p>
  </w:footnote>
  <w:footnote w:id="5">
    <w:p w:rsidR="00EA4ED8" w:rsidRDefault="00EA4ED8">
      <w:pPr>
        <w:pStyle w:val="Funotentext"/>
      </w:pPr>
      <w:r w:rsidRPr="00CA15C5">
        <w:rPr>
          <w:rStyle w:val="Funotenzeichen"/>
          <w:szCs w:val="16"/>
        </w:rPr>
        <w:footnoteRef/>
      </w:r>
      <w:r>
        <w:t xml:space="preserve"> </w:t>
      </w:r>
      <w:r w:rsidRPr="00F57296">
        <w:rPr>
          <w:szCs w:val="16"/>
        </w:rPr>
        <w:t>ABl.</w:t>
      </w:r>
      <w:r>
        <w:rPr>
          <w:szCs w:val="16"/>
        </w:rPr>
        <w:t xml:space="preserve"> </w:t>
      </w:r>
      <w:r w:rsidRPr="00F57296">
        <w:rPr>
          <w:szCs w:val="16"/>
        </w:rPr>
        <w:t xml:space="preserve">Nr. L 20 vom </w:t>
      </w:r>
      <w:smartTag w:uri="urn:schemas-microsoft-com:office:smarttags" w:element="date">
        <w:smartTagPr>
          <w:attr w:name="Year" w:val="1980"/>
          <w:attr w:name="Day" w:val="26"/>
          <w:attr w:name="Month" w:val="1"/>
          <w:attr w:name="ls" w:val="trans"/>
        </w:smartTagPr>
        <w:r w:rsidRPr="00F57296">
          <w:rPr>
            <w:szCs w:val="16"/>
          </w:rPr>
          <w:t>26.1.1980</w:t>
        </w:r>
      </w:smartTag>
      <w:r w:rsidRPr="00F57296">
        <w:rPr>
          <w:szCs w:val="16"/>
        </w:rPr>
        <w:t>, S. 43</w:t>
      </w:r>
    </w:p>
  </w:footnote>
  <w:footnote w:id="6">
    <w:p w:rsidR="00EA4ED8" w:rsidRDefault="00EA4ED8">
      <w:pPr>
        <w:pStyle w:val="Funotentext"/>
      </w:pPr>
      <w:r>
        <w:rPr>
          <w:rStyle w:val="Funotenzeichen"/>
        </w:rPr>
        <w:footnoteRef/>
      </w:r>
      <w:r>
        <w:t xml:space="preserve"> </w:t>
      </w:r>
      <w:r w:rsidRPr="00276EF4">
        <w:rPr>
          <w:rFonts w:cs="Arial"/>
          <w:szCs w:val="16"/>
        </w:rPr>
        <w:t xml:space="preserve">ABl. Nr. 377 vom </w:t>
      </w:r>
      <w:smartTag w:uri="urn:schemas-microsoft-com:office:smarttags" w:element="date">
        <w:smartTagPr>
          <w:attr w:name="Year" w:val="1991"/>
          <w:attr w:name="Day" w:val="31"/>
          <w:attr w:name="Month" w:val="12"/>
          <w:attr w:name="ls" w:val="trans"/>
        </w:smartTagPr>
        <w:r w:rsidRPr="00276EF4">
          <w:rPr>
            <w:rFonts w:cs="Arial"/>
            <w:szCs w:val="16"/>
          </w:rPr>
          <w:t>31.12.1991</w:t>
        </w:r>
      </w:smartTag>
      <w:r w:rsidRPr="00276EF4">
        <w:rPr>
          <w:rFonts w:cs="Arial"/>
          <w:szCs w:val="16"/>
        </w:rPr>
        <w:t>, S. 48.</w:t>
      </w:r>
    </w:p>
  </w:footnote>
  <w:footnote w:id="7">
    <w:p w:rsidR="00EA4ED8" w:rsidRDefault="00EA4ED8">
      <w:pPr>
        <w:pStyle w:val="Funotentext"/>
      </w:pPr>
      <w:r>
        <w:rPr>
          <w:rStyle w:val="Funotenzeichen"/>
        </w:rPr>
        <w:footnoteRef/>
      </w:r>
      <w:r>
        <w:t xml:space="preserve"> </w:t>
      </w:r>
      <w:r w:rsidRPr="006C74C5">
        <w:rPr>
          <w:rFonts w:cs="Arial"/>
          <w:szCs w:val="16"/>
        </w:rPr>
        <w:t xml:space="preserve">ABl. Nr. L 271 vom </w:t>
      </w:r>
      <w:smartTag w:uri="urn:schemas-microsoft-com:office:smarttags" w:element="date">
        <w:smartTagPr>
          <w:attr w:name="Year" w:val="1979"/>
          <w:attr w:name="Day" w:val="29"/>
          <w:attr w:name="Month" w:val="10"/>
          <w:attr w:name="ls" w:val="trans"/>
        </w:smartTagPr>
        <w:r w:rsidRPr="006C74C5">
          <w:rPr>
            <w:rFonts w:cs="Arial"/>
            <w:szCs w:val="16"/>
          </w:rPr>
          <w:t>29.10.1979</w:t>
        </w:r>
      </w:smartTag>
      <w:r w:rsidRPr="006C74C5">
        <w:rPr>
          <w:rFonts w:cs="Arial"/>
          <w:szCs w:val="16"/>
        </w:rPr>
        <w:t>, S. 44.</w:t>
      </w:r>
    </w:p>
  </w:footnote>
  <w:footnote w:id="8">
    <w:p w:rsidR="00EA4ED8" w:rsidRDefault="00EA4ED8">
      <w:pPr>
        <w:pStyle w:val="Funotentext"/>
      </w:pPr>
      <w:r>
        <w:rPr>
          <w:rStyle w:val="Funotenzeichen"/>
        </w:rPr>
        <w:footnoteRef/>
      </w:r>
      <w:r>
        <w:t xml:space="preserve"> </w:t>
      </w:r>
      <w:r w:rsidRPr="006C74C5">
        <w:rPr>
          <w:rFonts w:cs="Arial"/>
          <w:szCs w:val="16"/>
        </w:rPr>
        <w:t xml:space="preserve">ABl. Nr. C 176 vom </w:t>
      </w:r>
      <w:smartTag w:uri="urn:schemas-microsoft-com:office:smarttags" w:element="date">
        <w:smartTagPr>
          <w:attr w:name="Year" w:val="1982"/>
          <w:attr w:name="Day" w:val="14"/>
          <w:attr w:name="Month" w:val="7"/>
          <w:attr w:name="ls" w:val="trans"/>
        </w:smartTagPr>
        <w:r w:rsidRPr="006C74C5">
          <w:rPr>
            <w:rFonts w:cs="Arial"/>
            <w:szCs w:val="16"/>
          </w:rPr>
          <w:t>14.7.1982</w:t>
        </w:r>
      </w:smartTag>
      <w:r w:rsidRPr="006C74C5">
        <w:rPr>
          <w:rFonts w:cs="Arial"/>
          <w:szCs w:val="16"/>
        </w:rPr>
        <w:t>, S. 3.</w:t>
      </w:r>
    </w:p>
  </w:footnote>
  <w:footnote w:id="9">
    <w:p w:rsidR="00EA4ED8" w:rsidRDefault="00EA4ED8">
      <w:pPr>
        <w:pStyle w:val="Funotentext"/>
      </w:pPr>
      <w:r>
        <w:rPr>
          <w:rStyle w:val="Funotenzeichen"/>
        </w:rPr>
        <w:footnoteRef/>
      </w:r>
      <w:r>
        <w:t xml:space="preserve"> </w:t>
      </w:r>
      <w:r w:rsidRPr="006C74C5">
        <w:rPr>
          <w:rFonts w:cs="Arial"/>
          <w:szCs w:val="16"/>
        </w:rPr>
        <w:t>Artikel 5 findet insbesondere auf die Verwendung von Tetrachlorkohlen</w:t>
      </w:r>
      <w:r>
        <w:rPr>
          <w:rFonts w:cs="Arial"/>
          <w:szCs w:val="16"/>
        </w:rPr>
        <w:t>s</w:t>
      </w:r>
      <w:r w:rsidRPr="006C74C5">
        <w:rPr>
          <w:rFonts w:cs="Arial"/>
          <w:szCs w:val="16"/>
        </w:rPr>
        <w:t>toff in industriellen Wäschereien Anwendung.</w:t>
      </w:r>
    </w:p>
  </w:footnote>
  <w:footnote w:id="10">
    <w:p w:rsidR="00EA4ED8" w:rsidRDefault="00EA4ED8">
      <w:pPr>
        <w:pStyle w:val="Funotentext"/>
      </w:pPr>
      <w:r>
        <w:rPr>
          <w:rStyle w:val="Funotenzeichen"/>
        </w:rPr>
        <w:footnoteRef/>
      </w:r>
      <w:r>
        <w:t xml:space="preserve"> </w:t>
      </w:r>
      <w:r w:rsidRPr="00744F76">
        <w:rPr>
          <w:szCs w:val="16"/>
        </w:rPr>
        <w:t>CAS Nr. (Chemical Abstract Service).</w:t>
      </w:r>
    </w:p>
  </w:footnote>
  <w:footnote w:id="11">
    <w:p w:rsidR="00EA4ED8" w:rsidRDefault="00EA4ED8">
      <w:pPr>
        <w:pStyle w:val="Funotentext"/>
      </w:pPr>
      <w:r>
        <w:rPr>
          <w:rStyle w:val="Funotenzeichen"/>
        </w:rPr>
        <w:footnoteRef/>
      </w:r>
      <w:r>
        <w:t xml:space="preserve"> </w:t>
      </w:r>
      <w:r w:rsidRPr="006E2581">
        <w:rPr>
          <w:rFonts w:cs="Arial"/>
          <w:szCs w:val="16"/>
        </w:rPr>
        <w:t xml:space="preserve">Die Bestimmungsgrenze </w:t>
      </w:r>
      <w:proofErr w:type="spellStart"/>
      <w:r w:rsidRPr="006E2581">
        <w:rPr>
          <w:rFonts w:cs="Arial"/>
          <w:szCs w:val="16"/>
        </w:rPr>
        <w:t>x</w:t>
      </w:r>
      <w:r w:rsidRPr="006E2581">
        <w:rPr>
          <w:rFonts w:cs="Arial"/>
          <w:szCs w:val="16"/>
          <w:vertAlign w:val="subscript"/>
        </w:rPr>
        <w:t>g</w:t>
      </w:r>
      <w:proofErr w:type="spellEnd"/>
      <w:r w:rsidRPr="006E2581">
        <w:rPr>
          <w:rFonts w:cs="Arial"/>
          <w:szCs w:val="16"/>
        </w:rPr>
        <w:t xml:space="preserve"> für einen Stoff ist definiert als die kleinste, nach einer gegebenen Arbeitsvorschrift in einer Probe quant</w:t>
      </w:r>
      <w:r w:rsidRPr="006E2581">
        <w:rPr>
          <w:rFonts w:cs="Arial"/>
          <w:szCs w:val="16"/>
        </w:rPr>
        <w:t>i</w:t>
      </w:r>
      <w:r w:rsidRPr="006E2581">
        <w:rPr>
          <w:rFonts w:cs="Arial"/>
          <w:szCs w:val="16"/>
        </w:rPr>
        <w:t>tativ bestimmte Menge, die sich noch signifikant von Null unterscheidet.</w:t>
      </w:r>
    </w:p>
  </w:footnote>
  <w:footnote w:id="12">
    <w:p w:rsidR="00EA4ED8" w:rsidRPr="0018710E" w:rsidRDefault="00EA4ED8">
      <w:pPr>
        <w:pStyle w:val="Funotentext"/>
        <w:rPr>
          <w:szCs w:val="16"/>
        </w:rPr>
      </w:pPr>
      <w:r>
        <w:rPr>
          <w:rStyle w:val="Funotenzeichen"/>
        </w:rPr>
        <w:footnoteRef/>
      </w:r>
      <w:r>
        <w:t xml:space="preserve"> </w:t>
      </w:r>
      <w:r w:rsidRPr="0018710E">
        <w:rPr>
          <w:szCs w:val="16"/>
        </w:rPr>
        <w:t>Die Summer der Isomere 1,1,1-Trichlor-2,2 bis (p-Chlorphenyl)-äthan; 1,1,1-Trichlor-2-(o-Chlorphenyl)-2-(p-Chlorphenyl)-äthan; 1,1 Dichlor-2,2 bis (p-Chlorphenyl)-äthylen und 1,1 Dichlor-2,2 bis (p-Chlorphenyl)-äthan.</w:t>
      </w:r>
    </w:p>
  </w:footnote>
  <w:footnote w:id="13">
    <w:p w:rsidR="00EA4ED8" w:rsidRDefault="00EA4ED8">
      <w:pPr>
        <w:pStyle w:val="Funotentext"/>
      </w:pPr>
      <w:r>
        <w:rPr>
          <w:rStyle w:val="Funotenzeichen"/>
        </w:rPr>
        <w:footnoteRef/>
      </w:r>
      <w:r>
        <w:t xml:space="preserve"> </w:t>
      </w:r>
      <w:r w:rsidRPr="00756F59">
        <w:rPr>
          <w:rFonts w:cs="Arial"/>
          <w:szCs w:val="16"/>
        </w:rPr>
        <w:t>Artikel 5 findet auf DDT Anwendung, soweit andere als die in vorliegendem Anhang erwähnten Quellen ermittelt werden.</w:t>
      </w:r>
    </w:p>
  </w:footnote>
  <w:footnote w:id="14">
    <w:p w:rsidR="00EA4ED8" w:rsidRDefault="00EA4ED8">
      <w:pPr>
        <w:pStyle w:val="Funotentext"/>
      </w:pPr>
      <w:r>
        <w:rPr>
          <w:rStyle w:val="Funotenzeichen"/>
        </w:rPr>
        <w:footnoteRef/>
      </w:r>
      <w:r>
        <w:t xml:space="preserve"> </w:t>
      </w:r>
      <w:r w:rsidRPr="00744F76">
        <w:rPr>
          <w:rFonts w:cs="Arial"/>
          <w:szCs w:val="16"/>
        </w:rPr>
        <w:t>CAS Nr. (Chemical Abstract Service).</w:t>
      </w:r>
    </w:p>
  </w:footnote>
  <w:footnote w:id="15">
    <w:p w:rsidR="00EA4ED8" w:rsidRDefault="00EA4ED8">
      <w:pPr>
        <w:pStyle w:val="Funotentext"/>
      </w:pPr>
      <w:r>
        <w:rPr>
          <w:rStyle w:val="Funotenzeichen"/>
        </w:rPr>
        <w:footnoteRef/>
      </w:r>
      <w:r>
        <w:t xml:space="preserve"> </w:t>
      </w:r>
      <w:r w:rsidRPr="00756F59">
        <w:rPr>
          <w:rFonts w:cs="Arial"/>
          <w:szCs w:val="16"/>
        </w:rPr>
        <w:t>Was die neuen Anlagen betrifft, so muß es aufgrund der verfügbaren besten technischen Mittel bereits möglich sein, für DDT Emiss</w:t>
      </w:r>
      <w:r w:rsidRPr="00756F59">
        <w:rPr>
          <w:rFonts w:cs="Arial"/>
          <w:szCs w:val="16"/>
        </w:rPr>
        <w:t>i</w:t>
      </w:r>
      <w:r w:rsidRPr="00756F59">
        <w:rPr>
          <w:rFonts w:cs="Arial"/>
          <w:szCs w:val="16"/>
        </w:rPr>
        <w:t>onsnormen vorzusehen, die niedriger sind als 1 g/t hergestellte Stoffe.</w:t>
      </w:r>
    </w:p>
  </w:footnote>
  <w:footnote w:id="16">
    <w:p w:rsidR="00EA4ED8" w:rsidRDefault="00EA4ED8">
      <w:pPr>
        <w:pStyle w:val="Funotentext"/>
      </w:pPr>
      <w:r>
        <w:rPr>
          <w:rStyle w:val="Funotenzeichen"/>
        </w:rPr>
        <w:footnoteRef/>
      </w:r>
      <w:r>
        <w:t xml:space="preserve"> </w:t>
      </w:r>
      <w:r w:rsidRPr="00756F59">
        <w:rPr>
          <w:rFonts w:cs="Arial"/>
          <w:szCs w:val="16"/>
        </w:rPr>
        <w:t>Aufgrund der Erfahrungen mit der Anwendung der vorliegenden Richtlinie unterbreitet die Kommission dem Rat nach Artikel 6 Absatz 3 dieser Richtlinie zu gegebener Zeit Vorschläge für die Festlegung restriktiver Grenzwerte, die 1994 in Kraft treten sollen.</w:t>
      </w:r>
    </w:p>
  </w:footnote>
  <w:footnote w:id="17">
    <w:p w:rsidR="00EA4ED8" w:rsidRDefault="00EA4ED8">
      <w:pPr>
        <w:pStyle w:val="Funotentext"/>
      </w:pPr>
      <w:r>
        <w:rPr>
          <w:rStyle w:val="Funotenzeichen"/>
        </w:rPr>
        <w:footnoteRef/>
      </w:r>
      <w:r>
        <w:t xml:space="preserve"> </w:t>
      </w:r>
      <w:r w:rsidRPr="00B628CC">
        <w:rPr>
          <w:rFonts w:cs="Arial"/>
          <w:szCs w:val="16"/>
        </w:rPr>
        <w:t>Bei den in Anhang I Teil A Nummer 3 genannten Industriebetrieben erfolgt ein Hinweis namentlich auf Betriebe, die DDT außerhalb der Produktionsanlage formulieren und auf den Sektor der Dicofol-Produktion.</w:t>
      </w:r>
    </w:p>
  </w:footnote>
  <w:footnote w:id="18">
    <w:p w:rsidR="00EA4ED8" w:rsidRDefault="00EA4ED8">
      <w:pPr>
        <w:pStyle w:val="Funotentext"/>
      </w:pPr>
      <w:r>
        <w:rPr>
          <w:rStyle w:val="Funotenzeichen"/>
        </w:rPr>
        <w:footnoteRef/>
      </w:r>
      <w:r>
        <w:t xml:space="preserve"> </w:t>
      </w:r>
      <w:r w:rsidRPr="00B628CC">
        <w:rPr>
          <w:rFonts w:cs="Arial"/>
          <w:szCs w:val="16"/>
        </w:rPr>
        <w:t>Ein vereinfachtes Überwachungsverfahren kann eingerichtet werden, wenn die Ableitungen pro Jahr 1 kg nicht übersteigen.</w:t>
      </w:r>
    </w:p>
  </w:footnote>
  <w:footnote w:id="19">
    <w:p w:rsidR="00EA4ED8" w:rsidRDefault="00EA4ED8">
      <w:pPr>
        <w:pStyle w:val="Funotentext"/>
      </w:pPr>
      <w:r>
        <w:rPr>
          <w:rStyle w:val="Funotenzeichen"/>
        </w:rPr>
        <w:footnoteRef/>
      </w:r>
      <w:r>
        <w:t xml:space="preserve"> </w:t>
      </w:r>
      <w:r w:rsidRPr="00DA5376">
        <w:rPr>
          <w:rFonts w:cs="Arial"/>
          <w:szCs w:val="16"/>
        </w:rPr>
        <w:t xml:space="preserve">Die Bestimmungsgrenze </w:t>
      </w:r>
      <w:proofErr w:type="spellStart"/>
      <w:r w:rsidRPr="00DA5376">
        <w:rPr>
          <w:rFonts w:cs="Arial"/>
          <w:szCs w:val="16"/>
        </w:rPr>
        <w:t>x</w:t>
      </w:r>
      <w:r w:rsidRPr="00DA5376">
        <w:rPr>
          <w:rFonts w:cs="Arial"/>
          <w:szCs w:val="16"/>
          <w:vertAlign w:val="subscript"/>
        </w:rPr>
        <w:t>g</w:t>
      </w:r>
      <w:proofErr w:type="spellEnd"/>
      <w:r w:rsidRPr="00DA5376">
        <w:rPr>
          <w:rFonts w:cs="Arial"/>
          <w:szCs w:val="16"/>
        </w:rPr>
        <w:t xml:space="preserve"> für einen Stoff ist definiert als die kleinste, nach einer gegebenen Arbeitsvorschrift in einer Probe quant</w:t>
      </w:r>
      <w:r w:rsidRPr="00DA5376">
        <w:rPr>
          <w:rFonts w:cs="Arial"/>
          <w:szCs w:val="16"/>
        </w:rPr>
        <w:t>i</w:t>
      </w:r>
      <w:r w:rsidRPr="00DA5376">
        <w:rPr>
          <w:rFonts w:cs="Arial"/>
          <w:szCs w:val="16"/>
        </w:rPr>
        <w:t>tativ bestimmbare Menge, die sich noch signifikant von Null unterscheidet.</w:t>
      </w:r>
    </w:p>
  </w:footnote>
  <w:footnote w:id="20">
    <w:p w:rsidR="00EA4ED8" w:rsidRDefault="00EA4ED8">
      <w:pPr>
        <w:pStyle w:val="Funotentext"/>
      </w:pPr>
      <w:r>
        <w:rPr>
          <w:rStyle w:val="Funotenzeichen"/>
        </w:rPr>
        <w:footnoteRef/>
      </w:r>
      <w:r>
        <w:t xml:space="preserve"> </w:t>
      </w:r>
      <w:r w:rsidRPr="00DA5376">
        <w:rPr>
          <w:rFonts w:cs="Arial"/>
          <w:szCs w:val="16"/>
        </w:rPr>
        <w:t>Die chemische Verbindung 2, 3, 4, 5, 6-Pentachlor-1-Hydroxybenzol und ihre Salze.</w:t>
      </w:r>
    </w:p>
  </w:footnote>
  <w:footnote w:id="21">
    <w:p w:rsidR="00EA4ED8" w:rsidRDefault="00EA4ED8">
      <w:pPr>
        <w:pStyle w:val="Funotentext"/>
      </w:pPr>
      <w:r>
        <w:rPr>
          <w:rStyle w:val="Funotenzeichen"/>
        </w:rPr>
        <w:footnoteRef/>
      </w:r>
      <w:r>
        <w:t xml:space="preserve"> </w:t>
      </w:r>
      <w:r w:rsidRPr="00DA5376">
        <w:rPr>
          <w:rFonts w:cs="Arial"/>
          <w:szCs w:val="16"/>
        </w:rPr>
        <w:t>Artikel 5 findet auf Pentachlorphenol Anwendung, insbesondere auf dessen Verwendung bei der Holzbehandlung.</w:t>
      </w:r>
    </w:p>
  </w:footnote>
  <w:footnote w:id="22">
    <w:p w:rsidR="00EA4ED8" w:rsidRDefault="00EA4ED8">
      <w:pPr>
        <w:pStyle w:val="Funotentext"/>
      </w:pPr>
      <w:r>
        <w:rPr>
          <w:rStyle w:val="Funotenzeichen"/>
        </w:rPr>
        <w:footnoteRef/>
      </w:r>
      <w:r>
        <w:t xml:space="preserve"> </w:t>
      </w:r>
      <w:r w:rsidRPr="00744F76">
        <w:rPr>
          <w:rFonts w:cs="Arial"/>
          <w:szCs w:val="16"/>
        </w:rPr>
        <w:t>CAS Nr. (Chemical Abstract Service).</w:t>
      </w:r>
    </w:p>
  </w:footnote>
  <w:footnote w:id="23">
    <w:p w:rsidR="00EA4ED8" w:rsidRDefault="00EA4ED8">
      <w:pPr>
        <w:pStyle w:val="Funotentext"/>
      </w:pPr>
      <w:r>
        <w:rPr>
          <w:rStyle w:val="Funotenzeichen"/>
        </w:rPr>
        <w:footnoteRef/>
      </w:r>
      <w:r>
        <w:t xml:space="preserve"> </w:t>
      </w:r>
      <w:r w:rsidRPr="009C1219">
        <w:rPr>
          <w:rFonts w:cs="Arial"/>
          <w:szCs w:val="16"/>
        </w:rPr>
        <w:t xml:space="preserve">Die Bestimmungsgrenze </w:t>
      </w:r>
      <w:proofErr w:type="spellStart"/>
      <w:r w:rsidRPr="009C1219">
        <w:rPr>
          <w:rFonts w:cs="Arial"/>
          <w:szCs w:val="16"/>
        </w:rPr>
        <w:t>x</w:t>
      </w:r>
      <w:r w:rsidRPr="009C1219">
        <w:rPr>
          <w:rFonts w:cs="Arial"/>
          <w:szCs w:val="16"/>
          <w:vertAlign w:val="subscript"/>
        </w:rPr>
        <w:t>g</w:t>
      </w:r>
      <w:proofErr w:type="spellEnd"/>
      <w:r w:rsidRPr="009C1219">
        <w:rPr>
          <w:rFonts w:cs="Arial"/>
          <w:szCs w:val="16"/>
        </w:rPr>
        <w:t xml:space="preserve"> für einen Stoff ist definiert als die kleinste, nach einer gegebenen Arbeitsvorschrift in einer Probe quant</w:t>
      </w:r>
      <w:r w:rsidRPr="009C1219">
        <w:rPr>
          <w:rFonts w:cs="Arial"/>
          <w:szCs w:val="16"/>
        </w:rPr>
        <w:t>i</w:t>
      </w:r>
      <w:r w:rsidRPr="009C1219">
        <w:rPr>
          <w:rFonts w:cs="Arial"/>
          <w:szCs w:val="16"/>
        </w:rPr>
        <w:t>tativ bestimmbare Menge, die sich noch signifikant von Null unterscheidet.</w:t>
      </w:r>
    </w:p>
  </w:footnote>
  <w:footnote w:id="24">
    <w:p w:rsidR="00EA4ED8" w:rsidRDefault="00EA4ED8">
      <w:pPr>
        <w:pStyle w:val="Funotentext"/>
      </w:pPr>
      <w:r>
        <w:rPr>
          <w:rStyle w:val="Funotenzeichen"/>
        </w:rPr>
        <w:footnoteRef/>
      </w:r>
      <w:r>
        <w:t xml:space="preserve"> </w:t>
      </w:r>
      <w:r w:rsidRPr="009C1219">
        <w:rPr>
          <w:rFonts w:cs="Arial"/>
          <w:szCs w:val="16"/>
        </w:rPr>
        <w:t>Aldrin ist die chemische Verbindung C</w:t>
      </w:r>
      <w:r w:rsidRPr="009C1219">
        <w:rPr>
          <w:rFonts w:cs="Arial"/>
          <w:szCs w:val="16"/>
          <w:vertAlign w:val="subscript"/>
        </w:rPr>
        <w:t>12</w:t>
      </w:r>
      <w:r w:rsidRPr="009C1219">
        <w:rPr>
          <w:rFonts w:cs="Arial"/>
          <w:szCs w:val="16"/>
        </w:rPr>
        <w:t>H</w:t>
      </w:r>
      <w:r w:rsidRPr="009C1219">
        <w:rPr>
          <w:rFonts w:cs="Arial"/>
          <w:szCs w:val="16"/>
          <w:vertAlign w:val="subscript"/>
        </w:rPr>
        <w:t>8</w:t>
      </w:r>
      <w:r w:rsidRPr="009C1219">
        <w:rPr>
          <w:rFonts w:cs="Arial"/>
          <w:szCs w:val="16"/>
        </w:rPr>
        <w:t>Cl</w:t>
      </w:r>
      <w:r w:rsidRPr="009C1219">
        <w:rPr>
          <w:rFonts w:cs="Arial"/>
          <w:szCs w:val="16"/>
          <w:vertAlign w:val="subscript"/>
        </w:rPr>
        <w:t>6</w:t>
      </w:r>
      <w:r w:rsidRPr="009C1219">
        <w:rPr>
          <w:rFonts w:cs="Arial"/>
          <w:szCs w:val="16"/>
        </w:rPr>
        <w:t>, 1, 2, 3, 4, 10, 10-Hexachlor-1, 4, 4a, 5, 8, 8a-hexahydro-1, 4-endo-5, 8-exo-dimethanonaphtalin.</w:t>
      </w:r>
    </w:p>
  </w:footnote>
  <w:footnote w:id="25">
    <w:p w:rsidR="00EA4ED8" w:rsidRDefault="00EA4ED8">
      <w:pPr>
        <w:pStyle w:val="Funotentext"/>
      </w:pPr>
      <w:r>
        <w:rPr>
          <w:rStyle w:val="Funotenzeichen"/>
        </w:rPr>
        <w:footnoteRef/>
      </w:r>
      <w:r>
        <w:t xml:space="preserve"> </w:t>
      </w:r>
      <w:r w:rsidRPr="00AB0736">
        <w:rPr>
          <w:rFonts w:cs="Arial"/>
          <w:szCs w:val="16"/>
        </w:rPr>
        <w:t>Dieldrin ist die chemische Verbindung C</w:t>
      </w:r>
      <w:r w:rsidRPr="00AB0736">
        <w:rPr>
          <w:rFonts w:cs="Arial"/>
          <w:szCs w:val="16"/>
          <w:vertAlign w:val="subscript"/>
        </w:rPr>
        <w:t>12</w:t>
      </w:r>
      <w:r w:rsidRPr="00AB0736">
        <w:rPr>
          <w:rFonts w:cs="Arial"/>
          <w:szCs w:val="16"/>
        </w:rPr>
        <w:t>H</w:t>
      </w:r>
      <w:r w:rsidRPr="00AB0736">
        <w:rPr>
          <w:rFonts w:cs="Arial"/>
          <w:szCs w:val="16"/>
          <w:vertAlign w:val="subscript"/>
        </w:rPr>
        <w:t>8</w:t>
      </w:r>
      <w:r w:rsidRPr="00AB0736">
        <w:rPr>
          <w:rFonts w:cs="Arial"/>
          <w:szCs w:val="16"/>
        </w:rPr>
        <w:t>Cl</w:t>
      </w:r>
      <w:r w:rsidRPr="00AB0736">
        <w:rPr>
          <w:rFonts w:cs="Arial"/>
          <w:szCs w:val="16"/>
          <w:vertAlign w:val="subscript"/>
        </w:rPr>
        <w:t>6</w:t>
      </w:r>
      <w:r w:rsidRPr="00AB0736">
        <w:rPr>
          <w:rFonts w:cs="Arial"/>
          <w:szCs w:val="16"/>
        </w:rPr>
        <w:t>O, 1, 2, 3, 4, 10, 10-Hexachlor-6, 7-epoxy-1, 4, 4a, 5, 6, 7, 8, 8a-octahydro-1, 4-endo-5, 8-exodimethano-naphtalin.</w:t>
      </w:r>
    </w:p>
  </w:footnote>
  <w:footnote w:id="26">
    <w:p w:rsidR="00EA4ED8" w:rsidRDefault="00EA4ED8">
      <w:pPr>
        <w:pStyle w:val="Funotentext"/>
      </w:pPr>
      <w:r>
        <w:rPr>
          <w:rStyle w:val="Funotenzeichen"/>
        </w:rPr>
        <w:footnoteRef/>
      </w:r>
      <w:r>
        <w:t xml:space="preserve"> </w:t>
      </w:r>
      <w:r w:rsidRPr="00AB0736">
        <w:rPr>
          <w:rFonts w:cs="Arial"/>
          <w:szCs w:val="16"/>
        </w:rPr>
        <w:t>Endrin ist die chemische Verbindung C</w:t>
      </w:r>
      <w:r w:rsidRPr="00AB0736">
        <w:rPr>
          <w:rFonts w:cs="Arial"/>
          <w:szCs w:val="16"/>
          <w:vertAlign w:val="subscript"/>
        </w:rPr>
        <w:t>12</w:t>
      </w:r>
      <w:r w:rsidRPr="00AB0736">
        <w:rPr>
          <w:rFonts w:cs="Arial"/>
          <w:szCs w:val="16"/>
        </w:rPr>
        <w:t>H</w:t>
      </w:r>
      <w:r w:rsidRPr="00AB0736">
        <w:rPr>
          <w:rFonts w:cs="Arial"/>
          <w:szCs w:val="16"/>
          <w:vertAlign w:val="subscript"/>
        </w:rPr>
        <w:t>8</w:t>
      </w:r>
      <w:r w:rsidRPr="00AB0736">
        <w:rPr>
          <w:rFonts w:cs="Arial"/>
          <w:szCs w:val="16"/>
        </w:rPr>
        <w:t>Cl</w:t>
      </w:r>
      <w:r w:rsidRPr="00AB0736">
        <w:rPr>
          <w:rFonts w:cs="Arial"/>
          <w:szCs w:val="16"/>
          <w:vertAlign w:val="subscript"/>
        </w:rPr>
        <w:t>6</w:t>
      </w:r>
      <w:r w:rsidRPr="00AB0736">
        <w:rPr>
          <w:rFonts w:cs="Arial"/>
          <w:szCs w:val="16"/>
        </w:rPr>
        <w:t>O, 1, 2, 3, 4, 10, 10-Hexachlor-6, 7-epoxy-1, 4, 4a, 5, 6, 7, 8, 8a-octahydro-1, 4-endo-5, 8-endo-dimethano-naphtalin.</w:t>
      </w:r>
    </w:p>
  </w:footnote>
  <w:footnote w:id="27">
    <w:p w:rsidR="00EA4ED8" w:rsidRDefault="00EA4ED8">
      <w:pPr>
        <w:pStyle w:val="Funotentext"/>
      </w:pPr>
      <w:r>
        <w:rPr>
          <w:rStyle w:val="Funotenzeichen"/>
        </w:rPr>
        <w:footnoteRef/>
      </w:r>
      <w:r>
        <w:t xml:space="preserve"> </w:t>
      </w:r>
      <w:r w:rsidRPr="00AB0736">
        <w:rPr>
          <w:rFonts w:cs="Arial"/>
          <w:szCs w:val="16"/>
        </w:rPr>
        <w:t>Isodrin ist die chemische Verbindung C</w:t>
      </w:r>
      <w:r w:rsidRPr="00AB0736">
        <w:rPr>
          <w:rFonts w:cs="Arial"/>
          <w:szCs w:val="16"/>
          <w:vertAlign w:val="subscript"/>
        </w:rPr>
        <w:t>12</w:t>
      </w:r>
      <w:r w:rsidRPr="00AB0736">
        <w:rPr>
          <w:rFonts w:cs="Arial"/>
          <w:szCs w:val="16"/>
        </w:rPr>
        <w:t>H</w:t>
      </w:r>
      <w:r w:rsidRPr="00AB0736">
        <w:rPr>
          <w:rFonts w:cs="Arial"/>
          <w:szCs w:val="16"/>
          <w:vertAlign w:val="subscript"/>
        </w:rPr>
        <w:t>8</w:t>
      </w:r>
      <w:r w:rsidRPr="00AB0736">
        <w:rPr>
          <w:rFonts w:cs="Arial"/>
          <w:szCs w:val="16"/>
        </w:rPr>
        <w:t>Cl</w:t>
      </w:r>
      <w:r w:rsidRPr="00AB0736">
        <w:rPr>
          <w:rFonts w:cs="Arial"/>
          <w:szCs w:val="16"/>
          <w:vertAlign w:val="subscript"/>
        </w:rPr>
        <w:t>6</w:t>
      </w:r>
      <w:r w:rsidRPr="00AB0736">
        <w:rPr>
          <w:rFonts w:cs="Arial"/>
          <w:szCs w:val="16"/>
        </w:rPr>
        <w:t>, 1, 2, 3, 4, 10, 10-Hexachlor-1, 4, 4a, 5, 8, 8a-hexahydro-1, 4-endo-5, 8-endo-dimethanonaphtalin.</w:t>
      </w:r>
    </w:p>
  </w:footnote>
  <w:footnote w:id="28">
    <w:p w:rsidR="00EA4ED8" w:rsidRDefault="00EA4ED8">
      <w:pPr>
        <w:pStyle w:val="Funotentext"/>
      </w:pPr>
      <w:r>
        <w:rPr>
          <w:rStyle w:val="Funotenzeichen"/>
        </w:rPr>
        <w:footnoteRef/>
      </w:r>
      <w:r>
        <w:t xml:space="preserve"> </w:t>
      </w:r>
      <w:r w:rsidRPr="00AB0736">
        <w:rPr>
          <w:rFonts w:cs="Arial"/>
          <w:szCs w:val="16"/>
        </w:rPr>
        <w:t>Die in diesem Teil festgelegten Grenzwerte gelten für die Summe der Ableitungen der Stoffe Aldrin, Dieldrin und Endrin. Falls die Abwässer aus der Herstellung von Aldrin Dieldrin und/oder Endrin (einschließlich der Formulierung dieser Stoffe) auch Isodrin enthalten gelten die oben festgesetzten Grenzwerte für die Summe der Stoffe Aldrin, Dieldrin, Endrin und Isodrin.</w:t>
      </w:r>
    </w:p>
  </w:footnote>
  <w:footnote w:id="29">
    <w:p w:rsidR="00EA4ED8" w:rsidRDefault="00EA4ED8">
      <w:pPr>
        <w:pStyle w:val="Funotentext"/>
      </w:pPr>
      <w:r>
        <w:rPr>
          <w:rStyle w:val="Funotenzeichen"/>
        </w:rPr>
        <w:footnoteRef/>
      </w:r>
      <w:r>
        <w:t xml:space="preserve"> </w:t>
      </w:r>
      <w:r w:rsidRPr="00682CEE">
        <w:rPr>
          <w:rFonts w:cs="Arial"/>
          <w:szCs w:val="16"/>
        </w:rPr>
        <w:t>Bei den in Anhang I Teil A Nummer 3 genannten Industriebetrieben erfolgt ein Hinweis namentlich auf Betriebe, die Aldrin und/oder Dieldrin und/oder Endrin außerhalb des Standorts des Betriebs formulieren.</w:t>
      </w:r>
    </w:p>
  </w:footnote>
  <w:footnote w:id="30">
    <w:p w:rsidR="00EA4ED8" w:rsidRDefault="00EA4ED8">
      <w:pPr>
        <w:pStyle w:val="Funotentext"/>
      </w:pPr>
      <w:r>
        <w:rPr>
          <w:rStyle w:val="Funotenzeichen"/>
        </w:rPr>
        <w:footnoteRef/>
      </w:r>
      <w:r>
        <w:t xml:space="preserve"> </w:t>
      </w:r>
      <w:r w:rsidRPr="00682CEE">
        <w:rPr>
          <w:rFonts w:cs="Arial"/>
          <w:szCs w:val="16"/>
        </w:rPr>
        <w:t>Bei diesen Werten ist der gesamte Wasserabfluß der Betriebe berücksichtigt.</w:t>
      </w:r>
    </w:p>
  </w:footnote>
  <w:footnote w:id="31">
    <w:p w:rsidR="00EA4ED8" w:rsidRDefault="00EA4ED8">
      <w:pPr>
        <w:pStyle w:val="Funotentext"/>
      </w:pPr>
      <w:r>
        <w:rPr>
          <w:rStyle w:val="Funotenzeichen"/>
        </w:rPr>
        <w:footnoteRef/>
      </w:r>
      <w:r>
        <w:t xml:space="preserve"> </w:t>
      </w:r>
      <w:r w:rsidRPr="00682CEE">
        <w:rPr>
          <w:rFonts w:cs="Arial"/>
          <w:szCs w:val="16"/>
        </w:rPr>
        <w:t>Die Tageswerte sollten nach Möglichkeit das Zweifache des Monatswerts nicht überschreiten.</w:t>
      </w:r>
    </w:p>
  </w:footnote>
  <w:footnote w:id="32">
    <w:p w:rsidR="00EA4ED8" w:rsidRDefault="00EA4ED8">
      <w:pPr>
        <w:pStyle w:val="Funotentext"/>
      </w:pPr>
      <w:r w:rsidRPr="00115A5E">
        <w:rPr>
          <w:rStyle w:val="Funotenzeichen"/>
          <w:szCs w:val="16"/>
        </w:rPr>
        <w:footnoteRef/>
      </w:r>
      <w:r>
        <w:t xml:space="preserve"> </w:t>
      </w:r>
      <w:r w:rsidRPr="00C2664E">
        <w:rPr>
          <w:rFonts w:cs="Arial"/>
          <w:szCs w:val="16"/>
        </w:rPr>
        <w:t xml:space="preserve">Die Bestimmungsgrenze </w:t>
      </w:r>
      <w:proofErr w:type="spellStart"/>
      <w:r w:rsidRPr="00C2664E">
        <w:rPr>
          <w:rFonts w:cs="Arial"/>
          <w:szCs w:val="16"/>
        </w:rPr>
        <w:t>x</w:t>
      </w:r>
      <w:r w:rsidRPr="00C2664E">
        <w:rPr>
          <w:rFonts w:cs="Arial"/>
          <w:szCs w:val="16"/>
          <w:vertAlign w:val="subscript"/>
        </w:rPr>
        <w:t>g</w:t>
      </w:r>
      <w:proofErr w:type="spellEnd"/>
      <w:r w:rsidRPr="00C2664E">
        <w:rPr>
          <w:rFonts w:cs="Arial"/>
          <w:szCs w:val="16"/>
        </w:rPr>
        <w:t xml:space="preserve"> für einen Stoff ist definiert als die kleinste, nach einer Arbeitsvorschrift in einer Probe quantitativ b</w:t>
      </w:r>
      <w:r w:rsidRPr="00C2664E">
        <w:rPr>
          <w:rFonts w:cs="Arial"/>
          <w:szCs w:val="16"/>
        </w:rPr>
        <w:t>e</w:t>
      </w:r>
      <w:r w:rsidRPr="00C2664E">
        <w:rPr>
          <w:rFonts w:cs="Arial"/>
          <w:szCs w:val="16"/>
        </w:rPr>
        <w:t>stimmbare Menge, die sich noch signifikant von Null unterscheidet.</w:t>
      </w:r>
    </w:p>
  </w:footnote>
  <w:footnote w:id="33">
    <w:p w:rsidR="00EA4ED8" w:rsidRDefault="00EA4ED8">
      <w:pPr>
        <w:pStyle w:val="Funotentext"/>
      </w:pPr>
      <w:r>
        <w:rPr>
          <w:rStyle w:val="Funotenzeichen"/>
        </w:rPr>
        <w:footnoteRef/>
      </w:r>
      <w:r>
        <w:t xml:space="preserve"> </w:t>
      </w:r>
      <w:r w:rsidRPr="00BB3BBB">
        <w:rPr>
          <w:rFonts w:cs="Arial"/>
          <w:szCs w:val="16"/>
        </w:rPr>
        <w:t>Ein vereinfachtes Überwachungsverfahren kann eingerichtet werden, wenn die Ableitungen pro Jahr 1 kg nicht übersteigen.</w:t>
      </w:r>
    </w:p>
  </w:footnote>
  <w:footnote w:id="34">
    <w:p w:rsidR="00EA4ED8" w:rsidRDefault="00EA4ED8">
      <w:pPr>
        <w:pStyle w:val="Funotentext"/>
      </w:pPr>
      <w:r>
        <w:rPr>
          <w:rStyle w:val="Funotenzeichen"/>
        </w:rPr>
        <w:footnoteRef/>
      </w:r>
      <w:r>
        <w:t xml:space="preserve"> </w:t>
      </w:r>
      <w:r w:rsidRPr="00BB3BBB">
        <w:rPr>
          <w:rFonts w:cs="Arial"/>
          <w:szCs w:val="16"/>
        </w:rPr>
        <w:t>Bei den in Anhang I TeiI A Nummer 3 genannten Industriebetrieben erfolgt ein Hinweis namentlich auf Industriebetriebe, die Quint</w:t>
      </w:r>
      <w:r w:rsidRPr="00BB3BBB">
        <w:rPr>
          <w:rFonts w:cs="Arial"/>
          <w:szCs w:val="16"/>
        </w:rPr>
        <w:t>o</w:t>
      </w:r>
      <w:r w:rsidRPr="00BB3BBB">
        <w:rPr>
          <w:rFonts w:cs="Arial"/>
          <w:szCs w:val="16"/>
        </w:rPr>
        <w:t>zen und Technazen herstellen. Betriebe der industriellen Herstellung von Chlor durch Chloralkalielektrolyse mit Graphitelektrode, Kau</w:t>
      </w:r>
      <w:r w:rsidRPr="00BB3BBB">
        <w:rPr>
          <w:rFonts w:cs="Arial"/>
          <w:szCs w:val="16"/>
        </w:rPr>
        <w:t>t</w:t>
      </w:r>
      <w:r w:rsidRPr="00BB3BBB">
        <w:rPr>
          <w:rFonts w:cs="Arial"/>
          <w:szCs w:val="16"/>
        </w:rPr>
        <w:t>schukverarbeitungsbetriebe, Einleiten zur Herstellung pyrotechnischer Produkte und Betriebe zur Herstellung von Vinylchloriden.</w:t>
      </w:r>
    </w:p>
  </w:footnote>
  <w:footnote w:id="35">
    <w:p w:rsidR="00EA4ED8" w:rsidRDefault="00EA4ED8">
      <w:pPr>
        <w:pStyle w:val="Funotentext"/>
      </w:pPr>
      <w:r>
        <w:rPr>
          <w:rStyle w:val="Funotenzeichen"/>
        </w:rPr>
        <w:footnoteRef/>
      </w:r>
      <w:r>
        <w:t xml:space="preserve"> </w:t>
      </w:r>
      <w:r w:rsidRPr="00BB3BBB">
        <w:rPr>
          <w:rFonts w:cs="Arial"/>
          <w:szCs w:val="16"/>
        </w:rPr>
        <w:t xml:space="preserve">Aufgrund der Erfahrungen mit der Anwendung dieser Richtlinie und unter Berücksichtigung der Tatsache, daß der Einsatz der besten technischen Mittel es bereits ermöglicht, in manchen FäIlen weit strengere Werte als die oben angegebenen anzuwenden, beschließt der Rat anhand von Vorschlägen der Kommission über die Festlegung strengerer Grenzwerte, wobei ein solcher Beschluß vor dem </w:t>
      </w:r>
      <w:smartTag w:uri="urn:schemas-microsoft-com:office:smarttags" w:element="date">
        <w:smartTagPr>
          <w:attr w:name="Year" w:val="1995"/>
          <w:attr w:name="Day" w:val="1"/>
          <w:attr w:name="Month" w:val="1"/>
          <w:attr w:name="ls" w:val="trans"/>
        </w:smartTagPr>
        <w:r w:rsidRPr="00BB3BBB">
          <w:rPr>
            <w:rFonts w:cs="Arial"/>
            <w:szCs w:val="16"/>
          </w:rPr>
          <w:t>1. Januar 1995</w:t>
        </w:r>
      </w:smartTag>
      <w:r w:rsidRPr="00BB3BBB">
        <w:rPr>
          <w:rFonts w:cs="Arial"/>
          <w:szCs w:val="16"/>
        </w:rPr>
        <w:t xml:space="preserve"> zu fassen ist.</w:t>
      </w:r>
    </w:p>
  </w:footnote>
  <w:footnote w:id="36">
    <w:p w:rsidR="00EA4ED8" w:rsidRDefault="00EA4ED8">
      <w:pPr>
        <w:pStyle w:val="Funotentext"/>
      </w:pPr>
      <w:r>
        <w:rPr>
          <w:rStyle w:val="Funotenzeichen"/>
        </w:rPr>
        <w:footnoteRef/>
      </w:r>
      <w:r>
        <w:t xml:space="preserve"> </w:t>
      </w:r>
      <w:r w:rsidRPr="00BB3BBB">
        <w:rPr>
          <w:rFonts w:cs="Arial"/>
          <w:szCs w:val="16"/>
        </w:rPr>
        <w:t>Es ist gegenwärtig nicht möglich, Grenzwerte für diesen Sektor festzulegen. Der Rat wird diese Grenzwerte später auf Vorschlag der Kommission festsetzen. In der Zwischenzeit wenden die Mitgliedstaaten gemäß Anhang I Teil A Nummer 3 einzelstaatliche Emiss</w:t>
      </w:r>
      <w:r w:rsidRPr="00BB3BBB">
        <w:rPr>
          <w:rFonts w:cs="Arial"/>
          <w:szCs w:val="16"/>
        </w:rPr>
        <w:t>i</w:t>
      </w:r>
      <w:r w:rsidRPr="00BB3BBB">
        <w:rPr>
          <w:rFonts w:cs="Arial"/>
          <w:szCs w:val="16"/>
        </w:rPr>
        <w:t>onsnormen an.</w:t>
      </w:r>
    </w:p>
  </w:footnote>
  <w:footnote w:id="37">
    <w:p w:rsidR="00EA4ED8" w:rsidRDefault="00EA4ED8">
      <w:pPr>
        <w:pStyle w:val="Funotentext"/>
      </w:pPr>
      <w:r>
        <w:rPr>
          <w:rStyle w:val="Funotenzeichen"/>
        </w:rPr>
        <w:footnoteRef/>
      </w:r>
      <w:r>
        <w:t xml:space="preserve"> </w:t>
      </w:r>
      <w:r w:rsidRPr="00AD03B0">
        <w:rPr>
          <w:rFonts w:cs="Arial"/>
          <w:szCs w:val="16"/>
        </w:rPr>
        <w:t xml:space="preserve">Die Bestimmungsgrenze </w:t>
      </w:r>
      <w:proofErr w:type="spellStart"/>
      <w:r w:rsidRPr="00AD03B0">
        <w:rPr>
          <w:rFonts w:cs="Arial"/>
          <w:szCs w:val="16"/>
        </w:rPr>
        <w:t>x</w:t>
      </w:r>
      <w:r w:rsidRPr="00AD03B0">
        <w:rPr>
          <w:rFonts w:cs="Arial"/>
          <w:szCs w:val="16"/>
          <w:vertAlign w:val="subscript"/>
        </w:rPr>
        <w:t>g</w:t>
      </w:r>
      <w:proofErr w:type="spellEnd"/>
      <w:r w:rsidRPr="00AD03B0">
        <w:rPr>
          <w:rFonts w:cs="Arial"/>
          <w:szCs w:val="16"/>
        </w:rPr>
        <w:t xml:space="preserve"> für einen Stoff ist definiert als die. kleinste, nach einer gegebenen Arbeitsvorschrift in einer Probe quant</w:t>
      </w:r>
      <w:r w:rsidRPr="00AD03B0">
        <w:rPr>
          <w:rFonts w:cs="Arial"/>
          <w:szCs w:val="16"/>
        </w:rPr>
        <w:t>i</w:t>
      </w:r>
      <w:r w:rsidRPr="00AD03B0">
        <w:rPr>
          <w:rFonts w:cs="Arial"/>
          <w:szCs w:val="16"/>
        </w:rPr>
        <w:t>tativ bestimmbaren Menge, die sich noch signifikant von Null unterscheidet.</w:t>
      </w:r>
    </w:p>
  </w:footnote>
  <w:footnote w:id="38">
    <w:p w:rsidR="00EA4ED8" w:rsidRDefault="00EA4ED8">
      <w:pPr>
        <w:pStyle w:val="Funotentext"/>
      </w:pPr>
      <w:r>
        <w:rPr>
          <w:rStyle w:val="Funotenzeichen"/>
        </w:rPr>
        <w:footnoteRef/>
      </w:r>
      <w:r>
        <w:t xml:space="preserve"> </w:t>
      </w:r>
      <w:r w:rsidRPr="00573B87">
        <w:rPr>
          <w:rFonts w:cs="Arial"/>
          <w:szCs w:val="16"/>
        </w:rPr>
        <w:t>Ein vereinfachtes Überwachungsverfahren kann eingerichtet werden, wenn die Ableitungen pro Jahr 1 kg nicht übersteigen.</w:t>
      </w:r>
    </w:p>
  </w:footnote>
  <w:footnote w:id="39">
    <w:p w:rsidR="00EA4ED8" w:rsidRDefault="00EA4ED8">
      <w:pPr>
        <w:pStyle w:val="Funotentext"/>
      </w:pPr>
      <w:r>
        <w:rPr>
          <w:rStyle w:val="Funotenzeichen"/>
        </w:rPr>
        <w:footnoteRef/>
      </w:r>
      <w:r>
        <w:t xml:space="preserve"> </w:t>
      </w:r>
      <w:r w:rsidRPr="00465F40">
        <w:rPr>
          <w:rFonts w:cs="Arial"/>
          <w:szCs w:val="16"/>
        </w:rPr>
        <w:t>Bei den in Anhang I Teil A Nummer 3 genannten Industriebetrieben erfolgt ein Hinweis namentlich auf Industriebetriebe, die HCBD für technische Zwecke verwenden.</w:t>
      </w:r>
    </w:p>
  </w:footnote>
  <w:footnote w:id="40">
    <w:p w:rsidR="00EA4ED8" w:rsidRDefault="00EA4ED8">
      <w:pPr>
        <w:pStyle w:val="Funotentext"/>
      </w:pPr>
      <w:r>
        <w:rPr>
          <w:rStyle w:val="Funotenzeichen"/>
        </w:rPr>
        <w:footnoteRef/>
      </w:r>
      <w:r>
        <w:t xml:space="preserve"> </w:t>
      </w:r>
      <w:r w:rsidRPr="00465F40">
        <w:rPr>
          <w:rFonts w:cs="Arial"/>
          <w:szCs w:val="16"/>
        </w:rPr>
        <w:t>Aufgrund der Erfahrungen mit der Anwendung dieser Richtlinie und unter Berücksichtigung der Tatsache, daß der Einsatz der besten technischen Mittel es bereits ermöglicht, in manchen Fällen weit strengere Werte als die oben angegebenen anzuwenden, beschließt der Rat anhand von Vorschlägen der Kommission über die Festlegung strengerer Grenzwerte, wobei ein solcher Beschluß vor dem l. Januar 1995 zu fassen ist.</w:t>
      </w:r>
    </w:p>
  </w:footnote>
  <w:footnote w:id="41">
    <w:p w:rsidR="00EA4ED8" w:rsidRDefault="00EA4ED8">
      <w:pPr>
        <w:pStyle w:val="Funotentext"/>
      </w:pPr>
      <w:r>
        <w:rPr>
          <w:rStyle w:val="Funotenzeichen"/>
        </w:rPr>
        <w:footnoteRef/>
      </w:r>
      <w:r>
        <w:t xml:space="preserve"> </w:t>
      </w:r>
      <w:r w:rsidRPr="00465F40">
        <w:rPr>
          <w:rFonts w:cs="Arial"/>
          <w:szCs w:val="16"/>
        </w:rPr>
        <w:t>Es ist gegenwärtig nicht möglich, Grenzwerte für diesen Sektor festzulegen. Der Rat wird diese Grenzwerte später auf Vorschlag der Kommission festlegen. In der Zwischenzeit wenden die Mitgliedstaaten gemäß Anhang I Teil A Nummer 3 einzelstaatliche Emiss</w:t>
      </w:r>
      <w:r w:rsidRPr="00465F40">
        <w:rPr>
          <w:rFonts w:cs="Arial"/>
          <w:szCs w:val="16"/>
        </w:rPr>
        <w:t>i</w:t>
      </w:r>
      <w:r w:rsidRPr="00465F40">
        <w:rPr>
          <w:rFonts w:cs="Arial"/>
          <w:szCs w:val="16"/>
        </w:rPr>
        <w:t>onsnormen an.</w:t>
      </w:r>
    </w:p>
  </w:footnote>
  <w:footnote w:id="42">
    <w:p w:rsidR="00EA4ED8" w:rsidRDefault="00EA4ED8">
      <w:pPr>
        <w:pStyle w:val="Funotentext"/>
      </w:pPr>
      <w:r>
        <w:rPr>
          <w:rStyle w:val="Funotenzeichen"/>
        </w:rPr>
        <w:footnoteRef/>
      </w:r>
      <w:r>
        <w:t xml:space="preserve"> </w:t>
      </w:r>
      <w:r w:rsidRPr="00840261">
        <w:rPr>
          <w:rFonts w:cs="Arial"/>
          <w:szCs w:val="16"/>
        </w:rPr>
        <w:t xml:space="preserve">Die Bestimmungsgrenze </w:t>
      </w:r>
      <w:proofErr w:type="spellStart"/>
      <w:r w:rsidRPr="00840261">
        <w:rPr>
          <w:rFonts w:cs="Arial"/>
          <w:szCs w:val="16"/>
        </w:rPr>
        <w:t>x</w:t>
      </w:r>
      <w:r w:rsidRPr="00840261">
        <w:rPr>
          <w:rFonts w:cs="Arial"/>
          <w:szCs w:val="16"/>
          <w:vertAlign w:val="subscript"/>
        </w:rPr>
        <w:t>g</w:t>
      </w:r>
      <w:proofErr w:type="spellEnd"/>
      <w:r w:rsidRPr="00840261">
        <w:rPr>
          <w:rFonts w:cs="Arial"/>
          <w:szCs w:val="16"/>
        </w:rPr>
        <w:t xml:space="preserve"> für einen Stoff ist definiert als die kleinste, nach einer gegebenen Arbeitsvorschrift in einer Probe quant</w:t>
      </w:r>
      <w:r w:rsidRPr="00840261">
        <w:rPr>
          <w:rFonts w:cs="Arial"/>
          <w:szCs w:val="16"/>
        </w:rPr>
        <w:t>i</w:t>
      </w:r>
      <w:r w:rsidRPr="00840261">
        <w:rPr>
          <w:rFonts w:cs="Arial"/>
          <w:szCs w:val="16"/>
        </w:rPr>
        <w:t>tativ bestimmbare Menge, die sich noch signifikant von Null unterscheidet.</w:t>
      </w:r>
    </w:p>
  </w:footnote>
  <w:footnote w:id="43">
    <w:p w:rsidR="00EA4ED8" w:rsidRDefault="00EA4ED8">
      <w:pPr>
        <w:pStyle w:val="Funotentext"/>
      </w:pPr>
      <w:r>
        <w:rPr>
          <w:rStyle w:val="Funotenzeichen"/>
        </w:rPr>
        <w:footnoteRef/>
      </w:r>
      <w:r>
        <w:t xml:space="preserve"> </w:t>
      </w:r>
      <w:r w:rsidRPr="00C914EA">
        <w:rPr>
          <w:rFonts w:cs="Arial"/>
          <w:szCs w:val="16"/>
        </w:rPr>
        <w:t>Für Chloroform gilt Artikel 3 der Richtlinie 76/464/EWG bei Ableitungen aufgrund von industriellen Herstellungsverfahren, die als solche erheblich zum Chloroformgehalt des Abwassers beitragen können; insbesondere gilt dies für die in Teil A dieses Anhangs g</w:t>
      </w:r>
      <w:r w:rsidRPr="00C914EA">
        <w:rPr>
          <w:rFonts w:cs="Arial"/>
          <w:szCs w:val="16"/>
        </w:rPr>
        <w:t>e</w:t>
      </w:r>
      <w:r w:rsidRPr="00C914EA">
        <w:rPr>
          <w:rFonts w:cs="Arial"/>
          <w:szCs w:val="16"/>
        </w:rPr>
        <w:t>nannten Verfahren. Artikel 5 der vorliegenden Richtlinie findet Anwendung, soweit andere als die in diesem Anhang erwähnten Quellen ermittelt werden.</w:t>
      </w:r>
    </w:p>
  </w:footnote>
  <w:footnote w:id="44">
    <w:p w:rsidR="00EA4ED8" w:rsidRDefault="00EA4ED8">
      <w:pPr>
        <w:pStyle w:val="Funotentext"/>
      </w:pPr>
      <w:r>
        <w:rPr>
          <w:rStyle w:val="Funotenzeichen"/>
        </w:rPr>
        <w:footnoteRef/>
      </w:r>
      <w:r>
        <w:t xml:space="preserve"> </w:t>
      </w:r>
      <w:r w:rsidRPr="008A2010">
        <w:rPr>
          <w:rFonts w:cs="Arial"/>
          <w:szCs w:val="16"/>
        </w:rPr>
        <w:t>Bei den in Anhang I Teil A Nummer 3 genannten Industriebetrieben erfolgt im Fall von Chloroform ein besonderer Hinweis auf Betri</w:t>
      </w:r>
      <w:r w:rsidRPr="008A2010">
        <w:rPr>
          <w:rFonts w:cs="Arial"/>
          <w:szCs w:val="16"/>
        </w:rPr>
        <w:t>e</w:t>
      </w:r>
      <w:r w:rsidRPr="008A2010">
        <w:rPr>
          <w:rFonts w:cs="Arial"/>
          <w:szCs w:val="16"/>
        </w:rPr>
        <w:t>be, die im Wege der Dichlorethanpyrolyse monomeres Vinylchlorid produzieren, die gebleichten Papierstoff herstellen, die CHCl</w:t>
      </w:r>
      <w:r w:rsidRPr="008A2010">
        <w:rPr>
          <w:rFonts w:cs="Arial"/>
          <w:szCs w:val="16"/>
          <w:vertAlign w:val="subscript"/>
        </w:rPr>
        <w:t>3</w:t>
      </w:r>
      <w:r w:rsidRPr="008A2010">
        <w:rPr>
          <w:rFonts w:cs="Arial"/>
          <w:szCs w:val="16"/>
        </w:rPr>
        <w:t xml:space="preserve"> als Lösungsmittel verwenden, sowie auf Betriebe, in denen Kühlwasser oder andere Abwässer chloriert werden. Der Rat wird zu einem späteren Zeitpunkt auf Vorschlag der Kommission Grenzwerte für diese Sektoren festlegen.</w:t>
      </w:r>
    </w:p>
  </w:footnote>
  <w:footnote w:id="45">
    <w:p w:rsidR="00EA4ED8" w:rsidRDefault="00EA4ED8">
      <w:pPr>
        <w:pStyle w:val="Funotentext"/>
      </w:pPr>
      <w:r>
        <w:rPr>
          <w:rStyle w:val="Funotenzeichen"/>
        </w:rPr>
        <w:footnoteRef/>
      </w:r>
      <w:r>
        <w:t xml:space="preserve"> </w:t>
      </w:r>
      <w:r w:rsidRPr="008A2010">
        <w:rPr>
          <w:rFonts w:cs="Arial"/>
          <w:szCs w:val="16"/>
        </w:rPr>
        <w:t>Ein vereinfachtes Überwachungsverfahren kann eingerichtet werden, wenn die Ableitungen pro Jahr 30 kg nicht übersteigen.</w:t>
      </w:r>
    </w:p>
  </w:footnote>
  <w:footnote w:id="46">
    <w:p w:rsidR="00EA4ED8" w:rsidRDefault="00EA4ED8">
      <w:pPr>
        <w:pStyle w:val="Funotentext"/>
      </w:pPr>
      <w:r>
        <w:rPr>
          <w:rStyle w:val="Funotenzeichen"/>
        </w:rPr>
        <w:footnoteRef/>
      </w:r>
      <w:r>
        <w:t xml:space="preserve"> </w:t>
      </w:r>
      <w:r w:rsidRPr="008A2010">
        <w:rPr>
          <w:rFonts w:cs="Arial"/>
          <w:szCs w:val="16"/>
        </w:rPr>
        <w:t>Die Grenzwerte der Tagesmittel sind doppelt so hoch wie die monatlichen Mittelwerte.</w:t>
      </w:r>
    </w:p>
  </w:footnote>
  <w:footnote w:id="47">
    <w:p w:rsidR="00EA4ED8" w:rsidRDefault="00EA4ED8">
      <w:pPr>
        <w:pStyle w:val="Funotentext"/>
      </w:pPr>
      <w:r>
        <w:rPr>
          <w:rStyle w:val="Funotenzeichen"/>
        </w:rPr>
        <w:footnoteRef/>
      </w:r>
      <w:r>
        <w:t xml:space="preserve"> In Anbetracht der Flüchtigkeit des Chloroforms und zur Sicherstellung der Einhaltung von Artikel 3 Absatz 6 in Fällen, in denen Ve</w:t>
      </w:r>
      <w:r>
        <w:t>r</w:t>
      </w:r>
      <w:r>
        <w:t>fahren angewandt werden, bei denen die chloroformhaltigen Abwässer einer starken Bewegung an frischer Luft ausgesetzt sind, schreiben die Mitgliedstaaten vor, dass die Grenzwerte vor dem Eintritt der Abwässer in die betreffenden Anlagen eingehalten werden; sie stellen sicher, dass das gesamte Wasser, das verunreinigt sein könnte, wirklich erfasst wird.</w:t>
      </w:r>
    </w:p>
  </w:footnote>
  <w:footnote w:id="48">
    <w:p w:rsidR="00EA4ED8" w:rsidRDefault="00EA4ED8">
      <w:pPr>
        <w:pStyle w:val="Funotentext"/>
      </w:pPr>
      <w:r>
        <w:rPr>
          <w:rStyle w:val="Funotenzeichen"/>
        </w:rPr>
        <w:footnoteRef/>
      </w:r>
      <w:r>
        <w:t xml:space="preserve"> </w:t>
      </w:r>
      <w:r w:rsidRPr="008A2010">
        <w:rPr>
          <w:rFonts w:cs="Arial"/>
          <w:szCs w:val="16"/>
        </w:rPr>
        <w:t>also durch Methanol-Hydrochlorierung und anschließende Chlorierung des Methylchlorids.</w:t>
      </w:r>
    </w:p>
  </w:footnote>
  <w:footnote w:id="49">
    <w:p w:rsidR="00EA4ED8" w:rsidRDefault="00EA4ED8">
      <w:pPr>
        <w:pStyle w:val="Funotentext"/>
      </w:pPr>
      <w:r>
        <w:rPr>
          <w:rStyle w:val="Funotenzeichen"/>
        </w:rPr>
        <w:footnoteRef/>
      </w:r>
      <w:r>
        <w:t xml:space="preserve"> </w:t>
      </w:r>
      <w:r w:rsidRPr="00533469">
        <w:rPr>
          <w:rFonts w:cs="Arial"/>
          <w:szCs w:val="16"/>
        </w:rPr>
        <w:t>Es ist gegenwärtig nicht möglich, Grenzwerte für diesen Sektor festzulegen. Der Rat wird diese Grenzwerte später auf Vorschlag der Kommission festlegen. In der Zwischenzeit wenden die Mitgliedstaaten gemäß Anhang I Teil A Nummer 3 einzelstaatliche Emiss</w:t>
      </w:r>
      <w:r w:rsidRPr="00533469">
        <w:rPr>
          <w:rFonts w:cs="Arial"/>
          <w:szCs w:val="16"/>
        </w:rPr>
        <w:t>i</w:t>
      </w:r>
      <w:r w:rsidRPr="00533469">
        <w:rPr>
          <w:rFonts w:cs="Arial"/>
          <w:szCs w:val="16"/>
        </w:rPr>
        <w:t>onsnormen an.</w:t>
      </w:r>
    </w:p>
  </w:footnote>
  <w:footnote w:id="50">
    <w:p w:rsidR="00EA4ED8" w:rsidRDefault="00EA4ED8">
      <w:pPr>
        <w:pStyle w:val="Funotentext"/>
      </w:pPr>
      <w:r>
        <w:rPr>
          <w:rStyle w:val="Funotenzeichen"/>
        </w:rPr>
        <w:footnoteRef/>
      </w:r>
      <w:r>
        <w:t xml:space="preserve"> </w:t>
      </w:r>
      <w:r w:rsidRPr="00275934">
        <w:rPr>
          <w:rFonts w:cs="Arial"/>
          <w:szCs w:val="16"/>
        </w:rPr>
        <w:t xml:space="preserve">Die Bestimmungsgrenze </w:t>
      </w:r>
      <w:proofErr w:type="spellStart"/>
      <w:r w:rsidRPr="00275934">
        <w:rPr>
          <w:rFonts w:cs="Arial"/>
          <w:szCs w:val="16"/>
        </w:rPr>
        <w:t>x</w:t>
      </w:r>
      <w:r w:rsidRPr="00275934">
        <w:rPr>
          <w:rFonts w:cs="Arial"/>
          <w:szCs w:val="16"/>
          <w:vertAlign w:val="subscript"/>
        </w:rPr>
        <w:t>g</w:t>
      </w:r>
      <w:proofErr w:type="spellEnd"/>
      <w:r w:rsidRPr="00275934">
        <w:rPr>
          <w:rFonts w:cs="Arial"/>
          <w:szCs w:val="16"/>
        </w:rPr>
        <w:t xml:space="preserve"> für einen Stoff ist definiert als die kleinste, nach einer gegebenen Arbeitsvorschrift in einer Probe quant</w:t>
      </w:r>
      <w:r w:rsidRPr="00275934">
        <w:rPr>
          <w:rFonts w:cs="Arial"/>
          <w:szCs w:val="16"/>
        </w:rPr>
        <w:t>i</w:t>
      </w:r>
      <w:r w:rsidRPr="00275934">
        <w:rPr>
          <w:rFonts w:cs="Arial"/>
          <w:szCs w:val="16"/>
        </w:rPr>
        <w:t>tativ bestimmbare Menge, die sich noch signifikant von Null unterscheidet.</w:t>
      </w:r>
    </w:p>
  </w:footnote>
  <w:footnote w:id="51">
    <w:p w:rsidR="00EA4ED8" w:rsidRDefault="00EA4ED8">
      <w:pPr>
        <w:pStyle w:val="Funotentext"/>
      </w:pPr>
      <w:r>
        <w:rPr>
          <w:rStyle w:val="Funotenzeichen"/>
        </w:rPr>
        <w:footnoteRef/>
      </w:r>
      <w:r>
        <w:t xml:space="preserve"> </w:t>
      </w:r>
      <w:r w:rsidRPr="00275934">
        <w:rPr>
          <w:rFonts w:cs="Arial"/>
          <w:szCs w:val="16"/>
        </w:rPr>
        <w:t xml:space="preserve">Artikel 5 der Richtlinie 86/280/EWG gilt insbesondere für die Verwendung von EDC als Lösemittel außerhalb des Betriebsgeländes einer Produktions- bzw. Verarbeitungsanlage, falls die Ableitungen unter 30 kg/Jahr liegen. Ableitungen von solch geringem Umfang können von den Anforderungen des Artikels 3 der Richtlinie 76/464/EWG ausgenommen werden. Abweichend von Artikel 5 Absatz 3 der Richtlinie 86/280/EWG setzen die Mitgliedstaaten ihre spezifischen Programme spätestens zum </w:t>
      </w:r>
      <w:smartTag w:uri="urn:schemas-microsoft-com:office:smarttags" w:element="date">
        <w:smartTagPr>
          <w:attr w:name="Year" w:val="1993"/>
          <w:attr w:name="Day" w:val="1"/>
          <w:attr w:name="Month" w:val="1"/>
          <w:attr w:name="ls" w:val="trans"/>
        </w:smartTagPr>
        <w:r w:rsidRPr="00275934">
          <w:rPr>
            <w:rFonts w:cs="Arial"/>
            <w:szCs w:val="16"/>
          </w:rPr>
          <w:t>1. Januar 1993</w:t>
        </w:r>
      </w:smartTag>
      <w:r w:rsidRPr="00275934">
        <w:rPr>
          <w:rFonts w:cs="Arial"/>
          <w:szCs w:val="16"/>
        </w:rPr>
        <w:t xml:space="preserve"> in Kraft. Sie setzen zugleich die Kommission davon in Kenntnis.</w:t>
      </w:r>
    </w:p>
  </w:footnote>
  <w:footnote w:id="52">
    <w:p w:rsidR="00EA4ED8" w:rsidRDefault="00EA4ED8">
      <w:pPr>
        <w:pStyle w:val="Funotentext"/>
      </w:pPr>
      <w:r>
        <w:rPr>
          <w:rStyle w:val="Funotenzeichen"/>
        </w:rPr>
        <w:footnoteRef/>
      </w:r>
      <w:r>
        <w:t xml:space="preserve"> </w:t>
      </w:r>
      <w:r w:rsidRPr="00275934">
        <w:rPr>
          <w:rFonts w:cs="Arial"/>
          <w:szCs w:val="16"/>
        </w:rPr>
        <w:t>In Anbetracht der Flüchtigkeit von EDC und im Hinblick auf die Einhaltung von Artikel 3 Absatz 6 der Richtlinie 86/280/EWG in Fällen, in denen Verfahren angewandt werden, bei denen die EDC-haltigen Abwässer einer starken Bewegung an frischer Luft ausgesetzt sind, schreiben die Mitgliedstaaten vor, daß die Grenzwerte vor dem Eintritt der Abwässer in die betreffenden Anlagen eingehalten werden; sie stellen sicher, daß das gesamte Wasser, das verunreinigt sein könnte, wirklich erfaßt wird.</w:t>
      </w:r>
    </w:p>
  </w:footnote>
  <w:footnote w:id="53">
    <w:p w:rsidR="00EA4ED8" w:rsidRDefault="00EA4ED8">
      <w:pPr>
        <w:pStyle w:val="Funotentext"/>
      </w:pPr>
      <w:r>
        <w:rPr>
          <w:rStyle w:val="Funotenzeichen"/>
        </w:rPr>
        <w:footnoteRef/>
      </w:r>
      <w:r>
        <w:t xml:space="preserve"> </w:t>
      </w:r>
      <w:r w:rsidRPr="00275934">
        <w:rPr>
          <w:rFonts w:cs="Arial"/>
          <w:szCs w:val="16"/>
        </w:rPr>
        <w:t>Die Produktionskapazität für gereinigtes EDC wurde unter Berücksichtigung des EDC-Anteils veranschlagt, der in der mit der EDC-Produktionseinheit gekoppelten Vinylchlorid (VC)-Einheit nicht gekrackt und in der EDC-Reinigungsanlage in den Produktionskreis zurückgeführt wird. Die Produktions- bzw. Verarbeitungskapazität entspricht der amtlich genehmigten Kapazität oder, sofern eine G</w:t>
      </w:r>
      <w:r w:rsidRPr="00275934">
        <w:rPr>
          <w:rFonts w:cs="Arial"/>
          <w:szCs w:val="16"/>
        </w:rPr>
        <w:t>e</w:t>
      </w:r>
      <w:r w:rsidRPr="00275934">
        <w:rPr>
          <w:rFonts w:cs="Arial"/>
          <w:szCs w:val="16"/>
        </w:rPr>
        <w:t>nehmigung nicht vorliegt, der in den vier Jahren vor deren Erteilung oder Überprüfung jährlich maximal produzierten bzw. verarbeiteten Menge. Die amtlich genehmigte Kapazität sollte von der tatsächlichen Produktion nicht wesentlich abweichen.</w:t>
      </w:r>
    </w:p>
  </w:footnote>
  <w:footnote w:id="54">
    <w:p w:rsidR="00EA4ED8" w:rsidRDefault="00EA4ED8">
      <w:pPr>
        <w:pStyle w:val="Funotentext"/>
      </w:pPr>
      <w:r>
        <w:rPr>
          <w:rStyle w:val="Funotenzeichen"/>
        </w:rPr>
        <w:footnoteRef/>
      </w:r>
      <w:r>
        <w:t xml:space="preserve"> </w:t>
      </w:r>
      <w:r w:rsidRPr="006B25EC">
        <w:rPr>
          <w:rFonts w:cs="Arial"/>
          <w:szCs w:val="16"/>
        </w:rPr>
        <w:t>Ein vereinfachtes Kontrollverfahren kann eingerichtet werden, wenn die jährlichen Ableitungen 30 kg/Jahr nicht überschreiten.</w:t>
      </w:r>
    </w:p>
  </w:footnote>
  <w:footnote w:id="55">
    <w:p w:rsidR="00EA4ED8" w:rsidRPr="006B25EC" w:rsidRDefault="00EA4ED8" w:rsidP="006E2DB0">
      <w:pPr>
        <w:pStyle w:val="GesAbsatz"/>
        <w:spacing w:before="0" w:after="0"/>
        <w:rPr>
          <w:rFonts w:cs="Arial"/>
          <w:sz w:val="16"/>
          <w:szCs w:val="16"/>
        </w:rPr>
      </w:pPr>
      <w:r>
        <w:rPr>
          <w:rStyle w:val="Funotenzeichen"/>
        </w:rPr>
        <w:footnoteRef/>
      </w:r>
      <w:r>
        <w:t xml:space="preserve"> </w:t>
      </w:r>
      <w:r w:rsidRPr="006B25EC">
        <w:rPr>
          <w:rFonts w:cs="Arial"/>
          <w:sz w:val="16"/>
          <w:szCs w:val="16"/>
        </w:rPr>
        <w:t>Die Grenzwerte werden im Verhältnis zu folgenden Referenzwerten angegeben :</w:t>
      </w:r>
    </w:p>
    <w:p w:rsidR="00EA4ED8" w:rsidRPr="006B25EC" w:rsidRDefault="00EA4ED8" w:rsidP="006E2DB0">
      <w:pPr>
        <w:pStyle w:val="GesAbsatz"/>
        <w:spacing w:before="0" w:after="0"/>
        <w:rPr>
          <w:rFonts w:cs="Arial"/>
          <w:sz w:val="16"/>
          <w:szCs w:val="16"/>
        </w:rPr>
      </w:pPr>
      <w:r w:rsidRPr="006B25EC">
        <w:rPr>
          <w:rFonts w:cs="Arial"/>
          <w:sz w:val="16"/>
          <w:szCs w:val="16"/>
        </w:rPr>
        <w:t>- unter den Buchstaben a) und b) im Verhältnis zur Produktionskapazität von gereinigtem EDC (in Tonnen),</w:t>
      </w:r>
    </w:p>
    <w:p w:rsidR="00EA4ED8" w:rsidRPr="006B25EC" w:rsidRDefault="00EA4ED8" w:rsidP="006E2DB0">
      <w:pPr>
        <w:pStyle w:val="GesAbsatz"/>
        <w:spacing w:before="0" w:after="0"/>
        <w:rPr>
          <w:rFonts w:cs="Arial"/>
          <w:sz w:val="16"/>
          <w:szCs w:val="16"/>
        </w:rPr>
      </w:pPr>
      <w:r w:rsidRPr="006B25EC">
        <w:rPr>
          <w:rFonts w:cs="Arial"/>
          <w:sz w:val="16"/>
          <w:szCs w:val="16"/>
        </w:rPr>
        <w:t>- unter Buchstabe c) im Verhältnis zur Verarbeitungskapazität von EDC (in Tonnen).</w:t>
      </w:r>
    </w:p>
    <w:p w:rsidR="00EA4ED8" w:rsidRDefault="00EA4ED8" w:rsidP="006E2DB0">
      <w:pPr>
        <w:pStyle w:val="Funotentext"/>
      </w:pPr>
      <w:r w:rsidRPr="006B25EC">
        <w:rPr>
          <w:rFonts w:cs="Arial"/>
          <w:szCs w:val="16"/>
        </w:rPr>
        <w:t>Übersteigt jedoch im Falle des Sektors b) die Verarbeitungs- und Verwendungskapazität die Produktionskapazität, so gelten die Gren</w:t>
      </w:r>
      <w:r w:rsidRPr="006B25EC">
        <w:rPr>
          <w:rFonts w:cs="Arial"/>
          <w:szCs w:val="16"/>
        </w:rPr>
        <w:t>z</w:t>
      </w:r>
      <w:r w:rsidRPr="006B25EC">
        <w:rPr>
          <w:rFonts w:cs="Arial"/>
          <w:szCs w:val="16"/>
        </w:rPr>
        <w:t>werte bezogen auf die Verarbeitungs- und Verwendungskapazität insgesamt. Befinden sich mehrere Betriebe auf demselben Werksg</w:t>
      </w:r>
      <w:r w:rsidRPr="006B25EC">
        <w:rPr>
          <w:rFonts w:cs="Arial"/>
          <w:szCs w:val="16"/>
        </w:rPr>
        <w:t>e</w:t>
      </w:r>
      <w:r w:rsidRPr="006B25EC">
        <w:rPr>
          <w:rFonts w:cs="Arial"/>
          <w:szCs w:val="16"/>
        </w:rPr>
        <w:t>lände, so gelten die Grenzwerte für die Betriebe insgesamt.</w:t>
      </w:r>
    </w:p>
  </w:footnote>
  <w:footnote w:id="56">
    <w:p w:rsidR="00EA4ED8" w:rsidRPr="006B25EC" w:rsidRDefault="00EA4ED8" w:rsidP="006E2DB0">
      <w:pPr>
        <w:pStyle w:val="GesAbsatz"/>
        <w:spacing w:before="0" w:after="0"/>
        <w:rPr>
          <w:rFonts w:cs="Arial"/>
          <w:sz w:val="16"/>
          <w:szCs w:val="16"/>
        </w:rPr>
      </w:pPr>
      <w:r>
        <w:rPr>
          <w:rStyle w:val="Funotenzeichen"/>
        </w:rPr>
        <w:footnoteRef/>
      </w:r>
      <w:r>
        <w:t xml:space="preserve"> </w:t>
      </w:r>
      <w:r w:rsidRPr="006B25EC">
        <w:rPr>
          <w:rFonts w:cs="Arial"/>
          <w:sz w:val="16"/>
          <w:szCs w:val="16"/>
        </w:rPr>
        <w:t>Unbeschadet der Bestimmungen in Anhang 1 Teil A Nummer 4 werden die Konzentrationsgrenzwerte im Verhältnis zu folgendem Referenzvolumen angegeben:</w:t>
      </w:r>
    </w:p>
    <w:p w:rsidR="00EA4ED8" w:rsidRPr="006B25EC" w:rsidRDefault="00EA4ED8" w:rsidP="006E2DB0">
      <w:pPr>
        <w:pStyle w:val="GesAbsatz"/>
        <w:spacing w:before="0" w:after="0"/>
        <w:rPr>
          <w:rFonts w:cs="Arial"/>
          <w:sz w:val="16"/>
          <w:szCs w:val="16"/>
        </w:rPr>
      </w:pPr>
      <w:r w:rsidRPr="006B25EC">
        <w:rPr>
          <w:rFonts w:cs="Arial"/>
          <w:sz w:val="16"/>
          <w:szCs w:val="16"/>
        </w:rPr>
        <w:t>- unter Buchstabe a) im Verhältnis zur Produktionskapazität von 2 m³/t gereinigtes EDC,</w:t>
      </w:r>
    </w:p>
    <w:p w:rsidR="00EA4ED8" w:rsidRPr="006B25EC" w:rsidRDefault="00EA4ED8" w:rsidP="006E2DB0">
      <w:pPr>
        <w:pStyle w:val="GesAbsatz"/>
        <w:spacing w:before="0" w:after="0"/>
        <w:rPr>
          <w:rFonts w:cs="Arial"/>
          <w:sz w:val="16"/>
          <w:szCs w:val="16"/>
        </w:rPr>
      </w:pPr>
      <w:r w:rsidRPr="006B25EC">
        <w:rPr>
          <w:rFonts w:cs="Arial"/>
          <w:sz w:val="16"/>
          <w:szCs w:val="16"/>
        </w:rPr>
        <w:t>- unter Buchstabe b) im Verhältnis zur Produktionskapazität von 2,5 m³/t gereinigtes EDC,</w:t>
      </w:r>
    </w:p>
    <w:p w:rsidR="00EA4ED8" w:rsidRDefault="00EA4ED8" w:rsidP="006E2DB0">
      <w:pPr>
        <w:pStyle w:val="Funotentext"/>
      </w:pPr>
      <w:r w:rsidRPr="006B25EC">
        <w:rPr>
          <w:rFonts w:cs="Arial"/>
          <w:szCs w:val="16"/>
        </w:rPr>
        <w:t>- unter Buchstabe c) im Verhältnis zur Verarbeitungskapazität von 2,5 m³/t EDC</w:t>
      </w:r>
    </w:p>
  </w:footnote>
  <w:footnote w:id="57">
    <w:p w:rsidR="00EA4ED8" w:rsidRDefault="00EA4ED8">
      <w:pPr>
        <w:pStyle w:val="Funotentext"/>
      </w:pPr>
      <w:r>
        <w:rPr>
          <w:rStyle w:val="Funotenzeichen"/>
        </w:rPr>
        <w:footnoteRef/>
      </w:r>
      <w:r>
        <w:t xml:space="preserve"> </w:t>
      </w:r>
      <w:r w:rsidRPr="002226E1">
        <w:rPr>
          <w:rFonts w:cs="Arial"/>
          <w:szCs w:val="16"/>
        </w:rPr>
        <w:t>In den Grenzwerten sind alle internen diffusen Quellen und/oder die Verwendung von EDC als Lösemittel auf dem Gelände, auf dem die industrielle Produktion stattfindet, berücksichtigt; damit wird eine Verringerung der EDC-Ableitungen von mehr als 99 % sicherg</w:t>
      </w:r>
      <w:r w:rsidRPr="002226E1">
        <w:rPr>
          <w:rFonts w:cs="Arial"/>
          <w:szCs w:val="16"/>
        </w:rPr>
        <w:t>e</w:t>
      </w:r>
      <w:r w:rsidRPr="002226E1">
        <w:rPr>
          <w:rFonts w:cs="Arial"/>
          <w:szCs w:val="16"/>
        </w:rPr>
        <w:t>stellt. Allerdings kann, wenn die beste verfügbare Technologie eingesetzt wird und gleichzeitig keine internen diffusen Quellen vorha</w:t>
      </w:r>
      <w:r w:rsidRPr="002226E1">
        <w:rPr>
          <w:rFonts w:cs="Arial"/>
          <w:szCs w:val="16"/>
        </w:rPr>
        <w:t>n</w:t>
      </w:r>
      <w:r w:rsidRPr="002226E1">
        <w:rPr>
          <w:rFonts w:cs="Arial"/>
          <w:szCs w:val="16"/>
        </w:rPr>
        <w:t>den sind, eine Verringerung um mehr als 99,9 % erzielt werden. Aufgrund der Erfahrungen mit der Anwendung dieser Maßnahmen wird die Kommission dem Rat rechtzeitig Vorschläge für strengere Grenzwerte vorlegen, die ab 1998 anzuwenden sind.</w:t>
      </w:r>
    </w:p>
  </w:footnote>
  <w:footnote w:id="58">
    <w:p w:rsidR="00EA4ED8" w:rsidRPr="002226E1" w:rsidRDefault="00EA4ED8" w:rsidP="006E2DB0">
      <w:pPr>
        <w:pStyle w:val="GesAbsatz"/>
        <w:spacing w:before="0" w:after="0"/>
        <w:rPr>
          <w:rFonts w:cs="Arial"/>
          <w:sz w:val="16"/>
          <w:szCs w:val="16"/>
        </w:rPr>
      </w:pPr>
      <w:r>
        <w:rPr>
          <w:rStyle w:val="Funotenzeichen"/>
        </w:rPr>
        <w:footnoteRef/>
      </w:r>
      <w:r>
        <w:t xml:space="preserve"> </w:t>
      </w:r>
      <w:r w:rsidRPr="002226E1">
        <w:rPr>
          <w:rFonts w:cs="Arial"/>
          <w:sz w:val="16"/>
          <w:szCs w:val="16"/>
        </w:rPr>
        <w:t>Ist ein Mitgliedstaat der Ansicht, daß diese Grenzwerte bei einem Verfahren zur Produktion von EDC nach Ablauf der Frist am 1.</w:t>
      </w:r>
      <w:r>
        <w:rPr>
          <w:rFonts w:cs="Arial"/>
          <w:sz w:val="16"/>
          <w:szCs w:val="16"/>
        </w:rPr>
        <w:t> </w:t>
      </w:r>
      <w:r w:rsidRPr="002226E1">
        <w:rPr>
          <w:rFonts w:cs="Arial"/>
          <w:sz w:val="16"/>
          <w:szCs w:val="16"/>
        </w:rPr>
        <w:t>Januar 1993 nicht eingehalten werden können, weil diese Produktion einen Bestandteil bei der Herstellung anderer Chlorkohlenwa</w:t>
      </w:r>
      <w:r w:rsidRPr="002226E1">
        <w:rPr>
          <w:rFonts w:cs="Arial"/>
          <w:sz w:val="16"/>
          <w:szCs w:val="16"/>
        </w:rPr>
        <w:t>s</w:t>
      </w:r>
      <w:r w:rsidRPr="002226E1">
        <w:rPr>
          <w:rFonts w:cs="Arial"/>
          <w:sz w:val="16"/>
          <w:szCs w:val="16"/>
        </w:rPr>
        <w:t xml:space="preserve">serstoffe bildet, so setzt er die Kommission spätestens am </w:t>
      </w:r>
      <w:smartTag w:uri="urn:schemas-microsoft-com:office:smarttags" w:element="date">
        <w:smartTagPr>
          <w:attr w:name="Year" w:val="1991"/>
          <w:attr w:name="Day" w:val="1"/>
          <w:attr w:name="Month" w:val="1"/>
          <w:attr w:name="ls" w:val="trans"/>
        </w:smartTagPr>
        <w:r w:rsidRPr="002226E1">
          <w:rPr>
            <w:rFonts w:cs="Arial"/>
            <w:sz w:val="16"/>
            <w:szCs w:val="16"/>
          </w:rPr>
          <w:t>1. Januar 1991</w:t>
        </w:r>
      </w:smartTag>
      <w:r w:rsidRPr="002226E1">
        <w:rPr>
          <w:rFonts w:cs="Arial"/>
          <w:sz w:val="16"/>
          <w:szCs w:val="16"/>
        </w:rPr>
        <w:t xml:space="preserve"> davon in Kenntnis. Spätestens bis zum </w:t>
      </w:r>
      <w:smartTag w:uri="urn:schemas-microsoft-com:office:smarttags" w:element="date">
        <w:smartTagPr>
          <w:attr w:name="Year" w:val="1993"/>
          <w:attr w:name="Day" w:val="31"/>
          <w:attr w:name="Month" w:val="12"/>
          <w:attr w:name="ls" w:val="trans"/>
        </w:smartTagPr>
        <w:r w:rsidRPr="002226E1">
          <w:rPr>
            <w:rFonts w:cs="Arial"/>
            <w:sz w:val="16"/>
            <w:szCs w:val="16"/>
          </w:rPr>
          <w:t>31. Dezember 1993</w:t>
        </w:r>
      </w:smartTag>
      <w:r w:rsidRPr="002226E1">
        <w:rPr>
          <w:rFonts w:cs="Arial"/>
          <w:sz w:val="16"/>
          <w:szCs w:val="16"/>
        </w:rPr>
        <w:t xml:space="preserve"> wird der Kommission ein Programm zur Reduzierung der EDC-Ableitungen vorgelegt, das es ermöglicht, diese Grenzwerte ab </w:t>
      </w:r>
      <w:smartTag w:uri="urn:schemas-microsoft-com:office:smarttags" w:element="date">
        <w:smartTagPr>
          <w:attr w:name="Year" w:val="1997"/>
          <w:attr w:name="Day" w:val="1"/>
          <w:attr w:name="Month" w:val="1"/>
          <w:attr w:name="ls" w:val="trans"/>
        </w:smartTagPr>
        <w:r w:rsidRPr="002226E1">
          <w:rPr>
            <w:rFonts w:cs="Arial"/>
            <w:sz w:val="16"/>
            <w:szCs w:val="16"/>
          </w:rPr>
          <w:t>1. Jan</w:t>
        </w:r>
        <w:r w:rsidRPr="002226E1">
          <w:rPr>
            <w:rFonts w:cs="Arial"/>
            <w:sz w:val="16"/>
            <w:szCs w:val="16"/>
          </w:rPr>
          <w:t>u</w:t>
        </w:r>
        <w:r w:rsidRPr="002226E1">
          <w:rPr>
            <w:rFonts w:cs="Arial"/>
            <w:sz w:val="16"/>
            <w:szCs w:val="16"/>
          </w:rPr>
          <w:t>ar</w:t>
        </w:r>
        <w:r>
          <w:rPr>
            <w:rFonts w:cs="Arial"/>
            <w:sz w:val="16"/>
            <w:szCs w:val="16"/>
          </w:rPr>
          <w:t> </w:t>
        </w:r>
        <w:r w:rsidRPr="002226E1">
          <w:rPr>
            <w:rFonts w:cs="Arial"/>
            <w:sz w:val="16"/>
            <w:szCs w:val="16"/>
          </w:rPr>
          <w:t>1997</w:t>
        </w:r>
      </w:smartTag>
      <w:r w:rsidRPr="002226E1">
        <w:rPr>
          <w:rFonts w:cs="Arial"/>
          <w:sz w:val="16"/>
          <w:szCs w:val="16"/>
        </w:rPr>
        <w:t xml:space="preserve"> einzuhalten. In der Zwischenzeit muß ab dem </w:t>
      </w:r>
      <w:smartTag w:uri="urn:schemas-microsoft-com:office:smarttags" w:element="date">
        <w:smartTagPr>
          <w:attr w:name="Year" w:val="1993"/>
          <w:attr w:name="Day" w:val="1"/>
          <w:attr w:name="Month" w:val="1"/>
          <w:attr w:name="ls" w:val="trans"/>
        </w:smartTagPr>
        <w:r w:rsidRPr="002226E1">
          <w:rPr>
            <w:rFonts w:cs="Arial"/>
            <w:sz w:val="16"/>
            <w:szCs w:val="16"/>
          </w:rPr>
          <w:t>1. Januar 1993</w:t>
        </w:r>
      </w:smartTag>
      <w:r w:rsidRPr="002226E1">
        <w:rPr>
          <w:rFonts w:cs="Arial"/>
          <w:sz w:val="16"/>
          <w:szCs w:val="16"/>
        </w:rPr>
        <w:t xml:space="preserve"> folgender Grenzwert eingehalten werden:</w:t>
      </w:r>
    </w:p>
    <w:p w:rsidR="00EA4ED8" w:rsidRPr="002226E1" w:rsidRDefault="00EA4ED8" w:rsidP="006E2DB0">
      <w:pPr>
        <w:pStyle w:val="GesAbsatz"/>
        <w:spacing w:before="0" w:after="0"/>
        <w:rPr>
          <w:rFonts w:cs="Arial"/>
          <w:sz w:val="16"/>
          <w:szCs w:val="16"/>
        </w:rPr>
      </w:pPr>
      <w:r w:rsidRPr="002226E1">
        <w:rPr>
          <w:rFonts w:cs="Arial"/>
          <w:sz w:val="16"/>
          <w:szCs w:val="16"/>
        </w:rPr>
        <w:t>- 40 g EDC/t Produktionskapazität von gereinigtem EDC (im monatlichen und täglichen Mittel).</w:t>
      </w:r>
    </w:p>
    <w:p w:rsidR="00EA4ED8" w:rsidRDefault="00EA4ED8" w:rsidP="006E2DB0">
      <w:pPr>
        <w:pStyle w:val="Funotentext"/>
      </w:pPr>
      <w:r w:rsidRPr="002226E1">
        <w:rPr>
          <w:rFonts w:cs="Arial"/>
          <w:szCs w:val="16"/>
        </w:rPr>
        <w:t>Der Konzentrationsgrenzwert wird anhand der von dem (den) betreffenden Betrieb(en) abgeleiteten Wassermenge ermittelt.</w:t>
      </w:r>
    </w:p>
  </w:footnote>
  <w:footnote w:id="59">
    <w:p w:rsidR="00EA4ED8" w:rsidRDefault="00EA4ED8">
      <w:pPr>
        <w:pStyle w:val="Funotentext"/>
      </w:pPr>
      <w:r>
        <w:rPr>
          <w:rStyle w:val="Funotenzeichen"/>
        </w:rPr>
        <w:footnoteRef/>
      </w:r>
      <w:r>
        <w:t xml:space="preserve"> </w:t>
      </w:r>
      <w:r w:rsidRPr="00B32807">
        <w:rPr>
          <w:rFonts w:cs="Arial"/>
          <w:szCs w:val="16"/>
        </w:rPr>
        <w:t>Es handelt sich hierbei insbesondere um die Produktion von Ethylendiamin, Ethylenpolyamin, 1,1,1 Trichlorethan, Trichlorethen und Tetrachlorethen.</w:t>
      </w:r>
    </w:p>
  </w:footnote>
  <w:footnote w:id="60">
    <w:p w:rsidR="00EA4ED8" w:rsidRDefault="00EA4ED8">
      <w:pPr>
        <w:pStyle w:val="Funotentext"/>
      </w:pPr>
      <w:r>
        <w:rPr>
          <w:rStyle w:val="Funotenzeichen"/>
        </w:rPr>
        <w:footnoteRef/>
      </w:r>
      <w:r>
        <w:t xml:space="preserve"> </w:t>
      </w:r>
      <w:r w:rsidRPr="00C251DB">
        <w:rPr>
          <w:rFonts w:cs="Arial"/>
          <w:szCs w:val="16"/>
        </w:rPr>
        <w:t>Diese Grenzwerte gelten nur für Betriebe, deren Ableitungen 30 kg/Jahr überschreiten.</w:t>
      </w:r>
    </w:p>
  </w:footnote>
  <w:footnote w:id="61">
    <w:p w:rsidR="00EA4ED8" w:rsidRDefault="00EA4ED8">
      <w:pPr>
        <w:pStyle w:val="Funotentext"/>
      </w:pPr>
      <w:r>
        <w:rPr>
          <w:rStyle w:val="Funotenzeichen"/>
        </w:rPr>
        <w:footnoteRef/>
      </w:r>
      <w:r>
        <w:t xml:space="preserve"> </w:t>
      </w:r>
      <w:r w:rsidRPr="00C251DB">
        <w:rPr>
          <w:rFonts w:cs="Arial"/>
          <w:szCs w:val="16"/>
        </w:rPr>
        <w:t>Es ist gegenwärtig nicht möglich, Grenzwerte für diesen Sektor festzulegen. Der Rat wird diese Grenzwerte später auf Vorschlag der Kommission festlegen. In der Zwischenzeit wenden die Mitgliedstaaten gemäß Anhang I Teil A Nummer 3 einzelstaatliche Emiss</w:t>
      </w:r>
      <w:r w:rsidRPr="00C251DB">
        <w:rPr>
          <w:rFonts w:cs="Arial"/>
          <w:szCs w:val="16"/>
        </w:rPr>
        <w:t>i</w:t>
      </w:r>
      <w:r w:rsidRPr="00C251DB">
        <w:rPr>
          <w:rFonts w:cs="Arial"/>
          <w:szCs w:val="16"/>
        </w:rPr>
        <w:t>onsnormen an.</w:t>
      </w:r>
    </w:p>
  </w:footnote>
  <w:footnote w:id="62">
    <w:p w:rsidR="00EA4ED8" w:rsidRDefault="00EA4ED8">
      <w:pPr>
        <w:pStyle w:val="Funotentext"/>
      </w:pPr>
      <w:r>
        <w:rPr>
          <w:rStyle w:val="Funotenzeichen"/>
        </w:rPr>
        <w:footnoteRef/>
      </w:r>
      <w:r>
        <w:t xml:space="preserve"> </w:t>
      </w:r>
      <w:r w:rsidRPr="0071150D">
        <w:rPr>
          <w:rFonts w:cs="Arial"/>
          <w:szCs w:val="16"/>
        </w:rPr>
        <w:t>Artikel 5 der Richtlinie 86/280/EWG gilt insbesondere für die Verwendung von TRI als Lösemittel zur Trockenreinigung, zur Extraktion von Fetten und Aromen und, falls die Ableitungen unter 30 kg pro Jahr liegen, zum Entfetten von Metallen. Ableitungen von solch geri</w:t>
      </w:r>
      <w:r w:rsidRPr="0071150D">
        <w:rPr>
          <w:rFonts w:cs="Arial"/>
          <w:szCs w:val="16"/>
        </w:rPr>
        <w:t>n</w:t>
      </w:r>
      <w:r w:rsidRPr="0071150D">
        <w:rPr>
          <w:rFonts w:cs="Arial"/>
          <w:szCs w:val="16"/>
        </w:rPr>
        <w:t xml:space="preserve">gem Umfang können von den Anforderungen des Artikels 3 der Richtlinie 76/464/EWG ausgenommen werden. Abweichend von Artikel 5 Absatz 3 der Richtlinie 86/280/EWG setzen die Mitgliedstaaten ihre spezifischen Programme spätestens zum </w:t>
      </w:r>
      <w:smartTag w:uri="urn:schemas-microsoft-com:office:smarttags" w:element="date">
        <w:smartTagPr>
          <w:attr w:name="Year" w:val="1993"/>
          <w:attr w:name="Day" w:val="1"/>
          <w:attr w:name="Month" w:val="1"/>
          <w:attr w:name="ls" w:val="trans"/>
        </w:smartTagPr>
        <w:r w:rsidRPr="0071150D">
          <w:rPr>
            <w:rFonts w:cs="Arial"/>
            <w:szCs w:val="16"/>
          </w:rPr>
          <w:t>1. Januar 1993</w:t>
        </w:r>
      </w:smartTag>
      <w:r w:rsidRPr="0071150D">
        <w:rPr>
          <w:rFonts w:cs="Arial"/>
          <w:szCs w:val="16"/>
        </w:rPr>
        <w:t xml:space="preserve"> in Kraft. Sie setzen zugleich die Kommission davon in Kenntnis.</w:t>
      </w:r>
    </w:p>
  </w:footnote>
  <w:footnote w:id="63">
    <w:p w:rsidR="00EA4ED8" w:rsidRDefault="00EA4ED8">
      <w:pPr>
        <w:pStyle w:val="Funotentext"/>
      </w:pPr>
      <w:r>
        <w:rPr>
          <w:rStyle w:val="Funotenzeichen"/>
        </w:rPr>
        <w:footnoteRef/>
      </w:r>
      <w:r>
        <w:t xml:space="preserve"> </w:t>
      </w:r>
      <w:r w:rsidRPr="0071150D">
        <w:rPr>
          <w:rFonts w:cs="Arial"/>
          <w:szCs w:val="16"/>
        </w:rPr>
        <w:t>In Anbetracht der Flüchtigkeit von Trichlorethen und im Hinblick auf die Einhaltung von Artikel 3 Absatz 6 der Richtlinie 86/280/EWG in Fällen, in denen Verfahren angewandt werden, bei denen die trichlorethenhaltigen Abwässer einer starken Bewegung an frischer Luft ausgesetzt sind, schreiben die Mitgliedstaaten vor, daß die Grenzwerte vor dem Eintritt der Abwässer in die betreffenden Anlagen eingehalten werden; sie stellen sicher, daß das gesamte Wasser, das verunreinigt sein könnte, wirklich erfaßt wird.</w:t>
      </w:r>
    </w:p>
  </w:footnote>
  <w:footnote w:id="64">
    <w:p w:rsidR="00EA4ED8" w:rsidRDefault="00EA4ED8">
      <w:pPr>
        <w:pStyle w:val="Funotentext"/>
      </w:pPr>
      <w:r>
        <w:rPr>
          <w:rStyle w:val="Funotenzeichen"/>
        </w:rPr>
        <w:footnoteRef/>
      </w:r>
      <w:r>
        <w:t xml:space="preserve"> </w:t>
      </w:r>
      <w:r w:rsidRPr="0071150D">
        <w:rPr>
          <w:rFonts w:cs="Arial"/>
          <w:szCs w:val="16"/>
        </w:rPr>
        <w:t>Ein vereinfachtes Kontrollverfahren kann eingerichtet werden, wenn die Ableitungen 30 kg/Jahr nicht übersteigen.</w:t>
      </w:r>
    </w:p>
  </w:footnote>
  <w:footnote w:id="65">
    <w:p w:rsidR="00EA4ED8" w:rsidRDefault="00EA4ED8">
      <w:pPr>
        <w:pStyle w:val="Funotentext"/>
      </w:pPr>
      <w:r>
        <w:rPr>
          <w:rStyle w:val="Funotenzeichen"/>
        </w:rPr>
        <w:footnoteRef/>
      </w:r>
      <w:r>
        <w:t xml:space="preserve"> </w:t>
      </w:r>
      <w:r w:rsidRPr="0071150D">
        <w:rPr>
          <w:rFonts w:cs="Arial"/>
          <w:szCs w:val="16"/>
        </w:rPr>
        <w:t>Unter Buchstabe a) werden die Grenzwerte der TRI-Ableitung im Verhältnis zur gesamten Produktionskapazität von TRI + PER angegeben. Für bestehende Anlagen, in denen TRI durch Dehydrochlorierung von Tetrachlorethan erzeugt wird, entspricht die Produ</w:t>
      </w:r>
      <w:r w:rsidRPr="0071150D">
        <w:rPr>
          <w:rFonts w:cs="Arial"/>
          <w:szCs w:val="16"/>
        </w:rPr>
        <w:t>k</w:t>
      </w:r>
      <w:r w:rsidRPr="0071150D">
        <w:rPr>
          <w:rFonts w:cs="Arial"/>
          <w:szCs w:val="16"/>
        </w:rPr>
        <w:t>tionskapazität der Kapazität der TRI-PER-Produktion, wobei der Quotient der TRI-PER-Produktion ein Drittel beträgt. Die Produktions- bzw. Verarbeitungskapazität entspricht der amtlich genehmigten Kapazität oder, sofern eine Genehmigung nicht vorliegt, der in den vier Jahren vor deren Erteilung oder Überprüfung jährlich maximal produzierten bzw. verarbeiteten Menge. Die amtlich genehmigte Kapaz</w:t>
      </w:r>
      <w:r w:rsidRPr="0071150D">
        <w:rPr>
          <w:rFonts w:cs="Arial"/>
          <w:szCs w:val="16"/>
        </w:rPr>
        <w:t>i</w:t>
      </w:r>
      <w:r w:rsidRPr="0071150D">
        <w:rPr>
          <w:rFonts w:cs="Arial"/>
          <w:szCs w:val="16"/>
        </w:rPr>
        <w:t>tät sollte von der tatsächlichen Produktion nicht wesentlich abweichen.</w:t>
      </w:r>
    </w:p>
  </w:footnote>
  <w:footnote w:id="66">
    <w:p w:rsidR="00EA4ED8" w:rsidRPr="0071150D" w:rsidRDefault="00EA4ED8" w:rsidP="00F92316">
      <w:pPr>
        <w:pStyle w:val="GesAbsatz"/>
        <w:spacing w:before="0" w:after="0"/>
        <w:rPr>
          <w:rFonts w:cs="Arial"/>
          <w:sz w:val="16"/>
          <w:szCs w:val="16"/>
        </w:rPr>
      </w:pPr>
      <w:r>
        <w:rPr>
          <w:rStyle w:val="Funotenzeichen"/>
        </w:rPr>
        <w:footnoteRef/>
      </w:r>
      <w:r>
        <w:t xml:space="preserve"> </w:t>
      </w:r>
      <w:r w:rsidRPr="0071150D">
        <w:rPr>
          <w:rFonts w:cs="Arial"/>
          <w:sz w:val="16"/>
          <w:szCs w:val="16"/>
        </w:rPr>
        <w:t>Unbeschadet der Bestimmungen in Anhang I Teil A Nummer 4 werden die Konzentrationsgrenzwerte für TRI im Verhältnis zu fo</w:t>
      </w:r>
      <w:r w:rsidRPr="0071150D">
        <w:rPr>
          <w:rFonts w:cs="Arial"/>
          <w:sz w:val="16"/>
          <w:szCs w:val="16"/>
        </w:rPr>
        <w:t>l</w:t>
      </w:r>
      <w:r w:rsidRPr="0071150D">
        <w:rPr>
          <w:rFonts w:cs="Arial"/>
          <w:sz w:val="16"/>
          <w:szCs w:val="16"/>
        </w:rPr>
        <w:t>genden Referenzvolumen angegeben :</w:t>
      </w:r>
    </w:p>
    <w:p w:rsidR="00EA4ED8" w:rsidRDefault="00EA4ED8" w:rsidP="00F92316">
      <w:pPr>
        <w:pStyle w:val="Funotentext"/>
      </w:pPr>
      <w:r w:rsidRPr="0071150D">
        <w:rPr>
          <w:rFonts w:cs="Arial"/>
          <w:szCs w:val="16"/>
        </w:rPr>
        <w:t>- unter Buchstabe a) im Verhältnis zu 5 m</w:t>
      </w:r>
      <w:r>
        <w:rPr>
          <w:rFonts w:cs="Arial"/>
          <w:szCs w:val="16"/>
        </w:rPr>
        <w:t>³</w:t>
      </w:r>
      <w:r w:rsidRPr="0071150D">
        <w:rPr>
          <w:rFonts w:cs="Arial"/>
          <w:szCs w:val="16"/>
        </w:rPr>
        <w:t>/t produziertes TRI + PER.</w:t>
      </w:r>
    </w:p>
  </w:footnote>
  <w:footnote w:id="67">
    <w:p w:rsidR="00EA4ED8" w:rsidRDefault="00EA4ED8">
      <w:pPr>
        <w:pStyle w:val="Funotentext"/>
      </w:pPr>
      <w:r>
        <w:rPr>
          <w:rStyle w:val="Funotenzeichen"/>
        </w:rPr>
        <w:footnoteRef/>
      </w:r>
      <w:r>
        <w:t xml:space="preserve"> </w:t>
      </w:r>
      <w:r w:rsidRPr="0071150D">
        <w:rPr>
          <w:rFonts w:cs="Arial"/>
          <w:szCs w:val="16"/>
        </w:rPr>
        <w:t>Die Grenzwerte gelten nur für Industriebetriebe, deren Ableitungen pro Jahr 30 kg überschreiten.</w:t>
      </w:r>
    </w:p>
  </w:footnote>
  <w:footnote w:id="68">
    <w:p w:rsidR="00EA4ED8" w:rsidRDefault="00EA4ED8">
      <w:pPr>
        <w:pStyle w:val="Funotentext"/>
      </w:pPr>
      <w:r>
        <w:rPr>
          <w:rStyle w:val="Funotenzeichen"/>
        </w:rPr>
        <w:footnoteRef/>
      </w:r>
      <w:r>
        <w:t xml:space="preserve"> </w:t>
      </w:r>
      <w:r w:rsidRPr="006F7239">
        <w:rPr>
          <w:rFonts w:cs="Arial"/>
          <w:szCs w:val="16"/>
        </w:rPr>
        <w:t>Artikel 5 der Richtlinie 86/280/EWG gilt insbesondere für die Verwendung von PER als Lösemittel zur Trockenreinigung, zur Extrakt</w:t>
      </w:r>
      <w:r w:rsidRPr="006F7239">
        <w:rPr>
          <w:rFonts w:cs="Arial"/>
          <w:szCs w:val="16"/>
        </w:rPr>
        <w:t>i</w:t>
      </w:r>
      <w:r w:rsidRPr="006F7239">
        <w:rPr>
          <w:rFonts w:cs="Arial"/>
          <w:szCs w:val="16"/>
        </w:rPr>
        <w:t xml:space="preserve">on von Fetten und Aromen und, falls die Ableitungen unter 30 kg pro Jahr liegen, zum Entfetten von Metallen. Ableitungen von solch geringem Umfang können von den Anforderungen des Artikels 3 der Richtlinie 76/464/EWG ausgenommen werden. Abweichend von Artikel 5 Absatz 3 der Richtlinie 86/280/EWG setzen die Mitgliedstaaten ihre spezifischen Programme spätestens zum </w:t>
      </w:r>
      <w:smartTag w:uri="urn:schemas-microsoft-com:office:smarttags" w:element="date">
        <w:smartTagPr>
          <w:attr w:name="Year" w:val="1993"/>
          <w:attr w:name="Day" w:val="1"/>
          <w:attr w:name="Month" w:val="1"/>
          <w:attr w:name="ls" w:val="trans"/>
        </w:smartTagPr>
        <w:r w:rsidRPr="006F7239">
          <w:rPr>
            <w:rFonts w:cs="Arial"/>
            <w:szCs w:val="16"/>
          </w:rPr>
          <w:t>1. Januar 1993</w:t>
        </w:r>
      </w:smartTag>
      <w:r w:rsidRPr="006F7239">
        <w:rPr>
          <w:rFonts w:cs="Arial"/>
          <w:szCs w:val="16"/>
        </w:rPr>
        <w:t xml:space="preserve"> in Kraft. Sie setzen zugleich die Kommission davon in Kenntnis.</w:t>
      </w:r>
    </w:p>
  </w:footnote>
  <w:footnote w:id="69">
    <w:p w:rsidR="00EA4ED8" w:rsidRDefault="00EA4ED8">
      <w:pPr>
        <w:pStyle w:val="Funotentext"/>
      </w:pPr>
      <w:r>
        <w:rPr>
          <w:rStyle w:val="Funotenzeichen"/>
        </w:rPr>
        <w:footnoteRef/>
      </w:r>
      <w:r>
        <w:t xml:space="preserve"> </w:t>
      </w:r>
      <w:r w:rsidRPr="006F7239">
        <w:rPr>
          <w:rFonts w:cs="Arial"/>
          <w:szCs w:val="16"/>
        </w:rPr>
        <w:t>In Anbetracht der Flüchtigkeit von Tetrachlorethen und im Hinblick auf die Einhaltung von Artikel 3 Absatz 6 der Richtlinie 86/280/EWG in Fällen, in denen Verfahren angewandt werden, bei denen die tetrachlorethenhaltigen Abwässer einer starken Bew</w:t>
      </w:r>
      <w:r w:rsidRPr="006F7239">
        <w:rPr>
          <w:rFonts w:cs="Arial"/>
          <w:szCs w:val="16"/>
        </w:rPr>
        <w:t>e</w:t>
      </w:r>
      <w:r w:rsidRPr="006F7239">
        <w:rPr>
          <w:rFonts w:cs="Arial"/>
          <w:szCs w:val="16"/>
        </w:rPr>
        <w:t>gung an frischer Luft ausgesetzt sind, schreiben die Mitgliedstaaten vor, daß die Grenzwerte vor dem Eintritt der Abwässer in die betre</w:t>
      </w:r>
      <w:r w:rsidRPr="006F7239">
        <w:rPr>
          <w:rFonts w:cs="Arial"/>
          <w:szCs w:val="16"/>
        </w:rPr>
        <w:t>f</w:t>
      </w:r>
      <w:r w:rsidRPr="006F7239">
        <w:rPr>
          <w:rFonts w:cs="Arial"/>
          <w:szCs w:val="16"/>
        </w:rPr>
        <w:t>fenden Anlagen eingehalten werden; sie stellen sicher, daß das gesamte Wasser, das verunreinigt sein könnte, wirklich erfaßt wird.</w:t>
      </w:r>
    </w:p>
  </w:footnote>
  <w:footnote w:id="70">
    <w:p w:rsidR="00EA4ED8" w:rsidRDefault="00EA4ED8">
      <w:pPr>
        <w:pStyle w:val="Funotentext"/>
      </w:pPr>
      <w:r>
        <w:rPr>
          <w:rStyle w:val="Funotenzeichen"/>
        </w:rPr>
        <w:footnoteRef/>
      </w:r>
      <w:r>
        <w:t xml:space="preserve"> </w:t>
      </w:r>
      <w:r w:rsidRPr="006F7239">
        <w:rPr>
          <w:rFonts w:cs="Arial"/>
          <w:szCs w:val="16"/>
        </w:rPr>
        <w:t>Ein vereinfachtes Kontrollverfahren kann eingerichtet werden, wenn die Ableitungen 30 kg/Jahr nicht übersteigen.</w:t>
      </w:r>
    </w:p>
  </w:footnote>
  <w:footnote w:id="71">
    <w:p w:rsidR="00EA4ED8" w:rsidRDefault="00EA4ED8">
      <w:pPr>
        <w:pStyle w:val="Funotentext"/>
      </w:pPr>
      <w:r>
        <w:rPr>
          <w:rStyle w:val="Funotenzeichen"/>
        </w:rPr>
        <w:footnoteRef/>
      </w:r>
      <w:r>
        <w:t xml:space="preserve"> </w:t>
      </w:r>
      <w:r w:rsidRPr="006F7239">
        <w:rPr>
          <w:rFonts w:cs="Arial"/>
          <w:szCs w:val="16"/>
        </w:rPr>
        <w:t>Unter den Buchstaben a) und b) werden die Grenzwerte der PER-Ableitung im Verhältnis zur gesamten Produktionskapazität von TRI + PER bzw. im Verhältnis zur gesamten Produktionskapazität von TETRA + PER angegeben. Die Produktions- bzw. Verarbe</w:t>
      </w:r>
      <w:r w:rsidRPr="006F7239">
        <w:rPr>
          <w:rFonts w:cs="Arial"/>
          <w:szCs w:val="16"/>
        </w:rPr>
        <w:t>i</w:t>
      </w:r>
      <w:r w:rsidRPr="006F7239">
        <w:rPr>
          <w:rFonts w:cs="Arial"/>
          <w:szCs w:val="16"/>
        </w:rPr>
        <w:t>tungskapazität entspricht der amtlich genehmigten Kapazität oder, sofern eine Genehmigung nicht vorliegt, der in den vier Jahren vor deren Erteilung oder Überprüfung jährlich maximal produzierten bzw. verarbeiteten Menge. Die amtlich genehmigte Kapazität sollte von der tatsächlichen Produktion nicht wesentlich abweichen.</w:t>
      </w:r>
    </w:p>
  </w:footnote>
  <w:footnote w:id="72">
    <w:p w:rsidR="00EA4ED8" w:rsidRPr="006F7239" w:rsidRDefault="00EA4ED8" w:rsidP="00700A77">
      <w:pPr>
        <w:pStyle w:val="GesAbsatz"/>
        <w:spacing w:before="0" w:after="0"/>
        <w:rPr>
          <w:rFonts w:cs="Arial"/>
          <w:sz w:val="16"/>
          <w:szCs w:val="16"/>
        </w:rPr>
      </w:pPr>
      <w:r>
        <w:rPr>
          <w:rStyle w:val="Funotenzeichen"/>
        </w:rPr>
        <w:footnoteRef/>
      </w:r>
      <w:r>
        <w:t xml:space="preserve"> </w:t>
      </w:r>
      <w:r w:rsidRPr="006F7239">
        <w:rPr>
          <w:rFonts w:cs="Arial"/>
          <w:sz w:val="16"/>
          <w:szCs w:val="16"/>
        </w:rPr>
        <w:t>Unbeschadet der Bestimmungen in Anhang I Teil A Nummer 4 werden die Konzentrationsgrenzwerte für PER im Verhältnis zu fo</w:t>
      </w:r>
      <w:r w:rsidRPr="006F7239">
        <w:rPr>
          <w:rFonts w:cs="Arial"/>
          <w:sz w:val="16"/>
          <w:szCs w:val="16"/>
        </w:rPr>
        <w:t>l</w:t>
      </w:r>
      <w:r w:rsidRPr="006F7239">
        <w:rPr>
          <w:rFonts w:cs="Arial"/>
          <w:sz w:val="16"/>
          <w:szCs w:val="16"/>
        </w:rPr>
        <w:t>genden Referenzvolumen angegeben:</w:t>
      </w:r>
    </w:p>
    <w:p w:rsidR="00EA4ED8" w:rsidRPr="006F7239" w:rsidRDefault="00EA4ED8" w:rsidP="00700A77">
      <w:pPr>
        <w:pStyle w:val="GesAbsatz"/>
        <w:spacing w:before="0" w:after="0"/>
        <w:rPr>
          <w:rFonts w:cs="Arial"/>
          <w:sz w:val="16"/>
          <w:szCs w:val="16"/>
        </w:rPr>
      </w:pPr>
      <w:r w:rsidRPr="006F7239">
        <w:rPr>
          <w:rFonts w:cs="Arial"/>
          <w:sz w:val="16"/>
          <w:szCs w:val="16"/>
        </w:rPr>
        <w:t>- unter Buchstabe a) im Verhältnis zu 5 m³/t produziertes TRI + PER,</w:t>
      </w:r>
    </w:p>
    <w:p w:rsidR="00EA4ED8" w:rsidRDefault="00EA4ED8" w:rsidP="00700A77">
      <w:pPr>
        <w:pStyle w:val="Funotentext"/>
      </w:pPr>
      <w:r w:rsidRPr="006F7239">
        <w:rPr>
          <w:rFonts w:cs="Arial"/>
          <w:szCs w:val="16"/>
        </w:rPr>
        <w:t>- unter Buchstabe b) im Verhältnis zu 2 m³/t produziertes TETRA + PER.</w:t>
      </w:r>
    </w:p>
  </w:footnote>
  <w:footnote w:id="73">
    <w:p w:rsidR="00EA4ED8" w:rsidRDefault="00EA4ED8">
      <w:pPr>
        <w:pStyle w:val="Funotentext"/>
      </w:pPr>
      <w:r>
        <w:rPr>
          <w:rStyle w:val="Funotenzeichen"/>
        </w:rPr>
        <w:footnoteRef/>
      </w:r>
      <w:r>
        <w:t xml:space="preserve"> </w:t>
      </w:r>
      <w:r w:rsidRPr="00C16634">
        <w:rPr>
          <w:rFonts w:cs="Arial"/>
          <w:szCs w:val="16"/>
        </w:rPr>
        <w:t>Die Grenzwerte gelten nur für Industriebetriebe, deren Ableitungen pro Jahr 30 kg überschreiten.</w:t>
      </w:r>
    </w:p>
  </w:footnote>
  <w:footnote w:id="74">
    <w:p w:rsidR="00EA4ED8" w:rsidRDefault="00EA4ED8">
      <w:pPr>
        <w:pStyle w:val="Funotentext"/>
      </w:pPr>
      <w:r>
        <w:rPr>
          <w:rStyle w:val="Funotenzeichen"/>
        </w:rPr>
        <w:footnoteRef/>
      </w:r>
      <w:r>
        <w:t xml:space="preserve"> </w:t>
      </w:r>
      <w:r w:rsidRPr="00C16634">
        <w:rPr>
          <w:rFonts w:cs="Arial"/>
          <w:szCs w:val="16"/>
        </w:rPr>
        <w:t>Es ist gegenwärtig nicht möglich, Grenzwerte für diesen Sektor festzulegen. Der Rat wird diese Grenzwerte später auf Vorschlag der Kommission festlegen. In der Zwischenzeit wenden die Mitgliedstaaten gemäß Anhang I Teil A Nummer 3 einzelstaatliche Emiss</w:t>
      </w:r>
      <w:r w:rsidRPr="00C16634">
        <w:rPr>
          <w:rFonts w:cs="Arial"/>
          <w:szCs w:val="16"/>
        </w:rPr>
        <w:t>i</w:t>
      </w:r>
      <w:r w:rsidRPr="00C16634">
        <w:rPr>
          <w:rFonts w:cs="Arial"/>
          <w:szCs w:val="16"/>
        </w:rPr>
        <w:t>onsnormen an.</w:t>
      </w:r>
    </w:p>
  </w:footnote>
  <w:footnote w:id="75">
    <w:p w:rsidR="00EA4ED8" w:rsidRDefault="00EA4ED8">
      <w:pPr>
        <w:pStyle w:val="Funotentext"/>
      </w:pPr>
      <w:r>
        <w:rPr>
          <w:rStyle w:val="Funotenzeichen"/>
        </w:rPr>
        <w:footnoteRef/>
      </w:r>
      <w:r>
        <w:t xml:space="preserve"> </w:t>
      </w:r>
      <w:r w:rsidRPr="005A5866">
        <w:rPr>
          <w:rFonts w:cs="Arial"/>
          <w:szCs w:val="16"/>
        </w:rPr>
        <w:t>Artikel 5 der Richtlinie 86/280/EWG gilt insbesondere für die Verwendung von TCB als Lösemittel bzw. Trägermaterial für Farbstoffe in der Textilindustrie oder als Bestandteil von Transformatorenölen, solange es hierzu keine spezifischen gemeinschaftlichen Recht</w:t>
      </w:r>
      <w:r w:rsidRPr="005A5866">
        <w:rPr>
          <w:rFonts w:cs="Arial"/>
          <w:szCs w:val="16"/>
        </w:rPr>
        <w:t>s</w:t>
      </w:r>
      <w:r w:rsidRPr="005A5866">
        <w:rPr>
          <w:rFonts w:cs="Arial"/>
          <w:szCs w:val="16"/>
        </w:rPr>
        <w:t xml:space="preserve">vorschriften gibt. Abweichend von Artikel 5 Absatz 3 setzen die Mitgliedstaaten ihre spezifischen Programme spätestens zum </w:t>
      </w:r>
      <w:smartTag w:uri="urn:schemas-microsoft-com:office:smarttags" w:element="date">
        <w:smartTagPr>
          <w:attr w:name="Year" w:val="1993"/>
          <w:attr w:name="Day" w:val="1"/>
          <w:attr w:name="Month" w:val="1"/>
          <w:attr w:name="ls" w:val="trans"/>
        </w:smartTagPr>
        <w:r w:rsidRPr="005A5866">
          <w:rPr>
            <w:rFonts w:cs="Arial"/>
            <w:szCs w:val="16"/>
          </w:rPr>
          <w:t>1. Januar 1993</w:t>
        </w:r>
      </w:smartTag>
      <w:r w:rsidRPr="005A5866">
        <w:rPr>
          <w:rFonts w:cs="Arial"/>
          <w:szCs w:val="16"/>
        </w:rPr>
        <w:t xml:space="preserve"> in Kraft. Sie setzen zugleich die Kommission davon in Kenntnis.</w:t>
      </w:r>
    </w:p>
  </w:footnote>
  <w:footnote w:id="76">
    <w:p w:rsidR="00EA4ED8" w:rsidRPr="005A5866" w:rsidRDefault="00EA4ED8" w:rsidP="00700A77">
      <w:pPr>
        <w:pStyle w:val="GesAbsatz"/>
        <w:spacing w:before="0" w:after="0"/>
        <w:rPr>
          <w:rFonts w:cs="Arial"/>
          <w:sz w:val="16"/>
          <w:szCs w:val="16"/>
        </w:rPr>
      </w:pPr>
      <w:r>
        <w:rPr>
          <w:rStyle w:val="Funotenzeichen"/>
        </w:rPr>
        <w:footnoteRef/>
      </w:r>
      <w:r>
        <w:t xml:space="preserve"> </w:t>
      </w:r>
      <w:r w:rsidRPr="005A5866">
        <w:rPr>
          <w:rFonts w:cs="Arial"/>
          <w:sz w:val="16"/>
          <w:szCs w:val="16"/>
        </w:rPr>
        <w:t>TCB kann als eines der folgenden drei Isomere auftreten:</w:t>
      </w:r>
    </w:p>
    <w:p w:rsidR="00EA4ED8" w:rsidRPr="005A5866" w:rsidRDefault="00EA4ED8" w:rsidP="00700A77">
      <w:pPr>
        <w:pStyle w:val="GesAbsatz"/>
        <w:spacing w:before="0" w:after="0"/>
        <w:rPr>
          <w:rFonts w:cs="Arial"/>
          <w:sz w:val="16"/>
          <w:szCs w:val="16"/>
          <w:lang w:val="fr-FR"/>
        </w:rPr>
      </w:pPr>
      <w:r w:rsidRPr="00744F76">
        <w:rPr>
          <w:rFonts w:cs="Arial"/>
          <w:sz w:val="16"/>
          <w:szCs w:val="16"/>
          <w:lang w:val="fr-FR"/>
        </w:rPr>
        <w:t>- 1,2,3-TCB - CAS 87/61-6,</w:t>
      </w:r>
    </w:p>
    <w:p w:rsidR="00EA4ED8" w:rsidRPr="005A5866" w:rsidRDefault="00EA4ED8" w:rsidP="00700A77">
      <w:pPr>
        <w:pStyle w:val="GesAbsatz"/>
        <w:spacing w:before="0" w:after="0"/>
        <w:rPr>
          <w:rFonts w:cs="Arial"/>
          <w:sz w:val="16"/>
          <w:szCs w:val="16"/>
          <w:lang w:val="fr-FR"/>
        </w:rPr>
      </w:pPr>
      <w:r w:rsidRPr="00744F76">
        <w:rPr>
          <w:rFonts w:cs="Arial"/>
          <w:sz w:val="16"/>
          <w:szCs w:val="16"/>
          <w:lang w:val="fr-FR"/>
        </w:rPr>
        <w:t>- 1,2,4-TCB - CAS 120-82-1 (Nr. 118 der EWG-Liste),</w:t>
      </w:r>
    </w:p>
    <w:p w:rsidR="00EA4ED8" w:rsidRPr="005A5866" w:rsidRDefault="00EA4ED8" w:rsidP="00700A77">
      <w:pPr>
        <w:pStyle w:val="GesAbsatz"/>
        <w:spacing w:before="0" w:after="0"/>
        <w:rPr>
          <w:rFonts w:cs="Arial"/>
          <w:sz w:val="16"/>
          <w:szCs w:val="16"/>
        </w:rPr>
      </w:pPr>
      <w:r w:rsidRPr="005A5866">
        <w:rPr>
          <w:rFonts w:cs="Arial"/>
          <w:sz w:val="16"/>
          <w:szCs w:val="16"/>
        </w:rPr>
        <w:t>- 1,3,5-TCB - CAS 180-70-3.</w:t>
      </w:r>
    </w:p>
    <w:p w:rsidR="00EA4ED8" w:rsidRDefault="00EA4ED8" w:rsidP="00700A77">
      <w:pPr>
        <w:pStyle w:val="Funotentext"/>
      </w:pPr>
      <w:r w:rsidRPr="005A5866">
        <w:rPr>
          <w:rFonts w:cs="Arial"/>
          <w:szCs w:val="16"/>
        </w:rPr>
        <w:t>Das technische TCB (Nr. 117 der EWG-Liste) ist ein Gemisch aus den drei Isomeren, von denen das 1,2,4-TCB vorherrscht. Es kann auch geringe Mengen Di- und Tetrachlorbenzol enthalten. Die vorliegenden Bestimmungen gelten jeweils für das gesamte TCB (Su</w:t>
      </w:r>
      <w:r w:rsidRPr="005A5866">
        <w:rPr>
          <w:rFonts w:cs="Arial"/>
          <w:szCs w:val="16"/>
        </w:rPr>
        <w:t>m</w:t>
      </w:r>
      <w:r w:rsidRPr="005A5866">
        <w:rPr>
          <w:rFonts w:cs="Arial"/>
          <w:szCs w:val="16"/>
        </w:rPr>
        <w:t>me der drei Isomere).</w:t>
      </w:r>
    </w:p>
  </w:footnote>
  <w:footnote w:id="77">
    <w:p w:rsidR="00EA4ED8" w:rsidRPr="005A5866" w:rsidRDefault="00EA4ED8" w:rsidP="00700A77">
      <w:pPr>
        <w:pStyle w:val="GesAbsatz"/>
        <w:spacing w:before="0" w:after="0"/>
        <w:rPr>
          <w:rFonts w:cs="Arial"/>
          <w:sz w:val="16"/>
          <w:szCs w:val="16"/>
        </w:rPr>
      </w:pPr>
      <w:r>
        <w:rPr>
          <w:rStyle w:val="Funotenzeichen"/>
        </w:rPr>
        <w:footnoteRef/>
      </w:r>
      <w:r>
        <w:t xml:space="preserve"> </w:t>
      </w:r>
      <w:r w:rsidRPr="005A5866">
        <w:rPr>
          <w:rFonts w:cs="Arial"/>
          <w:sz w:val="16"/>
          <w:szCs w:val="16"/>
        </w:rPr>
        <w:t>Die Grenzwerte für die TCB-Ableitung (Summe der 3 Isomere) werden wie folgt festgelegt:</w:t>
      </w:r>
    </w:p>
    <w:p w:rsidR="00EA4ED8" w:rsidRPr="005A5866" w:rsidRDefault="00EA4ED8" w:rsidP="00700A77">
      <w:pPr>
        <w:pStyle w:val="GesAbsatz"/>
        <w:spacing w:before="0" w:after="0"/>
        <w:rPr>
          <w:rFonts w:cs="Arial"/>
          <w:sz w:val="16"/>
          <w:szCs w:val="16"/>
        </w:rPr>
      </w:pPr>
      <w:r w:rsidRPr="005A5866">
        <w:rPr>
          <w:rFonts w:cs="Arial"/>
          <w:sz w:val="16"/>
          <w:szCs w:val="16"/>
        </w:rPr>
        <w:t>- Unter Buchstabe a) im Verhältnis zu der gesamten Produktionskapazität von TCB,</w:t>
      </w:r>
    </w:p>
    <w:p w:rsidR="00EA4ED8" w:rsidRPr="005A5866" w:rsidRDefault="00EA4ED8" w:rsidP="00700A77">
      <w:pPr>
        <w:pStyle w:val="GesAbsatz"/>
        <w:spacing w:before="0" w:after="0"/>
        <w:rPr>
          <w:rFonts w:cs="Arial"/>
          <w:sz w:val="16"/>
          <w:szCs w:val="16"/>
        </w:rPr>
      </w:pPr>
      <w:r w:rsidRPr="005A5866">
        <w:rPr>
          <w:rFonts w:cs="Arial"/>
          <w:sz w:val="16"/>
          <w:szCs w:val="16"/>
        </w:rPr>
        <w:t>- unter Buchstabe b) im Verhältnis zu der gesamten Produktions- oder Verarbeitungskapazität von Mono- und Dichlorbenzolen.</w:t>
      </w:r>
    </w:p>
    <w:p w:rsidR="00EA4ED8" w:rsidRDefault="00EA4ED8" w:rsidP="00700A77">
      <w:pPr>
        <w:pStyle w:val="Funotentext"/>
      </w:pPr>
      <w:r w:rsidRPr="005A5866">
        <w:rPr>
          <w:rFonts w:cs="Arial"/>
          <w:szCs w:val="16"/>
        </w:rPr>
        <w:t>Die Produktions- bzw. Verarbeitungskapazität entspricht der amtlich genehmigten Kapazität oder, sofern eine Genehmigung nicht vo</w:t>
      </w:r>
      <w:r w:rsidRPr="005A5866">
        <w:rPr>
          <w:rFonts w:cs="Arial"/>
          <w:szCs w:val="16"/>
        </w:rPr>
        <w:t>r</w:t>
      </w:r>
      <w:r w:rsidRPr="005A5866">
        <w:rPr>
          <w:rFonts w:cs="Arial"/>
          <w:szCs w:val="16"/>
        </w:rPr>
        <w:t>liegt, der in den vier Jahren vor deren Erteilung oder Überprüfung jährlich maximal produzierten bzw. verarbeiteten Menge. Die amtlich genehmigte Kapazität sollte von der tatsächlichen Produktion nicht wesentlich abweichen.</w:t>
      </w:r>
    </w:p>
  </w:footnote>
  <w:footnote w:id="78">
    <w:p w:rsidR="00EA4ED8" w:rsidRPr="005A5866" w:rsidRDefault="00EA4ED8" w:rsidP="00700A77">
      <w:pPr>
        <w:pStyle w:val="GesAbsatz"/>
        <w:spacing w:before="0" w:after="0"/>
        <w:rPr>
          <w:rFonts w:cs="Arial"/>
          <w:sz w:val="16"/>
          <w:szCs w:val="16"/>
        </w:rPr>
      </w:pPr>
      <w:r>
        <w:rPr>
          <w:rStyle w:val="Funotenzeichen"/>
        </w:rPr>
        <w:footnoteRef/>
      </w:r>
      <w:r>
        <w:t xml:space="preserve"> </w:t>
      </w:r>
      <w:r w:rsidRPr="005A5866">
        <w:rPr>
          <w:rFonts w:cs="Arial"/>
          <w:sz w:val="16"/>
          <w:szCs w:val="16"/>
        </w:rPr>
        <w:t>Unbeschadet der Bestimmungen in Anhang I Teil A Nummer 4 werden die Konzentrationsgrenzwerte im Verhältnis zu folgenden Referenzvolumen gegeben:</w:t>
      </w:r>
    </w:p>
    <w:p w:rsidR="00EA4ED8" w:rsidRPr="005A5866" w:rsidRDefault="00EA4ED8" w:rsidP="00700A77">
      <w:pPr>
        <w:pStyle w:val="GesAbsatz"/>
        <w:spacing w:before="0" w:after="0"/>
        <w:rPr>
          <w:rFonts w:cs="Arial"/>
          <w:sz w:val="16"/>
          <w:szCs w:val="16"/>
        </w:rPr>
      </w:pPr>
      <w:r w:rsidRPr="005A5866">
        <w:rPr>
          <w:rFonts w:cs="Arial"/>
          <w:sz w:val="16"/>
          <w:szCs w:val="16"/>
        </w:rPr>
        <w:t>- unter Buchstabe a) im Verhältnis zu 10 m³/t produziertes oder verarbeitetes TCB,</w:t>
      </w:r>
    </w:p>
    <w:p w:rsidR="00EA4ED8" w:rsidRDefault="00EA4ED8" w:rsidP="00700A77">
      <w:pPr>
        <w:pStyle w:val="Funotentext"/>
      </w:pPr>
      <w:r w:rsidRPr="005A5866">
        <w:rPr>
          <w:rFonts w:cs="Arial"/>
          <w:szCs w:val="16"/>
        </w:rPr>
        <w:t>- unter Buchstabe b) im Verhältnis zu 10 m³/t produziertes oder verarbeitetes Chlor- und Dichlorbenzol.</w:t>
      </w:r>
    </w:p>
  </w:footnote>
  <w:footnote w:id="79">
    <w:p w:rsidR="00EA4ED8" w:rsidRDefault="00EA4ED8">
      <w:pPr>
        <w:pStyle w:val="Funotentext"/>
      </w:pPr>
      <w:r>
        <w:rPr>
          <w:rStyle w:val="Funotenzeichen"/>
        </w:rPr>
        <w:footnoteRef/>
      </w:r>
      <w:r>
        <w:t xml:space="preserve"> </w:t>
      </w:r>
      <w:r w:rsidRPr="005A5866">
        <w:rPr>
          <w:rFonts w:cs="Arial"/>
          <w:szCs w:val="16"/>
        </w:rPr>
        <w:t xml:space="preserve">Für bestehende Anlagen mit einer Ableitung von weniger als 50 kg/Jahr entsprechen die ab </w:t>
      </w:r>
      <w:smartTag w:uri="urn:schemas-microsoft-com:office:smarttags" w:element="date">
        <w:smartTagPr>
          <w:attr w:name="Year" w:val="1995"/>
          <w:attr w:name="Day" w:val="1"/>
          <w:attr w:name="Month" w:val="1"/>
          <w:attr w:name="ls" w:val="trans"/>
        </w:smartTagPr>
        <w:r w:rsidRPr="005A5866">
          <w:rPr>
            <w:rFonts w:cs="Arial"/>
            <w:szCs w:val="16"/>
          </w:rPr>
          <w:t>1. Januar 1995</w:t>
        </w:r>
      </w:smartTag>
      <w:r w:rsidRPr="005A5866">
        <w:rPr>
          <w:rFonts w:cs="Arial"/>
          <w:szCs w:val="16"/>
        </w:rPr>
        <w:t xml:space="preserve"> geltenden Grenzwerte der Hälfte der ab </w:t>
      </w:r>
      <w:smartTag w:uri="urn:schemas-microsoft-com:office:smarttags" w:element="date">
        <w:smartTagPr>
          <w:attr w:name="Year" w:val="1993"/>
          <w:attr w:name="Day" w:val="1"/>
          <w:attr w:name="Month" w:val="1"/>
          <w:attr w:name="ls" w:val="trans"/>
        </w:smartTagPr>
        <w:r w:rsidRPr="005A5866">
          <w:rPr>
            <w:rFonts w:cs="Arial"/>
            <w:szCs w:val="16"/>
          </w:rPr>
          <w:t>1. Januar 1993</w:t>
        </w:r>
      </w:smartTag>
      <w:r w:rsidRPr="005A5866">
        <w:rPr>
          <w:rFonts w:cs="Arial"/>
          <w:szCs w:val="16"/>
        </w:rPr>
        <w:t xml:space="preserve"> geltenden Grenzwerte.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ED8" w:rsidRDefault="00566EDC" w:rsidP="007A3286">
    <w:pPr>
      <w:pStyle w:val="Kopfzeile0"/>
    </w:pPr>
    <w:r>
      <w:t>Archiv7.57</w:t>
    </w:r>
  </w:p>
  <w:p w:rsidR="00EA4ED8" w:rsidRPr="007A3286" w:rsidRDefault="00EA4ED8" w:rsidP="007A328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06"/>
    <w:rsid w:val="00020465"/>
    <w:rsid w:val="00033255"/>
    <w:rsid w:val="00062740"/>
    <w:rsid w:val="00076B3B"/>
    <w:rsid w:val="000804E4"/>
    <w:rsid w:val="0009261A"/>
    <w:rsid w:val="000A2DB8"/>
    <w:rsid w:val="000D4BE8"/>
    <w:rsid w:val="000D6BB7"/>
    <w:rsid w:val="000E7719"/>
    <w:rsid w:val="001130FD"/>
    <w:rsid w:val="00115A5E"/>
    <w:rsid w:val="0016719F"/>
    <w:rsid w:val="0018710E"/>
    <w:rsid w:val="0019258F"/>
    <w:rsid w:val="001C74C2"/>
    <w:rsid w:val="00215C4B"/>
    <w:rsid w:val="002226E1"/>
    <w:rsid w:val="00275934"/>
    <w:rsid w:val="00276EF4"/>
    <w:rsid w:val="00294DA3"/>
    <w:rsid w:val="002A026C"/>
    <w:rsid w:val="00301CCC"/>
    <w:rsid w:val="00305AEE"/>
    <w:rsid w:val="00306463"/>
    <w:rsid w:val="00324266"/>
    <w:rsid w:val="003314ED"/>
    <w:rsid w:val="00332DD4"/>
    <w:rsid w:val="003467ED"/>
    <w:rsid w:val="00353908"/>
    <w:rsid w:val="00364734"/>
    <w:rsid w:val="00366751"/>
    <w:rsid w:val="00373616"/>
    <w:rsid w:val="00390C6D"/>
    <w:rsid w:val="0039209C"/>
    <w:rsid w:val="0039347B"/>
    <w:rsid w:val="003A742A"/>
    <w:rsid w:val="003B748C"/>
    <w:rsid w:val="003C4C86"/>
    <w:rsid w:val="003E4A13"/>
    <w:rsid w:val="00421590"/>
    <w:rsid w:val="00421C9D"/>
    <w:rsid w:val="00465F40"/>
    <w:rsid w:val="0049151F"/>
    <w:rsid w:val="00493FE7"/>
    <w:rsid w:val="004A54B8"/>
    <w:rsid w:val="004B288A"/>
    <w:rsid w:val="004E051B"/>
    <w:rsid w:val="00510343"/>
    <w:rsid w:val="005257E7"/>
    <w:rsid w:val="00533469"/>
    <w:rsid w:val="00534CEB"/>
    <w:rsid w:val="00566EDC"/>
    <w:rsid w:val="00573B87"/>
    <w:rsid w:val="005972BF"/>
    <w:rsid w:val="005A165A"/>
    <w:rsid w:val="005A5866"/>
    <w:rsid w:val="005B7DC9"/>
    <w:rsid w:val="005C5DCF"/>
    <w:rsid w:val="005F66CE"/>
    <w:rsid w:val="0063549B"/>
    <w:rsid w:val="006730FC"/>
    <w:rsid w:val="00675E85"/>
    <w:rsid w:val="0068169A"/>
    <w:rsid w:val="00682CEE"/>
    <w:rsid w:val="0069122A"/>
    <w:rsid w:val="006B25EC"/>
    <w:rsid w:val="006C2F7A"/>
    <w:rsid w:val="006C5DF9"/>
    <w:rsid w:val="006C74C5"/>
    <w:rsid w:val="006E2581"/>
    <w:rsid w:val="006E2DB0"/>
    <w:rsid w:val="006F2803"/>
    <w:rsid w:val="006F7239"/>
    <w:rsid w:val="00700A77"/>
    <w:rsid w:val="0071150D"/>
    <w:rsid w:val="00744F76"/>
    <w:rsid w:val="007549EF"/>
    <w:rsid w:val="00756F59"/>
    <w:rsid w:val="00790EB9"/>
    <w:rsid w:val="007920D7"/>
    <w:rsid w:val="007944A9"/>
    <w:rsid w:val="007A3286"/>
    <w:rsid w:val="008249CD"/>
    <w:rsid w:val="00832146"/>
    <w:rsid w:val="00840261"/>
    <w:rsid w:val="008404F8"/>
    <w:rsid w:val="00845C81"/>
    <w:rsid w:val="0086387A"/>
    <w:rsid w:val="008700A9"/>
    <w:rsid w:val="008A2010"/>
    <w:rsid w:val="008B7FB0"/>
    <w:rsid w:val="008C3791"/>
    <w:rsid w:val="008F749A"/>
    <w:rsid w:val="00902CA8"/>
    <w:rsid w:val="009251C7"/>
    <w:rsid w:val="009438C6"/>
    <w:rsid w:val="00955530"/>
    <w:rsid w:val="00995906"/>
    <w:rsid w:val="009B67E9"/>
    <w:rsid w:val="009C1219"/>
    <w:rsid w:val="00A11F89"/>
    <w:rsid w:val="00A263B9"/>
    <w:rsid w:val="00A83554"/>
    <w:rsid w:val="00AB0736"/>
    <w:rsid w:val="00AD03B0"/>
    <w:rsid w:val="00AD3BEC"/>
    <w:rsid w:val="00AF75A9"/>
    <w:rsid w:val="00B17433"/>
    <w:rsid w:val="00B27E8C"/>
    <w:rsid w:val="00B32807"/>
    <w:rsid w:val="00B33F6C"/>
    <w:rsid w:val="00B628CC"/>
    <w:rsid w:val="00B668F1"/>
    <w:rsid w:val="00BB3BBB"/>
    <w:rsid w:val="00BC458D"/>
    <w:rsid w:val="00BD7761"/>
    <w:rsid w:val="00BF1FA2"/>
    <w:rsid w:val="00BF68C5"/>
    <w:rsid w:val="00C13FC9"/>
    <w:rsid w:val="00C16634"/>
    <w:rsid w:val="00C251DB"/>
    <w:rsid w:val="00C2664E"/>
    <w:rsid w:val="00C55BF3"/>
    <w:rsid w:val="00C716BF"/>
    <w:rsid w:val="00C85523"/>
    <w:rsid w:val="00C914EA"/>
    <w:rsid w:val="00C92312"/>
    <w:rsid w:val="00CA15C5"/>
    <w:rsid w:val="00CC600B"/>
    <w:rsid w:val="00CE4C9E"/>
    <w:rsid w:val="00D0265F"/>
    <w:rsid w:val="00D30D90"/>
    <w:rsid w:val="00D3669D"/>
    <w:rsid w:val="00D43B13"/>
    <w:rsid w:val="00D46CFB"/>
    <w:rsid w:val="00D7191B"/>
    <w:rsid w:val="00DA5376"/>
    <w:rsid w:val="00E33313"/>
    <w:rsid w:val="00E431AA"/>
    <w:rsid w:val="00E44378"/>
    <w:rsid w:val="00E50901"/>
    <w:rsid w:val="00E6270B"/>
    <w:rsid w:val="00E6459F"/>
    <w:rsid w:val="00EA0D45"/>
    <w:rsid w:val="00EA4ED8"/>
    <w:rsid w:val="00EC6046"/>
    <w:rsid w:val="00EF2D48"/>
    <w:rsid w:val="00EF45DE"/>
    <w:rsid w:val="00F03A01"/>
    <w:rsid w:val="00F26C9D"/>
    <w:rsid w:val="00F749C4"/>
    <w:rsid w:val="00F808D0"/>
    <w:rsid w:val="00F92316"/>
    <w:rsid w:val="00F941DC"/>
    <w:rsid w:val="00F967D9"/>
    <w:rsid w:val="00FA0360"/>
    <w:rsid w:val="00FA7C43"/>
    <w:rsid w:val="00FC4D49"/>
    <w:rsid w:val="00FD48F3"/>
    <w:rsid w:val="00FE398E"/>
    <w:rsid w:val="00FF66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A328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7A3286"/>
    <w:pPr>
      <w:keepNext/>
      <w:spacing w:after="120"/>
      <w:jc w:val="center"/>
      <w:outlineLvl w:val="0"/>
    </w:pPr>
    <w:rPr>
      <w:b/>
      <w:kern w:val="28"/>
      <w:sz w:val="28"/>
    </w:rPr>
  </w:style>
  <w:style w:type="paragraph" w:styleId="berschrift2">
    <w:name w:val="heading 2"/>
    <w:basedOn w:val="Standard"/>
    <w:next w:val="GesAbsatz"/>
    <w:qFormat/>
    <w:rsid w:val="007A3286"/>
    <w:pPr>
      <w:keepNext/>
      <w:spacing w:before="240"/>
      <w:jc w:val="center"/>
      <w:outlineLvl w:val="1"/>
    </w:pPr>
    <w:rPr>
      <w:b/>
      <w:sz w:val="24"/>
    </w:rPr>
  </w:style>
  <w:style w:type="paragraph" w:styleId="berschrift3">
    <w:name w:val="heading 3"/>
    <w:basedOn w:val="Standard"/>
    <w:next w:val="GesAbsatz"/>
    <w:qFormat/>
    <w:rsid w:val="007A3286"/>
    <w:pPr>
      <w:keepNext/>
      <w:spacing w:before="240" w:after="180"/>
      <w:jc w:val="center"/>
      <w:outlineLvl w:val="2"/>
    </w:pPr>
    <w:rPr>
      <w:b/>
    </w:rPr>
  </w:style>
  <w:style w:type="paragraph" w:styleId="berschrift4">
    <w:name w:val="heading 4"/>
    <w:basedOn w:val="Standard"/>
    <w:next w:val="Standard"/>
    <w:rsid w:val="007A3286"/>
    <w:pPr>
      <w:keepNext/>
      <w:spacing w:before="240"/>
      <w:outlineLvl w:val="3"/>
    </w:pPr>
  </w:style>
  <w:style w:type="paragraph" w:styleId="berschrift5">
    <w:name w:val="heading 5"/>
    <w:basedOn w:val="Standard"/>
    <w:next w:val="Standard"/>
    <w:link w:val="berschrift5Zchn"/>
    <w:rsid w:val="007A328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7A3286"/>
    <w:pPr>
      <w:spacing w:before="100"/>
    </w:pPr>
    <w:rPr>
      <w:color w:val="000000"/>
    </w:rPr>
  </w:style>
  <w:style w:type="paragraph" w:styleId="Kopfzeile">
    <w:name w:val="header"/>
    <w:basedOn w:val="Standard"/>
    <w:qFormat/>
    <w:rsid w:val="007A3286"/>
    <w:pPr>
      <w:tabs>
        <w:tab w:val="center" w:pos="4536"/>
        <w:tab w:val="right" w:pos="9072"/>
      </w:tabs>
      <w:spacing w:before="0" w:after="120"/>
      <w:jc w:val="right"/>
    </w:pPr>
  </w:style>
  <w:style w:type="paragraph" w:styleId="Fuzeile">
    <w:name w:val="footer"/>
    <w:basedOn w:val="Standard"/>
    <w:qFormat/>
    <w:rsid w:val="007A3286"/>
    <w:pPr>
      <w:tabs>
        <w:tab w:val="clear" w:pos="425"/>
        <w:tab w:val="right" w:pos="8505"/>
        <w:tab w:val="right" w:pos="9639"/>
      </w:tabs>
      <w:spacing w:before="0" w:after="0"/>
      <w:jc w:val="left"/>
    </w:pPr>
    <w:rPr>
      <w:sz w:val="16"/>
    </w:rPr>
  </w:style>
  <w:style w:type="character" w:styleId="Funotenzeichen">
    <w:name w:val="footnote reference"/>
    <w:qFormat/>
    <w:rsid w:val="007A3286"/>
    <w:rPr>
      <w:sz w:val="20"/>
      <w:szCs w:val="20"/>
      <w:vertAlign w:val="superscript"/>
    </w:rPr>
  </w:style>
  <w:style w:type="paragraph" w:styleId="Sprechblasentext">
    <w:name w:val="Balloon Text"/>
    <w:basedOn w:val="Standard"/>
    <w:link w:val="SprechblasentextZchn"/>
    <w:rsid w:val="00421590"/>
    <w:pPr>
      <w:spacing w:after="0"/>
    </w:pPr>
    <w:rPr>
      <w:rFonts w:ascii="Tahoma" w:hAnsi="Tahoma" w:cs="Tahoma"/>
      <w:sz w:val="16"/>
      <w:szCs w:val="16"/>
    </w:rPr>
  </w:style>
  <w:style w:type="paragraph" w:styleId="Funotentext">
    <w:name w:val="footnote text"/>
    <w:basedOn w:val="Standard"/>
    <w:qFormat/>
    <w:rsid w:val="007A3286"/>
    <w:pPr>
      <w:spacing w:before="0" w:after="0"/>
    </w:pPr>
    <w:rPr>
      <w:sz w:val="16"/>
    </w:rPr>
  </w:style>
  <w:style w:type="character" w:customStyle="1" w:styleId="SprechblasentextZchn">
    <w:name w:val="Sprechblasentext Zchn"/>
    <w:link w:val="Sprechblasentext"/>
    <w:rsid w:val="00421590"/>
    <w:rPr>
      <w:rFonts w:ascii="Tahoma" w:hAnsi="Tahoma" w:cs="Tahoma"/>
      <w:sz w:val="16"/>
      <w:szCs w:val="16"/>
    </w:rPr>
  </w:style>
  <w:style w:type="paragraph" w:customStyle="1" w:styleId="Kopfzeile0">
    <w:name w:val="Kopfzeile0"/>
    <w:basedOn w:val="Standard"/>
    <w:next w:val="Kopfzeile"/>
    <w:qFormat/>
    <w:rsid w:val="007A3286"/>
    <w:pPr>
      <w:spacing w:before="0" w:after="0"/>
      <w:jc w:val="right"/>
    </w:pPr>
    <w:rPr>
      <w:b/>
      <w:sz w:val="24"/>
    </w:rPr>
  </w:style>
  <w:style w:type="paragraph" w:styleId="Verzeichnis1">
    <w:name w:val="toc 1"/>
    <w:basedOn w:val="Verzeichnis3"/>
    <w:next w:val="Standard"/>
    <w:rsid w:val="007A3286"/>
    <w:pPr>
      <w:spacing w:before="120" w:after="120"/>
      <w:ind w:left="0"/>
    </w:pPr>
    <w:rPr>
      <w:b/>
      <w:i w:val="0"/>
      <w:caps/>
    </w:rPr>
  </w:style>
  <w:style w:type="paragraph" w:styleId="Verzeichnis2">
    <w:name w:val="toc 2"/>
    <w:basedOn w:val="Standard"/>
    <w:next w:val="Standard"/>
    <w:rsid w:val="007A328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7A3286"/>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7A3286"/>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7A328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7A328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7A328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7A328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7A328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7A3286"/>
    <w:rPr>
      <w:color w:val="0000FF"/>
      <w:u w:val="single"/>
    </w:rPr>
  </w:style>
  <w:style w:type="character" w:styleId="Seitenzahl">
    <w:name w:val="page number"/>
    <w:rsid w:val="007A3286"/>
    <w:rPr>
      <w:rFonts w:ascii="Arial" w:hAnsi="Arial"/>
      <w:sz w:val="16"/>
    </w:rPr>
  </w:style>
  <w:style w:type="character" w:customStyle="1" w:styleId="berschrift5Zchn">
    <w:name w:val="Überschrift 5 Zchn"/>
    <w:basedOn w:val="Absatz-Standardschriftart"/>
    <w:link w:val="berschrift5"/>
    <w:rsid w:val="007A328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A3286"/>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7A3286"/>
    <w:pPr>
      <w:keepNext/>
      <w:spacing w:after="120"/>
      <w:jc w:val="center"/>
      <w:outlineLvl w:val="0"/>
    </w:pPr>
    <w:rPr>
      <w:b/>
      <w:kern w:val="28"/>
      <w:sz w:val="28"/>
    </w:rPr>
  </w:style>
  <w:style w:type="paragraph" w:styleId="berschrift2">
    <w:name w:val="heading 2"/>
    <w:basedOn w:val="Standard"/>
    <w:next w:val="GesAbsatz"/>
    <w:qFormat/>
    <w:rsid w:val="007A3286"/>
    <w:pPr>
      <w:keepNext/>
      <w:spacing w:before="240"/>
      <w:jc w:val="center"/>
      <w:outlineLvl w:val="1"/>
    </w:pPr>
    <w:rPr>
      <w:b/>
      <w:sz w:val="24"/>
    </w:rPr>
  </w:style>
  <w:style w:type="paragraph" w:styleId="berschrift3">
    <w:name w:val="heading 3"/>
    <w:basedOn w:val="Standard"/>
    <w:next w:val="GesAbsatz"/>
    <w:qFormat/>
    <w:rsid w:val="007A3286"/>
    <w:pPr>
      <w:keepNext/>
      <w:spacing w:before="240" w:after="180"/>
      <w:jc w:val="center"/>
      <w:outlineLvl w:val="2"/>
    </w:pPr>
    <w:rPr>
      <w:b/>
    </w:rPr>
  </w:style>
  <w:style w:type="paragraph" w:styleId="berschrift4">
    <w:name w:val="heading 4"/>
    <w:basedOn w:val="Standard"/>
    <w:next w:val="Standard"/>
    <w:rsid w:val="007A3286"/>
    <w:pPr>
      <w:keepNext/>
      <w:spacing w:before="240"/>
      <w:outlineLvl w:val="3"/>
    </w:pPr>
  </w:style>
  <w:style w:type="paragraph" w:styleId="berschrift5">
    <w:name w:val="heading 5"/>
    <w:basedOn w:val="Standard"/>
    <w:next w:val="Standard"/>
    <w:link w:val="berschrift5Zchn"/>
    <w:rsid w:val="007A3286"/>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rsid w:val="007A3286"/>
    <w:pPr>
      <w:spacing w:before="100"/>
    </w:pPr>
    <w:rPr>
      <w:color w:val="000000"/>
    </w:rPr>
  </w:style>
  <w:style w:type="paragraph" w:styleId="Kopfzeile">
    <w:name w:val="header"/>
    <w:basedOn w:val="Standard"/>
    <w:qFormat/>
    <w:rsid w:val="007A3286"/>
    <w:pPr>
      <w:tabs>
        <w:tab w:val="center" w:pos="4536"/>
        <w:tab w:val="right" w:pos="9072"/>
      </w:tabs>
      <w:spacing w:before="0" w:after="120"/>
      <w:jc w:val="right"/>
    </w:pPr>
  </w:style>
  <w:style w:type="paragraph" w:styleId="Fuzeile">
    <w:name w:val="footer"/>
    <w:basedOn w:val="Standard"/>
    <w:qFormat/>
    <w:rsid w:val="007A3286"/>
    <w:pPr>
      <w:tabs>
        <w:tab w:val="clear" w:pos="425"/>
        <w:tab w:val="right" w:pos="8505"/>
        <w:tab w:val="right" w:pos="9639"/>
      </w:tabs>
      <w:spacing w:before="0" w:after="0"/>
      <w:jc w:val="left"/>
    </w:pPr>
    <w:rPr>
      <w:sz w:val="16"/>
    </w:rPr>
  </w:style>
  <w:style w:type="character" w:styleId="Funotenzeichen">
    <w:name w:val="footnote reference"/>
    <w:qFormat/>
    <w:rsid w:val="007A3286"/>
    <w:rPr>
      <w:sz w:val="20"/>
      <w:szCs w:val="20"/>
      <w:vertAlign w:val="superscript"/>
    </w:rPr>
  </w:style>
  <w:style w:type="paragraph" w:styleId="Sprechblasentext">
    <w:name w:val="Balloon Text"/>
    <w:basedOn w:val="Standard"/>
    <w:link w:val="SprechblasentextZchn"/>
    <w:rsid w:val="00421590"/>
    <w:pPr>
      <w:spacing w:after="0"/>
    </w:pPr>
    <w:rPr>
      <w:rFonts w:ascii="Tahoma" w:hAnsi="Tahoma" w:cs="Tahoma"/>
      <w:sz w:val="16"/>
      <w:szCs w:val="16"/>
    </w:rPr>
  </w:style>
  <w:style w:type="paragraph" w:styleId="Funotentext">
    <w:name w:val="footnote text"/>
    <w:basedOn w:val="Standard"/>
    <w:qFormat/>
    <w:rsid w:val="007A3286"/>
    <w:pPr>
      <w:spacing w:before="0" w:after="0"/>
    </w:pPr>
    <w:rPr>
      <w:sz w:val="16"/>
    </w:rPr>
  </w:style>
  <w:style w:type="character" w:customStyle="1" w:styleId="SprechblasentextZchn">
    <w:name w:val="Sprechblasentext Zchn"/>
    <w:link w:val="Sprechblasentext"/>
    <w:rsid w:val="00421590"/>
    <w:rPr>
      <w:rFonts w:ascii="Tahoma" w:hAnsi="Tahoma" w:cs="Tahoma"/>
      <w:sz w:val="16"/>
      <w:szCs w:val="16"/>
    </w:rPr>
  </w:style>
  <w:style w:type="paragraph" w:customStyle="1" w:styleId="Kopfzeile0">
    <w:name w:val="Kopfzeile0"/>
    <w:basedOn w:val="Standard"/>
    <w:next w:val="Kopfzeile"/>
    <w:qFormat/>
    <w:rsid w:val="007A3286"/>
    <w:pPr>
      <w:spacing w:before="0" w:after="0"/>
      <w:jc w:val="right"/>
    </w:pPr>
    <w:rPr>
      <w:b/>
      <w:sz w:val="24"/>
    </w:rPr>
  </w:style>
  <w:style w:type="paragraph" w:styleId="Verzeichnis1">
    <w:name w:val="toc 1"/>
    <w:basedOn w:val="Verzeichnis3"/>
    <w:next w:val="Standard"/>
    <w:rsid w:val="007A3286"/>
    <w:pPr>
      <w:spacing w:before="120" w:after="120"/>
      <w:ind w:left="0"/>
    </w:pPr>
    <w:rPr>
      <w:b/>
      <w:i w:val="0"/>
      <w:caps/>
    </w:rPr>
  </w:style>
  <w:style w:type="paragraph" w:styleId="Verzeichnis2">
    <w:name w:val="toc 2"/>
    <w:basedOn w:val="Standard"/>
    <w:next w:val="Standard"/>
    <w:rsid w:val="007A3286"/>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rsid w:val="007A3286"/>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rsid w:val="007A3286"/>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7A3286"/>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7A3286"/>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7A3286"/>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7A3286"/>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7A3286"/>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7A3286"/>
    <w:rPr>
      <w:color w:val="0000FF"/>
      <w:u w:val="single"/>
    </w:rPr>
  </w:style>
  <w:style w:type="character" w:styleId="Seitenzahl">
    <w:name w:val="page number"/>
    <w:rsid w:val="007A3286"/>
    <w:rPr>
      <w:rFonts w:ascii="Arial" w:hAnsi="Arial"/>
      <w:sz w:val="16"/>
    </w:rPr>
  </w:style>
  <w:style w:type="character" w:customStyle="1" w:styleId="berschrift5Zchn">
    <w:name w:val="Überschrift 5 Zchn"/>
    <w:basedOn w:val="Absatz-Standardschriftart"/>
    <w:link w:val="berschrift5"/>
    <w:rsid w:val="007A32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31986L0280&amp;from=DE" TargetMode="External"/><Relationship Id="rId13" Type="http://schemas.openxmlformats.org/officeDocument/2006/relationships/hyperlink" Target="http://eur-lex.europa.eu/legal-content/DE/TXT/PDF/?uri=CELEX:31990L0656&amp;from=DE"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lex.europa.eu/legal-content/DE/TXT/PDF/?uri=CELEX:31990D0481&amp;from=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ur-lex.europa.eu/legal-content/DE/TXT/PDF/?uri=CELEX:32008L0105&amp;fro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DE/TXT/PDF/?uri=CELEX:31990L0415R(01)&amp;from=DE" TargetMode="External"/><Relationship Id="rId5" Type="http://schemas.openxmlformats.org/officeDocument/2006/relationships/webSettings" Target="webSettings.xml"/><Relationship Id="rId15" Type="http://schemas.openxmlformats.org/officeDocument/2006/relationships/hyperlink" Target="http://eur-lex.europa.eu/legal-content/DE/TXT/PDF/?uri=CELEX:31993L0080&amp;from=DE" TargetMode="External"/><Relationship Id="rId10" Type="http://schemas.openxmlformats.org/officeDocument/2006/relationships/hyperlink" Target="http://eur-lex.europa.eu/legal-content/DE/TXT/PDF/?uri=CELEX:31990L0415&amp;from=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ur-lex.europa.eu/legal-content/DE/TXT/PDF/?uri=CELEX:31988L0347&amp;from=DE" TargetMode="External"/><Relationship Id="rId14" Type="http://schemas.openxmlformats.org/officeDocument/2006/relationships/hyperlink" Target="http://eur-lex.europa.eu/legal-content/DE/TXT/PDF/?uri=CELEX:31991L0692&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152C2-DB95-4F9F-B932-1E2395F3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20</Pages>
  <Words>5770</Words>
  <Characters>39745</Characters>
  <Application>Microsoft Office Word</Application>
  <DocSecurity>0</DocSecurity>
  <Lines>331</Lines>
  <Paragraphs>90</Paragraphs>
  <ScaleCrop>false</ScaleCrop>
  <HeadingPairs>
    <vt:vector size="2" baseType="variant">
      <vt:variant>
        <vt:lpstr>Titel</vt:lpstr>
      </vt:variant>
      <vt:variant>
        <vt:i4>1</vt:i4>
      </vt:variant>
    </vt:vector>
  </HeadingPairs>
  <TitlesOfParts>
    <vt:vector size="1" baseType="lpstr">
      <vt:lpstr>Richtlinie 86/280/EWG</vt:lpstr>
    </vt:vector>
  </TitlesOfParts>
  <Company>LANUV NRW</Company>
  <LinksUpToDate>false</LinksUpToDate>
  <CharactersWithSpaces>45425</CharactersWithSpaces>
  <SharedDoc>false</SharedDoc>
  <HLinks>
    <vt:vector size="132" baseType="variant">
      <vt:variant>
        <vt:i4>1310781</vt:i4>
      </vt:variant>
      <vt:variant>
        <vt:i4>128</vt:i4>
      </vt:variant>
      <vt:variant>
        <vt:i4>0</vt:i4>
      </vt:variant>
      <vt:variant>
        <vt:i4>5</vt:i4>
      </vt:variant>
      <vt:variant>
        <vt:lpwstr/>
      </vt:variant>
      <vt:variant>
        <vt:lpwstr>_Toc420510845</vt:lpwstr>
      </vt:variant>
      <vt:variant>
        <vt:i4>1310781</vt:i4>
      </vt:variant>
      <vt:variant>
        <vt:i4>122</vt:i4>
      </vt:variant>
      <vt:variant>
        <vt:i4>0</vt:i4>
      </vt:variant>
      <vt:variant>
        <vt:i4>5</vt:i4>
      </vt:variant>
      <vt:variant>
        <vt:lpwstr/>
      </vt:variant>
      <vt:variant>
        <vt:lpwstr>_Toc420510844</vt:lpwstr>
      </vt:variant>
      <vt:variant>
        <vt:i4>1310781</vt:i4>
      </vt:variant>
      <vt:variant>
        <vt:i4>116</vt:i4>
      </vt:variant>
      <vt:variant>
        <vt:i4>0</vt:i4>
      </vt:variant>
      <vt:variant>
        <vt:i4>5</vt:i4>
      </vt:variant>
      <vt:variant>
        <vt:lpwstr/>
      </vt:variant>
      <vt:variant>
        <vt:lpwstr>_Toc420510843</vt:lpwstr>
      </vt:variant>
      <vt:variant>
        <vt:i4>1310781</vt:i4>
      </vt:variant>
      <vt:variant>
        <vt:i4>110</vt:i4>
      </vt:variant>
      <vt:variant>
        <vt:i4>0</vt:i4>
      </vt:variant>
      <vt:variant>
        <vt:i4>5</vt:i4>
      </vt:variant>
      <vt:variant>
        <vt:lpwstr/>
      </vt:variant>
      <vt:variant>
        <vt:lpwstr>_Toc420510842</vt:lpwstr>
      </vt:variant>
      <vt:variant>
        <vt:i4>1310781</vt:i4>
      </vt:variant>
      <vt:variant>
        <vt:i4>104</vt:i4>
      </vt:variant>
      <vt:variant>
        <vt:i4>0</vt:i4>
      </vt:variant>
      <vt:variant>
        <vt:i4>5</vt:i4>
      </vt:variant>
      <vt:variant>
        <vt:lpwstr/>
      </vt:variant>
      <vt:variant>
        <vt:lpwstr>_Toc420510841</vt:lpwstr>
      </vt:variant>
      <vt:variant>
        <vt:i4>1310781</vt:i4>
      </vt:variant>
      <vt:variant>
        <vt:i4>98</vt:i4>
      </vt:variant>
      <vt:variant>
        <vt:i4>0</vt:i4>
      </vt:variant>
      <vt:variant>
        <vt:i4>5</vt:i4>
      </vt:variant>
      <vt:variant>
        <vt:lpwstr/>
      </vt:variant>
      <vt:variant>
        <vt:lpwstr>_Toc420510840</vt:lpwstr>
      </vt:variant>
      <vt:variant>
        <vt:i4>1245245</vt:i4>
      </vt:variant>
      <vt:variant>
        <vt:i4>92</vt:i4>
      </vt:variant>
      <vt:variant>
        <vt:i4>0</vt:i4>
      </vt:variant>
      <vt:variant>
        <vt:i4>5</vt:i4>
      </vt:variant>
      <vt:variant>
        <vt:lpwstr/>
      </vt:variant>
      <vt:variant>
        <vt:lpwstr>_Toc420510839</vt:lpwstr>
      </vt:variant>
      <vt:variant>
        <vt:i4>1245245</vt:i4>
      </vt:variant>
      <vt:variant>
        <vt:i4>86</vt:i4>
      </vt:variant>
      <vt:variant>
        <vt:i4>0</vt:i4>
      </vt:variant>
      <vt:variant>
        <vt:i4>5</vt:i4>
      </vt:variant>
      <vt:variant>
        <vt:lpwstr/>
      </vt:variant>
      <vt:variant>
        <vt:lpwstr>_Toc420510838</vt:lpwstr>
      </vt:variant>
      <vt:variant>
        <vt:i4>1245245</vt:i4>
      </vt:variant>
      <vt:variant>
        <vt:i4>80</vt:i4>
      </vt:variant>
      <vt:variant>
        <vt:i4>0</vt:i4>
      </vt:variant>
      <vt:variant>
        <vt:i4>5</vt:i4>
      </vt:variant>
      <vt:variant>
        <vt:lpwstr/>
      </vt:variant>
      <vt:variant>
        <vt:lpwstr>_Toc420510837</vt:lpwstr>
      </vt:variant>
      <vt:variant>
        <vt:i4>1245245</vt:i4>
      </vt:variant>
      <vt:variant>
        <vt:i4>74</vt:i4>
      </vt:variant>
      <vt:variant>
        <vt:i4>0</vt:i4>
      </vt:variant>
      <vt:variant>
        <vt:i4>5</vt:i4>
      </vt:variant>
      <vt:variant>
        <vt:lpwstr/>
      </vt:variant>
      <vt:variant>
        <vt:lpwstr>_Toc420510836</vt:lpwstr>
      </vt:variant>
      <vt:variant>
        <vt:i4>1245245</vt:i4>
      </vt:variant>
      <vt:variant>
        <vt:i4>68</vt:i4>
      </vt:variant>
      <vt:variant>
        <vt:i4>0</vt:i4>
      </vt:variant>
      <vt:variant>
        <vt:i4>5</vt:i4>
      </vt:variant>
      <vt:variant>
        <vt:lpwstr/>
      </vt:variant>
      <vt:variant>
        <vt:lpwstr>_Toc420510835</vt:lpwstr>
      </vt:variant>
      <vt:variant>
        <vt:i4>1245245</vt:i4>
      </vt:variant>
      <vt:variant>
        <vt:i4>62</vt:i4>
      </vt:variant>
      <vt:variant>
        <vt:i4>0</vt:i4>
      </vt:variant>
      <vt:variant>
        <vt:i4>5</vt:i4>
      </vt:variant>
      <vt:variant>
        <vt:lpwstr/>
      </vt:variant>
      <vt:variant>
        <vt:lpwstr>_Toc420510834</vt:lpwstr>
      </vt:variant>
      <vt:variant>
        <vt:i4>1245245</vt:i4>
      </vt:variant>
      <vt:variant>
        <vt:i4>56</vt:i4>
      </vt:variant>
      <vt:variant>
        <vt:i4>0</vt:i4>
      </vt:variant>
      <vt:variant>
        <vt:i4>5</vt:i4>
      </vt:variant>
      <vt:variant>
        <vt:lpwstr/>
      </vt:variant>
      <vt:variant>
        <vt:lpwstr>_Toc420510833</vt:lpwstr>
      </vt:variant>
      <vt:variant>
        <vt:i4>1245245</vt:i4>
      </vt:variant>
      <vt:variant>
        <vt:i4>50</vt:i4>
      </vt:variant>
      <vt:variant>
        <vt:i4>0</vt:i4>
      </vt:variant>
      <vt:variant>
        <vt:i4>5</vt:i4>
      </vt:variant>
      <vt:variant>
        <vt:lpwstr/>
      </vt:variant>
      <vt:variant>
        <vt:lpwstr>_Toc420510832</vt:lpwstr>
      </vt:variant>
      <vt:variant>
        <vt:i4>1245245</vt:i4>
      </vt:variant>
      <vt:variant>
        <vt:i4>44</vt:i4>
      </vt:variant>
      <vt:variant>
        <vt:i4>0</vt:i4>
      </vt:variant>
      <vt:variant>
        <vt:i4>5</vt:i4>
      </vt:variant>
      <vt:variant>
        <vt:lpwstr/>
      </vt:variant>
      <vt:variant>
        <vt:lpwstr>_Toc420510831</vt:lpwstr>
      </vt:variant>
      <vt:variant>
        <vt:i4>1245245</vt:i4>
      </vt:variant>
      <vt:variant>
        <vt:i4>38</vt:i4>
      </vt:variant>
      <vt:variant>
        <vt:i4>0</vt:i4>
      </vt:variant>
      <vt:variant>
        <vt:i4>5</vt:i4>
      </vt:variant>
      <vt:variant>
        <vt:lpwstr/>
      </vt:variant>
      <vt:variant>
        <vt:lpwstr>_Toc420510830</vt:lpwstr>
      </vt:variant>
      <vt:variant>
        <vt:i4>1179709</vt:i4>
      </vt:variant>
      <vt:variant>
        <vt:i4>32</vt:i4>
      </vt:variant>
      <vt:variant>
        <vt:i4>0</vt:i4>
      </vt:variant>
      <vt:variant>
        <vt:i4>5</vt:i4>
      </vt:variant>
      <vt:variant>
        <vt:lpwstr/>
      </vt:variant>
      <vt:variant>
        <vt:lpwstr>_Toc420510829</vt:lpwstr>
      </vt:variant>
      <vt:variant>
        <vt:i4>1179709</vt:i4>
      </vt:variant>
      <vt:variant>
        <vt:i4>26</vt:i4>
      </vt:variant>
      <vt:variant>
        <vt:i4>0</vt:i4>
      </vt:variant>
      <vt:variant>
        <vt:i4>5</vt:i4>
      </vt:variant>
      <vt:variant>
        <vt:lpwstr/>
      </vt:variant>
      <vt:variant>
        <vt:lpwstr>_Toc420510828</vt:lpwstr>
      </vt:variant>
      <vt:variant>
        <vt:i4>1179709</vt:i4>
      </vt:variant>
      <vt:variant>
        <vt:i4>20</vt:i4>
      </vt:variant>
      <vt:variant>
        <vt:i4>0</vt:i4>
      </vt:variant>
      <vt:variant>
        <vt:i4>5</vt:i4>
      </vt:variant>
      <vt:variant>
        <vt:lpwstr/>
      </vt:variant>
      <vt:variant>
        <vt:lpwstr>_Toc420510827</vt:lpwstr>
      </vt:variant>
      <vt:variant>
        <vt:i4>1179709</vt:i4>
      </vt:variant>
      <vt:variant>
        <vt:i4>14</vt:i4>
      </vt:variant>
      <vt:variant>
        <vt:i4>0</vt:i4>
      </vt:variant>
      <vt:variant>
        <vt:i4>5</vt:i4>
      </vt:variant>
      <vt:variant>
        <vt:lpwstr/>
      </vt:variant>
      <vt:variant>
        <vt:lpwstr>_Toc420510826</vt:lpwstr>
      </vt:variant>
      <vt:variant>
        <vt:i4>1179709</vt:i4>
      </vt:variant>
      <vt:variant>
        <vt:i4>8</vt:i4>
      </vt:variant>
      <vt:variant>
        <vt:i4>0</vt:i4>
      </vt:variant>
      <vt:variant>
        <vt:i4>5</vt:i4>
      </vt:variant>
      <vt:variant>
        <vt:lpwstr/>
      </vt:variant>
      <vt:variant>
        <vt:lpwstr>_Toc420510825</vt:lpwstr>
      </vt:variant>
      <vt:variant>
        <vt:i4>1179709</vt:i4>
      </vt:variant>
      <vt:variant>
        <vt:i4>2</vt:i4>
      </vt:variant>
      <vt:variant>
        <vt:i4>0</vt:i4>
      </vt:variant>
      <vt:variant>
        <vt:i4>5</vt:i4>
      </vt:variant>
      <vt:variant>
        <vt:lpwstr/>
      </vt:variant>
      <vt:variant>
        <vt:lpwstr>_Toc420510824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86/280/EWG</dc:title>
  <dc:creator>LANUV NRW</dc:creator>
  <dc:description>durchgesehen 11.2006</dc:description>
  <cp:lastModifiedBy>rueter</cp:lastModifiedBy>
  <cp:revision>3</cp:revision>
  <cp:lastPrinted>2015-05-27T15:28:00Z</cp:lastPrinted>
  <dcterms:created xsi:type="dcterms:W3CDTF">2015-06-01T13:06:00Z</dcterms:created>
  <dcterms:modified xsi:type="dcterms:W3CDTF">2015-06-01T13:07:00Z</dcterms:modified>
</cp:coreProperties>
</file>