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C7" w:rsidRDefault="00A87BC7" w:rsidP="007F0977">
      <w:pPr>
        <w:pStyle w:val="berschrift1"/>
      </w:pPr>
      <w:bookmarkStart w:id="0" w:name="_Toc420476102"/>
      <w:r>
        <w:t>RICHTLINIE DES RATES</w:t>
      </w:r>
      <w:r w:rsidR="007F0977">
        <w:t xml:space="preserve"> </w:t>
      </w:r>
      <w:hyperlink r:id="rId8" w:history="1">
        <w:r w:rsidR="007F0977" w:rsidRPr="00B27764">
          <w:rPr>
            <w:rStyle w:val="Hyperlink"/>
          </w:rPr>
          <w:t>84/491/EWG</w:t>
        </w:r>
      </w:hyperlink>
      <w:r w:rsidR="007F0977">
        <w:t xml:space="preserve"> </w:t>
      </w:r>
      <w:r>
        <w:t>vom 9. Oktober 1984</w:t>
      </w:r>
      <w:r w:rsidR="007F0977">
        <w:br/>
      </w:r>
      <w:r>
        <w:t>betreffend</w:t>
      </w:r>
      <w:r w:rsidR="007F0977">
        <w:t xml:space="preserve"> </w:t>
      </w:r>
      <w:r>
        <w:t>Grenzwerte und Qualitätsziele für Ableitungen von</w:t>
      </w:r>
      <w:r w:rsidR="007F0977">
        <w:br/>
      </w:r>
      <w:r>
        <w:t>Hexachlorcyclohexan</w:t>
      </w:r>
      <w:bookmarkEnd w:id="0"/>
    </w:p>
    <w:p w:rsidR="005D57B2" w:rsidRPr="005E6B53" w:rsidRDefault="006F62D8" w:rsidP="005D57B2">
      <w:pPr>
        <w:pStyle w:val="GesAbsatz"/>
        <w:rPr>
          <w:rFonts w:cs="Arial"/>
          <w:b/>
          <w:i/>
          <w:color w:val="FF0000"/>
          <w:sz w:val="22"/>
          <w:szCs w:val="22"/>
        </w:rPr>
      </w:pPr>
      <w:r>
        <w:rPr>
          <w:b/>
          <w:i/>
          <w:color w:val="FF0000"/>
          <w:sz w:val="22"/>
          <w:szCs w:val="22"/>
        </w:rPr>
        <w:t>Gültig bis</w:t>
      </w:r>
      <w:r w:rsidR="005D57B2" w:rsidRPr="005E6B53">
        <w:rPr>
          <w:b/>
          <w:i/>
          <w:color w:val="FF0000"/>
          <w:sz w:val="22"/>
          <w:szCs w:val="22"/>
        </w:rPr>
        <w:t xml:space="preserve"> 2</w:t>
      </w:r>
      <w:r>
        <w:rPr>
          <w:b/>
          <w:i/>
          <w:color w:val="FF0000"/>
          <w:sz w:val="22"/>
          <w:szCs w:val="22"/>
        </w:rPr>
        <w:t>1.12.2012</w:t>
      </w:r>
    </w:p>
    <w:p w:rsidR="007F0977" w:rsidRDefault="009E2AFF" w:rsidP="00A87BC7">
      <w:pPr>
        <w:pStyle w:val="GesAbsatz"/>
      </w:pPr>
      <w:r w:rsidRPr="005B2BB5">
        <w:rPr>
          <w:b/>
        </w:rPr>
        <w:t>Änderungen:</w:t>
      </w:r>
      <w:r>
        <w:t xml:space="preserve"> </w:t>
      </w:r>
      <w:proofErr w:type="spellStart"/>
      <w:r w:rsidR="00063504">
        <w:t>ber</w:t>
      </w:r>
      <w:proofErr w:type="spellEnd"/>
      <w:r w:rsidR="00063504">
        <w:t xml:space="preserve">. </w:t>
      </w:r>
      <w:hyperlink r:id="rId9" w:history="1">
        <w:r w:rsidR="00063504" w:rsidRPr="00063504">
          <w:rPr>
            <w:rStyle w:val="Hyperlink"/>
          </w:rPr>
          <w:t>ABl. L 296</w:t>
        </w:r>
      </w:hyperlink>
      <w:r w:rsidR="00063504">
        <w:t xml:space="preserve"> v. 14.11.1984 S. 11; </w:t>
      </w:r>
      <w:hyperlink r:id="rId10" w:history="1">
        <w:r w:rsidR="001774E7" w:rsidRPr="006866A7">
          <w:rPr>
            <w:rStyle w:val="Hyperlink"/>
          </w:rPr>
          <w:t>90/481/EWG</w:t>
        </w:r>
      </w:hyperlink>
      <w:r w:rsidR="001774E7">
        <w:t xml:space="preserve"> </w:t>
      </w:r>
      <w:r>
        <w:t xml:space="preserve">ABl. </w:t>
      </w:r>
      <w:r w:rsidR="001774E7">
        <w:t xml:space="preserve">L 267 </w:t>
      </w:r>
      <w:r>
        <w:t>v</w:t>
      </w:r>
      <w:r w:rsidR="001774E7">
        <w:t>.</w:t>
      </w:r>
      <w:r>
        <w:t xml:space="preserve"> 29.</w:t>
      </w:r>
      <w:bookmarkStart w:id="1" w:name="_GoBack"/>
      <w:bookmarkEnd w:id="1"/>
      <w:r>
        <w:t xml:space="preserve">9.1990 </w:t>
      </w:r>
      <w:r w:rsidR="001774E7">
        <w:t xml:space="preserve">S. </w:t>
      </w:r>
      <w:r>
        <w:t xml:space="preserve">37; </w:t>
      </w:r>
      <w:hyperlink r:id="rId11" w:history="1">
        <w:r w:rsidR="005E6B53" w:rsidRPr="00AC5D70">
          <w:rPr>
            <w:rStyle w:val="Hyperlink"/>
          </w:rPr>
          <w:t>90/656/EWG</w:t>
        </w:r>
      </w:hyperlink>
      <w:r w:rsidR="005E6B53">
        <w:t xml:space="preserve"> </w:t>
      </w:r>
      <w:r>
        <w:t xml:space="preserve">ABl. </w:t>
      </w:r>
      <w:r w:rsidR="005E6B53">
        <w:t xml:space="preserve">L 353 </w:t>
      </w:r>
      <w:r>
        <w:t>v</w:t>
      </w:r>
      <w:r w:rsidR="005E6B53">
        <w:t>.</w:t>
      </w:r>
      <w:r>
        <w:t xml:space="preserve"> 17.12.1990 </w:t>
      </w:r>
      <w:r w:rsidR="005E6B53">
        <w:t xml:space="preserve">S. </w:t>
      </w:r>
      <w:r>
        <w:t xml:space="preserve">59; </w:t>
      </w:r>
      <w:hyperlink r:id="rId12" w:history="1">
        <w:r w:rsidR="009D408F" w:rsidRPr="00DB39DB">
          <w:rPr>
            <w:rStyle w:val="Hyperlink"/>
          </w:rPr>
          <w:t>91/692/EWG</w:t>
        </w:r>
      </w:hyperlink>
      <w:r w:rsidR="009D408F">
        <w:t xml:space="preserve"> </w:t>
      </w:r>
      <w:r>
        <w:t xml:space="preserve">ABl. </w:t>
      </w:r>
      <w:r w:rsidR="009D408F">
        <w:t>L 377</w:t>
      </w:r>
      <w:r>
        <w:t xml:space="preserve"> v</w:t>
      </w:r>
      <w:r w:rsidR="009D408F">
        <w:t>.</w:t>
      </w:r>
      <w:r>
        <w:t xml:space="preserve"> 31.12.1991 </w:t>
      </w:r>
      <w:r w:rsidR="009D408F">
        <w:t xml:space="preserve">S. </w:t>
      </w:r>
      <w:r>
        <w:t xml:space="preserve">48; </w:t>
      </w:r>
      <w:hyperlink r:id="rId13" w:history="1">
        <w:r w:rsidR="00D668CB" w:rsidRPr="00316BC0">
          <w:rPr>
            <w:rStyle w:val="Hyperlink"/>
          </w:rPr>
          <w:t>93/80/EWG</w:t>
        </w:r>
      </w:hyperlink>
      <w:r w:rsidR="00D668CB">
        <w:t xml:space="preserve"> </w:t>
      </w:r>
      <w:r>
        <w:t xml:space="preserve">ABl. </w:t>
      </w:r>
      <w:r w:rsidR="00D668CB">
        <w:t xml:space="preserve">L 256 </w:t>
      </w:r>
      <w:r>
        <w:t>v</w:t>
      </w:r>
      <w:r w:rsidR="00D668CB">
        <w:t>.</w:t>
      </w:r>
      <w:r>
        <w:t xml:space="preserve"> 14.10.1993 </w:t>
      </w:r>
      <w:r w:rsidR="00D668CB">
        <w:t xml:space="preserve">S. </w:t>
      </w:r>
      <w:r>
        <w:t>32; Abkommen über den Europäischen Wirtschaftsraum</w:t>
      </w:r>
      <w:r w:rsidR="0028472E">
        <w:t xml:space="preserve">; </w:t>
      </w:r>
      <w:hyperlink r:id="rId14" w:history="1">
        <w:r w:rsidR="0028472E" w:rsidRPr="00A578EE">
          <w:rPr>
            <w:rStyle w:val="Hyperlink"/>
          </w:rPr>
          <w:t>2008/105/EG</w:t>
        </w:r>
      </w:hyperlink>
      <w:r w:rsidR="0028472E">
        <w:t xml:space="preserve"> ABl. L 348 v. 24.12.2008 S. 84</w:t>
      </w:r>
      <w:r w:rsidR="009D408F">
        <w:t>;</w:t>
      </w:r>
    </w:p>
    <w:p w:rsidR="002F642A" w:rsidRDefault="002F642A" w:rsidP="00A87BC7">
      <w:pPr>
        <w:pStyle w:val="GesAbsatz"/>
      </w:pPr>
    </w:p>
    <w:p w:rsidR="005E6B53" w:rsidRDefault="007F0977" w:rsidP="007F0977">
      <w:pPr>
        <w:pStyle w:val="GesAbsatz"/>
        <w:jc w:val="center"/>
        <w:rPr>
          <w:b/>
          <w:sz w:val="22"/>
          <w:szCs w:val="22"/>
        </w:rPr>
      </w:pPr>
      <w:r>
        <w:rPr>
          <w:b/>
          <w:sz w:val="22"/>
          <w:szCs w:val="22"/>
        </w:rPr>
        <w:t>Inhalt:</w:t>
      </w:r>
    </w:p>
    <w:p w:rsidR="005E6B53" w:rsidRDefault="005E6B53">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0476102" w:history="1">
        <w:r w:rsidRPr="00E765CC">
          <w:rPr>
            <w:rStyle w:val="Hyperlink"/>
            <w:noProof/>
          </w:rPr>
          <w:t>RICHTLINIE DES RATES 84/491/EWG vom 9. Oktober 1984 betreffend Grenzwerte und Qualitätsziele für Ableitungen von Hexachlorcyclohexan</w:t>
        </w:r>
        <w:r>
          <w:rPr>
            <w:noProof/>
            <w:webHidden/>
          </w:rPr>
          <w:tab/>
        </w:r>
        <w:r>
          <w:rPr>
            <w:noProof/>
            <w:webHidden/>
          </w:rPr>
          <w:fldChar w:fldCharType="begin"/>
        </w:r>
        <w:r>
          <w:rPr>
            <w:noProof/>
            <w:webHidden/>
          </w:rPr>
          <w:instrText xml:space="preserve"> PAGEREF _Toc420476102 \h </w:instrText>
        </w:r>
        <w:r>
          <w:rPr>
            <w:noProof/>
            <w:webHidden/>
          </w:rPr>
        </w:r>
        <w:r>
          <w:rPr>
            <w:noProof/>
            <w:webHidden/>
          </w:rPr>
          <w:fldChar w:fldCharType="separate"/>
        </w:r>
        <w:r w:rsidR="0097124F">
          <w:rPr>
            <w:noProof/>
            <w:webHidden/>
          </w:rPr>
          <w:t>1</w:t>
        </w:r>
        <w:r>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3" w:history="1">
        <w:r w:rsidR="005E6B53" w:rsidRPr="00E765CC">
          <w:rPr>
            <w:rStyle w:val="Hyperlink"/>
            <w:noProof/>
          </w:rPr>
          <w:t>Artikel 1</w:t>
        </w:r>
        <w:r w:rsidR="005E6B53">
          <w:rPr>
            <w:noProof/>
            <w:webHidden/>
          </w:rPr>
          <w:tab/>
        </w:r>
        <w:r w:rsidR="005E6B53">
          <w:rPr>
            <w:noProof/>
            <w:webHidden/>
          </w:rPr>
          <w:fldChar w:fldCharType="begin"/>
        </w:r>
        <w:r w:rsidR="005E6B53">
          <w:rPr>
            <w:noProof/>
            <w:webHidden/>
          </w:rPr>
          <w:instrText xml:space="preserve"> PAGEREF _Toc420476103 \h </w:instrText>
        </w:r>
        <w:r w:rsidR="005E6B53">
          <w:rPr>
            <w:noProof/>
            <w:webHidden/>
          </w:rPr>
        </w:r>
        <w:r w:rsidR="005E6B53">
          <w:rPr>
            <w:noProof/>
            <w:webHidden/>
          </w:rPr>
          <w:fldChar w:fldCharType="separate"/>
        </w:r>
        <w:r w:rsidR="0097124F">
          <w:rPr>
            <w:noProof/>
            <w:webHidden/>
          </w:rPr>
          <w:t>2</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4" w:history="1">
        <w:r w:rsidR="005E6B53" w:rsidRPr="00E765CC">
          <w:rPr>
            <w:rStyle w:val="Hyperlink"/>
            <w:noProof/>
          </w:rPr>
          <w:t>Artikel 2</w:t>
        </w:r>
        <w:r w:rsidR="005E6B53">
          <w:rPr>
            <w:noProof/>
            <w:webHidden/>
          </w:rPr>
          <w:tab/>
        </w:r>
        <w:r w:rsidR="005E6B53">
          <w:rPr>
            <w:noProof/>
            <w:webHidden/>
          </w:rPr>
          <w:fldChar w:fldCharType="begin"/>
        </w:r>
        <w:r w:rsidR="005E6B53">
          <w:rPr>
            <w:noProof/>
            <w:webHidden/>
          </w:rPr>
          <w:instrText xml:space="preserve"> PAGEREF _Toc420476104 \h </w:instrText>
        </w:r>
        <w:r w:rsidR="005E6B53">
          <w:rPr>
            <w:noProof/>
            <w:webHidden/>
          </w:rPr>
        </w:r>
        <w:r w:rsidR="005E6B53">
          <w:rPr>
            <w:noProof/>
            <w:webHidden/>
          </w:rPr>
          <w:fldChar w:fldCharType="separate"/>
        </w:r>
        <w:r w:rsidR="0097124F">
          <w:rPr>
            <w:noProof/>
            <w:webHidden/>
          </w:rPr>
          <w:t>2</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5" w:history="1">
        <w:r w:rsidR="005E6B53" w:rsidRPr="00E765CC">
          <w:rPr>
            <w:rStyle w:val="Hyperlink"/>
            <w:noProof/>
          </w:rPr>
          <w:t>Artikel 3</w:t>
        </w:r>
        <w:r w:rsidR="005E6B53">
          <w:rPr>
            <w:noProof/>
            <w:webHidden/>
          </w:rPr>
          <w:tab/>
        </w:r>
        <w:r w:rsidR="005E6B53">
          <w:rPr>
            <w:noProof/>
            <w:webHidden/>
          </w:rPr>
          <w:fldChar w:fldCharType="begin"/>
        </w:r>
        <w:r w:rsidR="005E6B53">
          <w:rPr>
            <w:noProof/>
            <w:webHidden/>
          </w:rPr>
          <w:instrText xml:space="preserve"> PAGEREF _Toc420476105 \h </w:instrText>
        </w:r>
        <w:r w:rsidR="005E6B53">
          <w:rPr>
            <w:noProof/>
            <w:webHidden/>
          </w:rPr>
        </w:r>
        <w:r w:rsidR="005E6B53">
          <w:rPr>
            <w:noProof/>
            <w:webHidden/>
          </w:rPr>
          <w:fldChar w:fldCharType="separate"/>
        </w:r>
        <w:r w:rsidR="0097124F">
          <w:rPr>
            <w:noProof/>
            <w:webHidden/>
          </w:rPr>
          <w:t>3</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6" w:history="1">
        <w:r w:rsidR="005E6B53" w:rsidRPr="00E765CC">
          <w:rPr>
            <w:rStyle w:val="Hyperlink"/>
            <w:noProof/>
          </w:rPr>
          <w:t>Artikel 4</w:t>
        </w:r>
        <w:r w:rsidR="005E6B53">
          <w:rPr>
            <w:noProof/>
            <w:webHidden/>
          </w:rPr>
          <w:tab/>
        </w:r>
        <w:r w:rsidR="005E6B53">
          <w:rPr>
            <w:noProof/>
            <w:webHidden/>
          </w:rPr>
          <w:fldChar w:fldCharType="begin"/>
        </w:r>
        <w:r w:rsidR="005E6B53">
          <w:rPr>
            <w:noProof/>
            <w:webHidden/>
          </w:rPr>
          <w:instrText xml:space="preserve"> PAGEREF _Toc420476106 \h </w:instrText>
        </w:r>
        <w:r w:rsidR="005E6B53">
          <w:rPr>
            <w:noProof/>
            <w:webHidden/>
          </w:rPr>
        </w:r>
        <w:r w:rsidR="005E6B53">
          <w:rPr>
            <w:noProof/>
            <w:webHidden/>
          </w:rPr>
          <w:fldChar w:fldCharType="separate"/>
        </w:r>
        <w:r w:rsidR="0097124F">
          <w:rPr>
            <w:noProof/>
            <w:webHidden/>
          </w:rPr>
          <w:t>3</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7" w:history="1">
        <w:r w:rsidR="005E6B53" w:rsidRPr="00E765CC">
          <w:rPr>
            <w:rStyle w:val="Hyperlink"/>
            <w:noProof/>
          </w:rPr>
          <w:t>Artikel 5</w:t>
        </w:r>
        <w:r w:rsidR="005E6B53">
          <w:rPr>
            <w:noProof/>
            <w:webHidden/>
          </w:rPr>
          <w:tab/>
        </w:r>
        <w:r w:rsidR="005E6B53">
          <w:rPr>
            <w:noProof/>
            <w:webHidden/>
          </w:rPr>
          <w:fldChar w:fldCharType="begin"/>
        </w:r>
        <w:r w:rsidR="005E6B53">
          <w:rPr>
            <w:noProof/>
            <w:webHidden/>
          </w:rPr>
          <w:instrText xml:space="preserve"> PAGEREF _Toc420476107 \h </w:instrText>
        </w:r>
        <w:r w:rsidR="005E6B53">
          <w:rPr>
            <w:noProof/>
            <w:webHidden/>
          </w:rPr>
        </w:r>
        <w:r w:rsidR="005E6B53">
          <w:rPr>
            <w:noProof/>
            <w:webHidden/>
          </w:rPr>
          <w:fldChar w:fldCharType="separate"/>
        </w:r>
        <w:r w:rsidR="0097124F">
          <w:rPr>
            <w:noProof/>
            <w:webHidden/>
          </w:rPr>
          <w:t>4</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8" w:history="1">
        <w:r w:rsidR="005E6B53" w:rsidRPr="00E765CC">
          <w:rPr>
            <w:rStyle w:val="Hyperlink"/>
            <w:noProof/>
          </w:rPr>
          <w:t>Artikel 6</w:t>
        </w:r>
        <w:r w:rsidR="005E6B53">
          <w:rPr>
            <w:noProof/>
            <w:webHidden/>
          </w:rPr>
          <w:tab/>
        </w:r>
        <w:r w:rsidR="005E6B53">
          <w:rPr>
            <w:noProof/>
            <w:webHidden/>
          </w:rPr>
          <w:fldChar w:fldCharType="begin"/>
        </w:r>
        <w:r w:rsidR="005E6B53">
          <w:rPr>
            <w:noProof/>
            <w:webHidden/>
          </w:rPr>
          <w:instrText xml:space="preserve"> PAGEREF _Toc420476108 \h </w:instrText>
        </w:r>
        <w:r w:rsidR="005E6B53">
          <w:rPr>
            <w:noProof/>
            <w:webHidden/>
          </w:rPr>
        </w:r>
        <w:r w:rsidR="005E6B53">
          <w:rPr>
            <w:noProof/>
            <w:webHidden/>
          </w:rPr>
          <w:fldChar w:fldCharType="separate"/>
        </w:r>
        <w:r w:rsidR="0097124F">
          <w:rPr>
            <w:noProof/>
            <w:webHidden/>
          </w:rPr>
          <w:t>4</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09" w:history="1">
        <w:r w:rsidR="005E6B53" w:rsidRPr="00E765CC">
          <w:rPr>
            <w:rStyle w:val="Hyperlink"/>
            <w:noProof/>
          </w:rPr>
          <w:t>Artikel 7</w:t>
        </w:r>
        <w:r w:rsidR="005E6B53">
          <w:rPr>
            <w:noProof/>
            <w:webHidden/>
          </w:rPr>
          <w:tab/>
        </w:r>
        <w:r w:rsidR="005E6B53">
          <w:rPr>
            <w:noProof/>
            <w:webHidden/>
          </w:rPr>
          <w:fldChar w:fldCharType="begin"/>
        </w:r>
        <w:r w:rsidR="005E6B53">
          <w:rPr>
            <w:noProof/>
            <w:webHidden/>
          </w:rPr>
          <w:instrText xml:space="preserve"> PAGEREF _Toc420476109 \h </w:instrText>
        </w:r>
        <w:r w:rsidR="005E6B53">
          <w:rPr>
            <w:noProof/>
            <w:webHidden/>
          </w:rPr>
        </w:r>
        <w:r w:rsidR="005E6B53">
          <w:rPr>
            <w:noProof/>
            <w:webHidden/>
          </w:rPr>
          <w:fldChar w:fldCharType="separate"/>
        </w:r>
        <w:r w:rsidR="0097124F">
          <w:rPr>
            <w:noProof/>
            <w:webHidden/>
          </w:rPr>
          <w:t>4</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10" w:history="1">
        <w:r w:rsidR="005E6B53" w:rsidRPr="00E765CC">
          <w:rPr>
            <w:rStyle w:val="Hyperlink"/>
            <w:noProof/>
          </w:rPr>
          <w:t>Anhang I</w:t>
        </w:r>
        <w:r w:rsidR="005E6B53">
          <w:rPr>
            <w:noProof/>
            <w:webHidden/>
          </w:rPr>
          <w:tab/>
        </w:r>
        <w:r w:rsidR="005E6B53">
          <w:rPr>
            <w:noProof/>
            <w:webHidden/>
          </w:rPr>
          <w:fldChar w:fldCharType="begin"/>
        </w:r>
        <w:r w:rsidR="005E6B53">
          <w:rPr>
            <w:noProof/>
            <w:webHidden/>
          </w:rPr>
          <w:instrText xml:space="preserve"> PAGEREF _Toc420476110 \h </w:instrText>
        </w:r>
        <w:r w:rsidR="005E6B53">
          <w:rPr>
            <w:noProof/>
            <w:webHidden/>
          </w:rPr>
        </w:r>
        <w:r w:rsidR="005E6B53">
          <w:rPr>
            <w:noProof/>
            <w:webHidden/>
          </w:rPr>
          <w:fldChar w:fldCharType="separate"/>
        </w:r>
        <w:r w:rsidR="0097124F">
          <w:rPr>
            <w:noProof/>
            <w:webHidden/>
          </w:rPr>
          <w:t>5</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11" w:history="1">
        <w:r w:rsidR="005E6B53" w:rsidRPr="00E765CC">
          <w:rPr>
            <w:rStyle w:val="Hyperlink"/>
            <w:noProof/>
          </w:rPr>
          <w:t>Anhang II (gestrichen)</w:t>
        </w:r>
        <w:r w:rsidR="005E6B53">
          <w:rPr>
            <w:noProof/>
            <w:webHidden/>
          </w:rPr>
          <w:tab/>
        </w:r>
        <w:r w:rsidR="005E6B53">
          <w:rPr>
            <w:noProof/>
            <w:webHidden/>
          </w:rPr>
          <w:fldChar w:fldCharType="begin"/>
        </w:r>
        <w:r w:rsidR="005E6B53">
          <w:rPr>
            <w:noProof/>
            <w:webHidden/>
          </w:rPr>
          <w:instrText xml:space="preserve"> PAGEREF _Toc420476111 \h </w:instrText>
        </w:r>
        <w:r w:rsidR="005E6B53">
          <w:rPr>
            <w:noProof/>
            <w:webHidden/>
          </w:rPr>
        </w:r>
        <w:r w:rsidR="005E6B53">
          <w:rPr>
            <w:noProof/>
            <w:webHidden/>
          </w:rPr>
          <w:fldChar w:fldCharType="separate"/>
        </w:r>
        <w:r w:rsidR="0097124F">
          <w:rPr>
            <w:noProof/>
            <w:webHidden/>
          </w:rPr>
          <w:t>6</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12" w:history="1">
        <w:r w:rsidR="005E6B53" w:rsidRPr="00E765CC">
          <w:rPr>
            <w:rStyle w:val="Hyperlink"/>
            <w:noProof/>
          </w:rPr>
          <w:t>Anhang III</w:t>
        </w:r>
        <w:r w:rsidR="005E6B53">
          <w:rPr>
            <w:noProof/>
            <w:webHidden/>
          </w:rPr>
          <w:tab/>
        </w:r>
        <w:r w:rsidR="005E6B53">
          <w:rPr>
            <w:noProof/>
            <w:webHidden/>
          </w:rPr>
          <w:fldChar w:fldCharType="begin"/>
        </w:r>
        <w:r w:rsidR="005E6B53">
          <w:rPr>
            <w:noProof/>
            <w:webHidden/>
          </w:rPr>
          <w:instrText xml:space="preserve"> PAGEREF _Toc420476112 \h </w:instrText>
        </w:r>
        <w:r w:rsidR="005E6B53">
          <w:rPr>
            <w:noProof/>
            <w:webHidden/>
          </w:rPr>
        </w:r>
        <w:r w:rsidR="005E6B53">
          <w:rPr>
            <w:noProof/>
            <w:webHidden/>
          </w:rPr>
          <w:fldChar w:fldCharType="separate"/>
        </w:r>
        <w:r w:rsidR="0097124F">
          <w:rPr>
            <w:noProof/>
            <w:webHidden/>
          </w:rPr>
          <w:t>6</w:t>
        </w:r>
        <w:r w:rsidR="005E6B53">
          <w:rPr>
            <w:noProof/>
            <w:webHidden/>
          </w:rPr>
          <w:fldChar w:fldCharType="end"/>
        </w:r>
      </w:hyperlink>
    </w:p>
    <w:p w:rsidR="005E6B53" w:rsidRDefault="00F37477">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0476113" w:history="1">
        <w:r w:rsidR="005E6B53" w:rsidRPr="00E765CC">
          <w:rPr>
            <w:rStyle w:val="Hyperlink"/>
            <w:noProof/>
          </w:rPr>
          <w:t>Anhang IV</w:t>
        </w:r>
        <w:r w:rsidR="005E6B53">
          <w:rPr>
            <w:noProof/>
            <w:webHidden/>
          </w:rPr>
          <w:tab/>
        </w:r>
        <w:r w:rsidR="005E6B53">
          <w:rPr>
            <w:noProof/>
            <w:webHidden/>
          </w:rPr>
          <w:fldChar w:fldCharType="begin"/>
        </w:r>
        <w:r w:rsidR="005E6B53">
          <w:rPr>
            <w:noProof/>
            <w:webHidden/>
          </w:rPr>
          <w:instrText xml:space="preserve"> PAGEREF _Toc420476113 \h </w:instrText>
        </w:r>
        <w:r w:rsidR="005E6B53">
          <w:rPr>
            <w:noProof/>
            <w:webHidden/>
          </w:rPr>
        </w:r>
        <w:r w:rsidR="005E6B53">
          <w:rPr>
            <w:noProof/>
            <w:webHidden/>
          </w:rPr>
          <w:fldChar w:fldCharType="separate"/>
        </w:r>
        <w:r w:rsidR="0097124F">
          <w:rPr>
            <w:noProof/>
            <w:webHidden/>
          </w:rPr>
          <w:t>6</w:t>
        </w:r>
        <w:r w:rsidR="005E6B53">
          <w:rPr>
            <w:noProof/>
            <w:webHidden/>
          </w:rPr>
          <w:fldChar w:fldCharType="end"/>
        </w:r>
      </w:hyperlink>
    </w:p>
    <w:p w:rsidR="007F0977" w:rsidRPr="006467DA" w:rsidRDefault="005E6B53" w:rsidP="006467DA">
      <w:pPr>
        <w:pStyle w:val="GesAbsatz"/>
      </w:pPr>
      <w:r>
        <w:fldChar w:fldCharType="end"/>
      </w:r>
    </w:p>
    <w:p w:rsidR="00A87BC7" w:rsidRDefault="00A87BC7" w:rsidP="00A87BC7">
      <w:pPr>
        <w:pStyle w:val="GesAbsatz"/>
      </w:pPr>
      <w:r>
        <w:t xml:space="preserve">DER RAT DER EUROPÄISCHEN GEMEINSCHAFTEN </w:t>
      </w:r>
      <w:r w:rsidR="007F0977">
        <w:t>-</w:t>
      </w:r>
    </w:p>
    <w:p w:rsidR="00A87BC7" w:rsidRDefault="00A87BC7" w:rsidP="00A87BC7">
      <w:pPr>
        <w:pStyle w:val="GesAbsatz"/>
      </w:pPr>
      <w:r>
        <w:t>gestützt auf den Vertrag zur Gründung der Europäischen Wirtschaftsgemeinschaft,</w:t>
      </w:r>
      <w:r w:rsidR="007F0977">
        <w:t xml:space="preserve"> </w:t>
      </w:r>
      <w:r>
        <w:t>insbesondere auf die Artikel 100 und 235,</w:t>
      </w:r>
    </w:p>
    <w:p w:rsidR="00A87BC7" w:rsidRDefault="00A87BC7" w:rsidP="00A87BC7">
      <w:pPr>
        <w:pStyle w:val="GesAbsatz"/>
      </w:pPr>
      <w:r>
        <w:t>gestützt auf die Richtlinie 76/464/EWG des Rates vom 4. Mai 1976</w:t>
      </w:r>
      <w:r w:rsidR="007F0977">
        <w:t xml:space="preserve"> </w:t>
      </w:r>
      <w:r>
        <w:t>betreffend die Verschmutzung infolge der Ableitung bestimmter</w:t>
      </w:r>
      <w:r w:rsidR="007F0977">
        <w:t xml:space="preserve"> </w:t>
      </w:r>
      <w:r>
        <w:t>gefährlicher Stoffe in die Gewässer der Gemeinschaft</w:t>
      </w:r>
      <w:r w:rsidR="007F0977">
        <w:rPr>
          <w:rStyle w:val="Funotenzeichen"/>
        </w:rPr>
        <w:footnoteReference w:id="1"/>
      </w:r>
      <w:r>
        <w:t>, insbesondere</w:t>
      </w:r>
      <w:r w:rsidR="007F0977">
        <w:t xml:space="preserve"> </w:t>
      </w:r>
      <w:r>
        <w:t>auf die Artikel 6 und 12,</w:t>
      </w:r>
    </w:p>
    <w:p w:rsidR="00A87BC7" w:rsidRDefault="00A87BC7" w:rsidP="00A87BC7">
      <w:pPr>
        <w:pStyle w:val="GesAbsatz"/>
      </w:pPr>
      <w:r>
        <w:t>auf Vorschlag der Kommission</w:t>
      </w:r>
      <w:r w:rsidR="007F0977">
        <w:rPr>
          <w:rStyle w:val="Funotenzeichen"/>
        </w:rPr>
        <w:footnoteReference w:id="2"/>
      </w:r>
      <w:r>
        <w:t>,</w:t>
      </w:r>
    </w:p>
    <w:p w:rsidR="00A87BC7" w:rsidRDefault="00A87BC7" w:rsidP="00A87BC7">
      <w:pPr>
        <w:pStyle w:val="GesAbsatz"/>
      </w:pPr>
      <w:r>
        <w:t>nach Stellungnahme des Europäischen Parlaments</w:t>
      </w:r>
      <w:r w:rsidR="007F0977">
        <w:rPr>
          <w:rStyle w:val="Funotenzeichen"/>
        </w:rPr>
        <w:footnoteReference w:id="3"/>
      </w:r>
      <w:r>
        <w:t>,</w:t>
      </w:r>
    </w:p>
    <w:p w:rsidR="00A87BC7" w:rsidRDefault="00A87BC7" w:rsidP="00A87BC7">
      <w:pPr>
        <w:pStyle w:val="GesAbsatz"/>
      </w:pPr>
      <w:r>
        <w:t>nach Stellungnahme des Wirtschafts- und Sozialausschusses</w:t>
      </w:r>
      <w:r w:rsidR="007F0977">
        <w:rPr>
          <w:rStyle w:val="Funotenzeichen"/>
        </w:rPr>
        <w:footnoteReference w:id="4"/>
      </w:r>
      <w:r>
        <w:t>,</w:t>
      </w:r>
    </w:p>
    <w:p w:rsidR="00A87BC7" w:rsidRDefault="00A87BC7" w:rsidP="00A87BC7">
      <w:pPr>
        <w:pStyle w:val="GesAbsatz"/>
      </w:pPr>
      <w:r>
        <w:t>in Erwägung nachstehender Gründe:</w:t>
      </w:r>
    </w:p>
    <w:p w:rsidR="00A87BC7" w:rsidRDefault="00A87BC7" w:rsidP="00A87BC7">
      <w:pPr>
        <w:pStyle w:val="GesAbsatz"/>
      </w:pPr>
      <w:r>
        <w:t>Zum Schutz der Gewässer der Gemeinschaft gegen die Verschmutzung</w:t>
      </w:r>
      <w:r w:rsidR="007F0977">
        <w:t xml:space="preserve"> </w:t>
      </w:r>
      <w:r>
        <w:t>durch bestimmte gefährliche Stoffe wurde durch Artikel 3 der Richtlinie</w:t>
      </w:r>
      <w:r w:rsidR="007F0977">
        <w:t xml:space="preserve"> </w:t>
      </w:r>
      <w:r>
        <w:t>76/464/EWG eine Regelung vorheriger Genehmigungen eingeführt, mit</w:t>
      </w:r>
      <w:r w:rsidR="007F0977">
        <w:t xml:space="preserve"> </w:t>
      </w:r>
      <w:r>
        <w:t>denen Emissionsnormen für die Ableitung der in Liste I des Anhangs</w:t>
      </w:r>
      <w:r w:rsidR="007F0977">
        <w:t xml:space="preserve"> </w:t>
      </w:r>
      <w:r>
        <w:t>aufgeführten Stoffe festgesetzt werden. Artikel 6 derselben Richtlinie</w:t>
      </w:r>
      <w:r w:rsidR="007F0977">
        <w:t xml:space="preserve"> </w:t>
      </w:r>
      <w:r>
        <w:t>sieht die Festsetzung von Grenzwerten für die Emissionsnormen sowie</w:t>
      </w:r>
      <w:r w:rsidR="007F0977">
        <w:t xml:space="preserve"> </w:t>
      </w:r>
      <w:r>
        <w:t>von Qualitätszielen für die verunreinigten Gewässer vor, die durch</w:t>
      </w:r>
      <w:r w:rsidR="007F0977">
        <w:t xml:space="preserve"> </w:t>
      </w:r>
      <w:r>
        <w:t>Ableitungen der genannten Stoffe betroffen sind.</w:t>
      </w:r>
    </w:p>
    <w:p w:rsidR="00A87BC7" w:rsidRDefault="00A87BC7" w:rsidP="00A87BC7">
      <w:pPr>
        <w:pStyle w:val="GesAbsatz"/>
      </w:pPr>
      <w:r>
        <w:t>Das Hexachlorcyclohexan, nachstehend „HCH“ genannt, ist eine</w:t>
      </w:r>
      <w:r w:rsidR="007F0977">
        <w:t xml:space="preserve"> </w:t>
      </w:r>
      <w:r>
        <w:t>organische Halogen-Verbindung und g</w:t>
      </w:r>
      <w:r>
        <w:t>e</w:t>
      </w:r>
      <w:r>
        <w:t>hört wegen seiner Toxizität,</w:t>
      </w:r>
      <w:r w:rsidR="007F0977">
        <w:t xml:space="preserve"> </w:t>
      </w:r>
      <w:r>
        <w:t>seiner Langlebigkeit und seiner Bioakkumulation in die Liste I.</w:t>
      </w:r>
    </w:p>
    <w:p w:rsidR="00A87BC7" w:rsidRDefault="00A87BC7" w:rsidP="00A87BC7">
      <w:pPr>
        <w:pStyle w:val="GesAbsatz"/>
      </w:pPr>
      <w:r>
        <w:t>Die Mitgliedstaaten müssen die Grenzwerte beachten, ausgenommen in</w:t>
      </w:r>
      <w:r w:rsidR="007F0977">
        <w:t xml:space="preserve"> </w:t>
      </w:r>
      <w:r>
        <w:t>den Fällen, in denen sie die Qual</w:t>
      </w:r>
      <w:r>
        <w:t>i</w:t>
      </w:r>
      <w:r>
        <w:t>tätsziele anwenden können.</w:t>
      </w:r>
    </w:p>
    <w:p w:rsidR="00A87BC7" w:rsidRDefault="00A87BC7" w:rsidP="00A87BC7">
      <w:pPr>
        <w:pStyle w:val="GesAbsatz"/>
      </w:pPr>
      <w:r>
        <w:t>Die durch die direkte Ableitung von HCH in die Gewässer verursachte</w:t>
      </w:r>
      <w:r w:rsidR="007F0977">
        <w:t xml:space="preserve"> </w:t>
      </w:r>
      <w:r>
        <w:t>Verschmutzung ist weitgehend auf die Betriebe zurückzuführen, die</w:t>
      </w:r>
      <w:r w:rsidR="007F0977">
        <w:t xml:space="preserve"> </w:t>
      </w:r>
      <w:r>
        <w:t>diesen Stoff herstellen, verarbeiten oder außerdem am gleichen Ort</w:t>
      </w:r>
      <w:r w:rsidR="007F0977">
        <w:t xml:space="preserve"> </w:t>
      </w:r>
      <w:r>
        <w:t>formuli</w:t>
      </w:r>
      <w:r>
        <w:t>e</w:t>
      </w:r>
      <w:r>
        <w:lastRenderedPageBreak/>
        <w:t>ren; daher müssen für die Abwasserableitungen aus diesen</w:t>
      </w:r>
      <w:r w:rsidR="007F0977">
        <w:t xml:space="preserve"> </w:t>
      </w:r>
      <w:r>
        <w:t>Betrieben Grenzwerte und für die Gewässer, in die HCH von diesen</w:t>
      </w:r>
      <w:r w:rsidR="007F0977">
        <w:t xml:space="preserve"> </w:t>
      </w:r>
      <w:r>
        <w:t>Betrieben abgeleitet wird, Qualitätsziele festgelegt werden.</w:t>
      </w:r>
    </w:p>
    <w:p w:rsidR="00A87BC7" w:rsidRDefault="00A87BC7" w:rsidP="00A87BC7">
      <w:pPr>
        <w:pStyle w:val="GesAbsatz"/>
      </w:pPr>
      <w:r>
        <w:t>Die Auswirkungen der anderen unmittelbaren Verschmutzungsquellen</w:t>
      </w:r>
      <w:r w:rsidR="007F0977">
        <w:t xml:space="preserve"> </w:t>
      </w:r>
      <w:r>
        <w:t>von HCH industriellen Ursprungs sind ebenfalls erheblich. Es ist deshalb</w:t>
      </w:r>
      <w:r w:rsidR="007F0977">
        <w:t xml:space="preserve"> </w:t>
      </w:r>
      <w:r>
        <w:t>angezeigt, daß die Mitgliedstaaten für diese Ableitungen, bei denen es</w:t>
      </w:r>
      <w:r w:rsidR="007F0977">
        <w:t xml:space="preserve"> </w:t>
      </w:r>
      <w:r>
        <w:t>aus technischen Gründen unmöglich ist, auf Gemeinschaftsebene</w:t>
      </w:r>
      <w:r w:rsidR="007F0977">
        <w:t xml:space="preserve"> </w:t>
      </w:r>
      <w:r>
        <w:t>Emissionsgrenzwerte festzulegen, von sich aus unter Berücksichtigung</w:t>
      </w:r>
      <w:r w:rsidR="007F0977">
        <w:t xml:space="preserve"> </w:t>
      </w:r>
      <w:r>
        <w:t>der besten verfügbaren technischen Mittel Emissionsnormen festlegen.</w:t>
      </w:r>
    </w:p>
    <w:p w:rsidR="00A87BC7" w:rsidRDefault="00A87BC7" w:rsidP="00A87BC7">
      <w:pPr>
        <w:pStyle w:val="GesAbsatz"/>
      </w:pPr>
      <w:r>
        <w:t>Die Mitgliedstaaten haben dafür zu sorgen, daß die im Vollzug der</w:t>
      </w:r>
      <w:r w:rsidR="007F0977">
        <w:t xml:space="preserve"> </w:t>
      </w:r>
      <w:r>
        <w:t>vorliegenden Richtlinie erlassenen Ma</w:t>
      </w:r>
      <w:r>
        <w:t>ß</w:t>
      </w:r>
      <w:r>
        <w:t>nahmen nicht zu einer stärkeren</w:t>
      </w:r>
      <w:r w:rsidR="007F0977">
        <w:t xml:space="preserve"> </w:t>
      </w:r>
      <w:r>
        <w:t>Luft- und Bodenverschmutzung führen können.</w:t>
      </w:r>
    </w:p>
    <w:p w:rsidR="00A87BC7" w:rsidRDefault="00A87BC7" w:rsidP="00A87BC7">
      <w:pPr>
        <w:pStyle w:val="GesAbsatz"/>
      </w:pPr>
      <w:r>
        <w:t>Damit die Mitgliedstaaten nachweisen können, daß die Qualitätsziele</w:t>
      </w:r>
      <w:r w:rsidR="007F0977">
        <w:t xml:space="preserve"> </w:t>
      </w:r>
      <w:r>
        <w:t>eingehalten werden, muß ein besond</w:t>
      </w:r>
      <w:r>
        <w:t>e</w:t>
      </w:r>
      <w:r>
        <w:t>res Überwachungsverfahren</w:t>
      </w:r>
      <w:r w:rsidR="007F0977">
        <w:t xml:space="preserve"> </w:t>
      </w:r>
      <w:r>
        <w:t>vorgesehen werden.</w:t>
      </w:r>
    </w:p>
    <w:p w:rsidR="00A87BC7" w:rsidRDefault="00A87BC7" w:rsidP="00A87BC7">
      <w:pPr>
        <w:pStyle w:val="GesAbsatz"/>
      </w:pPr>
      <w:r>
        <w:t>Im Hinblick auf eine wirksame Anwendung dieser Richtlinie ist</w:t>
      </w:r>
      <w:r w:rsidR="007F0977">
        <w:t xml:space="preserve"> </w:t>
      </w:r>
      <w:r>
        <w:t>vorzusehen, daß die Mitgliedstaaten die von den obengenannten HCH</w:t>
      </w:r>
      <w:r w:rsidR="007F0977">
        <w:t>-</w:t>
      </w:r>
      <w:r>
        <w:t>Ableitungen</w:t>
      </w:r>
      <w:r w:rsidR="007F0977">
        <w:t xml:space="preserve"> </w:t>
      </w:r>
      <w:r>
        <w:t>betroffenen Gewässer überwachen.</w:t>
      </w:r>
    </w:p>
    <w:p w:rsidR="00A87BC7" w:rsidRDefault="00A87BC7" w:rsidP="00A87BC7">
      <w:pPr>
        <w:pStyle w:val="GesAbsatz"/>
      </w:pPr>
      <w:r>
        <w:t>Es ist</w:t>
      </w:r>
      <w:r w:rsidR="007F0977">
        <w:t xml:space="preserve"> </w:t>
      </w:r>
      <w:r>
        <w:t>erforderlich, daß die Kommission dem Rat</w:t>
      </w:r>
      <w:r w:rsidR="0016698F">
        <w:t xml:space="preserve"> </w:t>
      </w:r>
      <w:r>
        <w:t>alle fünf Jahre über die</w:t>
      </w:r>
      <w:r w:rsidR="0016698F">
        <w:t xml:space="preserve"> </w:t>
      </w:r>
      <w:r>
        <w:t>Anwendung dieser Richtlinie durch die Mitgliedstaaten Bericht erstattet.</w:t>
      </w:r>
    </w:p>
    <w:p w:rsidR="00A87BC7" w:rsidRDefault="00A87BC7" w:rsidP="00A87BC7">
      <w:pPr>
        <w:pStyle w:val="GesAbsatz"/>
      </w:pPr>
      <w:r>
        <w:t>Da für Grundwasser die Richtlinie 80/68/EWG</w:t>
      </w:r>
      <w:r w:rsidR="0016698F">
        <w:rPr>
          <w:rStyle w:val="Funotenzeichen"/>
        </w:rPr>
        <w:footnoteReference w:id="5"/>
      </w:r>
      <w:r>
        <w:t xml:space="preserve"> erlassen worden ist,</w:t>
      </w:r>
      <w:r w:rsidR="0016698F">
        <w:t xml:space="preserve"> </w:t>
      </w:r>
      <w:r>
        <w:t>fällt</w:t>
      </w:r>
      <w:r w:rsidR="0016698F">
        <w:t xml:space="preserve"> </w:t>
      </w:r>
      <w:r>
        <w:t>es nicht</w:t>
      </w:r>
      <w:r w:rsidR="0016698F">
        <w:t xml:space="preserve"> </w:t>
      </w:r>
      <w:r>
        <w:t xml:space="preserve">in den Anwendungsbereich der vorliegenden Richtlinie </w:t>
      </w:r>
      <w:r w:rsidR="0016698F">
        <w:t>-</w:t>
      </w:r>
    </w:p>
    <w:p w:rsidR="00A87BC7" w:rsidRDefault="00A87BC7" w:rsidP="00A87BC7">
      <w:pPr>
        <w:pStyle w:val="GesAbsatz"/>
      </w:pPr>
      <w:r>
        <w:t>HAT FOLGENDE RICHTLINIE ERLASSEN:</w:t>
      </w:r>
    </w:p>
    <w:p w:rsidR="00A87BC7" w:rsidRDefault="00A87BC7" w:rsidP="0016698F">
      <w:pPr>
        <w:pStyle w:val="berschrift2"/>
      </w:pPr>
      <w:bookmarkStart w:id="2" w:name="_Toc420476103"/>
      <w:r>
        <w:t>Artikel 1</w:t>
      </w:r>
      <w:bookmarkEnd w:id="2"/>
    </w:p>
    <w:p w:rsidR="00A87BC7" w:rsidRDefault="00A87BC7" w:rsidP="00A87BC7">
      <w:pPr>
        <w:pStyle w:val="GesAbsatz"/>
      </w:pPr>
      <w:r>
        <w:t>(1) Diese Richtlinie</w:t>
      </w:r>
    </w:p>
    <w:p w:rsidR="00A87BC7" w:rsidRDefault="0016698F" w:rsidP="0016698F">
      <w:pPr>
        <w:pStyle w:val="GesAbsatz"/>
        <w:ind w:left="426" w:hanging="426"/>
      </w:pPr>
      <w:r>
        <w:t>-</w:t>
      </w:r>
      <w:r>
        <w:tab/>
      </w:r>
      <w:r w:rsidR="00A87BC7">
        <w:t>legt gemäß Artikel 6 Absatz 1 der Richtlinie 76/464/EWG Grenzwerte</w:t>
      </w:r>
      <w:r>
        <w:t xml:space="preserve"> </w:t>
      </w:r>
      <w:r w:rsidR="00A87BC7">
        <w:t>für Emissionsnormen für HCH in Ableitungen aus</w:t>
      </w:r>
      <w:r>
        <w:t xml:space="preserve"> </w:t>
      </w:r>
      <w:r w:rsidR="00A87BC7">
        <w:t>Industriebetrieben im Sinne des Artikels 2 Buchstabe g) der</w:t>
      </w:r>
      <w:r>
        <w:t xml:space="preserve"> </w:t>
      </w:r>
      <w:r w:rsidR="00A87BC7">
        <w:t>vorliegenden Richtlinie fest;</w:t>
      </w:r>
    </w:p>
    <w:p w:rsidR="00A87BC7" w:rsidRDefault="0016698F" w:rsidP="0016698F">
      <w:pPr>
        <w:pStyle w:val="GesAbsatz"/>
        <w:ind w:left="426" w:hanging="426"/>
      </w:pPr>
      <w:r>
        <w:t>-</w:t>
      </w:r>
      <w:r>
        <w:tab/>
      </w:r>
      <w:r w:rsidR="00A87BC7">
        <w:t>legt gemäß Artikel 6 Absatz 2 der Richtlinie 76/464/EWG</w:t>
      </w:r>
      <w:r>
        <w:t xml:space="preserve"> </w:t>
      </w:r>
      <w:r w:rsidR="00A87BC7">
        <w:t>Qualitätsziele für Gewässer in bezug auf HCH fest;</w:t>
      </w:r>
    </w:p>
    <w:p w:rsidR="00A87BC7" w:rsidRDefault="0016698F" w:rsidP="0016698F">
      <w:pPr>
        <w:pStyle w:val="GesAbsatz"/>
        <w:ind w:left="426" w:hanging="426"/>
      </w:pPr>
      <w:r>
        <w:t>-</w:t>
      </w:r>
      <w:r>
        <w:tab/>
      </w:r>
      <w:r w:rsidR="00A87BC7">
        <w:t>legt gemäß Artikel 6 Absatz 4 der Richtlinie 76/464/EWG die</w:t>
      </w:r>
      <w:r>
        <w:t xml:space="preserve"> </w:t>
      </w:r>
      <w:r w:rsidR="00A87BC7">
        <w:t>Fristen zur Erfüllung der Voraussetzungen für die von den</w:t>
      </w:r>
      <w:r>
        <w:t xml:space="preserve"> </w:t>
      </w:r>
      <w:r w:rsidR="00A87BC7">
        <w:t>zuständigen Stellen der Mitgliedstaaten für bestehende Ableitungen</w:t>
      </w:r>
      <w:r>
        <w:t xml:space="preserve"> </w:t>
      </w:r>
      <w:r w:rsidR="00A87BC7">
        <w:t>bewilligten Gene</w:t>
      </w:r>
      <w:r w:rsidR="00A87BC7">
        <w:t>h</w:t>
      </w:r>
      <w:r w:rsidR="00A87BC7">
        <w:t>migungen fest;</w:t>
      </w:r>
    </w:p>
    <w:p w:rsidR="00A87BC7" w:rsidRDefault="0016698F" w:rsidP="0016698F">
      <w:pPr>
        <w:pStyle w:val="GesAbsatz"/>
        <w:ind w:left="426" w:hanging="426"/>
      </w:pPr>
      <w:r>
        <w:t>-</w:t>
      </w:r>
      <w:r>
        <w:tab/>
      </w:r>
      <w:r w:rsidR="00A87BC7">
        <w:t>legt gemäß Artikel 12 Absatz 1 der Richtlinie 76/464/EWG die</w:t>
      </w:r>
      <w:r>
        <w:t xml:space="preserve"> </w:t>
      </w:r>
      <w:r w:rsidR="00A87BC7">
        <w:t>Referenzmessverfahren für die Besti</w:t>
      </w:r>
      <w:r w:rsidR="00A87BC7">
        <w:t>m</w:t>
      </w:r>
      <w:r w:rsidR="00A87BC7">
        <w:t>mung der HCH-Konzentration</w:t>
      </w:r>
      <w:r>
        <w:t xml:space="preserve"> </w:t>
      </w:r>
      <w:r w:rsidR="00A87BC7">
        <w:t>in Ableitungen und in Gewässern fest;</w:t>
      </w:r>
    </w:p>
    <w:p w:rsidR="00A87BC7" w:rsidRDefault="0016698F" w:rsidP="0016698F">
      <w:pPr>
        <w:pStyle w:val="GesAbsatz"/>
        <w:ind w:left="426" w:hanging="426"/>
      </w:pPr>
      <w:r>
        <w:t>-</w:t>
      </w:r>
      <w:r>
        <w:tab/>
      </w:r>
      <w:r w:rsidR="00A87BC7">
        <w:t>legt gemäß Artikel 6 Absatz 3 der Richtlinie 76/464/EWG ein</w:t>
      </w:r>
      <w:r>
        <w:t xml:space="preserve"> </w:t>
      </w:r>
      <w:r w:rsidR="00A87BC7">
        <w:t>Überwachungsverfahren fest;</w:t>
      </w:r>
    </w:p>
    <w:p w:rsidR="00A87BC7" w:rsidRDefault="0016698F" w:rsidP="0016698F">
      <w:pPr>
        <w:pStyle w:val="GesAbsatz"/>
        <w:ind w:left="426" w:hanging="426"/>
      </w:pPr>
      <w:r>
        <w:t>-</w:t>
      </w:r>
      <w:r>
        <w:tab/>
      </w:r>
      <w:r w:rsidR="00A87BC7">
        <w:t>schreibt den Mitgliedstaaten vor, im Falle von Ableitungen, die die</w:t>
      </w:r>
      <w:r>
        <w:t xml:space="preserve"> </w:t>
      </w:r>
      <w:r w:rsidR="00A87BC7">
        <w:t>Gewässer mehrerer Mitgliedstaaten betreffen, zusammenzuarbeiten.</w:t>
      </w:r>
    </w:p>
    <w:p w:rsidR="00A87BC7" w:rsidRDefault="00A87BC7" w:rsidP="00A87BC7">
      <w:pPr>
        <w:pStyle w:val="GesAbsatz"/>
      </w:pPr>
      <w:r>
        <w:t>(2) Diese Richtlinie findet auf die in Artikel 1 der Richtlinie 76/464/EWG genannten Gewässer mit Ausnahme des Grundwassers Anwendung.</w:t>
      </w:r>
    </w:p>
    <w:p w:rsidR="00A87BC7" w:rsidRDefault="00A87BC7" w:rsidP="0016698F">
      <w:pPr>
        <w:pStyle w:val="berschrift2"/>
      </w:pPr>
      <w:bookmarkStart w:id="3" w:name="_Toc420476104"/>
      <w:r>
        <w:t>Artikel 2</w:t>
      </w:r>
      <w:bookmarkEnd w:id="3"/>
    </w:p>
    <w:p w:rsidR="00A87BC7" w:rsidRDefault="00A87BC7" w:rsidP="00A87BC7">
      <w:pPr>
        <w:pStyle w:val="GesAbsatz"/>
      </w:pPr>
      <w:r>
        <w:t>Im Sinne dieser Richtlinie sind:</w:t>
      </w:r>
    </w:p>
    <w:p w:rsidR="00A87BC7" w:rsidRDefault="00A87BC7" w:rsidP="00A87BC7">
      <w:pPr>
        <w:pStyle w:val="GesAbsatz"/>
      </w:pPr>
      <w:r>
        <w:t>a)</w:t>
      </w:r>
      <w:r w:rsidR="0016698F">
        <w:tab/>
      </w:r>
      <w:r>
        <w:t>HCH:</w:t>
      </w:r>
    </w:p>
    <w:p w:rsidR="00A87BC7" w:rsidRDefault="00A87BC7" w:rsidP="0016698F">
      <w:pPr>
        <w:pStyle w:val="GesAbsatz"/>
        <w:ind w:left="426"/>
      </w:pPr>
      <w:r>
        <w:t>die Isomere des 1,2,3,4,5,6-Hexachlorcyclohexans;</w:t>
      </w:r>
    </w:p>
    <w:p w:rsidR="00A87BC7" w:rsidRDefault="00A87BC7" w:rsidP="00A87BC7">
      <w:pPr>
        <w:pStyle w:val="GesAbsatz"/>
      </w:pPr>
      <w:r>
        <w:t>b)</w:t>
      </w:r>
      <w:r w:rsidR="0016698F">
        <w:tab/>
      </w:r>
      <w:r>
        <w:t>Lindan:</w:t>
      </w:r>
    </w:p>
    <w:p w:rsidR="00A87BC7" w:rsidRDefault="00A87BC7" w:rsidP="0016698F">
      <w:pPr>
        <w:pStyle w:val="GesAbsatz"/>
        <w:ind w:left="426"/>
      </w:pPr>
      <w:r>
        <w:t xml:space="preserve">ein Erzeugnis, das zu mindestens 99 % aus dem </w:t>
      </w:r>
      <w:r w:rsidR="0016698F">
        <w:sym w:font="Symbol" w:char="F067"/>
      </w:r>
      <w:r>
        <w:t>-Isomer des</w:t>
      </w:r>
      <w:r w:rsidR="0016698F">
        <w:t xml:space="preserve"> </w:t>
      </w:r>
      <w:r>
        <w:t>1,2,3,4,5,6-Hexachlorcyclohexans b</w:t>
      </w:r>
      <w:r>
        <w:t>e</w:t>
      </w:r>
      <w:r>
        <w:t>steht;</w:t>
      </w:r>
    </w:p>
    <w:p w:rsidR="00A87BC7" w:rsidRDefault="00A87BC7" w:rsidP="00A87BC7">
      <w:pPr>
        <w:pStyle w:val="GesAbsatz"/>
      </w:pPr>
      <w:r>
        <w:t>c)</w:t>
      </w:r>
      <w:r w:rsidR="0016698F">
        <w:tab/>
      </w:r>
      <w:r>
        <w:t>Extraktion von Lindan:</w:t>
      </w:r>
    </w:p>
    <w:p w:rsidR="00A87BC7" w:rsidRDefault="00A87BC7" w:rsidP="0016698F">
      <w:pPr>
        <w:pStyle w:val="GesAbsatz"/>
        <w:ind w:left="426"/>
      </w:pPr>
      <w:r>
        <w:t>die Abtrennung von Lindan aus einer Mischung von Hexachlorcyclohexan-Isomeren;</w:t>
      </w:r>
    </w:p>
    <w:p w:rsidR="00A87BC7" w:rsidRDefault="00A87BC7" w:rsidP="00A87BC7">
      <w:pPr>
        <w:pStyle w:val="GesAbsatz"/>
      </w:pPr>
      <w:r>
        <w:t>d)</w:t>
      </w:r>
      <w:r w:rsidR="0016698F">
        <w:tab/>
      </w:r>
      <w:r>
        <w:t>Grenzwerte:</w:t>
      </w:r>
    </w:p>
    <w:p w:rsidR="00A87BC7" w:rsidRDefault="00A87BC7" w:rsidP="0016698F">
      <w:pPr>
        <w:pStyle w:val="GesAbsatz"/>
        <w:ind w:left="426"/>
      </w:pPr>
      <w:r>
        <w:t>die in Anhang I genannten Werte;</w:t>
      </w:r>
    </w:p>
    <w:p w:rsidR="00A87BC7" w:rsidRDefault="00A87BC7" w:rsidP="00A87BC7">
      <w:pPr>
        <w:pStyle w:val="GesAbsatz"/>
      </w:pPr>
      <w:r>
        <w:t>e)</w:t>
      </w:r>
      <w:r w:rsidR="0016698F">
        <w:tab/>
      </w:r>
      <w:r>
        <w:t>Qualitätsziele:</w:t>
      </w:r>
    </w:p>
    <w:p w:rsidR="00A87BC7" w:rsidRDefault="00A87BC7" w:rsidP="0016698F">
      <w:pPr>
        <w:pStyle w:val="GesAbsatz"/>
        <w:ind w:left="426"/>
      </w:pPr>
      <w:r>
        <w:lastRenderedPageBreak/>
        <w:t>die in Anhang II genannten Anforderungen;</w:t>
      </w:r>
    </w:p>
    <w:p w:rsidR="00A87BC7" w:rsidRDefault="00A87BC7" w:rsidP="00A87BC7">
      <w:pPr>
        <w:pStyle w:val="GesAbsatz"/>
      </w:pPr>
      <w:r>
        <w:t>f)</w:t>
      </w:r>
      <w:r w:rsidR="0016698F">
        <w:tab/>
      </w:r>
      <w:r>
        <w:t>Verwendung von HCH:</w:t>
      </w:r>
    </w:p>
    <w:p w:rsidR="00A87BC7" w:rsidRDefault="00A87BC7" w:rsidP="0016698F">
      <w:pPr>
        <w:pStyle w:val="GesAbsatz"/>
        <w:ind w:left="426"/>
      </w:pPr>
      <w:r>
        <w:t>jedes industrielle Verfahren, bei dem HCH hergestellt oder benutzt</w:t>
      </w:r>
      <w:r w:rsidR="0016698F">
        <w:t xml:space="preserve"> </w:t>
      </w:r>
      <w:r>
        <w:t>wird, oder jedes andere industrielle Verfahren, bei dem HCH auftritt;</w:t>
      </w:r>
    </w:p>
    <w:p w:rsidR="00A87BC7" w:rsidRDefault="00A87BC7" w:rsidP="00A87BC7">
      <w:pPr>
        <w:pStyle w:val="GesAbsatz"/>
      </w:pPr>
      <w:r>
        <w:t>g)</w:t>
      </w:r>
      <w:r w:rsidR="0016698F">
        <w:tab/>
      </w:r>
      <w:r>
        <w:t>Industriebetrieb:</w:t>
      </w:r>
    </w:p>
    <w:p w:rsidR="00A87BC7" w:rsidRDefault="00A87BC7" w:rsidP="0016698F">
      <w:pPr>
        <w:pStyle w:val="GesAbsatz"/>
        <w:ind w:left="426"/>
      </w:pPr>
      <w:r>
        <w:t>jeder Betrieb, in dem HCH oder HCH-haltige Stoffe verwendet</w:t>
      </w:r>
      <w:r w:rsidR="0016698F">
        <w:t xml:space="preserve"> </w:t>
      </w:r>
      <w:r>
        <w:t>werden;</w:t>
      </w:r>
    </w:p>
    <w:p w:rsidR="00A87BC7" w:rsidRDefault="00A87BC7" w:rsidP="00A87BC7">
      <w:pPr>
        <w:pStyle w:val="GesAbsatz"/>
      </w:pPr>
      <w:r>
        <w:t>h)</w:t>
      </w:r>
      <w:r w:rsidR="0016698F">
        <w:tab/>
      </w:r>
      <w:r>
        <w:t>bestehender Betrieb:</w:t>
      </w:r>
    </w:p>
    <w:p w:rsidR="00A87BC7" w:rsidRDefault="00A87BC7" w:rsidP="0016698F">
      <w:pPr>
        <w:pStyle w:val="GesAbsatz"/>
        <w:ind w:left="426"/>
      </w:pPr>
      <w:r>
        <w:t>ein Industriebetrieb, der zum Zeitpunkt der Bekanntgabe dieser</w:t>
      </w:r>
      <w:r w:rsidR="0016698F">
        <w:t xml:space="preserve"> </w:t>
      </w:r>
      <w:r>
        <w:t>Richtlinie produziert,</w:t>
      </w:r>
    </w:p>
    <w:p w:rsidR="00A87BC7" w:rsidRDefault="00A87BC7" w:rsidP="00A87BC7">
      <w:pPr>
        <w:pStyle w:val="GesAbsatz"/>
      </w:pPr>
      <w:r>
        <w:t>i)</w:t>
      </w:r>
      <w:r w:rsidR="0016698F">
        <w:tab/>
      </w:r>
      <w:r>
        <w:t>neuer Betrieb:</w:t>
      </w:r>
    </w:p>
    <w:p w:rsidR="00A87BC7" w:rsidRDefault="0016698F" w:rsidP="0016698F">
      <w:pPr>
        <w:pStyle w:val="GesAbsatz"/>
        <w:ind w:left="851" w:hanging="425"/>
      </w:pPr>
      <w:r>
        <w:t>-</w:t>
      </w:r>
      <w:r>
        <w:tab/>
      </w:r>
      <w:r w:rsidR="00A87BC7">
        <w:t>ein Industriebetrieb, der nach dem Zeitpunkt der Bekanntgabe</w:t>
      </w:r>
      <w:r>
        <w:t xml:space="preserve"> </w:t>
      </w:r>
      <w:r w:rsidR="00A87BC7">
        <w:t>dieser Richtlinie seine Produktion aufnimmt,</w:t>
      </w:r>
    </w:p>
    <w:p w:rsidR="00A87BC7" w:rsidRDefault="0016698F" w:rsidP="0016698F">
      <w:pPr>
        <w:pStyle w:val="GesAbsatz"/>
        <w:ind w:left="851" w:hanging="425"/>
      </w:pPr>
      <w:r>
        <w:t>-</w:t>
      </w:r>
      <w:r>
        <w:tab/>
      </w:r>
      <w:r w:rsidR="00A87BC7">
        <w:t>ein bestehender Industriebetrieb, dessen Kapazität zur Verwendung</w:t>
      </w:r>
      <w:r>
        <w:t xml:space="preserve"> </w:t>
      </w:r>
      <w:r w:rsidR="00A87BC7">
        <w:t>von HCH nach dem Zeitpunkt der Bekanntgabe dieser</w:t>
      </w:r>
      <w:r>
        <w:t xml:space="preserve"> </w:t>
      </w:r>
      <w:r w:rsidR="00A87BC7">
        <w:t>Richtlinie erheblich erhöht wird.</w:t>
      </w:r>
    </w:p>
    <w:p w:rsidR="00A87BC7" w:rsidRDefault="00A87BC7" w:rsidP="0016698F">
      <w:pPr>
        <w:pStyle w:val="berschrift2"/>
      </w:pPr>
      <w:bookmarkStart w:id="4" w:name="_Toc420476105"/>
      <w:r>
        <w:t>Artikel 3</w:t>
      </w:r>
      <w:bookmarkEnd w:id="4"/>
    </w:p>
    <w:p w:rsidR="00A87BC7" w:rsidRDefault="00A87BC7" w:rsidP="00A87BC7">
      <w:pPr>
        <w:pStyle w:val="GesAbsatz"/>
      </w:pPr>
      <w:r>
        <w:t>(1) Die Grenzwerte, die Fristen für die Einhaltung der Grenzwerte</w:t>
      </w:r>
      <w:r w:rsidR="0044215D">
        <w:t xml:space="preserve"> </w:t>
      </w:r>
      <w:r>
        <w:t>sowie das Verfahren zur Überwachung und Kontrolle der Ableitungen</w:t>
      </w:r>
      <w:r w:rsidR="0044215D">
        <w:t xml:space="preserve"> </w:t>
      </w:r>
      <w:r>
        <w:t>sind in Anhang I festgelegt.</w:t>
      </w:r>
    </w:p>
    <w:p w:rsidR="00A87BC7" w:rsidRDefault="00A87BC7" w:rsidP="00A87BC7">
      <w:pPr>
        <w:pStyle w:val="GesAbsatz"/>
      </w:pPr>
      <w:r>
        <w:t>(2) Die Grenzwerte sind normalerweise an der Stelle anzuwenden, an</w:t>
      </w:r>
      <w:r w:rsidR="0044215D">
        <w:t xml:space="preserve"> </w:t>
      </w:r>
      <w:r>
        <w:t>der HCH-haltige Abwässer den I</w:t>
      </w:r>
      <w:r>
        <w:t>n</w:t>
      </w:r>
      <w:r>
        <w:t>dustriebetrieb verlassen.</w:t>
      </w:r>
    </w:p>
    <w:p w:rsidR="00A87BC7" w:rsidRDefault="00A87BC7" w:rsidP="00A87BC7">
      <w:pPr>
        <w:pStyle w:val="GesAbsatz"/>
      </w:pPr>
      <w:r>
        <w:t>Werden HCH-haltige Abwässer außerhalb des Industriebetriebs in einer</w:t>
      </w:r>
      <w:r w:rsidR="0044215D">
        <w:t xml:space="preserve"> </w:t>
      </w:r>
      <w:r>
        <w:t>für die Beseitigung von HCH b</w:t>
      </w:r>
      <w:r>
        <w:t>e</w:t>
      </w:r>
      <w:r>
        <w:t>stimmten Anlage behandelt, so kann der</w:t>
      </w:r>
      <w:r w:rsidR="0044215D">
        <w:t xml:space="preserve"> </w:t>
      </w:r>
      <w:r>
        <w:t>Mitgliedstaat zulassen, daß die Grenzwerte an der Stelle ang</w:t>
      </w:r>
      <w:r>
        <w:t>e</w:t>
      </w:r>
      <w:r>
        <w:t>wandt</w:t>
      </w:r>
      <w:r w:rsidR="0044215D">
        <w:t xml:space="preserve"> </w:t>
      </w:r>
      <w:r>
        <w:t>werden, an der die Abwässer diese Anlage verlassen.</w:t>
      </w:r>
    </w:p>
    <w:p w:rsidR="00A87BC7" w:rsidRDefault="00A87BC7" w:rsidP="00A87BC7">
      <w:pPr>
        <w:pStyle w:val="GesAbsatz"/>
      </w:pPr>
      <w:r>
        <w:t>(3) Die in Artikel 3 der Richtlinie 76/464/EWG vorgesehenen</w:t>
      </w:r>
      <w:r w:rsidR="0044215D">
        <w:t xml:space="preserve"> </w:t>
      </w:r>
      <w:r>
        <w:t>Genehmigungen müssen Vorschriften entha</w:t>
      </w:r>
      <w:r>
        <w:t>l</w:t>
      </w:r>
      <w:r>
        <w:t>ten, die mindestens ebenso</w:t>
      </w:r>
      <w:r w:rsidR="0044215D">
        <w:t xml:space="preserve"> </w:t>
      </w:r>
      <w:r>
        <w:t>streng sind wie die in Anhang I der vorliegenden Richtlinie festgelegten</w:t>
      </w:r>
      <w:r w:rsidR="0044215D">
        <w:t xml:space="preserve"> </w:t>
      </w:r>
      <w:r>
        <w:t>Vo</w:t>
      </w:r>
      <w:r>
        <w:t>r</w:t>
      </w:r>
      <w:r>
        <w:t>schriften, ausgenommen in den Fällen, in denen ein Mitgliedstaat</w:t>
      </w:r>
      <w:r w:rsidR="0044215D">
        <w:t xml:space="preserve"> </w:t>
      </w:r>
      <w:r>
        <w:t>auf der Grundlage der Anhänge II und IV der vorliegenden Richtlinie</w:t>
      </w:r>
      <w:r w:rsidR="0044215D">
        <w:t xml:space="preserve"> </w:t>
      </w:r>
      <w:r>
        <w:t>Artikel 6 Absatz 3 der Richtlinie 76/464/EWG erfüllt.</w:t>
      </w:r>
    </w:p>
    <w:p w:rsidR="00A87BC7" w:rsidRDefault="00A87BC7" w:rsidP="00A87BC7">
      <w:pPr>
        <w:pStyle w:val="GesAbsatz"/>
      </w:pPr>
      <w:r>
        <w:t>Diese Genehmigungen werden mindestens alle vier Jahre überprüft.</w:t>
      </w:r>
    </w:p>
    <w:p w:rsidR="00A87BC7" w:rsidRDefault="00A87BC7" w:rsidP="00A87BC7">
      <w:pPr>
        <w:pStyle w:val="GesAbsatz"/>
      </w:pPr>
      <w:r>
        <w:t>(4) Die Mitgliedstaaten dürfen unbeschadet ihrer Verpflichtungen</w:t>
      </w:r>
      <w:r w:rsidR="0044215D">
        <w:t xml:space="preserve"> </w:t>
      </w:r>
      <w:r>
        <w:t>nach den Absätzen 1, 2 und 3 sowie der Bestimmungen der Richtlinie</w:t>
      </w:r>
      <w:r w:rsidR="0044215D">
        <w:t xml:space="preserve"> </w:t>
      </w:r>
      <w:r>
        <w:t>76/464/EWG nur dann Genehmigungen für neue Betriebe erteilen, wenn</w:t>
      </w:r>
      <w:r w:rsidR="0044215D">
        <w:t xml:space="preserve"> </w:t>
      </w:r>
      <w:r>
        <w:t>diese Betriebe die Normen anwenden, die den besten verfügbaren</w:t>
      </w:r>
      <w:r w:rsidR="0044215D">
        <w:t xml:space="preserve"> </w:t>
      </w:r>
      <w:r>
        <w:t>technischen Mitteln entsprechen, sofern dies erforderlich ist, um die</w:t>
      </w:r>
      <w:r w:rsidR="0044215D">
        <w:t xml:space="preserve"> </w:t>
      </w:r>
      <w:r>
        <w:t>Verschmutzung im Sinne von Artikel 2 der vorgenannten Richtlinie zu</w:t>
      </w:r>
      <w:r w:rsidR="0044215D">
        <w:t xml:space="preserve"> </w:t>
      </w:r>
      <w:r>
        <w:t>beseitigen oder um Wettbewerbsverzerrungen zu vermeiden.</w:t>
      </w:r>
    </w:p>
    <w:p w:rsidR="00A87BC7" w:rsidRDefault="00A87BC7" w:rsidP="00A87BC7">
      <w:pPr>
        <w:pStyle w:val="GesAbsatz"/>
      </w:pPr>
      <w:r>
        <w:t>Unabhängig von dem gewählten Verfahren legt der Mitgliedstaat, falls</w:t>
      </w:r>
      <w:r w:rsidR="0044215D">
        <w:t xml:space="preserve"> </w:t>
      </w:r>
      <w:r>
        <w:t>die geplanten Maßnahmen aus tec</w:t>
      </w:r>
      <w:r>
        <w:t>h</w:t>
      </w:r>
      <w:r>
        <w:t>nischen Gründen nicht den besten</w:t>
      </w:r>
      <w:r w:rsidR="0044215D">
        <w:t xml:space="preserve"> </w:t>
      </w:r>
      <w:r>
        <w:t>verfügbaren technischen Mitteln entsprechen, der Kommission vor jeder</w:t>
      </w:r>
      <w:r w:rsidR="0044215D">
        <w:t xml:space="preserve"> </w:t>
      </w:r>
      <w:r>
        <w:t>Genehmigung diese Gründe dar.</w:t>
      </w:r>
    </w:p>
    <w:p w:rsidR="00A87BC7" w:rsidRDefault="00A87BC7" w:rsidP="00A87BC7">
      <w:pPr>
        <w:pStyle w:val="GesAbsatz"/>
      </w:pPr>
      <w:r>
        <w:t>Die Kommission übermittelt den anderen Mitgliedstaaten unverzüglich</w:t>
      </w:r>
      <w:r w:rsidR="0044215D">
        <w:t xml:space="preserve"> </w:t>
      </w:r>
      <w:r>
        <w:t>diese Gründe und leitet allen Mi</w:t>
      </w:r>
      <w:r>
        <w:t>t</w:t>
      </w:r>
      <w:r>
        <w:t>gliedstaaten so bald wie möglich einen</w:t>
      </w:r>
      <w:r w:rsidR="0044215D">
        <w:t xml:space="preserve"> </w:t>
      </w:r>
      <w:r>
        <w:t>Bericht zu, in dem ihre Stellungnahme zu der im zweiten Unterabsatz</w:t>
      </w:r>
      <w:r w:rsidR="0044215D">
        <w:t xml:space="preserve"> </w:t>
      </w:r>
      <w:r>
        <w:t>bezeichneten Ausnahmeregelung enthalten ist. Falls erforderlich, legt sie</w:t>
      </w:r>
      <w:r w:rsidR="0044215D">
        <w:t xml:space="preserve"> </w:t>
      </w:r>
      <w:r>
        <w:t>dem Rat gleichzeitig geeignete Vorschläge vor.</w:t>
      </w:r>
    </w:p>
    <w:p w:rsidR="00A87BC7" w:rsidRDefault="00A87BC7" w:rsidP="00A87BC7">
      <w:pPr>
        <w:pStyle w:val="GesAbsatz"/>
      </w:pPr>
      <w:r>
        <w:t>(5) Die Referenzanalysemethode für die Bestimmung von HCH ist in</w:t>
      </w:r>
      <w:r w:rsidR="0044215D">
        <w:t xml:space="preserve"> </w:t>
      </w:r>
      <w:r>
        <w:t>Anhang III Nummer 1 aufgeführt. Es können andere Methoden</w:t>
      </w:r>
      <w:r w:rsidR="0044215D">
        <w:t xml:space="preserve"> </w:t>
      </w:r>
      <w:r>
        <w:t>verwendet werden, vorausgesetzt, daß ihre Erfassungsgrenze, Genauigkeit</w:t>
      </w:r>
      <w:r w:rsidR="0044215D">
        <w:t xml:space="preserve"> </w:t>
      </w:r>
      <w:r>
        <w:t>und Richtigkeit mindestens ebenso geeignet sind wie in Anhang III</w:t>
      </w:r>
      <w:r w:rsidR="0044215D">
        <w:t xml:space="preserve"> </w:t>
      </w:r>
      <w:r>
        <w:t>Nummer 1 festgelegt. Die zum Messen des Abflusses erforderliche</w:t>
      </w:r>
      <w:r w:rsidR="0044215D">
        <w:t xml:space="preserve"> </w:t>
      </w:r>
      <w:r>
        <w:t>Genauigkeit</w:t>
      </w:r>
      <w:r w:rsidR="0044215D">
        <w:t xml:space="preserve"> </w:t>
      </w:r>
      <w:r>
        <w:t>ist in Anhang III Nummer 2 angegeben.</w:t>
      </w:r>
    </w:p>
    <w:p w:rsidR="00A87BC7" w:rsidRDefault="00A87BC7" w:rsidP="00A87BC7">
      <w:pPr>
        <w:pStyle w:val="GesAbsatz"/>
      </w:pPr>
      <w:r>
        <w:t>(6) Die Mitgliedstaaten stellen sicher, daß infolge von Maßnahmen</w:t>
      </w:r>
      <w:r w:rsidR="0044215D">
        <w:t xml:space="preserve"> </w:t>
      </w:r>
      <w:r>
        <w:t>im Vollzug dieser Richtlinie keine Erh</w:t>
      </w:r>
      <w:r>
        <w:t>ö</w:t>
      </w:r>
      <w:r>
        <w:t>hung der Verschmutzung durch</w:t>
      </w:r>
      <w:r w:rsidR="0044215D">
        <w:t xml:space="preserve"> </w:t>
      </w:r>
      <w:r>
        <w:t>HCH in anderen Umweltbereichen, insbesondere des Bodens und der</w:t>
      </w:r>
      <w:r w:rsidR="0044215D">
        <w:t xml:space="preserve"> </w:t>
      </w:r>
      <w:r>
        <w:t>Luft, eintritt.</w:t>
      </w:r>
    </w:p>
    <w:p w:rsidR="00A87BC7" w:rsidRDefault="00A87BC7" w:rsidP="0044215D">
      <w:pPr>
        <w:pStyle w:val="berschrift2"/>
      </w:pPr>
      <w:bookmarkStart w:id="5" w:name="_Toc420476106"/>
      <w:r>
        <w:t>Artikel 4</w:t>
      </w:r>
      <w:bookmarkEnd w:id="5"/>
    </w:p>
    <w:p w:rsidR="00A87BC7" w:rsidRDefault="00A87BC7" w:rsidP="00A87BC7">
      <w:pPr>
        <w:pStyle w:val="GesAbsatz"/>
      </w:pPr>
      <w:r>
        <w:t>Die betroffenen Mitgliedstaaten sorgen für die Überwachung der</w:t>
      </w:r>
      <w:r w:rsidR="0044215D">
        <w:t xml:space="preserve"> </w:t>
      </w:r>
      <w:r>
        <w:t>Gewässer, die von den Ableitungen aus Industriebetrieben berührt</w:t>
      </w:r>
      <w:r w:rsidR="0044215D">
        <w:t xml:space="preserve"> </w:t>
      </w:r>
      <w:r>
        <w:t>werden.</w:t>
      </w:r>
    </w:p>
    <w:p w:rsidR="00A87BC7" w:rsidRDefault="00A87BC7" w:rsidP="00A87BC7">
      <w:pPr>
        <w:pStyle w:val="GesAbsatz"/>
      </w:pPr>
      <w:r>
        <w:t>Im Falle von Ableitungen, die die Gewässer mehrerer Mitgliedstaaten</w:t>
      </w:r>
      <w:r w:rsidR="0044215D">
        <w:t xml:space="preserve"> </w:t>
      </w:r>
      <w:r>
        <w:t>betreffen, arbeiten diese Mitgliedsta</w:t>
      </w:r>
      <w:r>
        <w:t>a</w:t>
      </w:r>
      <w:r>
        <w:t>ten mit dem Ziel der Harmonisierung</w:t>
      </w:r>
      <w:r w:rsidR="0044215D">
        <w:t xml:space="preserve"> </w:t>
      </w:r>
      <w:r>
        <w:t>der Überwachungsverfahren zusammen.</w:t>
      </w:r>
    </w:p>
    <w:p w:rsidR="00A87BC7" w:rsidRDefault="00A87BC7" w:rsidP="0044215D">
      <w:pPr>
        <w:pStyle w:val="berschrift2"/>
      </w:pPr>
      <w:bookmarkStart w:id="6" w:name="_Toc420476107"/>
      <w:r>
        <w:lastRenderedPageBreak/>
        <w:t>Artikel 5</w:t>
      </w:r>
      <w:bookmarkEnd w:id="6"/>
    </w:p>
    <w:p w:rsidR="00A87BC7" w:rsidRDefault="00A87BC7" w:rsidP="00A87BC7">
      <w:pPr>
        <w:pStyle w:val="GesAbsatz"/>
      </w:pPr>
      <w:r>
        <w:t>(1) Die Mitgliedstaaten übermitteln der Kommission alle drei Jahre</w:t>
      </w:r>
      <w:r w:rsidR="0044215D">
        <w:t xml:space="preserve"> </w:t>
      </w:r>
      <w:r>
        <w:t>Angaben über die Durchführung dieser Richtlinie im Rahmen eines</w:t>
      </w:r>
      <w:r w:rsidR="0044215D">
        <w:t xml:space="preserve"> </w:t>
      </w:r>
      <w:r>
        <w:t>sektoralen Berichts, der auch die anderen einschlägigen Gemeinschaftsrichtl</w:t>
      </w:r>
      <w:r>
        <w:t>i</w:t>
      </w:r>
      <w:r>
        <w:t>nien</w:t>
      </w:r>
      <w:r w:rsidR="0044215D">
        <w:t xml:space="preserve"> </w:t>
      </w:r>
      <w:r>
        <w:t>erfaßt. Der Bericht ist anhand eines von der Kommission</w:t>
      </w:r>
      <w:r w:rsidR="0044215D">
        <w:t xml:space="preserve"> </w:t>
      </w:r>
      <w:r>
        <w:t>nach dem Verfahren des Artikels 6 der Richtl</w:t>
      </w:r>
      <w:r>
        <w:t>i</w:t>
      </w:r>
      <w:r>
        <w:t>nie</w:t>
      </w:r>
      <w:r w:rsidR="0044215D">
        <w:t> </w:t>
      </w:r>
      <w:r>
        <w:t>91/692/EWG</w:t>
      </w:r>
      <w:r w:rsidR="0044215D">
        <w:rPr>
          <w:rStyle w:val="Funotenzeichen"/>
        </w:rPr>
        <w:footnoteReference w:id="6"/>
      </w:r>
      <w:r w:rsidR="0044215D">
        <w:t xml:space="preserve"> </w:t>
      </w:r>
      <w:r>
        <w:t>ausgearbeiteten Fragebogens oder Schemas zu erstellen. Der Fragebogen</w:t>
      </w:r>
      <w:r w:rsidR="0044215D">
        <w:t xml:space="preserve"> </w:t>
      </w:r>
      <w:r>
        <w:t>bzw. das Schema wird den Mitgliedstaaten sechs Monate vor Beginn des</w:t>
      </w:r>
      <w:r w:rsidR="0044215D">
        <w:t xml:space="preserve"> </w:t>
      </w:r>
      <w:r>
        <w:t>Berichtszeitraums übersandt. Der Bericht ist bei der Kommission</w:t>
      </w:r>
      <w:r w:rsidR="0044215D">
        <w:t xml:space="preserve"> </w:t>
      </w:r>
      <w:r>
        <w:t>innerhalb von neun Monaten nach Ablauf des von ihm erfaßten</w:t>
      </w:r>
      <w:r w:rsidR="0044215D">
        <w:t xml:space="preserve"> </w:t>
      </w:r>
      <w:r>
        <w:t>Dreijahreszeitraums einzureichen.</w:t>
      </w:r>
    </w:p>
    <w:p w:rsidR="00A87BC7" w:rsidRDefault="00A87BC7" w:rsidP="00A87BC7">
      <w:pPr>
        <w:pStyle w:val="GesAbsatz"/>
      </w:pPr>
      <w:r>
        <w:t>Der erste Bericht erfaßt den Zeitraum 1993 bis 1995.</w:t>
      </w:r>
    </w:p>
    <w:p w:rsidR="00A87BC7" w:rsidRDefault="00A87BC7" w:rsidP="00A87BC7">
      <w:pPr>
        <w:pStyle w:val="GesAbsatz"/>
      </w:pPr>
      <w:r>
        <w:t>Die Kommission veröffentlicht innerhalb von neun Monaten nach Erhalt</w:t>
      </w:r>
      <w:r w:rsidR="0044215D">
        <w:t xml:space="preserve"> </w:t>
      </w:r>
      <w:r>
        <w:t>der einzelstaatlichen Berichte einen Gemeinschaftsbericht über die</w:t>
      </w:r>
      <w:r w:rsidR="0044215D">
        <w:t xml:space="preserve"> </w:t>
      </w:r>
      <w:r>
        <w:t>Durchführung dieser Richtlinie.</w:t>
      </w:r>
    </w:p>
    <w:p w:rsidR="00A87BC7" w:rsidRDefault="00A87BC7" w:rsidP="00A87BC7">
      <w:pPr>
        <w:pStyle w:val="GesAbsatz"/>
      </w:pPr>
      <w:r>
        <w:t>(2) Die Kommission legt</w:t>
      </w:r>
      <w:r w:rsidR="0044215D">
        <w:t xml:space="preserve"> </w:t>
      </w:r>
      <w:r>
        <w:t>dem Rat im Falle einer Änderung des</w:t>
      </w:r>
      <w:r w:rsidR="0044215D">
        <w:t xml:space="preserve"> </w:t>
      </w:r>
      <w:r>
        <w:t>wissenschaftlichen Erkenntnisstands haup</w:t>
      </w:r>
      <w:r>
        <w:t>t</w:t>
      </w:r>
      <w:r>
        <w:t>sächlich in bezug auf die</w:t>
      </w:r>
      <w:r w:rsidR="0044215D">
        <w:t xml:space="preserve"> </w:t>
      </w:r>
      <w:r>
        <w:t>Toxizität, Langlebigkeit und Akkumulation von HCH in lebenden</w:t>
      </w:r>
      <w:r w:rsidR="0044215D">
        <w:t xml:space="preserve"> </w:t>
      </w:r>
      <w:r>
        <w:t>Organismen und in Sedimenten oder im Falle einer Verbesserung der</w:t>
      </w:r>
      <w:r w:rsidR="0044215D">
        <w:t xml:space="preserve"> </w:t>
      </w:r>
      <w:r>
        <w:t>besten verfügbaren technischen Mittel geeignete Vo</w:t>
      </w:r>
      <w:r>
        <w:t>r</w:t>
      </w:r>
      <w:r>
        <w:t>schläge vor, mit</w:t>
      </w:r>
      <w:r w:rsidR="0044215D">
        <w:t xml:space="preserve"> </w:t>
      </w:r>
      <w:r>
        <w:t>denen die Grenzwerte und Qualitätsziele erforderlichenfalls verschärft</w:t>
      </w:r>
      <w:r w:rsidR="0044215D">
        <w:t xml:space="preserve"> </w:t>
      </w:r>
      <w:r>
        <w:t>oder zusätzliche Grenzwerte und Qualitätsziele festgelegt werden sollen.</w:t>
      </w:r>
    </w:p>
    <w:p w:rsidR="00A87BC7" w:rsidRDefault="00A87BC7" w:rsidP="0044215D">
      <w:pPr>
        <w:pStyle w:val="berschrift2"/>
      </w:pPr>
      <w:bookmarkStart w:id="7" w:name="_Toc420476108"/>
      <w:r>
        <w:t>Artikel 6</w:t>
      </w:r>
      <w:bookmarkEnd w:id="7"/>
    </w:p>
    <w:p w:rsidR="00A87BC7" w:rsidRDefault="00A87BC7" w:rsidP="00A87BC7">
      <w:pPr>
        <w:pStyle w:val="GesAbsatz"/>
      </w:pPr>
      <w:r>
        <w:t>(1) Die Mitgliedstaaten treffen die erforderlichen Maßnahmen, um</w:t>
      </w:r>
      <w:r w:rsidR="0044215D">
        <w:t xml:space="preserve"> </w:t>
      </w:r>
      <w:r>
        <w:t>dieser Richtlinie spätestens am 1.</w:t>
      </w:r>
      <w:r w:rsidR="002B35E4">
        <w:t> </w:t>
      </w:r>
      <w:r>
        <w:t>April</w:t>
      </w:r>
      <w:r w:rsidR="002B35E4">
        <w:t> </w:t>
      </w:r>
      <w:r>
        <w:t>1986 nachzukommen. Sie setzen</w:t>
      </w:r>
      <w:r w:rsidR="0044215D">
        <w:t xml:space="preserve"> </w:t>
      </w:r>
      <w:r>
        <w:t>die Kommission unverzüglich davon in Kenntnis.</w:t>
      </w:r>
    </w:p>
    <w:p w:rsidR="00A87BC7" w:rsidRDefault="00A87BC7" w:rsidP="00A87BC7">
      <w:pPr>
        <w:pStyle w:val="GesAbsatz"/>
      </w:pPr>
      <w:r>
        <w:t>(2) Die Mitgliedstaaten teilen der Kommission den Wortlaut der</w:t>
      </w:r>
      <w:r w:rsidR="0044215D">
        <w:t xml:space="preserve"> </w:t>
      </w:r>
      <w:r>
        <w:t>innerstaatlichen Rechtsvorschriften mit, die sie auf dem unter diese</w:t>
      </w:r>
      <w:r w:rsidR="0044215D">
        <w:t xml:space="preserve"> </w:t>
      </w:r>
      <w:r>
        <w:t>Richtlinie fallenden Gebiet erlassen.</w:t>
      </w:r>
    </w:p>
    <w:p w:rsidR="00A87BC7" w:rsidRDefault="00A87BC7" w:rsidP="0044215D">
      <w:pPr>
        <w:pStyle w:val="berschrift2"/>
      </w:pPr>
      <w:bookmarkStart w:id="8" w:name="_Toc420476109"/>
      <w:r>
        <w:t>Artikel 7</w:t>
      </w:r>
      <w:bookmarkEnd w:id="8"/>
    </w:p>
    <w:p w:rsidR="00A87BC7" w:rsidRDefault="00A87BC7" w:rsidP="00A87BC7">
      <w:pPr>
        <w:pStyle w:val="GesAbsatz"/>
      </w:pPr>
      <w:r>
        <w:t>Diese Richtlinie ist an alle Mitgliedstaaten gerichtet.</w:t>
      </w:r>
    </w:p>
    <w:p w:rsidR="00A87BC7" w:rsidRDefault="0044215D" w:rsidP="0044215D">
      <w:pPr>
        <w:pStyle w:val="berschrift2"/>
        <w:jc w:val="left"/>
      </w:pPr>
      <w:r>
        <w:br w:type="page"/>
      </w:r>
      <w:bookmarkStart w:id="9" w:name="_Toc420476110"/>
      <w:r w:rsidR="00A87BC7">
        <w:lastRenderedPageBreak/>
        <w:t>A</w:t>
      </w:r>
      <w:r>
        <w:t>nhang</w:t>
      </w:r>
      <w:r w:rsidR="00A87BC7">
        <w:t xml:space="preserve"> I</w:t>
      </w:r>
      <w:bookmarkEnd w:id="9"/>
    </w:p>
    <w:p w:rsidR="00A87BC7" w:rsidRPr="0044215D" w:rsidRDefault="00A87BC7" w:rsidP="0044215D">
      <w:pPr>
        <w:pStyle w:val="GesAbsatz"/>
        <w:jc w:val="center"/>
        <w:rPr>
          <w:b/>
        </w:rPr>
      </w:pPr>
      <w:r w:rsidRPr="0044215D">
        <w:rPr>
          <w:b/>
        </w:rPr>
        <w:t>G</w:t>
      </w:r>
      <w:r w:rsidR="0044215D">
        <w:rPr>
          <w:b/>
        </w:rPr>
        <w:t>renzwerte, Fristen für die Einhaltung der Grenzwerte und Überwachungs-</w:t>
      </w:r>
      <w:r w:rsidR="0044215D">
        <w:rPr>
          <w:b/>
        </w:rPr>
        <w:br/>
        <w:t>und Kontrollverfahren für die Ableitungen</w:t>
      </w:r>
    </w:p>
    <w:p w:rsidR="00A87BC7" w:rsidRPr="00421B9F" w:rsidRDefault="00A87BC7" w:rsidP="00A87BC7">
      <w:pPr>
        <w:pStyle w:val="GesAbsatz"/>
      </w:pPr>
      <w:r w:rsidRPr="00421B9F">
        <w:t>1.</w:t>
      </w:r>
      <w:r w:rsidR="00421B9F">
        <w:tab/>
      </w:r>
      <w:r w:rsidRPr="00421B9F">
        <w:t>Grenzwerte und Fristen</w:t>
      </w:r>
    </w:p>
    <w:p w:rsidR="0044215D" w:rsidRDefault="0044215D" w:rsidP="00421B9F">
      <w:pPr>
        <w:pStyle w:val="GesAbsatz"/>
      </w:pPr>
    </w:p>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10"/>
        <w:gridCol w:w="2585"/>
        <w:gridCol w:w="1416"/>
        <w:gridCol w:w="1559"/>
      </w:tblGrid>
      <w:tr w:rsidR="00421B9F" w:rsidRPr="00421B9F" w:rsidTr="00BE3B8C">
        <w:trPr>
          <w:trHeight w:val="314"/>
        </w:trPr>
        <w:tc>
          <w:tcPr>
            <w:tcW w:w="3510" w:type="dxa"/>
            <w:vMerge w:val="restart"/>
            <w:tcBorders>
              <w:bottom w:val="single" w:sz="6" w:space="0" w:color="auto"/>
            </w:tcBorders>
          </w:tcPr>
          <w:p w:rsidR="00421B9F" w:rsidRPr="00421B9F" w:rsidRDefault="00421B9F" w:rsidP="00421B9F">
            <w:pPr>
              <w:pStyle w:val="GesAbsatz"/>
              <w:jc w:val="left"/>
              <w:rPr>
                <w:rFonts w:cs="Arial"/>
              </w:rPr>
            </w:pPr>
            <w:r w:rsidRPr="00421B9F">
              <w:rPr>
                <w:rFonts w:cs="Arial"/>
              </w:rPr>
              <w:t>Industriezweig (</w:t>
            </w:r>
            <w:r>
              <w:rPr>
                <w:rFonts w:cs="Arial"/>
                <w:vertAlign w:val="superscript"/>
              </w:rPr>
              <w:t>a</w:t>
            </w:r>
            <w:r w:rsidRPr="00421B9F">
              <w:rPr>
                <w:rFonts w:cs="Arial"/>
              </w:rPr>
              <w:t xml:space="preserve">) </w:t>
            </w:r>
          </w:p>
        </w:tc>
        <w:tc>
          <w:tcPr>
            <w:tcW w:w="2585" w:type="dxa"/>
            <w:vMerge w:val="restart"/>
            <w:tcBorders>
              <w:bottom w:val="single" w:sz="6" w:space="0" w:color="auto"/>
            </w:tcBorders>
          </w:tcPr>
          <w:p w:rsidR="00421B9F" w:rsidRPr="00421B9F" w:rsidRDefault="00421B9F" w:rsidP="00421B9F">
            <w:pPr>
              <w:pStyle w:val="GesAbsatz"/>
              <w:jc w:val="left"/>
              <w:rPr>
                <w:rFonts w:cs="Arial"/>
              </w:rPr>
            </w:pPr>
            <w:r w:rsidRPr="00421B9F">
              <w:rPr>
                <w:rFonts w:cs="Arial"/>
              </w:rPr>
              <w:t xml:space="preserve">Meßeinheit </w:t>
            </w:r>
          </w:p>
        </w:tc>
        <w:tc>
          <w:tcPr>
            <w:tcW w:w="2975" w:type="dxa"/>
            <w:gridSpan w:val="2"/>
          </w:tcPr>
          <w:p w:rsidR="00421B9F" w:rsidRPr="00421B9F" w:rsidRDefault="00421B9F" w:rsidP="00421B9F">
            <w:pPr>
              <w:pStyle w:val="GesAbsatz"/>
              <w:jc w:val="left"/>
              <w:rPr>
                <w:rFonts w:cs="Arial"/>
              </w:rPr>
            </w:pPr>
            <w:r w:rsidRPr="00421B9F">
              <w:rPr>
                <w:rFonts w:cs="Arial"/>
              </w:rPr>
              <w:t xml:space="preserve">Einzuhaltende Grenzwerte (d) </w:t>
            </w:r>
          </w:p>
        </w:tc>
      </w:tr>
      <w:tr w:rsidR="00421B9F" w:rsidRPr="00421B9F" w:rsidTr="00BE3B8C">
        <w:trPr>
          <w:trHeight w:val="263"/>
        </w:trPr>
        <w:tc>
          <w:tcPr>
            <w:tcW w:w="3510" w:type="dxa"/>
            <w:vMerge/>
          </w:tcPr>
          <w:p w:rsidR="00421B9F" w:rsidRPr="00421B9F" w:rsidRDefault="00421B9F" w:rsidP="00421B9F">
            <w:pPr>
              <w:pStyle w:val="GesAbsatz"/>
              <w:jc w:val="left"/>
              <w:rPr>
                <w:rFonts w:cs="Arial"/>
              </w:rPr>
            </w:pPr>
          </w:p>
        </w:tc>
        <w:tc>
          <w:tcPr>
            <w:tcW w:w="2585" w:type="dxa"/>
            <w:vMerge/>
          </w:tcPr>
          <w:p w:rsidR="00421B9F" w:rsidRPr="00421B9F" w:rsidRDefault="00421B9F" w:rsidP="00421B9F">
            <w:pPr>
              <w:pStyle w:val="GesAbsatz"/>
              <w:jc w:val="left"/>
              <w:rPr>
                <w:rFonts w:cs="Arial"/>
              </w:rPr>
            </w:pPr>
          </w:p>
        </w:tc>
        <w:tc>
          <w:tcPr>
            <w:tcW w:w="1416" w:type="dxa"/>
          </w:tcPr>
          <w:p w:rsidR="00421B9F" w:rsidRPr="00421B9F" w:rsidRDefault="00421B9F" w:rsidP="00421B9F">
            <w:pPr>
              <w:pStyle w:val="GesAbsatz"/>
              <w:jc w:val="left"/>
              <w:rPr>
                <w:rFonts w:cs="Arial"/>
              </w:rPr>
            </w:pPr>
            <w:r w:rsidRPr="00421B9F">
              <w:rPr>
                <w:rFonts w:cs="Arial"/>
              </w:rPr>
              <w:t xml:space="preserve">ab 1.4.1986 </w:t>
            </w:r>
          </w:p>
        </w:tc>
        <w:tc>
          <w:tcPr>
            <w:tcW w:w="1559" w:type="dxa"/>
          </w:tcPr>
          <w:p w:rsidR="00421B9F" w:rsidRPr="00421B9F" w:rsidRDefault="00421B9F" w:rsidP="00421B9F">
            <w:pPr>
              <w:pStyle w:val="GesAbsatz"/>
              <w:jc w:val="left"/>
              <w:rPr>
                <w:rFonts w:cs="Arial"/>
              </w:rPr>
            </w:pPr>
            <w:r w:rsidRPr="00421B9F">
              <w:rPr>
                <w:rFonts w:cs="Arial"/>
              </w:rPr>
              <w:t xml:space="preserve">ab 1.10.1988 </w:t>
            </w:r>
          </w:p>
        </w:tc>
      </w:tr>
      <w:tr w:rsidR="00421B9F" w:rsidRPr="00421B9F" w:rsidTr="00BE3B8C">
        <w:trPr>
          <w:trHeight w:val="446"/>
        </w:trPr>
        <w:tc>
          <w:tcPr>
            <w:tcW w:w="3510" w:type="dxa"/>
            <w:vMerge w:val="restart"/>
          </w:tcPr>
          <w:p w:rsidR="00421B9F" w:rsidRPr="00421B9F" w:rsidRDefault="00421B9F" w:rsidP="00421B9F">
            <w:pPr>
              <w:pStyle w:val="GesAbsatz"/>
              <w:jc w:val="left"/>
              <w:rPr>
                <w:rFonts w:cs="Arial"/>
              </w:rPr>
            </w:pPr>
            <w:r w:rsidRPr="00421B9F">
              <w:rPr>
                <w:rFonts w:cs="Arial"/>
              </w:rPr>
              <w:t xml:space="preserve">1. Betrieb zur Herstellung von HCH </w:t>
            </w:r>
          </w:p>
        </w:tc>
        <w:tc>
          <w:tcPr>
            <w:tcW w:w="2585" w:type="dxa"/>
          </w:tcPr>
          <w:p w:rsidR="00421B9F" w:rsidRPr="00421B9F" w:rsidRDefault="00421B9F" w:rsidP="00421B9F">
            <w:pPr>
              <w:pStyle w:val="GesAbsatz"/>
              <w:jc w:val="left"/>
              <w:rPr>
                <w:rFonts w:cs="Arial"/>
              </w:rPr>
            </w:pPr>
            <w:r w:rsidRPr="00421B9F">
              <w:rPr>
                <w:rFonts w:cs="Arial"/>
              </w:rPr>
              <w:t>Gramm HCH pro Tonne hergestelltes HCH (</w:t>
            </w:r>
            <w:r w:rsidRPr="00421B9F">
              <w:rPr>
                <w:rFonts w:cs="Arial"/>
                <w:vertAlign w:val="superscript"/>
              </w:rPr>
              <w:t>b</w:t>
            </w:r>
            <w:r w:rsidRPr="00421B9F">
              <w:rPr>
                <w:rFonts w:cs="Arial"/>
              </w:rPr>
              <w:t xml:space="preserve">) </w:t>
            </w:r>
          </w:p>
        </w:tc>
        <w:tc>
          <w:tcPr>
            <w:tcW w:w="1416" w:type="dxa"/>
          </w:tcPr>
          <w:p w:rsidR="00421B9F" w:rsidRPr="00421B9F" w:rsidRDefault="00421B9F" w:rsidP="00421B9F">
            <w:pPr>
              <w:pStyle w:val="GesAbsatz"/>
              <w:jc w:val="left"/>
              <w:rPr>
                <w:rFonts w:cs="Arial"/>
              </w:rPr>
            </w:pPr>
            <w:r w:rsidRPr="00421B9F">
              <w:rPr>
                <w:rFonts w:cs="Arial"/>
              </w:rPr>
              <w:t xml:space="preserve">3 </w:t>
            </w:r>
          </w:p>
        </w:tc>
        <w:tc>
          <w:tcPr>
            <w:tcW w:w="1559" w:type="dxa"/>
          </w:tcPr>
          <w:p w:rsidR="00421B9F" w:rsidRPr="00421B9F" w:rsidRDefault="00421B9F" w:rsidP="00421B9F">
            <w:pPr>
              <w:pStyle w:val="GesAbsatz"/>
              <w:jc w:val="left"/>
              <w:rPr>
                <w:rFonts w:cs="Arial"/>
              </w:rPr>
            </w:pPr>
            <w:r w:rsidRPr="00421B9F">
              <w:rPr>
                <w:rFonts w:cs="Arial"/>
              </w:rPr>
              <w:t xml:space="preserve">2 </w:t>
            </w:r>
          </w:p>
        </w:tc>
      </w:tr>
      <w:tr w:rsidR="00421B9F" w:rsidRPr="00421B9F" w:rsidTr="00BE3B8C">
        <w:trPr>
          <w:trHeight w:val="412"/>
        </w:trPr>
        <w:tc>
          <w:tcPr>
            <w:tcW w:w="3510" w:type="dxa"/>
            <w:vMerge/>
          </w:tcPr>
          <w:p w:rsidR="00421B9F" w:rsidRPr="00421B9F" w:rsidRDefault="00421B9F" w:rsidP="00421B9F">
            <w:pPr>
              <w:pStyle w:val="GesAbsatz"/>
              <w:jc w:val="left"/>
              <w:rPr>
                <w:rFonts w:cs="Arial"/>
              </w:rPr>
            </w:pPr>
          </w:p>
        </w:tc>
        <w:tc>
          <w:tcPr>
            <w:tcW w:w="2585" w:type="dxa"/>
          </w:tcPr>
          <w:p w:rsidR="00421B9F" w:rsidRPr="00421B9F" w:rsidRDefault="00421B9F" w:rsidP="00421B9F">
            <w:pPr>
              <w:pStyle w:val="GesAbsatz"/>
              <w:jc w:val="left"/>
              <w:rPr>
                <w:rFonts w:cs="Arial"/>
              </w:rPr>
            </w:pPr>
            <w:r w:rsidRPr="00421B9F">
              <w:rPr>
                <w:rFonts w:cs="Arial"/>
              </w:rPr>
              <w:t>Milligramm HCH pro Liter abgeleitetes Abwasser (</w:t>
            </w:r>
            <w:r w:rsidRPr="00421B9F">
              <w:rPr>
                <w:rFonts w:cs="Arial"/>
                <w:vertAlign w:val="superscript"/>
              </w:rPr>
              <w:t>c</w:t>
            </w:r>
            <w:r w:rsidRPr="00421B9F">
              <w:rPr>
                <w:rFonts w:cs="Arial"/>
              </w:rPr>
              <w:t xml:space="preserve">) </w:t>
            </w:r>
          </w:p>
        </w:tc>
        <w:tc>
          <w:tcPr>
            <w:tcW w:w="1416" w:type="dxa"/>
          </w:tcPr>
          <w:p w:rsidR="00421B9F" w:rsidRPr="00421B9F" w:rsidRDefault="00421B9F" w:rsidP="00421B9F">
            <w:pPr>
              <w:pStyle w:val="GesAbsatz"/>
              <w:jc w:val="left"/>
              <w:rPr>
                <w:rFonts w:cs="Arial"/>
              </w:rPr>
            </w:pPr>
            <w:r w:rsidRPr="00421B9F">
              <w:rPr>
                <w:rFonts w:cs="Arial"/>
              </w:rPr>
              <w:t xml:space="preserve">3 </w:t>
            </w:r>
          </w:p>
        </w:tc>
        <w:tc>
          <w:tcPr>
            <w:tcW w:w="1559" w:type="dxa"/>
          </w:tcPr>
          <w:p w:rsidR="00421B9F" w:rsidRPr="00421B9F" w:rsidRDefault="00421B9F" w:rsidP="00421B9F">
            <w:pPr>
              <w:pStyle w:val="GesAbsatz"/>
              <w:jc w:val="left"/>
              <w:rPr>
                <w:rFonts w:cs="Arial"/>
              </w:rPr>
            </w:pPr>
            <w:r w:rsidRPr="00421B9F">
              <w:rPr>
                <w:rFonts w:cs="Arial"/>
              </w:rPr>
              <w:t xml:space="preserve">2 </w:t>
            </w:r>
          </w:p>
        </w:tc>
      </w:tr>
      <w:tr w:rsidR="00421B9F" w:rsidRPr="00421B9F" w:rsidTr="00BE3B8C">
        <w:trPr>
          <w:trHeight w:val="392"/>
        </w:trPr>
        <w:tc>
          <w:tcPr>
            <w:tcW w:w="3510" w:type="dxa"/>
            <w:vMerge w:val="restart"/>
          </w:tcPr>
          <w:p w:rsidR="00421B9F" w:rsidRPr="00421B9F" w:rsidRDefault="00421B9F" w:rsidP="00421B9F">
            <w:pPr>
              <w:pStyle w:val="GesAbsatz"/>
              <w:jc w:val="left"/>
              <w:rPr>
                <w:rFonts w:cs="Arial"/>
              </w:rPr>
            </w:pPr>
            <w:r w:rsidRPr="00421B9F">
              <w:rPr>
                <w:rFonts w:cs="Arial"/>
              </w:rPr>
              <w:t xml:space="preserve">2. Betrieb zur Extraktion von Lindan </w:t>
            </w:r>
          </w:p>
        </w:tc>
        <w:tc>
          <w:tcPr>
            <w:tcW w:w="2585" w:type="dxa"/>
          </w:tcPr>
          <w:p w:rsidR="00421B9F" w:rsidRPr="00421B9F" w:rsidRDefault="00421B9F" w:rsidP="00421B9F">
            <w:pPr>
              <w:pStyle w:val="GesAbsatz"/>
              <w:jc w:val="left"/>
              <w:rPr>
                <w:rFonts w:cs="Arial"/>
              </w:rPr>
            </w:pPr>
            <w:r w:rsidRPr="00421B9F">
              <w:rPr>
                <w:rFonts w:cs="Arial"/>
              </w:rPr>
              <w:t>Gramm HCH pro Tonne verwendetes HCH (</w:t>
            </w:r>
            <w:r w:rsidRPr="00421B9F">
              <w:rPr>
                <w:rFonts w:cs="Arial"/>
                <w:vertAlign w:val="superscript"/>
              </w:rPr>
              <w:t>b</w:t>
            </w:r>
            <w:r w:rsidRPr="00421B9F">
              <w:rPr>
                <w:rFonts w:cs="Arial"/>
              </w:rPr>
              <w:t xml:space="preserve">) </w:t>
            </w:r>
          </w:p>
        </w:tc>
        <w:tc>
          <w:tcPr>
            <w:tcW w:w="1416" w:type="dxa"/>
          </w:tcPr>
          <w:p w:rsidR="00421B9F" w:rsidRPr="00421B9F" w:rsidRDefault="00421B9F" w:rsidP="00421B9F">
            <w:pPr>
              <w:pStyle w:val="GesAbsatz"/>
              <w:jc w:val="left"/>
              <w:rPr>
                <w:rFonts w:cs="Arial"/>
              </w:rPr>
            </w:pPr>
            <w:r w:rsidRPr="00421B9F">
              <w:rPr>
                <w:rFonts w:cs="Arial"/>
              </w:rPr>
              <w:t xml:space="preserve">15 </w:t>
            </w:r>
          </w:p>
        </w:tc>
        <w:tc>
          <w:tcPr>
            <w:tcW w:w="1559" w:type="dxa"/>
          </w:tcPr>
          <w:p w:rsidR="00421B9F" w:rsidRPr="00421B9F" w:rsidRDefault="00421B9F" w:rsidP="00421B9F">
            <w:pPr>
              <w:pStyle w:val="GesAbsatz"/>
              <w:jc w:val="left"/>
              <w:rPr>
                <w:rFonts w:cs="Arial"/>
              </w:rPr>
            </w:pPr>
            <w:r w:rsidRPr="00421B9F">
              <w:rPr>
                <w:rFonts w:cs="Arial"/>
              </w:rPr>
              <w:t xml:space="preserve">4 </w:t>
            </w:r>
          </w:p>
        </w:tc>
      </w:tr>
      <w:tr w:rsidR="00421B9F" w:rsidRPr="00421B9F" w:rsidTr="00BE3B8C">
        <w:trPr>
          <w:trHeight w:val="358"/>
        </w:trPr>
        <w:tc>
          <w:tcPr>
            <w:tcW w:w="3510" w:type="dxa"/>
            <w:vMerge/>
          </w:tcPr>
          <w:p w:rsidR="00421B9F" w:rsidRPr="00421B9F" w:rsidRDefault="00421B9F" w:rsidP="00421B9F">
            <w:pPr>
              <w:pStyle w:val="GesAbsatz"/>
              <w:jc w:val="left"/>
              <w:rPr>
                <w:rFonts w:cs="Arial"/>
              </w:rPr>
            </w:pPr>
          </w:p>
        </w:tc>
        <w:tc>
          <w:tcPr>
            <w:tcW w:w="2585" w:type="dxa"/>
          </w:tcPr>
          <w:p w:rsidR="00421B9F" w:rsidRPr="00421B9F" w:rsidRDefault="00421B9F" w:rsidP="00421B9F">
            <w:pPr>
              <w:pStyle w:val="GesAbsatz"/>
              <w:jc w:val="left"/>
              <w:rPr>
                <w:rFonts w:cs="Arial"/>
              </w:rPr>
            </w:pPr>
            <w:r w:rsidRPr="00421B9F">
              <w:rPr>
                <w:rFonts w:cs="Arial"/>
              </w:rPr>
              <w:t>Milligramm HCH pro Liter abgeleitetes Abwasser (</w:t>
            </w:r>
            <w:r w:rsidRPr="00421B9F">
              <w:rPr>
                <w:rFonts w:cs="Arial"/>
                <w:vertAlign w:val="superscript"/>
              </w:rPr>
              <w:t>c</w:t>
            </w:r>
            <w:r w:rsidRPr="00421B9F">
              <w:rPr>
                <w:rFonts w:cs="Arial"/>
              </w:rPr>
              <w:t xml:space="preserve">) </w:t>
            </w:r>
          </w:p>
        </w:tc>
        <w:tc>
          <w:tcPr>
            <w:tcW w:w="1416" w:type="dxa"/>
          </w:tcPr>
          <w:p w:rsidR="00421B9F" w:rsidRPr="00421B9F" w:rsidRDefault="00421B9F" w:rsidP="00421B9F">
            <w:pPr>
              <w:pStyle w:val="GesAbsatz"/>
              <w:jc w:val="left"/>
              <w:rPr>
                <w:rFonts w:cs="Arial"/>
              </w:rPr>
            </w:pPr>
            <w:r w:rsidRPr="00421B9F">
              <w:rPr>
                <w:rFonts w:cs="Arial"/>
              </w:rPr>
              <w:t xml:space="preserve">8 </w:t>
            </w:r>
          </w:p>
        </w:tc>
        <w:tc>
          <w:tcPr>
            <w:tcW w:w="1559" w:type="dxa"/>
          </w:tcPr>
          <w:p w:rsidR="00421B9F" w:rsidRPr="00421B9F" w:rsidRDefault="00421B9F" w:rsidP="00421B9F">
            <w:pPr>
              <w:pStyle w:val="GesAbsatz"/>
              <w:jc w:val="left"/>
              <w:rPr>
                <w:rFonts w:cs="Arial"/>
              </w:rPr>
            </w:pPr>
            <w:r w:rsidRPr="00421B9F">
              <w:rPr>
                <w:rFonts w:cs="Arial"/>
              </w:rPr>
              <w:t xml:space="preserve">2 </w:t>
            </w:r>
          </w:p>
        </w:tc>
      </w:tr>
      <w:tr w:rsidR="00421B9F" w:rsidRPr="00421B9F" w:rsidTr="00BE3B8C">
        <w:trPr>
          <w:trHeight w:val="480"/>
        </w:trPr>
        <w:tc>
          <w:tcPr>
            <w:tcW w:w="3510" w:type="dxa"/>
            <w:vMerge w:val="restart"/>
          </w:tcPr>
          <w:p w:rsidR="00421B9F" w:rsidRPr="00421B9F" w:rsidRDefault="00421B9F" w:rsidP="00421B9F">
            <w:pPr>
              <w:pStyle w:val="GesAbsatz"/>
              <w:jc w:val="left"/>
              <w:rPr>
                <w:rFonts w:cs="Arial"/>
              </w:rPr>
            </w:pPr>
            <w:r w:rsidRPr="00421B9F">
              <w:rPr>
                <w:rFonts w:cs="Arial"/>
              </w:rPr>
              <w:t>3. Betrieb, in dem die Her</w:t>
            </w:r>
            <w:r>
              <w:rPr>
                <w:rFonts w:cs="Arial"/>
              </w:rPr>
              <w:t>stel</w:t>
            </w:r>
            <w:r w:rsidRPr="00421B9F">
              <w:rPr>
                <w:rFonts w:cs="Arial"/>
              </w:rPr>
              <w:t xml:space="preserve">lung von HCH und die Extraktion von Lindan vorgenommen werden </w:t>
            </w:r>
          </w:p>
        </w:tc>
        <w:tc>
          <w:tcPr>
            <w:tcW w:w="2585" w:type="dxa"/>
          </w:tcPr>
          <w:p w:rsidR="00421B9F" w:rsidRPr="00421B9F" w:rsidRDefault="00421B9F" w:rsidP="00421B9F">
            <w:pPr>
              <w:pStyle w:val="GesAbsatz"/>
              <w:jc w:val="left"/>
              <w:rPr>
                <w:rFonts w:cs="Arial"/>
              </w:rPr>
            </w:pPr>
            <w:r w:rsidRPr="00421B9F">
              <w:rPr>
                <w:rFonts w:cs="Arial"/>
              </w:rPr>
              <w:t>Gramm HCH pro Tonne hergestelltes HCH (</w:t>
            </w:r>
            <w:r w:rsidRPr="00421B9F">
              <w:rPr>
                <w:rFonts w:cs="Arial"/>
                <w:vertAlign w:val="superscript"/>
              </w:rPr>
              <w:t>b</w:t>
            </w:r>
            <w:r w:rsidRPr="00421B9F">
              <w:rPr>
                <w:rFonts w:cs="Arial"/>
              </w:rPr>
              <w:t xml:space="preserve">) </w:t>
            </w:r>
          </w:p>
        </w:tc>
        <w:tc>
          <w:tcPr>
            <w:tcW w:w="1416" w:type="dxa"/>
          </w:tcPr>
          <w:p w:rsidR="00421B9F" w:rsidRPr="00421B9F" w:rsidRDefault="00421B9F" w:rsidP="00421B9F">
            <w:pPr>
              <w:pStyle w:val="GesAbsatz"/>
              <w:jc w:val="left"/>
              <w:rPr>
                <w:rFonts w:cs="Arial"/>
              </w:rPr>
            </w:pPr>
            <w:r w:rsidRPr="00421B9F">
              <w:rPr>
                <w:rFonts w:cs="Arial"/>
              </w:rPr>
              <w:t xml:space="preserve">16 </w:t>
            </w:r>
          </w:p>
        </w:tc>
        <w:tc>
          <w:tcPr>
            <w:tcW w:w="1559" w:type="dxa"/>
          </w:tcPr>
          <w:p w:rsidR="00421B9F" w:rsidRPr="00421B9F" w:rsidRDefault="00421B9F" w:rsidP="00421B9F">
            <w:pPr>
              <w:pStyle w:val="GesAbsatz"/>
              <w:jc w:val="left"/>
              <w:rPr>
                <w:rFonts w:cs="Arial"/>
              </w:rPr>
            </w:pPr>
            <w:r w:rsidRPr="00421B9F">
              <w:rPr>
                <w:rFonts w:cs="Arial"/>
              </w:rPr>
              <w:t xml:space="preserve">5 </w:t>
            </w:r>
          </w:p>
        </w:tc>
      </w:tr>
      <w:tr w:rsidR="00421B9F" w:rsidRPr="00421B9F" w:rsidTr="00BE3B8C">
        <w:trPr>
          <w:trHeight w:val="460"/>
        </w:trPr>
        <w:tc>
          <w:tcPr>
            <w:tcW w:w="3510" w:type="dxa"/>
            <w:vMerge/>
          </w:tcPr>
          <w:p w:rsidR="00421B9F" w:rsidRPr="00421B9F" w:rsidRDefault="00421B9F" w:rsidP="00421B9F">
            <w:pPr>
              <w:pStyle w:val="GesAbsatz"/>
              <w:jc w:val="left"/>
              <w:rPr>
                <w:rFonts w:cs="Arial"/>
              </w:rPr>
            </w:pPr>
          </w:p>
        </w:tc>
        <w:tc>
          <w:tcPr>
            <w:tcW w:w="2585" w:type="dxa"/>
          </w:tcPr>
          <w:p w:rsidR="00421B9F" w:rsidRPr="00421B9F" w:rsidRDefault="00421B9F" w:rsidP="00421B9F">
            <w:pPr>
              <w:pStyle w:val="GesAbsatz"/>
              <w:jc w:val="left"/>
              <w:rPr>
                <w:rFonts w:cs="Arial"/>
              </w:rPr>
            </w:pPr>
            <w:r w:rsidRPr="00421B9F">
              <w:rPr>
                <w:rFonts w:cs="Arial"/>
              </w:rPr>
              <w:t>Milligramm HCH pro Liter abgeleitetes Abwasser (</w:t>
            </w:r>
            <w:r w:rsidRPr="00421B9F">
              <w:rPr>
                <w:rFonts w:cs="Arial"/>
                <w:vertAlign w:val="superscript"/>
              </w:rPr>
              <w:t>c</w:t>
            </w:r>
            <w:r w:rsidRPr="00421B9F">
              <w:rPr>
                <w:rFonts w:cs="Arial"/>
              </w:rPr>
              <w:t xml:space="preserve">) </w:t>
            </w:r>
          </w:p>
        </w:tc>
        <w:tc>
          <w:tcPr>
            <w:tcW w:w="1416" w:type="dxa"/>
          </w:tcPr>
          <w:p w:rsidR="00421B9F" w:rsidRPr="00421B9F" w:rsidRDefault="00421B9F" w:rsidP="00421B9F">
            <w:pPr>
              <w:pStyle w:val="GesAbsatz"/>
              <w:jc w:val="left"/>
              <w:rPr>
                <w:rFonts w:cs="Arial"/>
              </w:rPr>
            </w:pPr>
            <w:r w:rsidRPr="00421B9F">
              <w:rPr>
                <w:rFonts w:cs="Arial"/>
              </w:rPr>
              <w:t xml:space="preserve">6 </w:t>
            </w:r>
          </w:p>
        </w:tc>
        <w:tc>
          <w:tcPr>
            <w:tcW w:w="1559" w:type="dxa"/>
          </w:tcPr>
          <w:p w:rsidR="00421B9F" w:rsidRPr="00421B9F" w:rsidRDefault="00421B9F" w:rsidP="00421B9F">
            <w:pPr>
              <w:pStyle w:val="GesAbsatz"/>
              <w:jc w:val="left"/>
              <w:rPr>
                <w:rFonts w:cs="Arial"/>
              </w:rPr>
            </w:pPr>
            <w:r w:rsidRPr="00421B9F">
              <w:rPr>
                <w:rFonts w:cs="Arial"/>
              </w:rPr>
              <w:t xml:space="preserve">2 </w:t>
            </w:r>
          </w:p>
        </w:tc>
      </w:tr>
      <w:tr w:rsidR="00421B9F" w:rsidRPr="00421B9F" w:rsidTr="002B35E4">
        <w:trPr>
          <w:trHeight w:val="1574"/>
        </w:trPr>
        <w:tc>
          <w:tcPr>
            <w:tcW w:w="9070" w:type="dxa"/>
            <w:gridSpan w:val="4"/>
          </w:tcPr>
          <w:p w:rsidR="00421B9F" w:rsidRPr="00421B9F" w:rsidRDefault="00421B9F" w:rsidP="00421B9F">
            <w:pPr>
              <w:pStyle w:val="GesAbsatz"/>
              <w:jc w:val="left"/>
              <w:rPr>
                <w:rFonts w:cs="Arial"/>
              </w:rPr>
            </w:pPr>
            <w:r w:rsidRPr="00421B9F">
              <w:rPr>
                <w:rFonts w:cs="Arial"/>
              </w:rPr>
              <w:t>(</w:t>
            </w:r>
            <w:r w:rsidRPr="00421B9F">
              <w:rPr>
                <w:rFonts w:cs="Arial"/>
                <w:vertAlign w:val="superscript"/>
              </w:rPr>
              <w:t>a</w:t>
            </w:r>
            <w:r w:rsidRPr="00421B9F">
              <w:rPr>
                <w:rFonts w:cs="Arial"/>
              </w:rPr>
              <w:t>) Die in der Tabelle angegebenen Grenzwerte beziehen sich auch auf etwaige Abwässer aus der Lindan-Formulierung in der gleichen Anlage. Für die in dieser Tabelle nicht genannten HCH-verwendenden Industriezweige, insbesondere die Formulierer des Lindan, die Stoffe für den Pfla</w:t>
            </w:r>
            <w:r w:rsidRPr="00421B9F">
              <w:rPr>
                <w:rFonts w:cs="Arial"/>
              </w:rPr>
              <w:t>n</w:t>
            </w:r>
            <w:r w:rsidRPr="00421B9F">
              <w:rPr>
                <w:rFonts w:cs="Arial"/>
              </w:rPr>
              <w:t>zen-, Holz-</w:t>
            </w:r>
            <w:r>
              <w:rPr>
                <w:rFonts w:cs="Arial"/>
              </w:rPr>
              <w:t xml:space="preserve"> </w:t>
            </w:r>
            <w:r w:rsidRPr="00421B9F">
              <w:rPr>
                <w:rFonts w:cs="Arial"/>
              </w:rPr>
              <w:t xml:space="preserve">und Kabelschutz herstellen, wird der Rat später im Bedarfsfall geeignete Maßnahmen und Grenzwerte festlegen. In der Zwischenzeit legen die Mitgliedstaaten unter Berücksichtigung der besten verfügbaren technischen Mittel in eigener Zuständigkeit Emissionsnormen für die Abwässer dieser Betriebe fest. </w:t>
            </w:r>
          </w:p>
        </w:tc>
      </w:tr>
      <w:tr w:rsidR="00421B9F" w:rsidRPr="00421B9F" w:rsidTr="00BE3B8C">
        <w:trPr>
          <w:trHeight w:val="205"/>
        </w:trPr>
        <w:tc>
          <w:tcPr>
            <w:tcW w:w="9070" w:type="dxa"/>
            <w:gridSpan w:val="4"/>
          </w:tcPr>
          <w:p w:rsidR="00421B9F" w:rsidRPr="00421B9F" w:rsidRDefault="00421B9F" w:rsidP="00421B9F">
            <w:pPr>
              <w:pStyle w:val="GesAbsatz"/>
              <w:jc w:val="left"/>
              <w:rPr>
                <w:rFonts w:cs="Arial"/>
              </w:rPr>
            </w:pPr>
            <w:r w:rsidRPr="00421B9F">
              <w:rPr>
                <w:rFonts w:cs="Arial"/>
              </w:rPr>
              <w:t>(</w:t>
            </w:r>
            <w:r w:rsidRPr="00421B9F">
              <w:rPr>
                <w:rFonts w:cs="Arial"/>
                <w:vertAlign w:val="superscript"/>
              </w:rPr>
              <w:t>b</w:t>
            </w:r>
            <w:r w:rsidRPr="00421B9F">
              <w:rPr>
                <w:rFonts w:cs="Arial"/>
              </w:rPr>
              <w:t>) Frachtgrenzwerte (monatlicher Du</w:t>
            </w:r>
            <w:r>
              <w:rPr>
                <w:rFonts w:cs="Arial"/>
              </w:rPr>
              <w:t>r</w:t>
            </w:r>
            <w:r w:rsidRPr="00421B9F">
              <w:rPr>
                <w:rFonts w:cs="Arial"/>
              </w:rPr>
              <w:t xml:space="preserve">chschnittswert) (SIC! Durchschnittswert). </w:t>
            </w:r>
          </w:p>
        </w:tc>
      </w:tr>
      <w:tr w:rsidR="00421B9F" w:rsidRPr="00421B9F" w:rsidTr="00BE3B8C">
        <w:trPr>
          <w:trHeight w:val="433"/>
        </w:trPr>
        <w:tc>
          <w:tcPr>
            <w:tcW w:w="9070" w:type="dxa"/>
            <w:gridSpan w:val="4"/>
          </w:tcPr>
          <w:p w:rsidR="00421B9F" w:rsidRPr="00421B9F" w:rsidRDefault="00421B9F" w:rsidP="00421B9F">
            <w:pPr>
              <w:pStyle w:val="GesAbsatz"/>
              <w:jc w:val="left"/>
              <w:rPr>
                <w:rFonts w:cs="Arial"/>
              </w:rPr>
            </w:pPr>
            <w:r w:rsidRPr="00421B9F">
              <w:rPr>
                <w:rFonts w:cs="Arial"/>
              </w:rPr>
              <w:t>(</w:t>
            </w:r>
            <w:r w:rsidRPr="00421B9F">
              <w:rPr>
                <w:rFonts w:cs="Arial"/>
                <w:vertAlign w:val="superscript"/>
              </w:rPr>
              <w:t>c</w:t>
            </w:r>
            <w:r w:rsidRPr="00421B9F">
              <w:rPr>
                <w:rFonts w:cs="Arial"/>
              </w:rPr>
              <w:t>) Konzentrationsgrenzwert (durchschnittliche monatliche HCH-Konzentration, gewo</w:t>
            </w:r>
            <w:r>
              <w:rPr>
                <w:rFonts w:cs="Arial"/>
              </w:rPr>
              <w:t>gen nach dem Abwasser</w:t>
            </w:r>
            <w:r w:rsidRPr="00421B9F">
              <w:rPr>
                <w:rFonts w:cs="Arial"/>
              </w:rPr>
              <w:t xml:space="preserve">abfluß). </w:t>
            </w:r>
          </w:p>
        </w:tc>
      </w:tr>
      <w:tr w:rsidR="00421B9F" w:rsidRPr="00421B9F" w:rsidTr="00BE3B8C">
        <w:trPr>
          <w:trHeight w:val="148"/>
        </w:trPr>
        <w:tc>
          <w:tcPr>
            <w:tcW w:w="9070" w:type="dxa"/>
            <w:gridSpan w:val="4"/>
          </w:tcPr>
          <w:p w:rsidR="00421B9F" w:rsidRPr="00421B9F" w:rsidRDefault="00421B9F" w:rsidP="00421B9F">
            <w:pPr>
              <w:pStyle w:val="GesAbsatz"/>
              <w:jc w:val="left"/>
              <w:rPr>
                <w:rFonts w:cs="Arial"/>
              </w:rPr>
            </w:pPr>
            <w:r w:rsidRPr="00421B9F">
              <w:rPr>
                <w:rFonts w:cs="Arial"/>
              </w:rPr>
              <w:t>(</w:t>
            </w:r>
            <w:r w:rsidRPr="00421B9F">
              <w:rPr>
                <w:rFonts w:cs="Arial"/>
                <w:vertAlign w:val="superscript"/>
              </w:rPr>
              <w:t>d</w:t>
            </w:r>
            <w:r w:rsidRPr="00421B9F">
              <w:rPr>
                <w:rFonts w:cs="Arial"/>
              </w:rPr>
              <w:t xml:space="preserve">) Grenzwerte für die Gesamtmenge HCH in allen HCH-haltigen Abwasserableitungen aus dem Industriebetrieb. </w:t>
            </w:r>
          </w:p>
        </w:tc>
      </w:tr>
    </w:tbl>
    <w:p w:rsidR="0044215D" w:rsidRDefault="0044215D" w:rsidP="00A87BC7">
      <w:pPr>
        <w:pStyle w:val="GesAbsatz"/>
      </w:pPr>
    </w:p>
    <w:p w:rsidR="00A87BC7" w:rsidRDefault="00BE3B8C" w:rsidP="00BE3B8C">
      <w:pPr>
        <w:pStyle w:val="GesAbsatz"/>
        <w:ind w:left="426" w:hanging="426"/>
      </w:pPr>
      <w:r>
        <w:t>2.</w:t>
      </w:r>
      <w:r>
        <w:tab/>
      </w:r>
      <w:r w:rsidR="00A87BC7">
        <w:t>Die in der vorstehenden Tabelle angegebenen Konzentrationsgrenzwerte</w:t>
      </w:r>
      <w:r w:rsidR="00421B9F">
        <w:t xml:space="preserve"> </w:t>
      </w:r>
      <w:r w:rsidR="00A87BC7">
        <w:t>dürfen grundsätzlich nicht überschritten werden. Auf keinen Fall dürfen</w:t>
      </w:r>
      <w:r w:rsidR="00421B9F">
        <w:t xml:space="preserve"> </w:t>
      </w:r>
      <w:r w:rsidR="00A87BC7">
        <w:t>als Höchstkonzentration ausgedrückte Grenzwerte über den Werten liegen,</w:t>
      </w:r>
      <w:r w:rsidR="00421B9F">
        <w:t xml:space="preserve"> </w:t>
      </w:r>
      <w:r w:rsidR="00A87BC7">
        <w:t>die sich aus der Division der Frachtgrenzwerte durch den Wasserbedarf pro</w:t>
      </w:r>
      <w:r w:rsidR="00421B9F">
        <w:t xml:space="preserve"> </w:t>
      </w:r>
      <w:r w:rsidR="00A87BC7">
        <w:t>Tonne hergestelltes oder verwendetes HCH ergeben.</w:t>
      </w:r>
    </w:p>
    <w:p w:rsidR="00A87BC7" w:rsidRDefault="00A87BC7" w:rsidP="00BE3B8C">
      <w:pPr>
        <w:pStyle w:val="GesAbsatz"/>
        <w:ind w:left="426"/>
      </w:pPr>
      <w:r>
        <w:t>Die Frachtgrenzwerte, ausgedrückt als Menge des HCH, das im Verhältnis zur</w:t>
      </w:r>
      <w:r w:rsidR="00421B9F">
        <w:t xml:space="preserve"> </w:t>
      </w:r>
      <w:r>
        <w:t>Menge des hergestellten oder verwendeten HCH (siehe vorstehende Tabelle)</w:t>
      </w:r>
      <w:r w:rsidR="00421B9F">
        <w:t xml:space="preserve"> </w:t>
      </w:r>
      <w:r>
        <w:t>abgeleitet wird, sind in jedem Fall einzuhalten.</w:t>
      </w:r>
    </w:p>
    <w:p w:rsidR="00A87BC7" w:rsidRDefault="00BE3B8C" w:rsidP="00BE3B8C">
      <w:pPr>
        <w:pStyle w:val="GesAbsatz"/>
        <w:ind w:left="426" w:hanging="426"/>
      </w:pPr>
      <w:r>
        <w:t>3.</w:t>
      </w:r>
      <w:r>
        <w:tab/>
      </w:r>
      <w:r w:rsidR="00A87BC7">
        <w:t>Die Grenzwerte als tägliche Durchschnittswerte betragen bei Überprüfungen</w:t>
      </w:r>
      <w:r>
        <w:t xml:space="preserve"> </w:t>
      </w:r>
      <w:r w:rsidR="00A87BC7">
        <w:t>gemäß nachstehenden Nummern 4 und 5 das Doppelte der in der vorstehenden</w:t>
      </w:r>
      <w:r>
        <w:t xml:space="preserve"> </w:t>
      </w:r>
      <w:r w:rsidR="00A87BC7">
        <w:t>Tabelle angegebenen entsprechenden Grenzwerte als monatliche Durchschnittswerte.</w:t>
      </w:r>
    </w:p>
    <w:p w:rsidR="00A87BC7" w:rsidRDefault="00A87BC7" w:rsidP="00BE3B8C">
      <w:pPr>
        <w:pStyle w:val="GesAbsatz"/>
        <w:ind w:left="426" w:hanging="426"/>
      </w:pPr>
      <w:r>
        <w:t>4.</w:t>
      </w:r>
      <w:r w:rsidR="00BE3B8C">
        <w:tab/>
      </w:r>
      <w:r>
        <w:t>Um zu überprüfen, ob die Ableitungen den Emissionsnormen genügen, die</w:t>
      </w:r>
      <w:r w:rsidR="00BE3B8C">
        <w:t xml:space="preserve"> </w:t>
      </w:r>
      <w:r>
        <w:t>entsprechend dieser Richtl</w:t>
      </w:r>
      <w:r>
        <w:t>i</w:t>
      </w:r>
      <w:r>
        <w:t>nie festgesetzt wurden, muß ein Kontrollverfahren</w:t>
      </w:r>
      <w:r w:rsidR="00BE3B8C">
        <w:t xml:space="preserve"> </w:t>
      </w:r>
      <w:r>
        <w:t>eingeführt</w:t>
      </w:r>
      <w:r w:rsidR="00BE3B8C">
        <w:t xml:space="preserve"> </w:t>
      </w:r>
      <w:r>
        <w:t>werden.</w:t>
      </w:r>
    </w:p>
    <w:p w:rsidR="00A87BC7" w:rsidRDefault="00A87BC7" w:rsidP="00BE3B8C">
      <w:pPr>
        <w:pStyle w:val="GesAbsatz"/>
        <w:ind w:left="426"/>
      </w:pPr>
      <w:r>
        <w:t>Dieses Verfahren muß die Entnahme und Analyse von Proben und die</w:t>
      </w:r>
      <w:r w:rsidR="00BE3B8C">
        <w:t xml:space="preserve"> </w:t>
      </w:r>
      <w:r>
        <w:t>Messung des Abflusses und der Menge des hergestellten oder verwendeten</w:t>
      </w:r>
      <w:r w:rsidR="00BE3B8C">
        <w:t xml:space="preserve"> </w:t>
      </w:r>
      <w:r>
        <w:t>HCH vorsehen. Ist es unmöglich festzustellen, wieviel HCH hergestellt oder</w:t>
      </w:r>
      <w:r w:rsidR="00BE3B8C">
        <w:t xml:space="preserve"> </w:t>
      </w:r>
      <w:r>
        <w:t>verwendet worden ist, so kann sich das Kontrollverfahren höchstens auf die</w:t>
      </w:r>
      <w:r w:rsidR="00BE3B8C">
        <w:t xml:space="preserve"> </w:t>
      </w:r>
      <w:r>
        <w:t>Menge HCH stützen, die im fraglichen Zeitraum unter Berücksichtigung der in</w:t>
      </w:r>
      <w:r w:rsidR="00BE3B8C">
        <w:t xml:space="preserve"> </w:t>
      </w:r>
      <w:r>
        <w:t>Betrieb befindlichen Produkt</w:t>
      </w:r>
      <w:r>
        <w:t>i</w:t>
      </w:r>
      <w:r>
        <w:t>onsanlagen und der Genehmigung hergestellt</w:t>
      </w:r>
      <w:r w:rsidR="00BE3B8C">
        <w:t xml:space="preserve"> </w:t>
      </w:r>
      <w:r>
        <w:t>oder verwendet</w:t>
      </w:r>
      <w:r w:rsidR="00BE3B8C">
        <w:t xml:space="preserve"> </w:t>
      </w:r>
      <w:r>
        <w:t>werden kann.</w:t>
      </w:r>
    </w:p>
    <w:p w:rsidR="00A87BC7" w:rsidRDefault="00A87BC7" w:rsidP="00BE3B8C">
      <w:pPr>
        <w:pStyle w:val="GesAbsatz"/>
        <w:ind w:left="426" w:hanging="426"/>
      </w:pPr>
      <w:r>
        <w:lastRenderedPageBreak/>
        <w:t>5.</w:t>
      </w:r>
      <w:r w:rsidR="00BE3B8C">
        <w:tab/>
      </w:r>
      <w:r>
        <w:t>Es wird eine Probe entnommen, die für den Abfluß binnen 24 Stunden</w:t>
      </w:r>
      <w:r w:rsidR="00BE3B8C">
        <w:t xml:space="preserve"> </w:t>
      </w:r>
      <w:r>
        <w:t>repräsentativ ist. Die während eines Monats abgeleitete Menge HCH ist</w:t>
      </w:r>
      <w:r w:rsidR="00BE3B8C">
        <w:t xml:space="preserve"> </w:t>
      </w:r>
      <w:r>
        <w:t>anhand der täglichen abgeleiteten HCH-Mengen zu errec</w:t>
      </w:r>
      <w:r>
        <w:t>h</w:t>
      </w:r>
      <w:r>
        <w:t>nen.</w:t>
      </w:r>
    </w:p>
    <w:p w:rsidR="00A87BC7" w:rsidRDefault="00A87BC7" w:rsidP="00BE3B8C">
      <w:pPr>
        <w:pStyle w:val="GesAbsatz"/>
        <w:ind w:left="426"/>
      </w:pPr>
      <w:r>
        <w:t>Für Industriebetriebe, die jährlich nicht mehr als 3 kg HCH ableiten, kann ein</w:t>
      </w:r>
      <w:r w:rsidR="00BE3B8C">
        <w:t xml:space="preserve"> </w:t>
      </w:r>
      <w:r>
        <w:t>vereinfachtes Kontrollve</w:t>
      </w:r>
      <w:r>
        <w:t>r</w:t>
      </w:r>
      <w:r>
        <w:t>fahren eingeführt werden.</w:t>
      </w:r>
    </w:p>
    <w:p w:rsidR="00A87BC7" w:rsidRDefault="00A87BC7" w:rsidP="00BE3B8C">
      <w:pPr>
        <w:pStyle w:val="berschrift2"/>
        <w:jc w:val="left"/>
      </w:pPr>
      <w:bookmarkStart w:id="10" w:name="_Toc420476111"/>
      <w:r>
        <w:t>A</w:t>
      </w:r>
      <w:r w:rsidR="00BE3B8C">
        <w:t>nhang</w:t>
      </w:r>
      <w:r>
        <w:t xml:space="preserve"> II</w:t>
      </w:r>
      <w:r w:rsidR="0028472E">
        <w:t xml:space="preserve"> (gestrichen)</w:t>
      </w:r>
      <w:bookmarkEnd w:id="10"/>
    </w:p>
    <w:p w:rsidR="00A87BC7" w:rsidRDefault="00A87BC7" w:rsidP="00F2160E">
      <w:pPr>
        <w:pStyle w:val="berschrift2"/>
        <w:jc w:val="left"/>
      </w:pPr>
      <w:bookmarkStart w:id="11" w:name="_Toc420476112"/>
      <w:r>
        <w:t>A</w:t>
      </w:r>
      <w:r w:rsidR="00F2160E">
        <w:t>nhang</w:t>
      </w:r>
      <w:r>
        <w:t xml:space="preserve"> III</w:t>
      </w:r>
      <w:bookmarkEnd w:id="11"/>
    </w:p>
    <w:p w:rsidR="00A87BC7" w:rsidRPr="00F2160E" w:rsidRDefault="00F2160E" w:rsidP="00F2160E">
      <w:pPr>
        <w:pStyle w:val="GesAbsatz"/>
        <w:jc w:val="center"/>
        <w:rPr>
          <w:b/>
        </w:rPr>
      </w:pPr>
      <w:r>
        <w:rPr>
          <w:b/>
        </w:rPr>
        <w:t>Referenzmessverfahren</w:t>
      </w:r>
    </w:p>
    <w:p w:rsidR="00A87BC7" w:rsidRDefault="00A87BC7" w:rsidP="009A2641">
      <w:pPr>
        <w:pStyle w:val="GesAbsatz"/>
        <w:ind w:left="426" w:hanging="426"/>
      </w:pPr>
      <w:r>
        <w:t>1.</w:t>
      </w:r>
      <w:r w:rsidR="00F2160E">
        <w:tab/>
      </w:r>
      <w:r>
        <w:t>Die Referenzanalysemethode zur Bestimmung des HCH-Gehalts in den</w:t>
      </w:r>
      <w:r w:rsidR="00F2160E">
        <w:t xml:space="preserve"> </w:t>
      </w:r>
      <w:r>
        <w:t>Ableitungen und Gewässern ist die Gaschromatographie mittels Nachweis</w:t>
      </w:r>
      <w:r w:rsidR="00F2160E">
        <w:t xml:space="preserve"> </w:t>
      </w:r>
      <w:r>
        <w:t>durch Elektroneneinfangdetektor nach vorheriger Extraktion mit geeignetem</w:t>
      </w:r>
      <w:r w:rsidR="00F2160E">
        <w:t xml:space="preserve"> </w:t>
      </w:r>
      <w:r>
        <w:t>Lösungsmittel sowie Reinigung.</w:t>
      </w:r>
    </w:p>
    <w:p w:rsidR="00A87BC7" w:rsidRDefault="00A87BC7" w:rsidP="009A2641">
      <w:pPr>
        <w:pStyle w:val="GesAbsatz"/>
        <w:ind w:left="426"/>
      </w:pPr>
      <w:r>
        <w:t>Die Richtigkeit</w:t>
      </w:r>
      <w:r w:rsidR="009A2641">
        <w:rPr>
          <w:rStyle w:val="Funotenzeichen"/>
        </w:rPr>
        <w:footnoteReference w:id="7"/>
      </w:r>
      <w:r>
        <w:t xml:space="preserve"> und die Genauigkeit</w:t>
      </w:r>
      <w:r w:rsidR="009A2641">
        <w:rPr>
          <w:vertAlign w:val="superscript"/>
        </w:rPr>
        <w:t>10)</w:t>
      </w:r>
      <w:r>
        <w:t xml:space="preserve"> der Methode müssen ± 50 %</w:t>
      </w:r>
      <w:r w:rsidR="009A2641">
        <w:t xml:space="preserve"> </w:t>
      </w:r>
      <w:r>
        <w:t>betragen bei einer Konzentration, die dem doppelten Bestimmungsgrenzwert</w:t>
      </w:r>
      <w:r w:rsidR="009A2641">
        <w:t xml:space="preserve"> </w:t>
      </w:r>
      <w:r>
        <w:t>entspricht.</w:t>
      </w:r>
    </w:p>
    <w:p w:rsidR="00A87BC7" w:rsidRDefault="00A87BC7" w:rsidP="009A2641">
      <w:pPr>
        <w:pStyle w:val="GesAbsatz"/>
        <w:ind w:left="426"/>
      </w:pPr>
      <w:r>
        <w:t>Es muß folgende Bestimmungsgrenze</w:t>
      </w:r>
      <w:r w:rsidR="009A2641">
        <w:rPr>
          <w:vertAlign w:val="superscript"/>
        </w:rPr>
        <w:t>10)</w:t>
      </w:r>
      <w:r>
        <w:t xml:space="preserve"> eingehalten werden:</w:t>
      </w:r>
    </w:p>
    <w:p w:rsidR="00A87BC7" w:rsidRDefault="009A2641" w:rsidP="009A2641">
      <w:pPr>
        <w:pStyle w:val="GesAbsatz"/>
        <w:ind w:left="851" w:hanging="425"/>
      </w:pPr>
      <w:r>
        <w:t>-</w:t>
      </w:r>
      <w:r>
        <w:tab/>
      </w:r>
      <w:r w:rsidR="00A87BC7">
        <w:t>bei Ableitungen, ein Zehntel der am Ort der Probenahme geforderten</w:t>
      </w:r>
      <w:r>
        <w:t xml:space="preserve"> </w:t>
      </w:r>
      <w:r w:rsidR="00A87BC7">
        <w:t>Konzentration,</w:t>
      </w:r>
    </w:p>
    <w:p w:rsidR="00A87BC7" w:rsidRDefault="009A2641" w:rsidP="009A2641">
      <w:pPr>
        <w:pStyle w:val="GesAbsatz"/>
        <w:ind w:left="851" w:hanging="425"/>
      </w:pPr>
      <w:r>
        <w:t>-</w:t>
      </w:r>
      <w:r>
        <w:tab/>
      </w:r>
      <w:r w:rsidR="00A87BC7">
        <w:t>bei Gewässern, für die ein Qualitätsziel gilt,</w:t>
      </w:r>
    </w:p>
    <w:p w:rsidR="00A87BC7" w:rsidRDefault="00A87BC7" w:rsidP="009A2641">
      <w:pPr>
        <w:pStyle w:val="GesAbsatz"/>
        <w:ind w:left="1276" w:hanging="425"/>
      </w:pPr>
      <w:r>
        <w:t>i)</w:t>
      </w:r>
      <w:r w:rsidR="009A2641">
        <w:tab/>
      </w:r>
      <w:r>
        <w:t>in den oberirdischen Binnengewässern, ein Zehntel der in dem</w:t>
      </w:r>
      <w:r w:rsidR="009A2641">
        <w:t xml:space="preserve"> </w:t>
      </w:r>
      <w:r>
        <w:t>Qualitätsziel angegebenen Konzentration,</w:t>
      </w:r>
    </w:p>
    <w:p w:rsidR="00A87BC7" w:rsidRDefault="00A87BC7" w:rsidP="009A2641">
      <w:pPr>
        <w:pStyle w:val="GesAbsatz"/>
        <w:ind w:left="1276" w:hanging="425"/>
      </w:pPr>
      <w:r>
        <w:t>ii)</w:t>
      </w:r>
      <w:r w:rsidR="009A2641">
        <w:tab/>
      </w:r>
      <w:r>
        <w:t>in den Mündungsgewässern und im Küstenmeer, ein Fünftel der in dem</w:t>
      </w:r>
      <w:r w:rsidR="009A2641">
        <w:t xml:space="preserve"> </w:t>
      </w:r>
      <w:r>
        <w:t>Qualitätsziel angeg</w:t>
      </w:r>
      <w:r>
        <w:t>e</w:t>
      </w:r>
      <w:r>
        <w:t>benen Konzentration,</w:t>
      </w:r>
    </w:p>
    <w:p w:rsidR="00A87BC7" w:rsidRDefault="009A2641" w:rsidP="009A2641">
      <w:pPr>
        <w:pStyle w:val="GesAbsatz"/>
        <w:ind w:left="851" w:hanging="425"/>
      </w:pPr>
      <w:r>
        <w:t>-</w:t>
      </w:r>
      <w:r>
        <w:tab/>
      </w:r>
      <w:r w:rsidR="00A87BC7">
        <w:t xml:space="preserve">bei Sedimenten, 1 </w:t>
      </w:r>
      <w:proofErr w:type="spellStart"/>
      <w:r w:rsidR="00A87BC7">
        <w:t>μg</w:t>
      </w:r>
      <w:proofErr w:type="spellEnd"/>
      <w:r w:rsidR="00A87BC7">
        <w:t>/kg Trockengewicht,</w:t>
      </w:r>
    </w:p>
    <w:p w:rsidR="00A87BC7" w:rsidRDefault="009A2641" w:rsidP="009A2641">
      <w:pPr>
        <w:pStyle w:val="GesAbsatz"/>
        <w:ind w:left="851" w:hanging="425"/>
      </w:pPr>
      <w:r>
        <w:t>-</w:t>
      </w:r>
      <w:r>
        <w:tab/>
      </w:r>
      <w:r w:rsidR="00A87BC7">
        <w:t xml:space="preserve">bei lebenden Organismen, 1 </w:t>
      </w:r>
      <w:proofErr w:type="spellStart"/>
      <w:r w:rsidR="00A87BC7">
        <w:t>μg</w:t>
      </w:r>
      <w:proofErr w:type="spellEnd"/>
      <w:r w:rsidR="00A87BC7">
        <w:t xml:space="preserve">/kg </w:t>
      </w:r>
      <w:proofErr w:type="spellStart"/>
      <w:r w:rsidR="00A87BC7">
        <w:t>Naßgewicht</w:t>
      </w:r>
      <w:proofErr w:type="spellEnd"/>
      <w:r w:rsidR="00A87BC7">
        <w:t>.</w:t>
      </w:r>
    </w:p>
    <w:p w:rsidR="00A87BC7" w:rsidRDefault="00A87BC7" w:rsidP="00A87BC7">
      <w:pPr>
        <w:pStyle w:val="GesAbsatz"/>
      </w:pPr>
      <w:r>
        <w:t>2.</w:t>
      </w:r>
      <w:r w:rsidR="009A2641">
        <w:tab/>
      </w:r>
      <w:r>
        <w:t>Für die Messung der Abflußmenge ist</w:t>
      </w:r>
      <w:r w:rsidR="009A2641">
        <w:t xml:space="preserve"> </w:t>
      </w:r>
      <w:r>
        <w:t>eine Genauigkeit von ± 20 %</w:t>
      </w:r>
      <w:r w:rsidR="009A2641">
        <w:t xml:space="preserve"> </w:t>
      </w:r>
      <w:r>
        <w:t>vorgeschrieben.</w:t>
      </w:r>
    </w:p>
    <w:p w:rsidR="00A87BC7" w:rsidRDefault="00A87BC7" w:rsidP="009A2641">
      <w:pPr>
        <w:pStyle w:val="berschrift2"/>
        <w:jc w:val="left"/>
      </w:pPr>
      <w:bookmarkStart w:id="12" w:name="_Toc420476113"/>
      <w:r>
        <w:t>A</w:t>
      </w:r>
      <w:r w:rsidR="009A2641">
        <w:t>nhang</w:t>
      </w:r>
      <w:r>
        <w:t xml:space="preserve"> IV</w:t>
      </w:r>
      <w:bookmarkEnd w:id="12"/>
    </w:p>
    <w:p w:rsidR="00A87BC7" w:rsidRPr="009A2641" w:rsidRDefault="009A2641" w:rsidP="009A2641">
      <w:pPr>
        <w:pStyle w:val="GesAbsatz"/>
        <w:jc w:val="center"/>
        <w:rPr>
          <w:b/>
        </w:rPr>
      </w:pPr>
      <w:r>
        <w:rPr>
          <w:b/>
        </w:rPr>
        <w:t>Überwachungsverfahren für die Qualitätsziele</w:t>
      </w:r>
    </w:p>
    <w:p w:rsidR="00A87BC7" w:rsidRDefault="00A87BC7" w:rsidP="009A2641">
      <w:pPr>
        <w:pStyle w:val="GesAbsatz"/>
        <w:ind w:left="426" w:hanging="426"/>
      </w:pPr>
      <w:r>
        <w:t>1.</w:t>
      </w:r>
      <w:r w:rsidR="009A2641">
        <w:tab/>
      </w:r>
      <w:r>
        <w:t>Für jede Genehmigung, die in Anwendung dieser Richtlinie erteilt wird,</w:t>
      </w:r>
      <w:r w:rsidR="009A2641">
        <w:t xml:space="preserve"> </w:t>
      </w:r>
      <w:r>
        <w:t>bestimmt die zuständige Behö</w:t>
      </w:r>
      <w:r>
        <w:t>r</w:t>
      </w:r>
      <w:r>
        <w:t>de die Vorschriften, Überwachungsmodalitäten</w:t>
      </w:r>
      <w:r w:rsidR="009A2641">
        <w:t xml:space="preserve"> </w:t>
      </w:r>
      <w:r>
        <w:t>und Fristen, um die Einhaltung des betreffenden Qual</w:t>
      </w:r>
      <w:r>
        <w:t>i</w:t>
      </w:r>
      <w:r>
        <w:t>tätsziels oder der</w:t>
      </w:r>
      <w:r w:rsidR="009A2641">
        <w:t xml:space="preserve"> </w:t>
      </w:r>
      <w:r>
        <w:t>betreffenden Qualitätsziele sicherzustellen.</w:t>
      </w:r>
    </w:p>
    <w:p w:rsidR="00A87BC7" w:rsidRDefault="00A87BC7" w:rsidP="009A2641">
      <w:pPr>
        <w:pStyle w:val="GesAbsatz"/>
        <w:ind w:left="426" w:hanging="426"/>
      </w:pPr>
      <w:r>
        <w:t>2.</w:t>
      </w:r>
      <w:r w:rsidR="009A2641">
        <w:tab/>
      </w:r>
      <w:r>
        <w:t>In Übereinstimmung mit Artikel 6 Absatz 3 der Richtlinie 76/464/EWG</w:t>
      </w:r>
      <w:r w:rsidR="009A2641">
        <w:t xml:space="preserve"> </w:t>
      </w:r>
      <w:r>
        <w:t>unterrichtet der Mitgliedstaat die Kommission bei jedem ausgewählten und</w:t>
      </w:r>
      <w:r w:rsidR="009A2641">
        <w:t xml:space="preserve"> </w:t>
      </w:r>
      <w:r>
        <w:t>angewandten Qualitätsziel über</w:t>
      </w:r>
    </w:p>
    <w:p w:rsidR="00A87BC7" w:rsidRDefault="009A2641" w:rsidP="009A2641">
      <w:pPr>
        <w:pStyle w:val="GesAbsatz"/>
        <w:ind w:left="851" w:hanging="425"/>
      </w:pPr>
      <w:r>
        <w:t>-</w:t>
      </w:r>
      <w:r>
        <w:tab/>
      </w:r>
      <w:r w:rsidR="00A87BC7">
        <w:t>die Einleitungsstellen und Dispersionsvorrichtungen;</w:t>
      </w:r>
    </w:p>
    <w:p w:rsidR="00A87BC7" w:rsidRDefault="009A2641" w:rsidP="009A2641">
      <w:pPr>
        <w:pStyle w:val="GesAbsatz"/>
        <w:ind w:left="851" w:hanging="425"/>
      </w:pPr>
      <w:r>
        <w:t>-</w:t>
      </w:r>
      <w:r>
        <w:tab/>
      </w:r>
      <w:r w:rsidR="00A87BC7">
        <w:t>das Gebiet, in welchem das Qualitätsziel angewandt wird;</w:t>
      </w:r>
    </w:p>
    <w:p w:rsidR="00A87BC7" w:rsidRDefault="009A2641" w:rsidP="009A2641">
      <w:pPr>
        <w:pStyle w:val="GesAbsatz"/>
        <w:ind w:left="851" w:hanging="425"/>
      </w:pPr>
      <w:r>
        <w:t>-</w:t>
      </w:r>
      <w:r>
        <w:tab/>
      </w:r>
      <w:r w:rsidR="00A87BC7">
        <w:t>die Orte der Probenahme;</w:t>
      </w:r>
    </w:p>
    <w:p w:rsidR="00A87BC7" w:rsidRDefault="009A2641" w:rsidP="009A2641">
      <w:pPr>
        <w:pStyle w:val="GesAbsatz"/>
        <w:ind w:left="851" w:hanging="425"/>
      </w:pPr>
      <w:r>
        <w:t>-</w:t>
      </w:r>
      <w:r>
        <w:tab/>
      </w:r>
      <w:r w:rsidR="00A87BC7">
        <w:t>die Häufigkeit</w:t>
      </w:r>
      <w:r>
        <w:t xml:space="preserve"> </w:t>
      </w:r>
      <w:r w:rsidR="00A87BC7">
        <w:t>der Probenahme;</w:t>
      </w:r>
    </w:p>
    <w:p w:rsidR="00A87BC7" w:rsidRDefault="009A2641" w:rsidP="009A2641">
      <w:pPr>
        <w:pStyle w:val="GesAbsatz"/>
        <w:ind w:left="851" w:hanging="425"/>
      </w:pPr>
      <w:r>
        <w:t>-</w:t>
      </w:r>
      <w:r>
        <w:tab/>
      </w:r>
      <w:r w:rsidR="00A87BC7">
        <w:t>die Probenahme- und Meßmethode;</w:t>
      </w:r>
    </w:p>
    <w:p w:rsidR="00A87BC7" w:rsidRDefault="009A2641" w:rsidP="009A2641">
      <w:pPr>
        <w:pStyle w:val="GesAbsatz"/>
        <w:ind w:left="851" w:hanging="425"/>
      </w:pPr>
      <w:r>
        <w:t>-</w:t>
      </w:r>
      <w:r>
        <w:tab/>
      </w:r>
      <w:r w:rsidR="00A87BC7">
        <w:t>die Ergebnisse.</w:t>
      </w:r>
    </w:p>
    <w:p w:rsidR="00A87BC7" w:rsidRDefault="00A87BC7" w:rsidP="009A2641">
      <w:pPr>
        <w:pStyle w:val="GesAbsatz"/>
        <w:ind w:left="426" w:hanging="426"/>
      </w:pPr>
      <w:r>
        <w:t>3.</w:t>
      </w:r>
      <w:r w:rsidR="009A2641">
        <w:tab/>
      </w:r>
      <w:r>
        <w:t>Die Proben müssen ausreichend repräsentativ für die Qualität der Gewässer in</w:t>
      </w:r>
      <w:r w:rsidR="009A2641">
        <w:t xml:space="preserve"> </w:t>
      </w:r>
      <w:r>
        <w:t>dem durch die Einle</w:t>
      </w:r>
      <w:r>
        <w:t>i</w:t>
      </w:r>
      <w:r>
        <w:t>tung betroffenen Gebiet sein, und die Probenahmehäufigkeit</w:t>
      </w:r>
      <w:r w:rsidR="009A2641">
        <w:t xml:space="preserve"> </w:t>
      </w:r>
      <w:r>
        <w:t>muß genügend hoch sein, um etwaige Ä</w:t>
      </w:r>
      <w:r>
        <w:t>n</w:t>
      </w:r>
      <w:r>
        <w:t>derungen des Zustandes der</w:t>
      </w:r>
      <w:r w:rsidR="009A2641">
        <w:t xml:space="preserve"> </w:t>
      </w:r>
      <w:r>
        <w:t>Gewässer aufzeigen zu können, insbesondere unter Berücksichtigung der</w:t>
      </w:r>
      <w:r w:rsidR="009A2641">
        <w:t xml:space="preserve"> </w:t>
      </w:r>
      <w:r>
        <w:t>natürlichen Veränderungen des Wasserhaushalts.</w:t>
      </w:r>
    </w:p>
    <w:sectPr w:rsidR="00A87BC7">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65" w:rsidRDefault="00027565">
      <w:r>
        <w:separator/>
      </w:r>
    </w:p>
  </w:endnote>
  <w:endnote w:type="continuationSeparator" w:id="0">
    <w:p w:rsidR="00027565" w:rsidRDefault="0002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81" w:rsidRDefault="00965E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65E81" w:rsidRDefault="00965E8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81" w:rsidRPr="006467DA" w:rsidRDefault="00965E81" w:rsidP="006467DA">
    <w:pPr>
      <w:pStyle w:val="Fuzeile"/>
    </w:pPr>
    <w:r>
      <w:tab/>
      <w:t xml:space="preserve">09.10.1984 (ABl. L 274 S. 11; </w:t>
    </w:r>
    <w:proofErr w:type="spellStart"/>
    <w:r w:rsidRPr="006467DA">
      <w:t>ber</w:t>
    </w:r>
    <w:proofErr w:type="spellEnd"/>
    <w:r w:rsidRPr="006467DA">
      <w:t>. ABl. L 296 S. 11)</w:t>
    </w:r>
    <w:r w:rsidRPr="006467DA">
      <w:tab/>
      <w:t xml:space="preserve">Seite </w:t>
    </w:r>
    <w:r w:rsidRPr="006467DA">
      <w:fldChar w:fldCharType="begin"/>
    </w:r>
    <w:r w:rsidRPr="006467DA">
      <w:instrText xml:space="preserve"> PAGE  \* MERGEFORMAT </w:instrText>
    </w:r>
    <w:r w:rsidRPr="006467DA">
      <w:fldChar w:fldCharType="separate"/>
    </w:r>
    <w:r w:rsidR="00F37477">
      <w:rPr>
        <w:noProof/>
      </w:rPr>
      <w:t>1</w:t>
    </w:r>
    <w:r w:rsidRPr="006467DA">
      <w:fldChar w:fldCharType="end"/>
    </w:r>
  </w:p>
  <w:p w:rsidR="00965E81" w:rsidRDefault="00965E81" w:rsidP="006467DA">
    <w:pPr>
      <w:pStyle w:val="Fuzeile"/>
    </w:pPr>
    <w:r w:rsidRPr="006467DA">
      <w:tab/>
      <w:t xml:space="preserve">Stand </w:t>
    </w:r>
    <w:r w:rsidR="0028472E" w:rsidRPr="006467DA">
      <w:t>16.12.200</w:t>
    </w:r>
    <w:r w:rsidR="0028472E">
      <w:t>8</w:t>
    </w:r>
    <w:r>
      <w:t xml:space="preserve"> (ABl. L </w:t>
    </w:r>
    <w:r w:rsidR="0028472E">
      <w:t xml:space="preserve">348 </w:t>
    </w:r>
    <w:r>
      <w:t xml:space="preserve">S. </w:t>
    </w:r>
    <w:r w:rsidR="0028472E">
      <w:t>84</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65" w:rsidRDefault="00027565">
      <w:r>
        <w:separator/>
      </w:r>
    </w:p>
  </w:footnote>
  <w:footnote w:type="continuationSeparator" w:id="0">
    <w:p w:rsidR="00027565" w:rsidRDefault="00027565">
      <w:r>
        <w:continuationSeparator/>
      </w:r>
    </w:p>
  </w:footnote>
  <w:footnote w:id="1">
    <w:p w:rsidR="00965E81" w:rsidRDefault="00965E81">
      <w:pPr>
        <w:pStyle w:val="Funotentext"/>
      </w:pPr>
      <w:r>
        <w:rPr>
          <w:rStyle w:val="Funotenzeichen"/>
        </w:rPr>
        <w:footnoteRef/>
      </w:r>
      <w:r>
        <w:t xml:space="preserve"> ABl. Nr. L 129 vom 18.5.1976, S. 23.</w:t>
      </w:r>
    </w:p>
  </w:footnote>
  <w:footnote w:id="2">
    <w:p w:rsidR="00965E81" w:rsidRDefault="00965E81">
      <w:pPr>
        <w:pStyle w:val="Funotentext"/>
      </w:pPr>
      <w:r>
        <w:rPr>
          <w:rStyle w:val="Funotenzeichen"/>
        </w:rPr>
        <w:footnoteRef/>
      </w:r>
      <w:r>
        <w:t xml:space="preserve"> ABl. Nr. C 215 vom 11.8.1983, S. 3.</w:t>
      </w:r>
    </w:p>
  </w:footnote>
  <w:footnote w:id="3">
    <w:p w:rsidR="00965E81" w:rsidRDefault="00965E81">
      <w:pPr>
        <w:pStyle w:val="Funotentext"/>
      </w:pPr>
      <w:r>
        <w:rPr>
          <w:rStyle w:val="Funotenzeichen"/>
        </w:rPr>
        <w:footnoteRef/>
      </w:r>
      <w:r>
        <w:t xml:space="preserve"> ABl. Nr. C 127 vom 14.5.1984, S. 138.</w:t>
      </w:r>
    </w:p>
  </w:footnote>
  <w:footnote w:id="4">
    <w:p w:rsidR="00965E81" w:rsidRDefault="00965E81">
      <w:pPr>
        <w:pStyle w:val="Funotentext"/>
      </w:pPr>
      <w:r>
        <w:rPr>
          <w:rStyle w:val="Funotenzeichen"/>
        </w:rPr>
        <w:footnoteRef/>
      </w:r>
      <w:r>
        <w:t xml:space="preserve"> ABl. Nr. C 57 vom 29.2.1984, S. 1.</w:t>
      </w:r>
    </w:p>
  </w:footnote>
  <w:footnote w:id="5">
    <w:p w:rsidR="00965E81" w:rsidRDefault="00965E81">
      <w:pPr>
        <w:pStyle w:val="Funotentext"/>
      </w:pPr>
      <w:r>
        <w:rPr>
          <w:rStyle w:val="Funotenzeichen"/>
        </w:rPr>
        <w:footnoteRef/>
      </w:r>
      <w:r>
        <w:t xml:space="preserve"> ABl. Nr. L 20 vom 26.1.1980, S. 43.</w:t>
      </w:r>
    </w:p>
  </w:footnote>
  <w:footnote w:id="6">
    <w:p w:rsidR="00965E81" w:rsidRDefault="00965E81">
      <w:pPr>
        <w:pStyle w:val="Funotentext"/>
      </w:pPr>
      <w:r>
        <w:rPr>
          <w:rStyle w:val="Funotenzeichen"/>
        </w:rPr>
        <w:footnoteRef/>
      </w:r>
      <w:r>
        <w:t xml:space="preserve"> ABl. Nr. L 377 vom 31.12.1991, S. 48.</w:t>
      </w:r>
    </w:p>
  </w:footnote>
  <w:footnote w:id="7">
    <w:p w:rsidR="00965E81" w:rsidRDefault="00965E81">
      <w:pPr>
        <w:pStyle w:val="Funotentext"/>
      </w:pPr>
      <w:r>
        <w:rPr>
          <w:rStyle w:val="Funotenzeichen"/>
        </w:rPr>
        <w:footnoteRef/>
      </w:r>
      <w:r>
        <w:t xml:space="preserve"> Die Definitionen dieser Ausdrücke entsprechen denen der Richtlinie 79/869/EWG des Rates vom 9. Oktober 1979 über die Meßm</w:t>
      </w:r>
      <w:r>
        <w:t>e</w:t>
      </w:r>
      <w:r>
        <w:t>thoden sowie über die Häufigkeit der Probenahmen und der Analysen des Oberflächenwassers für die Trinkwassergewinnung in den Mitgliedstaaten (ABl. Nr. L 271 vom 29. 10. 1979, S.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81" w:rsidRDefault="003C41ED" w:rsidP="006467DA">
    <w:pPr>
      <w:pStyle w:val="Kopfzeile0"/>
    </w:pPr>
    <w:r>
      <w:t>Archiv7.54</w:t>
    </w:r>
  </w:p>
  <w:p w:rsidR="00965E81" w:rsidRDefault="00965E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C7"/>
    <w:rsid w:val="0001451A"/>
    <w:rsid w:val="00027565"/>
    <w:rsid w:val="00063504"/>
    <w:rsid w:val="00077EF0"/>
    <w:rsid w:val="00093D90"/>
    <w:rsid w:val="000B208E"/>
    <w:rsid w:val="00150B0A"/>
    <w:rsid w:val="0016698F"/>
    <w:rsid w:val="001715DF"/>
    <w:rsid w:val="001774E7"/>
    <w:rsid w:val="001C1083"/>
    <w:rsid w:val="00243AFC"/>
    <w:rsid w:val="0028472E"/>
    <w:rsid w:val="002B3267"/>
    <w:rsid w:val="002B35E4"/>
    <w:rsid w:val="002D5542"/>
    <w:rsid w:val="002F642A"/>
    <w:rsid w:val="0030461A"/>
    <w:rsid w:val="00313F0C"/>
    <w:rsid w:val="00316BC0"/>
    <w:rsid w:val="003A6E25"/>
    <w:rsid w:val="003B24A9"/>
    <w:rsid w:val="003C41ED"/>
    <w:rsid w:val="004029D6"/>
    <w:rsid w:val="00404262"/>
    <w:rsid w:val="00406F32"/>
    <w:rsid w:val="00412824"/>
    <w:rsid w:val="00421B9F"/>
    <w:rsid w:val="0044215D"/>
    <w:rsid w:val="00463F31"/>
    <w:rsid w:val="004964D0"/>
    <w:rsid w:val="004F2A9F"/>
    <w:rsid w:val="00557465"/>
    <w:rsid w:val="005D57B2"/>
    <w:rsid w:val="005E6B53"/>
    <w:rsid w:val="006242A7"/>
    <w:rsid w:val="0063668C"/>
    <w:rsid w:val="006467DA"/>
    <w:rsid w:val="00666321"/>
    <w:rsid w:val="006866A7"/>
    <w:rsid w:val="00697151"/>
    <w:rsid w:val="006D0AB0"/>
    <w:rsid w:val="006F62D8"/>
    <w:rsid w:val="006F7DCB"/>
    <w:rsid w:val="007A4A52"/>
    <w:rsid w:val="007F0977"/>
    <w:rsid w:val="007F5C17"/>
    <w:rsid w:val="008B789C"/>
    <w:rsid w:val="008D6200"/>
    <w:rsid w:val="00963345"/>
    <w:rsid w:val="00965E81"/>
    <w:rsid w:val="0097124F"/>
    <w:rsid w:val="0097161C"/>
    <w:rsid w:val="0098598C"/>
    <w:rsid w:val="009A2641"/>
    <w:rsid w:val="009C3FEC"/>
    <w:rsid w:val="009D408F"/>
    <w:rsid w:val="009E2AFF"/>
    <w:rsid w:val="00A578EE"/>
    <w:rsid w:val="00A87BC7"/>
    <w:rsid w:val="00A95D02"/>
    <w:rsid w:val="00AB20F7"/>
    <w:rsid w:val="00AC5D70"/>
    <w:rsid w:val="00B22BE9"/>
    <w:rsid w:val="00B27764"/>
    <w:rsid w:val="00B466D3"/>
    <w:rsid w:val="00B71714"/>
    <w:rsid w:val="00BE3B8C"/>
    <w:rsid w:val="00CC5506"/>
    <w:rsid w:val="00D668CB"/>
    <w:rsid w:val="00D750EF"/>
    <w:rsid w:val="00D86C52"/>
    <w:rsid w:val="00DB2935"/>
    <w:rsid w:val="00DB39DB"/>
    <w:rsid w:val="00DC1020"/>
    <w:rsid w:val="00E751D6"/>
    <w:rsid w:val="00EB5006"/>
    <w:rsid w:val="00F2160E"/>
    <w:rsid w:val="00F37477"/>
    <w:rsid w:val="00F61E0B"/>
    <w:rsid w:val="00F762F4"/>
    <w:rsid w:val="00FA3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467D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467DA"/>
    <w:pPr>
      <w:keepNext/>
      <w:spacing w:after="120"/>
      <w:jc w:val="center"/>
      <w:outlineLvl w:val="0"/>
    </w:pPr>
    <w:rPr>
      <w:b/>
      <w:kern w:val="28"/>
      <w:sz w:val="28"/>
    </w:rPr>
  </w:style>
  <w:style w:type="paragraph" w:styleId="berschrift2">
    <w:name w:val="heading 2"/>
    <w:basedOn w:val="Standard"/>
    <w:next w:val="GesAbsatz"/>
    <w:qFormat/>
    <w:rsid w:val="006467DA"/>
    <w:pPr>
      <w:keepNext/>
      <w:spacing w:before="240"/>
      <w:jc w:val="center"/>
      <w:outlineLvl w:val="1"/>
    </w:pPr>
    <w:rPr>
      <w:b/>
      <w:sz w:val="24"/>
    </w:rPr>
  </w:style>
  <w:style w:type="paragraph" w:styleId="berschrift3">
    <w:name w:val="heading 3"/>
    <w:basedOn w:val="Standard"/>
    <w:next w:val="GesAbsatz"/>
    <w:qFormat/>
    <w:rsid w:val="006467DA"/>
    <w:pPr>
      <w:keepNext/>
      <w:spacing w:before="240" w:after="180"/>
      <w:jc w:val="center"/>
      <w:outlineLvl w:val="2"/>
    </w:pPr>
    <w:rPr>
      <w:b/>
    </w:rPr>
  </w:style>
  <w:style w:type="paragraph" w:styleId="berschrift4">
    <w:name w:val="heading 4"/>
    <w:basedOn w:val="Standard"/>
    <w:next w:val="Standard"/>
    <w:rsid w:val="006467DA"/>
    <w:pPr>
      <w:keepNext/>
      <w:spacing w:before="240"/>
      <w:outlineLvl w:val="3"/>
    </w:pPr>
  </w:style>
  <w:style w:type="paragraph" w:styleId="berschrift5">
    <w:name w:val="heading 5"/>
    <w:basedOn w:val="Standard"/>
    <w:next w:val="Standard"/>
    <w:rsid w:val="006467D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6467DA"/>
    <w:pPr>
      <w:tabs>
        <w:tab w:val="center" w:pos="4536"/>
        <w:tab w:val="right" w:pos="9072"/>
      </w:tabs>
      <w:spacing w:before="0" w:after="120"/>
      <w:jc w:val="right"/>
    </w:pPr>
  </w:style>
  <w:style w:type="paragraph" w:styleId="Fuzeile">
    <w:name w:val="footer"/>
    <w:basedOn w:val="Standard"/>
    <w:qFormat/>
    <w:rsid w:val="006467DA"/>
    <w:pPr>
      <w:tabs>
        <w:tab w:val="clear" w:pos="425"/>
        <w:tab w:val="right" w:pos="8505"/>
        <w:tab w:val="right" w:pos="9639"/>
      </w:tabs>
      <w:spacing w:before="0" w:after="0"/>
      <w:jc w:val="left"/>
    </w:pPr>
    <w:rPr>
      <w:sz w:val="16"/>
    </w:rPr>
  </w:style>
  <w:style w:type="character" w:styleId="Seitenzahl">
    <w:name w:val="page number"/>
    <w:semiHidden/>
    <w:rsid w:val="006467DA"/>
    <w:rPr>
      <w:rFonts w:ascii="Arial" w:hAnsi="Arial"/>
      <w:sz w:val="16"/>
    </w:rPr>
  </w:style>
  <w:style w:type="paragraph" w:styleId="Verzeichnis2">
    <w:name w:val="toc 2"/>
    <w:basedOn w:val="Standard"/>
    <w:next w:val="Standard"/>
    <w:rsid w:val="006467D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6467D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467DA"/>
    <w:pPr>
      <w:spacing w:before="0" w:after="0"/>
    </w:pPr>
    <w:rPr>
      <w:sz w:val="16"/>
    </w:rPr>
  </w:style>
  <w:style w:type="paragraph" w:styleId="Verzeichnis1">
    <w:name w:val="toc 1"/>
    <w:basedOn w:val="Verzeichnis3"/>
    <w:next w:val="Standard"/>
    <w:rsid w:val="006467DA"/>
    <w:pPr>
      <w:spacing w:before="120" w:after="120"/>
      <w:ind w:left="0"/>
    </w:pPr>
    <w:rPr>
      <w:b/>
      <w:i w:val="0"/>
      <w:caps/>
    </w:rPr>
  </w:style>
  <w:style w:type="paragraph" w:customStyle="1" w:styleId="GesAbsatz">
    <w:name w:val="GesAbsatz"/>
    <w:basedOn w:val="Standard"/>
    <w:qFormat/>
    <w:rsid w:val="006467DA"/>
    <w:pPr>
      <w:spacing w:before="100"/>
    </w:pPr>
    <w:rPr>
      <w:color w:val="000000"/>
    </w:rPr>
  </w:style>
  <w:style w:type="paragraph" w:styleId="Verzeichnis4">
    <w:name w:val="toc 4"/>
    <w:basedOn w:val="Standard"/>
    <w:next w:val="Standard"/>
    <w:semiHidden/>
    <w:rsid w:val="006467D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467DA"/>
    <w:rPr>
      <w:sz w:val="20"/>
      <w:szCs w:val="20"/>
      <w:vertAlign w:val="superscript"/>
    </w:rPr>
  </w:style>
  <w:style w:type="paragraph" w:styleId="Verzeichnis5">
    <w:name w:val="toc 5"/>
    <w:basedOn w:val="Standard"/>
    <w:next w:val="Standard"/>
    <w:semiHidden/>
    <w:rsid w:val="006467D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467D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467D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467D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467D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6467DA"/>
    <w:rPr>
      <w:color w:val="0000FF"/>
      <w:u w:val="single"/>
    </w:rPr>
  </w:style>
  <w:style w:type="paragraph" w:customStyle="1" w:styleId="Kopfzeile0">
    <w:name w:val="Kopfzeile0"/>
    <w:basedOn w:val="Standard"/>
    <w:next w:val="Kopfzeile"/>
    <w:qFormat/>
    <w:rsid w:val="006467DA"/>
    <w:pPr>
      <w:spacing w:before="0" w:after="0"/>
      <w:jc w:val="right"/>
    </w:pPr>
    <w:rPr>
      <w:b/>
      <w:sz w:val="24"/>
    </w:rPr>
  </w:style>
  <w:style w:type="paragraph" w:styleId="Sprechblasentext">
    <w:name w:val="Balloon Text"/>
    <w:basedOn w:val="Standard"/>
    <w:link w:val="SprechblasentextZchn"/>
    <w:rsid w:val="0097124F"/>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971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467D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467DA"/>
    <w:pPr>
      <w:keepNext/>
      <w:spacing w:after="120"/>
      <w:jc w:val="center"/>
      <w:outlineLvl w:val="0"/>
    </w:pPr>
    <w:rPr>
      <w:b/>
      <w:kern w:val="28"/>
      <w:sz w:val="28"/>
    </w:rPr>
  </w:style>
  <w:style w:type="paragraph" w:styleId="berschrift2">
    <w:name w:val="heading 2"/>
    <w:basedOn w:val="Standard"/>
    <w:next w:val="GesAbsatz"/>
    <w:qFormat/>
    <w:rsid w:val="006467DA"/>
    <w:pPr>
      <w:keepNext/>
      <w:spacing w:before="240"/>
      <w:jc w:val="center"/>
      <w:outlineLvl w:val="1"/>
    </w:pPr>
    <w:rPr>
      <w:b/>
      <w:sz w:val="24"/>
    </w:rPr>
  </w:style>
  <w:style w:type="paragraph" w:styleId="berschrift3">
    <w:name w:val="heading 3"/>
    <w:basedOn w:val="Standard"/>
    <w:next w:val="GesAbsatz"/>
    <w:qFormat/>
    <w:rsid w:val="006467DA"/>
    <w:pPr>
      <w:keepNext/>
      <w:spacing w:before="240" w:after="180"/>
      <w:jc w:val="center"/>
      <w:outlineLvl w:val="2"/>
    </w:pPr>
    <w:rPr>
      <w:b/>
    </w:rPr>
  </w:style>
  <w:style w:type="paragraph" w:styleId="berschrift4">
    <w:name w:val="heading 4"/>
    <w:basedOn w:val="Standard"/>
    <w:next w:val="Standard"/>
    <w:rsid w:val="006467DA"/>
    <w:pPr>
      <w:keepNext/>
      <w:spacing w:before="240"/>
      <w:outlineLvl w:val="3"/>
    </w:pPr>
  </w:style>
  <w:style w:type="paragraph" w:styleId="berschrift5">
    <w:name w:val="heading 5"/>
    <w:basedOn w:val="Standard"/>
    <w:next w:val="Standard"/>
    <w:rsid w:val="006467D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6467DA"/>
    <w:pPr>
      <w:tabs>
        <w:tab w:val="center" w:pos="4536"/>
        <w:tab w:val="right" w:pos="9072"/>
      </w:tabs>
      <w:spacing w:before="0" w:after="120"/>
      <w:jc w:val="right"/>
    </w:pPr>
  </w:style>
  <w:style w:type="paragraph" w:styleId="Fuzeile">
    <w:name w:val="footer"/>
    <w:basedOn w:val="Standard"/>
    <w:qFormat/>
    <w:rsid w:val="006467DA"/>
    <w:pPr>
      <w:tabs>
        <w:tab w:val="clear" w:pos="425"/>
        <w:tab w:val="right" w:pos="8505"/>
        <w:tab w:val="right" w:pos="9639"/>
      </w:tabs>
      <w:spacing w:before="0" w:after="0"/>
      <w:jc w:val="left"/>
    </w:pPr>
    <w:rPr>
      <w:sz w:val="16"/>
    </w:rPr>
  </w:style>
  <w:style w:type="character" w:styleId="Seitenzahl">
    <w:name w:val="page number"/>
    <w:semiHidden/>
    <w:rsid w:val="006467DA"/>
    <w:rPr>
      <w:rFonts w:ascii="Arial" w:hAnsi="Arial"/>
      <w:sz w:val="16"/>
    </w:rPr>
  </w:style>
  <w:style w:type="paragraph" w:styleId="Verzeichnis2">
    <w:name w:val="toc 2"/>
    <w:basedOn w:val="Standard"/>
    <w:next w:val="Standard"/>
    <w:rsid w:val="006467D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6467D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467DA"/>
    <w:pPr>
      <w:spacing w:before="0" w:after="0"/>
    </w:pPr>
    <w:rPr>
      <w:sz w:val="16"/>
    </w:rPr>
  </w:style>
  <w:style w:type="paragraph" w:styleId="Verzeichnis1">
    <w:name w:val="toc 1"/>
    <w:basedOn w:val="Verzeichnis3"/>
    <w:next w:val="Standard"/>
    <w:rsid w:val="006467DA"/>
    <w:pPr>
      <w:spacing w:before="120" w:after="120"/>
      <w:ind w:left="0"/>
    </w:pPr>
    <w:rPr>
      <w:b/>
      <w:i w:val="0"/>
      <w:caps/>
    </w:rPr>
  </w:style>
  <w:style w:type="paragraph" w:customStyle="1" w:styleId="GesAbsatz">
    <w:name w:val="GesAbsatz"/>
    <w:basedOn w:val="Standard"/>
    <w:qFormat/>
    <w:rsid w:val="006467DA"/>
    <w:pPr>
      <w:spacing w:before="100"/>
    </w:pPr>
    <w:rPr>
      <w:color w:val="000000"/>
    </w:rPr>
  </w:style>
  <w:style w:type="paragraph" w:styleId="Verzeichnis4">
    <w:name w:val="toc 4"/>
    <w:basedOn w:val="Standard"/>
    <w:next w:val="Standard"/>
    <w:semiHidden/>
    <w:rsid w:val="006467D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467DA"/>
    <w:rPr>
      <w:sz w:val="20"/>
      <w:szCs w:val="20"/>
      <w:vertAlign w:val="superscript"/>
    </w:rPr>
  </w:style>
  <w:style w:type="paragraph" w:styleId="Verzeichnis5">
    <w:name w:val="toc 5"/>
    <w:basedOn w:val="Standard"/>
    <w:next w:val="Standard"/>
    <w:semiHidden/>
    <w:rsid w:val="006467D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467D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467D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467D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467D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6467DA"/>
    <w:rPr>
      <w:color w:val="0000FF"/>
      <w:u w:val="single"/>
    </w:rPr>
  </w:style>
  <w:style w:type="paragraph" w:customStyle="1" w:styleId="Kopfzeile0">
    <w:name w:val="Kopfzeile0"/>
    <w:basedOn w:val="Standard"/>
    <w:next w:val="Kopfzeile"/>
    <w:qFormat/>
    <w:rsid w:val="006467DA"/>
    <w:pPr>
      <w:spacing w:before="0" w:after="0"/>
      <w:jc w:val="right"/>
    </w:pPr>
    <w:rPr>
      <w:b/>
      <w:sz w:val="24"/>
    </w:rPr>
  </w:style>
  <w:style w:type="paragraph" w:styleId="Sprechblasentext">
    <w:name w:val="Balloon Text"/>
    <w:basedOn w:val="Standard"/>
    <w:link w:val="SprechblasentextZchn"/>
    <w:rsid w:val="0097124F"/>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971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4L0491&amp;from=DE" TargetMode="External"/><Relationship Id="rId13" Type="http://schemas.openxmlformats.org/officeDocument/2006/relationships/hyperlink" Target="http://eur-lex.europa.eu/legal-content/DE/TXT/PDF/?uri=CELEX:31993L0080&amp;from=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lex.europa.eu/legal-content/DE/TXT/PDF/?uri=CELEX:31991L0692&amp;from=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DE/TXT/PDF/?uri=CELEX:31990L0656&amp;fro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r-lex.europa.eu/legal-content/DE/TXT/PDF/?uri=CELEX:31990D0481&amp;from=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gal-content/DE/TXT/PDF/?uri=CELEX:31984L0491R(01)&amp;from=DE" TargetMode="External"/><Relationship Id="rId14" Type="http://schemas.openxmlformats.org/officeDocument/2006/relationships/hyperlink" Target="http://eur-lex.europa.eu/legal-content/DE/TXT/PDF/?uri=CELEX:32008L0105&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9C31-0046-4D28-A78C-6C95B661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2402</Words>
  <Characters>15135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Grenzwerte und Qualitätsziele für Ableitungen von Hexachlorcyclohexan</vt:lpstr>
    </vt:vector>
  </TitlesOfParts>
  <Company>LANUV NRW</Company>
  <LinksUpToDate>false</LinksUpToDate>
  <CharactersWithSpaces>17502</CharactersWithSpaces>
  <SharedDoc>false</SharedDoc>
  <HLinks>
    <vt:vector size="72" baseType="variant">
      <vt:variant>
        <vt:i4>1376306</vt:i4>
      </vt:variant>
      <vt:variant>
        <vt:i4>68</vt:i4>
      </vt:variant>
      <vt:variant>
        <vt:i4>0</vt:i4>
      </vt:variant>
      <vt:variant>
        <vt:i4>5</vt:i4>
      </vt:variant>
      <vt:variant>
        <vt:lpwstr/>
      </vt:variant>
      <vt:variant>
        <vt:lpwstr>_Toc173905091</vt:lpwstr>
      </vt:variant>
      <vt:variant>
        <vt:i4>1376306</vt:i4>
      </vt:variant>
      <vt:variant>
        <vt:i4>62</vt:i4>
      </vt:variant>
      <vt:variant>
        <vt:i4>0</vt:i4>
      </vt:variant>
      <vt:variant>
        <vt:i4>5</vt:i4>
      </vt:variant>
      <vt:variant>
        <vt:lpwstr/>
      </vt:variant>
      <vt:variant>
        <vt:lpwstr>_Toc173905090</vt:lpwstr>
      </vt:variant>
      <vt:variant>
        <vt:i4>1310770</vt:i4>
      </vt:variant>
      <vt:variant>
        <vt:i4>56</vt:i4>
      </vt:variant>
      <vt:variant>
        <vt:i4>0</vt:i4>
      </vt:variant>
      <vt:variant>
        <vt:i4>5</vt:i4>
      </vt:variant>
      <vt:variant>
        <vt:lpwstr/>
      </vt:variant>
      <vt:variant>
        <vt:lpwstr>_Toc173905089</vt:lpwstr>
      </vt:variant>
      <vt:variant>
        <vt:i4>1310770</vt:i4>
      </vt:variant>
      <vt:variant>
        <vt:i4>50</vt:i4>
      </vt:variant>
      <vt:variant>
        <vt:i4>0</vt:i4>
      </vt:variant>
      <vt:variant>
        <vt:i4>5</vt:i4>
      </vt:variant>
      <vt:variant>
        <vt:lpwstr/>
      </vt:variant>
      <vt:variant>
        <vt:lpwstr>_Toc173905088</vt:lpwstr>
      </vt:variant>
      <vt:variant>
        <vt:i4>1310770</vt:i4>
      </vt:variant>
      <vt:variant>
        <vt:i4>44</vt:i4>
      </vt:variant>
      <vt:variant>
        <vt:i4>0</vt:i4>
      </vt:variant>
      <vt:variant>
        <vt:i4>5</vt:i4>
      </vt:variant>
      <vt:variant>
        <vt:lpwstr/>
      </vt:variant>
      <vt:variant>
        <vt:lpwstr>_Toc173905087</vt:lpwstr>
      </vt:variant>
      <vt:variant>
        <vt:i4>1310770</vt:i4>
      </vt:variant>
      <vt:variant>
        <vt:i4>38</vt:i4>
      </vt:variant>
      <vt:variant>
        <vt:i4>0</vt:i4>
      </vt:variant>
      <vt:variant>
        <vt:i4>5</vt:i4>
      </vt:variant>
      <vt:variant>
        <vt:lpwstr/>
      </vt:variant>
      <vt:variant>
        <vt:lpwstr>_Toc173905086</vt:lpwstr>
      </vt:variant>
      <vt:variant>
        <vt:i4>1310770</vt:i4>
      </vt:variant>
      <vt:variant>
        <vt:i4>32</vt:i4>
      </vt:variant>
      <vt:variant>
        <vt:i4>0</vt:i4>
      </vt:variant>
      <vt:variant>
        <vt:i4>5</vt:i4>
      </vt:variant>
      <vt:variant>
        <vt:lpwstr/>
      </vt:variant>
      <vt:variant>
        <vt:lpwstr>_Toc173905085</vt:lpwstr>
      </vt:variant>
      <vt:variant>
        <vt:i4>1310770</vt:i4>
      </vt:variant>
      <vt:variant>
        <vt:i4>26</vt:i4>
      </vt:variant>
      <vt:variant>
        <vt:i4>0</vt:i4>
      </vt:variant>
      <vt:variant>
        <vt:i4>5</vt:i4>
      </vt:variant>
      <vt:variant>
        <vt:lpwstr/>
      </vt:variant>
      <vt:variant>
        <vt:lpwstr>_Toc173905084</vt:lpwstr>
      </vt:variant>
      <vt:variant>
        <vt:i4>1310770</vt:i4>
      </vt:variant>
      <vt:variant>
        <vt:i4>20</vt:i4>
      </vt:variant>
      <vt:variant>
        <vt:i4>0</vt:i4>
      </vt:variant>
      <vt:variant>
        <vt:i4>5</vt:i4>
      </vt:variant>
      <vt:variant>
        <vt:lpwstr/>
      </vt:variant>
      <vt:variant>
        <vt:lpwstr>_Toc173905083</vt:lpwstr>
      </vt:variant>
      <vt:variant>
        <vt:i4>1310770</vt:i4>
      </vt:variant>
      <vt:variant>
        <vt:i4>14</vt:i4>
      </vt:variant>
      <vt:variant>
        <vt:i4>0</vt:i4>
      </vt:variant>
      <vt:variant>
        <vt:i4>5</vt:i4>
      </vt:variant>
      <vt:variant>
        <vt:lpwstr/>
      </vt:variant>
      <vt:variant>
        <vt:lpwstr>_Toc173905082</vt:lpwstr>
      </vt:variant>
      <vt:variant>
        <vt:i4>1310770</vt:i4>
      </vt:variant>
      <vt:variant>
        <vt:i4>8</vt:i4>
      </vt:variant>
      <vt:variant>
        <vt:i4>0</vt:i4>
      </vt:variant>
      <vt:variant>
        <vt:i4>5</vt:i4>
      </vt:variant>
      <vt:variant>
        <vt:lpwstr/>
      </vt:variant>
      <vt:variant>
        <vt:lpwstr>_Toc173905081</vt:lpwstr>
      </vt:variant>
      <vt:variant>
        <vt:i4>1310770</vt:i4>
      </vt:variant>
      <vt:variant>
        <vt:i4>2</vt:i4>
      </vt:variant>
      <vt:variant>
        <vt:i4>0</vt:i4>
      </vt:variant>
      <vt:variant>
        <vt:i4>5</vt:i4>
      </vt:variant>
      <vt:variant>
        <vt:lpwstr/>
      </vt:variant>
      <vt:variant>
        <vt:lpwstr>_Toc173905080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Grenzwerte und Qualitätsziele für Ableitungen von Hexachlorcyclohexan</dc:title>
  <dc:subject>Richtlinie des Rates 84/491/EWG</dc:subject>
  <dc:creator>Natrop</dc:creator>
  <cp:lastModifiedBy>rueter</cp:lastModifiedBy>
  <cp:revision>13</cp:revision>
  <cp:lastPrinted>2015-05-27T05:59:00Z</cp:lastPrinted>
  <dcterms:created xsi:type="dcterms:W3CDTF">2015-05-27T06:05:00Z</dcterms:created>
  <dcterms:modified xsi:type="dcterms:W3CDTF">2015-05-27T13:02:00Z</dcterms:modified>
</cp:coreProperties>
</file>