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AA" w:rsidRPr="000D418A" w:rsidRDefault="00A617AA" w:rsidP="000D418A">
      <w:pPr>
        <w:pStyle w:val="berschrift1"/>
      </w:pPr>
      <w:bookmarkStart w:id="0" w:name="_Toc219173724"/>
      <w:r w:rsidRPr="000D418A">
        <w:t xml:space="preserve">Richtlinie des Rates </w:t>
      </w:r>
      <w:hyperlink r:id="rId8" w:history="1">
        <w:r w:rsidR="00207340" w:rsidRPr="009E6F4D">
          <w:rPr>
            <w:rStyle w:val="Hyperlink"/>
          </w:rPr>
          <w:t>83/513/EWG</w:t>
        </w:r>
      </w:hyperlink>
      <w:r w:rsidR="00207340" w:rsidRPr="000D418A">
        <w:t xml:space="preserve"> </w:t>
      </w:r>
      <w:r w:rsidRPr="000D418A">
        <w:t>vom 26. Sep</w:t>
      </w:r>
      <w:bookmarkStart w:id="1" w:name="_GoBack"/>
      <w:bookmarkEnd w:id="1"/>
      <w:r w:rsidRPr="000D418A">
        <w:t>tember 1983 betreffend Grenzwerte und Qualitätsziele für Cadmiumableitungen</w:t>
      </w:r>
      <w:bookmarkEnd w:id="0"/>
    </w:p>
    <w:p w:rsidR="00A617AA" w:rsidRDefault="00655741" w:rsidP="00177163">
      <w:pPr>
        <w:pStyle w:val="GesAbsatz"/>
      </w:pPr>
      <w:r w:rsidRPr="0003038D">
        <w:rPr>
          <w:b/>
        </w:rPr>
        <w:t>Änderungen:</w:t>
      </w:r>
      <w:r>
        <w:t xml:space="preserve"> </w:t>
      </w:r>
      <w:hyperlink r:id="rId9" w:history="1">
        <w:r w:rsidRPr="004E0573">
          <w:rPr>
            <w:rStyle w:val="Hyperlink"/>
          </w:rPr>
          <w:t>91/692/EWG</w:t>
        </w:r>
      </w:hyperlink>
      <w:r>
        <w:t xml:space="preserve"> ABl. L 377 v. 31.12.1991 S. 48;</w:t>
      </w:r>
      <w:r w:rsidR="003D4AC5">
        <w:t xml:space="preserve"> </w:t>
      </w:r>
      <w:hyperlink r:id="rId10" w:history="1">
        <w:r w:rsidR="003D4AC5" w:rsidRPr="00AF3666">
          <w:rPr>
            <w:rStyle w:val="Hyperlink"/>
          </w:rPr>
          <w:t>2008/105/EG</w:t>
        </w:r>
      </w:hyperlink>
      <w:r w:rsidR="003D4AC5">
        <w:t xml:space="preserve"> ABl. L 348 v. 24.12.2008 S. 84;</w:t>
      </w:r>
    </w:p>
    <w:p w:rsidR="00E927AD" w:rsidRPr="00DF22C0" w:rsidRDefault="00E927AD" w:rsidP="00E927AD">
      <w:pPr>
        <w:pStyle w:val="GesAbsatz"/>
        <w:rPr>
          <w:rFonts w:cs="Arial"/>
          <w:b/>
          <w:i/>
          <w:color w:val="FF0000"/>
          <w:sz w:val="22"/>
          <w:szCs w:val="22"/>
        </w:rPr>
      </w:pPr>
      <w:r w:rsidRPr="00DF22C0">
        <w:rPr>
          <w:b/>
          <w:i/>
          <w:color w:val="FF0000"/>
          <w:sz w:val="22"/>
          <w:szCs w:val="22"/>
        </w:rPr>
        <w:t>Die Richtlinie wird mit Wirkung vom 22.12.2012 aufgehoben.</w:t>
      </w:r>
    </w:p>
    <w:p w:rsidR="00E927AD" w:rsidRDefault="00E927AD" w:rsidP="0003038D">
      <w:pPr>
        <w:pStyle w:val="GesAbsatz"/>
      </w:pPr>
    </w:p>
    <w:p w:rsidR="00A617AA" w:rsidRPr="0032589E" w:rsidRDefault="00A617AA" w:rsidP="0032589E">
      <w:pPr>
        <w:pStyle w:val="GesAbsatz"/>
        <w:jc w:val="center"/>
        <w:rPr>
          <w:b/>
          <w:sz w:val="22"/>
          <w:szCs w:val="22"/>
        </w:rPr>
      </w:pPr>
      <w:r w:rsidRPr="0032589E">
        <w:rPr>
          <w:b/>
          <w:sz w:val="22"/>
          <w:szCs w:val="22"/>
        </w:rPr>
        <w:t>Inhalt</w:t>
      </w:r>
      <w:r w:rsidR="0032589E" w:rsidRPr="0032589E">
        <w:rPr>
          <w:b/>
          <w:sz w:val="22"/>
          <w:szCs w:val="22"/>
        </w:rPr>
        <w:t>:</w:t>
      </w:r>
    </w:p>
    <w:p w:rsidR="00327F7D" w:rsidRDefault="00327F7D">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sidRPr="00AB0D5D">
        <w:rPr>
          <w:noProof/>
        </w:rPr>
        <w:t xml:space="preserve">Richtlinie des Rates 83/513/EWG </w:t>
      </w:r>
      <w:r>
        <w:rPr>
          <w:noProof/>
        </w:rPr>
        <w:t>vom 26. September 1983 betreffend Grenzwerte und Qualitätsziele für Cadmiumableitungen</w:t>
      </w:r>
      <w:r>
        <w:rPr>
          <w:noProof/>
        </w:rPr>
        <w:tab/>
      </w:r>
      <w:r>
        <w:rPr>
          <w:noProof/>
        </w:rPr>
        <w:fldChar w:fldCharType="begin"/>
      </w:r>
      <w:r>
        <w:rPr>
          <w:noProof/>
        </w:rPr>
        <w:instrText xml:space="preserve"> PAGEREF _Toc219173724 \h </w:instrText>
      </w:r>
      <w:r w:rsidR="00887DC3">
        <w:rPr>
          <w:noProof/>
        </w:rPr>
      </w:r>
      <w:r>
        <w:rPr>
          <w:noProof/>
        </w:rPr>
        <w:fldChar w:fldCharType="separate"/>
      </w:r>
      <w:r w:rsidR="009E6F4D">
        <w:rPr>
          <w:noProof/>
        </w:rPr>
        <w:t>1</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Artikel 1</w:t>
      </w:r>
      <w:r>
        <w:rPr>
          <w:noProof/>
        </w:rPr>
        <w:tab/>
      </w:r>
      <w:r>
        <w:rPr>
          <w:noProof/>
        </w:rPr>
        <w:fldChar w:fldCharType="begin"/>
      </w:r>
      <w:r>
        <w:rPr>
          <w:noProof/>
        </w:rPr>
        <w:instrText xml:space="preserve"> PAGEREF _Toc219173725 \h </w:instrText>
      </w:r>
      <w:r w:rsidR="00887DC3">
        <w:rPr>
          <w:noProof/>
        </w:rPr>
      </w:r>
      <w:r>
        <w:rPr>
          <w:noProof/>
        </w:rPr>
        <w:fldChar w:fldCharType="separate"/>
      </w:r>
      <w:r w:rsidR="009E6F4D">
        <w:rPr>
          <w:noProof/>
        </w:rPr>
        <w:t>2</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Artikel 2</w:t>
      </w:r>
      <w:r>
        <w:rPr>
          <w:noProof/>
        </w:rPr>
        <w:tab/>
      </w:r>
      <w:r>
        <w:rPr>
          <w:noProof/>
        </w:rPr>
        <w:fldChar w:fldCharType="begin"/>
      </w:r>
      <w:r>
        <w:rPr>
          <w:noProof/>
        </w:rPr>
        <w:instrText xml:space="preserve"> PAGEREF _Toc219173726 \h </w:instrText>
      </w:r>
      <w:r w:rsidR="00887DC3">
        <w:rPr>
          <w:noProof/>
        </w:rPr>
      </w:r>
      <w:r>
        <w:rPr>
          <w:noProof/>
        </w:rPr>
        <w:fldChar w:fldCharType="separate"/>
      </w:r>
      <w:r w:rsidR="009E6F4D">
        <w:rPr>
          <w:noProof/>
        </w:rPr>
        <w:t>2</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Artikel 3</w:t>
      </w:r>
      <w:r>
        <w:rPr>
          <w:noProof/>
        </w:rPr>
        <w:tab/>
      </w:r>
      <w:r>
        <w:rPr>
          <w:noProof/>
        </w:rPr>
        <w:fldChar w:fldCharType="begin"/>
      </w:r>
      <w:r>
        <w:rPr>
          <w:noProof/>
        </w:rPr>
        <w:instrText xml:space="preserve"> PAGEREF _Toc219173727 \h </w:instrText>
      </w:r>
      <w:r w:rsidR="00887DC3">
        <w:rPr>
          <w:noProof/>
        </w:rPr>
      </w:r>
      <w:r>
        <w:rPr>
          <w:noProof/>
        </w:rPr>
        <w:fldChar w:fldCharType="separate"/>
      </w:r>
      <w:r w:rsidR="009E6F4D">
        <w:rPr>
          <w:noProof/>
        </w:rPr>
        <w:t>3</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Artikel 4</w:t>
      </w:r>
      <w:r>
        <w:rPr>
          <w:noProof/>
        </w:rPr>
        <w:tab/>
      </w:r>
      <w:r>
        <w:rPr>
          <w:noProof/>
        </w:rPr>
        <w:fldChar w:fldCharType="begin"/>
      </w:r>
      <w:r>
        <w:rPr>
          <w:noProof/>
        </w:rPr>
        <w:instrText xml:space="preserve"> PAGEREF _Toc219173728 \h </w:instrText>
      </w:r>
      <w:r w:rsidR="00887DC3">
        <w:rPr>
          <w:noProof/>
        </w:rPr>
      </w:r>
      <w:r>
        <w:rPr>
          <w:noProof/>
        </w:rPr>
        <w:fldChar w:fldCharType="separate"/>
      </w:r>
      <w:r w:rsidR="009E6F4D">
        <w:rPr>
          <w:noProof/>
        </w:rPr>
        <w:t>3</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Artikel 5</w:t>
      </w:r>
      <w:r>
        <w:rPr>
          <w:noProof/>
        </w:rPr>
        <w:tab/>
      </w:r>
      <w:r>
        <w:rPr>
          <w:noProof/>
        </w:rPr>
        <w:fldChar w:fldCharType="begin"/>
      </w:r>
      <w:r>
        <w:rPr>
          <w:noProof/>
        </w:rPr>
        <w:instrText xml:space="preserve"> PAGEREF _Toc219173729 \h </w:instrText>
      </w:r>
      <w:r w:rsidR="00887DC3">
        <w:rPr>
          <w:noProof/>
        </w:rPr>
      </w:r>
      <w:r>
        <w:rPr>
          <w:noProof/>
        </w:rPr>
        <w:fldChar w:fldCharType="separate"/>
      </w:r>
      <w:r w:rsidR="009E6F4D">
        <w:rPr>
          <w:noProof/>
        </w:rPr>
        <w:t>3</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Artikel 6</w:t>
      </w:r>
      <w:r>
        <w:rPr>
          <w:noProof/>
        </w:rPr>
        <w:tab/>
      </w:r>
      <w:r>
        <w:rPr>
          <w:noProof/>
        </w:rPr>
        <w:fldChar w:fldCharType="begin"/>
      </w:r>
      <w:r>
        <w:rPr>
          <w:noProof/>
        </w:rPr>
        <w:instrText xml:space="preserve"> PAGEREF _Toc219173730 \h </w:instrText>
      </w:r>
      <w:r w:rsidR="00887DC3">
        <w:rPr>
          <w:noProof/>
        </w:rPr>
      </w:r>
      <w:r>
        <w:rPr>
          <w:noProof/>
        </w:rPr>
        <w:fldChar w:fldCharType="separate"/>
      </w:r>
      <w:r w:rsidR="009E6F4D">
        <w:rPr>
          <w:noProof/>
        </w:rPr>
        <w:t>4</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Artikel 7</w:t>
      </w:r>
      <w:r>
        <w:rPr>
          <w:noProof/>
        </w:rPr>
        <w:tab/>
      </w:r>
      <w:r>
        <w:rPr>
          <w:noProof/>
        </w:rPr>
        <w:fldChar w:fldCharType="begin"/>
      </w:r>
      <w:r>
        <w:rPr>
          <w:noProof/>
        </w:rPr>
        <w:instrText xml:space="preserve"> PAGEREF _Toc219173731 \h </w:instrText>
      </w:r>
      <w:r w:rsidR="00887DC3">
        <w:rPr>
          <w:noProof/>
        </w:rPr>
      </w:r>
      <w:r>
        <w:rPr>
          <w:noProof/>
        </w:rPr>
        <w:fldChar w:fldCharType="separate"/>
      </w:r>
      <w:r w:rsidR="009E6F4D">
        <w:rPr>
          <w:noProof/>
        </w:rPr>
        <w:t>4</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Artikel 8</w:t>
      </w:r>
      <w:r>
        <w:rPr>
          <w:noProof/>
        </w:rPr>
        <w:tab/>
      </w:r>
      <w:r>
        <w:rPr>
          <w:noProof/>
        </w:rPr>
        <w:fldChar w:fldCharType="begin"/>
      </w:r>
      <w:r>
        <w:rPr>
          <w:noProof/>
        </w:rPr>
        <w:instrText xml:space="preserve"> PAGEREF _Toc219173732 \h </w:instrText>
      </w:r>
      <w:r w:rsidR="00887DC3">
        <w:rPr>
          <w:noProof/>
        </w:rPr>
      </w:r>
      <w:r>
        <w:rPr>
          <w:noProof/>
        </w:rPr>
        <w:fldChar w:fldCharType="separate"/>
      </w:r>
      <w:r w:rsidR="009E6F4D">
        <w:rPr>
          <w:noProof/>
        </w:rPr>
        <w:t>4</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Anhang I: Grenzwerte, Fristen für die Einhaltung der Grenzwerte und Überwachungs- und Kontrollverfahren für die Ableitungen</w:t>
      </w:r>
      <w:r>
        <w:rPr>
          <w:noProof/>
        </w:rPr>
        <w:tab/>
      </w:r>
      <w:r>
        <w:rPr>
          <w:noProof/>
        </w:rPr>
        <w:fldChar w:fldCharType="begin"/>
      </w:r>
      <w:r>
        <w:rPr>
          <w:noProof/>
        </w:rPr>
        <w:instrText xml:space="preserve"> PAGEREF _Toc219173733 \h </w:instrText>
      </w:r>
      <w:r w:rsidR="00887DC3">
        <w:rPr>
          <w:noProof/>
        </w:rPr>
      </w:r>
      <w:r>
        <w:rPr>
          <w:noProof/>
        </w:rPr>
        <w:fldChar w:fldCharType="separate"/>
      </w:r>
      <w:r w:rsidR="009E6F4D">
        <w:rPr>
          <w:noProof/>
        </w:rPr>
        <w:t>5</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Anhang II: Qualitätsziele (gestrichen)</w:t>
      </w:r>
      <w:r>
        <w:rPr>
          <w:noProof/>
        </w:rPr>
        <w:tab/>
      </w:r>
      <w:r>
        <w:rPr>
          <w:noProof/>
        </w:rPr>
        <w:fldChar w:fldCharType="begin"/>
      </w:r>
      <w:r>
        <w:rPr>
          <w:noProof/>
        </w:rPr>
        <w:instrText xml:space="preserve"> PAGEREF _Toc219173734 \h </w:instrText>
      </w:r>
      <w:r w:rsidR="00887DC3">
        <w:rPr>
          <w:noProof/>
        </w:rPr>
      </w:r>
      <w:r>
        <w:rPr>
          <w:noProof/>
        </w:rPr>
        <w:fldChar w:fldCharType="separate"/>
      </w:r>
      <w:r w:rsidR="009E6F4D">
        <w:rPr>
          <w:noProof/>
        </w:rPr>
        <w:t>6</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Anhang III: Referenzmeßverfahren</w:t>
      </w:r>
      <w:r>
        <w:rPr>
          <w:noProof/>
        </w:rPr>
        <w:tab/>
      </w:r>
      <w:r>
        <w:rPr>
          <w:noProof/>
        </w:rPr>
        <w:fldChar w:fldCharType="begin"/>
      </w:r>
      <w:r>
        <w:rPr>
          <w:noProof/>
        </w:rPr>
        <w:instrText xml:space="preserve"> PAGEREF _Toc219173735 \h </w:instrText>
      </w:r>
      <w:r w:rsidR="00887DC3">
        <w:rPr>
          <w:noProof/>
        </w:rPr>
      </w:r>
      <w:r>
        <w:rPr>
          <w:noProof/>
        </w:rPr>
        <w:fldChar w:fldCharType="separate"/>
      </w:r>
      <w:r w:rsidR="009E6F4D">
        <w:rPr>
          <w:noProof/>
        </w:rPr>
        <w:t>6</w:t>
      </w:r>
      <w:r>
        <w:rPr>
          <w:noProof/>
        </w:rPr>
        <w:fldChar w:fldCharType="end"/>
      </w:r>
    </w:p>
    <w:p w:rsidR="00327F7D" w:rsidRDefault="00327F7D">
      <w:pPr>
        <w:pStyle w:val="Verzeichnis2"/>
        <w:tabs>
          <w:tab w:val="clear" w:pos="9638"/>
          <w:tab w:val="right" w:leader="dot" w:pos="9628"/>
        </w:tabs>
        <w:rPr>
          <w:smallCaps w:val="0"/>
          <w:noProof/>
          <w:sz w:val="24"/>
          <w:szCs w:val="24"/>
        </w:rPr>
      </w:pPr>
      <w:r>
        <w:rPr>
          <w:noProof/>
        </w:rPr>
        <w:t>Anhang IV: Überwachungsverfahren für die Qualitätsziele</w:t>
      </w:r>
      <w:r>
        <w:rPr>
          <w:noProof/>
        </w:rPr>
        <w:tab/>
      </w:r>
      <w:r>
        <w:rPr>
          <w:noProof/>
        </w:rPr>
        <w:fldChar w:fldCharType="begin"/>
      </w:r>
      <w:r>
        <w:rPr>
          <w:noProof/>
        </w:rPr>
        <w:instrText xml:space="preserve"> PAGEREF _Toc219173736 \h </w:instrText>
      </w:r>
      <w:r w:rsidR="00887DC3">
        <w:rPr>
          <w:noProof/>
        </w:rPr>
      </w:r>
      <w:r>
        <w:rPr>
          <w:noProof/>
        </w:rPr>
        <w:fldChar w:fldCharType="separate"/>
      </w:r>
      <w:r w:rsidR="009E6F4D">
        <w:rPr>
          <w:noProof/>
        </w:rPr>
        <w:t>7</w:t>
      </w:r>
      <w:r>
        <w:rPr>
          <w:noProof/>
        </w:rPr>
        <w:fldChar w:fldCharType="end"/>
      </w:r>
    </w:p>
    <w:p w:rsidR="00A617AA" w:rsidRDefault="00327F7D" w:rsidP="0003038D">
      <w:pPr>
        <w:pStyle w:val="GesAbsatz"/>
      </w:pPr>
      <w:r>
        <w:fldChar w:fldCharType="end"/>
      </w:r>
    </w:p>
    <w:p w:rsidR="00A617AA" w:rsidRDefault="00A617AA">
      <w:pPr>
        <w:pStyle w:val="GesAbsatz"/>
      </w:pPr>
      <w:r>
        <w:t>DER RAT DER EUROPÄISCHEN GEMEINSCHAFTEN -</w:t>
      </w:r>
    </w:p>
    <w:p w:rsidR="00A617AA" w:rsidRDefault="00A617AA">
      <w:pPr>
        <w:pStyle w:val="GesAbsatz"/>
      </w:pPr>
      <w:r>
        <w:t>gestützt auf den Vertrag zur Gründung der Europäischen Wirtschaftsgemeinschaft, insbesondere auf die Artikel 100 und 235,</w:t>
      </w:r>
    </w:p>
    <w:p w:rsidR="00A617AA" w:rsidRDefault="00A617AA">
      <w:pPr>
        <w:pStyle w:val="GesAbsatz"/>
      </w:pPr>
      <w:r>
        <w:t>gestützt auf die Richtlinie 76/464/EWG des Rates vom 4. Mai 1976 betreffend die Verschmutzung infolge der Ableitung bestimmter gefährlicher Stoffe in die Gewässer der Gemeinschaft</w:t>
      </w:r>
      <w:r>
        <w:rPr>
          <w:rStyle w:val="Funotenzeichen"/>
        </w:rPr>
        <w:footnoteReference w:id="1"/>
      </w:r>
      <w:r>
        <w:t>), insbesondere auf die Art</w:t>
      </w:r>
      <w:r>
        <w:t>i</w:t>
      </w:r>
      <w:r>
        <w:t>kel 6 und 12,</w:t>
      </w:r>
    </w:p>
    <w:p w:rsidR="00A617AA" w:rsidRDefault="00A617AA">
      <w:pPr>
        <w:pStyle w:val="GesAbsatz"/>
      </w:pPr>
      <w:r>
        <w:t>auf Vorschlag der Kommission</w:t>
      </w:r>
      <w:r>
        <w:rPr>
          <w:rStyle w:val="Funotenzeichen"/>
        </w:rPr>
        <w:footnoteReference w:id="2"/>
      </w:r>
      <w:r>
        <w:t>),</w:t>
      </w:r>
    </w:p>
    <w:p w:rsidR="00A617AA" w:rsidRDefault="00A617AA">
      <w:pPr>
        <w:pStyle w:val="GesAbsatz"/>
      </w:pPr>
      <w:r>
        <w:t>nach Stellungnahme des Europäischen Parlaments</w:t>
      </w:r>
      <w:r>
        <w:rPr>
          <w:rStyle w:val="Funotenzeichen"/>
        </w:rPr>
        <w:footnoteReference w:id="3"/>
      </w:r>
      <w:r>
        <w:t>),</w:t>
      </w:r>
    </w:p>
    <w:p w:rsidR="00A617AA" w:rsidRDefault="00A617AA">
      <w:pPr>
        <w:pStyle w:val="GesAbsatz"/>
      </w:pPr>
      <w:r>
        <w:t>nach Stellungnahme des Wirtschafts- und Sozialausschusses</w:t>
      </w:r>
      <w:r>
        <w:rPr>
          <w:rStyle w:val="Funotenzeichen"/>
        </w:rPr>
        <w:footnoteReference w:id="4"/>
      </w:r>
      <w:r>
        <w:t>,</w:t>
      </w:r>
    </w:p>
    <w:p w:rsidR="00A617AA" w:rsidRDefault="00A617AA">
      <w:pPr>
        <w:pStyle w:val="GesAbsatz"/>
      </w:pPr>
      <w:r>
        <w:t>in Erwägung nachstehender Gründe:</w:t>
      </w:r>
    </w:p>
    <w:p w:rsidR="00A617AA" w:rsidRDefault="00A617AA">
      <w:pPr>
        <w:pStyle w:val="GesAbsatz"/>
      </w:pPr>
      <w:r>
        <w:t>Zum Schutz der Gewässer der Gemeinschaft gegen die Verschmutzung durch bestimmte gefährliche Stoffe wurde durch Artikel 3 der Richtlinie 76/464/EWG eine Regelung vorheriger Genehmigungen eingeführt, mit denen Emissionsnormen für die Ableitung der in Liste I des Anhangs aufgeführten Stoffe festgesetzt werden. Artikel 6 derselben Richtlinie sieht die Festsetzung von Grenzwerten für die Emissionsnormen sowie von Qualitätszielen für die verunreinigten Gewässer vor, die durch Ableitungen der genannten Stoffe betroffen sind.</w:t>
      </w:r>
    </w:p>
    <w:p w:rsidR="00A617AA" w:rsidRDefault="00A617AA">
      <w:pPr>
        <w:pStyle w:val="GesAbsatz"/>
      </w:pPr>
      <w:r>
        <w:t>Cadmium und Cadmiumverbindungen sind in der Liste I aufgeführt.</w:t>
      </w:r>
    </w:p>
    <w:p w:rsidR="00A617AA" w:rsidRDefault="00A617AA">
      <w:pPr>
        <w:pStyle w:val="GesAbsatz"/>
      </w:pPr>
      <w:r>
        <w:t>Die Mitgliedstaaten müssen die Grenzwerte beachten, ausgenommen in den Fällen, in denen sie die Qual</w:t>
      </w:r>
      <w:r>
        <w:t>i</w:t>
      </w:r>
      <w:r>
        <w:t>tätsziele anwenden können.</w:t>
      </w:r>
    </w:p>
    <w:p w:rsidR="00A617AA" w:rsidRDefault="00A617AA">
      <w:pPr>
        <w:pStyle w:val="GesAbsatz"/>
      </w:pPr>
      <w:r>
        <w:t>Da die Verschmutzung, die durch Ableitungen von Cadmium in Gewässer entsteht, von einer großen Anzahl von Industriebetrieben verursacht wird, müssen spezifische Grenzwerte je nach Art des Industriezweigs fes</w:t>
      </w:r>
      <w:r>
        <w:t>t</w:t>
      </w:r>
      <w:r>
        <w:t>gesetzt und Qualitätsziele für die Gewässer, in die Cadmium von diesen Industriezweigen abgeleitet wird, festgelegt werden.</w:t>
      </w:r>
    </w:p>
    <w:p w:rsidR="00A617AA" w:rsidRDefault="00A617AA">
      <w:pPr>
        <w:pStyle w:val="GesAbsatz"/>
      </w:pPr>
      <w:r>
        <w:t>Zum gegenwärtigen Zeitpunkt ist es jedoch nicht möglich, für die Ableitungen aus Betrieben, die Phospho</w:t>
      </w:r>
      <w:r>
        <w:t>r</w:t>
      </w:r>
      <w:r>
        <w:t>säure und Phosphatdüngemittel aus Phosphormineralen herstellen, Grenzwerte festzusetzen.</w:t>
      </w:r>
    </w:p>
    <w:p w:rsidR="00A617AA" w:rsidRDefault="00A617AA">
      <w:pPr>
        <w:pStyle w:val="GesAbsatz"/>
      </w:pPr>
      <w:r>
        <w:lastRenderedPageBreak/>
        <w:t>Der Zweck der Qualitätsziele muß darin bestehen, die Cadmiumverschmutzung der verschiedenen Gewä</w:t>
      </w:r>
      <w:r>
        <w:t>s</w:t>
      </w:r>
      <w:r>
        <w:t>serzonen, die durch cadmiumhaltige Ableitungen beeinträchtigt werden könnten, zu beseitigen.</w:t>
      </w:r>
    </w:p>
    <w:p w:rsidR="00A617AA" w:rsidRDefault="00A617AA">
      <w:pPr>
        <w:pStyle w:val="GesAbsatz"/>
      </w:pPr>
      <w:r>
        <w:t>Diese Qualitätsziele müssen ausdrücklich zu diesem Zweck und nicht in der Absicht, Vorschriften für den Verbraucherschutz oder den Absatz von aus dem Wasser stammenden Erzeugnissen zu erlassen, festg</w:t>
      </w:r>
      <w:r>
        <w:t>e</w:t>
      </w:r>
      <w:r>
        <w:t>legt werden.</w:t>
      </w:r>
    </w:p>
    <w:p w:rsidR="00A617AA" w:rsidRDefault="00A617AA">
      <w:pPr>
        <w:pStyle w:val="GesAbsatz"/>
      </w:pPr>
      <w:r>
        <w:t>Damit die Mitgliedstaaten nachweisen können, daß die Qualitätsziele eingehalten werden, muß ein besond</w:t>
      </w:r>
      <w:r>
        <w:t>e</w:t>
      </w:r>
      <w:r>
        <w:t>res Überwachungsverfahren vorgesehen werden.</w:t>
      </w:r>
    </w:p>
    <w:p w:rsidR="00A617AA" w:rsidRDefault="00A617AA">
      <w:pPr>
        <w:pStyle w:val="GesAbsatz"/>
      </w:pPr>
      <w:r>
        <w:t>Im Hinblick auf eine wirksame Anwendung dieser Richtlinie ist vorzusehen, daß die Mitgliedstaaten die von den obengenannten Cadmiumableitungen betroffenen Gewässer überwachen. Die Befugnisse zur Einfü</w:t>
      </w:r>
      <w:r>
        <w:t>h</w:t>
      </w:r>
      <w:r>
        <w:t>rung dieser Überwachung sind in Artikel 6 der Richtlinie 76/464/EWG nicht vorgesehen. Da besondere B</w:t>
      </w:r>
      <w:r>
        <w:t>e</w:t>
      </w:r>
      <w:r>
        <w:t>fugnisse zur Annahme dieser Richtlinie im Vertrag nicht vorgesehen sind, ist Artikel 235 heranzuziehen.</w:t>
      </w:r>
    </w:p>
    <w:p w:rsidR="00A617AA" w:rsidRDefault="00A617AA">
      <w:pPr>
        <w:pStyle w:val="GesAbsatz"/>
      </w:pPr>
      <w:r>
        <w:t>Es ist erforderlich, aß die Kommission dem Rat alle fünf Jahre eine vergleichende Bewertung der Anwe</w:t>
      </w:r>
      <w:r>
        <w:t>n</w:t>
      </w:r>
      <w:r>
        <w:t>dung dieser Richtlinie durch die Mitgliedstaaten übermittelt.</w:t>
      </w:r>
    </w:p>
    <w:p w:rsidR="00A617AA" w:rsidRDefault="00A617AA">
      <w:pPr>
        <w:pStyle w:val="GesAbsatz"/>
      </w:pPr>
      <w:r>
        <w:t>Da für Grundwasser die Richtlinie 80/68/EWG</w:t>
      </w:r>
      <w:r w:rsidR="00F75192">
        <w:rPr>
          <w:rStyle w:val="Funotenzeichen"/>
        </w:rPr>
        <w:footnoteReference w:id="5"/>
      </w:r>
      <w:r>
        <w:t xml:space="preserve"> erlassen worden ist, fällt es nicht in den Anwendungsbereich der vorliegenden Richtlinie.</w:t>
      </w:r>
    </w:p>
    <w:p w:rsidR="00A617AA" w:rsidRDefault="00A617AA">
      <w:pPr>
        <w:pStyle w:val="GesAbsatz"/>
      </w:pPr>
      <w:r>
        <w:t>Grönland ist aufgrund seiner Gesamtsituation und insbesondere seiner dünnen Besiedlung sowie seiner b</w:t>
      </w:r>
      <w:r>
        <w:t>e</w:t>
      </w:r>
      <w:r>
        <w:t>trächtlichen Größe und besonderen geographischen Lage nur sehr wenig industrialisiert. Daher sollte diese Richtlinie auf Grönland keine Anwendung finden.</w:t>
      </w:r>
    </w:p>
    <w:p w:rsidR="00A617AA" w:rsidRDefault="00A617AA">
      <w:pPr>
        <w:pStyle w:val="GesAbsatz"/>
      </w:pPr>
    </w:p>
    <w:p w:rsidR="00A617AA" w:rsidRDefault="00A617AA">
      <w:pPr>
        <w:pStyle w:val="GesAbsatz"/>
      </w:pPr>
      <w:r>
        <w:t>HAT FOLGENDE RICHTLINIE ERLASSEN:</w:t>
      </w:r>
    </w:p>
    <w:p w:rsidR="00A617AA" w:rsidRDefault="00A617AA">
      <w:pPr>
        <w:pStyle w:val="berschrift2"/>
      </w:pPr>
      <w:bookmarkStart w:id="2" w:name="_Toc219173725"/>
      <w:r>
        <w:t>Artikel 1</w:t>
      </w:r>
      <w:bookmarkEnd w:id="2"/>
    </w:p>
    <w:p w:rsidR="00A617AA" w:rsidRDefault="00A617AA">
      <w:pPr>
        <w:pStyle w:val="GesAbsatz"/>
      </w:pPr>
      <w:r>
        <w:t>(1) Diese Richtlinie</w:t>
      </w:r>
    </w:p>
    <w:p w:rsidR="00A617AA" w:rsidRDefault="00EC6C94">
      <w:pPr>
        <w:pStyle w:val="GesAbsatz"/>
        <w:ind w:left="426" w:hanging="426"/>
      </w:pPr>
      <w:r>
        <w:t>-</w:t>
      </w:r>
      <w:r>
        <w:tab/>
        <w:t>l</w:t>
      </w:r>
      <w:r w:rsidR="00A617AA">
        <w:t>egt gemäß Artikel 6 Absatz 1 der Richtlinie 76/464/EWG Grenzwerte für Emissionsnormen für Cadm</w:t>
      </w:r>
      <w:r w:rsidR="00A617AA">
        <w:t>i</w:t>
      </w:r>
      <w:r w:rsidR="00A617AA">
        <w:t>um in Ableitungen aus Industriebetrieben im Sinne des Artikels 2 Buchstabe e) der vorliegenden Rich</w:t>
      </w:r>
      <w:r w:rsidR="00A617AA">
        <w:t>t</w:t>
      </w:r>
      <w:r w:rsidR="00A617AA">
        <w:t>linie fest;</w:t>
      </w:r>
    </w:p>
    <w:p w:rsidR="00A617AA" w:rsidRDefault="00A617AA">
      <w:pPr>
        <w:pStyle w:val="GesAbsatz"/>
        <w:ind w:left="426" w:hanging="426"/>
      </w:pPr>
      <w:r>
        <w:t>-</w:t>
      </w:r>
      <w:r>
        <w:tab/>
        <w:t>legt gemäß Artikel 6 Absatz 2 der Richtlinie 76/464/EWG Qualitätsziele für Gewässer in bezug auf Cadmium fest;</w:t>
      </w:r>
    </w:p>
    <w:p w:rsidR="00A617AA" w:rsidRDefault="00A617AA">
      <w:pPr>
        <w:pStyle w:val="GesAbsatz"/>
        <w:ind w:left="426" w:hanging="426"/>
      </w:pPr>
      <w:r>
        <w:t>-</w:t>
      </w:r>
      <w:r>
        <w:tab/>
        <w:t>legt gemäß Artikel 6 Absatz 4 der Richtlinie 76/464/EWG die Fristen zur Erfüllung der Voraussetzungen für die von den zuständigen Stellen der Mitgliedstaaten für bestehende Ableitungen bewilligten Gene</w:t>
      </w:r>
      <w:r>
        <w:t>h</w:t>
      </w:r>
      <w:r>
        <w:t>migungen fest;</w:t>
      </w:r>
    </w:p>
    <w:p w:rsidR="00A617AA" w:rsidRDefault="00A617AA">
      <w:pPr>
        <w:pStyle w:val="GesAbsatz"/>
        <w:ind w:left="426" w:hanging="426"/>
      </w:pPr>
      <w:r>
        <w:t>-</w:t>
      </w:r>
      <w:r>
        <w:tab/>
        <w:t>legt gemäß Artikel 12 Absatz 1 der Richtlinie 76/464/EWG die Referenzmeßverfahren für die Besti</w:t>
      </w:r>
      <w:r>
        <w:t>m</w:t>
      </w:r>
      <w:r>
        <w:t>mung des Cadmiumgehalts in Ableitungen und in Gewässern fest;</w:t>
      </w:r>
    </w:p>
    <w:p w:rsidR="00A617AA" w:rsidRDefault="00A617AA">
      <w:pPr>
        <w:pStyle w:val="GesAbsatz"/>
        <w:ind w:left="426" w:hanging="426"/>
      </w:pPr>
      <w:r>
        <w:t>-</w:t>
      </w:r>
      <w:r>
        <w:tab/>
        <w:t>legt gemäß Artikel 6 Absatz 3 der Richtlinie 76/464/EWG ein Überwachungsverfahren fest;</w:t>
      </w:r>
    </w:p>
    <w:p w:rsidR="00A617AA" w:rsidRDefault="00A617AA">
      <w:pPr>
        <w:pStyle w:val="GesAbsatz"/>
        <w:ind w:left="426" w:hanging="426"/>
      </w:pPr>
      <w:r>
        <w:t>-</w:t>
      </w:r>
      <w:r>
        <w:tab/>
        <w:t>schreibt den Mitgliedstaaten vor, im Falle von Ableitungen, die die Gewässer mehrerer Mitgliedstaaten betreffen, zusammenzuarbeiten.</w:t>
      </w:r>
    </w:p>
    <w:p w:rsidR="00A617AA" w:rsidRDefault="00A617AA">
      <w:pPr>
        <w:pStyle w:val="GesAbsatz"/>
        <w:tabs>
          <w:tab w:val="clear" w:pos="425"/>
          <w:tab w:val="left" w:pos="426"/>
        </w:tabs>
      </w:pPr>
      <w:r>
        <w:t>(2) Diese Richtlinie findet auf die in Artikel 1 der Richtlinie 76/464/EWG genannten Gewässer mit Ausnahme des Grundwassers Anwendung</w:t>
      </w:r>
    </w:p>
    <w:p w:rsidR="00A617AA" w:rsidRDefault="00A617AA">
      <w:pPr>
        <w:pStyle w:val="berschrift2"/>
      </w:pPr>
      <w:bookmarkStart w:id="3" w:name="_Toc219173726"/>
      <w:r>
        <w:t>Artikel 2</w:t>
      </w:r>
      <w:bookmarkEnd w:id="3"/>
    </w:p>
    <w:p w:rsidR="00A617AA" w:rsidRDefault="00A617AA">
      <w:pPr>
        <w:pStyle w:val="GesAbsatz"/>
      </w:pPr>
      <w:r>
        <w:t>Im Sinne dieser Richtlinie sind</w:t>
      </w:r>
    </w:p>
    <w:p w:rsidR="00A617AA" w:rsidRDefault="00A617AA">
      <w:pPr>
        <w:pStyle w:val="GesAbsatz"/>
      </w:pPr>
      <w:r>
        <w:t>a)</w:t>
      </w:r>
      <w:r>
        <w:tab/>
        <w:t>„Cadmium“:</w:t>
      </w:r>
    </w:p>
    <w:p w:rsidR="00A617AA" w:rsidRDefault="00A617AA">
      <w:pPr>
        <w:pStyle w:val="GesAbsatz"/>
      </w:pPr>
      <w:r>
        <w:tab/>
        <w:t>- das chemische Element Cadmium,</w:t>
      </w:r>
    </w:p>
    <w:p w:rsidR="00A617AA" w:rsidRDefault="00A617AA">
      <w:pPr>
        <w:pStyle w:val="GesAbsatz"/>
      </w:pPr>
      <w:r>
        <w:tab/>
        <w:t>- das in einer seiner Verbindung enthaltene Cadmium;</w:t>
      </w:r>
    </w:p>
    <w:p w:rsidR="00A617AA" w:rsidRDefault="00A617AA">
      <w:pPr>
        <w:pStyle w:val="GesAbsatz"/>
      </w:pPr>
      <w:r>
        <w:t>b)</w:t>
      </w:r>
      <w:r>
        <w:tab/>
        <w:t>„Grenzwerte“:</w:t>
      </w:r>
    </w:p>
    <w:p w:rsidR="00A617AA" w:rsidRDefault="00A617AA">
      <w:pPr>
        <w:pStyle w:val="GesAbsatz"/>
      </w:pPr>
      <w:r>
        <w:tab/>
        <w:t>die in Anhang I genannten Werte;</w:t>
      </w:r>
    </w:p>
    <w:p w:rsidR="00A617AA" w:rsidRDefault="00A617AA">
      <w:pPr>
        <w:pStyle w:val="GesAbsatz"/>
      </w:pPr>
      <w:r>
        <w:t>c)</w:t>
      </w:r>
      <w:r>
        <w:tab/>
        <w:t>„Qualitätsziele“:</w:t>
      </w:r>
    </w:p>
    <w:p w:rsidR="00A617AA" w:rsidRDefault="00A617AA">
      <w:pPr>
        <w:pStyle w:val="GesAbsatz"/>
      </w:pPr>
      <w:r>
        <w:tab/>
        <w:t>die in Anhang II genannten Anforderungen;</w:t>
      </w:r>
    </w:p>
    <w:p w:rsidR="00A617AA" w:rsidRDefault="00A617AA">
      <w:pPr>
        <w:pStyle w:val="GesAbsatz"/>
      </w:pPr>
      <w:r>
        <w:lastRenderedPageBreak/>
        <w:t>d)</w:t>
      </w:r>
      <w:r>
        <w:tab/>
        <w:t>„Verwendung von Cadmium“:</w:t>
      </w:r>
    </w:p>
    <w:p w:rsidR="00A617AA" w:rsidRDefault="00A617AA">
      <w:pPr>
        <w:pStyle w:val="GesAbsatz"/>
        <w:ind w:left="426" w:hanging="426"/>
      </w:pPr>
      <w:r>
        <w:tab/>
        <w:t>jedes industrielle Verfahren, bei dem Cadmium hergestellt oder benutzt wird, oder jedes andere indus</w:t>
      </w:r>
      <w:r>
        <w:t>t</w:t>
      </w:r>
      <w:r>
        <w:t>rielle Verfahren, bei dem Cadmium auftritt;</w:t>
      </w:r>
    </w:p>
    <w:p w:rsidR="00A617AA" w:rsidRDefault="00A617AA">
      <w:pPr>
        <w:pStyle w:val="GesAbsatz"/>
        <w:ind w:left="426" w:hanging="426"/>
      </w:pPr>
      <w:r>
        <w:t>e)</w:t>
      </w:r>
      <w:r>
        <w:tab/>
        <w:t>„Industriebetrieb“:</w:t>
      </w:r>
    </w:p>
    <w:p w:rsidR="00A617AA" w:rsidRDefault="00A617AA">
      <w:pPr>
        <w:pStyle w:val="GesAbsatz"/>
        <w:ind w:left="426" w:hanging="426"/>
      </w:pPr>
      <w:r>
        <w:tab/>
        <w:t>jeder Betrieb, in dem Cadmium oder cadmiumhaltige Verbindungen verwendet werden;</w:t>
      </w:r>
    </w:p>
    <w:p w:rsidR="00A617AA" w:rsidRDefault="00A617AA">
      <w:pPr>
        <w:pStyle w:val="GesAbsatz"/>
        <w:ind w:left="426" w:hanging="426"/>
      </w:pPr>
      <w:r>
        <w:t>f)</w:t>
      </w:r>
      <w:r>
        <w:tab/>
        <w:t>„bestehender Betrieb“:</w:t>
      </w:r>
    </w:p>
    <w:p w:rsidR="00A617AA" w:rsidRDefault="00A617AA">
      <w:pPr>
        <w:pStyle w:val="GesAbsatz"/>
        <w:ind w:left="426" w:hanging="426"/>
      </w:pPr>
      <w:r>
        <w:tab/>
        <w:t>ein Industriebetrieb, der zum Zeitpunkt der Bekanntgabe dieser Richtlinie produziert;</w:t>
      </w:r>
    </w:p>
    <w:p w:rsidR="00A617AA" w:rsidRDefault="00A617AA">
      <w:pPr>
        <w:pStyle w:val="GesAbsatz"/>
        <w:ind w:left="426" w:hanging="426"/>
      </w:pPr>
      <w:r>
        <w:t>g)</w:t>
      </w:r>
      <w:r>
        <w:tab/>
        <w:t>„neuer Betrieb“:</w:t>
      </w:r>
    </w:p>
    <w:p w:rsidR="00A617AA" w:rsidRDefault="00A617AA">
      <w:pPr>
        <w:pStyle w:val="GesAbsatz"/>
        <w:tabs>
          <w:tab w:val="clear" w:pos="425"/>
          <w:tab w:val="left" w:pos="426"/>
        </w:tabs>
        <w:ind w:left="709" w:hanging="709"/>
      </w:pPr>
      <w:r>
        <w:tab/>
        <w:t>-</w:t>
      </w:r>
      <w:r>
        <w:tab/>
        <w:t>ein Industriebetrieb, der nach dem Zeitpunkt der Bekanntgabe dieser Richtlinie seine Produktion aufnimmt,</w:t>
      </w:r>
    </w:p>
    <w:p w:rsidR="00A617AA" w:rsidRDefault="00A617AA">
      <w:pPr>
        <w:pStyle w:val="GesAbsatz"/>
        <w:tabs>
          <w:tab w:val="clear" w:pos="425"/>
          <w:tab w:val="left" w:pos="426"/>
        </w:tabs>
        <w:ind w:left="709" w:hanging="709"/>
      </w:pPr>
      <w:r>
        <w:tab/>
        <w:t>-</w:t>
      </w:r>
      <w:r>
        <w:tab/>
        <w:t>ein bestehender Industriebetrieb, dessen Kapazität zur Verwendung von Cadmium nach dem Zei</w:t>
      </w:r>
      <w:r>
        <w:t>t</w:t>
      </w:r>
      <w:r>
        <w:t>punkt der Bekanntgabe dieser Richtlinie erheblich erhöht wird.</w:t>
      </w:r>
    </w:p>
    <w:p w:rsidR="00A617AA" w:rsidRDefault="00A617AA">
      <w:pPr>
        <w:pStyle w:val="berschrift2"/>
      </w:pPr>
      <w:bookmarkStart w:id="4" w:name="_Toc219173727"/>
      <w:r>
        <w:t>Artikel 3</w:t>
      </w:r>
      <w:bookmarkEnd w:id="4"/>
    </w:p>
    <w:p w:rsidR="00A617AA" w:rsidRDefault="00A617AA">
      <w:pPr>
        <w:pStyle w:val="GesAbsatz"/>
      </w:pPr>
      <w:r>
        <w:t>(1) Die Grenzwerte, die Fristen für die Einhaltung der Grenzwerte sowie das Verfahren zur Überwachung und Kontrolle der Ableitungen sind in Anhang I festgelegt.</w:t>
      </w:r>
    </w:p>
    <w:p w:rsidR="00A617AA" w:rsidRDefault="00A617AA">
      <w:pPr>
        <w:pStyle w:val="GesAbsatz"/>
      </w:pPr>
      <w:r>
        <w:t>(2) Die Grenzwerte sind normalerweise an der Stelle anwendbar, an der cadmiumhaltige Abwässer den I</w:t>
      </w:r>
      <w:r>
        <w:t>n</w:t>
      </w:r>
      <w:r>
        <w:t>dustriebetrieb verlassen.</w:t>
      </w:r>
    </w:p>
    <w:p w:rsidR="00A617AA" w:rsidRDefault="00A617AA">
      <w:pPr>
        <w:pStyle w:val="GesAbsatz"/>
      </w:pPr>
      <w:r>
        <w:t>Werden cadmiumhaltige Abwässer außerhalb des Industriebetriebs in einer für die Beseitigung von Cadm</w:t>
      </w:r>
      <w:r>
        <w:t>i</w:t>
      </w:r>
      <w:r>
        <w:t>um bestimmten Anlage behandelt, so kann der Mitgliedstaat zulassen, daß die Grenzwerte an der Stelle a</w:t>
      </w:r>
      <w:r>
        <w:t>n</w:t>
      </w:r>
      <w:r>
        <w:t>gewandt werden, an der die Abwässer diese Anlage verlassen.</w:t>
      </w:r>
    </w:p>
    <w:p w:rsidR="00A617AA" w:rsidRDefault="00A617AA">
      <w:pPr>
        <w:pStyle w:val="GesAbsatz"/>
      </w:pPr>
      <w:r>
        <w:t>(3) Die in Artikel 3 der Richtlinie 76/464/EWG vorgesehenen Genehmigungen müssen Vorschriften entha</w:t>
      </w:r>
      <w:r>
        <w:t>l</w:t>
      </w:r>
      <w:r>
        <w:t>ten, die mindestens ebenso streng sind wie die in Anhang I der vorliegenden Richtlinie festgelegten Vo</w:t>
      </w:r>
      <w:r>
        <w:t>r</w:t>
      </w:r>
      <w:r>
        <w:t>schriften, ausgenommen in den Fällen, in denen ein Mitgliedstaat auf der Grundlage der Anhänge II und IV der vorli</w:t>
      </w:r>
      <w:r>
        <w:t>e</w:t>
      </w:r>
      <w:r>
        <w:t>genden Richtlinie Artikel 6 Absatz 3 der Richtlinie 76/464/EWG erfüllt.</w:t>
      </w:r>
    </w:p>
    <w:p w:rsidR="00A617AA" w:rsidRDefault="00A617AA">
      <w:pPr>
        <w:pStyle w:val="GesAbsatz"/>
      </w:pPr>
      <w:r>
        <w:t>Diese Genehmigungen werden mindestens alle vier Jahre überprüft.</w:t>
      </w:r>
    </w:p>
    <w:p w:rsidR="00A617AA" w:rsidRDefault="00A617AA">
      <w:pPr>
        <w:pStyle w:val="GesAbsatz"/>
      </w:pPr>
      <w:r>
        <w:t>(4) Die Mitgliedstaaten dürfen unbeschadet ihrer Verpflichtungen nach den Absätzen 1, 2 und 3 sowie der Bestimmungen der Richtlinie 76/464/EWG nur dann Genehmigungen für neue Betriebe erteilen, wenn diese Betriebe die Normen anwenden, die den besten verfügbaren technischen Mitteln entsprechen, sofern dies erforderlich ist, um die Verschmutzung im Sinne von Artikel 2 der vorgenannten Richtlinie zu beseitigen oder um Wettbewerbsverzerrungen zu vermeiden.</w:t>
      </w:r>
    </w:p>
    <w:p w:rsidR="00A617AA" w:rsidRDefault="00A617AA">
      <w:pPr>
        <w:pStyle w:val="GesAbsatz"/>
      </w:pPr>
      <w:r>
        <w:t>Unabhängig von dem gewählten Verfahren legt der Mitgliedstaat, falls die geplanten Maßnahmen aus tec</w:t>
      </w:r>
      <w:r>
        <w:t>h</w:t>
      </w:r>
      <w:r>
        <w:t>nischen Gründen nicht den besten verfügbaren technischen Mitteln entsprechen, der Kommission vor jeder Genehmigung diese Gründe dar.</w:t>
      </w:r>
    </w:p>
    <w:p w:rsidR="00A617AA" w:rsidRDefault="00A617AA">
      <w:pPr>
        <w:pStyle w:val="GesAbsatz"/>
      </w:pPr>
      <w:r>
        <w:t>Die Kommission übermittelt den anderen Mitgliedstaaten unverzüglich diese Gründe und leitet allen Mi</w:t>
      </w:r>
      <w:r>
        <w:t>t</w:t>
      </w:r>
      <w:r>
        <w:t>gliedstaaten so bald wie möglich einen Bericht zu, in dem ihre Stellungnahme zu der in Unterabsatz 2 b</w:t>
      </w:r>
      <w:r>
        <w:t>e</w:t>
      </w:r>
      <w:r>
        <w:t>zeichneten Ausnahmeregelung enthalten ist. Falls erforderlich, legt sie dem Rat gleichzeitig geeignete Vo</w:t>
      </w:r>
      <w:r>
        <w:t>r</w:t>
      </w:r>
      <w:r>
        <w:t>schläge vor.</w:t>
      </w:r>
    </w:p>
    <w:p w:rsidR="00A617AA" w:rsidRDefault="00A617AA">
      <w:pPr>
        <w:pStyle w:val="GesAbsatz"/>
      </w:pPr>
      <w:r>
        <w:t>(5) Die Referenzanalysemethode für die Bestimmung von Cadmium ist in Anhang III Nummer 1 aufgeführt. Es können andere Methoden verwendet werden, vorausgesetzt, daß ihre Erfassungsgrenze Genauigkeit und Richtigkeit mindestens ebenso geeignet sind wie in Anhang III Nummer 1 festgelegt. Die zum Messen des Abflusses erforderliche Genauigkeit ist in Anhang II Nummer 2 angegeben.</w:t>
      </w:r>
    </w:p>
    <w:p w:rsidR="00A617AA" w:rsidRDefault="00A617AA">
      <w:pPr>
        <w:pStyle w:val="berschrift2"/>
      </w:pPr>
      <w:bookmarkStart w:id="5" w:name="_Toc219173728"/>
      <w:r>
        <w:t>Artikel 4</w:t>
      </w:r>
      <w:bookmarkEnd w:id="5"/>
    </w:p>
    <w:p w:rsidR="00A617AA" w:rsidRDefault="00A617AA">
      <w:pPr>
        <w:pStyle w:val="GesAbsatz"/>
      </w:pPr>
      <w:r>
        <w:t>Die betroffenen Mitgliedstaaten sorgen für die Überwachung der Gewässer, die von den Ableitungen aus Industriebetrieben berührt werden.</w:t>
      </w:r>
    </w:p>
    <w:p w:rsidR="00A617AA" w:rsidRDefault="00A617AA">
      <w:pPr>
        <w:pStyle w:val="GesAbsatz"/>
      </w:pPr>
      <w:r>
        <w:t>Im Falle von Ableitungen, die die Gewässer mehrerer Mitgliedstaaten betreffen, arbeiten diese Mitgliedsta</w:t>
      </w:r>
      <w:r>
        <w:t>a</w:t>
      </w:r>
      <w:r>
        <w:t>ten mit dem Ziel der Harmonisierung der Überwachungsverfahren zusammen.</w:t>
      </w:r>
    </w:p>
    <w:p w:rsidR="00A617AA" w:rsidRDefault="00A617AA">
      <w:pPr>
        <w:pStyle w:val="berschrift2"/>
      </w:pPr>
      <w:bookmarkStart w:id="6" w:name="_Toc219173729"/>
      <w:r>
        <w:t>Artikel 5</w:t>
      </w:r>
      <w:bookmarkEnd w:id="6"/>
    </w:p>
    <w:p w:rsidR="00655741" w:rsidRDefault="00655741" w:rsidP="00655741">
      <w:pPr>
        <w:pStyle w:val="GesAbsatz"/>
      </w:pPr>
      <w:r>
        <w:t>(1) Die Mitgliedstaaten übermitteln der Kommission alle drei Jahre Angaben über die Durchführung dieser Richtlinie im Rahmen eines sektoralen Berichts, der auch die anderen einschlägigen Gemeinschaftsrichtl</w:t>
      </w:r>
      <w:r>
        <w:t>i</w:t>
      </w:r>
      <w:r>
        <w:t>nien erfasst. Der Bericht ist anhand eines von der Kommission nach dem Verfahren des Artikels 6 der Rich</w:t>
      </w:r>
      <w:r>
        <w:t>t</w:t>
      </w:r>
      <w:r>
        <w:lastRenderedPageBreak/>
        <w:t>linie 91/692/EWG</w:t>
      </w:r>
      <w:r>
        <w:rPr>
          <w:rStyle w:val="Funotenzeichen"/>
        </w:rPr>
        <w:footnoteReference w:id="6"/>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erfassten Dreijahreszeitraums einzureichen.</w:t>
      </w:r>
    </w:p>
    <w:p w:rsidR="00655741" w:rsidRDefault="00655741" w:rsidP="00655741">
      <w:pPr>
        <w:pStyle w:val="GesAbsatz"/>
      </w:pPr>
      <w:r>
        <w:t>Der erste Bericht erfasst den Zeitraum 1993 bis 1995.</w:t>
      </w:r>
    </w:p>
    <w:p w:rsidR="00655741" w:rsidRDefault="00655741" w:rsidP="00655741">
      <w:pPr>
        <w:pStyle w:val="GesAbsatz"/>
      </w:pPr>
      <w:r>
        <w:t>(2) Die Kommission veröffentlicht innerhalb von neun Monaten nach Erhalt der einzelstaatlichen Berichte einen Gemeinschaftsbericht über die Durchführung dieser Richtlinie.</w:t>
      </w:r>
    </w:p>
    <w:p w:rsidR="00A617AA" w:rsidRDefault="00A617AA">
      <w:pPr>
        <w:pStyle w:val="GesAbsatz"/>
        <w:tabs>
          <w:tab w:val="clear" w:pos="425"/>
          <w:tab w:val="left" w:pos="426"/>
          <w:tab w:val="left" w:pos="993"/>
        </w:tabs>
      </w:pPr>
      <w:r>
        <w:t>(3) Die Kommission legt dem Rat im Falle einer Änderung des wissenschaftlichen Erkenntnisstands haup</w:t>
      </w:r>
      <w:r>
        <w:t>t</w:t>
      </w:r>
      <w:r>
        <w:t>sächlich in bezug auf die Toxizität, Langlebigkeit und Akkumulation des Cadmiums in lebenden Organismen und in Sedimenten oder im Falle einer Verbesserung der besten verfügbaren technischen Mittel geeignete Vorschläge vor, mit denen die Grenzwerte und Qualitätsziele erforderlichenfalls verbessert oder neue Grenzwerte und Qualitätsziele festgelegt werden sollen.</w:t>
      </w:r>
    </w:p>
    <w:p w:rsidR="00A617AA" w:rsidRDefault="00A617AA">
      <w:pPr>
        <w:pStyle w:val="berschrift2"/>
      </w:pPr>
      <w:bookmarkStart w:id="7" w:name="_Toc219173730"/>
      <w:r>
        <w:t>Artikel 6</w:t>
      </w:r>
      <w:bookmarkEnd w:id="7"/>
    </w:p>
    <w:p w:rsidR="00A617AA" w:rsidRDefault="00A617AA">
      <w:pPr>
        <w:pStyle w:val="GesAbsatz"/>
      </w:pPr>
      <w:r>
        <w:t>(1) Die Mitgliedstaaten treffen die erforderlichen Maßnahmen, um diese Richtlinie innerhalb von zwei Jahren nach ihrer Bekanntgabe nachzukommen. Sie setzen die Kommission unverzüglich davon in Kenntnis.</w:t>
      </w:r>
    </w:p>
    <w:p w:rsidR="00A617AA" w:rsidRDefault="00A617AA">
      <w:pPr>
        <w:pStyle w:val="GesAbsatz"/>
      </w:pPr>
      <w:r>
        <w:t>(2) Die Mitgliedstaaten teilen der Kommission den Wortlaut der innerstaatlichen Rechtsvorschriften mit, die sie auf dem unter diese Richtlinie fallenden Gebiet erlassen.</w:t>
      </w:r>
    </w:p>
    <w:p w:rsidR="00A617AA" w:rsidRDefault="00A617AA">
      <w:pPr>
        <w:pStyle w:val="berschrift2"/>
      </w:pPr>
      <w:bookmarkStart w:id="8" w:name="_Toc219173731"/>
      <w:r>
        <w:t>Artikel 7</w:t>
      </w:r>
      <w:bookmarkEnd w:id="8"/>
    </w:p>
    <w:p w:rsidR="00A617AA" w:rsidRDefault="00A617AA">
      <w:pPr>
        <w:pStyle w:val="GesAbsatz"/>
      </w:pPr>
      <w:r>
        <w:t>Diese Richtlinie gilt nicht für Grönland.</w:t>
      </w:r>
    </w:p>
    <w:p w:rsidR="00A617AA" w:rsidRDefault="00A617AA">
      <w:pPr>
        <w:pStyle w:val="berschrift2"/>
      </w:pPr>
      <w:bookmarkStart w:id="9" w:name="_Toc219173732"/>
      <w:r>
        <w:t>Artikel 8</w:t>
      </w:r>
      <w:bookmarkEnd w:id="9"/>
    </w:p>
    <w:p w:rsidR="00A617AA" w:rsidRDefault="00A617AA">
      <w:pPr>
        <w:pStyle w:val="GesAbsatz"/>
      </w:pPr>
      <w:r>
        <w:t>Diese Richtlinie ist an alle Mitgliedstaaten gerichtet.</w:t>
      </w:r>
    </w:p>
    <w:p w:rsidR="00A617AA" w:rsidRDefault="00A617AA">
      <w:pPr>
        <w:pStyle w:val="GesAbsatz"/>
      </w:pPr>
    </w:p>
    <w:p w:rsidR="00A617AA" w:rsidRDefault="00A617AA" w:rsidP="00F75192">
      <w:pPr>
        <w:pStyle w:val="berschrift2"/>
        <w:jc w:val="left"/>
      </w:pPr>
      <w:r>
        <w:br w:type="page"/>
      </w:r>
      <w:bookmarkStart w:id="10" w:name="_Toc219173733"/>
      <w:r>
        <w:lastRenderedPageBreak/>
        <w:t>Anhang I: Grenzwerte, Fristen für die Einhaltung der Grenzwerte und Überw</w:t>
      </w:r>
      <w:r>
        <w:t>a</w:t>
      </w:r>
      <w:r>
        <w:t>chungs- und Kontrollverfahren für die Ableitungen</w:t>
      </w:r>
      <w:bookmarkEnd w:id="10"/>
    </w:p>
    <w:p w:rsidR="00A617AA" w:rsidRDefault="00A617AA" w:rsidP="0003038D">
      <w:pPr>
        <w:pStyle w:val="GesAbsatz"/>
      </w:pPr>
    </w:p>
    <w:p w:rsidR="00A617AA" w:rsidRDefault="00A617AA" w:rsidP="0003038D">
      <w:pPr>
        <w:pStyle w:val="GesAbsatz"/>
      </w:pPr>
      <w:r>
        <w:t>1. Grenzwerte und Fristen</w:t>
      </w:r>
    </w:p>
    <w:tbl>
      <w:tblPr>
        <w:tblW w:w="0" w:type="auto"/>
        <w:tblBorders>
          <w:top w:val="single" w:sz="6" w:space="0" w:color="auto"/>
          <w:bottom w:val="single" w:sz="6" w:space="0" w:color="auto"/>
          <w:insideH w:val="single" w:sz="6" w:space="0" w:color="auto"/>
        </w:tblBorders>
        <w:tblLayout w:type="fixed"/>
        <w:tblCellMar>
          <w:left w:w="71" w:type="dxa"/>
          <w:right w:w="71" w:type="dxa"/>
        </w:tblCellMar>
        <w:tblLook w:val="0000" w:firstRow="0" w:lastRow="0" w:firstColumn="0" w:lastColumn="0" w:noHBand="0" w:noVBand="0"/>
      </w:tblPr>
      <w:tblGrid>
        <w:gridCol w:w="3686"/>
        <w:gridCol w:w="3572"/>
        <w:gridCol w:w="1021"/>
        <w:gridCol w:w="1134"/>
      </w:tblGrid>
      <w:tr w:rsidR="00A617AA">
        <w:tblPrEx>
          <w:tblCellMar>
            <w:top w:w="0" w:type="dxa"/>
            <w:bottom w:w="0" w:type="dxa"/>
          </w:tblCellMar>
        </w:tblPrEx>
        <w:tc>
          <w:tcPr>
            <w:tcW w:w="3686" w:type="dxa"/>
            <w:tcBorders>
              <w:bottom w:val="nil"/>
              <w:right w:val="single" w:sz="6" w:space="0" w:color="auto"/>
            </w:tcBorders>
          </w:tcPr>
          <w:p w:rsidR="00A617AA" w:rsidRDefault="00A617AA">
            <w:pPr>
              <w:spacing w:before="80" w:after="80"/>
              <w:jc w:val="center"/>
            </w:pPr>
            <w:r>
              <w:t>Industriezweig</w:t>
            </w:r>
            <w:r>
              <w:rPr>
                <w:vertAlign w:val="superscript"/>
              </w:rPr>
              <w:t>1)</w:t>
            </w:r>
          </w:p>
        </w:tc>
        <w:tc>
          <w:tcPr>
            <w:tcW w:w="3572" w:type="dxa"/>
            <w:tcBorders>
              <w:left w:val="nil"/>
              <w:bottom w:val="nil"/>
              <w:right w:val="nil"/>
            </w:tcBorders>
          </w:tcPr>
          <w:p w:rsidR="00A617AA" w:rsidRDefault="00A617AA">
            <w:pPr>
              <w:spacing w:before="80" w:after="80"/>
              <w:jc w:val="center"/>
            </w:pPr>
            <w:r>
              <w:t>Maßeinheit</w:t>
            </w:r>
          </w:p>
        </w:tc>
        <w:tc>
          <w:tcPr>
            <w:tcW w:w="2155" w:type="dxa"/>
            <w:gridSpan w:val="2"/>
            <w:tcBorders>
              <w:left w:val="single" w:sz="6" w:space="0" w:color="auto"/>
            </w:tcBorders>
          </w:tcPr>
          <w:p w:rsidR="00A617AA" w:rsidRDefault="00A617AA">
            <w:pPr>
              <w:spacing w:before="80" w:after="80"/>
              <w:jc w:val="center"/>
            </w:pPr>
            <w:r>
              <w:t>Grenzwerte, die ei</w:t>
            </w:r>
            <w:r>
              <w:t>n</w:t>
            </w:r>
            <w:r>
              <w:t>zuhalten sind</w:t>
            </w:r>
            <w:r>
              <w:br/>
              <w:t>ab</w:t>
            </w:r>
          </w:p>
        </w:tc>
      </w:tr>
      <w:tr w:rsidR="00A617AA">
        <w:tblPrEx>
          <w:tblCellMar>
            <w:top w:w="0" w:type="dxa"/>
            <w:bottom w:w="0" w:type="dxa"/>
          </w:tblCellMar>
        </w:tblPrEx>
        <w:tc>
          <w:tcPr>
            <w:tcW w:w="3686" w:type="dxa"/>
            <w:tcBorders>
              <w:top w:val="nil"/>
              <w:right w:val="single" w:sz="6" w:space="0" w:color="auto"/>
            </w:tcBorders>
          </w:tcPr>
          <w:p w:rsidR="00A617AA" w:rsidRDefault="00A617AA">
            <w:pPr>
              <w:spacing w:before="80" w:after="80"/>
            </w:pPr>
          </w:p>
        </w:tc>
        <w:tc>
          <w:tcPr>
            <w:tcW w:w="3572" w:type="dxa"/>
            <w:tcBorders>
              <w:top w:val="nil"/>
              <w:left w:val="nil"/>
              <w:right w:val="nil"/>
            </w:tcBorders>
          </w:tcPr>
          <w:p w:rsidR="00A617AA" w:rsidRDefault="00A617AA">
            <w:pPr>
              <w:spacing w:before="80" w:after="80"/>
            </w:pPr>
          </w:p>
        </w:tc>
        <w:tc>
          <w:tcPr>
            <w:tcW w:w="1021" w:type="dxa"/>
            <w:tcBorders>
              <w:left w:val="single" w:sz="6" w:space="0" w:color="auto"/>
              <w:right w:val="single" w:sz="6" w:space="0" w:color="auto"/>
            </w:tcBorders>
          </w:tcPr>
          <w:p w:rsidR="00A617AA" w:rsidRDefault="00A617AA">
            <w:pPr>
              <w:spacing w:before="80" w:after="80"/>
            </w:pPr>
            <w:r>
              <w:t>1.1.1986</w:t>
            </w:r>
          </w:p>
        </w:tc>
        <w:tc>
          <w:tcPr>
            <w:tcW w:w="1134" w:type="dxa"/>
            <w:tcBorders>
              <w:left w:val="nil"/>
            </w:tcBorders>
          </w:tcPr>
          <w:p w:rsidR="00A617AA" w:rsidRDefault="00A617AA">
            <w:pPr>
              <w:spacing w:before="80" w:after="80"/>
            </w:pPr>
            <w:r>
              <w:t>1.1.1989</w:t>
            </w:r>
            <w:r>
              <w:rPr>
                <w:vertAlign w:val="superscript"/>
              </w:rPr>
              <w:t>2)</w:t>
            </w:r>
          </w:p>
        </w:tc>
      </w:tr>
      <w:tr w:rsidR="00A617AA">
        <w:tblPrEx>
          <w:tblCellMar>
            <w:top w:w="0" w:type="dxa"/>
            <w:bottom w:w="0" w:type="dxa"/>
          </w:tblCellMar>
        </w:tblPrEx>
        <w:tc>
          <w:tcPr>
            <w:tcW w:w="3686" w:type="dxa"/>
            <w:tcBorders>
              <w:right w:val="single" w:sz="6" w:space="0" w:color="auto"/>
            </w:tcBorders>
          </w:tcPr>
          <w:p w:rsidR="00A617AA" w:rsidRDefault="00A617AA">
            <w:pPr>
              <w:spacing w:before="80" w:after="80"/>
              <w:ind w:left="284" w:hanging="284"/>
              <w:jc w:val="left"/>
            </w:pPr>
            <w:r>
              <w:t>1.</w:t>
            </w:r>
            <w:r>
              <w:tab/>
              <w:t>Zinkbergbau, Blei- und Zinkraffinat</w:t>
            </w:r>
            <w:r>
              <w:t>i</w:t>
            </w:r>
            <w:r>
              <w:t>on, NE-Metallindustrie und Industrie für metallisches Cadmium</w:t>
            </w:r>
          </w:p>
        </w:tc>
        <w:tc>
          <w:tcPr>
            <w:tcW w:w="3572" w:type="dxa"/>
            <w:tcBorders>
              <w:left w:val="nil"/>
              <w:right w:val="nil"/>
            </w:tcBorders>
          </w:tcPr>
          <w:p w:rsidR="00A617AA" w:rsidRDefault="00A617AA" w:rsidP="0003038D">
            <w:pPr>
              <w:pStyle w:val="GesAbsatz"/>
              <w:jc w:val="left"/>
            </w:pPr>
            <w:r>
              <w:t>Milligramm Cadmium pro Liter abg</w:t>
            </w:r>
            <w:r>
              <w:t>e</w:t>
            </w:r>
            <w:r>
              <w:t>leitetes Abwasser</w:t>
            </w:r>
          </w:p>
        </w:tc>
        <w:tc>
          <w:tcPr>
            <w:tcW w:w="1021" w:type="dxa"/>
            <w:tcBorders>
              <w:left w:val="single" w:sz="6" w:space="0" w:color="auto"/>
              <w:right w:val="single" w:sz="6" w:space="0" w:color="auto"/>
            </w:tcBorders>
          </w:tcPr>
          <w:p w:rsidR="00A617AA" w:rsidRDefault="00A617AA">
            <w:pPr>
              <w:spacing w:before="80" w:after="80"/>
              <w:jc w:val="center"/>
            </w:pPr>
            <w:r>
              <w:br/>
              <w:t>0,3</w:t>
            </w:r>
            <w:r>
              <w:rPr>
                <w:vertAlign w:val="superscript"/>
              </w:rPr>
              <w:t>3)</w:t>
            </w:r>
          </w:p>
        </w:tc>
        <w:tc>
          <w:tcPr>
            <w:tcW w:w="1134" w:type="dxa"/>
            <w:tcBorders>
              <w:left w:val="nil"/>
            </w:tcBorders>
          </w:tcPr>
          <w:p w:rsidR="00A617AA" w:rsidRDefault="00A617AA">
            <w:pPr>
              <w:spacing w:before="80" w:after="80"/>
              <w:jc w:val="center"/>
            </w:pPr>
            <w:r>
              <w:br/>
              <w:t>0,2</w:t>
            </w:r>
            <w:r>
              <w:rPr>
                <w:vertAlign w:val="superscript"/>
              </w:rPr>
              <w:t>3)</w:t>
            </w:r>
          </w:p>
        </w:tc>
      </w:tr>
      <w:tr w:rsidR="006D22A0" w:rsidTr="00C43621">
        <w:tblPrEx>
          <w:tblCellMar>
            <w:top w:w="0" w:type="dxa"/>
            <w:bottom w:w="0" w:type="dxa"/>
          </w:tblCellMar>
        </w:tblPrEx>
        <w:tc>
          <w:tcPr>
            <w:tcW w:w="3686" w:type="dxa"/>
            <w:vMerge w:val="restart"/>
            <w:tcBorders>
              <w:right w:val="single" w:sz="6" w:space="0" w:color="auto"/>
            </w:tcBorders>
          </w:tcPr>
          <w:p w:rsidR="006D22A0" w:rsidRDefault="006D22A0">
            <w:pPr>
              <w:spacing w:before="80" w:after="80"/>
              <w:ind w:left="284" w:hanging="284"/>
              <w:jc w:val="left"/>
            </w:pPr>
            <w:r>
              <w:t>2.</w:t>
            </w:r>
            <w:r>
              <w:tab/>
              <w:t>Herstellung von Cadmiumverbi</w:t>
            </w:r>
            <w:r>
              <w:t>n</w:t>
            </w:r>
            <w:r>
              <w:t>dungen</w:t>
            </w:r>
          </w:p>
        </w:tc>
        <w:tc>
          <w:tcPr>
            <w:tcW w:w="3572" w:type="dxa"/>
            <w:tcBorders>
              <w:left w:val="nil"/>
              <w:right w:val="nil"/>
            </w:tcBorders>
          </w:tcPr>
          <w:p w:rsidR="006D22A0" w:rsidRDefault="006D22A0" w:rsidP="0003038D">
            <w:pPr>
              <w:pStyle w:val="GesAbsatz"/>
              <w:jc w:val="left"/>
            </w:pPr>
            <w:r>
              <w:t>Milligramm Cadmium pro Liter abg</w:t>
            </w:r>
            <w:r>
              <w:t>e</w:t>
            </w:r>
            <w:r>
              <w:t>leitetes Abwasser</w:t>
            </w:r>
          </w:p>
        </w:tc>
        <w:tc>
          <w:tcPr>
            <w:tcW w:w="1021" w:type="dxa"/>
            <w:tcBorders>
              <w:left w:val="single" w:sz="6" w:space="0" w:color="auto"/>
              <w:right w:val="single" w:sz="6" w:space="0" w:color="auto"/>
            </w:tcBorders>
          </w:tcPr>
          <w:p w:rsidR="006D22A0" w:rsidRDefault="006D22A0">
            <w:pPr>
              <w:spacing w:before="80" w:after="80"/>
              <w:jc w:val="center"/>
            </w:pPr>
            <w:r>
              <w:t>0,5</w:t>
            </w:r>
            <w:r>
              <w:rPr>
                <w:vertAlign w:val="superscript"/>
              </w:rPr>
              <w:t>3)</w:t>
            </w:r>
          </w:p>
        </w:tc>
        <w:tc>
          <w:tcPr>
            <w:tcW w:w="1134" w:type="dxa"/>
            <w:tcBorders>
              <w:left w:val="nil"/>
            </w:tcBorders>
          </w:tcPr>
          <w:p w:rsidR="006D22A0" w:rsidRDefault="006D22A0">
            <w:pPr>
              <w:spacing w:before="80" w:after="80"/>
              <w:jc w:val="center"/>
            </w:pPr>
            <w:r>
              <w:t>0,2</w:t>
            </w:r>
            <w:r>
              <w:rPr>
                <w:vertAlign w:val="superscript"/>
              </w:rPr>
              <w:t>3)</w:t>
            </w:r>
          </w:p>
        </w:tc>
      </w:tr>
      <w:tr w:rsidR="006D22A0" w:rsidTr="00C43621">
        <w:tblPrEx>
          <w:tblCellMar>
            <w:top w:w="0" w:type="dxa"/>
            <w:bottom w:w="0" w:type="dxa"/>
          </w:tblCellMar>
        </w:tblPrEx>
        <w:tc>
          <w:tcPr>
            <w:tcW w:w="3686" w:type="dxa"/>
            <w:vMerge/>
            <w:tcBorders>
              <w:bottom w:val="nil"/>
              <w:right w:val="single" w:sz="6" w:space="0" w:color="auto"/>
            </w:tcBorders>
          </w:tcPr>
          <w:p w:rsidR="006D22A0" w:rsidRDefault="006D22A0">
            <w:pPr>
              <w:spacing w:before="80" w:after="80"/>
              <w:ind w:left="284" w:hanging="284"/>
              <w:jc w:val="left"/>
            </w:pPr>
          </w:p>
        </w:tc>
        <w:tc>
          <w:tcPr>
            <w:tcW w:w="3572" w:type="dxa"/>
            <w:tcBorders>
              <w:left w:val="nil"/>
              <w:right w:val="nil"/>
            </w:tcBorders>
          </w:tcPr>
          <w:p w:rsidR="006D22A0" w:rsidRDefault="006D22A0" w:rsidP="0003038D">
            <w:pPr>
              <w:pStyle w:val="GesAbsatz"/>
              <w:jc w:val="left"/>
            </w:pPr>
            <w:r>
              <w:t>Gramm abgeleitetes Cadmium pro Kilogramm verwendetes Cadmium</w:t>
            </w:r>
          </w:p>
        </w:tc>
        <w:tc>
          <w:tcPr>
            <w:tcW w:w="1021" w:type="dxa"/>
            <w:tcBorders>
              <w:left w:val="single" w:sz="6" w:space="0" w:color="auto"/>
              <w:right w:val="single" w:sz="6" w:space="0" w:color="auto"/>
            </w:tcBorders>
          </w:tcPr>
          <w:p w:rsidR="006D22A0" w:rsidRDefault="006D22A0">
            <w:pPr>
              <w:spacing w:before="80" w:after="80"/>
              <w:jc w:val="center"/>
            </w:pPr>
            <w:r>
              <w:t>0,5</w:t>
            </w:r>
            <w:r>
              <w:rPr>
                <w:vertAlign w:val="superscript"/>
              </w:rPr>
              <w:t>4)</w:t>
            </w:r>
          </w:p>
        </w:tc>
        <w:tc>
          <w:tcPr>
            <w:tcW w:w="1134" w:type="dxa"/>
            <w:tcBorders>
              <w:left w:val="nil"/>
            </w:tcBorders>
          </w:tcPr>
          <w:p w:rsidR="006D22A0" w:rsidRDefault="006D22A0">
            <w:pPr>
              <w:spacing w:before="80" w:after="80"/>
              <w:jc w:val="center"/>
            </w:pPr>
            <w:r>
              <w:rPr>
                <w:vertAlign w:val="superscript"/>
              </w:rPr>
              <w:t>5)</w:t>
            </w:r>
          </w:p>
        </w:tc>
      </w:tr>
      <w:tr w:rsidR="006D22A0" w:rsidTr="00C43621">
        <w:tblPrEx>
          <w:tblCellMar>
            <w:top w:w="0" w:type="dxa"/>
            <w:bottom w:w="0" w:type="dxa"/>
          </w:tblCellMar>
        </w:tblPrEx>
        <w:tc>
          <w:tcPr>
            <w:tcW w:w="3686" w:type="dxa"/>
            <w:vMerge w:val="restart"/>
            <w:tcBorders>
              <w:top w:val="single" w:sz="6" w:space="0" w:color="auto"/>
              <w:right w:val="single" w:sz="6" w:space="0" w:color="auto"/>
            </w:tcBorders>
          </w:tcPr>
          <w:p w:rsidR="006D22A0" w:rsidRDefault="006D22A0">
            <w:pPr>
              <w:spacing w:before="80" w:after="80"/>
              <w:ind w:left="284" w:hanging="284"/>
              <w:jc w:val="left"/>
            </w:pPr>
            <w:r>
              <w:t>3.</w:t>
            </w:r>
            <w:r>
              <w:tab/>
              <w:t>Pigmentherstellung</w:t>
            </w:r>
          </w:p>
        </w:tc>
        <w:tc>
          <w:tcPr>
            <w:tcW w:w="3572" w:type="dxa"/>
            <w:tcBorders>
              <w:left w:val="nil"/>
              <w:right w:val="nil"/>
            </w:tcBorders>
          </w:tcPr>
          <w:p w:rsidR="006D22A0" w:rsidRDefault="006D22A0" w:rsidP="0003038D">
            <w:pPr>
              <w:pStyle w:val="GesAbsatz"/>
              <w:jc w:val="left"/>
            </w:pPr>
            <w:r>
              <w:t>Milligramm Cadmium pro Liter abg</w:t>
            </w:r>
            <w:r>
              <w:t>e</w:t>
            </w:r>
            <w:r>
              <w:t>leitetes Abwasser</w:t>
            </w:r>
          </w:p>
        </w:tc>
        <w:tc>
          <w:tcPr>
            <w:tcW w:w="1021" w:type="dxa"/>
            <w:tcBorders>
              <w:left w:val="single" w:sz="6" w:space="0" w:color="auto"/>
              <w:right w:val="single" w:sz="6" w:space="0" w:color="auto"/>
            </w:tcBorders>
          </w:tcPr>
          <w:p w:rsidR="006D22A0" w:rsidRDefault="006D22A0">
            <w:pPr>
              <w:spacing w:before="80" w:after="80"/>
              <w:jc w:val="center"/>
            </w:pPr>
            <w:r>
              <w:t>0,5</w:t>
            </w:r>
            <w:r>
              <w:rPr>
                <w:vertAlign w:val="superscript"/>
              </w:rPr>
              <w:t>3)</w:t>
            </w:r>
          </w:p>
        </w:tc>
        <w:tc>
          <w:tcPr>
            <w:tcW w:w="1134" w:type="dxa"/>
            <w:tcBorders>
              <w:left w:val="nil"/>
            </w:tcBorders>
          </w:tcPr>
          <w:p w:rsidR="006D22A0" w:rsidRDefault="006D22A0">
            <w:pPr>
              <w:spacing w:before="80" w:after="80"/>
              <w:jc w:val="center"/>
              <w:rPr>
                <w:rStyle w:val="Funotenzeichen"/>
              </w:rPr>
            </w:pPr>
            <w:r>
              <w:t>0,2</w:t>
            </w:r>
            <w:r>
              <w:rPr>
                <w:vertAlign w:val="superscript"/>
              </w:rPr>
              <w:t>3)</w:t>
            </w:r>
          </w:p>
        </w:tc>
      </w:tr>
      <w:tr w:rsidR="006D22A0" w:rsidTr="00C43621">
        <w:tblPrEx>
          <w:tblCellMar>
            <w:top w:w="0" w:type="dxa"/>
            <w:bottom w:w="0" w:type="dxa"/>
          </w:tblCellMar>
        </w:tblPrEx>
        <w:tc>
          <w:tcPr>
            <w:tcW w:w="3686" w:type="dxa"/>
            <w:vMerge/>
            <w:tcBorders>
              <w:bottom w:val="single" w:sz="6" w:space="0" w:color="auto"/>
              <w:right w:val="single" w:sz="6" w:space="0" w:color="auto"/>
            </w:tcBorders>
          </w:tcPr>
          <w:p w:rsidR="006D22A0" w:rsidRDefault="006D22A0">
            <w:pPr>
              <w:spacing w:before="80" w:after="80"/>
              <w:ind w:left="284" w:hanging="284"/>
              <w:jc w:val="left"/>
            </w:pPr>
          </w:p>
        </w:tc>
        <w:tc>
          <w:tcPr>
            <w:tcW w:w="3572" w:type="dxa"/>
            <w:tcBorders>
              <w:left w:val="nil"/>
              <w:right w:val="nil"/>
            </w:tcBorders>
          </w:tcPr>
          <w:p w:rsidR="006D22A0" w:rsidRDefault="006D22A0" w:rsidP="0003038D">
            <w:pPr>
              <w:pStyle w:val="GesAbsatz"/>
              <w:jc w:val="left"/>
            </w:pPr>
            <w:r>
              <w:t>Gramm abgeleitetes Cadmium pro Kilogramm verwendetes Cadmium</w:t>
            </w:r>
          </w:p>
        </w:tc>
        <w:tc>
          <w:tcPr>
            <w:tcW w:w="1021" w:type="dxa"/>
            <w:tcBorders>
              <w:left w:val="single" w:sz="6" w:space="0" w:color="auto"/>
              <w:right w:val="single" w:sz="6" w:space="0" w:color="auto"/>
            </w:tcBorders>
          </w:tcPr>
          <w:p w:rsidR="006D22A0" w:rsidRDefault="006D22A0">
            <w:pPr>
              <w:spacing w:before="80" w:after="80"/>
              <w:jc w:val="center"/>
            </w:pPr>
            <w:r>
              <w:t>0,3</w:t>
            </w:r>
            <w:r>
              <w:rPr>
                <w:vertAlign w:val="superscript"/>
              </w:rPr>
              <w:t>4)</w:t>
            </w:r>
          </w:p>
        </w:tc>
        <w:tc>
          <w:tcPr>
            <w:tcW w:w="1134" w:type="dxa"/>
            <w:tcBorders>
              <w:left w:val="nil"/>
            </w:tcBorders>
          </w:tcPr>
          <w:p w:rsidR="006D22A0" w:rsidRDefault="006D22A0">
            <w:pPr>
              <w:spacing w:before="80" w:after="80"/>
              <w:jc w:val="center"/>
            </w:pPr>
            <w:r>
              <w:rPr>
                <w:vertAlign w:val="superscript"/>
              </w:rPr>
              <w:t>5)</w:t>
            </w:r>
          </w:p>
        </w:tc>
      </w:tr>
      <w:tr w:rsidR="006D22A0" w:rsidTr="00C43621">
        <w:tblPrEx>
          <w:tblCellMar>
            <w:top w:w="0" w:type="dxa"/>
            <w:bottom w:w="0" w:type="dxa"/>
          </w:tblCellMar>
        </w:tblPrEx>
        <w:tc>
          <w:tcPr>
            <w:tcW w:w="3686" w:type="dxa"/>
            <w:vMerge w:val="restart"/>
            <w:tcBorders>
              <w:top w:val="single" w:sz="6" w:space="0" w:color="auto"/>
              <w:right w:val="single" w:sz="6" w:space="0" w:color="auto"/>
            </w:tcBorders>
          </w:tcPr>
          <w:p w:rsidR="006D22A0" w:rsidRDefault="006D22A0">
            <w:pPr>
              <w:spacing w:before="80" w:after="80"/>
              <w:ind w:left="284" w:hanging="284"/>
              <w:jc w:val="left"/>
            </w:pPr>
            <w:r>
              <w:t>4.</w:t>
            </w:r>
            <w:r>
              <w:tab/>
              <w:t>Herstellung von Stabilisatoren</w:t>
            </w:r>
          </w:p>
        </w:tc>
        <w:tc>
          <w:tcPr>
            <w:tcW w:w="3572" w:type="dxa"/>
            <w:tcBorders>
              <w:left w:val="nil"/>
              <w:right w:val="nil"/>
            </w:tcBorders>
          </w:tcPr>
          <w:p w:rsidR="006D22A0" w:rsidRDefault="006D22A0" w:rsidP="0003038D">
            <w:pPr>
              <w:pStyle w:val="GesAbsatz"/>
              <w:jc w:val="left"/>
            </w:pPr>
            <w:r>
              <w:t>Milligramm Cadmium pro Liter abg</w:t>
            </w:r>
            <w:r>
              <w:t>e</w:t>
            </w:r>
            <w:r>
              <w:t>leitetes Abwasser</w:t>
            </w:r>
          </w:p>
        </w:tc>
        <w:tc>
          <w:tcPr>
            <w:tcW w:w="1021" w:type="dxa"/>
            <w:tcBorders>
              <w:left w:val="single" w:sz="6" w:space="0" w:color="auto"/>
              <w:right w:val="single" w:sz="6" w:space="0" w:color="auto"/>
            </w:tcBorders>
          </w:tcPr>
          <w:p w:rsidR="006D22A0" w:rsidRDefault="006D22A0">
            <w:pPr>
              <w:spacing w:before="80" w:after="80"/>
              <w:jc w:val="center"/>
            </w:pPr>
            <w:r>
              <w:t>0,5</w:t>
            </w:r>
            <w:r>
              <w:rPr>
                <w:vertAlign w:val="superscript"/>
              </w:rPr>
              <w:t>3)</w:t>
            </w:r>
          </w:p>
        </w:tc>
        <w:tc>
          <w:tcPr>
            <w:tcW w:w="1134" w:type="dxa"/>
            <w:tcBorders>
              <w:left w:val="nil"/>
            </w:tcBorders>
          </w:tcPr>
          <w:p w:rsidR="006D22A0" w:rsidRDefault="006D22A0">
            <w:pPr>
              <w:spacing w:before="80" w:after="80"/>
              <w:jc w:val="center"/>
              <w:rPr>
                <w:rStyle w:val="Funotenzeichen"/>
              </w:rPr>
            </w:pPr>
            <w:r>
              <w:t>0,2</w:t>
            </w:r>
            <w:r>
              <w:rPr>
                <w:vertAlign w:val="superscript"/>
              </w:rPr>
              <w:t>3)</w:t>
            </w:r>
          </w:p>
        </w:tc>
      </w:tr>
      <w:tr w:rsidR="006D22A0" w:rsidTr="00C43621">
        <w:tblPrEx>
          <w:tblCellMar>
            <w:top w:w="0" w:type="dxa"/>
            <w:bottom w:w="0" w:type="dxa"/>
          </w:tblCellMar>
        </w:tblPrEx>
        <w:tc>
          <w:tcPr>
            <w:tcW w:w="3686" w:type="dxa"/>
            <w:vMerge/>
            <w:tcBorders>
              <w:bottom w:val="single" w:sz="6" w:space="0" w:color="auto"/>
              <w:right w:val="single" w:sz="6" w:space="0" w:color="auto"/>
            </w:tcBorders>
          </w:tcPr>
          <w:p w:rsidR="006D22A0" w:rsidRDefault="006D22A0">
            <w:pPr>
              <w:spacing w:before="80" w:after="80"/>
              <w:ind w:left="284" w:hanging="284"/>
              <w:jc w:val="left"/>
            </w:pPr>
          </w:p>
        </w:tc>
        <w:tc>
          <w:tcPr>
            <w:tcW w:w="3572" w:type="dxa"/>
            <w:tcBorders>
              <w:left w:val="nil"/>
              <w:right w:val="nil"/>
            </w:tcBorders>
          </w:tcPr>
          <w:p w:rsidR="006D22A0" w:rsidRDefault="006D22A0" w:rsidP="0003038D">
            <w:pPr>
              <w:pStyle w:val="GesAbsatz"/>
              <w:jc w:val="left"/>
            </w:pPr>
            <w:r>
              <w:t>Gramm abgeleitetes Cadmium pro Kilogramm verwendetes Cadmium</w:t>
            </w:r>
          </w:p>
        </w:tc>
        <w:tc>
          <w:tcPr>
            <w:tcW w:w="1021" w:type="dxa"/>
            <w:tcBorders>
              <w:left w:val="single" w:sz="6" w:space="0" w:color="auto"/>
              <w:right w:val="single" w:sz="6" w:space="0" w:color="auto"/>
            </w:tcBorders>
          </w:tcPr>
          <w:p w:rsidR="006D22A0" w:rsidRDefault="006D22A0">
            <w:pPr>
              <w:spacing w:before="80" w:after="80"/>
              <w:jc w:val="center"/>
            </w:pPr>
            <w:r>
              <w:t>0,5</w:t>
            </w:r>
            <w:r>
              <w:rPr>
                <w:vertAlign w:val="superscript"/>
              </w:rPr>
              <w:t>4)</w:t>
            </w:r>
          </w:p>
        </w:tc>
        <w:tc>
          <w:tcPr>
            <w:tcW w:w="1134" w:type="dxa"/>
            <w:tcBorders>
              <w:left w:val="nil"/>
            </w:tcBorders>
          </w:tcPr>
          <w:p w:rsidR="006D22A0" w:rsidRDefault="006D22A0">
            <w:pPr>
              <w:spacing w:before="80" w:after="80"/>
              <w:jc w:val="center"/>
            </w:pPr>
            <w:r>
              <w:rPr>
                <w:vertAlign w:val="superscript"/>
              </w:rPr>
              <w:t>5)</w:t>
            </w:r>
          </w:p>
        </w:tc>
      </w:tr>
      <w:tr w:rsidR="006D22A0" w:rsidTr="00C43621">
        <w:tblPrEx>
          <w:tblCellMar>
            <w:top w:w="0" w:type="dxa"/>
            <w:bottom w:w="0" w:type="dxa"/>
          </w:tblCellMar>
        </w:tblPrEx>
        <w:tc>
          <w:tcPr>
            <w:tcW w:w="3686" w:type="dxa"/>
            <w:vMerge w:val="restart"/>
            <w:tcBorders>
              <w:top w:val="single" w:sz="6" w:space="0" w:color="auto"/>
              <w:right w:val="single" w:sz="6" w:space="0" w:color="auto"/>
            </w:tcBorders>
          </w:tcPr>
          <w:p w:rsidR="006D22A0" w:rsidRDefault="006D22A0">
            <w:pPr>
              <w:spacing w:before="80" w:after="80"/>
              <w:ind w:left="284" w:hanging="284"/>
              <w:jc w:val="left"/>
            </w:pPr>
            <w:r>
              <w:t>5.</w:t>
            </w:r>
            <w:r>
              <w:tab/>
              <w:t>Herstellung von Primär- und Seku</w:t>
            </w:r>
            <w:r>
              <w:t>n</w:t>
            </w:r>
            <w:r>
              <w:t>där-Batterien</w:t>
            </w:r>
          </w:p>
        </w:tc>
        <w:tc>
          <w:tcPr>
            <w:tcW w:w="3572" w:type="dxa"/>
            <w:tcBorders>
              <w:left w:val="nil"/>
              <w:right w:val="nil"/>
            </w:tcBorders>
          </w:tcPr>
          <w:p w:rsidR="006D22A0" w:rsidRDefault="006D22A0" w:rsidP="0003038D">
            <w:pPr>
              <w:pStyle w:val="GesAbsatz"/>
              <w:jc w:val="left"/>
            </w:pPr>
            <w:r>
              <w:t>Milligramm Cadmium pro Liter abg</w:t>
            </w:r>
            <w:r>
              <w:t>e</w:t>
            </w:r>
            <w:r>
              <w:t>leitetes Abwasser</w:t>
            </w:r>
          </w:p>
        </w:tc>
        <w:tc>
          <w:tcPr>
            <w:tcW w:w="1021" w:type="dxa"/>
            <w:tcBorders>
              <w:left w:val="single" w:sz="6" w:space="0" w:color="auto"/>
              <w:right w:val="single" w:sz="6" w:space="0" w:color="auto"/>
            </w:tcBorders>
          </w:tcPr>
          <w:p w:rsidR="006D22A0" w:rsidRDefault="006D22A0">
            <w:pPr>
              <w:spacing w:before="80" w:after="80"/>
              <w:jc w:val="center"/>
            </w:pPr>
            <w:r>
              <w:t>0,5</w:t>
            </w:r>
            <w:r>
              <w:rPr>
                <w:vertAlign w:val="superscript"/>
              </w:rPr>
              <w:t>3)</w:t>
            </w:r>
          </w:p>
        </w:tc>
        <w:tc>
          <w:tcPr>
            <w:tcW w:w="1134" w:type="dxa"/>
            <w:tcBorders>
              <w:left w:val="nil"/>
            </w:tcBorders>
          </w:tcPr>
          <w:p w:rsidR="006D22A0" w:rsidRDefault="006D22A0">
            <w:pPr>
              <w:spacing w:before="80" w:after="80"/>
              <w:jc w:val="center"/>
              <w:rPr>
                <w:rStyle w:val="Funotenzeichen"/>
              </w:rPr>
            </w:pPr>
            <w:r>
              <w:t>0,2</w:t>
            </w:r>
            <w:r>
              <w:rPr>
                <w:vertAlign w:val="superscript"/>
              </w:rPr>
              <w:t>3)</w:t>
            </w:r>
          </w:p>
        </w:tc>
      </w:tr>
      <w:tr w:rsidR="006D22A0" w:rsidTr="00C43621">
        <w:tblPrEx>
          <w:tblCellMar>
            <w:top w:w="0" w:type="dxa"/>
            <w:bottom w:w="0" w:type="dxa"/>
          </w:tblCellMar>
        </w:tblPrEx>
        <w:tc>
          <w:tcPr>
            <w:tcW w:w="3686" w:type="dxa"/>
            <w:vMerge/>
            <w:tcBorders>
              <w:bottom w:val="single" w:sz="6" w:space="0" w:color="auto"/>
              <w:right w:val="single" w:sz="6" w:space="0" w:color="auto"/>
            </w:tcBorders>
          </w:tcPr>
          <w:p w:rsidR="006D22A0" w:rsidRDefault="006D22A0">
            <w:pPr>
              <w:spacing w:before="80" w:after="80"/>
              <w:ind w:left="284" w:hanging="284"/>
              <w:jc w:val="left"/>
            </w:pPr>
          </w:p>
        </w:tc>
        <w:tc>
          <w:tcPr>
            <w:tcW w:w="3572" w:type="dxa"/>
            <w:tcBorders>
              <w:left w:val="nil"/>
              <w:right w:val="nil"/>
            </w:tcBorders>
          </w:tcPr>
          <w:p w:rsidR="006D22A0" w:rsidRDefault="006D22A0" w:rsidP="0003038D">
            <w:pPr>
              <w:pStyle w:val="GesAbsatz"/>
              <w:jc w:val="left"/>
            </w:pPr>
            <w:r>
              <w:t>Gramm abgeleitetes Cadmium pro Kilogramm verwendetes Cadmium</w:t>
            </w:r>
          </w:p>
        </w:tc>
        <w:tc>
          <w:tcPr>
            <w:tcW w:w="1021" w:type="dxa"/>
            <w:tcBorders>
              <w:left w:val="single" w:sz="6" w:space="0" w:color="auto"/>
              <w:right w:val="single" w:sz="6" w:space="0" w:color="auto"/>
            </w:tcBorders>
          </w:tcPr>
          <w:p w:rsidR="006D22A0" w:rsidRDefault="006D22A0">
            <w:pPr>
              <w:spacing w:before="80" w:after="80"/>
              <w:jc w:val="center"/>
            </w:pPr>
            <w:r>
              <w:t>1,5</w:t>
            </w:r>
            <w:r>
              <w:rPr>
                <w:vertAlign w:val="superscript"/>
              </w:rPr>
              <w:t>4)</w:t>
            </w:r>
          </w:p>
        </w:tc>
        <w:tc>
          <w:tcPr>
            <w:tcW w:w="1134" w:type="dxa"/>
            <w:tcBorders>
              <w:left w:val="nil"/>
            </w:tcBorders>
          </w:tcPr>
          <w:p w:rsidR="006D22A0" w:rsidRDefault="006D22A0">
            <w:pPr>
              <w:spacing w:before="80" w:after="80"/>
              <w:jc w:val="center"/>
              <w:rPr>
                <w:rStyle w:val="Funotenzeichen"/>
              </w:rPr>
            </w:pPr>
            <w:r>
              <w:rPr>
                <w:vertAlign w:val="superscript"/>
              </w:rPr>
              <w:t>5)</w:t>
            </w:r>
          </w:p>
        </w:tc>
      </w:tr>
      <w:tr w:rsidR="006D22A0" w:rsidTr="00C43621">
        <w:tblPrEx>
          <w:tblCellMar>
            <w:top w:w="0" w:type="dxa"/>
            <w:bottom w:w="0" w:type="dxa"/>
          </w:tblCellMar>
        </w:tblPrEx>
        <w:tc>
          <w:tcPr>
            <w:tcW w:w="3686" w:type="dxa"/>
            <w:vMerge w:val="restart"/>
            <w:tcBorders>
              <w:top w:val="single" w:sz="6" w:space="0" w:color="auto"/>
              <w:right w:val="single" w:sz="6" w:space="0" w:color="auto"/>
            </w:tcBorders>
          </w:tcPr>
          <w:p w:rsidR="006D22A0" w:rsidRDefault="006D22A0">
            <w:pPr>
              <w:spacing w:before="80" w:after="80"/>
              <w:ind w:left="284" w:hanging="284"/>
              <w:jc w:val="left"/>
            </w:pPr>
            <w:r>
              <w:t>6.</w:t>
            </w:r>
            <w:r>
              <w:tab/>
              <w:t>Galvanotechnik</w:t>
            </w:r>
            <w:r>
              <w:rPr>
                <w:vertAlign w:val="superscript"/>
              </w:rPr>
              <w:t>6)</w:t>
            </w:r>
          </w:p>
        </w:tc>
        <w:tc>
          <w:tcPr>
            <w:tcW w:w="3572" w:type="dxa"/>
            <w:tcBorders>
              <w:left w:val="nil"/>
              <w:right w:val="nil"/>
            </w:tcBorders>
          </w:tcPr>
          <w:p w:rsidR="006D22A0" w:rsidRDefault="006D22A0" w:rsidP="0003038D">
            <w:pPr>
              <w:pStyle w:val="GesAbsatz"/>
              <w:jc w:val="left"/>
            </w:pPr>
            <w:r>
              <w:t>Milligramm Cadmium pro Liter abg</w:t>
            </w:r>
            <w:r>
              <w:t>e</w:t>
            </w:r>
            <w:r>
              <w:t>leitetes Abwasser</w:t>
            </w:r>
          </w:p>
        </w:tc>
        <w:tc>
          <w:tcPr>
            <w:tcW w:w="1021" w:type="dxa"/>
            <w:tcBorders>
              <w:left w:val="single" w:sz="6" w:space="0" w:color="auto"/>
              <w:right w:val="single" w:sz="6" w:space="0" w:color="auto"/>
            </w:tcBorders>
          </w:tcPr>
          <w:p w:rsidR="006D22A0" w:rsidRDefault="006D22A0">
            <w:pPr>
              <w:spacing w:before="80" w:after="80"/>
              <w:jc w:val="center"/>
            </w:pPr>
            <w:r>
              <w:t>0,5</w:t>
            </w:r>
            <w:r>
              <w:rPr>
                <w:vertAlign w:val="superscript"/>
              </w:rPr>
              <w:t>3)</w:t>
            </w:r>
          </w:p>
        </w:tc>
        <w:tc>
          <w:tcPr>
            <w:tcW w:w="1134" w:type="dxa"/>
            <w:tcBorders>
              <w:left w:val="nil"/>
            </w:tcBorders>
          </w:tcPr>
          <w:p w:rsidR="006D22A0" w:rsidRDefault="006D22A0">
            <w:pPr>
              <w:spacing w:before="80" w:after="80"/>
              <w:jc w:val="center"/>
              <w:rPr>
                <w:rStyle w:val="Funotenzeichen"/>
              </w:rPr>
            </w:pPr>
            <w:r>
              <w:t>0,2</w:t>
            </w:r>
            <w:r>
              <w:rPr>
                <w:vertAlign w:val="superscript"/>
              </w:rPr>
              <w:t>3)</w:t>
            </w:r>
          </w:p>
        </w:tc>
      </w:tr>
      <w:tr w:rsidR="006D22A0" w:rsidTr="00C43621">
        <w:tblPrEx>
          <w:tblCellMar>
            <w:top w:w="0" w:type="dxa"/>
            <w:bottom w:w="0" w:type="dxa"/>
          </w:tblCellMar>
        </w:tblPrEx>
        <w:tc>
          <w:tcPr>
            <w:tcW w:w="3686" w:type="dxa"/>
            <w:vMerge/>
            <w:tcBorders>
              <w:bottom w:val="single" w:sz="6" w:space="0" w:color="auto"/>
              <w:right w:val="single" w:sz="6" w:space="0" w:color="auto"/>
            </w:tcBorders>
          </w:tcPr>
          <w:p w:rsidR="006D22A0" w:rsidRDefault="006D22A0">
            <w:pPr>
              <w:spacing w:before="80" w:after="80"/>
              <w:ind w:left="284" w:hanging="284"/>
              <w:jc w:val="left"/>
            </w:pPr>
          </w:p>
        </w:tc>
        <w:tc>
          <w:tcPr>
            <w:tcW w:w="3572" w:type="dxa"/>
            <w:tcBorders>
              <w:left w:val="nil"/>
              <w:right w:val="nil"/>
            </w:tcBorders>
          </w:tcPr>
          <w:p w:rsidR="006D22A0" w:rsidRDefault="006D22A0" w:rsidP="0003038D">
            <w:pPr>
              <w:pStyle w:val="GesAbsatz"/>
              <w:jc w:val="left"/>
            </w:pPr>
            <w:r>
              <w:t>Gramm abgeleitetes Cadmium pro Kilogramm verwendetes Cadmium</w:t>
            </w:r>
          </w:p>
        </w:tc>
        <w:tc>
          <w:tcPr>
            <w:tcW w:w="1021" w:type="dxa"/>
            <w:tcBorders>
              <w:left w:val="single" w:sz="6" w:space="0" w:color="auto"/>
              <w:right w:val="single" w:sz="6" w:space="0" w:color="auto"/>
            </w:tcBorders>
          </w:tcPr>
          <w:p w:rsidR="006D22A0" w:rsidRDefault="006D22A0">
            <w:pPr>
              <w:spacing w:before="80" w:after="80"/>
              <w:jc w:val="center"/>
            </w:pPr>
            <w:r>
              <w:t>0,3</w:t>
            </w:r>
            <w:r>
              <w:rPr>
                <w:vertAlign w:val="superscript"/>
              </w:rPr>
              <w:t>4)</w:t>
            </w:r>
          </w:p>
        </w:tc>
        <w:tc>
          <w:tcPr>
            <w:tcW w:w="1134" w:type="dxa"/>
            <w:tcBorders>
              <w:left w:val="nil"/>
            </w:tcBorders>
          </w:tcPr>
          <w:p w:rsidR="006D22A0" w:rsidRDefault="006D22A0">
            <w:pPr>
              <w:spacing w:before="80" w:after="80"/>
              <w:jc w:val="center"/>
            </w:pPr>
            <w:r>
              <w:rPr>
                <w:vertAlign w:val="superscript"/>
              </w:rPr>
              <w:t>5)</w:t>
            </w:r>
          </w:p>
        </w:tc>
      </w:tr>
      <w:tr w:rsidR="00A617AA">
        <w:tblPrEx>
          <w:tblCellMar>
            <w:top w:w="0" w:type="dxa"/>
            <w:bottom w:w="0" w:type="dxa"/>
          </w:tblCellMar>
        </w:tblPrEx>
        <w:tc>
          <w:tcPr>
            <w:tcW w:w="3686" w:type="dxa"/>
            <w:tcBorders>
              <w:top w:val="single" w:sz="6" w:space="0" w:color="auto"/>
              <w:bottom w:val="single" w:sz="6" w:space="0" w:color="auto"/>
              <w:right w:val="single" w:sz="6" w:space="0" w:color="auto"/>
            </w:tcBorders>
          </w:tcPr>
          <w:p w:rsidR="00A617AA" w:rsidRDefault="00A617AA">
            <w:pPr>
              <w:spacing w:before="80" w:after="80"/>
              <w:ind w:left="284" w:hanging="284"/>
              <w:jc w:val="left"/>
            </w:pPr>
            <w:r>
              <w:t>7. Herstellung von Phosphorsäure und/oder Phosphatdüngemitteln aus Phosphormineralien</w:t>
            </w:r>
            <w:r>
              <w:rPr>
                <w:vertAlign w:val="superscript"/>
              </w:rPr>
              <w:t>7)</w:t>
            </w:r>
          </w:p>
        </w:tc>
        <w:tc>
          <w:tcPr>
            <w:tcW w:w="3572" w:type="dxa"/>
            <w:tcBorders>
              <w:left w:val="nil"/>
              <w:right w:val="nil"/>
            </w:tcBorders>
          </w:tcPr>
          <w:p w:rsidR="00A617AA" w:rsidRDefault="00A617AA">
            <w:pPr>
              <w:spacing w:before="80" w:after="80"/>
              <w:jc w:val="left"/>
            </w:pPr>
          </w:p>
        </w:tc>
        <w:tc>
          <w:tcPr>
            <w:tcW w:w="1021" w:type="dxa"/>
            <w:tcBorders>
              <w:left w:val="single" w:sz="6" w:space="0" w:color="auto"/>
              <w:right w:val="single" w:sz="6" w:space="0" w:color="auto"/>
            </w:tcBorders>
          </w:tcPr>
          <w:p w:rsidR="00A617AA" w:rsidRDefault="00A617AA">
            <w:pPr>
              <w:spacing w:before="80" w:after="80"/>
              <w:jc w:val="center"/>
            </w:pPr>
          </w:p>
        </w:tc>
        <w:tc>
          <w:tcPr>
            <w:tcW w:w="1134" w:type="dxa"/>
            <w:tcBorders>
              <w:left w:val="nil"/>
            </w:tcBorders>
          </w:tcPr>
          <w:p w:rsidR="00A617AA" w:rsidRDefault="00A617AA">
            <w:pPr>
              <w:spacing w:before="80" w:after="80"/>
              <w:jc w:val="center"/>
              <w:rPr>
                <w:vertAlign w:val="superscript"/>
              </w:rPr>
            </w:pPr>
          </w:p>
        </w:tc>
      </w:tr>
      <w:tr w:rsidR="0032589E">
        <w:tblPrEx>
          <w:tblCellMar>
            <w:top w:w="0" w:type="dxa"/>
            <w:bottom w:w="0" w:type="dxa"/>
          </w:tblCellMar>
        </w:tblPrEx>
        <w:tc>
          <w:tcPr>
            <w:tcW w:w="9413" w:type="dxa"/>
            <w:gridSpan w:val="4"/>
            <w:tcBorders>
              <w:top w:val="single" w:sz="6" w:space="0" w:color="auto"/>
            </w:tcBorders>
          </w:tcPr>
          <w:p w:rsidR="0032589E" w:rsidRPr="0032589E" w:rsidRDefault="0032589E" w:rsidP="0032589E">
            <w:pPr>
              <w:pStyle w:val="GesAbsatz"/>
              <w:rPr>
                <w:sz w:val="16"/>
                <w:szCs w:val="16"/>
              </w:rPr>
            </w:pPr>
            <w:r w:rsidRPr="0032589E">
              <w:rPr>
                <w:rStyle w:val="Funotenzeichen"/>
                <w:sz w:val="16"/>
                <w:szCs w:val="16"/>
              </w:rPr>
              <w:t>1)</w:t>
            </w:r>
            <w:r w:rsidRPr="0032589E">
              <w:rPr>
                <w:sz w:val="16"/>
                <w:szCs w:val="16"/>
              </w:rPr>
              <w:t xml:space="preserve"> Für Industriezweige, die in dieser Tabelle nicht genannt sind, werden Grenzwerte, wenn nötig, vom Rat zu einem späteren Zei</w:t>
            </w:r>
            <w:r w:rsidRPr="0032589E">
              <w:rPr>
                <w:sz w:val="16"/>
                <w:szCs w:val="16"/>
              </w:rPr>
              <w:t>t</w:t>
            </w:r>
            <w:r w:rsidRPr="0032589E">
              <w:rPr>
                <w:sz w:val="16"/>
                <w:szCs w:val="16"/>
              </w:rPr>
              <w:t>punkt festgelegt. In der Zwischenzeit legen die Mitgliedstaaten Emissionsnormen für Cadmiumableitungen gemäß den Besti</w:t>
            </w:r>
            <w:r w:rsidRPr="0032589E">
              <w:rPr>
                <w:sz w:val="16"/>
                <w:szCs w:val="16"/>
              </w:rPr>
              <w:t>m</w:t>
            </w:r>
            <w:r w:rsidRPr="0032589E">
              <w:rPr>
                <w:sz w:val="16"/>
                <w:szCs w:val="16"/>
              </w:rPr>
              <w:t>mungen der Richtlinie 76/464/EWG in eigener Zuständigkeit fest. Bei diesen Emissionsnormen müssen die besten verfügb</w:t>
            </w:r>
            <w:r w:rsidRPr="0032589E">
              <w:rPr>
                <w:sz w:val="16"/>
                <w:szCs w:val="16"/>
              </w:rPr>
              <w:t>a</w:t>
            </w:r>
            <w:r w:rsidRPr="0032589E">
              <w:rPr>
                <w:sz w:val="16"/>
                <w:szCs w:val="16"/>
              </w:rPr>
              <w:t>ren technischen Mittel berücksichtigt werden; sie dürfen nicht weniger streng sein als der am besten vergleichbare Grenzwert dieses Anhangs.</w:t>
            </w:r>
          </w:p>
          <w:p w:rsidR="0032589E" w:rsidRPr="0032589E" w:rsidRDefault="0032589E" w:rsidP="0032589E">
            <w:pPr>
              <w:pStyle w:val="GesAbsatz"/>
              <w:rPr>
                <w:sz w:val="16"/>
                <w:szCs w:val="16"/>
              </w:rPr>
            </w:pPr>
            <w:r w:rsidRPr="0032589E">
              <w:rPr>
                <w:rStyle w:val="Funotenzeichen"/>
                <w:sz w:val="16"/>
                <w:szCs w:val="16"/>
              </w:rPr>
              <w:t>2)</w:t>
            </w:r>
            <w:r w:rsidRPr="0032589E">
              <w:rPr>
                <w:sz w:val="16"/>
                <w:szCs w:val="16"/>
              </w:rPr>
              <w:t xml:space="preserve"> Aufgrund der Erfahrungen, die die Kommission bei der Anwendung dieser Richtlinie macht, unterbreitet sie dem Rat in Anwe</w:t>
            </w:r>
            <w:r w:rsidRPr="0032589E">
              <w:rPr>
                <w:sz w:val="16"/>
                <w:szCs w:val="16"/>
              </w:rPr>
              <w:t>n</w:t>
            </w:r>
            <w:r w:rsidRPr="0032589E">
              <w:rPr>
                <w:sz w:val="16"/>
                <w:szCs w:val="16"/>
              </w:rPr>
              <w:t>dung des Artikels 5 Absatz 3 rechtzeitig Vorschläge mit dem Ziel, strengere Grenzwerte festzulegen, die 1992 in Kraft treten so</w:t>
            </w:r>
            <w:r w:rsidRPr="0032589E">
              <w:rPr>
                <w:sz w:val="16"/>
                <w:szCs w:val="16"/>
              </w:rPr>
              <w:t>l</w:t>
            </w:r>
            <w:r w:rsidRPr="0032589E">
              <w:rPr>
                <w:sz w:val="16"/>
                <w:szCs w:val="16"/>
              </w:rPr>
              <w:t>len.</w:t>
            </w:r>
          </w:p>
          <w:p w:rsidR="0032589E" w:rsidRPr="0032589E" w:rsidRDefault="0032589E" w:rsidP="0032589E">
            <w:pPr>
              <w:pStyle w:val="GesAbsatz"/>
              <w:rPr>
                <w:sz w:val="16"/>
                <w:szCs w:val="16"/>
              </w:rPr>
            </w:pPr>
            <w:r w:rsidRPr="0032589E">
              <w:rPr>
                <w:rStyle w:val="Funotenzeichen"/>
                <w:sz w:val="16"/>
                <w:szCs w:val="16"/>
              </w:rPr>
              <w:t>3)</w:t>
            </w:r>
            <w:r w:rsidRPr="0032589E">
              <w:rPr>
                <w:sz w:val="16"/>
                <w:szCs w:val="16"/>
              </w:rPr>
              <w:t xml:space="preserve"> Durchschnittliche monatliche Gesamtcadmiumkonzentration, gewogen nach der Abflußmenge.</w:t>
            </w:r>
          </w:p>
          <w:p w:rsidR="0032589E" w:rsidRPr="0032589E" w:rsidRDefault="0032589E" w:rsidP="0032589E">
            <w:pPr>
              <w:pStyle w:val="GesAbsatz"/>
              <w:rPr>
                <w:sz w:val="16"/>
                <w:szCs w:val="16"/>
              </w:rPr>
            </w:pPr>
            <w:r w:rsidRPr="0032589E">
              <w:rPr>
                <w:rStyle w:val="Funotenzeichen"/>
                <w:sz w:val="16"/>
                <w:szCs w:val="16"/>
              </w:rPr>
              <w:t>4)</w:t>
            </w:r>
            <w:r w:rsidRPr="0032589E">
              <w:rPr>
                <w:sz w:val="16"/>
                <w:szCs w:val="16"/>
              </w:rPr>
              <w:t xml:space="preserve"> Monatlicher Durchschnittswert.</w:t>
            </w:r>
          </w:p>
          <w:p w:rsidR="0032589E" w:rsidRPr="0032589E" w:rsidRDefault="0032589E" w:rsidP="0032589E">
            <w:pPr>
              <w:pStyle w:val="GesAbsatz"/>
              <w:rPr>
                <w:sz w:val="16"/>
                <w:szCs w:val="16"/>
              </w:rPr>
            </w:pPr>
            <w:r w:rsidRPr="0032589E">
              <w:rPr>
                <w:rStyle w:val="Funotenzeichen"/>
                <w:sz w:val="16"/>
                <w:szCs w:val="16"/>
              </w:rPr>
              <w:t>5)</w:t>
            </w:r>
            <w:r w:rsidRPr="0032589E">
              <w:rPr>
                <w:sz w:val="16"/>
                <w:szCs w:val="16"/>
              </w:rPr>
              <w:t xml:space="preserve"> Gegenwärtig können die Grenzwerte nicht als Frachtwerte ausgedrückt werden. Diese Werte werden vom Rat gemäß Artikel 5 Absatz 3 gegebenenfalls festgelegt. Falls der Rat keine Festlegungen trifft, gelten die Frachtgrenzwerte der Spalte „1.1.1986“ weiter.</w:t>
            </w:r>
          </w:p>
          <w:p w:rsidR="0032589E" w:rsidRPr="0032589E" w:rsidRDefault="0032589E" w:rsidP="0032589E">
            <w:pPr>
              <w:pStyle w:val="GesAbsatz"/>
              <w:rPr>
                <w:sz w:val="16"/>
                <w:szCs w:val="16"/>
              </w:rPr>
            </w:pPr>
            <w:r w:rsidRPr="0032589E">
              <w:rPr>
                <w:rStyle w:val="Funotenzeichen"/>
                <w:sz w:val="16"/>
                <w:szCs w:val="16"/>
              </w:rPr>
              <w:t>6)</w:t>
            </w:r>
            <w:r w:rsidRPr="0032589E">
              <w:rPr>
                <w:sz w:val="16"/>
                <w:szCs w:val="16"/>
              </w:rPr>
              <w:t xml:space="preserve"> Die Mitgliedstaaten können die Anwendung der Grenzwerte für Betriebe, die weniger 10 kg Cadmium pro Jahr ableiten und deren galvanische Wannen insgesamt ein Fassungsvermögen von weniger als 1,5 Kubikmeter besitzen, bis zum 1. Januar 1989 </w:t>
            </w:r>
            <w:r w:rsidRPr="0032589E">
              <w:rPr>
                <w:sz w:val="16"/>
                <w:szCs w:val="16"/>
              </w:rPr>
              <w:lastRenderedPageBreak/>
              <w:t>aussetzen, wenn technische oder verwaltungsmäßige Umstände dies zwingend erfordern.</w:t>
            </w:r>
          </w:p>
          <w:p w:rsidR="0032589E" w:rsidRDefault="0032589E" w:rsidP="0032589E">
            <w:pPr>
              <w:spacing w:before="80" w:after="80"/>
              <w:rPr>
                <w:vertAlign w:val="superscript"/>
              </w:rPr>
            </w:pPr>
            <w:proofErr w:type="gramStart"/>
            <w:r w:rsidRPr="0032589E">
              <w:rPr>
                <w:sz w:val="16"/>
                <w:szCs w:val="16"/>
                <w:vertAlign w:val="superscript"/>
              </w:rPr>
              <w:t>7)</w:t>
            </w:r>
            <w:r w:rsidRPr="0032589E">
              <w:rPr>
                <w:sz w:val="16"/>
                <w:szCs w:val="16"/>
              </w:rPr>
              <w:t xml:space="preserve"> Zur Zeit</w:t>
            </w:r>
            <w:proofErr w:type="gramEnd"/>
            <w:r w:rsidRPr="0032589E">
              <w:rPr>
                <w:sz w:val="16"/>
                <w:szCs w:val="16"/>
              </w:rPr>
              <w:t xml:space="preserve"> gibt es keine wirtschaftlich brauchbaren technischen Verfahren, die es ermöglichen, den Ableitungen aus der Herste</w:t>
            </w:r>
            <w:r w:rsidRPr="0032589E">
              <w:rPr>
                <w:sz w:val="16"/>
                <w:szCs w:val="16"/>
              </w:rPr>
              <w:t>l</w:t>
            </w:r>
            <w:r w:rsidRPr="0032589E">
              <w:rPr>
                <w:sz w:val="16"/>
                <w:szCs w:val="16"/>
              </w:rPr>
              <w:t>lung von Phosphorsäure und/oder Phosphatdüngemitteln aus Phosphormineralien systematisch das Cadmium zu entziehen. Für diese Ableitungen wurde folglich kein Grenzwert festgesetzt. Das Fehlen solcher Grenzwerte entbindet die Mitgliedstaaten nicht von ihrer Verpflichtung, nach der Richtlinie 76/464/EWG Emissionsnormen für diese Ableitungen festzusetzen.</w:t>
            </w:r>
          </w:p>
        </w:tc>
      </w:tr>
    </w:tbl>
    <w:p w:rsidR="00A617AA" w:rsidRDefault="00A617AA" w:rsidP="0003038D">
      <w:pPr>
        <w:pStyle w:val="GesAbsatz"/>
      </w:pPr>
    </w:p>
    <w:p w:rsidR="00A617AA" w:rsidRDefault="00A617AA" w:rsidP="0003038D">
      <w:pPr>
        <w:pStyle w:val="GesAbsatz"/>
      </w:pPr>
      <w:r>
        <w:t>2. In der vorstehenden Tabelle sind die in Konzentrationswerten ausgedrückten Grenzwerte für die Indus</w:t>
      </w:r>
      <w:r>
        <w:t>t</w:t>
      </w:r>
      <w:r>
        <w:t>riezweige der Rubriken 2, 3, 4, 5 und 6 angegeben, die grundsätzlich nicht überschritten werden dürfen. Auf keinen Fall dürfen die als Höchstkonzentration ausgedrückten Grenzwerte über den Werten liegen, die sich aus der Division der Höchstmengen durch den Wasserbedarf je Kilogramm verwendetes Cadmium ergeben. Da jedoch die Cadmiumkonzentration in den Abflüssen von der verwendeten Wassermenge abhängt, die sich jeweils nach Verfahren und Industriebetrieb unterscheidet, müssen die in der vorstehenden Tabelle angegebenen Grenzwerte, die als Menge des abgeleiteten Cadmiums im Verhältnis zur Menge des verwe</w:t>
      </w:r>
      <w:r>
        <w:t>n</w:t>
      </w:r>
      <w:r>
        <w:t>deten Cadmiums ausgedrückt sind, in jedem Fall eingehalten werden.</w:t>
      </w:r>
    </w:p>
    <w:p w:rsidR="00A617AA" w:rsidRDefault="00A617AA" w:rsidP="0003038D">
      <w:pPr>
        <w:pStyle w:val="GesAbsatz"/>
      </w:pPr>
      <w:r>
        <w:t>3. Die Grenzwerte als tägliche Durchschnittswerte betragen das Doppelte der in der Tabelle angegebenen entsprechenden Grenzwerte als monatliche Durchschnittswerte.</w:t>
      </w:r>
    </w:p>
    <w:p w:rsidR="00A617AA" w:rsidRDefault="00A617AA" w:rsidP="0003038D">
      <w:pPr>
        <w:pStyle w:val="GesAbsatz"/>
      </w:pPr>
      <w:r>
        <w:t>4. Um zu überprüfen, ob die Ableitungen den Emissionsnormen genügen, die entsprechend den in diesem Anhang festgelegten Grenzwerten festgesetzt wurden, muß ein Kontrollverfahren eingeführt werden.</w:t>
      </w:r>
    </w:p>
    <w:p w:rsidR="00A617AA" w:rsidRDefault="00A617AA" w:rsidP="0003038D">
      <w:pPr>
        <w:pStyle w:val="GesAbsatz"/>
      </w:pPr>
      <w:r>
        <w:t>Dieses Kontrollverfahren muß die Entnahme und die Analyse von Proben, die Messung des Abflusses und der Menge des verwendeten Cadmiums vorsehen.</w:t>
      </w:r>
    </w:p>
    <w:p w:rsidR="00A617AA" w:rsidRDefault="00A617AA" w:rsidP="0003038D">
      <w:pPr>
        <w:pStyle w:val="GesAbsatz"/>
      </w:pPr>
      <w:r>
        <w:t>Läßt sich die Menge des verwendeten Cadmiums nicht ermitteln, so kann beim Kontrollverfahren von der Cadmiummenge ausgegangen werden, die nach der Produktionskapazität, die der Genehmigung zugrunde liegt, verwendet werden kann.</w:t>
      </w:r>
    </w:p>
    <w:p w:rsidR="00A617AA" w:rsidRDefault="00A617AA" w:rsidP="0003038D">
      <w:pPr>
        <w:pStyle w:val="GesAbsatz"/>
      </w:pPr>
      <w:r>
        <w:t xml:space="preserve">5. Es wird eine repräsentative Probe der Abflüsse innerhalb von 24 Stunden entnommen. Die während </w:t>
      </w:r>
      <w:r w:rsidR="00B65129">
        <w:t>eines</w:t>
      </w:r>
      <w:r>
        <w:t xml:space="preserve"> Monats abgeleitete Cadmiummenge wird auf der Grundlage der täglich abgeleiteten Cadmiummenge b</w:t>
      </w:r>
      <w:r>
        <w:t>e</w:t>
      </w:r>
      <w:r>
        <w:t>rechnet.</w:t>
      </w:r>
    </w:p>
    <w:p w:rsidR="00A617AA" w:rsidRDefault="00A617AA" w:rsidP="0003038D">
      <w:pPr>
        <w:pStyle w:val="GesAbsatz"/>
      </w:pPr>
      <w:r>
        <w:t>Ein vereinfachtes Kontrollverfahren kann jedoch für Industriebetriebe eingeführt werden, die jährlich nicht mehr als zehn Kilogramm Cadmium ableiten. Für Galvanotechnik-Betriebe kann nur dann ein vereinfachtes Kontrollverfahren eingeführt werden, wenn die galvanischen Wannen insgesamt ein Fassungsvermögen von weniger als 1,5 Kubikmeter besitzen.</w:t>
      </w:r>
    </w:p>
    <w:p w:rsidR="00A617AA" w:rsidRDefault="00A617AA" w:rsidP="0032589E">
      <w:pPr>
        <w:pStyle w:val="berschrift2"/>
        <w:jc w:val="left"/>
      </w:pPr>
      <w:bookmarkStart w:id="11" w:name="_Toc219173734"/>
      <w:r>
        <w:t>Anhang II: Qualitätsziele</w:t>
      </w:r>
      <w:r w:rsidR="003D4AC5">
        <w:t xml:space="preserve"> (gestrichen)</w:t>
      </w:r>
      <w:bookmarkEnd w:id="11"/>
    </w:p>
    <w:p w:rsidR="00A617AA" w:rsidRDefault="00A617AA" w:rsidP="0032589E">
      <w:pPr>
        <w:pStyle w:val="berschrift2"/>
        <w:jc w:val="left"/>
      </w:pPr>
      <w:bookmarkStart w:id="12" w:name="_Toc219173735"/>
      <w:r>
        <w:t xml:space="preserve">Anhang III: </w:t>
      </w:r>
      <w:proofErr w:type="spellStart"/>
      <w:r>
        <w:t>Referenzmeßverfahren</w:t>
      </w:r>
      <w:bookmarkEnd w:id="12"/>
      <w:proofErr w:type="spellEnd"/>
    </w:p>
    <w:p w:rsidR="00A617AA" w:rsidRDefault="00A617AA">
      <w:pPr>
        <w:pStyle w:val="GesAbsatz"/>
        <w:ind w:left="426" w:hanging="426"/>
      </w:pPr>
      <w:r>
        <w:t>1.</w:t>
      </w:r>
      <w:r>
        <w:tab/>
        <w:t>Die Referenzanalysemethode zur Ermittlung des Cadmiumgehalts im Wasser, in Sedimenten und in Mollusken und Schalentieren ist die Atomabsorptionsspektrophotometrie nach Konservierung und en</w:t>
      </w:r>
      <w:r>
        <w:t>t</w:t>
      </w:r>
      <w:r>
        <w:t>sprechender Behandlung der Probe.</w:t>
      </w:r>
    </w:p>
    <w:p w:rsidR="00A617AA" w:rsidRDefault="00A617AA">
      <w:pPr>
        <w:pStyle w:val="GesAbsatz"/>
        <w:ind w:left="426" w:hanging="426"/>
      </w:pPr>
      <w:r>
        <w:tab/>
        <w:t>Es muß eine Erfassung</w:t>
      </w:r>
      <w:r w:rsidR="00B65129">
        <w:t>sgrenze</w:t>
      </w:r>
      <w:r w:rsidR="000E74B5">
        <w:rPr>
          <w:rStyle w:val="Funotenzeichen"/>
        </w:rPr>
        <w:footnoteReference w:id="7"/>
      </w:r>
      <w:r>
        <w:t xml:space="preserve"> eingehalten werden, bei der die Cadmiumkonzentration mit einer Ric</w:t>
      </w:r>
      <w:r>
        <w:t>h</w:t>
      </w:r>
      <w:r>
        <w:t>tigkeit</w:t>
      </w:r>
      <w:r>
        <w:rPr>
          <w:vertAlign w:val="superscript"/>
        </w:rPr>
        <w:t>(1</w:t>
      </w:r>
      <w:r w:rsidR="000E74B5">
        <w:rPr>
          <w:vertAlign w:val="superscript"/>
        </w:rPr>
        <w:t>0</w:t>
      </w:r>
      <w:r>
        <w:rPr>
          <w:vertAlign w:val="superscript"/>
        </w:rPr>
        <w:t>)</w:t>
      </w:r>
      <w:r>
        <w:t xml:space="preserve"> von </w:t>
      </w:r>
      <w:r>
        <w:sym w:font="Symbol" w:char="F0B1"/>
      </w:r>
      <w:r>
        <w:t xml:space="preserve"> 30 % und einer Genauigkeit</w:t>
      </w:r>
      <w:r>
        <w:rPr>
          <w:vertAlign w:val="superscript"/>
        </w:rPr>
        <w:t>(1</w:t>
      </w:r>
      <w:r w:rsidR="000E74B5">
        <w:rPr>
          <w:vertAlign w:val="superscript"/>
        </w:rPr>
        <w:t>0</w:t>
      </w:r>
      <w:r>
        <w:rPr>
          <w:vertAlign w:val="superscript"/>
        </w:rPr>
        <w:t>)</w:t>
      </w:r>
      <w:r>
        <w:t xml:space="preserve"> von </w:t>
      </w:r>
      <w:r>
        <w:sym w:font="Symbol" w:char="F0B1"/>
      </w:r>
      <w:r>
        <w:t xml:space="preserve"> 30 % bei folgenden Konzentrationen ermittelt we</w:t>
      </w:r>
      <w:r>
        <w:t>r</w:t>
      </w:r>
      <w:r>
        <w:t>den kann:</w:t>
      </w:r>
    </w:p>
    <w:p w:rsidR="00A617AA" w:rsidRDefault="00A617AA">
      <w:pPr>
        <w:pStyle w:val="GesAbsatz"/>
        <w:tabs>
          <w:tab w:val="clear" w:pos="425"/>
          <w:tab w:val="left" w:pos="426"/>
        </w:tabs>
        <w:ind w:left="709" w:hanging="709"/>
      </w:pPr>
      <w:r>
        <w:tab/>
        <w:t>-</w:t>
      </w:r>
      <w:r>
        <w:tab/>
        <w:t>im Falle von abgeleitetem Abwasser ein Zehntel der in der Genehmigung angegebenen zulässigen Höchstkonzentration von Cadmium;</w:t>
      </w:r>
    </w:p>
    <w:p w:rsidR="00A617AA" w:rsidRDefault="00A617AA">
      <w:pPr>
        <w:pStyle w:val="GesAbsatz"/>
        <w:tabs>
          <w:tab w:val="clear" w:pos="425"/>
          <w:tab w:val="left" w:pos="426"/>
        </w:tabs>
        <w:ind w:left="709" w:hanging="709"/>
      </w:pPr>
      <w:r>
        <w:tab/>
        <w:t>-</w:t>
      </w:r>
      <w:r>
        <w:tab/>
        <w:t>im Falle von Oberflächenwasser 0,1 µg/l oder ein Zehntel der in dem Qualitätsziel angegebenen Cadmiumkonzentration, wobei der höhere Wert gilt;</w:t>
      </w:r>
    </w:p>
    <w:p w:rsidR="00A617AA" w:rsidRDefault="00A617AA">
      <w:pPr>
        <w:pStyle w:val="GesAbsatz"/>
        <w:tabs>
          <w:tab w:val="clear" w:pos="425"/>
          <w:tab w:val="left" w:pos="426"/>
        </w:tabs>
        <w:ind w:left="709" w:hanging="709"/>
      </w:pPr>
      <w:r>
        <w:tab/>
        <w:t>-</w:t>
      </w:r>
      <w:r>
        <w:tab/>
        <w:t>im Falle von Mollusken und Schalentieren 0,1 mg/kg Naßgewicht;</w:t>
      </w:r>
    </w:p>
    <w:p w:rsidR="00A617AA" w:rsidRDefault="00A617AA">
      <w:pPr>
        <w:pStyle w:val="GesAbsatz"/>
        <w:tabs>
          <w:tab w:val="clear" w:pos="425"/>
          <w:tab w:val="left" w:pos="426"/>
        </w:tabs>
        <w:ind w:left="709" w:hanging="709"/>
      </w:pPr>
      <w:r>
        <w:tab/>
        <w:t>-</w:t>
      </w:r>
      <w:r>
        <w:tab/>
      </w:r>
      <w:r w:rsidR="00116678">
        <w:t>i</w:t>
      </w:r>
      <w:r>
        <w:t>m Falle von Sedimenten ein Zehntel der Cadmiumkonzentration der Probe oder 0,1 mg/kg Trocke</w:t>
      </w:r>
      <w:r>
        <w:t>n</w:t>
      </w:r>
      <w:r>
        <w:t>gewicht bei Trocknung bei 105° C bis 110° C und konstantem Gewicht, wobei der höhere Wert gilt.</w:t>
      </w:r>
    </w:p>
    <w:p w:rsidR="00A617AA" w:rsidRDefault="00A617AA">
      <w:pPr>
        <w:pStyle w:val="GesAbsatz"/>
        <w:tabs>
          <w:tab w:val="clear" w:pos="425"/>
          <w:tab w:val="left" w:pos="426"/>
        </w:tabs>
        <w:ind w:left="426" w:hanging="426"/>
      </w:pPr>
      <w:r>
        <w:t>2.</w:t>
      </w:r>
      <w:r>
        <w:tab/>
        <w:t xml:space="preserve">Für die Messung des Abflusses ist eine Genauigkeit von </w:t>
      </w:r>
      <w:r>
        <w:sym w:font="Symbol" w:char="F0B1"/>
      </w:r>
      <w:r>
        <w:t xml:space="preserve"> 20 % vorgeschrieben.</w:t>
      </w:r>
    </w:p>
    <w:p w:rsidR="00A617AA" w:rsidRDefault="00A617AA" w:rsidP="0032589E">
      <w:pPr>
        <w:pStyle w:val="berschrift2"/>
        <w:jc w:val="left"/>
      </w:pPr>
      <w:bookmarkStart w:id="13" w:name="_Toc219173736"/>
      <w:r>
        <w:lastRenderedPageBreak/>
        <w:t>Anhang IV: Überwachungsverfahren für die Qualitätsziele</w:t>
      </w:r>
      <w:bookmarkEnd w:id="13"/>
    </w:p>
    <w:p w:rsidR="00A617AA" w:rsidRDefault="00A617AA">
      <w:pPr>
        <w:pStyle w:val="GesAbsatz"/>
        <w:ind w:left="426" w:hanging="426"/>
      </w:pPr>
      <w:r>
        <w:t>1.</w:t>
      </w:r>
      <w:r>
        <w:tab/>
        <w:t>Für jede Genehmigung, die in Anwendung dieser Richtlinie erteilt wird, bestimmt die zuständige Behö</w:t>
      </w:r>
      <w:r>
        <w:t>r</w:t>
      </w:r>
      <w:r>
        <w:t>de die Vorschriften, Überwachungsmodalitäten und Fristen, um die Einhaltung des betreffenden Qual</w:t>
      </w:r>
      <w:r>
        <w:t>i</w:t>
      </w:r>
      <w:r>
        <w:t>tät</w:t>
      </w:r>
      <w:r>
        <w:t>s</w:t>
      </w:r>
      <w:r>
        <w:t>ziels oder der betreffenden Qualitätsziele sicherzustellen.</w:t>
      </w:r>
    </w:p>
    <w:p w:rsidR="00A617AA" w:rsidRDefault="00A617AA">
      <w:pPr>
        <w:pStyle w:val="GesAbsatz"/>
        <w:ind w:left="426" w:hanging="426"/>
      </w:pPr>
      <w:r>
        <w:t>2.</w:t>
      </w:r>
      <w:r>
        <w:tab/>
        <w:t>In Übereinstimmung mit Artikel 6 Absatz 3 der Richtlinie 76/464/EWG unterrichtet der Mitgliedstaat die Kommission bei jedem ausgewählten und angewandten Qualitätsziel über:</w:t>
      </w:r>
    </w:p>
    <w:p w:rsidR="00A617AA" w:rsidRDefault="00A617AA">
      <w:pPr>
        <w:pStyle w:val="GesAbsatz"/>
        <w:tabs>
          <w:tab w:val="clear" w:pos="425"/>
          <w:tab w:val="left" w:pos="709"/>
        </w:tabs>
        <w:ind w:left="426" w:hanging="426"/>
      </w:pPr>
      <w:r>
        <w:tab/>
        <w:t>-</w:t>
      </w:r>
      <w:r>
        <w:tab/>
        <w:t>die Einleitungsstellen und Dispersionsvorrichtungen;</w:t>
      </w:r>
    </w:p>
    <w:p w:rsidR="00A617AA" w:rsidRDefault="00A617AA">
      <w:pPr>
        <w:pStyle w:val="GesAbsatz"/>
        <w:tabs>
          <w:tab w:val="clear" w:pos="425"/>
          <w:tab w:val="left" w:pos="709"/>
        </w:tabs>
        <w:ind w:left="426" w:hanging="426"/>
      </w:pPr>
      <w:r>
        <w:tab/>
        <w:t>-</w:t>
      </w:r>
      <w:r>
        <w:tab/>
        <w:t>das Gebiet, in welchem das Qualitätsziel angewandt wird;</w:t>
      </w:r>
    </w:p>
    <w:p w:rsidR="00A617AA" w:rsidRDefault="00A617AA">
      <w:pPr>
        <w:pStyle w:val="GesAbsatz"/>
        <w:tabs>
          <w:tab w:val="clear" w:pos="425"/>
          <w:tab w:val="left" w:pos="709"/>
        </w:tabs>
        <w:ind w:left="426" w:hanging="426"/>
      </w:pPr>
      <w:r>
        <w:tab/>
        <w:t>-</w:t>
      </w:r>
      <w:r>
        <w:tab/>
        <w:t>die Orte der Probenahme;</w:t>
      </w:r>
    </w:p>
    <w:p w:rsidR="00A617AA" w:rsidRDefault="00A617AA">
      <w:pPr>
        <w:pStyle w:val="GesAbsatz"/>
        <w:tabs>
          <w:tab w:val="clear" w:pos="425"/>
          <w:tab w:val="left" w:pos="709"/>
        </w:tabs>
        <w:ind w:left="426" w:hanging="426"/>
      </w:pPr>
      <w:r>
        <w:tab/>
        <w:t>-</w:t>
      </w:r>
      <w:r>
        <w:tab/>
        <w:t>die Häufigkeit der Probenahme;</w:t>
      </w:r>
    </w:p>
    <w:p w:rsidR="00A617AA" w:rsidRDefault="00A617AA">
      <w:pPr>
        <w:pStyle w:val="GesAbsatz"/>
        <w:tabs>
          <w:tab w:val="clear" w:pos="425"/>
          <w:tab w:val="left" w:pos="709"/>
        </w:tabs>
        <w:ind w:left="426" w:hanging="426"/>
      </w:pPr>
      <w:r>
        <w:tab/>
        <w:t>-</w:t>
      </w:r>
      <w:r>
        <w:tab/>
      </w:r>
      <w:r w:rsidR="00116678">
        <w:t>d</w:t>
      </w:r>
      <w:r>
        <w:t>ie Probenahme- und Meßmethode;</w:t>
      </w:r>
    </w:p>
    <w:p w:rsidR="00A617AA" w:rsidRDefault="00A617AA">
      <w:pPr>
        <w:pStyle w:val="GesAbsatz"/>
        <w:tabs>
          <w:tab w:val="clear" w:pos="425"/>
          <w:tab w:val="left" w:pos="709"/>
        </w:tabs>
        <w:ind w:left="426" w:hanging="426"/>
      </w:pPr>
      <w:r>
        <w:tab/>
        <w:t>-</w:t>
      </w:r>
      <w:r>
        <w:tab/>
        <w:t>die Ergebnisse.</w:t>
      </w:r>
    </w:p>
    <w:p w:rsidR="00A617AA" w:rsidRDefault="00A617AA">
      <w:pPr>
        <w:pStyle w:val="GesAbsatz"/>
        <w:tabs>
          <w:tab w:val="clear" w:pos="425"/>
          <w:tab w:val="left" w:pos="709"/>
        </w:tabs>
        <w:ind w:left="426" w:hanging="426"/>
      </w:pPr>
      <w:r>
        <w:t>3.</w:t>
      </w:r>
      <w:r>
        <w:tab/>
        <w:t>Die Proben mü</w:t>
      </w:r>
      <w:r w:rsidR="0032589E">
        <w:t>ss</w:t>
      </w:r>
      <w:r>
        <w:t>en ausreichend repräsentativ für die Qualität der Gewässer in dem durch die Einle</w:t>
      </w:r>
      <w:r>
        <w:t>i</w:t>
      </w:r>
      <w:r>
        <w:t>tung betroffenen Gebiet sein, und die Probenahmehäufigkeit muß genügend hoch sein, um etwaige Ä</w:t>
      </w:r>
      <w:r>
        <w:t>n</w:t>
      </w:r>
      <w:r>
        <w:t>derungen des Zustandes der Gewässer aufzeigen zu können, insbesondere unter Berücksichtigung der natür</w:t>
      </w:r>
      <w:r>
        <w:softHyphen/>
        <w:t>lichen Veränderungen des Wasserhaushalts.</w:t>
      </w:r>
    </w:p>
    <w:sectPr w:rsidR="00A617AA">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8D" w:rsidRDefault="00035E8D">
      <w:r>
        <w:separator/>
      </w:r>
    </w:p>
  </w:endnote>
  <w:endnote w:type="continuationSeparator" w:id="0">
    <w:p w:rsidR="00035E8D" w:rsidRDefault="0003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06" w:rsidRDefault="000E2A06">
    <w:pPr>
      <w:framePr w:wrap="around" w:vAnchor="text" w:hAnchor="margin" w:xAlign="right" w:y="1"/>
    </w:pPr>
    <w:r>
      <w:fldChar w:fldCharType="begin"/>
    </w:r>
    <w:r>
      <w:instrText xml:space="preserve">PAGE  </w:instrText>
    </w:r>
    <w:r>
      <w:fldChar w:fldCharType="end"/>
    </w:r>
  </w:p>
  <w:p w:rsidR="000E2A06" w:rsidRDefault="000E2A0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06" w:rsidRPr="0003038D" w:rsidRDefault="000E2A06" w:rsidP="0003038D">
    <w:pPr>
      <w:pStyle w:val="Fuzeile"/>
    </w:pPr>
    <w:r>
      <w:tab/>
      <w:t>26.09.1983 (ABl. L 291 v. 24.</w:t>
    </w:r>
    <w:r w:rsidRPr="0003038D">
      <w:t>10.1983 S. 1)</w:t>
    </w:r>
    <w:r w:rsidRPr="0003038D">
      <w:tab/>
      <w:t xml:space="preserve">Seite </w:t>
    </w:r>
    <w:r w:rsidRPr="0003038D">
      <w:fldChar w:fldCharType="begin"/>
    </w:r>
    <w:r w:rsidRPr="0003038D">
      <w:instrText xml:space="preserve"> PAGE  \* MERGEFORMAT </w:instrText>
    </w:r>
    <w:r w:rsidRPr="0003038D">
      <w:fldChar w:fldCharType="separate"/>
    </w:r>
    <w:r w:rsidR="0011240D">
      <w:rPr>
        <w:noProof/>
      </w:rPr>
      <w:t>7</w:t>
    </w:r>
    <w:r w:rsidRPr="0003038D">
      <w:fldChar w:fldCharType="end"/>
    </w:r>
  </w:p>
  <w:p w:rsidR="000E2A06" w:rsidRPr="0003038D" w:rsidRDefault="000E2A06" w:rsidP="0003038D">
    <w:pPr>
      <w:pStyle w:val="Fuzeile"/>
      <w:rPr>
        <w:lang w:val="en-US"/>
      </w:rPr>
    </w:pPr>
    <w:r w:rsidRPr="0003038D">
      <w:tab/>
      <w:t>Stand 16.12.2008 (ABl. L 348 v. 24.12</w:t>
    </w:r>
    <w:r w:rsidRPr="0003038D">
      <w:rPr>
        <w:lang w:val="en-US"/>
      </w:rPr>
      <w:t>.2008 S. 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8D" w:rsidRDefault="00035E8D">
      <w:r>
        <w:separator/>
      </w:r>
    </w:p>
  </w:footnote>
  <w:footnote w:type="continuationSeparator" w:id="0">
    <w:p w:rsidR="00035E8D" w:rsidRDefault="00035E8D">
      <w:r>
        <w:continuationSeparator/>
      </w:r>
    </w:p>
  </w:footnote>
  <w:footnote w:id="1">
    <w:p w:rsidR="000E2A06" w:rsidRPr="00F75192" w:rsidRDefault="000E2A06" w:rsidP="00F75192">
      <w:pPr>
        <w:pStyle w:val="Funotentext"/>
        <w:rPr>
          <w:szCs w:val="16"/>
        </w:rPr>
      </w:pPr>
      <w:r w:rsidRPr="00F75192">
        <w:rPr>
          <w:rStyle w:val="Funotenzeichen"/>
          <w:szCs w:val="16"/>
        </w:rPr>
        <w:footnoteRef/>
      </w:r>
      <w:r w:rsidRPr="00F75192">
        <w:rPr>
          <w:szCs w:val="16"/>
        </w:rPr>
        <w:t xml:space="preserve"> ABl. Nr. L 129 vom 18.5.1976, S. 23</w:t>
      </w:r>
    </w:p>
  </w:footnote>
  <w:footnote w:id="2">
    <w:p w:rsidR="000E2A06" w:rsidRPr="00F75192" w:rsidRDefault="000E2A06" w:rsidP="00F75192">
      <w:pPr>
        <w:pStyle w:val="Funotentext"/>
        <w:rPr>
          <w:szCs w:val="16"/>
        </w:rPr>
      </w:pPr>
      <w:r w:rsidRPr="00F75192">
        <w:rPr>
          <w:rStyle w:val="Funotenzeichen"/>
          <w:szCs w:val="16"/>
        </w:rPr>
        <w:footnoteRef/>
      </w:r>
      <w:r w:rsidRPr="00F75192">
        <w:rPr>
          <w:szCs w:val="16"/>
        </w:rPr>
        <w:t xml:space="preserve"> ABl. Nr. C 118 vom 21.5.1981, S. 3</w:t>
      </w:r>
    </w:p>
  </w:footnote>
  <w:footnote w:id="3">
    <w:p w:rsidR="000E2A06" w:rsidRPr="00F75192" w:rsidRDefault="000E2A06" w:rsidP="00F75192">
      <w:pPr>
        <w:pStyle w:val="Funotentext"/>
        <w:rPr>
          <w:szCs w:val="16"/>
        </w:rPr>
      </w:pPr>
      <w:r w:rsidRPr="00F75192">
        <w:rPr>
          <w:rStyle w:val="Funotenzeichen"/>
          <w:szCs w:val="16"/>
        </w:rPr>
        <w:footnoteRef/>
      </w:r>
      <w:r w:rsidRPr="00F75192">
        <w:rPr>
          <w:szCs w:val="16"/>
        </w:rPr>
        <w:t xml:space="preserve"> ABl. Nr. C 334 vom 20.12.1982, S. 138</w:t>
      </w:r>
    </w:p>
  </w:footnote>
  <w:footnote w:id="4">
    <w:p w:rsidR="000E2A06" w:rsidRPr="00F75192" w:rsidRDefault="000E2A06" w:rsidP="00F75192">
      <w:pPr>
        <w:pStyle w:val="Funotentext"/>
        <w:rPr>
          <w:szCs w:val="16"/>
        </w:rPr>
      </w:pPr>
      <w:r w:rsidRPr="00F75192">
        <w:rPr>
          <w:rStyle w:val="Funotenzeichen"/>
          <w:szCs w:val="16"/>
        </w:rPr>
        <w:footnoteRef/>
      </w:r>
      <w:r w:rsidRPr="00F75192">
        <w:rPr>
          <w:szCs w:val="16"/>
        </w:rPr>
        <w:t xml:space="preserve"> ABl. Nr. C 230 vom 10.9.1981, S. 22</w:t>
      </w:r>
    </w:p>
  </w:footnote>
  <w:footnote w:id="5">
    <w:p w:rsidR="000E2A06" w:rsidRPr="00F75192" w:rsidRDefault="000E2A06" w:rsidP="00F75192">
      <w:pPr>
        <w:pStyle w:val="Funotentext"/>
        <w:rPr>
          <w:szCs w:val="16"/>
        </w:rPr>
      </w:pPr>
      <w:r w:rsidRPr="00F75192">
        <w:rPr>
          <w:rStyle w:val="Funotenzeichen"/>
          <w:szCs w:val="16"/>
        </w:rPr>
        <w:footnoteRef/>
      </w:r>
      <w:r w:rsidRPr="00F75192">
        <w:rPr>
          <w:szCs w:val="16"/>
        </w:rPr>
        <w:t xml:space="preserve"> ABl. Nr. L 20 vom 26.1.1980, S. 43.</w:t>
      </w:r>
    </w:p>
  </w:footnote>
  <w:footnote w:id="6">
    <w:p w:rsidR="000E2A06" w:rsidRPr="00F75192" w:rsidRDefault="000E2A06" w:rsidP="00655741">
      <w:pPr>
        <w:pStyle w:val="Funotentext"/>
        <w:rPr>
          <w:szCs w:val="16"/>
        </w:rPr>
      </w:pPr>
      <w:r w:rsidRPr="00F75192">
        <w:rPr>
          <w:rStyle w:val="Funotenzeichen"/>
          <w:szCs w:val="16"/>
        </w:rPr>
        <w:footnoteRef/>
      </w:r>
      <w:r w:rsidRPr="00F75192">
        <w:rPr>
          <w:szCs w:val="16"/>
        </w:rPr>
        <w:t xml:space="preserve"> ABl. EG L 377 v. 31.12.1991 S. 48.</w:t>
      </w:r>
    </w:p>
  </w:footnote>
  <w:footnote w:id="7">
    <w:p w:rsidR="000E2A06" w:rsidRPr="000E74B5" w:rsidRDefault="000E2A06">
      <w:pPr>
        <w:pStyle w:val="Funotentext"/>
        <w:rPr>
          <w:szCs w:val="16"/>
        </w:rPr>
      </w:pPr>
      <w:r w:rsidRPr="000E74B5">
        <w:rPr>
          <w:rStyle w:val="Funotenzeichen"/>
          <w:szCs w:val="16"/>
        </w:rPr>
        <w:footnoteRef/>
      </w:r>
      <w:r w:rsidRPr="000E74B5">
        <w:rPr>
          <w:szCs w:val="16"/>
        </w:rPr>
        <w:t xml:space="preserve"> Die Definitionen dieser Ausdrücke entsprechen denen der Richtlinie 79/869/EWG des Rates vom 9. Oktober 1979 über die Meßm</w:t>
      </w:r>
      <w:r w:rsidRPr="000E74B5">
        <w:rPr>
          <w:szCs w:val="16"/>
        </w:rPr>
        <w:t>e</w:t>
      </w:r>
      <w:r w:rsidRPr="000E74B5">
        <w:rPr>
          <w:szCs w:val="16"/>
        </w:rPr>
        <w:t>thoden sowie über die Häufigkeit der Probenahme und der Analysen des Oberflächenwassers für die Trinkwassergewinnung in den Mitgliedstaaten (ABl. Nr. L 271 vom 29.10.1979. S.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06" w:rsidRDefault="003A2E2B" w:rsidP="0003038D">
    <w:pPr>
      <w:pStyle w:val="Kopfzeile0"/>
    </w:pPr>
    <w:r>
      <w:t>Archiv7.53</w:t>
    </w:r>
  </w:p>
  <w:p w:rsidR="000E2A06" w:rsidRDefault="000E2A06">
    <w:pPr>
      <w:pStyle w:val="Kopfzeile"/>
    </w:pPr>
    <w:r>
      <w:t>83/513/EWG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D8CEA0"/>
    <w:lvl w:ilvl="0">
      <w:start w:val="1"/>
      <w:numFmt w:val="decimal"/>
      <w:lvlText w:val="%1."/>
      <w:lvlJc w:val="left"/>
      <w:pPr>
        <w:tabs>
          <w:tab w:val="num" w:pos="1492"/>
        </w:tabs>
        <w:ind w:left="1492" w:hanging="360"/>
      </w:pPr>
    </w:lvl>
  </w:abstractNum>
  <w:abstractNum w:abstractNumId="1">
    <w:nsid w:val="FFFFFF7D"/>
    <w:multiLevelType w:val="singleLevel"/>
    <w:tmpl w:val="BE068C2C"/>
    <w:lvl w:ilvl="0">
      <w:start w:val="1"/>
      <w:numFmt w:val="decimal"/>
      <w:lvlText w:val="%1."/>
      <w:lvlJc w:val="left"/>
      <w:pPr>
        <w:tabs>
          <w:tab w:val="num" w:pos="1209"/>
        </w:tabs>
        <w:ind w:left="1209" w:hanging="360"/>
      </w:pPr>
    </w:lvl>
  </w:abstractNum>
  <w:abstractNum w:abstractNumId="2">
    <w:nsid w:val="FFFFFF7E"/>
    <w:multiLevelType w:val="singleLevel"/>
    <w:tmpl w:val="501CBD96"/>
    <w:lvl w:ilvl="0">
      <w:start w:val="1"/>
      <w:numFmt w:val="decimal"/>
      <w:lvlText w:val="%1."/>
      <w:lvlJc w:val="left"/>
      <w:pPr>
        <w:tabs>
          <w:tab w:val="num" w:pos="926"/>
        </w:tabs>
        <w:ind w:left="926" w:hanging="360"/>
      </w:pPr>
    </w:lvl>
  </w:abstractNum>
  <w:abstractNum w:abstractNumId="3">
    <w:nsid w:val="FFFFFF7F"/>
    <w:multiLevelType w:val="singleLevel"/>
    <w:tmpl w:val="B838DDD8"/>
    <w:lvl w:ilvl="0">
      <w:start w:val="1"/>
      <w:numFmt w:val="decimal"/>
      <w:lvlText w:val="%1."/>
      <w:lvlJc w:val="left"/>
      <w:pPr>
        <w:tabs>
          <w:tab w:val="num" w:pos="643"/>
        </w:tabs>
        <w:ind w:left="643" w:hanging="360"/>
      </w:pPr>
    </w:lvl>
  </w:abstractNum>
  <w:abstractNum w:abstractNumId="4">
    <w:nsid w:val="FFFFFF80"/>
    <w:multiLevelType w:val="singleLevel"/>
    <w:tmpl w:val="6D4201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FC19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DE6D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FC28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BEA7F4"/>
    <w:lvl w:ilvl="0">
      <w:start w:val="1"/>
      <w:numFmt w:val="decimal"/>
      <w:lvlText w:val="%1."/>
      <w:lvlJc w:val="left"/>
      <w:pPr>
        <w:tabs>
          <w:tab w:val="num" w:pos="360"/>
        </w:tabs>
        <w:ind w:left="360" w:hanging="360"/>
      </w:pPr>
    </w:lvl>
  </w:abstractNum>
  <w:abstractNum w:abstractNumId="9">
    <w:nsid w:val="FFFFFF89"/>
    <w:multiLevelType w:val="singleLevel"/>
    <w:tmpl w:val="995018D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9E"/>
    <w:rsid w:val="0003038D"/>
    <w:rsid w:val="00035E8D"/>
    <w:rsid w:val="000D418A"/>
    <w:rsid w:val="000E2A06"/>
    <w:rsid w:val="000E74B5"/>
    <w:rsid w:val="0011240D"/>
    <w:rsid w:val="00116678"/>
    <w:rsid w:val="00177163"/>
    <w:rsid w:val="00207340"/>
    <w:rsid w:val="002A0A63"/>
    <w:rsid w:val="0032589E"/>
    <w:rsid w:val="00327F7D"/>
    <w:rsid w:val="003A2E2B"/>
    <w:rsid w:val="003D4AC5"/>
    <w:rsid w:val="004A48A1"/>
    <w:rsid w:val="004E0573"/>
    <w:rsid w:val="0054508F"/>
    <w:rsid w:val="00655741"/>
    <w:rsid w:val="006D22A0"/>
    <w:rsid w:val="007B72BC"/>
    <w:rsid w:val="00887DC3"/>
    <w:rsid w:val="009E6F4D"/>
    <w:rsid w:val="00A617AA"/>
    <w:rsid w:val="00AF3666"/>
    <w:rsid w:val="00B65129"/>
    <w:rsid w:val="00C43621"/>
    <w:rsid w:val="00D0431E"/>
    <w:rsid w:val="00D45B2D"/>
    <w:rsid w:val="00DB14FE"/>
    <w:rsid w:val="00DF22C0"/>
    <w:rsid w:val="00E10C63"/>
    <w:rsid w:val="00E912A5"/>
    <w:rsid w:val="00E927AD"/>
    <w:rsid w:val="00EC6C94"/>
    <w:rsid w:val="00F10AC9"/>
    <w:rsid w:val="00F149A4"/>
    <w:rsid w:val="00F75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3038D"/>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3038D"/>
    <w:pPr>
      <w:keepNext/>
      <w:spacing w:after="120"/>
      <w:jc w:val="center"/>
      <w:outlineLvl w:val="0"/>
    </w:pPr>
    <w:rPr>
      <w:b/>
      <w:kern w:val="28"/>
      <w:sz w:val="28"/>
    </w:rPr>
  </w:style>
  <w:style w:type="paragraph" w:styleId="berschrift2">
    <w:name w:val="heading 2"/>
    <w:basedOn w:val="Standard"/>
    <w:next w:val="GesAbsatz"/>
    <w:qFormat/>
    <w:rsid w:val="0003038D"/>
    <w:pPr>
      <w:keepNext/>
      <w:spacing w:before="240"/>
      <w:jc w:val="center"/>
      <w:outlineLvl w:val="1"/>
    </w:pPr>
    <w:rPr>
      <w:b/>
      <w:sz w:val="24"/>
    </w:rPr>
  </w:style>
  <w:style w:type="paragraph" w:styleId="berschrift3">
    <w:name w:val="heading 3"/>
    <w:basedOn w:val="Standard"/>
    <w:next w:val="GesAbsatz"/>
    <w:qFormat/>
    <w:rsid w:val="0003038D"/>
    <w:pPr>
      <w:keepNext/>
      <w:spacing w:before="240" w:after="180"/>
      <w:jc w:val="center"/>
      <w:outlineLvl w:val="2"/>
    </w:pPr>
    <w:rPr>
      <w:b/>
    </w:rPr>
  </w:style>
  <w:style w:type="paragraph" w:styleId="berschrift4">
    <w:name w:val="heading 4"/>
    <w:basedOn w:val="Standard"/>
    <w:next w:val="Standard"/>
    <w:rsid w:val="0003038D"/>
    <w:pPr>
      <w:keepNext/>
      <w:spacing w:before="240"/>
      <w:outlineLvl w:val="3"/>
    </w:pPr>
  </w:style>
  <w:style w:type="paragraph" w:styleId="berschrift5">
    <w:name w:val="heading 5"/>
    <w:basedOn w:val="Standard"/>
    <w:next w:val="Standard"/>
    <w:rsid w:val="0003038D"/>
    <w:pPr>
      <w:spacing w:before="120"/>
      <w:ind w:left="709" w:hanging="709"/>
      <w:outlineLvl w:val="4"/>
    </w:pPr>
  </w:style>
  <w:style w:type="character" w:default="1" w:styleId="Absatz-Standardschriftart">
    <w:name w:val="Default Paragraph Font"/>
    <w:uiPriority w:val="1"/>
    <w:semiHidden/>
    <w:unhideWhenUsed/>
    <w:rsid w:val="0003038D"/>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03038D"/>
  </w:style>
  <w:style w:type="paragraph" w:styleId="Kopfzeile">
    <w:name w:val="header"/>
    <w:basedOn w:val="Standard"/>
    <w:qFormat/>
    <w:rsid w:val="0003038D"/>
    <w:pPr>
      <w:tabs>
        <w:tab w:val="center" w:pos="4536"/>
        <w:tab w:val="right" w:pos="9072"/>
      </w:tabs>
      <w:spacing w:before="0" w:after="120"/>
      <w:jc w:val="right"/>
    </w:pPr>
  </w:style>
  <w:style w:type="paragraph" w:styleId="Fuzeile">
    <w:name w:val="footer"/>
    <w:basedOn w:val="Standard"/>
    <w:qFormat/>
    <w:rsid w:val="0003038D"/>
    <w:pPr>
      <w:tabs>
        <w:tab w:val="clear" w:pos="425"/>
        <w:tab w:val="right" w:pos="8505"/>
        <w:tab w:val="right" w:pos="9639"/>
      </w:tabs>
      <w:spacing w:before="0" w:after="0"/>
      <w:jc w:val="left"/>
    </w:pPr>
    <w:rPr>
      <w:sz w:val="16"/>
    </w:rPr>
  </w:style>
  <w:style w:type="character" w:styleId="BesuchterHyperlink">
    <w:name w:val="FollowedHyperlink"/>
    <w:rsid w:val="00177163"/>
    <w:rPr>
      <w:color w:val="800080"/>
      <w:u w:val="single"/>
    </w:rPr>
  </w:style>
  <w:style w:type="paragraph" w:styleId="Verzeichnis2">
    <w:name w:val="toc 2"/>
    <w:basedOn w:val="Standard"/>
    <w:next w:val="Standard"/>
    <w:semiHidden/>
    <w:rsid w:val="0003038D"/>
    <w:pPr>
      <w:tabs>
        <w:tab w:val="clear" w:pos="425"/>
        <w:tab w:val="right" w:leader="dot" w:pos="9638"/>
      </w:tabs>
      <w:spacing w:before="0" w:after="0"/>
      <w:jc w:val="left"/>
    </w:pPr>
    <w:rPr>
      <w:rFonts w:ascii="Times New Roman" w:hAnsi="Times New Roman"/>
      <w:smallCaps/>
    </w:rPr>
  </w:style>
  <w:style w:type="paragraph" w:styleId="Funotentext">
    <w:name w:val="footnote text"/>
    <w:basedOn w:val="Standard"/>
    <w:qFormat/>
    <w:rsid w:val="0003038D"/>
    <w:pPr>
      <w:spacing w:before="0" w:after="0"/>
    </w:pPr>
    <w:rPr>
      <w:sz w:val="16"/>
    </w:rPr>
  </w:style>
  <w:style w:type="paragraph" w:styleId="Verzeichnis3">
    <w:name w:val="toc 3"/>
    <w:basedOn w:val="Standard"/>
    <w:next w:val="Standard"/>
    <w:semiHidden/>
    <w:rsid w:val="0003038D"/>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rsid w:val="0003038D"/>
    <w:pPr>
      <w:spacing w:before="120" w:after="120"/>
      <w:ind w:left="0"/>
    </w:pPr>
    <w:rPr>
      <w:b/>
      <w:i w:val="0"/>
      <w:caps/>
    </w:rPr>
  </w:style>
  <w:style w:type="paragraph" w:customStyle="1" w:styleId="GesAbsatz">
    <w:name w:val="GesAbsatz"/>
    <w:basedOn w:val="Standard"/>
    <w:qFormat/>
    <w:rsid w:val="0003038D"/>
    <w:pPr>
      <w:spacing w:before="100"/>
    </w:pPr>
    <w:rPr>
      <w:color w:val="000000"/>
    </w:rPr>
  </w:style>
  <w:style w:type="paragraph" w:styleId="Verzeichnis4">
    <w:name w:val="toc 4"/>
    <w:basedOn w:val="Standard"/>
    <w:next w:val="Standard"/>
    <w:semiHidden/>
    <w:rsid w:val="0003038D"/>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03038D"/>
    <w:rPr>
      <w:sz w:val="20"/>
      <w:szCs w:val="20"/>
      <w:vertAlign w:val="superscript"/>
    </w:rPr>
  </w:style>
  <w:style w:type="paragraph" w:styleId="Verzeichnis5">
    <w:name w:val="toc 5"/>
    <w:basedOn w:val="Standard"/>
    <w:next w:val="Standard"/>
    <w:semiHidden/>
    <w:rsid w:val="0003038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3038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3038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3038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3038D"/>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03038D"/>
    <w:rPr>
      <w:color w:val="0000FF"/>
      <w:u w:val="single"/>
    </w:rPr>
  </w:style>
  <w:style w:type="paragraph" w:customStyle="1" w:styleId="Kopfzeile0">
    <w:name w:val="Kopfzeile0"/>
    <w:basedOn w:val="Standard"/>
    <w:next w:val="Kopfzeile"/>
    <w:qFormat/>
    <w:rsid w:val="0003038D"/>
    <w:pPr>
      <w:spacing w:before="0" w:after="0"/>
      <w:jc w:val="right"/>
    </w:pPr>
    <w:rPr>
      <w:b/>
      <w:sz w:val="24"/>
    </w:rPr>
  </w:style>
  <w:style w:type="character" w:styleId="Seitenzahl">
    <w:name w:val="page number"/>
    <w:rsid w:val="0003038D"/>
    <w:rPr>
      <w:rFonts w:ascii="Arial" w:hAnsi="Arial"/>
      <w:sz w:val="16"/>
    </w:rPr>
  </w:style>
  <w:style w:type="paragraph" w:styleId="Sprechblasentext">
    <w:name w:val="Balloon Text"/>
    <w:basedOn w:val="Standard"/>
    <w:link w:val="SprechblasentextZchn"/>
    <w:rsid w:val="009E6F4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9E6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3038D"/>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3038D"/>
    <w:pPr>
      <w:keepNext/>
      <w:spacing w:after="120"/>
      <w:jc w:val="center"/>
      <w:outlineLvl w:val="0"/>
    </w:pPr>
    <w:rPr>
      <w:b/>
      <w:kern w:val="28"/>
      <w:sz w:val="28"/>
    </w:rPr>
  </w:style>
  <w:style w:type="paragraph" w:styleId="berschrift2">
    <w:name w:val="heading 2"/>
    <w:basedOn w:val="Standard"/>
    <w:next w:val="GesAbsatz"/>
    <w:qFormat/>
    <w:rsid w:val="0003038D"/>
    <w:pPr>
      <w:keepNext/>
      <w:spacing w:before="240"/>
      <w:jc w:val="center"/>
      <w:outlineLvl w:val="1"/>
    </w:pPr>
    <w:rPr>
      <w:b/>
      <w:sz w:val="24"/>
    </w:rPr>
  </w:style>
  <w:style w:type="paragraph" w:styleId="berschrift3">
    <w:name w:val="heading 3"/>
    <w:basedOn w:val="Standard"/>
    <w:next w:val="GesAbsatz"/>
    <w:qFormat/>
    <w:rsid w:val="0003038D"/>
    <w:pPr>
      <w:keepNext/>
      <w:spacing w:before="240" w:after="180"/>
      <w:jc w:val="center"/>
      <w:outlineLvl w:val="2"/>
    </w:pPr>
    <w:rPr>
      <w:b/>
    </w:rPr>
  </w:style>
  <w:style w:type="paragraph" w:styleId="berschrift4">
    <w:name w:val="heading 4"/>
    <w:basedOn w:val="Standard"/>
    <w:next w:val="Standard"/>
    <w:rsid w:val="0003038D"/>
    <w:pPr>
      <w:keepNext/>
      <w:spacing w:before="240"/>
      <w:outlineLvl w:val="3"/>
    </w:pPr>
  </w:style>
  <w:style w:type="paragraph" w:styleId="berschrift5">
    <w:name w:val="heading 5"/>
    <w:basedOn w:val="Standard"/>
    <w:next w:val="Standard"/>
    <w:rsid w:val="0003038D"/>
    <w:pPr>
      <w:spacing w:before="120"/>
      <w:ind w:left="709" w:hanging="709"/>
      <w:outlineLvl w:val="4"/>
    </w:pPr>
  </w:style>
  <w:style w:type="character" w:default="1" w:styleId="Absatz-Standardschriftart">
    <w:name w:val="Default Paragraph Font"/>
    <w:uiPriority w:val="1"/>
    <w:semiHidden/>
    <w:unhideWhenUsed/>
    <w:rsid w:val="0003038D"/>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03038D"/>
  </w:style>
  <w:style w:type="paragraph" w:styleId="Kopfzeile">
    <w:name w:val="header"/>
    <w:basedOn w:val="Standard"/>
    <w:qFormat/>
    <w:rsid w:val="0003038D"/>
    <w:pPr>
      <w:tabs>
        <w:tab w:val="center" w:pos="4536"/>
        <w:tab w:val="right" w:pos="9072"/>
      </w:tabs>
      <w:spacing w:before="0" w:after="120"/>
      <w:jc w:val="right"/>
    </w:pPr>
  </w:style>
  <w:style w:type="paragraph" w:styleId="Fuzeile">
    <w:name w:val="footer"/>
    <w:basedOn w:val="Standard"/>
    <w:qFormat/>
    <w:rsid w:val="0003038D"/>
    <w:pPr>
      <w:tabs>
        <w:tab w:val="clear" w:pos="425"/>
        <w:tab w:val="right" w:pos="8505"/>
        <w:tab w:val="right" w:pos="9639"/>
      </w:tabs>
      <w:spacing w:before="0" w:after="0"/>
      <w:jc w:val="left"/>
    </w:pPr>
    <w:rPr>
      <w:sz w:val="16"/>
    </w:rPr>
  </w:style>
  <w:style w:type="character" w:styleId="BesuchterHyperlink">
    <w:name w:val="FollowedHyperlink"/>
    <w:rsid w:val="00177163"/>
    <w:rPr>
      <w:color w:val="800080"/>
      <w:u w:val="single"/>
    </w:rPr>
  </w:style>
  <w:style w:type="paragraph" w:styleId="Verzeichnis2">
    <w:name w:val="toc 2"/>
    <w:basedOn w:val="Standard"/>
    <w:next w:val="Standard"/>
    <w:semiHidden/>
    <w:rsid w:val="0003038D"/>
    <w:pPr>
      <w:tabs>
        <w:tab w:val="clear" w:pos="425"/>
        <w:tab w:val="right" w:leader="dot" w:pos="9638"/>
      </w:tabs>
      <w:spacing w:before="0" w:after="0"/>
      <w:jc w:val="left"/>
    </w:pPr>
    <w:rPr>
      <w:rFonts w:ascii="Times New Roman" w:hAnsi="Times New Roman"/>
      <w:smallCaps/>
    </w:rPr>
  </w:style>
  <w:style w:type="paragraph" w:styleId="Funotentext">
    <w:name w:val="footnote text"/>
    <w:basedOn w:val="Standard"/>
    <w:qFormat/>
    <w:rsid w:val="0003038D"/>
    <w:pPr>
      <w:spacing w:before="0" w:after="0"/>
    </w:pPr>
    <w:rPr>
      <w:sz w:val="16"/>
    </w:rPr>
  </w:style>
  <w:style w:type="paragraph" w:styleId="Verzeichnis3">
    <w:name w:val="toc 3"/>
    <w:basedOn w:val="Standard"/>
    <w:next w:val="Standard"/>
    <w:semiHidden/>
    <w:rsid w:val="0003038D"/>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rsid w:val="0003038D"/>
    <w:pPr>
      <w:spacing w:before="120" w:after="120"/>
      <w:ind w:left="0"/>
    </w:pPr>
    <w:rPr>
      <w:b/>
      <w:i w:val="0"/>
      <w:caps/>
    </w:rPr>
  </w:style>
  <w:style w:type="paragraph" w:customStyle="1" w:styleId="GesAbsatz">
    <w:name w:val="GesAbsatz"/>
    <w:basedOn w:val="Standard"/>
    <w:qFormat/>
    <w:rsid w:val="0003038D"/>
    <w:pPr>
      <w:spacing w:before="100"/>
    </w:pPr>
    <w:rPr>
      <w:color w:val="000000"/>
    </w:rPr>
  </w:style>
  <w:style w:type="paragraph" w:styleId="Verzeichnis4">
    <w:name w:val="toc 4"/>
    <w:basedOn w:val="Standard"/>
    <w:next w:val="Standard"/>
    <w:semiHidden/>
    <w:rsid w:val="0003038D"/>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03038D"/>
    <w:rPr>
      <w:sz w:val="20"/>
      <w:szCs w:val="20"/>
      <w:vertAlign w:val="superscript"/>
    </w:rPr>
  </w:style>
  <w:style w:type="paragraph" w:styleId="Verzeichnis5">
    <w:name w:val="toc 5"/>
    <w:basedOn w:val="Standard"/>
    <w:next w:val="Standard"/>
    <w:semiHidden/>
    <w:rsid w:val="0003038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3038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3038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3038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3038D"/>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03038D"/>
    <w:rPr>
      <w:color w:val="0000FF"/>
      <w:u w:val="single"/>
    </w:rPr>
  </w:style>
  <w:style w:type="paragraph" w:customStyle="1" w:styleId="Kopfzeile0">
    <w:name w:val="Kopfzeile0"/>
    <w:basedOn w:val="Standard"/>
    <w:next w:val="Kopfzeile"/>
    <w:qFormat/>
    <w:rsid w:val="0003038D"/>
    <w:pPr>
      <w:spacing w:before="0" w:after="0"/>
      <w:jc w:val="right"/>
    </w:pPr>
    <w:rPr>
      <w:b/>
      <w:sz w:val="24"/>
    </w:rPr>
  </w:style>
  <w:style w:type="character" w:styleId="Seitenzahl">
    <w:name w:val="page number"/>
    <w:rsid w:val="0003038D"/>
    <w:rPr>
      <w:rFonts w:ascii="Arial" w:hAnsi="Arial"/>
      <w:sz w:val="16"/>
    </w:rPr>
  </w:style>
  <w:style w:type="paragraph" w:styleId="Sprechblasentext">
    <w:name w:val="Balloon Text"/>
    <w:basedOn w:val="Standard"/>
    <w:link w:val="SprechblasentextZchn"/>
    <w:rsid w:val="009E6F4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9E6F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83L0513&amp;from=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DE/TXT/PDF/?uri=CELEX:32008L0105&amp;from=DE" TargetMode="External"/><Relationship Id="rId4" Type="http://schemas.openxmlformats.org/officeDocument/2006/relationships/settings" Target="settings.xml"/><Relationship Id="rId9" Type="http://schemas.openxmlformats.org/officeDocument/2006/relationships/hyperlink" Target="http://eur-lex.europa.eu/legal-content/DE/TXT/PDF/?uri=CELEX:31991L0692&amp;from=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2399</Words>
  <Characters>16563</Characters>
  <Application>Microsoft Office Word</Application>
  <DocSecurity>0</DocSecurity>
  <Lines>138</Lines>
  <Paragraphs>37</Paragraphs>
  <ScaleCrop>false</ScaleCrop>
  <HeadingPairs>
    <vt:vector size="2" baseType="variant">
      <vt:variant>
        <vt:lpstr>Titel</vt:lpstr>
      </vt:variant>
      <vt:variant>
        <vt:i4>1</vt:i4>
      </vt:variant>
    </vt:vector>
  </HeadingPairs>
  <TitlesOfParts>
    <vt:vector size="1" baseType="lpstr">
      <vt:lpstr>RICHTLINIE DES RATES vom 26. September 1983 betreffend Grenzwerte und Qualitätsziele für Cadmiumableitungen</vt:lpstr>
    </vt:vector>
  </TitlesOfParts>
  <Company>LANUV NRW</Company>
  <LinksUpToDate>false</LinksUpToDate>
  <CharactersWithSpaces>18925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26. September 1983 betreffend Grenzwerte und Qualitätsziele für Cadmiumableitungen</dc:title>
  <dc:creator>LANUV NRW</dc:creator>
  <dc:description>durchgesehen 05.2005</dc:description>
  <cp:lastModifiedBy>rueter</cp:lastModifiedBy>
  <cp:revision>7</cp:revision>
  <cp:lastPrinted>2015-05-26T08:06:00Z</cp:lastPrinted>
  <dcterms:created xsi:type="dcterms:W3CDTF">2015-05-26T08:05:00Z</dcterms:created>
  <dcterms:modified xsi:type="dcterms:W3CDTF">2015-05-26T08:19:00Z</dcterms:modified>
</cp:coreProperties>
</file>