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CC" w:rsidRDefault="005A4BCC" w:rsidP="00142AF2">
      <w:pPr>
        <w:pStyle w:val="berschrift1"/>
      </w:pPr>
      <w:bookmarkStart w:id="0" w:name="_Toc414607870"/>
      <w:r>
        <w:t>Selbstüberwachung von Abwassereinleitungen</w:t>
      </w:r>
      <w:bookmarkEnd w:id="0"/>
    </w:p>
    <w:p w:rsidR="005A4BCC" w:rsidRDefault="005A4BCC" w:rsidP="00142AF2">
      <w:pPr>
        <w:pStyle w:val="GesAbsatz"/>
        <w:jc w:val="center"/>
      </w:pPr>
      <w:r>
        <w:t>RdErl. d. Ministers für Ernährung, Landwirtschaft und Forsten</w:t>
      </w:r>
      <w:r w:rsidR="00142AF2">
        <w:br/>
      </w:r>
      <w:r>
        <w:t>v. 7.11.1980 - III C 6 - 6210/2 - 25993</w:t>
      </w:r>
    </w:p>
    <w:p w:rsidR="00142AF2" w:rsidRDefault="00142AF2" w:rsidP="005A4BCC">
      <w:pPr>
        <w:pStyle w:val="GesAbsatz"/>
      </w:pPr>
    </w:p>
    <w:p w:rsidR="00142AF2" w:rsidRDefault="00142AF2" w:rsidP="005A4BCC">
      <w:pPr>
        <w:pStyle w:val="GesAbsatz"/>
      </w:pPr>
    </w:p>
    <w:p w:rsidR="00142AF2" w:rsidRPr="00142AF2" w:rsidRDefault="00142AF2" w:rsidP="00142AF2">
      <w:pPr>
        <w:pStyle w:val="GesAbsatz"/>
        <w:jc w:val="center"/>
        <w:rPr>
          <w:b/>
          <w:sz w:val="22"/>
        </w:rPr>
      </w:pPr>
      <w:r>
        <w:rPr>
          <w:b/>
          <w:sz w:val="22"/>
        </w:rPr>
        <w:t>Inhalt:</w:t>
      </w:r>
    </w:p>
    <w:p w:rsidR="00F11878" w:rsidRDefault="00F11878">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14607870" w:history="1">
        <w:r w:rsidRPr="005C3D84">
          <w:rPr>
            <w:rStyle w:val="Hyperlink"/>
            <w:noProof/>
          </w:rPr>
          <w:t>Selbstüberwachung von Abwassereinleitungen</w:t>
        </w:r>
        <w:r>
          <w:rPr>
            <w:noProof/>
            <w:webHidden/>
          </w:rPr>
          <w:tab/>
        </w:r>
        <w:r>
          <w:rPr>
            <w:noProof/>
            <w:webHidden/>
          </w:rPr>
          <w:fldChar w:fldCharType="begin"/>
        </w:r>
        <w:r>
          <w:rPr>
            <w:noProof/>
            <w:webHidden/>
          </w:rPr>
          <w:instrText xml:space="preserve"> PAGEREF _Toc414607870 \h </w:instrText>
        </w:r>
        <w:r>
          <w:rPr>
            <w:noProof/>
            <w:webHidden/>
          </w:rPr>
        </w:r>
        <w:r>
          <w:rPr>
            <w:noProof/>
            <w:webHidden/>
          </w:rPr>
          <w:fldChar w:fldCharType="separate"/>
        </w:r>
        <w:r>
          <w:rPr>
            <w:noProof/>
            <w:webHidden/>
          </w:rPr>
          <w:t>1</w:t>
        </w:r>
        <w:r>
          <w:rPr>
            <w:noProof/>
            <w:webHidden/>
          </w:rPr>
          <w:fldChar w:fldCharType="end"/>
        </w:r>
      </w:hyperlink>
    </w:p>
    <w:p w:rsidR="00F11878" w:rsidRDefault="00F11878">
      <w:pPr>
        <w:pStyle w:val="Verzeichnis2"/>
        <w:tabs>
          <w:tab w:val="left" w:pos="400"/>
        </w:tabs>
        <w:rPr>
          <w:rFonts w:asciiTheme="minorHAnsi" w:eastAsiaTheme="minorEastAsia" w:hAnsiTheme="minorHAnsi" w:cstheme="minorBidi"/>
          <w:smallCaps w:val="0"/>
          <w:noProof/>
          <w:sz w:val="22"/>
          <w:szCs w:val="22"/>
        </w:rPr>
      </w:pPr>
      <w:hyperlink w:anchor="_Toc414607871" w:history="1">
        <w:r w:rsidRPr="005C3D84">
          <w:rPr>
            <w:rStyle w:val="Hyperlink"/>
            <w:noProof/>
          </w:rPr>
          <w:t>1.</w:t>
        </w:r>
        <w:r>
          <w:rPr>
            <w:rFonts w:asciiTheme="minorHAnsi" w:eastAsiaTheme="minorEastAsia" w:hAnsiTheme="minorHAnsi" w:cstheme="minorBidi"/>
            <w:smallCaps w:val="0"/>
            <w:noProof/>
            <w:sz w:val="22"/>
            <w:szCs w:val="22"/>
          </w:rPr>
          <w:tab/>
        </w:r>
        <w:r w:rsidRPr="005C3D84">
          <w:rPr>
            <w:rStyle w:val="Hyperlink"/>
            <w:noProof/>
          </w:rPr>
          <w:t>Rechtsgrundlage</w:t>
        </w:r>
        <w:r>
          <w:rPr>
            <w:noProof/>
            <w:webHidden/>
          </w:rPr>
          <w:tab/>
        </w:r>
        <w:r>
          <w:rPr>
            <w:noProof/>
            <w:webHidden/>
          </w:rPr>
          <w:fldChar w:fldCharType="begin"/>
        </w:r>
        <w:r>
          <w:rPr>
            <w:noProof/>
            <w:webHidden/>
          </w:rPr>
          <w:instrText xml:space="preserve"> PAGEREF _Toc414607871 \h </w:instrText>
        </w:r>
        <w:r>
          <w:rPr>
            <w:noProof/>
            <w:webHidden/>
          </w:rPr>
        </w:r>
        <w:r>
          <w:rPr>
            <w:noProof/>
            <w:webHidden/>
          </w:rPr>
          <w:fldChar w:fldCharType="separate"/>
        </w:r>
        <w:r>
          <w:rPr>
            <w:noProof/>
            <w:webHidden/>
          </w:rPr>
          <w:t>1</w:t>
        </w:r>
        <w:r>
          <w:rPr>
            <w:noProof/>
            <w:webHidden/>
          </w:rPr>
          <w:fldChar w:fldCharType="end"/>
        </w:r>
      </w:hyperlink>
    </w:p>
    <w:p w:rsidR="00F11878" w:rsidRDefault="00F11878">
      <w:pPr>
        <w:pStyle w:val="Verzeichnis2"/>
        <w:tabs>
          <w:tab w:val="left" w:pos="400"/>
        </w:tabs>
        <w:rPr>
          <w:rFonts w:asciiTheme="minorHAnsi" w:eastAsiaTheme="minorEastAsia" w:hAnsiTheme="minorHAnsi" w:cstheme="minorBidi"/>
          <w:smallCaps w:val="0"/>
          <w:noProof/>
          <w:sz w:val="22"/>
          <w:szCs w:val="22"/>
        </w:rPr>
      </w:pPr>
      <w:hyperlink w:anchor="_Toc414607872" w:history="1">
        <w:r w:rsidRPr="005C3D84">
          <w:rPr>
            <w:rStyle w:val="Hyperlink"/>
            <w:noProof/>
          </w:rPr>
          <w:t>2.</w:t>
        </w:r>
        <w:r>
          <w:rPr>
            <w:rFonts w:asciiTheme="minorHAnsi" w:eastAsiaTheme="minorEastAsia" w:hAnsiTheme="minorHAnsi" w:cstheme="minorBidi"/>
            <w:smallCaps w:val="0"/>
            <w:noProof/>
            <w:sz w:val="22"/>
            <w:szCs w:val="22"/>
          </w:rPr>
          <w:tab/>
        </w:r>
        <w:r w:rsidRPr="005C3D84">
          <w:rPr>
            <w:rStyle w:val="Hyperlink"/>
            <w:noProof/>
          </w:rPr>
          <w:t>Zweck der Selbstüberwachung</w:t>
        </w:r>
        <w:r>
          <w:rPr>
            <w:noProof/>
            <w:webHidden/>
          </w:rPr>
          <w:tab/>
        </w:r>
        <w:r>
          <w:rPr>
            <w:noProof/>
            <w:webHidden/>
          </w:rPr>
          <w:fldChar w:fldCharType="begin"/>
        </w:r>
        <w:r>
          <w:rPr>
            <w:noProof/>
            <w:webHidden/>
          </w:rPr>
          <w:instrText xml:space="preserve"> PAGEREF _Toc414607872 \h </w:instrText>
        </w:r>
        <w:r>
          <w:rPr>
            <w:noProof/>
            <w:webHidden/>
          </w:rPr>
        </w:r>
        <w:r>
          <w:rPr>
            <w:noProof/>
            <w:webHidden/>
          </w:rPr>
          <w:fldChar w:fldCharType="separate"/>
        </w:r>
        <w:r>
          <w:rPr>
            <w:noProof/>
            <w:webHidden/>
          </w:rPr>
          <w:t>1</w:t>
        </w:r>
        <w:r>
          <w:rPr>
            <w:noProof/>
            <w:webHidden/>
          </w:rPr>
          <w:fldChar w:fldCharType="end"/>
        </w:r>
      </w:hyperlink>
    </w:p>
    <w:p w:rsidR="00F11878" w:rsidRDefault="00F11878">
      <w:pPr>
        <w:pStyle w:val="Verzeichnis2"/>
        <w:tabs>
          <w:tab w:val="left" w:pos="400"/>
        </w:tabs>
        <w:rPr>
          <w:rFonts w:asciiTheme="minorHAnsi" w:eastAsiaTheme="minorEastAsia" w:hAnsiTheme="minorHAnsi" w:cstheme="minorBidi"/>
          <w:smallCaps w:val="0"/>
          <w:noProof/>
          <w:sz w:val="22"/>
          <w:szCs w:val="22"/>
        </w:rPr>
      </w:pPr>
      <w:hyperlink w:anchor="_Toc414607873" w:history="1">
        <w:r w:rsidRPr="005C3D84">
          <w:rPr>
            <w:rStyle w:val="Hyperlink"/>
            <w:noProof/>
          </w:rPr>
          <w:t>3.</w:t>
        </w:r>
        <w:r>
          <w:rPr>
            <w:rFonts w:asciiTheme="minorHAnsi" w:eastAsiaTheme="minorEastAsia" w:hAnsiTheme="minorHAnsi" w:cstheme="minorBidi"/>
            <w:smallCaps w:val="0"/>
            <w:noProof/>
            <w:sz w:val="22"/>
            <w:szCs w:val="22"/>
          </w:rPr>
          <w:tab/>
        </w:r>
        <w:r w:rsidRPr="005C3D84">
          <w:rPr>
            <w:rStyle w:val="Hyperlink"/>
            <w:noProof/>
          </w:rPr>
          <w:t>Festlegung der Selbstüberwachung</w:t>
        </w:r>
        <w:r>
          <w:rPr>
            <w:noProof/>
            <w:webHidden/>
          </w:rPr>
          <w:tab/>
        </w:r>
        <w:r>
          <w:rPr>
            <w:noProof/>
            <w:webHidden/>
          </w:rPr>
          <w:fldChar w:fldCharType="begin"/>
        </w:r>
        <w:r>
          <w:rPr>
            <w:noProof/>
            <w:webHidden/>
          </w:rPr>
          <w:instrText xml:space="preserve"> PAGEREF _Toc414607873 \h </w:instrText>
        </w:r>
        <w:r>
          <w:rPr>
            <w:noProof/>
            <w:webHidden/>
          </w:rPr>
        </w:r>
        <w:r>
          <w:rPr>
            <w:noProof/>
            <w:webHidden/>
          </w:rPr>
          <w:fldChar w:fldCharType="separate"/>
        </w:r>
        <w:r>
          <w:rPr>
            <w:noProof/>
            <w:webHidden/>
          </w:rPr>
          <w:t>1</w:t>
        </w:r>
        <w:r>
          <w:rPr>
            <w:noProof/>
            <w:webHidden/>
          </w:rPr>
          <w:fldChar w:fldCharType="end"/>
        </w:r>
      </w:hyperlink>
    </w:p>
    <w:p w:rsidR="00F11878" w:rsidRDefault="00F11878">
      <w:pPr>
        <w:pStyle w:val="Verzeichnis2"/>
        <w:tabs>
          <w:tab w:val="left" w:pos="400"/>
        </w:tabs>
        <w:rPr>
          <w:rFonts w:asciiTheme="minorHAnsi" w:eastAsiaTheme="minorEastAsia" w:hAnsiTheme="minorHAnsi" w:cstheme="minorBidi"/>
          <w:smallCaps w:val="0"/>
          <w:noProof/>
          <w:sz w:val="22"/>
          <w:szCs w:val="22"/>
        </w:rPr>
      </w:pPr>
      <w:hyperlink w:anchor="_Toc414607874" w:history="1">
        <w:r w:rsidRPr="005C3D84">
          <w:rPr>
            <w:rStyle w:val="Hyperlink"/>
            <w:noProof/>
          </w:rPr>
          <w:t>4.</w:t>
        </w:r>
        <w:r>
          <w:rPr>
            <w:rFonts w:asciiTheme="minorHAnsi" w:eastAsiaTheme="minorEastAsia" w:hAnsiTheme="minorHAnsi" w:cstheme="minorBidi"/>
            <w:smallCaps w:val="0"/>
            <w:noProof/>
            <w:sz w:val="22"/>
            <w:szCs w:val="22"/>
          </w:rPr>
          <w:tab/>
        </w:r>
        <w:r w:rsidRPr="005C3D84">
          <w:rPr>
            <w:rStyle w:val="Hyperlink"/>
            <w:noProof/>
          </w:rPr>
          <w:t>Umfang der Selbstüberwachung</w:t>
        </w:r>
        <w:r>
          <w:rPr>
            <w:noProof/>
            <w:webHidden/>
          </w:rPr>
          <w:tab/>
        </w:r>
        <w:r>
          <w:rPr>
            <w:noProof/>
            <w:webHidden/>
          </w:rPr>
          <w:fldChar w:fldCharType="begin"/>
        </w:r>
        <w:r>
          <w:rPr>
            <w:noProof/>
            <w:webHidden/>
          </w:rPr>
          <w:instrText xml:space="preserve"> PAGEREF _Toc414607874 \h </w:instrText>
        </w:r>
        <w:r>
          <w:rPr>
            <w:noProof/>
            <w:webHidden/>
          </w:rPr>
        </w:r>
        <w:r>
          <w:rPr>
            <w:noProof/>
            <w:webHidden/>
          </w:rPr>
          <w:fldChar w:fldCharType="separate"/>
        </w:r>
        <w:r>
          <w:rPr>
            <w:noProof/>
            <w:webHidden/>
          </w:rPr>
          <w:t>1</w:t>
        </w:r>
        <w:r>
          <w:rPr>
            <w:noProof/>
            <w:webHidden/>
          </w:rPr>
          <w:fldChar w:fldCharType="end"/>
        </w:r>
      </w:hyperlink>
    </w:p>
    <w:p w:rsidR="00F11878" w:rsidRDefault="00F11878">
      <w:pPr>
        <w:pStyle w:val="Verzeichnis2"/>
        <w:tabs>
          <w:tab w:val="left" w:pos="400"/>
        </w:tabs>
        <w:rPr>
          <w:rFonts w:asciiTheme="minorHAnsi" w:eastAsiaTheme="minorEastAsia" w:hAnsiTheme="minorHAnsi" w:cstheme="minorBidi"/>
          <w:smallCaps w:val="0"/>
          <w:noProof/>
          <w:sz w:val="22"/>
          <w:szCs w:val="22"/>
        </w:rPr>
      </w:pPr>
      <w:hyperlink w:anchor="_Toc414607875" w:history="1">
        <w:r w:rsidRPr="005C3D84">
          <w:rPr>
            <w:rStyle w:val="Hyperlink"/>
            <w:noProof/>
          </w:rPr>
          <w:t>5.</w:t>
        </w:r>
        <w:r>
          <w:rPr>
            <w:rFonts w:asciiTheme="minorHAnsi" w:eastAsiaTheme="minorEastAsia" w:hAnsiTheme="minorHAnsi" w:cstheme="minorBidi"/>
            <w:smallCaps w:val="0"/>
            <w:noProof/>
            <w:sz w:val="22"/>
            <w:szCs w:val="22"/>
          </w:rPr>
          <w:tab/>
        </w:r>
        <w:r w:rsidRPr="005C3D84">
          <w:rPr>
            <w:rStyle w:val="Hyperlink"/>
            <w:noProof/>
          </w:rPr>
          <w:t>Häufigkeit der Selbstüberwachung</w:t>
        </w:r>
        <w:r>
          <w:rPr>
            <w:noProof/>
            <w:webHidden/>
          </w:rPr>
          <w:tab/>
        </w:r>
        <w:r>
          <w:rPr>
            <w:noProof/>
            <w:webHidden/>
          </w:rPr>
          <w:fldChar w:fldCharType="begin"/>
        </w:r>
        <w:r>
          <w:rPr>
            <w:noProof/>
            <w:webHidden/>
          </w:rPr>
          <w:instrText xml:space="preserve"> PAGEREF _Toc414607875 \h </w:instrText>
        </w:r>
        <w:r>
          <w:rPr>
            <w:noProof/>
            <w:webHidden/>
          </w:rPr>
        </w:r>
        <w:r>
          <w:rPr>
            <w:noProof/>
            <w:webHidden/>
          </w:rPr>
          <w:fldChar w:fldCharType="separate"/>
        </w:r>
        <w:r>
          <w:rPr>
            <w:noProof/>
            <w:webHidden/>
          </w:rPr>
          <w:t>1</w:t>
        </w:r>
        <w:r>
          <w:rPr>
            <w:noProof/>
            <w:webHidden/>
          </w:rPr>
          <w:fldChar w:fldCharType="end"/>
        </w:r>
      </w:hyperlink>
    </w:p>
    <w:p w:rsidR="00F11878" w:rsidRDefault="00F11878">
      <w:pPr>
        <w:pStyle w:val="Verzeichnis2"/>
        <w:tabs>
          <w:tab w:val="left" w:pos="400"/>
        </w:tabs>
        <w:rPr>
          <w:rFonts w:asciiTheme="minorHAnsi" w:eastAsiaTheme="minorEastAsia" w:hAnsiTheme="minorHAnsi" w:cstheme="minorBidi"/>
          <w:smallCaps w:val="0"/>
          <w:noProof/>
          <w:sz w:val="22"/>
          <w:szCs w:val="22"/>
        </w:rPr>
      </w:pPr>
      <w:hyperlink w:anchor="_Toc414607876" w:history="1">
        <w:r w:rsidRPr="005C3D84">
          <w:rPr>
            <w:rStyle w:val="Hyperlink"/>
            <w:noProof/>
          </w:rPr>
          <w:t>6.</w:t>
        </w:r>
        <w:r>
          <w:rPr>
            <w:rFonts w:asciiTheme="minorHAnsi" w:eastAsiaTheme="minorEastAsia" w:hAnsiTheme="minorHAnsi" w:cstheme="minorBidi"/>
            <w:smallCaps w:val="0"/>
            <w:noProof/>
            <w:sz w:val="22"/>
            <w:szCs w:val="22"/>
          </w:rPr>
          <w:tab/>
        </w:r>
        <w:r w:rsidRPr="005C3D84">
          <w:rPr>
            <w:rStyle w:val="Hyperlink"/>
            <w:noProof/>
          </w:rPr>
          <w:t>Aufbewahren der Ergebnisse</w:t>
        </w:r>
        <w:r>
          <w:rPr>
            <w:noProof/>
            <w:webHidden/>
          </w:rPr>
          <w:tab/>
        </w:r>
        <w:r>
          <w:rPr>
            <w:noProof/>
            <w:webHidden/>
          </w:rPr>
          <w:fldChar w:fldCharType="begin"/>
        </w:r>
        <w:r>
          <w:rPr>
            <w:noProof/>
            <w:webHidden/>
          </w:rPr>
          <w:instrText xml:space="preserve"> PAGEREF _Toc414607876 \h </w:instrText>
        </w:r>
        <w:r>
          <w:rPr>
            <w:noProof/>
            <w:webHidden/>
          </w:rPr>
        </w:r>
        <w:r>
          <w:rPr>
            <w:noProof/>
            <w:webHidden/>
          </w:rPr>
          <w:fldChar w:fldCharType="separate"/>
        </w:r>
        <w:r>
          <w:rPr>
            <w:noProof/>
            <w:webHidden/>
          </w:rPr>
          <w:t>2</w:t>
        </w:r>
        <w:r>
          <w:rPr>
            <w:noProof/>
            <w:webHidden/>
          </w:rPr>
          <w:fldChar w:fldCharType="end"/>
        </w:r>
      </w:hyperlink>
    </w:p>
    <w:p w:rsidR="00F11878" w:rsidRDefault="00F11878">
      <w:pPr>
        <w:pStyle w:val="Verzeichnis2"/>
        <w:rPr>
          <w:rFonts w:asciiTheme="minorHAnsi" w:eastAsiaTheme="minorEastAsia" w:hAnsiTheme="minorHAnsi" w:cstheme="minorBidi"/>
          <w:smallCaps w:val="0"/>
          <w:noProof/>
          <w:sz w:val="22"/>
          <w:szCs w:val="22"/>
        </w:rPr>
      </w:pPr>
      <w:hyperlink w:anchor="_Toc414607877" w:history="1">
        <w:r w:rsidRPr="005C3D84">
          <w:rPr>
            <w:rStyle w:val="Hyperlink"/>
            <w:noProof/>
          </w:rPr>
          <w:t>Anlage</w:t>
        </w:r>
        <w:r>
          <w:rPr>
            <w:noProof/>
            <w:webHidden/>
          </w:rPr>
          <w:tab/>
        </w:r>
        <w:r>
          <w:rPr>
            <w:noProof/>
            <w:webHidden/>
          </w:rPr>
          <w:fldChar w:fldCharType="begin"/>
        </w:r>
        <w:r>
          <w:rPr>
            <w:noProof/>
            <w:webHidden/>
          </w:rPr>
          <w:instrText xml:space="preserve"> PAGEREF _Toc414607877 \h </w:instrText>
        </w:r>
        <w:r>
          <w:rPr>
            <w:noProof/>
            <w:webHidden/>
          </w:rPr>
        </w:r>
        <w:r>
          <w:rPr>
            <w:noProof/>
            <w:webHidden/>
          </w:rPr>
          <w:fldChar w:fldCharType="separate"/>
        </w:r>
        <w:r>
          <w:rPr>
            <w:noProof/>
            <w:webHidden/>
          </w:rPr>
          <w:t>3</w:t>
        </w:r>
        <w:r>
          <w:rPr>
            <w:noProof/>
            <w:webHidden/>
          </w:rPr>
          <w:fldChar w:fldCharType="end"/>
        </w:r>
      </w:hyperlink>
    </w:p>
    <w:p w:rsidR="00142AF2" w:rsidRDefault="00F11878" w:rsidP="005A4BCC">
      <w:pPr>
        <w:pStyle w:val="GesAbsatz"/>
      </w:pPr>
      <w:r>
        <w:fldChar w:fldCharType="end"/>
      </w:r>
      <w:bookmarkStart w:id="1" w:name="_GoBack"/>
      <w:bookmarkEnd w:id="1"/>
    </w:p>
    <w:p w:rsidR="005A4BCC" w:rsidRDefault="005A4BCC" w:rsidP="00142AF2">
      <w:pPr>
        <w:pStyle w:val="berschrift2"/>
        <w:jc w:val="left"/>
      </w:pPr>
      <w:bookmarkStart w:id="2" w:name="_Toc414607871"/>
      <w:r>
        <w:t>1.</w:t>
      </w:r>
      <w:r>
        <w:tab/>
        <w:t>Rechtsgrundlage</w:t>
      </w:r>
      <w:bookmarkEnd w:id="2"/>
    </w:p>
    <w:p w:rsidR="005A4BCC" w:rsidRDefault="005A4BCC" w:rsidP="005A4BCC">
      <w:pPr>
        <w:pStyle w:val="GesAbsatz"/>
      </w:pPr>
      <w:r>
        <w:t xml:space="preserve">Nach § 60 Abs. 1 Landeswassergesetz (LWG) vom 4. Juli 1979 (GV. NW. S. 488 / SGV. NW. 77) ist der Einleiter von Abwasser in ein Gewässer verpflichtet, das Abwasser auf seine Kosten durch eine von der oberen Wasserbehörde </w:t>
      </w:r>
      <w:proofErr w:type="gramStart"/>
      <w:r>
        <w:t>zugelassenen</w:t>
      </w:r>
      <w:proofErr w:type="gramEnd"/>
      <w:r>
        <w:t xml:space="preserve"> Stelle untersuchen zu lassen. Die nach § 30 Abs. 1 LWG für die E</w:t>
      </w:r>
      <w:r>
        <w:t>r</w:t>
      </w:r>
      <w:r>
        <w:t xml:space="preserve">laubnis der Abwassereinleitung zuständige Wasserbehörde kann widerruflich zulassen, </w:t>
      </w:r>
      <w:proofErr w:type="spellStart"/>
      <w:r>
        <w:t>daß</w:t>
      </w:r>
      <w:proofErr w:type="spellEnd"/>
      <w:r>
        <w:t xml:space="preserve"> der Abwa</w:t>
      </w:r>
      <w:r>
        <w:t>s</w:t>
      </w:r>
      <w:r>
        <w:t>sereinleiter die Untersuchung ganz oder teilweise selbst durchführt.</w:t>
      </w:r>
    </w:p>
    <w:p w:rsidR="005A4BCC" w:rsidRDefault="005A4BCC" w:rsidP="00142AF2">
      <w:pPr>
        <w:pStyle w:val="berschrift2"/>
        <w:jc w:val="left"/>
      </w:pPr>
      <w:bookmarkStart w:id="3" w:name="_Toc414607872"/>
      <w:r>
        <w:t>2.</w:t>
      </w:r>
      <w:r>
        <w:tab/>
        <w:t>Zweck der Selbstüberwachung</w:t>
      </w:r>
      <w:bookmarkEnd w:id="3"/>
    </w:p>
    <w:p w:rsidR="005A4BCC" w:rsidRDefault="005A4BCC" w:rsidP="005A4BCC">
      <w:pPr>
        <w:pStyle w:val="GesAbsatz"/>
      </w:pPr>
      <w:r>
        <w:t xml:space="preserve">Die Selbstüberwachung dient in erster Linie dem Einleiter selbst Sie soll ihm über einen längeren Zeitraum </w:t>
      </w:r>
      <w:proofErr w:type="spellStart"/>
      <w:r>
        <w:t>Aufschluß</w:t>
      </w:r>
      <w:proofErr w:type="spellEnd"/>
      <w:r>
        <w:t xml:space="preserve"> geben über die Entwicklung des Abwasserdurchflusses und der Abwasserzusammensetzung. Durch die Selbstüberwachung soll der Einleiter selbst erkennen können, ob und wann er zusätzliche Ma</w:t>
      </w:r>
      <w:r>
        <w:t>ß</w:t>
      </w:r>
      <w:r>
        <w:t>nahmen im Rahmen der Produktion oder zur Vorbehandlung des Abwassers oder zur Abwasserreinigung in der Kläranlage zu treffen hat Die Selbstüberwachung hat keine unmittelbaren wasserrechtlichen Folgen und keine abgabenrechtlichen Folgen. Die Ergebnisse sollen jedoch von den Wasserbehörden und Fachdiens</w:t>
      </w:r>
      <w:r>
        <w:t>t</w:t>
      </w:r>
      <w:r>
        <w:t>stellen insbesondere zur Ursachenforschung bei Unregelmäßigkeiten oder Auffälligkeiten im Betrieb der Anlagen herangezogen werden.</w:t>
      </w:r>
    </w:p>
    <w:p w:rsidR="005A4BCC" w:rsidRDefault="005A4BCC" w:rsidP="00142AF2">
      <w:pPr>
        <w:pStyle w:val="berschrift2"/>
        <w:jc w:val="left"/>
      </w:pPr>
      <w:bookmarkStart w:id="4" w:name="_Toc414607873"/>
      <w:r>
        <w:t>3.</w:t>
      </w:r>
      <w:r>
        <w:tab/>
        <w:t>Festlegung der Selbstüberwachung</w:t>
      </w:r>
      <w:bookmarkEnd w:id="4"/>
    </w:p>
    <w:p w:rsidR="005A4BCC" w:rsidRDefault="005A4BCC" w:rsidP="005A4BCC">
      <w:pPr>
        <w:pStyle w:val="GesAbsatz"/>
      </w:pPr>
      <w:r>
        <w:t xml:space="preserve">Die Selbstüberwachung ist im Einzelfall in der Erlaubnis bzw. bei der </w:t>
      </w:r>
      <w:proofErr w:type="spellStart"/>
      <w:r>
        <w:t>Bescheidumstellung</w:t>
      </w:r>
      <w:proofErr w:type="spellEnd"/>
      <w:r>
        <w:t xml:space="preserve"> für die Einleitung von Abwasser in ein Gewässer zu regeln.</w:t>
      </w:r>
    </w:p>
    <w:p w:rsidR="005A4BCC" w:rsidRDefault="005A4BCC" w:rsidP="00142AF2">
      <w:pPr>
        <w:pStyle w:val="berschrift2"/>
        <w:jc w:val="left"/>
      </w:pPr>
      <w:bookmarkStart w:id="5" w:name="_Toc414607874"/>
      <w:r>
        <w:t>4.</w:t>
      </w:r>
      <w:r w:rsidR="00142AF2">
        <w:tab/>
      </w:r>
      <w:r>
        <w:t>Umfang der Selbst</w:t>
      </w:r>
      <w:r w:rsidR="00142AF2">
        <w:t>ü</w:t>
      </w:r>
      <w:r>
        <w:t>berwachung</w:t>
      </w:r>
      <w:bookmarkEnd w:id="5"/>
    </w:p>
    <w:p w:rsidR="005A4BCC" w:rsidRDefault="005A4BCC" w:rsidP="005A4BCC">
      <w:pPr>
        <w:pStyle w:val="GesAbsatz"/>
      </w:pPr>
      <w:r>
        <w:t>Neben den Parametern, die im wasserrechtlichen Bescheid begrenzt sind, wie Absetzbare Stoffe, CSB, Quecksilber und Cadmium, sind noch auf den Einzelfall abgestimmt, sinnvolle und notwendige Parameter für die Selbstüberwachung festzulegen.</w:t>
      </w:r>
    </w:p>
    <w:p w:rsidR="005A4BCC" w:rsidRDefault="005A4BCC" w:rsidP="00142AF2">
      <w:pPr>
        <w:pStyle w:val="berschrift2"/>
        <w:jc w:val="left"/>
      </w:pPr>
      <w:bookmarkStart w:id="6" w:name="_Toc414607875"/>
      <w:r>
        <w:t>5.</w:t>
      </w:r>
      <w:r w:rsidR="00142AF2">
        <w:tab/>
      </w:r>
      <w:r>
        <w:t>Häufigkeit der Selbstüberwachung</w:t>
      </w:r>
      <w:bookmarkEnd w:id="6"/>
    </w:p>
    <w:p w:rsidR="005A4BCC" w:rsidRDefault="005A4BCC" w:rsidP="005A4BCC">
      <w:pPr>
        <w:pStyle w:val="GesAbsatz"/>
      </w:pPr>
      <w:r>
        <w:t>Bei der Festlegung der Häufigkeit der Selbstüberwachung sind die individuellen Gegebenheiten, insbeso</w:t>
      </w:r>
      <w:r>
        <w:t>n</w:t>
      </w:r>
      <w:r>
        <w:t>dere der das Abwasser aufnehmenden Gewässer zu berücksichtigen. Aus diesem Grunde wird von einer verbindlichen generellen Festlegung der Häufigkeit der Selbstüberwachung durch Rechtsverordnung zum jetzigen Zeitpunkt abgesehen. Um jedoch die Festlegungen nach einheitlichen Kriterien sicherzuste</w:t>
      </w:r>
      <w:r>
        <w:t>l</w:t>
      </w:r>
      <w:r>
        <w:t>len, sollen die nach § 30 Abs.</w:t>
      </w:r>
      <w:r w:rsidR="00142AF2">
        <w:t xml:space="preserve"> </w:t>
      </w:r>
      <w:r>
        <w:t>1 LWG für die Erlaubnis der Abwassereinleitung zuständigen Wasserbehö</w:t>
      </w:r>
      <w:r>
        <w:t>r</w:t>
      </w:r>
      <w:r>
        <w:t xml:space="preserve">den bei der Entscheidungsfindung das als Anlage beigefügte Raster Anlage </w:t>
      </w:r>
      <w:proofErr w:type="spellStart"/>
      <w:r>
        <w:t>zugrundelegen</w:t>
      </w:r>
      <w:proofErr w:type="spellEnd"/>
      <w:r>
        <w:t>.</w:t>
      </w:r>
    </w:p>
    <w:p w:rsidR="005A4BCC" w:rsidRDefault="005A4BCC" w:rsidP="005A4BCC">
      <w:pPr>
        <w:pStyle w:val="GesAbsatz"/>
      </w:pPr>
      <w:r>
        <w:t>Nach diesem Raster sind als Kriterien für die Häufigkeit der Untersuchungen heranzuziehen:</w:t>
      </w:r>
    </w:p>
    <w:p w:rsidR="005A4BCC" w:rsidRDefault="005A4BCC" w:rsidP="005A4BCC">
      <w:pPr>
        <w:pStyle w:val="GesAbsatz"/>
      </w:pPr>
      <w:r>
        <w:t>-</w:t>
      </w:r>
      <w:r>
        <w:tab/>
        <w:t>die Gefährlichkeit der Schadstoffe im Abwasser</w:t>
      </w:r>
    </w:p>
    <w:p w:rsidR="005A4BCC" w:rsidRDefault="005A4BCC" w:rsidP="005A4BCC">
      <w:pPr>
        <w:pStyle w:val="GesAbsatz"/>
      </w:pPr>
      <w:r>
        <w:t>-</w:t>
      </w:r>
      <w:r>
        <w:tab/>
        <w:t>besondere Risikofaktoren</w:t>
      </w:r>
    </w:p>
    <w:p w:rsidR="005A4BCC" w:rsidRDefault="005A4BCC" w:rsidP="005A4BCC">
      <w:pPr>
        <w:pStyle w:val="GesAbsatz"/>
      </w:pPr>
      <w:r>
        <w:t>-</w:t>
      </w:r>
      <w:r>
        <w:tab/>
        <w:t>Auswirkungen auf das Vorflutersystem (Gewässer)</w:t>
      </w:r>
    </w:p>
    <w:p w:rsidR="005A4BCC" w:rsidRDefault="005A4BCC" w:rsidP="005A4BCC">
      <w:pPr>
        <w:pStyle w:val="GesAbsatz"/>
      </w:pPr>
      <w:r>
        <w:t>-</w:t>
      </w:r>
      <w:r>
        <w:tab/>
        <w:t>Nutzanforderungen an das Vorflutersystem (Gewässer)</w:t>
      </w:r>
    </w:p>
    <w:p w:rsidR="005A4BCC" w:rsidRDefault="005A4BCC" w:rsidP="005A4BCC">
      <w:pPr>
        <w:pStyle w:val="GesAbsatz"/>
      </w:pPr>
      <w:r>
        <w:t>Aus der jeweils vorliegenden Kombination dieser Kriterien ergeben sich für die Selbstüberwachung folge</w:t>
      </w:r>
      <w:r>
        <w:t>n</w:t>
      </w:r>
      <w:r>
        <w:t>de Häufigkeitsstufen:</w:t>
      </w:r>
    </w:p>
    <w:p w:rsidR="005A4BCC" w:rsidRDefault="005A4BCC" w:rsidP="00142AF2">
      <w:pPr>
        <w:pStyle w:val="GesAbsatz"/>
        <w:tabs>
          <w:tab w:val="left" w:pos="1560"/>
        </w:tabs>
      </w:pPr>
      <w:r>
        <w:t>-</w:t>
      </w:r>
      <w:r>
        <w:tab/>
        <w:t>Stufe I:</w:t>
      </w:r>
      <w:r w:rsidR="00142AF2">
        <w:tab/>
      </w:r>
      <w:r>
        <w:t>Selbstüberwachung 2mal je Woche</w:t>
      </w:r>
    </w:p>
    <w:p w:rsidR="005A4BCC" w:rsidRDefault="005A4BCC" w:rsidP="00142AF2">
      <w:pPr>
        <w:pStyle w:val="GesAbsatz"/>
        <w:tabs>
          <w:tab w:val="left" w:pos="1560"/>
        </w:tabs>
      </w:pPr>
      <w:r>
        <w:t>-</w:t>
      </w:r>
      <w:r>
        <w:tab/>
        <w:t>Stufe II:</w:t>
      </w:r>
      <w:r w:rsidR="00142AF2">
        <w:tab/>
      </w:r>
      <w:r>
        <w:t>Selbstüberwachung 2mal je Monat</w:t>
      </w:r>
    </w:p>
    <w:p w:rsidR="005A4BCC" w:rsidRDefault="005A4BCC" w:rsidP="00142AF2">
      <w:pPr>
        <w:pStyle w:val="GesAbsatz"/>
        <w:tabs>
          <w:tab w:val="left" w:pos="1560"/>
        </w:tabs>
      </w:pPr>
      <w:r>
        <w:t>-</w:t>
      </w:r>
      <w:r>
        <w:tab/>
        <w:t>Stufe III:</w:t>
      </w:r>
      <w:r w:rsidR="00142AF2">
        <w:tab/>
      </w:r>
      <w:r>
        <w:t>Selbstüberwachung 6mal je Jahr</w:t>
      </w:r>
    </w:p>
    <w:p w:rsidR="005A4BCC" w:rsidRDefault="005A4BCC" w:rsidP="00142AF2">
      <w:pPr>
        <w:pStyle w:val="GesAbsatz"/>
        <w:tabs>
          <w:tab w:val="left" w:pos="1560"/>
        </w:tabs>
      </w:pPr>
      <w:r>
        <w:t>-</w:t>
      </w:r>
      <w:r>
        <w:tab/>
        <w:t>Stufe IV:</w:t>
      </w:r>
      <w:r w:rsidR="00142AF2">
        <w:tab/>
      </w:r>
      <w:r>
        <w:t>Selbstüberwachung 4mal je Jahr</w:t>
      </w:r>
    </w:p>
    <w:p w:rsidR="00A17DC8" w:rsidRDefault="005A4BCC" w:rsidP="005A4BCC">
      <w:pPr>
        <w:pStyle w:val="GesAbsatz"/>
      </w:pPr>
      <w:r>
        <w:lastRenderedPageBreak/>
        <w:t>In begründeten Fällen können weitere Kriterien berücksichtigt werden oder es kann von den sich nach di</w:t>
      </w:r>
      <w:r>
        <w:t>e</w:t>
      </w:r>
      <w:r>
        <w:t>sen Kriterien ergebenden Stufen abgewichen werden. Die Festlegung von Zwischenstufen bleibt unbeno</w:t>
      </w:r>
      <w:r>
        <w:t>m</w:t>
      </w:r>
      <w:r>
        <w:t>men. Für die einzelnen Parameter können unterschiedliche Häufigkeiten vorgesehen werden.</w:t>
      </w:r>
    </w:p>
    <w:p w:rsidR="005A4BCC" w:rsidRDefault="005A4BCC" w:rsidP="005A4BCC">
      <w:pPr>
        <w:pStyle w:val="GesAbsatz"/>
      </w:pPr>
      <w:r>
        <w:t xml:space="preserve">In den wasserrechtlichen Bescheid sollte die Auflage übernommen werden, </w:t>
      </w:r>
      <w:proofErr w:type="spellStart"/>
      <w:r>
        <w:t>daß</w:t>
      </w:r>
      <w:proofErr w:type="spellEnd"/>
      <w:r>
        <w:t xml:space="preserve"> eine um 1 Stufe heraufg</w:t>
      </w:r>
      <w:r>
        <w:t>e</w:t>
      </w:r>
      <w:r>
        <w:t>setzte Selbstüberwachung gefordert wird, wenn im Rahmen der behördlichen Überwachung der Abwa</w:t>
      </w:r>
      <w:r>
        <w:t>s</w:t>
      </w:r>
      <w:r>
        <w:t>sereinleitung innerhalb von 12 Monaten mehrfach Überschreitungen der Überwachungswerte festgestellt werden. Das für die behördliche Überwachung zuständige Staatliche Amt für Wasser- und Abfallwirtschaft gibt dem Einleiter bekannt, wann die zusätzliche Selbstüberwachung wieder eingestellt werden kann.</w:t>
      </w:r>
    </w:p>
    <w:p w:rsidR="005A4BCC" w:rsidRDefault="005A4BCC" w:rsidP="00A17DC8">
      <w:pPr>
        <w:pStyle w:val="berschrift2"/>
        <w:jc w:val="left"/>
      </w:pPr>
      <w:bookmarkStart w:id="7" w:name="_Toc414607876"/>
      <w:r>
        <w:t>6.</w:t>
      </w:r>
      <w:r w:rsidR="00A17DC8">
        <w:tab/>
      </w:r>
      <w:r>
        <w:t>Aufbewahren der Ergebnisse</w:t>
      </w:r>
      <w:bookmarkEnd w:id="7"/>
    </w:p>
    <w:p w:rsidR="005A4BCC" w:rsidRDefault="005A4BCC" w:rsidP="005A4BCC">
      <w:pPr>
        <w:pStyle w:val="GesAbsatz"/>
      </w:pPr>
      <w:r>
        <w:t>Nach § 60 Abs. 4 LWG sind die Untersuchungsergebnisse von demjenigen, der die Untersuchungen durc</w:t>
      </w:r>
      <w:r>
        <w:t>h</w:t>
      </w:r>
      <w:r>
        <w:t>geführt hat</w:t>
      </w:r>
      <w:r w:rsidR="00A17DC8">
        <w:t>,</w:t>
      </w:r>
      <w:r>
        <w:t xml:space="preserve"> mindestens drei Jahre aufzubewahren und auf Anforderung dem Staatlichen Amt für Wasser- und Abfallwirtschaft unmittelbar vorzulegen.</w:t>
      </w:r>
    </w:p>
    <w:p w:rsidR="005A4BCC" w:rsidRDefault="005A4BCC" w:rsidP="005A4BCC">
      <w:pPr>
        <w:pStyle w:val="GesAbsatz"/>
      </w:pPr>
      <w:r>
        <w:t xml:space="preserve">Im Regelfall soll von der Forderung einer generellen Zuleitung der Untersuchungsergebnisse an staatliche Stellen abgesehen werden. Allerdings sollte das </w:t>
      </w:r>
      <w:proofErr w:type="spellStart"/>
      <w:r>
        <w:t>StAWA</w:t>
      </w:r>
      <w:proofErr w:type="spellEnd"/>
      <w:r>
        <w:t xml:space="preserve"> von Zeit zu Zeit Einsicht in die beim Einleiter au</w:t>
      </w:r>
      <w:r>
        <w:t>f</w:t>
      </w:r>
      <w:r>
        <w:t xml:space="preserve">bewahrten Unterlagen nehmen. Nur in besonderen Fällen sollte das </w:t>
      </w:r>
      <w:proofErr w:type="spellStart"/>
      <w:r>
        <w:t>StAWA</w:t>
      </w:r>
      <w:proofErr w:type="spellEnd"/>
      <w:r>
        <w:t xml:space="preserve"> die Vorlage fordern, wenn sich z.B. erhebliche Abweichungen zwischen den Ergebnissen der behördlichen und der Selbstüberwachung ergeben oder bei der behördlichen Überwachung Höchstwertüberschreitungen festgestellt werden. Auch dann sollte nur eine zeitweise Übersendung der Ergebnisse der Selbstüberwachung verlangt werden, soweit dies beispielsweise für eine Ursachenuntersuchung erforderlich ist.</w:t>
      </w:r>
    </w:p>
    <w:p w:rsidR="005A4BCC" w:rsidRDefault="005A4BCC" w:rsidP="005A4BCC">
      <w:pPr>
        <w:pStyle w:val="GesAbsatz"/>
      </w:pPr>
      <w:r>
        <w:t>Eine regelmäßige Vorlage der Selbstüberwachungswerte ist im wasserrechtlichen Bescheid nur dann vorz</w:t>
      </w:r>
      <w:r>
        <w:t>u</w:t>
      </w:r>
      <w:r>
        <w:t>sehen, wenn Begrenzungen an Langzeitproben z.B. aus internationalen Regelungen vorgenommen we</w:t>
      </w:r>
      <w:r>
        <w:t>r</w:t>
      </w:r>
      <w:r>
        <w:t xml:space="preserve">den müssen, die durch behördliche Untersuchungen nicht kontrolliert werden können (Beispiel: monatliche </w:t>
      </w:r>
      <w:proofErr w:type="spellStart"/>
      <w:r>
        <w:t>Chl</w:t>
      </w:r>
      <w:r>
        <w:t>o</w:t>
      </w:r>
      <w:r>
        <w:t>ridfrachtbegrenzung</w:t>
      </w:r>
      <w:proofErr w:type="spellEnd"/>
      <w:r>
        <w:t>).</w:t>
      </w:r>
    </w:p>
    <w:p w:rsidR="005A4BCC" w:rsidRDefault="005A4BCC" w:rsidP="005A4BCC">
      <w:pPr>
        <w:pStyle w:val="GesAbsatz"/>
      </w:pPr>
    </w:p>
    <w:p w:rsidR="003859BB" w:rsidRDefault="003859BB" w:rsidP="005917E3">
      <w:pPr>
        <w:pStyle w:val="berschrift2"/>
        <w:jc w:val="left"/>
        <w:sectPr w:rsidR="003859BB">
          <w:headerReference w:type="default" r:id="rId9"/>
          <w:footerReference w:type="even" r:id="rId10"/>
          <w:footerReference w:type="default" r:id="rId11"/>
          <w:pgSz w:w="11907" w:h="16840" w:code="9"/>
          <w:pgMar w:top="1134" w:right="851" w:bottom="1134" w:left="1418" w:header="567" w:footer="851" w:gutter="0"/>
          <w:cols w:space="720"/>
        </w:sectPr>
      </w:pPr>
    </w:p>
    <w:p w:rsidR="005A4BCC" w:rsidRDefault="005A4BCC" w:rsidP="005917E3">
      <w:pPr>
        <w:pStyle w:val="berschrift2"/>
        <w:jc w:val="left"/>
      </w:pPr>
      <w:bookmarkStart w:id="8" w:name="_Toc414607877"/>
      <w:r>
        <w:lastRenderedPageBreak/>
        <w:t>Anlage</w:t>
      </w:r>
      <w:bookmarkEnd w:id="8"/>
    </w:p>
    <w:p w:rsidR="005917E3" w:rsidRPr="005917E3" w:rsidRDefault="005917E3" w:rsidP="005917E3">
      <w:pPr>
        <w:pStyle w:val="GesAbsatz"/>
        <w:jc w:val="center"/>
        <w:rPr>
          <w:b/>
        </w:rPr>
      </w:pPr>
      <w:r w:rsidRPr="005917E3">
        <w:rPr>
          <w:b/>
        </w:rPr>
        <w:t>Entscheidungsraster für die Häufigkeit der</w:t>
      </w:r>
      <w:r>
        <w:rPr>
          <w:b/>
        </w:rPr>
        <w:br/>
      </w:r>
      <w:r w:rsidRPr="005917E3">
        <w:rPr>
          <w:b/>
        </w:rPr>
        <w:t>ÜBERWACHUNG VON ABWASSERLEITUNGEN</w:t>
      </w:r>
    </w:p>
    <w:p w:rsidR="005A4BCC" w:rsidRDefault="005A4BCC" w:rsidP="005A4BCC">
      <w:pPr>
        <w:pStyle w:val="GesAbsatz"/>
      </w:pPr>
    </w:p>
    <w:tbl>
      <w:tblPr>
        <w:tblStyle w:val="Tabellenraster"/>
        <w:tblW w:w="0" w:type="auto"/>
        <w:tblLayout w:type="fixed"/>
        <w:tblLook w:val="04A0" w:firstRow="1" w:lastRow="0" w:firstColumn="1" w:lastColumn="0" w:noHBand="0" w:noVBand="1"/>
      </w:tblPr>
      <w:tblGrid>
        <w:gridCol w:w="675"/>
        <w:gridCol w:w="1134"/>
        <w:gridCol w:w="1134"/>
        <w:gridCol w:w="1134"/>
        <w:gridCol w:w="1217"/>
        <w:gridCol w:w="1162"/>
        <w:gridCol w:w="1248"/>
        <w:gridCol w:w="954"/>
        <w:gridCol w:w="889"/>
        <w:gridCol w:w="909"/>
        <w:gridCol w:w="872"/>
        <w:gridCol w:w="884"/>
        <w:gridCol w:w="654"/>
        <w:gridCol w:w="567"/>
        <w:gridCol w:w="567"/>
        <w:gridCol w:w="567"/>
      </w:tblGrid>
      <w:tr w:rsidR="00D8111A" w:rsidRPr="003859BB" w:rsidTr="00D8111A">
        <w:trPr>
          <w:tblHeader/>
        </w:trPr>
        <w:tc>
          <w:tcPr>
            <w:tcW w:w="675" w:type="dxa"/>
            <w:vMerge w:val="restart"/>
            <w:vAlign w:val="center"/>
          </w:tcPr>
          <w:p w:rsidR="00D8111A" w:rsidRPr="003859BB" w:rsidRDefault="00D8111A" w:rsidP="00D8111A">
            <w:pPr>
              <w:pStyle w:val="GesAbsatz"/>
              <w:tabs>
                <w:tab w:val="clear" w:pos="425"/>
              </w:tabs>
              <w:jc w:val="center"/>
            </w:pPr>
            <w:r w:rsidRPr="003859BB">
              <w:t>Fall</w:t>
            </w:r>
          </w:p>
        </w:tc>
        <w:tc>
          <w:tcPr>
            <w:tcW w:w="11537" w:type="dxa"/>
            <w:gridSpan w:val="11"/>
            <w:vAlign w:val="center"/>
          </w:tcPr>
          <w:p w:rsidR="00D8111A" w:rsidRPr="003859BB" w:rsidRDefault="00D8111A" w:rsidP="00D8111A">
            <w:pPr>
              <w:pStyle w:val="GesAbsatz"/>
              <w:tabs>
                <w:tab w:val="clear" w:pos="425"/>
              </w:tabs>
              <w:jc w:val="center"/>
            </w:pPr>
            <w:r w:rsidRPr="003859BB">
              <w:t>Kriterien für die Häufigkeit der Unters</w:t>
            </w:r>
            <w:r w:rsidRPr="003859BB">
              <w:t>u</w:t>
            </w:r>
            <w:r w:rsidRPr="003859BB">
              <w:t>chungen</w:t>
            </w:r>
          </w:p>
        </w:tc>
        <w:tc>
          <w:tcPr>
            <w:tcW w:w="2355" w:type="dxa"/>
            <w:gridSpan w:val="4"/>
            <w:vAlign w:val="center"/>
          </w:tcPr>
          <w:p w:rsidR="00D8111A" w:rsidRPr="003859BB" w:rsidRDefault="00D8111A" w:rsidP="00D8111A">
            <w:pPr>
              <w:pStyle w:val="GesAbsatz"/>
              <w:tabs>
                <w:tab w:val="clear" w:pos="425"/>
              </w:tabs>
              <w:jc w:val="center"/>
            </w:pPr>
            <w:r w:rsidRPr="003859BB">
              <w:t>Selbstüberwachung St</w:t>
            </w:r>
            <w:r w:rsidRPr="003859BB">
              <w:t>u</w:t>
            </w:r>
            <w:r w:rsidRPr="003859BB">
              <w:t>fe</w:t>
            </w:r>
          </w:p>
        </w:tc>
      </w:tr>
      <w:tr w:rsidR="00D8111A" w:rsidRPr="003859BB" w:rsidTr="00D8111A">
        <w:trPr>
          <w:tblHeader/>
        </w:trPr>
        <w:tc>
          <w:tcPr>
            <w:tcW w:w="675" w:type="dxa"/>
            <w:vMerge/>
            <w:vAlign w:val="center"/>
          </w:tcPr>
          <w:p w:rsidR="00D8111A" w:rsidRPr="003859BB" w:rsidRDefault="00D8111A" w:rsidP="00D8111A">
            <w:pPr>
              <w:pStyle w:val="GesAbsatz"/>
              <w:tabs>
                <w:tab w:val="clear" w:pos="425"/>
              </w:tabs>
              <w:jc w:val="center"/>
            </w:pPr>
          </w:p>
        </w:tc>
        <w:tc>
          <w:tcPr>
            <w:tcW w:w="3402" w:type="dxa"/>
            <w:gridSpan w:val="3"/>
            <w:vAlign w:val="center"/>
          </w:tcPr>
          <w:p w:rsidR="00D8111A" w:rsidRPr="003859BB" w:rsidRDefault="00D8111A" w:rsidP="00D8111A">
            <w:pPr>
              <w:pStyle w:val="GesAbsatz"/>
              <w:tabs>
                <w:tab w:val="clear" w:pos="425"/>
              </w:tabs>
              <w:jc w:val="center"/>
            </w:pPr>
            <w:r w:rsidRPr="003859BB">
              <w:t>Gefährlichkeit der Scha</w:t>
            </w:r>
            <w:r w:rsidRPr="003859BB">
              <w:t>d</w:t>
            </w:r>
            <w:r w:rsidRPr="003859BB">
              <w:t>stoffe</w:t>
            </w:r>
          </w:p>
        </w:tc>
        <w:tc>
          <w:tcPr>
            <w:tcW w:w="2379" w:type="dxa"/>
            <w:gridSpan w:val="2"/>
            <w:vAlign w:val="center"/>
          </w:tcPr>
          <w:p w:rsidR="00D8111A" w:rsidRPr="003859BB" w:rsidRDefault="00D8111A" w:rsidP="00D8111A">
            <w:pPr>
              <w:pStyle w:val="GesAbsatz"/>
              <w:tabs>
                <w:tab w:val="clear" w:pos="425"/>
              </w:tabs>
              <w:jc w:val="center"/>
            </w:pPr>
            <w:r w:rsidRPr="003859BB">
              <w:t>Besondere Risikofakt</w:t>
            </w:r>
            <w:r w:rsidRPr="003859BB">
              <w:t>o</w:t>
            </w:r>
            <w:r w:rsidRPr="003859BB">
              <w:t>ren</w:t>
            </w:r>
          </w:p>
        </w:tc>
        <w:tc>
          <w:tcPr>
            <w:tcW w:w="3091" w:type="dxa"/>
            <w:gridSpan w:val="3"/>
            <w:vAlign w:val="center"/>
          </w:tcPr>
          <w:p w:rsidR="00D8111A" w:rsidRPr="003859BB" w:rsidRDefault="00D8111A" w:rsidP="00D8111A">
            <w:pPr>
              <w:pStyle w:val="GesAbsatz"/>
              <w:tabs>
                <w:tab w:val="clear" w:pos="425"/>
              </w:tabs>
              <w:jc w:val="center"/>
            </w:pPr>
            <w:r w:rsidRPr="003859BB">
              <w:t>Auswirkungen auf das Vorfl</w:t>
            </w:r>
            <w:r w:rsidRPr="003859BB">
              <w:t>u</w:t>
            </w:r>
            <w:r w:rsidRPr="003859BB">
              <w:t>tersy</w:t>
            </w:r>
            <w:r w:rsidRPr="003859BB">
              <w:t>s</w:t>
            </w:r>
            <w:r w:rsidRPr="003859BB">
              <w:t>tem</w:t>
            </w:r>
          </w:p>
        </w:tc>
        <w:tc>
          <w:tcPr>
            <w:tcW w:w="2665" w:type="dxa"/>
            <w:gridSpan w:val="3"/>
            <w:vAlign w:val="center"/>
          </w:tcPr>
          <w:p w:rsidR="00D8111A" w:rsidRPr="003859BB" w:rsidRDefault="00D8111A" w:rsidP="0019127F">
            <w:pPr>
              <w:pStyle w:val="GesAbsatz"/>
              <w:tabs>
                <w:tab w:val="clear" w:pos="425"/>
              </w:tabs>
              <w:jc w:val="center"/>
            </w:pPr>
            <w:r w:rsidRPr="003859BB">
              <w:t>Nutzungsanforderung Vo</w:t>
            </w:r>
            <w:r w:rsidRPr="003859BB">
              <w:t>r</w:t>
            </w:r>
            <w:r w:rsidRPr="003859BB">
              <w:t>flutersy</w:t>
            </w:r>
            <w:r w:rsidRPr="003859BB">
              <w:t>s</w:t>
            </w:r>
            <w:r w:rsidRPr="003859BB">
              <w:t>tem</w:t>
            </w:r>
          </w:p>
        </w:tc>
        <w:tc>
          <w:tcPr>
            <w:tcW w:w="654" w:type="dxa"/>
            <w:vMerge w:val="restart"/>
            <w:vAlign w:val="center"/>
          </w:tcPr>
          <w:p w:rsidR="00D8111A" w:rsidRPr="003859BB" w:rsidRDefault="00D8111A" w:rsidP="00D8111A">
            <w:pPr>
              <w:pStyle w:val="GesAbsatz"/>
              <w:tabs>
                <w:tab w:val="clear" w:pos="425"/>
              </w:tabs>
              <w:jc w:val="center"/>
            </w:pPr>
            <w:r w:rsidRPr="003859BB">
              <w:t>I</w:t>
            </w:r>
          </w:p>
        </w:tc>
        <w:tc>
          <w:tcPr>
            <w:tcW w:w="567" w:type="dxa"/>
            <w:vMerge w:val="restart"/>
            <w:vAlign w:val="center"/>
          </w:tcPr>
          <w:p w:rsidR="00D8111A" w:rsidRPr="003859BB" w:rsidRDefault="00D8111A" w:rsidP="00D8111A">
            <w:pPr>
              <w:pStyle w:val="GesAbsatz"/>
              <w:tabs>
                <w:tab w:val="clear" w:pos="425"/>
              </w:tabs>
              <w:jc w:val="center"/>
            </w:pPr>
            <w:r w:rsidRPr="003859BB">
              <w:t>II</w:t>
            </w:r>
          </w:p>
        </w:tc>
        <w:tc>
          <w:tcPr>
            <w:tcW w:w="567" w:type="dxa"/>
            <w:vMerge w:val="restart"/>
            <w:vAlign w:val="center"/>
          </w:tcPr>
          <w:p w:rsidR="00D8111A" w:rsidRPr="003859BB" w:rsidRDefault="00D8111A" w:rsidP="00D8111A">
            <w:pPr>
              <w:pStyle w:val="GesAbsatz"/>
              <w:tabs>
                <w:tab w:val="clear" w:pos="425"/>
              </w:tabs>
              <w:jc w:val="center"/>
            </w:pPr>
            <w:r w:rsidRPr="003859BB">
              <w:t>III</w:t>
            </w:r>
          </w:p>
        </w:tc>
        <w:tc>
          <w:tcPr>
            <w:tcW w:w="567" w:type="dxa"/>
            <w:vMerge w:val="restart"/>
            <w:vAlign w:val="center"/>
          </w:tcPr>
          <w:p w:rsidR="00D8111A" w:rsidRPr="003859BB" w:rsidRDefault="00D8111A" w:rsidP="00D8111A">
            <w:pPr>
              <w:pStyle w:val="GesAbsatz"/>
              <w:tabs>
                <w:tab w:val="clear" w:pos="425"/>
              </w:tabs>
              <w:jc w:val="center"/>
            </w:pPr>
            <w:r w:rsidRPr="003859BB">
              <w:t>IV</w:t>
            </w:r>
          </w:p>
        </w:tc>
      </w:tr>
      <w:tr w:rsidR="00D8111A" w:rsidRPr="003859BB" w:rsidTr="00D8111A">
        <w:trPr>
          <w:tblHeader/>
        </w:trPr>
        <w:tc>
          <w:tcPr>
            <w:tcW w:w="675" w:type="dxa"/>
            <w:vMerge/>
            <w:vAlign w:val="center"/>
          </w:tcPr>
          <w:p w:rsidR="00D8111A" w:rsidRPr="003859BB" w:rsidRDefault="00D8111A" w:rsidP="00D8111A">
            <w:pPr>
              <w:pStyle w:val="GesAbsatz"/>
              <w:tabs>
                <w:tab w:val="clear" w:pos="425"/>
              </w:tabs>
              <w:jc w:val="center"/>
            </w:pPr>
          </w:p>
        </w:tc>
        <w:tc>
          <w:tcPr>
            <w:tcW w:w="1134" w:type="dxa"/>
            <w:vAlign w:val="center"/>
          </w:tcPr>
          <w:p w:rsidR="00D8111A" w:rsidRPr="003859BB" w:rsidRDefault="00D8111A" w:rsidP="00D8111A">
            <w:pPr>
              <w:pStyle w:val="GesAbsatz"/>
              <w:tabs>
                <w:tab w:val="clear" w:pos="425"/>
              </w:tabs>
              <w:jc w:val="center"/>
            </w:pPr>
            <w:r w:rsidRPr="003859BB">
              <w:t>beso</w:t>
            </w:r>
            <w:r w:rsidRPr="003859BB">
              <w:t>n</w:t>
            </w:r>
            <w:r w:rsidRPr="003859BB">
              <w:t>ders g</w:t>
            </w:r>
            <w:r w:rsidRPr="003859BB">
              <w:t>e</w:t>
            </w:r>
            <w:r w:rsidRPr="003859BB">
              <w:t>fährlich</w:t>
            </w:r>
          </w:p>
        </w:tc>
        <w:tc>
          <w:tcPr>
            <w:tcW w:w="1134" w:type="dxa"/>
            <w:vAlign w:val="center"/>
          </w:tcPr>
          <w:p w:rsidR="00D8111A" w:rsidRPr="003859BB" w:rsidRDefault="00D8111A" w:rsidP="00D8111A">
            <w:pPr>
              <w:pStyle w:val="GesAbsatz"/>
              <w:tabs>
                <w:tab w:val="clear" w:pos="425"/>
              </w:tabs>
              <w:jc w:val="center"/>
            </w:pPr>
            <w:r w:rsidRPr="003859BB">
              <w:t>gefährlich</w:t>
            </w:r>
          </w:p>
        </w:tc>
        <w:tc>
          <w:tcPr>
            <w:tcW w:w="1134" w:type="dxa"/>
            <w:vAlign w:val="center"/>
          </w:tcPr>
          <w:p w:rsidR="00D8111A" w:rsidRPr="003859BB" w:rsidRDefault="00D8111A" w:rsidP="00D8111A">
            <w:pPr>
              <w:pStyle w:val="GesAbsatz"/>
              <w:tabs>
                <w:tab w:val="clear" w:pos="425"/>
              </w:tabs>
              <w:jc w:val="center"/>
            </w:pPr>
            <w:r w:rsidRPr="003859BB">
              <w:t>abbaubar</w:t>
            </w:r>
          </w:p>
        </w:tc>
        <w:tc>
          <w:tcPr>
            <w:tcW w:w="1217" w:type="dxa"/>
            <w:vAlign w:val="center"/>
          </w:tcPr>
          <w:p w:rsidR="00D8111A" w:rsidRPr="003859BB" w:rsidRDefault="00D8111A" w:rsidP="00D8111A">
            <w:pPr>
              <w:pStyle w:val="GesAbsatz"/>
              <w:tabs>
                <w:tab w:val="clear" w:pos="425"/>
              </w:tabs>
              <w:jc w:val="center"/>
            </w:pPr>
            <w:r w:rsidRPr="003859BB">
              <w:t>vorhanden</w:t>
            </w:r>
          </w:p>
        </w:tc>
        <w:tc>
          <w:tcPr>
            <w:tcW w:w="1162" w:type="dxa"/>
            <w:vAlign w:val="center"/>
          </w:tcPr>
          <w:p w:rsidR="00D8111A" w:rsidRPr="003859BB" w:rsidRDefault="00D8111A" w:rsidP="00D8111A">
            <w:pPr>
              <w:pStyle w:val="GesAbsatz"/>
              <w:tabs>
                <w:tab w:val="clear" w:pos="425"/>
              </w:tabs>
              <w:jc w:val="center"/>
            </w:pPr>
            <w:r w:rsidRPr="003859BB">
              <w:t>nicht vo</w:t>
            </w:r>
            <w:r w:rsidRPr="003859BB">
              <w:t>r</w:t>
            </w:r>
            <w:r w:rsidRPr="003859BB">
              <w:t>handen</w:t>
            </w:r>
          </w:p>
        </w:tc>
        <w:tc>
          <w:tcPr>
            <w:tcW w:w="1248" w:type="dxa"/>
            <w:vAlign w:val="center"/>
          </w:tcPr>
          <w:p w:rsidR="00D8111A" w:rsidRPr="003859BB" w:rsidRDefault="00D8111A" w:rsidP="00D8111A">
            <w:pPr>
              <w:pStyle w:val="GesAbsatz"/>
              <w:tabs>
                <w:tab w:val="clear" w:pos="425"/>
              </w:tabs>
              <w:jc w:val="center"/>
            </w:pPr>
            <w:r w:rsidRPr="003859BB">
              <w:t>entsche</w:t>
            </w:r>
            <w:r w:rsidRPr="003859BB">
              <w:t>i</w:t>
            </w:r>
            <w:r w:rsidRPr="003859BB">
              <w:t>dend</w:t>
            </w:r>
          </w:p>
        </w:tc>
        <w:tc>
          <w:tcPr>
            <w:tcW w:w="954" w:type="dxa"/>
            <w:vAlign w:val="center"/>
          </w:tcPr>
          <w:p w:rsidR="00D8111A" w:rsidRPr="003859BB" w:rsidRDefault="00D8111A" w:rsidP="00D8111A">
            <w:pPr>
              <w:pStyle w:val="GesAbsatz"/>
              <w:tabs>
                <w:tab w:val="clear" w:pos="425"/>
              </w:tabs>
              <w:jc w:val="center"/>
            </w:pPr>
            <w:r w:rsidRPr="003859BB">
              <w:t>erkenn-bar</w:t>
            </w:r>
          </w:p>
        </w:tc>
        <w:tc>
          <w:tcPr>
            <w:tcW w:w="889" w:type="dxa"/>
            <w:vAlign w:val="center"/>
          </w:tcPr>
          <w:p w:rsidR="00D8111A" w:rsidRPr="003859BB" w:rsidRDefault="00D8111A" w:rsidP="00D8111A">
            <w:pPr>
              <w:pStyle w:val="GesAbsatz"/>
              <w:tabs>
                <w:tab w:val="clear" w:pos="425"/>
              </w:tabs>
              <w:jc w:val="center"/>
            </w:pPr>
            <w:r w:rsidRPr="003859BB">
              <w:t>kaum</w:t>
            </w:r>
          </w:p>
        </w:tc>
        <w:tc>
          <w:tcPr>
            <w:tcW w:w="909" w:type="dxa"/>
            <w:vAlign w:val="center"/>
          </w:tcPr>
          <w:p w:rsidR="00D8111A" w:rsidRPr="003859BB" w:rsidRDefault="00D8111A" w:rsidP="00D8111A">
            <w:pPr>
              <w:pStyle w:val="GesAbsatz"/>
              <w:tabs>
                <w:tab w:val="clear" w:pos="425"/>
              </w:tabs>
              <w:jc w:val="center"/>
            </w:pPr>
            <w:r w:rsidRPr="003859BB">
              <w:t>hohe</w:t>
            </w:r>
          </w:p>
        </w:tc>
        <w:tc>
          <w:tcPr>
            <w:tcW w:w="872" w:type="dxa"/>
            <w:vAlign w:val="center"/>
          </w:tcPr>
          <w:p w:rsidR="00D8111A" w:rsidRPr="003859BB" w:rsidRDefault="00D8111A" w:rsidP="00D8111A">
            <w:pPr>
              <w:pStyle w:val="GesAbsatz"/>
              <w:tabs>
                <w:tab w:val="clear" w:pos="425"/>
              </w:tabs>
              <w:jc w:val="center"/>
            </w:pPr>
            <w:r w:rsidRPr="003859BB">
              <w:t>mittl</w:t>
            </w:r>
            <w:r w:rsidRPr="003859BB">
              <w:t>e</w:t>
            </w:r>
            <w:r w:rsidRPr="003859BB">
              <w:t>re</w:t>
            </w:r>
          </w:p>
        </w:tc>
        <w:tc>
          <w:tcPr>
            <w:tcW w:w="884" w:type="dxa"/>
            <w:vAlign w:val="center"/>
          </w:tcPr>
          <w:p w:rsidR="00D8111A" w:rsidRPr="003859BB" w:rsidRDefault="00D8111A" w:rsidP="00D8111A">
            <w:pPr>
              <w:pStyle w:val="GesAbsatz"/>
              <w:tabs>
                <w:tab w:val="clear" w:pos="425"/>
              </w:tabs>
              <w:jc w:val="center"/>
            </w:pPr>
            <w:r w:rsidRPr="003859BB">
              <w:t>geringe</w:t>
            </w:r>
          </w:p>
        </w:tc>
        <w:tc>
          <w:tcPr>
            <w:tcW w:w="654" w:type="dxa"/>
            <w:vMerge/>
          </w:tcPr>
          <w:p w:rsidR="00D8111A" w:rsidRPr="003859BB" w:rsidRDefault="00D8111A" w:rsidP="003859BB">
            <w:pPr>
              <w:pStyle w:val="GesAbsatz"/>
              <w:tabs>
                <w:tab w:val="clear" w:pos="425"/>
              </w:tabs>
            </w:pPr>
          </w:p>
        </w:tc>
        <w:tc>
          <w:tcPr>
            <w:tcW w:w="567" w:type="dxa"/>
            <w:vMerge/>
          </w:tcPr>
          <w:p w:rsidR="00D8111A" w:rsidRPr="003859BB" w:rsidRDefault="00D8111A" w:rsidP="003859BB">
            <w:pPr>
              <w:pStyle w:val="GesAbsatz"/>
              <w:tabs>
                <w:tab w:val="clear" w:pos="425"/>
              </w:tabs>
            </w:pPr>
          </w:p>
        </w:tc>
        <w:tc>
          <w:tcPr>
            <w:tcW w:w="567" w:type="dxa"/>
            <w:vMerge/>
          </w:tcPr>
          <w:p w:rsidR="00D8111A" w:rsidRPr="003859BB" w:rsidRDefault="00D8111A" w:rsidP="003859BB">
            <w:pPr>
              <w:pStyle w:val="GesAbsatz"/>
              <w:tabs>
                <w:tab w:val="clear" w:pos="425"/>
              </w:tabs>
            </w:pPr>
          </w:p>
        </w:tc>
        <w:tc>
          <w:tcPr>
            <w:tcW w:w="567" w:type="dxa"/>
            <w:vMerge/>
          </w:tcPr>
          <w:p w:rsidR="00D8111A" w:rsidRPr="003859BB" w:rsidRDefault="00D8111A" w:rsidP="003859BB">
            <w:pPr>
              <w:pStyle w:val="GesAbsatz"/>
              <w:tabs>
                <w:tab w:val="clear" w:pos="425"/>
              </w:tabs>
            </w:pPr>
          </w:p>
        </w:tc>
      </w:tr>
      <w:tr w:rsidR="00D8111A" w:rsidRPr="003859BB" w:rsidTr="00D8111A">
        <w:trPr>
          <w:tblHeader/>
        </w:trPr>
        <w:tc>
          <w:tcPr>
            <w:tcW w:w="675" w:type="dxa"/>
            <w:vMerge/>
          </w:tcPr>
          <w:p w:rsidR="00D8111A" w:rsidRPr="003859BB" w:rsidRDefault="00D8111A" w:rsidP="003859BB">
            <w:pPr>
              <w:pStyle w:val="GesAbsatz"/>
              <w:tabs>
                <w:tab w:val="clear" w:pos="425"/>
              </w:tabs>
            </w:pPr>
          </w:p>
        </w:tc>
        <w:tc>
          <w:tcPr>
            <w:tcW w:w="1134" w:type="dxa"/>
          </w:tcPr>
          <w:p w:rsidR="00D8111A" w:rsidRPr="003859BB" w:rsidRDefault="00D8111A" w:rsidP="00D8111A">
            <w:pPr>
              <w:pStyle w:val="GesAbsatz"/>
              <w:tabs>
                <w:tab w:val="clear" w:pos="425"/>
              </w:tabs>
              <w:jc w:val="center"/>
            </w:pPr>
            <w:r w:rsidRPr="003859BB">
              <w:t>1</w:t>
            </w:r>
          </w:p>
        </w:tc>
        <w:tc>
          <w:tcPr>
            <w:tcW w:w="1134" w:type="dxa"/>
          </w:tcPr>
          <w:p w:rsidR="00D8111A" w:rsidRPr="003859BB" w:rsidRDefault="00D8111A" w:rsidP="00D8111A">
            <w:pPr>
              <w:pStyle w:val="GesAbsatz"/>
              <w:tabs>
                <w:tab w:val="clear" w:pos="425"/>
              </w:tabs>
              <w:jc w:val="center"/>
            </w:pPr>
            <w:r w:rsidRPr="003859BB">
              <w:t>2</w:t>
            </w:r>
          </w:p>
        </w:tc>
        <w:tc>
          <w:tcPr>
            <w:tcW w:w="1134" w:type="dxa"/>
          </w:tcPr>
          <w:p w:rsidR="00D8111A" w:rsidRPr="003859BB" w:rsidRDefault="00D8111A" w:rsidP="00D8111A">
            <w:pPr>
              <w:pStyle w:val="GesAbsatz"/>
              <w:tabs>
                <w:tab w:val="clear" w:pos="425"/>
              </w:tabs>
              <w:jc w:val="center"/>
            </w:pPr>
            <w:r w:rsidRPr="003859BB">
              <w:t>3</w:t>
            </w:r>
          </w:p>
        </w:tc>
        <w:tc>
          <w:tcPr>
            <w:tcW w:w="1217" w:type="dxa"/>
          </w:tcPr>
          <w:p w:rsidR="00D8111A" w:rsidRPr="003859BB" w:rsidRDefault="00D8111A" w:rsidP="00D8111A">
            <w:pPr>
              <w:pStyle w:val="GesAbsatz"/>
              <w:tabs>
                <w:tab w:val="clear" w:pos="425"/>
              </w:tabs>
              <w:jc w:val="center"/>
            </w:pPr>
            <w:r>
              <w:t>4</w:t>
            </w:r>
          </w:p>
        </w:tc>
        <w:tc>
          <w:tcPr>
            <w:tcW w:w="1162" w:type="dxa"/>
          </w:tcPr>
          <w:p w:rsidR="00D8111A" w:rsidRPr="003859BB" w:rsidRDefault="00D8111A" w:rsidP="00D8111A">
            <w:pPr>
              <w:pStyle w:val="GesAbsatz"/>
              <w:tabs>
                <w:tab w:val="clear" w:pos="425"/>
              </w:tabs>
              <w:jc w:val="center"/>
            </w:pPr>
            <w:r w:rsidRPr="003859BB">
              <w:t>5</w:t>
            </w:r>
          </w:p>
        </w:tc>
        <w:tc>
          <w:tcPr>
            <w:tcW w:w="1248" w:type="dxa"/>
          </w:tcPr>
          <w:p w:rsidR="00D8111A" w:rsidRPr="003859BB" w:rsidRDefault="00D8111A" w:rsidP="00D8111A">
            <w:pPr>
              <w:pStyle w:val="GesAbsatz"/>
              <w:tabs>
                <w:tab w:val="clear" w:pos="425"/>
              </w:tabs>
              <w:jc w:val="center"/>
            </w:pPr>
            <w:r w:rsidRPr="003859BB">
              <w:t>6</w:t>
            </w:r>
          </w:p>
        </w:tc>
        <w:tc>
          <w:tcPr>
            <w:tcW w:w="954" w:type="dxa"/>
          </w:tcPr>
          <w:p w:rsidR="00D8111A" w:rsidRPr="003859BB" w:rsidRDefault="00D8111A" w:rsidP="00D8111A">
            <w:pPr>
              <w:pStyle w:val="GesAbsatz"/>
              <w:tabs>
                <w:tab w:val="clear" w:pos="425"/>
              </w:tabs>
              <w:jc w:val="center"/>
            </w:pPr>
            <w:r w:rsidRPr="003859BB">
              <w:t>7</w:t>
            </w:r>
          </w:p>
        </w:tc>
        <w:tc>
          <w:tcPr>
            <w:tcW w:w="889" w:type="dxa"/>
          </w:tcPr>
          <w:p w:rsidR="00D8111A" w:rsidRPr="003859BB" w:rsidRDefault="00D8111A" w:rsidP="00D8111A">
            <w:pPr>
              <w:pStyle w:val="GesAbsatz"/>
              <w:tabs>
                <w:tab w:val="clear" w:pos="425"/>
              </w:tabs>
              <w:jc w:val="center"/>
            </w:pPr>
            <w:r w:rsidRPr="003859BB">
              <w:t>8</w:t>
            </w:r>
          </w:p>
        </w:tc>
        <w:tc>
          <w:tcPr>
            <w:tcW w:w="909" w:type="dxa"/>
          </w:tcPr>
          <w:p w:rsidR="00D8111A" w:rsidRPr="003859BB" w:rsidRDefault="00D8111A" w:rsidP="00D8111A">
            <w:pPr>
              <w:pStyle w:val="GesAbsatz"/>
              <w:tabs>
                <w:tab w:val="clear" w:pos="425"/>
              </w:tabs>
              <w:jc w:val="center"/>
            </w:pPr>
            <w:r w:rsidRPr="003859BB">
              <w:t>9</w:t>
            </w:r>
          </w:p>
        </w:tc>
        <w:tc>
          <w:tcPr>
            <w:tcW w:w="872" w:type="dxa"/>
          </w:tcPr>
          <w:p w:rsidR="00D8111A" w:rsidRPr="003859BB" w:rsidRDefault="00D8111A" w:rsidP="00D8111A">
            <w:pPr>
              <w:pStyle w:val="GesAbsatz"/>
              <w:tabs>
                <w:tab w:val="clear" w:pos="425"/>
              </w:tabs>
              <w:jc w:val="center"/>
            </w:pPr>
            <w:r w:rsidRPr="003859BB">
              <w:t>10</w:t>
            </w:r>
          </w:p>
        </w:tc>
        <w:tc>
          <w:tcPr>
            <w:tcW w:w="884" w:type="dxa"/>
          </w:tcPr>
          <w:p w:rsidR="00D8111A" w:rsidRPr="003859BB" w:rsidRDefault="00D8111A" w:rsidP="00D8111A">
            <w:pPr>
              <w:pStyle w:val="GesAbsatz"/>
              <w:tabs>
                <w:tab w:val="clear" w:pos="425"/>
              </w:tabs>
              <w:jc w:val="center"/>
            </w:pPr>
            <w:r w:rsidRPr="003859BB">
              <w:t>11</w:t>
            </w:r>
          </w:p>
        </w:tc>
        <w:tc>
          <w:tcPr>
            <w:tcW w:w="654" w:type="dxa"/>
          </w:tcPr>
          <w:p w:rsidR="00D8111A" w:rsidRPr="003859BB" w:rsidRDefault="00D8111A" w:rsidP="00D8111A">
            <w:pPr>
              <w:pStyle w:val="GesAbsatz"/>
              <w:tabs>
                <w:tab w:val="clear" w:pos="425"/>
              </w:tabs>
              <w:jc w:val="center"/>
            </w:pPr>
            <w:r w:rsidRPr="003859BB">
              <w:t>12</w:t>
            </w:r>
          </w:p>
        </w:tc>
        <w:tc>
          <w:tcPr>
            <w:tcW w:w="567" w:type="dxa"/>
          </w:tcPr>
          <w:p w:rsidR="00D8111A" w:rsidRPr="003859BB" w:rsidRDefault="00D8111A" w:rsidP="00D8111A">
            <w:pPr>
              <w:pStyle w:val="GesAbsatz"/>
              <w:tabs>
                <w:tab w:val="clear" w:pos="425"/>
              </w:tabs>
              <w:jc w:val="center"/>
            </w:pPr>
            <w:r w:rsidRPr="003859BB">
              <w:t>13</w:t>
            </w:r>
          </w:p>
        </w:tc>
        <w:tc>
          <w:tcPr>
            <w:tcW w:w="567" w:type="dxa"/>
          </w:tcPr>
          <w:p w:rsidR="00D8111A" w:rsidRPr="003859BB" w:rsidRDefault="00D8111A" w:rsidP="00D8111A">
            <w:pPr>
              <w:pStyle w:val="GesAbsatz"/>
              <w:tabs>
                <w:tab w:val="clear" w:pos="425"/>
              </w:tabs>
              <w:jc w:val="center"/>
            </w:pPr>
            <w:r w:rsidRPr="003859BB">
              <w:t>14</w:t>
            </w:r>
          </w:p>
        </w:tc>
        <w:tc>
          <w:tcPr>
            <w:tcW w:w="567" w:type="dxa"/>
          </w:tcPr>
          <w:p w:rsidR="00D8111A" w:rsidRPr="003859BB" w:rsidRDefault="00D8111A" w:rsidP="00D8111A">
            <w:pPr>
              <w:pStyle w:val="GesAbsatz"/>
              <w:tabs>
                <w:tab w:val="clear" w:pos="425"/>
              </w:tabs>
              <w:jc w:val="center"/>
            </w:pPr>
            <w:r w:rsidRPr="003859BB">
              <w:t>15</w:t>
            </w:r>
          </w:p>
        </w:tc>
      </w:tr>
      <w:tr w:rsidR="00D8111A" w:rsidRPr="003859BB" w:rsidTr="00D8111A">
        <w:tc>
          <w:tcPr>
            <w:tcW w:w="675" w:type="dxa"/>
          </w:tcPr>
          <w:p w:rsidR="003859BB" w:rsidRPr="003859BB" w:rsidRDefault="003859BB" w:rsidP="003859BB">
            <w:pPr>
              <w:pStyle w:val="GesAbsatz"/>
              <w:tabs>
                <w:tab w:val="clear" w:pos="425"/>
              </w:tabs>
            </w:pPr>
            <w:r w:rsidRPr="003859BB">
              <w:t>1</w:t>
            </w: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r w:rsidRPr="003859BB">
              <w:t>X</w:t>
            </w: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19127F" w:rsidP="00D8111A">
            <w:pPr>
              <w:pStyle w:val="GesAbsatz"/>
              <w:tabs>
                <w:tab w:val="clear" w:pos="425"/>
              </w:tabs>
              <w:jc w:val="center"/>
            </w:pPr>
            <w:r w:rsidRPr="003859BB">
              <w:t>X</w:t>
            </w: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19127F"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2</w:t>
            </w: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r w:rsidRPr="003859BB">
              <w:t>X</w:t>
            </w: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859BB" w:rsidP="00D8111A">
            <w:pPr>
              <w:pStyle w:val="GesAbsatz"/>
              <w:tabs>
                <w:tab w:val="clear" w:pos="425"/>
              </w:tabs>
              <w:jc w:val="center"/>
            </w:pPr>
            <w:r w:rsidRPr="003859BB">
              <w:t>X</w:t>
            </w: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7861D5" w:rsidP="00D8111A">
            <w:pPr>
              <w:pStyle w:val="GesAbsatz"/>
              <w:tabs>
                <w:tab w:val="clear" w:pos="425"/>
              </w:tabs>
              <w:jc w:val="center"/>
            </w:pPr>
            <w:r>
              <w:t>X</w:t>
            </w: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3</w:t>
            </w: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r w:rsidRPr="003859BB">
              <w:t>X</w:t>
            </w: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859BB" w:rsidP="00D8111A">
            <w:pPr>
              <w:pStyle w:val="GesAbsatz"/>
              <w:tabs>
                <w:tab w:val="clear" w:pos="425"/>
              </w:tabs>
              <w:jc w:val="center"/>
            </w:pPr>
            <w:r w:rsidRPr="003859BB">
              <w:t>X</w:t>
            </w: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19127F" w:rsidP="00D8111A">
            <w:pPr>
              <w:pStyle w:val="GesAbsatz"/>
              <w:tabs>
                <w:tab w:val="clear" w:pos="425"/>
              </w:tabs>
              <w:jc w:val="center"/>
            </w:pPr>
            <w:r>
              <w:t>X</w:t>
            </w: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4</w:t>
            </w: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19127F" w:rsidP="00D8111A">
            <w:pPr>
              <w:pStyle w:val="GesAbsatz"/>
              <w:tabs>
                <w:tab w:val="clear" w:pos="425"/>
              </w:tabs>
              <w:jc w:val="center"/>
            </w:pPr>
            <w:r>
              <w:t>X</w:t>
            </w: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19127F" w:rsidP="00D8111A">
            <w:pPr>
              <w:pStyle w:val="GesAbsatz"/>
              <w:tabs>
                <w:tab w:val="clear" w:pos="425"/>
              </w:tabs>
              <w:jc w:val="center"/>
            </w:pPr>
            <w:r w:rsidRPr="003859BB">
              <w:t>X</w:t>
            </w: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19127F" w:rsidP="00D8111A">
            <w:pPr>
              <w:pStyle w:val="GesAbsatz"/>
              <w:tabs>
                <w:tab w:val="clear" w:pos="425"/>
              </w:tabs>
              <w:jc w:val="center"/>
            </w:pPr>
            <w:r>
              <w:t>X</w:t>
            </w: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5</w:t>
            </w: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r w:rsidRPr="003859BB">
              <w:t>X</w:t>
            </w: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7861D5" w:rsidP="00D8111A">
            <w:pPr>
              <w:pStyle w:val="GesAbsatz"/>
              <w:tabs>
                <w:tab w:val="clear" w:pos="425"/>
              </w:tabs>
              <w:jc w:val="center"/>
            </w:pPr>
            <w:r w:rsidRPr="003859BB">
              <w:t>X</w:t>
            </w: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7861D5"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6</w:t>
            </w: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r w:rsidRPr="003859BB">
              <w:t>X</w:t>
            </w: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7861D5" w:rsidP="00D8111A">
            <w:pPr>
              <w:pStyle w:val="GesAbsatz"/>
              <w:tabs>
                <w:tab w:val="clear" w:pos="425"/>
              </w:tabs>
              <w:jc w:val="center"/>
            </w:pPr>
            <w:r w:rsidRPr="003859BB">
              <w:t>X</w:t>
            </w: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7861D5"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7</w:t>
            </w: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r w:rsidRPr="003859BB">
              <w:t>X</w:t>
            </w:r>
          </w:p>
        </w:tc>
        <w:tc>
          <w:tcPr>
            <w:tcW w:w="909" w:type="dxa"/>
          </w:tcPr>
          <w:p w:rsidR="003859BB" w:rsidRPr="003859BB" w:rsidRDefault="007861D5" w:rsidP="00D8111A">
            <w:pPr>
              <w:pStyle w:val="GesAbsatz"/>
              <w:tabs>
                <w:tab w:val="clear" w:pos="425"/>
              </w:tabs>
              <w:jc w:val="center"/>
            </w:pPr>
            <w:r w:rsidRPr="003859BB">
              <w:t>X</w:t>
            </w: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7861D5"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8</w:t>
            </w: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r w:rsidRPr="003859BB">
              <w:t>X</w:t>
            </w: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7861D5" w:rsidP="00D8111A">
            <w:pPr>
              <w:pStyle w:val="GesAbsatz"/>
              <w:tabs>
                <w:tab w:val="clear" w:pos="425"/>
              </w:tabs>
              <w:jc w:val="center"/>
            </w:pPr>
            <w:r w:rsidRPr="003859BB">
              <w:t>X</w:t>
            </w: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7861D5"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9</w:t>
            </w: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7861D5" w:rsidP="00D8111A">
            <w:pPr>
              <w:pStyle w:val="GesAbsatz"/>
              <w:tabs>
                <w:tab w:val="clear" w:pos="425"/>
              </w:tabs>
              <w:jc w:val="center"/>
            </w:pPr>
            <w:r w:rsidRPr="003859BB">
              <w:t>X</w:t>
            </w: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7861D5" w:rsidP="00D8111A">
            <w:pPr>
              <w:pStyle w:val="GesAbsatz"/>
              <w:tabs>
                <w:tab w:val="clear" w:pos="425"/>
              </w:tabs>
              <w:jc w:val="center"/>
            </w:pPr>
            <w:r w:rsidRPr="003859BB">
              <w:t>X</w:t>
            </w: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7861D5"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10</w:t>
            </w: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r w:rsidRPr="003859BB">
              <w:t>X</w:t>
            </w: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7861D5" w:rsidP="00D8111A">
            <w:pPr>
              <w:pStyle w:val="GesAbsatz"/>
              <w:tabs>
                <w:tab w:val="clear" w:pos="425"/>
              </w:tabs>
              <w:jc w:val="center"/>
            </w:pPr>
            <w:r w:rsidRPr="003859BB">
              <w:t>X</w:t>
            </w: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7861D5"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11</w:t>
            </w: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r w:rsidRPr="003859BB">
              <w:t>X</w:t>
            </w: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7861D5" w:rsidP="00D8111A">
            <w:pPr>
              <w:pStyle w:val="GesAbsatz"/>
              <w:tabs>
                <w:tab w:val="clear" w:pos="425"/>
              </w:tabs>
              <w:jc w:val="center"/>
            </w:pPr>
            <w:r w:rsidRPr="003859BB">
              <w:t>X</w:t>
            </w: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7861D5"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12</w:t>
            </w: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r w:rsidRPr="003859BB">
              <w:t>X</w:t>
            </w: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7861D5" w:rsidP="00D8111A">
            <w:pPr>
              <w:pStyle w:val="GesAbsatz"/>
              <w:tabs>
                <w:tab w:val="clear" w:pos="425"/>
              </w:tabs>
              <w:jc w:val="center"/>
            </w:pPr>
            <w:r w:rsidRPr="003859BB">
              <w:t>X</w:t>
            </w: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7861D5"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lastRenderedPageBreak/>
              <w:t>13</w:t>
            </w: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r w:rsidRPr="003859BB">
              <w:t>X</w:t>
            </w: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7861D5" w:rsidP="00D8111A">
            <w:pPr>
              <w:pStyle w:val="GesAbsatz"/>
              <w:tabs>
                <w:tab w:val="clear" w:pos="425"/>
              </w:tabs>
              <w:jc w:val="center"/>
            </w:pPr>
            <w:r w:rsidRPr="003859BB">
              <w:t>X</w:t>
            </w: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7861D5"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14</w:t>
            </w: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r w:rsidRPr="003859BB">
              <w:t>X</w:t>
            </w: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7861D5" w:rsidP="00D8111A">
            <w:pPr>
              <w:pStyle w:val="GesAbsatz"/>
              <w:tabs>
                <w:tab w:val="clear" w:pos="425"/>
              </w:tabs>
              <w:jc w:val="center"/>
            </w:pPr>
            <w:r w:rsidRPr="003859BB">
              <w:t>X</w:t>
            </w: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7861D5"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15</w:t>
            </w: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r w:rsidRPr="003859BB">
              <w:t>X</w:t>
            </w: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433E6C" w:rsidP="00D8111A">
            <w:pPr>
              <w:pStyle w:val="GesAbsatz"/>
              <w:tabs>
                <w:tab w:val="clear" w:pos="425"/>
              </w:tabs>
              <w:jc w:val="center"/>
            </w:pPr>
            <w:r w:rsidRPr="003859BB">
              <w:t>X</w:t>
            </w: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433E6C" w:rsidP="00D8111A">
            <w:pPr>
              <w:pStyle w:val="GesAbsatz"/>
              <w:tabs>
                <w:tab w:val="clear" w:pos="425"/>
              </w:tabs>
              <w:jc w:val="center"/>
            </w:pPr>
            <w:r w:rsidRPr="003859BB">
              <w:t>X</w:t>
            </w:r>
          </w:p>
        </w:tc>
      </w:tr>
      <w:tr w:rsidR="00D8111A" w:rsidRPr="003859BB" w:rsidTr="00D8111A">
        <w:tc>
          <w:tcPr>
            <w:tcW w:w="675" w:type="dxa"/>
          </w:tcPr>
          <w:p w:rsidR="003859BB" w:rsidRPr="003859BB" w:rsidRDefault="003859BB" w:rsidP="003859BB">
            <w:pPr>
              <w:pStyle w:val="GesAbsatz"/>
              <w:tabs>
                <w:tab w:val="clear" w:pos="425"/>
              </w:tabs>
            </w:pPr>
            <w:r w:rsidRPr="003859BB">
              <w:t>16</w:t>
            </w: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r w:rsidRPr="003859BB">
              <w:t>X</w:t>
            </w:r>
          </w:p>
        </w:tc>
        <w:tc>
          <w:tcPr>
            <w:tcW w:w="909" w:type="dxa"/>
          </w:tcPr>
          <w:p w:rsidR="003859BB" w:rsidRPr="003859BB" w:rsidRDefault="00433E6C" w:rsidP="00D8111A">
            <w:pPr>
              <w:pStyle w:val="GesAbsatz"/>
              <w:tabs>
                <w:tab w:val="clear" w:pos="425"/>
              </w:tabs>
              <w:jc w:val="center"/>
            </w:pPr>
            <w:r w:rsidRPr="003859BB">
              <w:t>X</w:t>
            </w: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433E6C"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17</w:t>
            </w: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r w:rsidRPr="003859BB">
              <w:t>X</w:t>
            </w: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433E6C" w:rsidP="00D8111A">
            <w:pPr>
              <w:pStyle w:val="GesAbsatz"/>
              <w:tabs>
                <w:tab w:val="clear" w:pos="425"/>
              </w:tabs>
              <w:jc w:val="center"/>
            </w:pPr>
            <w:r w:rsidRPr="003859BB">
              <w:t>X</w:t>
            </w: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433E6C"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18</w:t>
            </w: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433E6C" w:rsidP="00D8111A">
            <w:pPr>
              <w:pStyle w:val="GesAbsatz"/>
              <w:tabs>
                <w:tab w:val="clear" w:pos="425"/>
              </w:tabs>
              <w:jc w:val="center"/>
            </w:pPr>
            <w:r w:rsidRPr="003859BB">
              <w:t>X</w:t>
            </w: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433E6C" w:rsidP="00D8111A">
            <w:pPr>
              <w:pStyle w:val="GesAbsatz"/>
              <w:tabs>
                <w:tab w:val="clear" w:pos="425"/>
              </w:tabs>
              <w:jc w:val="center"/>
            </w:pPr>
            <w:r w:rsidRPr="003859BB">
              <w:t>X</w:t>
            </w: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433E6C" w:rsidP="00D8111A">
            <w:pPr>
              <w:pStyle w:val="GesAbsatz"/>
              <w:tabs>
                <w:tab w:val="clear" w:pos="425"/>
              </w:tabs>
              <w:jc w:val="center"/>
            </w:pPr>
            <w:r w:rsidRPr="003859BB">
              <w:t>X</w:t>
            </w:r>
          </w:p>
        </w:tc>
      </w:tr>
      <w:tr w:rsidR="00D8111A" w:rsidRPr="003859BB" w:rsidTr="00D8111A">
        <w:tc>
          <w:tcPr>
            <w:tcW w:w="675" w:type="dxa"/>
          </w:tcPr>
          <w:p w:rsidR="003859BB" w:rsidRPr="003859BB" w:rsidRDefault="003859BB" w:rsidP="003859BB">
            <w:pPr>
              <w:pStyle w:val="GesAbsatz"/>
              <w:tabs>
                <w:tab w:val="clear" w:pos="425"/>
              </w:tabs>
            </w:pPr>
            <w:r w:rsidRPr="003859BB">
              <w:t>19</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r w:rsidRPr="003859BB">
              <w:t>X</w:t>
            </w: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433E6C" w:rsidP="00D8111A">
            <w:pPr>
              <w:pStyle w:val="GesAbsatz"/>
              <w:tabs>
                <w:tab w:val="clear" w:pos="425"/>
              </w:tabs>
              <w:jc w:val="center"/>
            </w:pPr>
            <w:r w:rsidRPr="003859BB">
              <w:t>X</w:t>
            </w: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433E6C"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20</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r w:rsidRPr="003859BB">
              <w:t>X</w:t>
            </w: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433E6C" w:rsidP="00D8111A">
            <w:pPr>
              <w:pStyle w:val="GesAbsatz"/>
              <w:tabs>
                <w:tab w:val="clear" w:pos="425"/>
              </w:tabs>
              <w:jc w:val="center"/>
            </w:pPr>
            <w:r w:rsidRPr="003859BB">
              <w:t>X</w:t>
            </w: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433E6C"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21</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r w:rsidRPr="003859BB">
              <w:t>X</w:t>
            </w: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859BB" w:rsidP="00D8111A">
            <w:pPr>
              <w:pStyle w:val="GesAbsatz"/>
              <w:tabs>
                <w:tab w:val="clear" w:pos="425"/>
              </w:tabs>
              <w:jc w:val="center"/>
            </w:pPr>
            <w:r w:rsidRPr="003859BB">
              <w:t>X</w:t>
            </w: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433E6C"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22</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r w:rsidRPr="003859BB">
              <w:t>X</w:t>
            </w: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433E6C" w:rsidP="00D8111A">
            <w:pPr>
              <w:pStyle w:val="GesAbsatz"/>
              <w:tabs>
                <w:tab w:val="clear" w:pos="425"/>
              </w:tabs>
              <w:jc w:val="center"/>
            </w:pPr>
            <w:r w:rsidRPr="003859BB">
              <w:t>X</w:t>
            </w: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433E6C"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23</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r w:rsidRPr="003859BB">
              <w:t>X</w:t>
            </w: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433E6C" w:rsidP="00D8111A">
            <w:pPr>
              <w:pStyle w:val="GesAbsatz"/>
              <w:tabs>
                <w:tab w:val="clear" w:pos="425"/>
              </w:tabs>
              <w:jc w:val="center"/>
            </w:pPr>
            <w:r w:rsidRPr="003859BB">
              <w:t>X</w:t>
            </w: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433E6C"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24</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r w:rsidRPr="003859BB">
              <w:t>X</w:t>
            </w: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433E6C" w:rsidP="00D8111A">
            <w:pPr>
              <w:pStyle w:val="GesAbsatz"/>
              <w:tabs>
                <w:tab w:val="clear" w:pos="425"/>
              </w:tabs>
              <w:jc w:val="center"/>
            </w:pPr>
            <w:r w:rsidRPr="003859BB">
              <w:t>X</w:t>
            </w: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433E6C"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25</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r w:rsidRPr="003859BB">
              <w:t>X</w:t>
            </w:r>
          </w:p>
        </w:tc>
        <w:tc>
          <w:tcPr>
            <w:tcW w:w="909" w:type="dxa"/>
          </w:tcPr>
          <w:p w:rsidR="003859BB" w:rsidRPr="003859BB" w:rsidRDefault="00433E6C" w:rsidP="00D8111A">
            <w:pPr>
              <w:pStyle w:val="GesAbsatz"/>
              <w:tabs>
                <w:tab w:val="clear" w:pos="425"/>
              </w:tabs>
              <w:jc w:val="center"/>
            </w:pPr>
            <w:r w:rsidRPr="003859BB">
              <w:t>X</w:t>
            </w: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433E6C"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26</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r w:rsidRPr="003859BB">
              <w:t>X</w:t>
            </w: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433E6C" w:rsidP="00D8111A">
            <w:pPr>
              <w:pStyle w:val="GesAbsatz"/>
              <w:tabs>
                <w:tab w:val="clear" w:pos="425"/>
              </w:tabs>
              <w:jc w:val="center"/>
            </w:pPr>
            <w:r w:rsidRPr="003859BB">
              <w:t>X</w:t>
            </w: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433E6C"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27</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433E6C" w:rsidP="00D8111A">
            <w:pPr>
              <w:pStyle w:val="GesAbsatz"/>
              <w:tabs>
                <w:tab w:val="clear" w:pos="425"/>
              </w:tabs>
              <w:jc w:val="center"/>
            </w:pPr>
            <w:r w:rsidRPr="003859BB">
              <w:t>X</w:t>
            </w: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433E6C" w:rsidP="00D8111A">
            <w:pPr>
              <w:pStyle w:val="GesAbsatz"/>
              <w:tabs>
                <w:tab w:val="clear" w:pos="425"/>
              </w:tabs>
              <w:jc w:val="center"/>
            </w:pPr>
            <w:r w:rsidRPr="003859BB">
              <w:t>X</w:t>
            </w: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433E6C"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28</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r w:rsidRPr="003859BB">
              <w:t>X</w:t>
            </w: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433E6C" w:rsidP="00D8111A">
            <w:pPr>
              <w:pStyle w:val="GesAbsatz"/>
              <w:tabs>
                <w:tab w:val="clear" w:pos="425"/>
              </w:tabs>
              <w:jc w:val="center"/>
            </w:pPr>
            <w:r w:rsidRPr="003859BB">
              <w:t>X</w:t>
            </w: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433E6C"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29</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r w:rsidRPr="003859BB">
              <w:t>X</w:t>
            </w: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433E6C" w:rsidP="00D8111A">
            <w:pPr>
              <w:pStyle w:val="GesAbsatz"/>
              <w:tabs>
                <w:tab w:val="clear" w:pos="425"/>
              </w:tabs>
              <w:jc w:val="center"/>
            </w:pPr>
            <w:r w:rsidRPr="003859BB">
              <w:t>X</w:t>
            </w: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433E6C" w:rsidP="00D8111A">
            <w:pPr>
              <w:pStyle w:val="GesAbsatz"/>
              <w:tabs>
                <w:tab w:val="clear" w:pos="425"/>
              </w:tabs>
              <w:jc w:val="center"/>
            </w:pPr>
            <w:r w:rsidRPr="003859BB">
              <w:t>X</w:t>
            </w:r>
          </w:p>
        </w:tc>
      </w:tr>
      <w:tr w:rsidR="00D8111A" w:rsidRPr="003859BB" w:rsidTr="00D8111A">
        <w:tc>
          <w:tcPr>
            <w:tcW w:w="675" w:type="dxa"/>
          </w:tcPr>
          <w:p w:rsidR="003859BB" w:rsidRPr="003859BB" w:rsidRDefault="003859BB" w:rsidP="003859BB">
            <w:pPr>
              <w:pStyle w:val="GesAbsatz"/>
              <w:tabs>
                <w:tab w:val="clear" w:pos="425"/>
              </w:tabs>
            </w:pPr>
            <w:r w:rsidRPr="003859BB">
              <w:lastRenderedPageBreak/>
              <w:t>30</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r w:rsidRPr="003859BB">
              <w:t>X</w:t>
            </w: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842D68" w:rsidP="00D8111A">
            <w:pPr>
              <w:pStyle w:val="GesAbsatz"/>
              <w:tabs>
                <w:tab w:val="clear" w:pos="425"/>
              </w:tabs>
              <w:jc w:val="center"/>
            </w:pPr>
            <w:r w:rsidRPr="003859BB">
              <w:t>X</w:t>
            </w: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842D68" w:rsidP="00D8111A">
            <w:pPr>
              <w:pStyle w:val="GesAbsatz"/>
              <w:tabs>
                <w:tab w:val="clear" w:pos="425"/>
              </w:tabs>
              <w:jc w:val="center"/>
            </w:pPr>
            <w:r w:rsidRPr="003859BB">
              <w:t>X</w:t>
            </w:r>
          </w:p>
        </w:tc>
      </w:tr>
      <w:tr w:rsidR="00D8111A" w:rsidRPr="003859BB" w:rsidTr="00D8111A">
        <w:tc>
          <w:tcPr>
            <w:tcW w:w="675" w:type="dxa"/>
          </w:tcPr>
          <w:p w:rsidR="003859BB" w:rsidRPr="003859BB" w:rsidRDefault="003859BB" w:rsidP="003859BB">
            <w:pPr>
              <w:pStyle w:val="GesAbsatz"/>
              <w:tabs>
                <w:tab w:val="clear" w:pos="425"/>
              </w:tabs>
            </w:pPr>
            <w:r w:rsidRPr="003859BB">
              <w:t>31</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r w:rsidRPr="003859BB">
              <w:t>X</w:t>
            </w: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842D68" w:rsidP="00D8111A">
            <w:pPr>
              <w:pStyle w:val="GesAbsatz"/>
              <w:tabs>
                <w:tab w:val="clear" w:pos="425"/>
              </w:tabs>
              <w:jc w:val="center"/>
            </w:pPr>
            <w:r w:rsidRPr="003859BB">
              <w:t>X</w:t>
            </w: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842D68"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32</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r w:rsidRPr="003859BB">
              <w:t>X</w:t>
            </w: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F6D2D" w:rsidP="00D8111A">
            <w:pPr>
              <w:pStyle w:val="GesAbsatz"/>
              <w:tabs>
                <w:tab w:val="clear" w:pos="425"/>
              </w:tabs>
              <w:jc w:val="center"/>
            </w:pPr>
            <w:r w:rsidRPr="003859BB">
              <w:t>X</w:t>
            </w: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F6D2D" w:rsidP="00D8111A">
            <w:pPr>
              <w:pStyle w:val="GesAbsatz"/>
              <w:tabs>
                <w:tab w:val="clear" w:pos="425"/>
              </w:tabs>
              <w:jc w:val="center"/>
            </w:pPr>
            <w:r w:rsidRPr="003859BB">
              <w:t>X</w:t>
            </w:r>
          </w:p>
        </w:tc>
      </w:tr>
      <w:tr w:rsidR="00D8111A" w:rsidRPr="003859BB" w:rsidTr="00D8111A">
        <w:tc>
          <w:tcPr>
            <w:tcW w:w="675" w:type="dxa"/>
          </w:tcPr>
          <w:p w:rsidR="003859BB" w:rsidRPr="003859BB" w:rsidRDefault="003859BB" w:rsidP="003859BB">
            <w:pPr>
              <w:pStyle w:val="GesAbsatz"/>
              <w:tabs>
                <w:tab w:val="clear" w:pos="425"/>
              </w:tabs>
            </w:pPr>
            <w:r w:rsidRPr="003859BB">
              <w:t>33</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r w:rsidRPr="003859BB">
              <w:t>X</w:t>
            </w: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F6D2D" w:rsidP="00D8111A">
            <w:pPr>
              <w:pStyle w:val="GesAbsatz"/>
              <w:tabs>
                <w:tab w:val="clear" w:pos="425"/>
              </w:tabs>
              <w:jc w:val="center"/>
            </w:pPr>
            <w:r w:rsidRPr="003859BB">
              <w:t>X</w:t>
            </w: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F6D2D" w:rsidP="00D8111A">
            <w:pPr>
              <w:pStyle w:val="GesAbsatz"/>
              <w:tabs>
                <w:tab w:val="clear" w:pos="425"/>
              </w:tabs>
              <w:jc w:val="center"/>
            </w:pPr>
            <w:r w:rsidRPr="003859BB">
              <w:t>X</w:t>
            </w:r>
          </w:p>
        </w:tc>
      </w:tr>
      <w:tr w:rsidR="00D8111A" w:rsidRPr="003859BB" w:rsidTr="00D8111A">
        <w:tc>
          <w:tcPr>
            <w:tcW w:w="675" w:type="dxa"/>
          </w:tcPr>
          <w:p w:rsidR="003859BB" w:rsidRPr="003859BB" w:rsidRDefault="003859BB" w:rsidP="003859BB">
            <w:pPr>
              <w:pStyle w:val="GesAbsatz"/>
              <w:tabs>
                <w:tab w:val="clear" w:pos="425"/>
              </w:tabs>
            </w:pPr>
            <w:r w:rsidRPr="003859BB">
              <w:t>34</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r w:rsidRPr="003859BB">
              <w:t>X</w:t>
            </w:r>
          </w:p>
        </w:tc>
        <w:tc>
          <w:tcPr>
            <w:tcW w:w="909" w:type="dxa"/>
          </w:tcPr>
          <w:p w:rsidR="003859BB" w:rsidRPr="003859BB" w:rsidRDefault="003F6D2D" w:rsidP="00D8111A">
            <w:pPr>
              <w:pStyle w:val="GesAbsatz"/>
              <w:tabs>
                <w:tab w:val="clear" w:pos="425"/>
              </w:tabs>
              <w:jc w:val="center"/>
            </w:pPr>
            <w:r w:rsidRPr="003859BB">
              <w:t>X</w:t>
            </w: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F6D2D"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35</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r w:rsidRPr="003859BB">
              <w:t>X</w:t>
            </w: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F6D2D" w:rsidP="00D8111A">
            <w:pPr>
              <w:pStyle w:val="GesAbsatz"/>
              <w:tabs>
                <w:tab w:val="clear" w:pos="425"/>
              </w:tabs>
              <w:jc w:val="center"/>
            </w:pPr>
            <w:r w:rsidRPr="003859BB">
              <w:t>X</w:t>
            </w: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F6D2D" w:rsidP="00D8111A">
            <w:pPr>
              <w:pStyle w:val="GesAbsatz"/>
              <w:tabs>
                <w:tab w:val="clear" w:pos="425"/>
              </w:tabs>
              <w:jc w:val="center"/>
            </w:pPr>
            <w:r w:rsidRPr="003859BB">
              <w:t>X</w:t>
            </w:r>
          </w:p>
        </w:tc>
      </w:tr>
      <w:tr w:rsidR="00D8111A" w:rsidRPr="003859BB" w:rsidTr="00D8111A">
        <w:tc>
          <w:tcPr>
            <w:tcW w:w="675" w:type="dxa"/>
          </w:tcPr>
          <w:p w:rsidR="003859BB" w:rsidRPr="003859BB" w:rsidRDefault="003859BB" w:rsidP="003859BB">
            <w:pPr>
              <w:pStyle w:val="GesAbsatz"/>
              <w:tabs>
                <w:tab w:val="clear" w:pos="425"/>
              </w:tabs>
            </w:pPr>
            <w:r w:rsidRPr="003859BB">
              <w:t>36</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134" w:type="dxa"/>
          </w:tcPr>
          <w:p w:rsidR="003859BB" w:rsidRPr="003859BB" w:rsidRDefault="003859BB" w:rsidP="00D8111A">
            <w:pPr>
              <w:pStyle w:val="GesAbsatz"/>
              <w:tabs>
                <w:tab w:val="clear" w:pos="425"/>
              </w:tabs>
              <w:jc w:val="center"/>
            </w:pP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F6D2D" w:rsidP="00D8111A">
            <w:pPr>
              <w:pStyle w:val="GesAbsatz"/>
              <w:tabs>
                <w:tab w:val="clear" w:pos="425"/>
              </w:tabs>
              <w:jc w:val="center"/>
            </w:pPr>
            <w:r w:rsidRPr="003859BB">
              <w:t>X</w:t>
            </w: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F6D2D" w:rsidP="00D8111A">
            <w:pPr>
              <w:pStyle w:val="GesAbsatz"/>
              <w:tabs>
                <w:tab w:val="clear" w:pos="425"/>
              </w:tabs>
              <w:jc w:val="center"/>
            </w:pPr>
            <w:r w:rsidRPr="003859BB">
              <w:t>X</w:t>
            </w: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F6D2D" w:rsidP="00D8111A">
            <w:pPr>
              <w:pStyle w:val="GesAbsatz"/>
              <w:tabs>
                <w:tab w:val="clear" w:pos="425"/>
              </w:tabs>
              <w:jc w:val="center"/>
            </w:pPr>
            <w:r w:rsidRPr="003859BB">
              <w:t>X</w:t>
            </w:r>
          </w:p>
        </w:tc>
      </w:tr>
      <w:tr w:rsidR="00D8111A" w:rsidRPr="003859BB" w:rsidTr="00D8111A">
        <w:tc>
          <w:tcPr>
            <w:tcW w:w="675" w:type="dxa"/>
          </w:tcPr>
          <w:p w:rsidR="003859BB" w:rsidRPr="003859BB" w:rsidRDefault="003859BB" w:rsidP="003859BB">
            <w:pPr>
              <w:pStyle w:val="GesAbsatz"/>
              <w:tabs>
                <w:tab w:val="clear" w:pos="425"/>
              </w:tabs>
            </w:pPr>
            <w:r w:rsidRPr="003859BB">
              <w:t>37</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r w:rsidRPr="003859BB">
              <w:t>X</w:t>
            </w: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F6D2D" w:rsidP="00D8111A">
            <w:pPr>
              <w:pStyle w:val="GesAbsatz"/>
              <w:tabs>
                <w:tab w:val="clear" w:pos="425"/>
              </w:tabs>
              <w:jc w:val="center"/>
            </w:pPr>
            <w:r w:rsidRPr="003859BB">
              <w:t>X</w:t>
            </w: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F6D2D"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38</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r w:rsidRPr="003859BB">
              <w:t>X</w:t>
            </w: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F6D2D" w:rsidP="00D8111A">
            <w:pPr>
              <w:pStyle w:val="GesAbsatz"/>
              <w:tabs>
                <w:tab w:val="clear" w:pos="425"/>
              </w:tabs>
              <w:jc w:val="center"/>
            </w:pPr>
            <w:r w:rsidRPr="003859BB">
              <w:t>X</w:t>
            </w: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F6D2D" w:rsidP="00D8111A">
            <w:pPr>
              <w:pStyle w:val="GesAbsatz"/>
              <w:tabs>
                <w:tab w:val="clear" w:pos="425"/>
              </w:tabs>
              <w:jc w:val="center"/>
            </w:pPr>
            <w:r w:rsidRPr="003859BB">
              <w:t>X</w:t>
            </w:r>
          </w:p>
        </w:tc>
      </w:tr>
      <w:tr w:rsidR="00D8111A" w:rsidRPr="003859BB" w:rsidTr="00D8111A">
        <w:tc>
          <w:tcPr>
            <w:tcW w:w="675" w:type="dxa"/>
          </w:tcPr>
          <w:p w:rsidR="003859BB" w:rsidRPr="003859BB" w:rsidRDefault="003859BB" w:rsidP="003859BB">
            <w:pPr>
              <w:pStyle w:val="GesAbsatz"/>
              <w:tabs>
                <w:tab w:val="clear" w:pos="425"/>
              </w:tabs>
            </w:pPr>
            <w:r w:rsidRPr="003859BB">
              <w:t>39</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r w:rsidRPr="003859BB">
              <w:t>X</w:t>
            </w: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F6D2D" w:rsidP="00D8111A">
            <w:pPr>
              <w:pStyle w:val="GesAbsatz"/>
              <w:tabs>
                <w:tab w:val="clear" w:pos="425"/>
              </w:tabs>
              <w:jc w:val="center"/>
            </w:pPr>
            <w:r w:rsidRPr="003859BB">
              <w:t>X</w:t>
            </w: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F6D2D" w:rsidP="00D8111A">
            <w:pPr>
              <w:pStyle w:val="GesAbsatz"/>
              <w:tabs>
                <w:tab w:val="clear" w:pos="425"/>
              </w:tabs>
              <w:jc w:val="center"/>
            </w:pPr>
            <w:r w:rsidRPr="003859BB">
              <w:t>X</w:t>
            </w:r>
          </w:p>
        </w:tc>
      </w:tr>
      <w:tr w:rsidR="00D8111A" w:rsidRPr="003859BB" w:rsidTr="00D8111A">
        <w:tc>
          <w:tcPr>
            <w:tcW w:w="675" w:type="dxa"/>
          </w:tcPr>
          <w:p w:rsidR="003859BB" w:rsidRPr="003859BB" w:rsidRDefault="003859BB" w:rsidP="003859BB">
            <w:pPr>
              <w:pStyle w:val="GesAbsatz"/>
              <w:tabs>
                <w:tab w:val="clear" w:pos="425"/>
              </w:tabs>
            </w:pPr>
            <w:r w:rsidRPr="003859BB">
              <w:t>40</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r w:rsidRPr="003859BB">
              <w:t>X</w:t>
            </w: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F6D2D" w:rsidP="00D8111A">
            <w:pPr>
              <w:pStyle w:val="GesAbsatz"/>
              <w:tabs>
                <w:tab w:val="clear" w:pos="425"/>
              </w:tabs>
              <w:jc w:val="center"/>
            </w:pPr>
            <w:r w:rsidRPr="003859BB">
              <w:t>X</w:t>
            </w: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F6D2D"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41</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r w:rsidRPr="003859BB">
              <w:t>X</w:t>
            </w: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F6D2D" w:rsidP="00D8111A">
            <w:pPr>
              <w:pStyle w:val="GesAbsatz"/>
              <w:tabs>
                <w:tab w:val="clear" w:pos="425"/>
              </w:tabs>
              <w:jc w:val="center"/>
            </w:pPr>
            <w:r w:rsidRPr="003859BB">
              <w:t>X</w:t>
            </w: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F6D2D" w:rsidP="00D8111A">
            <w:pPr>
              <w:pStyle w:val="GesAbsatz"/>
              <w:tabs>
                <w:tab w:val="clear" w:pos="425"/>
              </w:tabs>
              <w:jc w:val="center"/>
            </w:pPr>
            <w:r w:rsidRPr="003859BB">
              <w:t>X</w:t>
            </w:r>
          </w:p>
        </w:tc>
      </w:tr>
      <w:tr w:rsidR="00D8111A" w:rsidRPr="003859BB" w:rsidTr="00D8111A">
        <w:tc>
          <w:tcPr>
            <w:tcW w:w="675" w:type="dxa"/>
          </w:tcPr>
          <w:p w:rsidR="003859BB" w:rsidRPr="003859BB" w:rsidRDefault="003859BB" w:rsidP="003859BB">
            <w:pPr>
              <w:pStyle w:val="GesAbsatz"/>
              <w:tabs>
                <w:tab w:val="clear" w:pos="425"/>
              </w:tabs>
            </w:pPr>
            <w:r w:rsidRPr="003859BB">
              <w:t>42</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r w:rsidRPr="003859BB">
              <w:t>X</w:t>
            </w: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F6D2D" w:rsidP="00D8111A">
            <w:pPr>
              <w:pStyle w:val="GesAbsatz"/>
              <w:tabs>
                <w:tab w:val="clear" w:pos="425"/>
              </w:tabs>
              <w:jc w:val="center"/>
            </w:pPr>
            <w:r w:rsidRPr="003859BB">
              <w:t>X</w:t>
            </w: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F6D2D" w:rsidP="00D8111A">
            <w:pPr>
              <w:pStyle w:val="GesAbsatz"/>
              <w:tabs>
                <w:tab w:val="clear" w:pos="425"/>
              </w:tabs>
              <w:jc w:val="center"/>
            </w:pPr>
            <w:r w:rsidRPr="003859BB">
              <w:t>X</w:t>
            </w:r>
          </w:p>
        </w:tc>
      </w:tr>
      <w:tr w:rsidR="00D8111A" w:rsidRPr="003859BB" w:rsidTr="00D8111A">
        <w:tc>
          <w:tcPr>
            <w:tcW w:w="675" w:type="dxa"/>
          </w:tcPr>
          <w:p w:rsidR="003859BB" w:rsidRPr="003859BB" w:rsidRDefault="003859BB" w:rsidP="003859BB">
            <w:pPr>
              <w:pStyle w:val="GesAbsatz"/>
              <w:tabs>
                <w:tab w:val="clear" w:pos="425"/>
              </w:tabs>
            </w:pPr>
            <w:r w:rsidRPr="003859BB">
              <w:t>43</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r w:rsidRPr="003859BB">
              <w:t>X</w:t>
            </w:r>
          </w:p>
        </w:tc>
        <w:tc>
          <w:tcPr>
            <w:tcW w:w="909" w:type="dxa"/>
          </w:tcPr>
          <w:p w:rsidR="003859BB" w:rsidRPr="003859BB" w:rsidRDefault="003F6D2D" w:rsidP="00D8111A">
            <w:pPr>
              <w:pStyle w:val="GesAbsatz"/>
              <w:tabs>
                <w:tab w:val="clear" w:pos="425"/>
              </w:tabs>
              <w:jc w:val="center"/>
            </w:pPr>
            <w:r w:rsidRPr="003859BB">
              <w:t>X</w:t>
            </w: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F6D2D"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44</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r w:rsidRPr="003859BB">
              <w:t>X</w:t>
            </w: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F6D2D" w:rsidP="00D8111A">
            <w:pPr>
              <w:pStyle w:val="GesAbsatz"/>
              <w:tabs>
                <w:tab w:val="clear" w:pos="425"/>
              </w:tabs>
              <w:jc w:val="center"/>
            </w:pPr>
            <w:r w:rsidRPr="003859BB">
              <w:t>X</w:t>
            </w: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F6D2D" w:rsidP="00D8111A">
            <w:pPr>
              <w:pStyle w:val="GesAbsatz"/>
              <w:tabs>
                <w:tab w:val="clear" w:pos="425"/>
              </w:tabs>
              <w:jc w:val="center"/>
            </w:pPr>
            <w:r w:rsidRPr="003859BB">
              <w:t>X</w:t>
            </w:r>
          </w:p>
        </w:tc>
      </w:tr>
      <w:tr w:rsidR="00D8111A" w:rsidRPr="003859BB" w:rsidTr="00D8111A">
        <w:tc>
          <w:tcPr>
            <w:tcW w:w="675" w:type="dxa"/>
          </w:tcPr>
          <w:p w:rsidR="003859BB" w:rsidRPr="003859BB" w:rsidRDefault="003859BB" w:rsidP="003859BB">
            <w:pPr>
              <w:pStyle w:val="GesAbsatz"/>
              <w:tabs>
                <w:tab w:val="clear" w:pos="425"/>
              </w:tabs>
            </w:pPr>
            <w:r w:rsidRPr="003859BB">
              <w:t>45</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217" w:type="dxa"/>
          </w:tcPr>
          <w:p w:rsidR="003859BB" w:rsidRPr="003859BB" w:rsidRDefault="003859BB" w:rsidP="00D8111A">
            <w:pPr>
              <w:pStyle w:val="GesAbsatz"/>
              <w:tabs>
                <w:tab w:val="clear" w:pos="425"/>
              </w:tabs>
              <w:jc w:val="center"/>
            </w:pPr>
            <w:r w:rsidRPr="003859BB">
              <w:t>X</w:t>
            </w:r>
          </w:p>
        </w:tc>
        <w:tc>
          <w:tcPr>
            <w:tcW w:w="1162" w:type="dxa"/>
          </w:tcPr>
          <w:p w:rsidR="003859BB" w:rsidRPr="003859BB" w:rsidRDefault="003859BB" w:rsidP="00D8111A">
            <w:pPr>
              <w:pStyle w:val="GesAbsatz"/>
              <w:tabs>
                <w:tab w:val="clear" w:pos="425"/>
              </w:tabs>
              <w:jc w:val="center"/>
            </w:pP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F6D2D" w:rsidP="00D8111A">
            <w:pPr>
              <w:pStyle w:val="GesAbsatz"/>
              <w:tabs>
                <w:tab w:val="clear" w:pos="425"/>
              </w:tabs>
              <w:jc w:val="center"/>
            </w:pPr>
            <w:r w:rsidRPr="003859BB">
              <w:t>X</w:t>
            </w: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F6D2D" w:rsidP="00D8111A">
            <w:pPr>
              <w:pStyle w:val="GesAbsatz"/>
              <w:tabs>
                <w:tab w:val="clear" w:pos="425"/>
              </w:tabs>
              <w:jc w:val="center"/>
            </w:pPr>
            <w:r w:rsidRPr="003859BB">
              <w:t>X</w:t>
            </w: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F6D2D" w:rsidP="00D8111A">
            <w:pPr>
              <w:pStyle w:val="GesAbsatz"/>
              <w:tabs>
                <w:tab w:val="clear" w:pos="425"/>
              </w:tabs>
              <w:jc w:val="center"/>
            </w:pPr>
            <w:r w:rsidRPr="003859BB">
              <w:t>X</w:t>
            </w:r>
          </w:p>
        </w:tc>
      </w:tr>
      <w:tr w:rsidR="00D8111A" w:rsidRPr="003859BB" w:rsidTr="00D8111A">
        <w:tc>
          <w:tcPr>
            <w:tcW w:w="675" w:type="dxa"/>
          </w:tcPr>
          <w:p w:rsidR="003859BB" w:rsidRPr="003859BB" w:rsidRDefault="003859BB" w:rsidP="003859BB">
            <w:pPr>
              <w:pStyle w:val="GesAbsatz"/>
              <w:tabs>
                <w:tab w:val="clear" w:pos="425"/>
              </w:tabs>
            </w:pPr>
            <w:r w:rsidRPr="003859BB">
              <w:t>46</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r w:rsidRPr="003859BB">
              <w:t>X</w:t>
            </w: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F6D2D" w:rsidP="00D8111A">
            <w:pPr>
              <w:pStyle w:val="GesAbsatz"/>
              <w:tabs>
                <w:tab w:val="clear" w:pos="425"/>
              </w:tabs>
              <w:jc w:val="center"/>
            </w:pPr>
            <w:r w:rsidRPr="003859BB">
              <w:t>X</w:t>
            </w: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F6D2D"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lastRenderedPageBreak/>
              <w:t>47</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r w:rsidRPr="003859BB">
              <w:t>X</w:t>
            </w: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52535E" w:rsidP="00D8111A">
            <w:pPr>
              <w:pStyle w:val="GesAbsatz"/>
              <w:tabs>
                <w:tab w:val="clear" w:pos="425"/>
              </w:tabs>
              <w:jc w:val="center"/>
            </w:pPr>
            <w:r w:rsidRPr="003859BB">
              <w:t>X</w:t>
            </w: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52535E" w:rsidP="00D8111A">
            <w:pPr>
              <w:pStyle w:val="GesAbsatz"/>
              <w:tabs>
                <w:tab w:val="clear" w:pos="425"/>
              </w:tabs>
              <w:jc w:val="center"/>
            </w:pPr>
            <w:r w:rsidRPr="003859BB">
              <w:t>X</w:t>
            </w:r>
          </w:p>
        </w:tc>
      </w:tr>
      <w:tr w:rsidR="00D8111A" w:rsidRPr="003859BB" w:rsidTr="00D8111A">
        <w:tc>
          <w:tcPr>
            <w:tcW w:w="675" w:type="dxa"/>
          </w:tcPr>
          <w:p w:rsidR="003859BB" w:rsidRPr="003859BB" w:rsidRDefault="003859BB" w:rsidP="003859BB">
            <w:pPr>
              <w:pStyle w:val="GesAbsatz"/>
              <w:tabs>
                <w:tab w:val="clear" w:pos="425"/>
              </w:tabs>
            </w:pPr>
            <w:r w:rsidRPr="003859BB">
              <w:t>48</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r w:rsidRPr="003859BB">
              <w:t>X</w:t>
            </w: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52535E" w:rsidP="00D8111A">
            <w:pPr>
              <w:pStyle w:val="GesAbsatz"/>
              <w:tabs>
                <w:tab w:val="clear" w:pos="425"/>
              </w:tabs>
              <w:jc w:val="center"/>
            </w:pPr>
            <w:r w:rsidRPr="003859BB">
              <w:t>X</w:t>
            </w: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52535E" w:rsidP="00D8111A">
            <w:pPr>
              <w:pStyle w:val="GesAbsatz"/>
              <w:tabs>
                <w:tab w:val="clear" w:pos="425"/>
              </w:tabs>
              <w:jc w:val="center"/>
            </w:pPr>
            <w:r w:rsidRPr="003859BB">
              <w:t>X</w:t>
            </w:r>
          </w:p>
        </w:tc>
      </w:tr>
      <w:tr w:rsidR="00D8111A" w:rsidRPr="003859BB" w:rsidTr="00D8111A">
        <w:tc>
          <w:tcPr>
            <w:tcW w:w="675" w:type="dxa"/>
          </w:tcPr>
          <w:p w:rsidR="003859BB" w:rsidRPr="003859BB" w:rsidRDefault="003859BB" w:rsidP="003859BB">
            <w:pPr>
              <w:pStyle w:val="GesAbsatz"/>
              <w:tabs>
                <w:tab w:val="clear" w:pos="425"/>
              </w:tabs>
            </w:pPr>
            <w:r w:rsidRPr="003859BB">
              <w:t>49</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r w:rsidRPr="003859BB">
              <w:t>X</w:t>
            </w: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52535E" w:rsidP="00D8111A">
            <w:pPr>
              <w:pStyle w:val="GesAbsatz"/>
              <w:tabs>
                <w:tab w:val="clear" w:pos="425"/>
              </w:tabs>
              <w:jc w:val="center"/>
            </w:pPr>
            <w:r w:rsidRPr="003859BB">
              <w:t>X</w:t>
            </w: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52535E"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50</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r w:rsidRPr="003859BB">
              <w:t>X</w:t>
            </w: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52535E" w:rsidP="00D8111A">
            <w:pPr>
              <w:pStyle w:val="GesAbsatz"/>
              <w:tabs>
                <w:tab w:val="clear" w:pos="425"/>
              </w:tabs>
              <w:jc w:val="center"/>
            </w:pPr>
            <w:r w:rsidRPr="003859BB">
              <w:t>X</w:t>
            </w: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52535E" w:rsidP="00D8111A">
            <w:pPr>
              <w:pStyle w:val="GesAbsatz"/>
              <w:tabs>
                <w:tab w:val="clear" w:pos="425"/>
              </w:tabs>
              <w:jc w:val="center"/>
            </w:pPr>
            <w:r w:rsidRPr="003859BB">
              <w:t>X</w:t>
            </w:r>
          </w:p>
        </w:tc>
      </w:tr>
      <w:tr w:rsidR="00D8111A" w:rsidRPr="003859BB" w:rsidTr="00D8111A">
        <w:tc>
          <w:tcPr>
            <w:tcW w:w="675" w:type="dxa"/>
          </w:tcPr>
          <w:p w:rsidR="003859BB" w:rsidRPr="003859BB" w:rsidRDefault="003859BB" w:rsidP="003859BB">
            <w:pPr>
              <w:pStyle w:val="GesAbsatz"/>
              <w:tabs>
                <w:tab w:val="clear" w:pos="425"/>
              </w:tabs>
            </w:pPr>
            <w:r w:rsidRPr="003859BB">
              <w:t>51</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r w:rsidRPr="003859BB">
              <w:t>X</w:t>
            </w:r>
          </w:p>
        </w:tc>
        <w:tc>
          <w:tcPr>
            <w:tcW w:w="889" w:type="dxa"/>
          </w:tcPr>
          <w:p w:rsidR="003859BB" w:rsidRPr="003859BB" w:rsidRDefault="003859BB" w:rsidP="00D8111A">
            <w:pPr>
              <w:pStyle w:val="GesAbsatz"/>
              <w:tabs>
                <w:tab w:val="clear" w:pos="425"/>
              </w:tabs>
              <w:jc w:val="center"/>
            </w:pP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52535E" w:rsidP="00D8111A">
            <w:pPr>
              <w:pStyle w:val="GesAbsatz"/>
              <w:tabs>
                <w:tab w:val="clear" w:pos="425"/>
              </w:tabs>
              <w:jc w:val="center"/>
            </w:pPr>
            <w:r w:rsidRPr="003859BB">
              <w:t>X</w:t>
            </w: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52535E" w:rsidP="00D8111A">
            <w:pPr>
              <w:pStyle w:val="GesAbsatz"/>
              <w:tabs>
                <w:tab w:val="clear" w:pos="425"/>
              </w:tabs>
              <w:jc w:val="center"/>
            </w:pPr>
            <w:r w:rsidRPr="003859BB">
              <w:t>X</w:t>
            </w:r>
          </w:p>
        </w:tc>
      </w:tr>
      <w:tr w:rsidR="00D8111A" w:rsidRPr="003859BB" w:rsidTr="00D8111A">
        <w:tc>
          <w:tcPr>
            <w:tcW w:w="675" w:type="dxa"/>
          </w:tcPr>
          <w:p w:rsidR="003859BB" w:rsidRPr="003859BB" w:rsidRDefault="003859BB" w:rsidP="003859BB">
            <w:pPr>
              <w:pStyle w:val="GesAbsatz"/>
              <w:tabs>
                <w:tab w:val="clear" w:pos="425"/>
              </w:tabs>
            </w:pPr>
            <w:r w:rsidRPr="003859BB">
              <w:t>52</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r w:rsidRPr="003859BB">
              <w:t>X</w:t>
            </w:r>
          </w:p>
        </w:tc>
        <w:tc>
          <w:tcPr>
            <w:tcW w:w="909" w:type="dxa"/>
          </w:tcPr>
          <w:p w:rsidR="003859BB" w:rsidRPr="003859BB" w:rsidRDefault="0052535E" w:rsidP="00D8111A">
            <w:pPr>
              <w:pStyle w:val="GesAbsatz"/>
              <w:tabs>
                <w:tab w:val="clear" w:pos="425"/>
              </w:tabs>
              <w:jc w:val="center"/>
            </w:pPr>
            <w:r w:rsidRPr="003859BB">
              <w:t>X</w:t>
            </w: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52535E" w:rsidP="00D8111A">
            <w:pPr>
              <w:pStyle w:val="GesAbsatz"/>
              <w:tabs>
                <w:tab w:val="clear" w:pos="425"/>
              </w:tabs>
              <w:jc w:val="center"/>
            </w:pPr>
            <w:r w:rsidRPr="003859BB">
              <w:t>X</w:t>
            </w:r>
          </w:p>
        </w:tc>
        <w:tc>
          <w:tcPr>
            <w:tcW w:w="567" w:type="dxa"/>
          </w:tcPr>
          <w:p w:rsidR="003859BB" w:rsidRPr="003859BB" w:rsidRDefault="003859BB" w:rsidP="00D8111A">
            <w:pPr>
              <w:pStyle w:val="GesAbsatz"/>
              <w:tabs>
                <w:tab w:val="clear" w:pos="425"/>
              </w:tabs>
              <w:jc w:val="center"/>
            </w:pPr>
          </w:p>
        </w:tc>
      </w:tr>
      <w:tr w:rsidR="00D8111A" w:rsidRPr="003859BB" w:rsidTr="00D8111A">
        <w:tc>
          <w:tcPr>
            <w:tcW w:w="675" w:type="dxa"/>
          </w:tcPr>
          <w:p w:rsidR="003859BB" w:rsidRPr="003859BB" w:rsidRDefault="003859BB" w:rsidP="003859BB">
            <w:pPr>
              <w:pStyle w:val="GesAbsatz"/>
              <w:tabs>
                <w:tab w:val="clear" w:pos="425"/>
              </w:tabs>
            </w:pPr>
            <w:r w:rsidRPr="003859BB">
              <w:t>53</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r w:rsidRPr="003859BB">
              <w:t>X</w:t>
            </w: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52535E" w:rsidP="00D8111A">
            <w:pPr>
              <w:pStyle w:val="GesAbsatz"/>
              <w:tabs>
                <w:tab w:val="clear" w:pos="425"/>
              </w:tabs>
              <w:jc w:val="center"/>
            </w:pPr>
            <w:r w:rsidRPr="003859BB">
              <w:t>X</w:t>
            </w:r>
          </w:p>
        </w:tc>
        <w:tc>
          <w:tcPr>
            <w:tcW w:w="884" w:type="dxa"/>
          </w:tcPr>
          <w:p w:rsidR="003859BB" w:rsidRPr="003859BB" w:rsidRDefault="003859BB" w:rsidP="00D8111A">
            <w:pPr>
              <w:pStyle w:val="GesAbsatz"/>
              <w:tabs>
                <w:tab w:val="clear" w:pos="425"/>
              </w:tabs>
              <w:jc w:val="center"/>
            </w:pP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52535E" w:rsidP="00D8111A">
            <w:pPr>
              <w:pStyle w:val="GesAbsatz"/>
              <w:tabs>
                <w:tab w:val="clear" w:pos="425"/>
              </w:tabs>
              <w:jc w:val="center"/>
            </w:pPr>
            <w:r w:rsidRPr="003859BB">
              <w:t>X</w:t>
            </w:r>
          </w:p>
        </w:tc>
      </w:tr>
      <w:tr w:rsidR="00D8111A" w:rsidRPr="007F7B74" w:rsidTr="00D8111A">
        <w:tc>
          <w:tcPr>
            <w:tcW w:w="675" w:type="dxa"/>
          </w:tcPr>
          <w:p w:rsidR="003859BB" w:rsidRPr="003859BB" w:rsidRDefault="003859BB" w:rsidP="003859BB">
            <w:pPr>
              <w:pStyle w:val="GesAbsatz"/>
              <w:tabs>
                <w:tab w:val="clear" w:pos="425"/>
              </w:tabs>
            </w:pPr>
            <w:r w:rsidRPr="003859BB">
              <w:t>54</w:t>
            </w: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p>
        </w:tc>
        <w:tc>
          <w:tcPr>
            <w:tcW w:w="1134" w:type="dxa"/>
          </w:tcPr>
          <w:p w:rsidR="003859BB" w:rsidRPr="003859BB" w:rsidRDefault="003859BB" w:rsidP="00D8111A">
            <w:pPr>
              <w:pStyle w:val="GesAbsatz"/>
              <w:tabs>
                <w:tab w:val="clear" w:pos="425"/>
              </w:tabs>
              <w:jc w:val="center"/>
            </w:pPr>
            <w:r w:rsidRPr="003859BB">
              <w:t>X</w:t>
            </w:r>
          </w:p>
        </w:tc>
        <w:tc>
          <w:tcPr>
            <w:tcW w:w="1217" w:type="dxa"/>
          </w:tcPr>
          <w:p w:rsidR="003859BB" w:rsidRPr="003859BB" w:rsidRDefault="003859BB" w:rsidP="00D8111A">
            <w:pPr>
              <w:pStyle w:val="GesAbsatz"/>
              <w:tabs>
                <w:tab w:val="clear" w:pos="425"/>
              </w:tabs>
              <w:jc w:val="center"/>
            </w:pPr>
          </w:p>
        </w:tc>
        <w:tc>
          <w:tcPr>
            <w:tcW w:w="1162" w:type="dxa"/>
          </w:tcPr>
          <w:p w:rsidR="003859BB" w:rsidRPr="003859BB" w:rsidRDefault="003859BB" w:rsidP="00D8111A">
            <w:pPr>
              <w:pStyle w:val="GesAbsatz"/>
              <w:tabs>
                <w:tab w:val="clear" w:pos="425"/>
              </w:tabs>
              <w:jc w:val="center"/>
            </w:pPr>
            <w:r w:rsidRPr="003859BB">
              <w:t>X</w:t>
            </w:r>
          </w:p>
        </w:tc>
        <w:tc>
          <w:tcPr>
            <w:tcW w:w="1248" w:type="dxa"/>
          </w:tcPr>
          <w:p w:rsidR="003859BB" w:rsidRPr="003859BB" w:rsidRDefault="003859BB" w:rsidP="00D8111A">
            <w:pPr>
              <w:pStyle w:val="GesAbsatz"/>
              <w:tabs>
                <w:tab w:val="clear" w:pos="425"/>
              </w:tabs>
              <w:jc w:val="center"/>
            </w:pPr>
          </w:p>
        </w:tc>
        <w:tc>
          <w:tcPr>
            <w:tcW w:w="954" w:type="dxa"/>
          </w:tcPr>
          <w:p w:rsidR="003859BB" w:rsidRPr="003859BB" w:rsidRDefault="003859BB" w:rsidP="00D8111A">
            <w:pPr>
              <w:pStyle w:val="GesAbsatz"/>
              <w:tabs>
                <w:tab w:val="clear" w:pos="425"/>
              </w:tabs>
              <w:jc w:val="center"/>
            </w:pPr>
          </w:p>
        </w:tc>
        <w:tc>
          <w:tcPr>
            <w:tcW w:w="889" w:type="dxa"/>
          </w:tcPr>
          <w:p w:rsidR="003859BB" w:rsidRPr="003859BB" w:rsidRDefault="003859BB" w:rsidP="00D8111A">
            <w:pPr>
              <w:pStyle w:val="GesAbsatz"/>
              <w:tabs>
                <w:tab w:val="clear" w:pos="425"/>
              </w:tabs>
              <w:jc w:val="center"/>
            </w:pPr>
            <w:r w:rsidRPr="003859BB">
              <w:t>X</w:t>
            </w:r>
          </w:p>
        </w:tc>
        <w:tc>
          <w:tcPr>
            <w:tcW w:w="909" w:type="dxa"/>
          </w:tcPr>
          <w:p w:rsidR="003859BB" w:rsidRPr="003859BB" w:rsidRDefault="003859BB" w:rsidP="00D8111A">
            <w:pPr>
              <w:pStyle w:val="GesAbsatz"/>
              <w:tabs>
                <w:tab w:val="clear" w:pos="425"/>
              </w:tabs>
              <w:jc w:val="center"/>
            </w:pPr>
          </w:p>
        </w:tc>
        <w:tc>
          <w:tcPr>
            <w:tcW w:w="872" w:type="dxa"/>
          </w:tcPr>
          <w:p w:rsidR="003859BB" w:rsidRPr="003859BB" w:rsidRDefault="003859BB" w:rsidP="00D8111A">
            <w:pPr>
              <w:pStyle w:val="GesAbsatz"/>
              <w:tabs>
                <w:tab w:val="clear" w:pos="425"/>
              </w:tabs>
              <w:jc w:val="center"/>
            </w:pPr>
          </w:p>
        </w:tc>
        <w:tc>
          <w:tcPr>
            <w:tcW w:w="884" w:type="dxa"/>
          </w:tcPr>
          <w:p w:rsidR="003859BB" w:rsidRPr="003859BB" w:rsidRDefault="003859BB" w:rsidP="00D8111A">
            <w:pPr>
              <w:pStyle w:val="GesAbsatz"/>
              <w:tabs>
                <w:tab w:val="clear" w:pos="425"/>
              </w:tabs>
              <w:jc w:val="center"/>
            </w:pPr>
            <w:r w:rsidRPr="003859BB">
              <w:t>X</w:t>
            </w:r>
          </w:p>
        </w:tc>
        <w:tc>
          <w:tcPr>
            <w:tcW w:w="654"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3859BB" w:rsidRDefault="003859BB" w:rsidP="00D8111A">
            <w:pPr>
              <w:pStyle w:val="GesAbsatz"/>
              <w:tabs>
                <w:tab w:val="clear" w:pos="425"/>
              </w:tabs>
              <w:jc w:val="center"/>
            </w:pPr>
          </w:p>
        </w:tc>
        <w:tc>
          <w:tcPr>
            <w:tcW w:w="567" w:type="dxa"/>
          </w:tcPr>
          <w:p w:rsidR="003859BB" w:rsidRPr="007F7B74" w:rsidRDefault="003859BB" w:rsidP="00D8111A">
            <w:pPr>
              <w:pStyle w:val="GesAbsatz"/>
              <w:tabs>
                <w:tab w:val="clear" w:pos="425"/>
              </w:tabs>
              <w:jc w:val="center"/>
            </w:pPr>
            <w:r w:rsidRPr="003859BB">
              <w:t>X</w:t>
            </w:r>
          </w:p>
        </w:tc>
      </w:tr>
    </w:tbl>
    <w:p w:rsidR="00406F32" w:rsidRPr="007F7B74" w:rsidRDefault="00406F32" w:rsidP="003859BB">
      <w:pPr>
        <w:pStyle w:val="GesAbsatz"/>
      </w:pPr>
    </w:p>
    <w:sectPr w:rsidR="00406F32" w:rsidRPr="007F7B74" w:rsidSect="003859BB">
      <w:pgSz w:w="16840" w:h="11907" w:orient="landscape" w:code="9"/>
      <w:pgMar w:top="1418" w:right="1134" w:bottom="851" w:left="1134"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9BB" w:rsidRDefault="003859BB">
      <w:r>
        <w:separator/>
      </w:r>
    </w:p>
  </w:endnote>
  <w:endnote w:type="continuationSeparator" w:id="0">
    <w:p w:rsidR="003859BB" w:rsidRDefault="0038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9BB" w:rsidRDefault="003859B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859BB" w:rsidRDefault="003859B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9BB" w:rsidRDefault="003859BB" w:rsidP="003B2970">
    <w:pPr>
      <w:pStyle w:val="Fuzeile"/>
      <w:tabs>
        <w:tab w:val="clear" w:pos="9639"/>
        <w:tab w:val="right" w:pos="9638"/>
      </w:tabs>
      <w:ind w:right="-1"/>
    </w:pPr>
    <w:r>
      <w:tab/>
      <w:t>Stand 07.11.1980 (</w:t>
    </w:r>
    <w:proofErr w:type="spellStart"/>
    <w:r>
      <w:t>MBl</w:t>
    </w:r>
    <w:proofErr w:type="spellEnd"/>
    <w:r>
      <w:t>. NW S. 2864)</w:t>
    </w:r>
    <w:r>
      <w:tab/>
      <w:t xml:space="preserve">Seite </w:t>
    </w:r>
    <w:r>
      <w:fldChar w:fldCharType="begin"/>
    </w:r>
    <w:r>
      <w:instrText xml:space="preserve"> PAGE  \* MERGEFORMAT </w:instrText>
    </w:r>
    <w:r>
      <w:fldChar w:fldCharType="separate"/>
    </w:r>
    <w:r w:rsidR="00F1187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9BB" w:rsidRDefault="003859BB">
      <w:r>
        <w:separator/>
      </w:r>
    </w:p>
  </w:footnote>
  <w:footnote w:type="continuationSeparator" w:id="0">
    <w:p w:rsidR="003859BB" w:rsidRDefault="00385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9BB" w:rsidRDefault="003859BB" w:rsidP="00A20CEE">
    <w:pPr>
      <w:pStyle w:val="Kopfzeile0"/>
    </w:pPr>
    <w:r>
      <w:t>Archiv7.51</w:t>
    </w:r>
  </w:p>
  <w:p w:rsidR="003859BB" w:rsidRDefault="003859B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revisionView w:inkAnnotation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BCC"/>
    <w:rsid w:val="0001451A"/>
    <w:rsid w:val="00057D94"/>
    <w:rsid w:val="00077EF0"/>
    <w:rsid w:val="00093D90"/>
    <w:rsid w:val="000B208E"/>
    <w:rsid w:val="000C491D"/>
    <w:rsid w:val="00142AF2"/>
    <w:rsid w:val="00150B0A"/>
    <w:rsid w:val="001715DF"/>
    <w:rsid w:val="0019127F"/>
    <w:rsid w:val="001C1083"/>
    <w:rsid w:val="001C2BEA"/>
    <w:rsid w:val="00243AFC"/>
    <w:rsid w:val="00267C98"/>
    <w:rsid w:val="002A388C"/>
    <w:rsid w:val="002B3267"/>
    <w:rsid w:val="002D5542"/>
    <w:rsid w:val="003114DF"/>
    <w:rsid w:val="00313F0C"/>
    <w:rsid w:val="003859BB"/>
    <w:rsid w:val="003A6E25"/>
    <w:rsid w:val="003B24A9"/>
    <w:rsid w:val="003B2970"/>
    <w:rsid w:val="003F6D2D"/>
    <w:rsid w:val="00402CB3"/>
    <w:rsid w:val="00404262"/>
    <w:rsid w:val="00406F32"/>
    <w:rsid w:val="00412824"/>
    <w:rsid w:val="00433E6C"/>
    <w:rsid w:val="00463CA4"/>
    <w:rsid w:val="00463F31"/>
    <w:rsid w:val="004964D0"/>
    <w:rsid w:val="004F2A9F"/>
    <w:rsid w:val="0052535E"/>
    <w:rsid w:val="00557465"/>
    <w:rsid w:val="005917E3"/>
    <w:rsid w:val="005A4BCC"/>
    <w:rsid w:val="006242A7"/>
    <w:rsid w:val="0063668C"/>
    <w:rsid w:val="00666321"/>
    <w:rsid w:val="00697151"/>
    <w:rsid w:val="006D0AB0"/>
    <w:rsid w:val="006F7DCB"/>
    <w:rsid w:val="00782347"/>
    <w:rsid w:val="007861D5"/>
    <w:rsid w:val="007C6D31"/>
    <w:rsid w:val="007F5C17"/>
    <w:rsid w:val="007F7B74"/>
    <w:rsid w:val="00823D13"/>
    <w:rsid w:val="00842D68"/>
    <w:rsid w:val="008715F2"/>
    <w:rsid w:val="008B789C"/>
    <w:rsid w:val="008D6200"/>
    <w:rsid w:val="00963345"/>
    <w:rsid w:val="0098598C"/>
    <w:rsid w:val="00A17DC8"/>
    <w:rsid w:val="00A20CEE"/>
    <w:rsid w:val="00A42271"/>
    <w:rsid w:val="00A91F16"/>
    <w:rsid w:val="00A95D02"/>
    <w:rsid w:val="00AB20F7"/>
    <w:rsid w:val="00B22FE1"/>
    <w:rsid w:val="00B403D8"/>
    <w:rsid w:val="00B466D3"/>
    <w:rsid w:val="00BE469B"/>
    <w:rsid w:val="00C7480B"/>
    <w:rsid w:val="00C74F5A"/>
    <w:rsid w:val="00CA0534"/>
    <w:rsid w:val="00CA565E"/>
    <w:rsid w:val="00D32917"/>
    <w:rsid w:val="00D40E42"/>
    <w:rsid w:val="00D750EF"/>
    <w:rsid w:val="00D8111A"/>
    <w:rsid w:val="00D86C52"/>
    <w:rsid w:val="00D96462"/>
    <w:rsid w:val="00DB2935"/>
    <w:rsid w:val="00DC1020"/>
    <w:rsid w:val="00E03BB2"/>
    <w:rsid w:val="00E46F80"/>
    <w:rsid w:val="00E72535"/>
    <w:rsid w:val="00E751D6"/>
    <w:rsid w:val="00EB5006"/>
    <w:rsid w:val="00EC637D"/>
    <w:rsid w:val="00ED3A60"/>
    <w:rsid w:val="00F11878"/>
    <w:rsid w:val="00F200FB"/>
    <w:rsid w:val="00F61E0B"/>
    <w:rsid w:val="00F762F4"/>
    <w:rsid w:val="00FA4D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qFormat="1"/>
    <w:lsdException w:name="footer" w:qFormat="1"/>
    <w:lsdException w:name="caption" w:semiHidden="1" w:unhideWhenUsed="1" w:qFormat="1"/>
    <w:lsdException w:name="footnote reference"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823D1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91F16"/>
    <w:pPr>
      <w:keepNext/>
      <w:spacing w:after="120"/>
      <w:jc w:val="center"/>
      <w:outlineLvl w:val="0"/>
    </w:pPr>
    <w:rPr>
      <w:b/>
      <w:kern w:val="28"/>
      <w:sz w:val="28"/>
    </w:rPr>
  </w:style>
  <w:style w:type="paragraph" w:styleId="berschrift2">
    <w:name w:val="heading 2"/>
    <w:basedOn w:val="Standard"/>
    <w:next w:val="GesAbsatz"/>
    <w:qFormat/>
    <w:rsid w:val="00ED3A60"/>
    <w:pPr>
      <w:keepNext/>
      <w:spacing w:before="240"/>
      <w:jc w:val="center"/>
      <w:outlineLvl w:val="1"/>
    </w:pPr>
    <w:rPr>
      <w:b/>
      <w:sz w:val="24"/>
    </w:rPr>
  </w:style>
  <w:style w:type="paragraph" w:styleId="berschrift3">
    <w:name w:val="heading 3"/>
    <w:basedOn w:val="Standard"/>
    <w:next w:val="GesAbsatz"/>
    <w:qFormat/>
    <w:rsid w:val="00ED3A60"/>
    <w:pPr>
      <w:keepNext/>
      <w:spacing w:before="240" w:after="180"/>
      <w:jc w:val="center"/>
      <w:outlineLvl w:val="2"/>
    </w:pPr>
    <w:rPr>
      <w:b/>
    </w:rPr>
  </w:style>
  <w:style w:type="paragraph" w:styleId="berschrift4">
    <w:name w:val="heading 4"/>
    <w:basedOn w:val="Standard"/>
    <w:next w:val="Standard"/>
    <w:rsid w:val="00ED3A60"/>
    <w:pPr>
      <w:keepNext/>
      <w:spacing w:before="240"/>
      <w:outlineLvl w:val="3"/>
    </w:pPr>
  </w:style>
  <w:style w:type="paragraph" w:styleId="berschrift5">
    <w:name w:val="heading 5"/>
    <w:basedOn w:val="Standard"/>
    <w:next w:val="Standard"/>
    <w:rsid w:val="00ED3A6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20CEE"/>
    <w:pPr>
      <w:tabs>
        <w:tab w:val="center" w:pos="4536"/>
        <w:tab w:val="right" w:pos="9072"/>
      </w:tabs>
      <w:spacing w:before="0" w:after="120"/>
      <w:jc w:val="right"/>
    </w:pPr>
  </w:style>
  <w:style w:type="paragraph" w:styleId="Fuzeile">
    <w:name w:val="footer"/>
    <w:basedOn w:val="Standard"/>
    <w:qFormat/>
    <w:rsid w:val="00666321"/>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04262"/>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rsid w:val="00823D13"/>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A388C"/>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rsid w:val="00782347"/>
    <w:pPr>
      <w:spacing w:before="0" w:after="0"/>
      <w:jc w:val="right"/>
    </w:pPr>
    <w:rPr>
      <w:b/>
      <w:sz w:val="24"/>
    </w:rPr>
  </w:style>
  <w:style w:type="table" w:styleId="Tabellenraster">
    <w:name w:val="Table Grid"/>
    <w:basedOn w:val="NormaleTabelle"/>
    <w:rsid w:val="003859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qFormat="1"/>
    <w:lsdException w:name="footer" w:qFormat="1"/>
    <w:lsdException w:name="caption" w:semiHidden="1" w:unhideWhenUsed="1" w:qFormat="1"/>
    <w:lsdException w:name="footnote reference"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823D1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91F16"/>
    <w:pPr>
      <w:keepNext/>
      <w:spacing w:after="120"/>
      <w:jc w:val="center"/>
      <w:outlineLvl w:val="0"/>
    </w:pPr>
    <w:rPr>
      <w:b/>
      <w:kern w:val="28"/>
      <w:sz w:val="28"/>
    </w:rPr>
  </w:style>
  <w:style w:type="paragraph" w:styleId="berschrift2">
    <w:name w:val="heading 2"/>
    <w:basedOn w:val="Standard"/>
    <w:next w:val="GesAbsatz"/>
    <w:qFormat/>
    <w:rsid w:val="00ED3A60"/>
    <w:pPr>
      <w:keepNext/>
      <w:spacing w:before="240"/>
      <w:jc w:val="center"/>
      <w:outlineLvl w:val="1"/>
    </w:pPr>
    <w:rPr>
      <w:b/>
      <w:sz w:val="24"/>
    </w:rPr>
  </w:style>
  <w:style w:type="paragraph" w:styleId="berschrift3">
    <w:name w:val="heading 3"/>
    <w:basedOn w:val="Standard"/>
    <w:next w:val="GesAbsatz"/>
    <w:qFormat/>
    <w:rsid w:val="00ED3A60"/>
    <w:pPr>
      <w:keepNext/>
      <w:spacing w:before="240" w:after="180"/>
      <w:jc w:val="center"/>
      <w:outlineLvl w:val="2"/>
    </w:pPr>
    <w:rPr>
      <w:b/>
    </w:rPr>
  </w:style>
  <w:style w:type="paragraph" w:styleId="berschrift4">
    <w:name w:val="heading 4"/>
    <w:basedOn w:val="Standard"/>
    <w:next w:val="Standard"/>
    <w:rsid w:val="00ED3A60"/>
    <w:pPr>
      <w:keepNext/>
      <w:spacing w:before="240"/>
      <w:outlineLvl w:val="3"/>
    </w:pPr>
  </w:style>
  <w:style w:type="paragraph" w:styleId="berschrift5">
    <w:name w:val="heading 5"/>
    <w:basedOn w:val="Standard"/>
    <w:next w:val="Standard"/>
    <w:rsid w:val="00ED3A6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20CEE"/>
    <w:pPr>
      <w:tabs>
        <w:tab w:val="center" w:pos="4536"/>
        <w:tab w:val="right" w:pos="9072"/>
      </w:tabs>
      <w:spacing w:before="0" w:after="120"/>
      <w:jc w:val="right"/>
    </w:pPr>
  </w:style>
  <w:style w:type="paragraph" w:styleId="Fuzeile">
    <w:name w:val="footer"/>
    <w:basedOn w:val="Standard"/>
    <w:qFormat/>
    <w:rsid w:val="00666321"/>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04262"/>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rsid w:val="00823D13"/>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A388C"/>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rsid w:val="00782347"/>
    <w:pPr>
      <w:spacing w:before="0" w:after="0"/>
      <w:jc w:val="right"/>
    </w:pPr>
    <w:rPr>
      <w:b/>
      <w:sz w:val="24"/>
    </w:rPr>
  </w:style>
  <w:style w:type="table" w:styleId="Tabellenraster">
    <w:name w:val="Table Grid"/>
    <w:basedOn w:val="NormaleTabelle"/>
    <w:rsid w:val="003859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atrop\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924DD-52FC-4EA2-A4C0-1202F8B4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1072</Words>
  <Characters>6595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natrop</cp:lastModifiedBy>
  <cp:revision>2</cp:revision>
  <cp:lastPrinted>2015-03-20T07:57:00Z</cp:lastPrinted>
  <dcterms:created xsi:type="dcterms:W3CDTF">2015-03-20T08:43:00Z</dcterms:created>
  <dcterms:modified xsi:type="dcterms:W3CDTF">2015-03-20T08:43:00Z</dcterms:modified>
</cp:coreProperties>
</file>