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F96" w:rsidRPr="00B11A61" w:rsidRDefault="00767F96" w:rsidP="00B11A61">
      <w:pPr>
        <w:pStyle w:val="berschrift1"/>
      </w:pPr>
      <w:bookmarkStart w:id="0" w:name="_Toc453127381"/>
      <w:bookmarkStart w:id="1" w:name="_Toc151947549"/>
      <w:r w:rsidRPr="00B11A61">
        <w:t>Merkblatt über Anlagen zum Verwenden wassergefährdender Stoffe im Netzbereich der Elek</w:t>
      </w:r>
      <w:bookmarkStart w:id="2" w:name="_GoBack"/>
      <w:bookmarkEnd w:id="2"/>
      <w:r w:rsidRPr="00B11A61">
        <w:t>troversorgungsunternehmen</w:t>
      </w:r>
      <w:bookmarkEnd w:id="0"/>
      <w:bookmarkEnd w:id="1"/>
    </w:p>
    <w:p w:rsidR="00767F96" w:rsidRDefault="00767F96" w:rsidP="00B11A61">
      <w:pPr>
        <w:pStyle w:val="GesAbsatz"/>
        <w:jc w:val="center"/>
      </w:pPr>
      <w:r>
        <w:t xml:space="preserve">RdErl. d. Ministeriums für Umwelt, Raumordnung und Landwirtschaft v. </w:t>
      </w:r>
      <w:r w:rsidR="005E656D">
        <w:br/>
        <w:t>0</w:t>
      </w:r>
      <w:r>
        <w:t>2.</w:t>
      </w:r>
      <w:r w:rsidR="005E656D">
        <w:t>0</w:t>
      </w:r>
      <w:r>
        <w:t xml:space="preserve">3.1995 </w:t>
      </w:r>
      <w:r>
        <w:noBreakHyphen/>
        <w:t xml:space="preserve"> IV B 4 </w:t>
      </w:r>
      <w:r>
        <w:noBreakHyphen/>
        <w:t xml:space="preserve"> 220 </w:t>
      </w:r>
      <w:r>
        <w:noBreakHyphen/>
        <w:t xml:space="preserve"> 9</w:t>
      </w:r>
    </w:p>
    <w:p w:rsidR="00767F96" w:rsidRDefault="00767F96" w:rsidP="00B11A61">
      <w:pPr>
        <w:pStyle w:val="GesAbsatz"/>
      </w:pPr>
      <w:hyperlink r:id="rId8" w:history="1">
        <w:r>
          <w:rPr>
            <w:rStyle w:val="Hyperlink"/>
          </w:rPr>
          <w:t>Link zur Vors</w:t>
        </w:r>
        <w:r>
          <w:rPr>
            <w:rStyle w:val="Hyperlink"/>
          </w:rPr>
          <w:t>c</w:t>
        </w:r>
        <w:r>
          <w:rPr>
            <w:rStyle w:val="Hyperlink"/>
          </w:rPr>
          <w:t xml:space="preserve">hrift im </w:t>
        </w:r>
        <w:r>
          <w:rPr>
            <w:rStyle w:val="Hyperlink"/>
          </w:rPr>
          <w:t>S</w:t>
        </w:r>
        <w:r>
          <w:rPr>
            <w:rStyle w:val="Hyperlink"/>
          </w:rPr>
          <w:t>M</w:t>
        </w:r>
        <w:r>
          <w:rPr>
            <w:rStyle w:val="Hyperlink"/>
          </w:rPr>
          <w:t xml:space="preserve">Bl. </w:t>
        </w:r>
        <w:r>
          <w:rPr>
            <w:rStyle w:val="Hyperlink"/>
          </w:rPr>
          <w:t>N</w:t>
        </w:r>
        <w:r>
          <w:rPr>
            <w:rStyle w:val="Hyperlink"/>
          </w:rPr>
          <w:t>RW.</w:t>
        </w:r>
        <w:r>
          <w:rPr>
            <w:rStyle w:val="Hyperlink"/>
          </w:rPr>
          <w:t xml:space="preserve"> </w:t>
        </w:r>
        <w:r>
          <w:rPr>
            <w:rStyle w:val="Hyperlink"/>
          </w:rPr>
          <w:t>7</w:t>
        </w:r>
        <w:r>
          <w:rPr>
            <w:rStyle w:val="Hyperlink"/>
          </w:rPr>
          <w:t>70:</w:t>
        </w:r>
      </w:hyperlink>
    </w:p>
    <w:p w:rsidR="008C592B" w:rsidRPr="00417AE6" w:rsidRDefault="008C592B" w:rsidP="008C592B">
      <w:pPr>
        <w:pStyle w:val="GesAbsatz"/>
        <w:rPr>
          <w:b/>
          <w:i/>
          <w:color w:val="FF0000"/>
          <w:sz w:val="22"/>
          <w:szCs w:val="22"/>
        </w:rPr>
      </w:pPr>
      <w:r w:rsidRPr="00417AE6">
        <w:rPr>
          <w:b/>
          <w:i/>
          <w:color w:val="FF0000"/>
          <w:sz w:val="22"/>
          <w:szCs w:val="22"/>
        </w:rPr>
        <w:t>Gültig bis 10.08.2012 - aufgehoben durch Erlass vom 13.07.2012 (MBl. NRW. S. 562)</w:t>
      </w:r>
    </w:p>
    <w:p w:rsidR="00767F96" w:rsidRPr="00B11A61" w:rsidRDefault="00767F96" w:rsidP="00B11A61">
      <w:pPr>
        <w:pStyle w:val="GesAbsatz"/>
        <w:jc w:val="center"/>
        <w:rPr>
          <w:b/>
          <w:sz w:val="22"/>
          <w:szCs w:val="22"/>
        </w:rPr>
      </w:pPr>
      <w:r w:rsidRPr="00B11A61">
        <w:rPr>
          <w:b/>
          <w:sz w:val="22"/>
          <w:szCs w:val="22"/>
        </w:rPr>
        <w:t>Inhalt:</w:t>
      </w:r>
    </w:p>
    <w:p w:rsidR="00272093" w:rsidRDefault="00272093">
      <w:pPr>
        <w:pStyle w:val="Verzeichnis1"/>
        <w:tabs>
          <w:tab w:val="clear" w:pos="9638"/>
          <w:tab w:val="right" w:leader="dot" w:pos="9627"/>
        </w:tabs>
        <w:rPr>
          <w:b w:val="0"/>
          <w:bCs/>
          <w:caps w:val="0"/>
          <w:noProof/>
          <w:sz w:val="24"/>
          <w:szCs w:val="24"/>
        </w:rPr>
      </w:pPr>
      <w:r>
        <w:rPr>
          <w:b w:val="0"/>
          <w:bCs/>
          <w:i/>
          <w:noProof/>
        </w:rPr>
        <w:fldChar w:fldCharType="begin"/>
      </w:r>
      <w:r>
        <w:rPr>
          <w:b w:val="0"/>
          <w:bCs/>
          <w:i/>
          <w:noProof/>
        </w:rPr>
        <w:instrText xml:space="preserve"> TOC \o "1-5" </w:instrText>
      </w:r>
      <w:r>
        <w:rPr>
          <w:b w:val="0"/>
          <w:bCs/>
          <w:i/>
          <w:noProof/>
        </w:rPr>
        <w:fldChar w:fldCharType="separate"/>
      </w:r>
      <w:r>
        <w:rPr>
          <w:noProof/>
        </w:rPr>
        <w:t>Merkblatt über Anlagen zum Verwenden wassergefährdender Stoffe im Netzbereich der Elektroversorgungsunternehmen</w:t>
      </w:r>
      <w:r>
        <w:rPr>
          <w:noProof/>
        </w:rPr>
        <w:tab/>
      </w:r>
      <w:r>
        <w:rPr>
          <w:noProof/>
        </w:rPr>
        <w:fldChar w:fldCharType="begin"/>
      </w:r>
      <w:r>
        <w:rPr>
          <w:noProof/>
        </w:rPr>
        <w:instrText xml:space="preserve"> PAGEREF _Toc151947549 \h </w:instrText>
      </w:r>
      <w:r w:rsidR="00011276">
        <w:rPr>
          <w:noProof/>
        </w:rPr>
      </w:r>
      <w:r>
        <w:rPr>
          <w:noProof/>
        </w:rPr>
        <w:fldChar w:fldCharType="separate"/>
      </w:r>
      <w:r w:rsidR="008C592B">
        <w:rPr>
          <w:noProof/>
        </w:rPr>
        <w:t>1</w:t>
      </w:r>
      <w:r>
        <w:rPr>
          <w:noProof/>
        </w:rPr>
        <w:fldChar w:fldCharType="end"/>
      </w:r>
    </w:p>
    <w:p w:rsidR="00272093" w:rsidRDefault="00272093">
      <w:pPr>
        <w:pStyle w:val="Verzeichnis2"/>
        <w:tabs>
          <w:tab w:val="clear" w:pos="9638"/>
          <w:tab w:val="right" w:leader="dot" w:pos="9627"/>
        </w:tabs>
        <w:rPr>
          <w:smallCaps w:val="0"/>
          <w:noProof/>
          <w:sz w:val="24"/>
          <w:szCs w:val="24"/>
        </w:rPr>
      </w:pPr>
      <w:r>
        <w:rPr>
          <w:noProof/>
        </w:rPr>
        <w:t>1 Ziel</w:t>
      </w:r>
      <w:r>
        <w:rPr>
          <w:noProof/>
        </w:rPr>
        <w:tab/>
      </w:r>
      <w:r>
        <w:rPr>
          <w:noProof/>
        </w:rPr>
        <w:fldChar w:fldCharType="begin"/>
      </w:r>
      <w:r>
        <w:rPr>
          <w:noProof/>
        </w:rPr>
        <w:instrText xml:space="preserve"> PAGEREF _Toc151947550 \h </w:instrText>
      </w:r>
      <w:r w:rsidR="00011276">
        <w:rPr>
          <w:noProof/>
        </w:rPr>
      </w:r>
      <w:r>
        <w:rPr>
          <w:noProof/>
        </w:rPr>
        <w:fldChar w:fldCharType="separate"/>
      </w:r>
      <w:r w:rsidR="008C592B">
        <w:rPr>
          <w:noProof/>
        </w:rPr>
        <w:t>1</w:t>
      </w:r>
      <w:r>
        <w:rPr>
          <w:noProof/>
        </w:rPr>
        <w:fldChar w:fldCharType="end"/>
      </w:r>
    </w:p>
    <w:p w:rsidR="00272093" w:rsidRDefault="00272093">
      <w:pPr>
        <w:pStyle w:val="Verzeichnis2"/>
        <w:tabs>
          <w:tab w:val="clear" w:pos="9638"/>
          <w:tab w:val="right" w:leader="dot" w:pos="9627"/>
        </w:tabs>
        <w:rPr>
          <w:smallCaps w:val="0"/>
          <w:noProof/>
          <w:sz w:val="24"/>
          <w:szCs w:val="24"/>
        </w:rPr>
      </w:pPr>
      <w:r>
        <w:rPr>
          <w:noProof/>
        </w:rPr>
        <w:t>2 Anwendungsbereich</w:t>
      </w:r>
      <w:r>
        <w:rPr>
          <w:noProof/>
        </w:rPr>
        <w:tab/>
      </w:r>
      <w:r>
        <w:rPr>
          <w:noProof/>
        </w:rPr>
        <w:fldChar w:fldCharType="begin"/>
      </w:r>
      <w:r>
        <w:rPr>
          <w:noProof/>
        </w:rPr>
        <w:instrText xml:space="preserve"> PAGEREF _Toc151947551 \h </w:instrText>
      </w:r>
      <w:r w:rsidR="00011276">
        <w:rPr>
          <w:noProof/>
        </w:rPr>
      </w:r>
      <w:r>
        <w:rPr>
          <w:noProof/>
        </w:rPr>
        <w:fldChar w:fldCharType="separate"/>
      </w:r>
      <w:r w:rsidR="008C592B">
        <w:rPr>
          <w:noProof/>
        </w:rPr>
        <w:t>1</w:t>
      </w:r>
      <w:r>
        <w:rPr>
          <w:noProof/>
        </w:rPr>
        <w:fldChar w:fldCharType="end"/>
      </w:r>
    </w:p>
    <w:p w:rsidR="00272093" w:rsidRDefault="00272093">
      <w:pPr>
        <w:pStyle w:val="Verzeichnis2"/>
        <w:tabs>
          <w:tab w:val="clear" w:pos="9638"/>
          <w:tab w:val="right" w:leader="dot" w:pos="9627"/>
        </w:tabs>
        <w:rPr>
          <w:smallCaps w:val="0"/>
          <w:noProof/>
          <w:sz w:val="24"/>
          <w:szCs w:val="24"/>
        </w:rPr>
      </w:pPr>
      <w:r>
        <w:rPr>
          <w:noProof/>
        </w:rPr>
        <w:t>3 Begriffe und Erläuterungen</w:t>
      </w:r>
      <w:r>
        <w:rPr>
          <w:noProof/>
        </w:rPr>
        <w:tab/>
      </w:r>
      <w:r>
        <w:rPr>
          <w:noProof/>
        </w:rPr>
        <w:fldChar w:fldCharType="begin"/>
      </w:r>
      <w:r>
        <w:rPr>
          <w:noProof/>
        </w:rPr>
        <w:instrText xml:space="preserve"> PAGEREF _Toc151947552 \h </w:instrText>
      </w:r>
      <w:r w:rsidR="00011276">
        <w:rPr>
          <w:noProof/>
        </w:rPr>
      </w:r>
      <w:r>
        <w:rPr>
          <w:noProof/>
        </w:rPr>
        <w:fldChar w:fldCharType="separate"/>
      </w:r>
      <w:r w:rsidR="008C592B">
        <w:rPr>
          <w:noProof/>
        </w:rPr>
        <w:t>2</w:t>
      </w:r>
      <w:r>
        <w:rPr>
          <w:noProof/>
        </w:rPr>
        <w:fldChar w:fldCharType="end"/>
      </w:r>
    </w:p>
    <w:p w:rsidR="00272093" w:rsidRDefault="00272093">
      <w:pPr>
        <w:pStyle w:val="Verzeichnis3"/>
        <w:tabs>
          <w:tab w:val="clear" w:pos="9638"/>
          <w:tab w:val="right" w:leader="dot" w:pos="9627"/>
        </w:tabs>
        <w:rPr>
          <w:i w:val="0"/>
          <w:iCs/>
          <w:noProof/>
          <w:sz w:val="24"/>
          <w:szCs w:val="24"/>
        </w:rPr>
      </w:pPr>
      <w:r>
        <w:rPr>
          <w:noProof/>
        </w:rPr>
        <w:t>3.1 Elektrizitätsversorgungsunternehmen</w:t>
      </w:r>
      <w:r>
        <w:rPr>
          <w:noProof/>
        </w:rPr>
        <w:tab/>
      </w:r>
      <w:r>
        <w:rPr>
          <w:noProof/>
        </w:rPr>
        <w:fldChar w:fldCharType="begin"/>
      </w:r>
      <w:r>
        <w:rPr>
          <w:noProof/>
        </w:rPr>
        <w:instrText xml:space="preserve"> PAGEREF _Toc151947553 \h </w:instrText>
      </w:r>
      <w:r w:rsidR="00011276">
        <w:rPr>
          <w:noProof/>
        </w:rPr>
      </w:r>
      <w:r>
        <w:rPr>
          <w:noProof/>
        </w:rPr>
        <w:fldChar w:fldCharType="separate"/>
      </w:r>
      <w:r w:rsidR="008C592B">
        <w:rPr>
          <w:noProof/>
        </w:rPr>
        <w:t>2</w:t>
      </w:r>
      <w:r>
        <w:rPr>
          <w:noProof/>
        </w:rPr>
        <w:fldChar w:fldCharType="end"/>
      </w:r>
    </w:p>
    <w:p w:rsidR="00272093" w:rsidRDefault="00272093">
      <w:pPr>
        <w:pStyle w:val="Verzeichnis3"/>
        <w:tabs>
          <w:tab w:val="clear" w:pos="9638"/>
          <w:tab w:val="right" w:leader="dot" w:pos="9627"/>
        </w:tabs>
        <w:rPr>
          <w:i w:val="0"/>
          <w:iCs/>
          <w:noProof/>
          <w:sz w:val="24"/>
          <w:szCs w:val="24"/>
        </w:rPr>
      </w:pPr>
      <w:r>
        <w:rPr>
          <w:noProof/>
        </w:rPr>
        <w:t>3.2 Elektrische Betriebsmittel</w:t>
      </w:r>
      <w:r>
        <w:rPr>
          <w:noProof/>
        </w:rPr>
        <w:tab/>
      </w:r>
      <w:r>
        <w:rPr>
          <w:noProof/>
        </w:rPr>
        <w:fldChar w:fldCharType="begin"/>
      </w:r>
      <w:r>
        <w:rPr>
          <w:noProof/>
        </w:rPr>
        <w:instrText xml:space="preserve"> PAGEREF _Toc151947554 \h </w:instrText>
      </w:r>
      <w:r w:rsidR="00011276">
        <w:rPr>
          <w:noProof/>
        </w:rPr>
      </w:r>
      <w:r>
        <w:rPr>
          <w:noProof/>
        </w:rPr>
        <w:fldChar w:fldCharType="separate"/>
      </w:r>
      <w:r w:rsidR="008C592B">
        <w:rPr>
          <w:noProof/>
        </w:rPr>
        <w:t>2</w:t>
      </w:r>
      <w:r>
        <w:rPr>
          <w:noProof/>
        </w:rPr>
        <w:fldChar w:fldCharType="end"/>
      </w:r>
    </w:p>
    <w:p w:rsidR="00272093" w:rsidRDefault="00272093">
      <w:pPr>
        <w:pStyle w:val="Verzeichnis3"/>
        <w:tabs>
          <w:tab w:val="clear" w:pos="9638"/>
          <w:tab w:val="right" w:leader="dot" w:pos="9627"/>
        </w:tabs>
        <w:rPr>
          <w:i w:val="0"/>
          <w:iCs/>
          <w:noProof/>
          <w:sz w:val="24"/>
          <w:szCs w:val="24"/>
        </w:rPr>
      </w:pPr>
      <w:r>
        <w:rPr>
          <w:noProof/>
        </w:rPr>
        <w:t>3.3 Anlagen</w:t>
      </w:r>
      <w:r>
        <w:rPr>
          <w:noProof/>
        </w:rPr>
        <w:tab/>
      </w:r>
      <w:r>
        <w:rPr>
          <w:noProof/>
        </w:rPr>
        <w:fldChar w:fldCharType="begin"/>
      </w:r>
      <w:r>
        <w:rPr>
          <w:noProof/>
        </w:rPr>
        <w:instrText xml:space="preserve"> PAGEREF _Toc151947555 \h </w:instrText>
      </w:r>
      <w:r w:rsidR="00011276">
        <w:rPr>
          <w:noProof/>
        </w:rPr>
      </w:r>
      <w:r>
        <w:rPr>
          <w:noProof/>
        </w:rPr>
        <w:fldChar w:fldCharType="separate"/>
      </w:r>
      <w:r w:rsidR="008C592B">
        <w:rPr>
          <w:noProof/>
        </w:rPr>
        <w:t>3</w:t>
      </w:r>
      <w:r>
        <w:rPr>
          <w:noProof/>
        </w:rPr>
        <w:fldChar w:fldCharType="end"/>
      </w:r>
    </w:p>
    <w:p w:rsidR="00272093" w:rsidRDefault="00272093">
      <w:pPr>
        <w:pStyle w:val="Verzeichnis2"/>
        <w:tabs>
          <w:tab w:val="clear" w:pos="9638"/>
          <w:tab w:val="right" w:leader="dot" w:pos="9627"/>
        </w:tabs>
        <w:rPr>
          <w:smallCaps w:val="0"/>
          <w:noProof/>
          <w:sz w:val="24"/>
          <w:szCs w:val="24"/>
        </w:rPr>
      </w:pPr>
      <w:r>
        <w:rPr>
          <w:noProof/>
        </w:rPr>
        <w:t>4 Allgemeines</w:t>
      </w:r>
      <w:r>
        <w:rPr>
          <w:noProof/>
        </w:rPr>
        <w:tab/>
      </w:r>
      <w:r>
        <w:rPr>
          <w:noProof/>
        </w:rPr>
        <w:fldChar w:fldCharType="begin"/>
      </w:r>
      <w:r>
        <w:rPr>
          <w:noProof/>
        </w:rPr>
        <w:instrText xml:space="preserve"> PAGEREF _Toc151947556 \h </w:instrText>
      </w:r>
      <w:r w:rsidR="00011276">
        <w:rPr>
          <w:noProof/>
        </w:rPr>
      </w:r>
      <w:r>
        <w:rPr>
          <w:noProof/>
        </w:rPr>
        <w:fldChar w:fldCharType="separate"/>
      </w:r>
      <w:r w:rsidR="008C592B">
        <w:rPr>
          <w:noProof/>
        </w:rPr>
        <w:t>3</w:t>
      </w:r>
      <w:r>
        <w:rPr>
          <w:noProof/>
        </w:rPr>
        <w:fldChar w:fldCharType="end"/>
      </w:r>
    </w:p>
    <w:p w:rsidR="00272093" w:rsidRDefault="00272093">
      <w:pPr>
        <w:pStyle w:val="Verzeichnis2"/>
        <w:tabs>
          <w:tab w:val="clear" w:pos="9638"/>
          <w:tab w:val="right" w:leader="dot" w:pos="9627"/>
        </w:tabs>
        <w:rPr>
          <w:smallCaps w:val="0"/>
          <w:noProof/>
          <w:sz w:val="24"/>
          <w:szCs w:val="24"/>
        </w:rPr>
      </w:pPr>
      <w:r>
        <w:rPr>
          <w:noProof/>
        </w:rPr>
        <w:t>5 Anforderungen an Anlagen zum Verwenden wassergefährdender Flüssigkeiten) im Netzbereich von EVU</w:t>
      </w:r>
      <w:r>
        <w:rPr>
          <w:noProof/>
        </w:rPr>
        <w:tab/>
      </w:r>
      <w:r>
        <w:rPr>
          <w:noProof/>
        </w:rPr>
        <w:fldChar w:fldCharType="begin"/>
      </w:r>
      <w:r>
        <w:rPr>
          <w:noProof/>
        </w:rPr>
        <w:instrText xml:space="preserve"> PAGEREF _Toc151947557 \h </w:instrText>
      </w:r>
      <w:r w:rsidR="00011276">
        <w:rPr>
          <w:noProof/>
        </w:rPr>
      </w:r>
      <w:r>
        <w:rPr>
          <w:noProof/>
        </w:rPr>
        <w:fldChar w:fldCharType="separate"/>
      </w:r>
      <w:r w:rsidR="008C592B">
        <w:rPr>
          <w:noProof/>
        </w:rPr>
        <w:t>4</w:t>
      </w:r>
      <w:r>
        <w:rPr>
          <w:noProof/>
        </w:rPr>
        <w:fldChar w:fldCharType="end"/>
      </w:r>
    </w:p>
    <w:p w:rsidR="00272093" w:rsidRDefault="00272093">
      <w:pPr>
        <w:pStyle w:val="Verzeichnis3"/>
        <w:tabs>
          <w:tab w:val="clear" w:pos="9638"/>
          <w:tab w:val="right" w:leader="dot" w:pos="9627"/>
        </w:tabs>
        <w:rPr>
          <w:i w:val="0"/>
          <w:iCs/>
          <w:noProof/>
          <w:sz w:val="24"/>
          <w:szCs w:val="24"/>
        </w:rPr>
      </w:pPr>
      <w:r>
        <w:rPr>
          <w:noProof/>
        </w:rPr>
        <w:t>5.1 Übersicht über die Anforderungen</w:t>
      </w:r>
      <w:r>
        <w:rPr>
          <w:noProof/>
        </w:rPr>
        <w:tab/>
      </w:r>
      <w:r>
        <w:rPr>
          <w:noProof/>
        </w:rPr>
        <w:fldChar w:fldCharType="begin"/>
      </w:r>
      <w:r>
        <w:rPr>
          <w:noProof/>
        </w:rPr>
        <w:instrText xml:space="preserve"> PAGEREF _Toc151947558 \h </w:instrText>
      </w:r>
      <w:r w:rsidR="00011276">
        <w:rPr>
          <w:noProof/>
        </w:rPr>
      </w:r>
      <w:r>
        <w:rPr>
          <w:noProof/>
        </w:rPr>
        <w:fldChar w:fldCharType="separate"/>
      </w:r>
      <w:r w:rsidR="008C592B">
        <w:rPr>
          <w:noProof/>
        </w:rPr>
        <w:t>4</w:t>
      </w:r>
      <w:r>
        <w:rPr>
          <w:noProof/>
        </w:rPr>
        <w:fldChar w:fldCharType="end"/>
      </w:r>
    </w:p>
    <w:p w:rsidR="00767F96" w:rsidRPr="00B11A61" w:rsidRDefault="00272093" w:rsidP="00B11A61">
      <w:pPr>
        <w:pStyle w:val="GesAbsatz"/>
      </w:pPr>
      <w:r>
        <w:rPr>
          <w:noProof/>
        </w:rPr>
        <w:fldChar w:fldCharType="end"/>
      </w:r>
    </w:p>
    <w:p w:rsidR="00767F96" w:rsidRDefault="00767F96" w:rsidP="007159AF">
      <w:pPr>
        <w:pStyle w:val="GesAbsatz"/>
      </w:pPr>
      <w:r>
        <w:t>Die in den Anforderungstabellen des Anhanges zu § 4 Abs. 1 der Verordnung über Anlagen zum Umgang mit wassergefährdenden Stoffen und über Fachbetriebe (VAwS) (SGV. NW. 77) zusammengefaßten Ma</w:t>
      </w:r>
      <w:r>
        <w:t>ß</w:t>
      </w:r>
      <w:r>
        <w:t xml:space="preserve">nahmen gelten für eine Vielzahl von </w:t>
      </w:r>
      <w:r>
        <w:noBreakHyphen/>
        <w:t xml:space="preserve"> hier vor allem im Bereich der HBV</w:t>
      </w:r>
      <w:r w:rsidR="007159AF">
        <w:t>-</w:t>
      </w:r>
      <w:r>
        <w:t xml:space="preserve">Anlagen </w:t>
      </w:r>
      <w:r>
        <w:noBreakHyphen/>
        <w:t xml:space="preserve"> Anlagen mit unterschie</w:t>
      </w:r>
      <w:r>
        <w:t>d</w:t>
      </w:r>
      <w:r>
        <w:t>lichen Randbedingungen. Daher verbleibt im Einzelfall ein weiter Ermessensspielraum für die Beurteilungen einze</w:t>
      </w:r>
      <w:r>
        <w:t>l</w:t>
      </w:r>
      <w:r>
        <w:t>ner Anlagen und die sich daraus abzuleitenden konkreten Anforderungen.</w:t>
      </w:r>
    </w:p>
    <w:p w:rsidR="00767F96" w:rsidRDefault="00767F96" w:rsidP="007159AF">
      <w:pPr>
        <w:pStyle w:val="GesAbsatz"/>
      </w:pPr>
      <w:r>
        <w:t>Für den Bereich der Anlagen im Netzbereich von Elektrizitätsversorgungsunternehmen wurden unter B</w:t>
      </w:r>
      <w:r>
        <w:t>e</w:t>
      </w:r>
      <w:r>
        <w:t>rücksichtigung eines Anforderungskataloges, der vom Institut für wassergefährdende Stoffe an der TU Be</w:t>
      </w:r>
      <w:r>
        <w:t>r</w:t>
      </w:r>
      <w:r>
        <w:t>lin erarbeitet und von der Länderarbeitsgemeinschaft Wasser (LAWA) im Grundsatz gebilligt und den Lä</w:t>
      </w:r>
      <w:r>
        <w:t>n</w:t>
      </w:r>
      <w:r>
        <w:t>dern für den Vollzug empfohlen wurde, sowie unter Beachtung der allgemein anerkannten Regeln der Tec</w:t>
      </w:r>
      <w:r>
        <w:t>h</w:t>
      </w:r>
      <w:r>
        <w:t>nik für die Übertragungs</w:t>
      </w:r>
      <w:r w:rsidR="007159AF">
        <w:t>-</w:t>
      </w:r>
      <w:r>
        <w:t xml:space="preserve"> und Verteilungsnetze der Elektrizitätsversorgungsunternehmen die Anforderungen des Anhanges zu § 4 Abs. 1 VAwS für HBV</w:t>
      </w:r>
      <w:r w:rsidR="007159AF">
        <w:t>-</w:t>
      </w:r>
      <w:r>
        <w:t>Anlagen, soweit bauliche und apparative Einrichtungen betro</w:t>
      </w:r>
      <w:r>
        <w:t>f</w:t>
      </w:r>
      <w:r>
        <w:t>fen sind, weiter und abschließend in einem Merkblatt konkretisiert, das hiermit bekanntgegeben wird.</w:t>
      </w:r>
    </w:p>
    <w:p w:rsidR="00767F96" w:rsidRPr="00B11A61" w:rsidRDefault="00767F96" w:rsidP="00B11A61">
      <w:pPr>
        <w:pStyle w:val="berschrift2"/>
        <w:jc w:val="left"/>
      </w:pPr>
      <w:bookmarkStart w:id="3" w:name="_Toc410606341"/>
      <w:bookmarkStart w:id="4" w:name="_Toc453127382"/>
      <w:bookmarkStart w:id="5" w:name="_Toc151947550"/>
      <w:r w:rsidRPr="00B11A61">
        <w:t>1 Ziel</w:t>
      </w:r>
      <w:bookmarkEnd w:id="3"/>
      <w:bookmarkEnd w:id="4"/>
      <w:bookmarkEnd w:id="5"/>
    </w:p>
    <w:p w:rsidR="00767F96" w:rsidRDefault="00767F96">
      <w:r>
        <w:t>Dieses Merkblatt verfolgt das Ziel,</w:t>
      </w:r>
    </w:p>
    <w:p w:rsidR="00767F96" w:rsidRDefault="007159AF" w:rsidP="00B11A61">
      <w:pPr>
        <w:pStyle w:val="GesAbsatz"/>
        <w:ind w:left="426" w:hanging="426"/>
      </w:pPr>
      <w:r>
        <w:t>-</w:t>
      </w:r>
      <w:r>
        <w:tab/>
      </w:r>
      <w:r w:rsidR="00767F96">
        <w:t>Elektrizitätsversorgungsunternehmen (EVU) als Betreibern von elektrischen Anlagen zum Verwenden wa</w:t>
      </w:r>
      <w:r w:rsidR="00767F96">
        <w:t>s</w:t>
      </w:r>
      <w:r w:rsidR="00767F96">
        <w:t>sergefährdender Stoffe in ihren Netzbereichen aufzuzeigen, welchen Anforderungen diese Anlagen aus wa</w:t>
      </w:r>
      <w:r w:rsidR="00767F96">
        <w:t>s</w:t>
      </w:r>
      <w:r w:rsidR="00767F96">
        <w:t>serrechtlicher Sicht genügen müssen,</w:t>
      </w:r>
    </w:p>
    <w:p w:rsidR="00767F96" w:rsidRDefault="007159AF" w:rsidP="00B11A61">
      <w:pPr>
        <w:pStyle w:val="GesAbsatz"/>
        <w:ind w:left="426" w:hanging="426"/>
      </w:pPr>
      <w:r>
        <w:t>-</w:t>
      </w:r>
      <w:r>
        <w:tab/>
      </w:r>
      <w:r w:rsidR="00767F96">
        <w:t>Behörden die Beurteilung bestehender und neu zu errichtender Anlagen zu erleichtern.</w:t>
      </w:r>
    </w:p>
    <w:p w:rsidR="00767F96" w:rsidRDefault="00767F96" w:rsidP="007159AF">
      <w:pPr>
        <w:tabs>
          <w:tab w:val="clear" w:pos="425"/>
          <w:tab w:val="left" w:pos="426"/>
        </w:tabs>
      </w:pPr>
      <w:r>
        <w:t>Dieses Merkblatt beschreibt Anforderungen an Anlagen im Netzbereich von EVU nach § 4 Abs. 1 der Ve</w:t>
      </w:r>
      <w:r>
        <w:t>r</w:t>
      </w:r>
      <w:r>
        <w:t>ordnung über Anlagen zum Umgang mit wassergefährdenden Stoffen und über Fachbetriebe (VAwS). Vo</w:t>
      </w:r>
      <w:r>
        <w:t>r</w:t>
      </w:r>
      <w:r>
        <w:t>schriften aus anderen Rechtsbereichen bleiben unberührt.</w:t>
      </w:r>
    </w:p>
    <w:p w:rsidR="00767F96" w:rsidRPr="00B11A61" w:rsidRDefault="00767F96" w:rsidP="00B11A61">
      <w:pPr>
        <w:pStyle w:val="berschrift2"/>
        <w:jc w:val="left"/>
      </w:pPr>
      <w:bookmarkStart w:id="6" w:name="_Toc410606342"/>
      <w:bookmarkStart w:id="7" w:name="_Toc453127383"/>
      <w:bookmarkStart w:id="8" w:name="_Toc151947551"/>
      <w:r w:rsidRPr="00B11A61">
        <w:rPr>
          <w:bCs/>
        </w:rPr>
        <w:t>2 Anwendungsbereich</w:t>
      </w:r>
      <w:bookmarkEnd w:id="6"/>
      <w:bookmarkEnd w:id="7"/>
      <w:bookmarkEnd w:id="8"/>
    </w:p>
    <w:p w:rsidR="00767F96" w:rsidRDefault="00767F96" w:rsidP="007159AF">
      <w:pPr>
        <w:pStyle w:val="GesAbsatz"/>
      </w:pPr>
      <w:r>
        <w:t>Dieses Merkblatt gilt für elektrische Anlagen und Betriebsmittel im Netzbereich von EVU und für andere ve</w:t>
      </w:r>
      <w:r>
        <w:t>r</w:t>
      </w:r>
      <w:r>
        <w:t>gleichbare Anlagen</w:t>
      </w:r>
    </w:p>
    <w:p w:rsidR="00767F96" w:rsidRDefault="007159AF" w:rsidP="007159AF">
      <w:pPr>
        <w:pStyle w:val="GesAbsatz"/>
        <w:ind w:left="426" w:hanging="426"/>
      </w:pPr>
      <w:r>
        <w:t>-</w:t>
      </w:r>
      <w:r>
        <w:tab/>
      </w:r>
      <w:r w:rsidR="00767F96">
        <w:t>zum Verwenden wassergefährdender Stoffe im Sinne von § 19 g Abs. 1 WHG i. V. m. § 2 VAwS, insb</w:t>
      </w:r>
      <w:r w:rsidR="00767F96">
        <w:t>e</w:t>
      </w:r>
      <w:r w:rsidR="00767F96">
        <w:t>sondere als Isolier</w:t>
      </w:r>
      <w:r>
        <w:t>-</w:t>
      </w:r>
      <w:r w:rsidR="00767F96">
        <w:t>, Kühl</w:t>
      </w:r>
      <w:r>
        <w:t>-</w:t>
      </w:r>
      <w:r w:rsidR="00767F96">
        <w:t xml:space="preserve"> oder Hydraulikmedium,</w:t>
      </w:r>
    </w:p>
    <w:p w:rsidR="00767F96" w:rsidRDefault="007159AF" w:rsidP="007159AF">
      <w:pPr>
        <w:pStyle w:val="GesAbsatz"/>
      </w:pPr>
      <w:r>
        <w:t>-</w:t>
      </w:r>
      <w:r>
        <w:tab/>
      </w:r>
      <w:r w:rsidR="00767F96">
        <w:t>der Wassergefährdungsklassen (WGK) 0 oder 1 gemäß VwVwS,</w:t>
      </w:r>
    </w:p>
    <w:p w:rsidR="00767F96" w:rsidRDefault="007159AF" w:rsidP="007159AF">
      <w:pPr>
        <w:pStyle w:val="GesAbsatz"/>
      </w:pPr>
      <w:r>
        <w:t>-</w:t>
      </w:r>
      <w:r>
        <w:tab/>
      </w:r>
      <w:r w:rsidR="00767F96">
        <w:t>mit einem Fassungsvermögen bis zu einschließlich 100 m³.</w:t>
      </w:r>
    </w:p>
    <w:p w:rsidR="00767F96" w:rsidRDefault="00767F96" w:rsidP="007159AF">
      <w:pPr>
        <w:pStyle w:val="GesAbsatz"/>
      </w:pPr>
      <w:r>
        <w:t>Als Isolier</w:t>
      </w:r>
      <w:r w:rsidR="007159AF">
        <w:t>-</w:t>
      </w:r>
      <w:r>
        <w:t xml:space="preserve"> bzw. Kühlmedien werden üblicherweise</w:t>
      </w:r>
    </w:p>
    <w:p w:rsidR="00767F96" w:rsidRDefault="007159AF" w:rsidP="007159AF">
      <w:pPr>
        <w:pStyle w:val="GesAbsatz"/>
        <w:ind w:left="426" w:hanging="426"/>
      </w:pPr>
      <w:r>
        <w:t>-</w:t>
      </w:r>
      <w:r>
        <w:tab/>
      </w:r>
      <w:r w:rsidR="00767F96">
        <w:t>Isolieröle auf Mineralölbasis nach DIN VDE 0370 (Datenblatt</w:t>
      </w:r>
      <w:r w:rsidR="00767F96">
        <w:noBreakHyphen/>
        <w:t>Nr.: 802, WGK 1)</w:t>
      </w:r>
      <w:r>
        <w:t xml:space="preserve"> </w:t>
      </w:r>
      <w:r w:rsidR="00767F96">
        <w:t>in besonderen Fällen auch</w:t>
      </w:r>
    </w:p>
    <w:p w:rsidR="00767F96" w:rsidRDefault="007159AF" w:rsidP="007159AF">
      <w:pPr>
        <w:pStyle w:val="GesAbsatz"/>
      </w:pPr>
      <w:r>
        <w:lastRenderedPageBreak/>
        <w:t>-</w:t>
      </w:r>
      <w:r>
        <w:tab/>
      </w:r>
      <w:r w:rsidR="00767F96">
        <w:t>Schwefelhexafluorid SF</w:t>
      </w:r>
      <w:r w:rsidR="00767F96">
        <w:rPr>
          <w:vertAlign w:val="subscript"/>
        </w:rPr>
        <w:t>6</w:t>
      </w:r>
      <w:r w:rsidR="00767F96">
        <w:t xml:space="preserve"> (Datenblatt</w:t>
      </w:r>
      <w:r>
        <w:t>-</w:t>
      </w:r>
      <w:r w:rsidR="00767F96">
        <w:t>Nr.: 846, WGK</w:t>
      </w:r>
      <w:r w:rsidR="00767F96" w:rsidRPr="000F7FA0">
        <w:t xml:space="preserve"> </w:t>
      </w:r>
      <w:r w:rsidR="00767F96">
        <w:t>0)</w:t>
      </w:r>
    </w:p>
    <w:p w:rsidR="00767F96" w:rsidRDefault="007159AF" w:rsidP="007159AF">
      <w:pPr>
        <w:pStyle w:val="GesAbsatz"/>
      </w:pPr>
      <w:r>
        <w:t>-</w:t>
      </w:r>
      <w:r>
        <w:tab/>
      </w:r>
      <w:r w:rsidR="00767F96">
        <w:t>Penta</w:t>
      </w:r>
      <w:r>
        <w:t>-</w:t>
      </w:r>
      <w:r w:rsidR="00767F96">
        <w:t>Erythrit</w:t>
      </w:r>
      <w:r>
        <w:t>-</w:t>
      </w:r>
      <w:r w:rsidR="00767F96">
        <w:t>Tetra</w:t>
      </w:r>
      <w:r>
        <w:t>-</w:t>
      </w:r>
      <w:r w:rsidR="00767F96">
        <w:t>Fettsäure</w:t>
      </w:r>
      <w:r>
        <w:t>-</w:t>
      </w:r>
      <w:r w:rsidR="00767F96">
        <w:t>Ester [C6</w:t>
      </w:r>
      <w:r>
        <w:t>-C10] (Datenblatt-</w:t>
      </w:r>
      <w:r w:rsidR="00767F96">
        <w:t>Nr.: 770, WGK 0)</w:t>
      </w:r>
    </w:p>
    <w:p w:rsidR="00767F96" w:rsidRDefault="00767F96" w:rsidP="004A20E9">
      <w:pPr>
        <w:pStyle w:val="GesAbsatz"/>
      </w:pPr>
      <w:r>
        <w:t>verwendet.</w:t>
      </w:r>
    </w:p>
    <w:p w:rsidR="00767F96" w:rsidRDefault="00767F96" w:rsidP="004A20E9">
      <w:pPr>
        <w:pStyle w:val="GesAbsatz"/>
      </w:pPr>
      <w:r w:rsidRPr="00272093">
        <w:rPr>
          <w:b/>
        </w:rPr>
        <w:t>Tabelle 1:</w:t>
      </w:r>
      <w:r>
        <w:t xml:space="preserve"> Gebräuchliche Fassungsvermögen elektrischer Betriebsmittel</w:t>
      </w:r>
    </w:p>
    <w:p w:rsidR="004A20E9" w:rsidRDefault="004A20E9" w:rsidP="004A20E9">
      <w:pPr>
        <w:pStyle w:val="GesAbsatz"/>
      </w:pPr>
    </w:p>
    <w:tbl>
      <w:tblPr>
        <w:tblW w:w="0" w:type="auto"/>
        <w:tblInd w:w="1063" w:type="dxa"/>
        <w:tblBorders>
          <w:top w:val="single" w:sz="6" w:space="0" w:color="auto"/>
          <w:bottom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8"/>
        <w:gridCol w:w="3330"/>
      </w:tblGrid>
      <w:tr w:rsidR="00767F96">
        <w:tblPrEx>
          <w:tblCellMar>
            <w:top w:w="0" w:type="dxa"/>
            <w:bottom w:w="0" w:type="dxa"/>
          </w:tblCellMar>
        </w:tblPrEx>
        <w:tc>
          <w:tcPr>
            <w:tcW w:w="3048" w:type="dxa"/>
            <w:tcBorders>
              <w:top w:val="single" w:sz="6" w:space="0" w:color="auto"/>
              <w:bottom w:val="single" w:sz="6" w:space="0" w:color="auto"/>
            </w:tcBorders>
          </w:tcPr>
          <w:p w:rsidR="00767F96" w:rsidRDefault="00767F96" w:rsidP="004A20E9">
            <w:pPr>
              <w:pStyle w:val="GesAbsatz"/>
            </w:pPr>
            <w:r>
              <w:t>Betriebsmittel</w:t>
            </w:r>
          </w:p>
        </w:tc>
        <w:tc>
          <w:tcPr>
            <w:tcW w:w="3330" w:type="dxa"/>
            <w:tcBorders>
              <w:top w:val="single" w:sz="6" w:space="0" w:color="auto"/>
              <w:bottom w:val="single" w:sz="6" w:space="0" w:color="auto"/>
            </w:tcBorders>
          </w:tcPr>
          <w:p w:rsidR="00767F96" w:rsidRDefault="00767F96" w:rsidP="004A20E9">
            <w:pPr>
              <w:pStyle w:val="GesAbsatz"/>
            </w:pPr>
            <w:r>
              <w:t>Fassungsvermögen in m³</w:t>
            </w:r>
          </w:p>
        </w:tc>
      </w:tr>
      <w:tr w:rsidR="00767F96">
        <w:tblPrEx>
          <w:tblCellMar>
            <w:top w:w="0" w:type="dxa"/>
            <w:bottom w:w="0" w:type="dxa"/>
          </w:tblCellMar>
        </w:tblPrEx>
        <w:tc>
          <w:tcPr>
            <w:tcW w:w="3048" w:type="dxa"/>
            <w:tcBorders>
              <w:top w:val="nil"/>
            </w:tcBorders>
          </w:tcPr>
          <w:p w:rsidR="00767F96" w:rsidRDefault="00767F96" w:rsidP="004A20E9">
            <w:pPr>
              <w:pStyle w:val="GesAbsatz"/>
            </w:pPr>
            <w:r>
              <w:t>Transformatoren in Maststati</w:t>
            </w:r>
            <w:r>
              <w:t>o</w:t>
            </w:r>
            <w:r>
              <w:t xml:space="preserve">nen </w:t>
            </w:r>
          </w:p>
        </w:tc>
        <w:tc>
          <w:tcPr>
            <w:tcW w:w="3330" w:type="dxa"/>
            <w:tcBorders>
              <w:top w:val="nil"/>
            </w:tcBorders>
          </w:tcPr>
          <w:p w:rsidR="00767F96" w:rsidRDefault="00767F96" w:rsidP="004A20E9">
            <w:pPr>
              <w:pStyle w:val="GesAbsatz"/>
            </w:pPr>
            <w:r>
              <w:t>0,05 bis 0,5</w:t>
            </w:r>
          </w:p>
        </w:tc>
      </w:tr>
      <w:tr w:rsidR="00767F96">
        <w:tblPrEx>
          <w:tblCellMar>
            <w:top w:w="0" w:type="dxa"/>
            <w:bottom w:w="0" w:type="dxa"/>
          </w:tblCellMar>
        </w:tblPrEx>
        <w:tc>
          <w:tcPr>
            <w:tcW w:w="3048" w:type="dxa"/>
          </w:tcPr>
          <w:p w:rsidR="00767F96" w:rsidRDefault="00767F96" w:rsidP="004A20E9">
            <w:pPr>
              <w:pStyle w:val="GesAbsatz"/>
            </w:pPr>
            <w:r>
              <w:t>Transformatoren in anderen Netzstationen</w:t>
            </w:r>
          </w:p>
        </w:tc>
        <w:tc>
          <w:tcPr>
            <w:tcW w:w="3330" w:type="dxa"/>
          </w:tcPr>
          <w:p w:rsidR="00767F96" w:rsidRDefault="00767F96" w:rsidP="004A20E9">
            <w:pPr>
              <w:pStyle w:val="GesAbsatz"/>
            </w:pPr>
            <w:r>
              <w:t>0,05 bis 1</w:t>
            </w:r>
            <w:r>
              <w:br/>
              <w:t>(ggf. Station komplett bis 2)</w:t>
            </w:r>
          </w:p>
        </w:tc>
      </w:tr>
      <w:tr w:rsidR="00767F96">
        <w:tblPrEx>
          <w:tblCellMar>
            <w:top w:w="0" w:type="dxa"/>
            <w:bottom w:w="0" w:type="dxa"/>
          </w:tblCellMar>
        </w:tblPrEx>
        <w:tc>
          <w:tcPr>
            <w:tcW w:w="3048" w:type="dxa"/>
          </w:tcPr>
          <w:p w:rsidR="00767F96" w:rsidRDefault="00767F96" w:rsidP="004A20E9">
            <w:pPr>
              <w:pStyle w:val="GesAbsatz"/>
            </w:pPr>
            <w:r>
              <w:t>Transformatoren in Umspanna</w:t>
            </w:r>
            <w:r>
              <w:t>n</w:t>
            </w:r>
            <w:r>
              <w:t>lagen</w:t>
            </w:r>
          </w:p>
        </w:tc>
        <w:tc>
          <w:tcPr>
            <w:tcW w:w="3330" w:type="dxa"/>
          </w:tcPr>
          <w:p w:rsidR="00767F96" w:rsidRDefault="00767F96" w:rsidP="004A20E9">
            <w:pPr>
              <w:pStyle w:val="GesAbsatz"/>
            </w:pPr>
            <w:r>
              <w:t>0,1 bis 100</w:t>
            </w:r>
          </w:p>
        </w:tc>
      </w:tr>
      <w:tr w:rsidR="00767F96">
        <w:tblPrEx>
          <w:tblCellMar>
            <w:top w:w="0" w:type="dxa"/>
            <w:bottom w:w="0" w:type="dxa"/>
          </w:tblCellMar>
        </w:tblPrEx>
        <w:tc>
          <w:tcPr>
            <w:tcW w:w="3048" w:type="dxa"/>
          </w:tcPr>
          <w:p w:rsidR="00767F96" w:rsidRDefault="00767F96" w:rsidP="004A20E9">
            <w:pPr>
              <w:pStyle w:val="GesAbsatz"/>
            </w:pPr>
            <w:r>
              <w:t>andere elektrische Be triebsmi</w:t>
            </w:r>
            <w:r>
              <w:t>t</w:t>
            </w:r>
            <w:r>
              <w:t>tel in Umspann- oder Schalta</w:t>
            </w:r>
            <w:r>
              <w:t>n</w:t>
            </w:r>
            <w:r>
              <w:t>lagen</w:t>
            </w:r>
          </w:p>
        </w:tc>
        <w:tc>
          <w:tcPr>
            <w:tcW w:w="3330" w:type="dxa"/>
          </w:tcPr>
          <w:p w:rsidR="00767F96" w:rsidRDefault="00767F96" w:rsidP="004A20E9">
            <w:pPr>
              <w:pStyle w:val="GesAbsatz"/>
            </w:pPr>
            <w:r>
              <w:t xml:space="preserve">je 0,005 bis 0,5 </w:t>
            </w:r>
            <w:r>
              <w:br/>
              <w:t>(Einzelfälle bis 1)</w:t>
            </w:r>
          </w:p>
        </w:tc>
      </w:tr>
    </w:tbl>
    <w:p w:rsidR="004A20E9" w:rsidRDefault="004A20E9" w:rsidP="007159AF">
      <w:pPr>
        <w:pStyle w:val="GesAbsatz"/>
      </w:pPr>
    </w:p>
    <w:p w:rsidR="00767F96" w:rsidRDefault="00767F96" w:rsidP="007159AF">
      <w:pPr>
        <w:pStyle w:val="GesAbsatz"/>
      </w:pPr>
      <w:r>
        <w:t>Wassergefährdende Stoffe befinden sich in diesen elektrischen Anlagen oder Anlagenteilen im Sinne von §</w:t>
      </w:r>
      <w:r w:rsidR="007159AF">
        <w:t> </w:t>
      </w:r>
      <w:r>
        <w:t>19 h Abs. 2 Nr. 2 a) WHG im Arbeitsgang.</w:t>
      </w:r>
    </w:p>
    <w:p w:rsidR="00767F96" w:rsidRDefault="00767F96" w:rsidP="007159AF">
      <w:pPr>
        <w:pStyle w:val="GesAbsatz"/>
      </w:pPr>
      <w:r>
        <w:t>Zum Netzbereich zählen grundsätzlich alle Einrichtungen und miteinander verbundenen elektrischen Anl</w:t>
      </w:r>
      <w:r>
        <w:t>a</w:t>
      </w:r>
      <w:r>
        <w:t>gen und Anlagenteile der Netze zur Übertragung und Verteilung elektrischer Energie, nicht jedoch Anlagen und Anlagenteile zur Erzeugung von Energie bzw. zur Umwandlung anderer Energieformen in elektrische Ene</w:t>
      </w:r>
      <w:r>
        <w:t>r</w:t>
      </w:r>
      <w:r>
        <w:t>gie.</w:t>
      </w:r>
    </w:p>
    <w:p w:rsidR="00767F96" w:rsidRPr="00B11A61" w:rsidRDefault="00767F96" w:rsidP="00B11A61">
      <w:pPr>
        <w:pStyle w:val="berschrift2"/>
        <w:jc w:val="left"/>
      </w:pPr>
      <w:bookmarkStart w:id="9" w:name="_Toc410606343"/>
      <w:bookmarkStart w:id="10" w:name="_Toc453127384"/>
      <w:bookmarkStart w:id="11" w:name="_Toc151947552"/>
      <w:r w:rsidRPr="00B11A61">
        <w:rPr>
          <w:bCs/>
        </w:rPr>
        <w:t>3 Begriffe und Erläuterungen</w:t>
      </w:r>
      <w:bookmarkStart w:id="12" w:name="_Toc410606344"/>
      <w:bookmarkEnd w:id="9"/>
      <w:bookmarkEnd w:id="10"/>
      <w:bookmarkEnd w:id="11"/>
    </w:p>
    <w:p w:rsidR="00767F96" w:rsidRDefault="00767F96">
      <w:pPr>
        <w:pStyle w:val="berschrift3"/>
        <w:jc w:val="left"/>
      </w:pPr>
      <w:bookmarkStart w:id="13" w:name="_Toc453127385"/>
      <w:bookmarkStart w:id="14" w:name="_Toc151947553"/>
      <w:r>
        <w:t>3.1 Elektrizitätsversorgungsunternehmen</w:t>
      </w:r>
      <w:bookmarkEnd w:id="12"/>
      <w:bookmarkEnd w:id="13"/>
      <w:bookmarkEnd w:id="14"/>
    </w:p>
    <w:p w:rsidR="00767F96" w:rsidRDefault="00767F96" w:rsidP="007159AF">
      <w:pPr>
        <w:pStyle w:val="GesAbsatz"/>
      </w:pPr>
      <w:r>
        <w:t>Elektrizitätsversorgungsunternehmen (EVU) sind solche im Sinne von § 2 Abs. 2 des Energiewirtschaftsg</w:t>
      </w:r>
      <w:r>
        <w:t>e</w:t>
      </w:r>
      <w:r>
        <w:t>setzes (EnWG).</w:t>
      </w:r>
    </w:p>
    <w:p w:rsidR="00767F96" w:rsidRDefault="00767F96">
      <w:pPr>
        <w:pStyle w:val="berschrift3"/>
        <w:jc w:val="left"/>
      </w:pPr>
      <w:bookmarkStart w:id="15" w:name="_Toc410606345"/>
      <w:bookmarkStart w:id="16" w:name="_Toc453127386"/>
      <w:bookmarkStart w:id="17" w:name="_Toc151947554"/>
      <w:r>
        <w:t>3.2 Elektrische Betriebsmittel</w:t>
      </w:r>
      <w:bookmarkEnd w:id="15"/>
      <w:bookmarkEnd w:id="16"/>
      <w:bookmarkEnd w:id="17"/>
    </w:p>
    <w:p w:rsidR="00767F96" w:rsidRDefault="00767F96" w:rsidP="007159AF">
      <w:pPr>
        <w:pStyle w:val="GesAbsatz"/>
      </w:pPr>
      <w:r>
        <w:t>Elektrische Betriebsmittel im Sinne dieses Kataloges sind solche im Sinne der einschlägigen DIN</w:t>
      </w:r>
      <w:r w:rsidR="007159AF">
        <w:t>-</w:t>
      </w:r>
      <w:r>
        <w:t>VDE</w:t>
      </w:r>
      <w:r w:rsidR="007159AF">
        <w:t>-</w:t>
      </w:r>
      <w:r>
        <w:t>Bestimmungen, jedoch nur insoweit, als</w:t>
      </w:r>
    </w:p>
    <w:p w:rsidR="00767F96" w:rsidRDefault="007159AF" w:rsidP="007159AF">
      <w:pPr>
        <w:pStyle w:val="GesAbsatz"/>
      </w:pPr>
      <w:r>
        <w:t>-</w:t>
      </w:r>
      <w:r>
        <w:tab/>
      </w:r>
      <w:r w:rsidR="00767F96">
        <w:t>in ihnen wassergefä</w:t>
      </w:r>
      <w:r>
        <w:t xml:space="preserve">hrdende Stoffe verwendet werden </w:t>
      </w:r>
      <w:r w:rsidR="00767F96">
        <w:t>und</w:t>
      </w:r>
    </w:p>
    <w:p w:rsidR="00767F96" w:rsidRDefault="007159AF" w:rsidP="007159AF">
      <w:pPr>
        <w:pStyle w:val="GesAbsatz"/>
      </w:pPr>
      <w:r>
        <w:t>-</w:t>
      </w:r>
      <w:r>
        <w:tab/>
      </w:r>
      <w:r w:rsidR="00767F96">
        <w:t xml:space="preserve">sie zur Übertragung oder Verteilung elektrischer Energie dienen, </w:t>
      </w:r>
    </w:p>
    <w:p w:rsidR="00767F96" w:rsidRDefault="00767F96" w:rsidP="007159AF">
      <w:pPr>
        <w:pStyle w:val="GesAbsatz"/>
      </w:pPr>
      <w:r>
        <w:t xml:space="preserve">insbesondere </w:t>
      </w:r>
    </w:p>
    <w:p w:rsidR="00767F96" w:rsidRDefault="007159AF" w:rsidP="007159AF">
      <w:pPr>
        <w:pStyle w:val="GesAbsatz"/>
      </w:pPr>
      <w:r>
        <w:t>-</w:t>
      </w:r>
      <w:r>
        <w:tab/>
      </w:r>
      <w:r w:rsidR="00767F96">
        <w:t xml:space="preserve">Transformatoren, </w:t>
      </w:r>
    </w:p>
    <w:p w:rsidR="00767F96" w:rsidRDefault="007159AF" w:rsidP="007159AF">
      <w:pPr>
        <w:pStyle w:val="GesAbsatz"/>
      </w:pPr>
      <w:r>
        <w:t>-</w:t>
      </w:r>
      <w:r>
        <w:tab/>
      </w:r>
      <w:r w:rsidR="00767F96">
        <w:t>Spulen,</w:t>
      </w:r>
    </w:p>
    <w:p w:rsidR="00767F96" w:rsidRDefault="007159AF" w:rsidP="007159AF">
      <w:pPr>
        <w:pStyle w:val="GesAbsatz"/>
      </w:pPr>
      <w:r>
        <w:t>-</w:t>
      </w:r>
      <w:r>
        <w:tab/>
      </w:r>
      <w:r w:rsidR="00767F96">
        <w:t>Kondensatoren,</w:t>
      </w:r>
    </w:p>
    <w:p w:rsidR="00767F96" w:rsidRDefault="007159AF" w:rsidP="007159AF">
      <w:pPr>
        <w:pStyle w:val="GesAbsatz"/>
      </w:pPr>
      <w:r>
        <w:t>-</w:t>
      </w:r>
      <w:r>
        <w:tab/>
      </w:r>
      <w:r w:rsidR="00767F96">
        <w:t xml:space="preserve">Wandler, </w:t>
      </w:r>
    </w:p>
    <w:p w:rsidR="00767F96" w:rsidRDefault="007159AF" w:rsidP="007159AF">
      <w:pPr>
        <w:pStyle w:val="GesAbsatz"/>
      </w:pPr>
      <w:r>
        <w:t>-</w:t>
      </w:r>
      <w:r>
        <w:tab/>
      </w:r>
      <w:r w:rsidR="00767F96">
        <w:t>Meßinstrumente und</w:t>
      </w:r>
    </w:p>
    <w:p w:rsidR="00767F96" w:rsidRDefault="007159AF" w:rsidP="007159AF">
      <w:pPr>
        <w:pStyle w:val="GesAbsatz"/>
      </w:pPr>
      <w:r>
        <w:t>-</w:t>
      </w:r>
      <w:r>
        <w:tab/>
      </w:r>
      <w:r w:rsidR="00767F96">
        <w:t xml:space="preserve">sonstige Schalter oder Schutzeinrichtungen, </w:t>
      </w:r>
    </w:p>
    <w:p w:rsidR="00767F96" w:rsidRDefault="00767F96">
      <w:pPr>
        <w:tabs>
          <w:tab w:val="clear" w:pos="425"/>
        </w:tabs>
      </w:pPr>
      <w:r>
        <w:t>ferner die diesen zugeordneten Hilfs</w:t>
      </w:r>
      <w:r w:rsidR="007159AF">
        <w:t>-</w:t>
      </w:r>
      <w:r>
        <w:t xml:space="preserve"> und Nebeneinrichtungen wie</w:t>
      </w:r>
    </w:p>
    <w:p w:rsidR="00767F96" w:rsidRDefault="007159AF" w:rsidP="007159AF">
      <w:pPr>
        <w:pStyle w:val="GesAbsatz"/>
        <w:ind w:left="426" w:hanging="426"/>
      </w:pPr>
      <w:r>
        <w:t>-</w:t>
      </w:r>
      <w:r>
        <w:tab/>
      </w:r>
      <w:r w:rsidR="00767F96">
        <w:t>Ausgleichsgefäße,</w:t>
      </w:r>
    </w:p>
    <w:p w:rsidR="00767F96" w:rsidRDefault="007159AF" w:rsidP="007159AF">
      <w:pPr>
        <w:pStyle w:val="GesAbsatz"/>
        <w:ind w:left="426" w:hanging="426"/>
      </w:pPr>
      <w:r>
        <w:t>-</w:t>
      </w:r>
      <w:r>
        <w:tab/>
      </w:r>
      <w:r w:rsidR="00767F96">
        <w:t xml:space="preserve">Kühlkreisläufe und </w:t>
      </w:r>
      <w:r>
        <w:t>-</w:t>
      </w:r>
      <w:r w:rsidR="00767F96">
        <w:t>einrichtungen,</w:t>
      </w:r>
    </w:p>
    <w:p w:rsidR="00767F96" w:rsidRDefault="007159AF" w:rsidP="007159AF">
      <w:pPr>
        <w:pStyle w:val="GesAbsatz"/>
        <w:ind w:left="426" w:hanging="426"/>
      </w:pPr>
      <w:r>
        <w:t>-</w:t>
      </w:r>
      <w:r>
        <w:tab/>
      </w:r>
      <w:r w:rsidR="00767F96">
        <w:t>Betätigungseinrichtungen wie Motoren oder Relais sowie</w:t>
      </w:r>
    </w:p>
    <w:p w:rsidR="00767F96" w:rsidRDefault="007159AF" w:rsidP="007159AF">
      <w:pPr>
        <w:pStyle w:val="GesAbsatz"/>
        <w:ind w:left="426" w:hanging="426"/>
      </w:pPr>
      <w:r>
        <w:t>-</w:t>
      </w:r>
      <w:r>
        <w:tab/>
      </w:r>
      <w:r w:rsidR="00767F96">
        <w:t>verbindende Rohrleitungen, durch die wassergefährdende Flüssigkeiten betriebsmäßig von einem B</w:t>
      </w:r>
      <w:r w:rsidR="00767F96">
        <w:t>e</w:t>
      </w:r>
      <w:r w:rsidR="00767F96">
        <w:t xml:space="preserve">triebsmittel in ein anderes gelangen können, </w:t>
      </w:r>
    </w:p>
    <w:p w:rsidR="00767F96" w:rsidRDefault="00767F96" w:rsidP="007159AF">
      <w:pPr>
        <w:pStyle w:val="GesAbsatz"/>
      </w:pPr>
      <w:r>
        <w:lastRenderedPageBreak/>
        <w:t>nich</w:t>
      </w:r>
      <w:r w:rsidR="007159AF">
        <w:t>t jedoch elektrische Leitungen.</w:t>
      </w:r>
    </w:p>
    <w:p w:rsidR="00767F96" w:rsidRPr="007159AF" w:rsidRDefault="00767F96" w:rsidP="007159AF">
      <w:pPr>
        <w:pStyle w:val="berschrift3"/>
        <w:jc w:val="left"/>
      </w:pPr>
      <w:bookmarkStart w:id="18" w:name="_Toc410606346"/>
      <w:bookmarkStart w:id="19" w:name="_Toc453127387"/>
      <w:bookmarkStart w:id="20" w:name="_Toc151947555"/>
      <w:r w:rsidRPr="007159AF">
        <w:t>3.3 Anlagen</w:t>
      </w:r>
      <w:bookmarkEnd w:id="18"/>
      <w:bookmarkEnd w:id="19"/>
      <w:bookmarkEnd w:id="20"/>
    </w:p>
    <w:p w:rsidR="00767F96" w:rsidRDefault="00767F96" w:rsidP="007159AF">
      <w:pPr>
        <w:pStyle w:val="GesAbsatz"/>
      </w:pPr>
      <w:r>
        <w:t>Eine elektrische Anlage im Sinne dieses Kataloges ist grundsätzlich jede ortsfeste oder ortsfest benutzte elektrische Funktionseinheit aus elektrisch oder mechanisch miteinander verbundenen Teilen bzw. unsel</w:t>
      </w:r>
      <w:r>
        <w:t>b</w:t>
      </w:r>
      <w:r>
        <w:t xml:space="preserve">ständigen Funktionseinheiten, soweit sie ein elektrisches oder mehrere elektrische Betriebsmittel umfaßt. Elektrische Anlagen sind insbesondere </w:t>
      </w:r>
    </w:p>
    <w:p w:rsidR="00767F96" w:rsidRDefault="007159AF" w:rsidP="007159AF">
      <w:pPr>
        <w:pStyle w:val="GesAbsatz"/>
      </w:pPr>
      <w:r>
        <w:t>-</w:t>
      </w:r>
      <w:r>
        <w:tab/>
      </w:r>
      <w:r w:rsidR="00767F96">
        <w:t>Schaltanlagen (ohne Transformator),</w:t>
      </w:r>
    </w:p>
    <w:p w:rsidR="00767F96" w:rsidRDefault="007159AF" w:rsidP="007159AF">
      <w:pPr>
        <w:pStyle w:val="GesAbsatz"/>
      </w:pPr>
      <w:r>
        <w:t>-</w:t>
      </w:r>
      <w:r>
        <w:tab/>
      </w:r>
      <w:r w:rsidR="00767F96">
        <w:t>Umspannanlagen und</w:t>
      </w:r>
    </w:p>
    <w:p w:rsidR="00767F96" w:rsidRDefault="007159AF" w:rsidP="007159AF">
      <w:pPr>
        <w:pStyle w:val="GesAbsatz"/>
      </w:pPr>
      <w:r>
        <w:t>-</w:t>
      </w:r>
      <w:r>
        <w:tab/>
      </w:r>
      <w:r w:rsidR="00767F96">
        <w:t>Netzstationen (Ortsnetz</w:t>
      </w:r>
      <w:r>
        <w:t>-</w:t>
      </w:r>
      <w:r w:rsidR="00767F96">
        <w:t xml:space="preserve"> und Kundenstationen)</w:t>
      </w:r>
    </w:p>
    <w:p w:rsidR="00767F96" w:rsidRDefault="00767F96" w:rsidP="004A20E9">
      <w:pPr>
        <w:pStyle w:val="GesAbsatz"/>
      </w:pPr>
      <w:r>
        <w:t>in den Netzen zur Übertragung und Verteilung elektrischer Energie sowie an Standorten der Energieerze</w:t>
      </w:r>
      <w:r>
        <w:t>u</w:t>
      </w:r>
      <w:r w:rsidR="004A20E9">
        <w:t>gung.</w:t>
      </w:r>
    </w:p>
    <w:p w:rsidR="00767F96" w:rsidRDefault="00767F96" w:rsidP="004A20E9">
      <w:pPr>
        <w:pStyle w:val="GesAbsatz"/>
      </w:pPr>
      <w:r>
        <w:t>Netzstationen unterteilen sich von der Bauart her in nicht begehbare Stationen wie</w:t>
      </w:r>
    </w:p>
    <w:p w:rsidR="00767F96" w:rsidRDefault="004A20E9" w:rsidP="004A20E9">
      <w:pPr>
        <w:pStyle w:val="GesAbsatz"/>
      </w:pPr>
      <w:r>
        <w:t>-</w:t>
      </w:r>
      <w:r>
        <w:tab/>
      </w:r>
      <w:r w:rsidR="00767F96">
        <w:t>Maststationen und</w:t>
      </w:r>
    </w:p>
    <w:p w:rsidR="00767F96" w:rsidRDefault="004A20E9" w:rsidP="004A20E9">
      <w:pPr>
        <w:pStyle w:val="GesAbsatz"/>
      </w:pPr>
      <w:r>
        <w:t>-</w:t>
      </w:r>
      <w:r>
        <w:tab/>
      </w:r>
      <w:r w:rsidR="00767F96">
        <w:t xml:space="preserve">Kompaktstationen </w:t>
      </w:r>
    </w:p>
    <w:p w:rsidR="00767F96" w:rsidRDefault="00767F96" w:rsidP="004A20E9">
      <w:pPr>
        <w:pStyle w:val="GesAbsatz"/>
      </w:pPr>
      <w:r>
        <w:t xml:space="preserve">und in begehbare Stationen wie </w:t>
      </w:r>
    </w:p>
    <w:p w:rsidR="00767F96" w:rsidRDefault="004A20E9" w:rsidP="004A20E9">
      <w:pPr>
        <w:pStyle w:val="GesAbsatz"/>
      </w:pPr>
      <w:r>
        <w:t>-</w:t>
      </w:r>
      <w:r>
        <w:tab/>
      </w:r>
      <w:r w:rsidR="00767F96">
        <w:t>Turmstationen,</w:t>
      </w:r>
    </w:p>
    <w:p w:rsidR="00767F96" w:rsidRDefault="004A20E9" w:rsidP="004A20E9">
      <w:pPr>
        <w:pStyle w:val="GesAbsatz"/>
      </w:pPr>
      <w:r>
        <w:t>-</w:t>
      </w:r>
      <w:r>
        <w:tab/>
      </w:r>
      <w:r w:rsidR="00767F96">
        <w:t>Garagenstationen und</w:t>
      </w:r>
    </w:p>
    <w:p w:rsidR="00767F96" w:rsidRDefault="004A20E9" w:rsidP="004A20E9">
      <w:pPr>
        <w:pStyle w:val="GesAbsatz"/>
      </w:pPr>
      <w:r>
        <w:t>-</w:t>
      </w:r>
      <w:r>
        <w:tab/>
      </w:r>
      <w:r w:rsidR="00767F96">
        <w:t>Einbaustationen in Gebäuden.</w:t>
      </w:r>
    </w:p>
    <w:p w:rsidR="00767F96" w:rsidRDefault="00767F96" w:rsidP="004A20E9">
      <w:pPr>
        <w:pStyle w:val="GesAbsatz"/>
      </w:pPr>
      <w:r>
        <w:t>Sofern in den unselbständigen Funktionseinheiten wassergefährdende Stoffe als Kühl</w:t>
      </w:r>
      <w:r w:rsidR="004A20E9">
        <w:t>- und Isoliermittel ve</w:t>
      </w:r>
      <w:r w:rsidR="004A20E9">
        <w:t>r</w:t>
      </w:r>
      <w:r>
        <w:t>wendet werden und die wassergefährdenden Stoffe keine Verbindung mit den wassergefährdenden Sto</w:t>
      </w:r>
      <w:r>
        <w:t>f</w:t>
      </w:r>
      <w:r>
        <w:t>fen anderer unselbständiger Funktionseinheiten haben, gelten die unselbständigen Funktionseinheiten, z. B. Transformatoren, Schalter, Kondensatoren, Wandler, für sich als eine Anlage im Sinne der VAwS.</w:t>
      </w:r>
    </w:p>
    <w:p w:rsidR="00767F96" w:rsidRPr="00B11A61" w:rsidRDefault="00767F96" w:rsidP="00B11A61">
      <w:pPr>
        <w:pStyle w:val="berschrift2"/>
        <w:jc w:val="left"/>
      </w:pPr>
      <w:bookmarkStart w:id="21" w:name="_Toc410606347"/>
      <w:bookmarkStart w:id="22" w:name="_Toc453127388"/>
      <w:bookmarkStart w:id="23" w:name="_Toc151947556"/>
      <w:r w:rsidRPr="00B11A61">
        <w:rPr>
          <w:bCs/>
        </w:rPr>
        <w:t>4 Allgemeines</w:t>
      </w:r>
      <w:bookmarkEnd w:id="21"/>
      <w:bookmarkEnd w:id="22"/>
      <w:bookmarkEnd w:id="23"/>
    </w:p>
    <w:p w:rsidR="00767F96" w:rsidRDefault="00767F96" w:rsidP="004A20E9">
      <w:pPr>
        <w:pStyle w:val="GesAbsatz"/>
      </w:pPr>
      <w:r>
        <w:t>Anlagen im Anwendungsbereich dieses Merkblattes sind der Gefährdungsstufe A nach § 6 VAwS zuzuor</w:t>
      </w:r>
      <w:r>
        <w:t>d</w:t>
      </w:r>
      <w:r>
        <w:t>nen.</w:t>
      </w:r>
    </w:p>
    <w:p w:rsidR="00767F96" w:rsidRDefault="00767F96" w:rsidP="004A20E9">
      <w:pPr>
        <w:pStyle w:val="GesAbsatz"/>
      </w:pPr>
      <w:r>
        <w:t>Daraus folgt:</w:t>
      </w:r>
    </w:p>
    <w:p w:rsidR="00767F96" w:rsidRDefault="004A20E9" w:rsidP="004A20E9">
      <w:pPr>
        <w:pStyle w:val="GesAbsatz"/>
        <w:ind w:left="426" w:hanging="426"/>
      </w:pPr>
      <w:r>
        <w:t>-</w:t>
      </w:r>
      <w:r>
        <w:tab/>
      </w:r>
      <w:r w:rsidR="00767F96">
        <w:t>ein Anlagenkataster gemäß § 11 Abs. 1 VAwS ist nicht erforderlich;</w:t>
      </w:r>
    </w:p>
    <w:p w:rsidR="00767F96" w:rsidRDefault="004A20E9" w:rsidP="004A20E9">
      <w:pPr>
        <w:pStyle w:val="GesAbsatz"/>
        <w:ind w:left="426" w:hanging="426"/>
      </w:pPr>
      <w:r>
        <w:t>-</w:t>
      </w:r>
      <w:r>
        <w:tab/>
      </w:r>
      <w:r w:rsidR="00767F96">
        <w:t>eine Überprüfung durch Sachverständige gemäß § 23 Abs. 1 Nr. 2 i.V.m. § 22 VAwS ist nicht erforde</w:t>
      </w:r>
      <w:r w:rsidR="00767F96">
        <w:t>r</w:t>
      </w:r>
      <w:r w:rsidR="00767F96">
        <w:t>lich;</w:t>
      </w:r>
    </w:p>
    <w:p w:rsidR="00767F96" w:rsidRDefault="004A20E9" w:rsidP="004A20E9">
      <w:pPr>
        <w:pStyle w:val="GesAbsatz"/>
        <w:ind w:left="426" w:hanging="426"/>
      </w:pPr>
      <w:r>
        <w:t>-</w:t>
      </w:r>
      <w:r>
        <w:tab/>
      </w:r>
      <w:r w:rsidR="00767F96">
        <w:t>Anlagen zum Umgang mit wassergefährdenden Stoffen brauchen gemäß § 24 Nr. 1 VAwS nicht von Fac</w:t>
      </w:r>
      <w:r w:rsidR="00767F96">
        <w:t>h</w:t>
      </w:r>
      <w:r w:rsidR="00767F96">
        <w:t>betrieben eingebaut, aufgestellt, instandgehalten, instandgesetzt und gereinigt zu werden;</w:t>
      </w:r>
    </w:p>
    <w:p w:rsidR="00767F96" w:rsidRDefault="004A20E9" w:rsidP="004A20E9">
      <w:pPr>
        <w:pStyle w:val="GesAbsatz"/>
        <w:ind w:left="426" w:hanging="426"/>
      </w:pPr>
      <w:r>
        <w:t>-</w:t>
      </w:r>
      <w:r>
        <w:tab/>
      </w:r>
      <w:r w:rsidR="00767F96">
        <w:t>besondere, der jeweiligen Anlage zugeordnete Einrichtungen zur Löschwasserrückhaltung sind gemäß Nr. 3.2 VV</w:t>
      </w:r>
      <w:r>
        <w:t>-</w:t>
      </w:r>
      <w:r w:rsidR="00767F96">
        <w:t>VAwS nicht erforderlich.</w:t>
      </w:r>
    </w:p>
    <w:p w:rsidR="00767F96" w:rsidRDefault="00767F96" w:rsidP="004A20E9">
      <w:pPr>
        <w:pStyle w:val="GesAbsatz"/>
      </w:pPr>
      <w:r>
        <w:t>Besondere Vorschriften für Anlagen in Wasserschutzgebieten bleiben unberührt.</w:t>
      </w:r>
    </w:p>
    <w:p w:rsidR="00767F96" w:rsidRDefault="00767F96" w:rsidP="004A20E9">
      <w:pPr>
        <w:pStyle w:val="GesAbsatz"/>
      </w:pPr>
      <w:r>
        <w:t>Der Betreiber stellt im Rahmen der Betriebsanweisung nach § 3 Abs. 3 VAwS sicher, daß die für den B</w:t>
      </w:r>
      <w:r>
        <w:t>e</w:t>
      </w:r>
      <w:r>
        <w:t>trieb und die Überwachung der Anlagen erforderlichen Vorschriften dem Bedienungspersonal bekannt sind. Die Anbringung eines Merkblattes in jeder Anlage und die Kennzeichnung der Anlagen nach § 9 VAwS sind dann nicht notwendig.</w:t>
      </w:r>
    </w:p>
    <w:p w:rsidR="00767F96" w:rsidRPr="00B11A61" w:rsidRDefault="00767F96" w:rsidP="00B11A61">
      <w:pPr>
        <w:pStyle w:val="berschrift2"/>
        <w:jc w:val="left"/>
      </w:pPr>
      <w:bookmarkStart w:id="24" w:name="_Toc410606348"/>
      <w:bookmarkStart w:id="25" w:name="_Toc453127389"/>
      <w:bookmarkStart w:id="26" w:name="_Toc151947557"/>
      <w:r w:rsidRPr="00B11A61">
        <w:rPr>
          <w:bCs/>
        </w:rPr>
        <w:t>5 Anforderungen an Anlagen zum Verwenden wassergefährdender Flüssigkeiten</w:t>
      </w:r>
      <w:r w:rsidRPr="00B11A61">
        <w:rPr>
          <w:rStyle w:val="Funotenzeichen"/>
          <w:bCs/>
        </w:rPr>
        <w:footnoteReference w:id="1"/>
      </w:r>
      <w:r w:rsidRPr="00B11A61">
        <w:rPr>
          <w:bCs/>
        </w:rPr>
        <w:t>) im Netzbereich von EVU</w:t>
      </w:r>
      <w:bookmarkStart w:id="27" w:name="_Toc410606349"/>
      <w:bookmarkEnd w:id="24"/>
      <w:bookmarkEnd w:id="25"/>
      <w:bookmarkEnd w:id="26"/>
    </w:p>
    <w:p w:rsidR="00767F96" w:rsidRDefault="00767F96">
      <w:pPr>
        <w:pStyle w:val="berschrift3"/>
        <w:jc w:val="left"/>
      </w:pPr>
      <w:bookmarkStart w:id="28" w:name="_Toc453127390"/>
      <w:bookmarkStart w:id="29" w:name="_Toc151947558"/>
      <w:r>
        <w:t>5.1 Übersicht über die Anforderungen</w:t>
      </w:r>
      <w:bookmarkEnd w:id="27"/>
      <w:bookmarkEnd w:id="28"/>
      <w:bookmarkEnd w:id="29"/>
    </w:p>
    <w:p w:rsidR="00767F96" w:rsidRDefault="00767F96" w:rsidP="004A20E9">
      <w:pPr>
        <w:pStyle w:val="GesAbsatz"/>
      </w:pPr>
      <w:r>
        <w:t>Entsprechend Anhang zu § 4 Abs. 1 VAwS, Tabelle 2.3, gelten für Anlagen zum Verwenden wassergefäh</w:t>
      </w:r>
      <w:r>
        <w:t>r</w:t>
      </w:r>
      <w:r>
        <w:t>dender Stoffe im Netzbereich von EVU und in anderen vergleichbaren Anlagen die in Tabelle 2.3 aufgefüh</w:t>
      </w:r>
      <w:r>
        <w:t>r</w:t>
      </w:r>
      <w:r>
        <w:t xml:space="preserve">ten Anforderungen. Im </w:t>
      </w:r>
      <w:r w:rsidR="00B11A61">
        <w:t>Weiteren</w:t>
      </w:r>
      <w:r>
        <w:t xml:space="preserve"> sind beispielhaft Maßnahmen</w:t>
      </w:r>
    </w:p>
    <w:p w:rsidR="00767F96" w:rsidRDefault="004A20E9" w:rsidP="004A20E9">
      <w:pPr>
        <w:pStyle w:val="GesAbsatz"/>
      </w:pPr>
      <w:r>
        <w:t>-</w:t>
      </w:r>
      <w:r>
        <w:tab/>
      </w:r>
      <w:r w:rsidR="00767F96">
        <w:t>an Flächen unter Anlagen (F</w:t>
      </w:r>
      <w:r>
        <w:t>-</w:t>
      </w:r>
      <w:r w:rsidR="00767F96">
        <w:t>Maßnahmen),</w:t>
      </w:r>
    </w:p>
    <w:p w:rsidR="00767F96" w:rsidRDefault="004A20E9" w:rsidP="004A20E9">
      <w:pPr>
        <w:pStyle w:val="GesAbsatz"/>
      </w:pPr>
      <w:r>
        <w:lastRenderedPageBreak/>
        <w:t>-</w:t>
      </w:r>
      <w:r>
        <w:tab/>
      </w:r>
      <w:r w:rsidR="00767F96">
        <w:t>an das Rückhaltevermögen (R</w:t>
      </w:r>
      <w:r>
        <w:t>-</w:t>
      </w:r>
      <w:r w:rsidR="00767F96">
        <w:t>Maßnahmen) und</w:t>
      </w:r>
    </w:p>
    <w:p w:rsidR="00767F96" w:rsidRDefault="004A20E9" w:rsidP="004A20E9">
      <w:pPr>
        <w:pStyle w:val="GesAbsatz"/>
      </w:pPr>
      <w:r>
        <w:t>-</w:t>
      </w:r>
      <w:r>
        <w:tab/>
      </w:r>
      <w:r w:rsidR="00767F96">
        <w:t>an die infrastrukturellen Maßnahmen organisatorischer oder technischer Art (I</w:t>
      </w:r>
      <w:r>
        <w:t>-</w:t>
      </w:r>
      <w:r w:rsidR="00767F96">
        <w:t xml:space="preserve">Maßnahmen) </w:t>
      </w:r>
    </w:p>
    <w:p w:rsidR="00767F96" w:rsidRDefault="00767F96" w:rsidP="004A20E9">
      <w:pPr>
        <w:pStyle w:val="GesAbsatz"/>
      </w:pPr>
      <w:r>
        <w:t>beschrieben, die die Anforderungen erfüllen.</w:t>
      </w:r>
    </w:p>
    <w:p w:rsidR="00767F96" w:rsidRDefault="00767F96" w:rsidP="004A20E9">
      <w:pPr>
        <w:pStyle w:val="GesAbsatz"/>
      </w:pPr>
      <w:r w:rsidRPr="004A20E9">
        <w:rPr>
          <w:b/>
        </w:rPr>
        <w:t>Tabelle 2:</w:t>
      </w:r>
      <w:r>
        <w:t xml:space="preserve"> Übersicht über die Anforderungen (Anhang zu § 4 Abs. 1 VAwS Tabelle 2.3)</w:t>
      </w:r>
    </w:p>
    <w:p w:rsidR="004A20E9" w:rsidRDefault="004A20E9" w:rsidP="004A20E9">
      <w:pPr>
        <w:pStyle w:val="GesAbsatz"/>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6"/>
        <w:gridCol w:w="1702"/>
        <w:gridCol w:w="1702"/>
      </w:tblGrid>
      <w:tr w:rsidR="00767F96">
        <w:tblPrEx>
          <w:tblCellMar>
            <w:top w:w="0" w:type="dxa"/>
            <w:bottom w:w="0" w:type="dxa"/>
          </w:tblCellMar>
        </w:tblPrEx>
        <w:tc>
          <w:tcPr>
            <w:tcW w:w="2126" w:type="dxa"/>
            <w:tcBorders>
              <w:left w:val="nil"/>
              <w:bottom w:val="nil"/>
            </w:tcBorders>
          </w:tcPr>
          <w:p w:rsidR="00767F96" w:rsidRDefault="00767F96" w:rsidP="00272093">
            <w:pPr>
              <w:pStyle w:val="GesAbsatz"/>
            </w:pPr>
            <w:r>
              <w:t>Volumen der Anlage</w:t>
            </w:r>
          </w:p>
        </w:tc>
        <w:tc>
          <w:tcPr>
            <w:tcW w:w="1702" w:type="dxa"/>
            <w:tcBorders>
              <w:bottom w:val="nil"/>
            </w:tcBorders>
          </w:tcPr>
          <w:p w:rsidR="00767F96" w:rsidRDefault="00767F96" w:rsidP="00272093">
            <w:pPr>
              <w:pStyle w:val="GesAbsatz"/>
              <w:rPr>
                <w:lang w:val="en-GB"/>
              </w:rPr>
            </w:pPr>
            <w:r>
              <w:rPr>
                <w:lang w:val="en-GB"/>
              </w:rPr>
              <w:t>WGK 0</w:t>
            </w:r>
          </w:p>
        </w:tc>
        <w:tc>
          <w:tcPr>
            <w:tcW w:w="1702" w:type="dxa"/>
            <w:tcBorders>
              <w:bottom w:val="nil"/>
              <w:right w:val="nil"/>
            </w:tcBorders>
          </w:tcPr>
          <w:p w:rsidR="00767F96" w:rsidRDefault="00767F96" w:rsidP="00272093">
            <w:pPr>
              <w:pStyle w:val="GesAbsatz"/>
              <w:rPr>
                <w:lang w:val="en-GB"/>
              </w:rPr>
            </w:pPr>
            <w:r>
              <w:rPr>
                <w:lang w:val="en-GB"/>
              </w:rPr>
              <w:t>WGK 1</w:t>
            </w:r>
          </w:p>
        </w:tc>
      </w:tr>
      <w:tr w:rsidR="00767F96">
        <w:tblPrEx>
          <w:tblCellMar>
            <w:top w:w="0" w:type="dxa"/>
            <w:bottom w:w="0" w:type="dxa"/>
          </w:tblCellMar>
        </w:tblPrEx>
        <w:tc>
          <w:tcPr>
            <w:tcW w:w="2126" w:type="dxa"/>
            <w:tcBorders>
              <w:left w:val="nil"/>
              <w:bottom w:val="nil"/>
            </w:tcBorders>
          </w:tcPr>
          <w:p w:rsidR="00767F96" w:rsidRDefault="00767F96" w:rsidP="00272093">
            <w:pPr>
              <w:pStyle w:val="GesAbsatz"/>
              <w:rPr>
                <w:lang w:val="en-GB"/>
              </w:rPr>
            </w:pPr>
            <w:r>
              <w:rPr>
                <w:u w:val="single"/>
                <w:lang w:val="en-GB"/>
              </w:rPr>
              <w:t>&lt;</w:t>
            </w:r>
            <w:r>
              <w:rPr>
                <w:lang w:val="en-GB"/>
              </w:rPr>
              <w:t xml:space="preserve"> 0,1</w:t>
            </w:r>
          </w:p>
        </w:tc>
        <w:tc>
          <w:tcPr>
            <w:tcW w:w="1702" w:type="dxa"/>
            <w:tcBorders>
              <w:bottom w:val="nil"/>
            </w:tcBorders>
          </w:tcPr>
          <w:p w:rsidR="00767F96" w:rsidRDefault="00767F96" w:rsidP="00272093">
            <w:pPr>
              <w:pStyle w:val="GesAbsatz"/>
              <w:rPr>
                <w:lang w:val="en-GB"/>
              </w:rPr>
            </w:pPr>
            <w:r>
              <w:rPr>
                <w:lang w:val="en-GB"/>
              </w:rPr>
              <w:t>F0 + R0 + I0</w:t>
            </w:r>
          </w:p>
        </w:tc>
        <w:tc>
          <w:tcPr>
            <w:tcW w:w="1702" w:type="dxa"/>
            <w:tcBorders>
              <w:bottom w:val="nil"/>
              <w:right w:val="nil"/>
            </w:tcBorders>
          </w:tcPr>
          <w:p w:rsidR="00767F96" w:rsidRDefault="00767F96" w:rsidP="00272093">
            <w:pPr>
              <w:pStyle w:val="GesAbsatz"/>
              <w:rPr>
                <w:lang w:val="it-IT"/>
              </w:rPr>
            </w:pPr>
            <w:r>
              <w:rPr>
                <w:lang w:val="it-IT"/>
              </w:rPr>
              <w:t>F0 + R0 + I0</w:t>
            </w:r>
          </w:p>
        </w:tc>
      </w:tr>
      <w:tr w:rsidR="00767F96">
        <w:tblPrEx>
          <w:tblCellMar>
            <w:top w:w="0" w:type="dxa"/>
            <w:bottom w:w="0" w:type="dxa"/>
          </w:tblCellMar>
        </w:tblPrEx>
        <w:tc>
          <w:tcPr>
            <w:tcW w:w="2126" w:type="dxa"/>
            <w:tcBorders>
              <w:top w:val="nil"/>
              <w:left w:val="nil"/>
              <w:bottom w:val="nil"/>
            </w:tcBorders>
          </w:tcPr>
          <w:p w:rsidR="00767F96" w:rsidRDefault="00767F96" w:rsidP="00272093">
            <w:pPr>
              <w:pStyle w:val="GesAbsatz"/>
              <w:rPr>
                <w:lang w:val="it-IT"/>
              </w:rPr>
            </w:pPr>
            <w:r>
              <w:rPr>
                <w:lang w:val="it-IT"/>
              </w:rPr>
              <w:t xml:space="preserve">&gt; 0,1 </w:t>
            </w:r>
            <w:r>
              <w:rPr>
                <w:u w:val="single"/>
                <w:lang w:val="it-IT"/>
              </w:rPr>
              <w:t xml:space="preserve">&lt; </w:t>
            </w:r>
            <w:r>
              <w:rPr>
                <w:lang w:val="it-IT"/>
              </w:rPr>
              <w:t>1</w:t>
            </w:r>
          </w:p>
        </w:tc>
        <w:tc>
          <w:tcPr>
            <w:tcW w:w="1702" w:type="dxa"/>
            <w:tcBorders>
              <w:top w:val="nil"/>
              <w:bottom w:val="nil"/>
            </w:tcBorders>
          </w:tcPr>
          <w:p w:rsidR="00767F96" w:rsidRDefault="00767F96" w:rsidP="00272093">
            <w:pPr>
              <w:pStyle w:val="GesAbsatz"/>
              <w:rPr>
                <w:lang w:val="it-IT"/>
              </w:rPr>
            </w:pPr>
            <w:r>
              <w:rPr>
                <w:lang w:val="it-IT"/>
              </w:rPr>
              <w:t>F0 + R0 + I0</w:t>
            </w:r>
          </w:p>
        </w:tc>
        <w:tc>
          <w:tcPr>
            <w:tcW w:w="1702" w:type="dxa"/>
            <w:tcBorders>
              <w:top w:val="nil"/>
              <w:bottom w:val="nil"/>
              <w:right w:val="nil"/>
            </w:tcBorders>
          </w:tcPr>
          <w:p w:rsidR="00767F96" w:rsidRDefault="00767F96" w:rsidP="00272093">
            <w:pPr>
              <w:pStyle w:val="GesAbsatz"/>
              <w:rPr>
                <w:lang w:val="it-IT"/>
              </w:rPr>
            </w:pPr>
            <w:r>
              <w:rPr>
                <w:lang w:val="it-IT"/>
              </w:rPr>
              <w:t xml:space="preserve">F0 + R0 + I2 </w:t>
            </w:r>
            <w:proofErr w:type="gramStart"/>
            <w:r>
              <w:rPr>
                <w:vertAlign w:val="superscript"/>
                <w:lang w:val="it-IT"/>
              </w:rPr>
              <w:t>a</w:t>
            </w:r>
            <w:proofErr w:type="gramEnd"/>
            <w:r>
              <w:rPr>
                <w:vertAlign w:val="superscript"/>
                <w:lang w:val="it-IT"/>
              </w:rPr>
              <w:t>)</w:t>
            </w:r>
          </w:p>
          <w:p w:rsidR="00767F96" w:rsidRDefault="00767F96" w:rsidP="00272093">
            <w:pPr>
              <w:pStyle w:val="GesAbsatz"/>
              <w:rPr>
                <w:lang w:val="it-IT"/>
              </w:rPr>
            </w:pPr>
            <w:r>
              <w:rPr>
                <w:lang w:val="it-IT"/>
              </w:rPr>
              <w:t xml:space="preserve">F1 + R2 + I1 </w:t>
            </w:r>
            <w:r>
              <w:rPr>
                <w:vertAlign w:val="superscript"/>
                <w:lang w:val="it-IT"/>
              </w:rPr>
              <w:t>b</w:t>
            </w:r>
            <w:proofErr w:type="gramStart"/>
            <w:r>
              <w:rPr>
                <w:vertAlign w:val="superscript"/>
                <w:lang w:val="it-IT"/>
              </w:rPr>
              <w:t>)</w:t>
            </w:r>
            <w:proofErr w:type="gramEnd"/>
          </w:p>
        </w:tc>
      </w:tr>
      <w:tr w:rsidR="00767F96">
        <w:tblPrEx>
          <w:tblCellMar>
            <w:top w:w="0" w:type="dxa"/>
            <w:bottom w:w="0" w:type="dxa"/>
          </w:tblCellMar>
        </w:tblPrEx>
        <w:tc>
          <w:tcPr>
            <w:tcW w:w="2126" w:type="dxa"/>
            <w:tcBorders>
              <w:top w:val="nil"/>
              <w:left w:val="nil"/>
              <w:bottom w:val="nil"/>
            </w:tcBorders>
          </w:tcPr>
          <w:p w:rsidR="00767F96" w:rsidRDefault="00767F96" w:rsidP="00272093">
            <w:pPr>
              <w:pStyle w:val="GesAbsatz"/>
              <w:rPr>
                <w:lang w:val="it-IT"/>
              </w:rPr>
            </w:pPr>
            <w:r>
              <w:rPr>
                <w:lang w:val="it-IT"/>
              </w:rPr>
              <w:t xml:space="preserve">&gt; 1 </w:t>
            </w:r>
            <w:r>
              <w:rPr>
                <w:u w:val="single"/>
                <w:lang w:val="it-IT"/>
              </w:rPr>
              <w:t>&lt;</w:t>
            </w:r>
            <w:r>
              <w:rPr>
                <w:lang w:val="it-IT"/>
              </w:rPr>
              <w:t xml:space="preserve"> 10</w:t>
            </w:r>
          </w:p>
        </w:tc>
        <w:tc>
          <w:tcPr>
            <w:tcW w:w="1702" w:type="dxa"/>
            <w:tcBorders>
              <w:top w:val="nil"/>
              <w:bottom w:val="nil"/>
            </w:tcBorders>
          </w:tcPr>
          <w:p w:rsidR="00767F96" w:rsidRDefault="00767F96" w:rsidP="00272093">
            <w:pPr>
              <w:pStyle w:val="GesAbsatz"/>
              <w:rPr>
                <w:lang w:val="it-IT"/>
              </w:rPr>
            </w:pPr>
            <w:r>
              <w:rPr>
                <w:lang w:val="it-IT"/>
              </w:rPr>
              <w:t>F1 + R0 + I0</w:t>
            </w:r>
          </w:p>
        </w:tc>
        <w:tc>
          <w:tcPr>
            <w:tcW w:w="1702" w:type="dxa"/>
            <w:tcBorders>
              <w:top w:val="nil"/>
              <w:bottom w:val="nil"/>
              <w:right w:val="nil"/>
            </w:tcBorders>
          </w:tcPr>
          <w:p w:rsidR="00767F96" w:rsidRDefault="00767F96" w:rsidP="00272093">
            <w:pPr>
              <w:pStyle w:val="GesAbsatz"/>
              <w:rPr>
                <w:lang w:val="it-IT"/>
              </w:rPr>
            </w:pPr>
            <w:r>
              <w:rPr>
                <w:lang w:val="it-IT"/>
              </w:rPr>
              <w:t>F1 + R1 + I1</w:t>
            </w:r>
          </w:p>
        </w:tc>
      </w:tr>
      <w:tr w:rsidR="00767F96">
        <w:tblPrEx>
          <w:tblCellMar>
            <w:top w:w="0" w:type="dxa"/>
            <w:bottom w:w="0" w:type="dxa"/>
          </w:tblCellMar>
        </w:tblPrEx>
        <w:tc>
          <w:tcPr>
            <w:tcW w:w="2126" w:type="dxa"/>
            <w:tcBorders>
              <w:top w:val="nil"/>
              <w:left w:val="nil"/>
            </w:tcBorders>
          </w:tcPr>
          <w:p w:rsidR="00767F96" w:rsidRDefault="00767F96" w:rsidP="00272093">
            <w:pPr>
              <w:pStyle w:val="GesAbsatz"/>
              <w:rPr>
                <w:lang w:val="it-IT"/>
              </w:rPr>
            </w:pPr>
            <w:r>
              <w:rPr>
                <w:lang w:val="it-IT"/>
              </w:rPr>
              <w:t xml:space="preserve">&gt; 10 </w:t>
            </w:r>
            <w:r>
              <w:rPr>
                <w:u w:val="single"/>
                <w:lang w:val="it-IT"/>
              </w:rPr>
              <w:t>&lt;</w:t>
            </w:r>
            <w:r>
              <w:rPr>
                <w:lang w:val="it-IT"/>
              </w:rPr>
              <w:t xml:space="preserve"> 100</w:t>
            </w:r>
          </w:p>
        </w:tc>
        <w:tc>
          <w:tcPr>
            <w:tcW w:w="1702" w:type="dxa"/>
            <w:tcBorders>
              <w:top w:val="nil"/>
            </w:tcBorders>
          </w:tcPr>
          <w:p w:rsidR="00767F96" w:rsidRDefault="00767F96" w:rsidP="00272093">
            <w:pPr>
              <w:pStyle w:val="GesAbsatz"/>
              <w:rPr>
                <w:lang w:val="it-IT"/>
              </w:rPr>
            </w:pPr>
            <w:r>
              <w:rPr>
                <w:lang w:val="it-IT"/>
              </w:rPr>
              <w:t>F1 + R0 + I1</w:t>
            </w:r>
          </w:p>
        </w:tc>
        <w:tc>
          <w:tcPr>
            <w:tcW w:w="1702" w:type="dxa"/>
            <w:tcBorders>
              <w:top w:val="nil"/>
              <w:right w:val="nil"/>
            </w:tcBorders>
          </w:tcPr>
          <w:p w:rsidR="00767F96" w:rsidRDefault="00767F96" w:rsidP="00272093">
            <w:pPr>
              <w:pStyle w:val="GesAbsatz"/>
              <w:rPr>
                <w:lang w:val="it-IT"/>
              </w:rPr>
            </w:pPr>
            <w:r>
              <w:rPr>
                <w:lang w:val="it-IT"/>
              </w:rPr>
              <w:t>F1 + R1 + I1</w:t>
            </w:r>
          </w:p>
        </w:tc>
      </w:tr>
    </w:tbl>
    <w:p w:rsidR="00767F96" w:rsidRPr="00B11A61" w:rsidRDefault="00767F96" w:rsidP="00B11A61">
      <w:pPr>
        <w:pStyle w:val="GesAbsatz"/>
      </w:pPr>
    </w:p>
    <w:tbl>
      <w:tblPr>
        <w:tblW w:w="0" w:type="auto"/>
        <w:tblInd w:w="921" w:type="dxa"/>
        <w:tblLayout w:type="fixed"/>
        <w:tblCellMar>
          <w:left w:w="70" w:type="dxa"/>
          <w:right w:w="70" w:type="dxa"/>
        </w:tblCellMar>
        <w:tblLook w:val="0000" w:firstRow="0" w:lastRow="0" w:firstColumn="0" w:lastColumn="0" w:noHBand="0" w:noVBand="0"/>
      </w:tblPr>
      <w:tblGrid>
        <w:gridCol w:w="2835"/>
        <w:gridCol w:w="2693"/>
      </w:tblGrid>
      <w:tr w:rsidR="00767F96">
        <w:tblPrEx>
          <w:tblCellMar>
            <w:top w:w="0" w:type="dxa"/>
            <w:bottom w:w="0" w:type="dxa"/>
          </w:tblCellMar>
        </w:tblPrEx>
        <w:tc>
          <w:tcPr>
            <w:tcW w:w="2835" w:type="dxa"/>
          </w:tcPr>
          <w:p w:rsidR="00767F96" w:rsidRDefault="00767F96" w:rsidP="00F2117D">
            <w:pPr>
              <w:pStyle w:val="GesAbsatz"/>
            </w:pPr>
            <w:r>
              <w:t>für Masttransformatoren:</w:t>
            </w:r>
          </w:p>
        </w:tc>
        <w:tc>
          <w:tcPr>
            <w:tcW w:w="2693" w:type="dxa"/>
          </w:tcPr>
          <w:p w:rsidR="00767F96" w:rsidRDefault="00767F96" w:rsidP="00F2117D">
            <w:pPr>
              <w:pStyle w:val="GesAbsatz"/>
            </w:pPr>
            <w:r>
              <w:t>a)</w:t>
            </w:r>
          </w:p>
        </w:tc>
      </w:tr>
      <w:tr w:rsidR="00767F96">
        <w:tblPrEx>
          <w:tblCellMar>
            <w:top w:w="0" w:type="dxa"/>
            <w:bottom w:w="0" w:type="dxa"/>
          </w:tblCellMar>
        </w:tblPrEx>
        <w:tc>
          <w:tcPr>
            <w:tcW w:w="2835" w:type="dxa"/>
          </w:tcPr>
          <w:p w:rsidR="00767F96" w:rsidRDefault="00767F96" w:rsidP="00F2117D">
            <w:pPr>
              <w:pStyle w:val="GesAbsatz"/>
            </w:pPr>
            <w:r>
              <w:t>für andere Freiluftanlagen:</w:t>
            </w:r>
          </w:p>
        </w:tc>
        <w:tc>
          <w:tcPr>
            <w:tcW w:w="2693" w:type="dxa"/>
          </w:tcPr>
          <w:p w:rsidR="00767F96" w:rsidRDefault="00767F96" w:rsidP="00F2117D">
            <w:pPr>
              <w:pStyle w:val="GesAbsatz"/>
            </w:pPr>
            <w:r>
              <w:t>wahlweise a) oder b)</w:t>
            </w:r>
          </w:p>
        </w:tc>
      </w:tr>
      <w:tr w:rsidR="00767F96">
        <w:tblPrEx>
          <w:tblCellMar>
            <w:top w:w="0" w:type="dxa"/>
            <w:bottom w:w="0" w:type="dxa"/>
          </w:tblCellMar>
        </w:tblPrEx>
        <w:tc>
          <w:tcPr>
            <w:tcW w:w="2835" w:type="dxa"/>
          </w:tcPr>
          <w:p w:rsidR="00767F96" w:rsidRDefault="00767F96" w:rsidP="00F2117D">
            <w:pPr>
              <w:pStyle w:val="GesAbsatz"/>
            </w:pPr>
            <w:r>
              <w:t xml:space="preserve">für Innenraumanlagen: </w:t>
            </w:r>
          </w:p>
        </w:tc>
        <w:tc>
          <w:tcPr>
            <w:tcW w:w="2693" w:type="dxa"/>
          </w:tcPr>
          <w:p w:rsidR="00767F96" w:rsidRDefault="00767F96" w:rsidP="00F2117D">
            <w:pPr>
              <w:pStyle w:val="GesAbsatz"/>
            </w:pPr>
            <w:r>
              <w:t>b)</w:t>
            </w:r>
          </w:p>
        </w:tc>
      </w:tr>
    </w:tbl>
    <w:p w:rsidR="000F7FA0" w:rsidRPr="00B11A61" w:rsidRDefault="000F7FA0" w:rsidP="00B11A61">
      <w:pPr>
        <w:pStyle w:val="GesAbsatz"/>
      </w:pPr>
      <w:bookmarkStart w:id="30" w:name="_Toc410606350"/>
    </w:p>
    <w:p w:rsidR="00767F96" w:rsidRDefault="00767F96">
      <w:pPr>
        <w:pStyle w:val="GesAbsatz"/>
        <w:rPr>
          <w:b/>
        </w:rPr>
      </w:pPr>
      <w:r>
        <w:rPr>
          <w:b/>
        </w:rPr>
        <w:t>5.1.1 Anforderungen an die Befestigung und Abdichtung von Flächen unter Anlagen</w:t>
      </w:r>
      <w:bookmarkEnd w:id="30"/>
    </w:p>
    <w:p w:rsidR="00767F96" w:rsidRDefault="00767F96" w:rsidP="000F7FA0">
      <w:pPr>
        <w:pStyle w:val="GesAbsatz"/>
      </w:pPr>
      <w:r>
        <w:t>Beispiele für Maßnahmen an Flächen unter Anlagen (F</w:t>
      </w:r>
      <w:r w:rsidR="00272093">
        <w:t>-</w:t>
      </w:r>
      <w:r>
        <w:t>Maßnahmen):</w:t>
      </w:r>
    </w:p>
    <w:p w:rsidR="00767F96" w:rsidRPr="000F7FA0" w:rsidRDefault="00767F96" w:rsidP="000F7FA0">
      <w:pPr>
        <w:pStyle w:val="GesAbsatz"/>
        <w:rPr>
          <w:u w:val="single"/>
        </w:rPr>
      </w:pPr>
      <w:r w:rsidRPr="000F7FA0">
        <w:rPr>
          <w:u w:val="single"/>
        </w:rPr>
        <w:t>Maßnahme F0</w:t>
      </w:r>
    </w:p>
    <w:p w:rsidR="00767F96" w:rsidRDefault="000F7FA0" w:rsidP="000F7FA0">
      <w:pPr>
        <w:pStyle w:val="GesAbsatz"/>
      </w:pPr>
      <w:r>
        <w:t>-</w:t>
      </w:r>
      <w:r>
        <w:tab/>
      </w:r>
      <w:r w:rsidR="00767F96">
        <w:t>Boden wie vorgefunden</w:t>
      </w:r>
    </w:p>
    <w:p w:rsidR="00767F96" w:rsidRPr="000F7FA0" w:rsidRDefault="00767F96" w:rsidP="000F7FA0">
      <w:pPr>
        <w:pStyle w:val="GesAbsatz"/>
        <w:tabs>
          <w:tab w:val="clear" w:pos="425"/>
        </w:tabs>
        <w:rPr>
          <w:u w:val="single"/>
        </w:rPr>
      </w:pPr>
      <w:r w:rsidRPr="000F7FA0">
        <w:rPr>
          <w:u w:val="single"/>
        </w:rPr>
        <w:t>Maßnahme F 1 zum Herstellen von Ableitflächen</w:t>
      </w:r>
    </w:p>
    <w:p w:rsidR="00767F96" w:rsidRDefault="000F7FA0" w:rsidP="000F7FA0">
      <w:pPr>
        <w:pStyle w:val="GesAbsatz"/>
      </w:pPr>
      <w:r>
        <w:t>-</w:t>
      </w:r>
      <w:r>
        <w:tab/>
      </w:r>
      <w:r w:rsidR="00767F96">
        <w:t>bituminöse Befestigung</w:t>
      </w:r>
    </w:p>
    <w:p w:rsidR="00767F96" w:rsidRDefault="00767F96" w:rsidP="000F7FA0">
      <w:pPr>
        <w:pStyle w:val="GesAbsatz"/>
        <w:ind w:left="426"/>
      </w:pPr>
      <w:r>
        <w:t>Mindestdicke der Asphaltschichten</w:t>
      </w:r>
      <w:r w:rsidR="00272093">
        <w:t>-</w:t>
      </w:r>
      <w:r>
        <w:t xml:space="preserve">Tragschicht, Deckschicht, evtl. Binderschicht </w:t>
      </w:r>
      <w:r>
        <w:noBreakHyphen/>
        <w:t xml:space="preserve"> ca. 150 mm. Mi</w:t>
      </w:r>
      <w:r>
        <w:t>n</w:t>
      </w:r>
      <w:r>
        <w:t>destdicke der Deckschicht aus Asphaltbeton oder Gußasphalt 40 mm (Einbau bei mehr als 4 cm zwe</w:t>
      </w:r>
      <w:r>
        <w:t>i</w:t>
      </w:r>
      <w:r>
        <w:t>lagig). Hohlrau</w:t>
      </w:r>
      <w:r>
        <w:t>m</w:t>
      </w:r>
      <w:r>
        <w:t>gehalt der Deckschicht kleiner als 3 Vol.</w:t>
      </w:r>
      <w:r w:rsidR="00272093">
        <w:t>-</w:t>
      </w:r>
      <w:r>
        <w:t>%</w:t>
      </w:r>
    </w:p>
    <w:p w:rsidR="00767F96" w:rsidRDefault="000F7FA0" w:rsidP="000F7FA0">
      <w:pPr>
        <w:pStyle w:val="GesAbsatz"/>
      </w:pPr>
      <w:r>
        <w:t>-</w:t>
      </w:r>
      <w:r>
        <w:tab/>
      </w:r>
      <w:r w:rsidR="00767F96">
        <w:t xml:space="preserve">Betonformsteine mit Fugen </w:t>
      </w:r>
    </w:p>
    <w:p w:rsidR="00767F96" w:rsidRDefault="00767F96" w:rsidP="000F7FA0">
      <w:pPr>
        <w:pStyle w:val="GesAbsatz"/>
        <w:ind w:left="426"/>
      </w:pPr>
      <w:r>
        <w:t>Fugenmaterial gem. IVD</w:t>
      </w:r>
      <w:r w:rsidR="00272093">
        <w:t>-</w:t>
      </w:r>
      <w:r>
        <w:t>Merkblatt Nr. 6</w:t>
      </w:r>
    </w:p>
    <w:p w:rsidR="00767F96" w:rsidRDefault="000F7FA0" w:rsidP="000F7FA0">
      <w:pPr>
        <w:pStyle w:val="GesAbsatz"/>
      </w:pPr>
      <w:r>
        <w:t>-</w:t>
      </w:r>
      <w:r>
        <w:tab/>
      </w:r>
      <w:r w:rsidR="00767F96">
        <w:t>Pflaster mit Verguß</w:t>
      </w:r>
    </w:p>
    <w:p w:rsidR="00767F96" w:rsidRDefault="000F7FA0" w:rsidP="000F7FA0">
      <w:pPr>
        <w:pStyle w:val="GesAbsatz"/>
      </w:pPr>
      <w:r>
        <w:t>-</w:t>
      </w:r>
      <w:r>
        <w:tab/>
      </w:r>
      <w:r w:rsidR="00767F96">
        <w:t>Beton B 25 ohne besondere Anforderungen</w:t>
      </w:r>
    </w:p>
    <w:p w:rsidR="00767F96" w:rsidRDefault="00767F96" w:rsidP="000F7FA0">
      <w:pPr>
        <w:pStyle w:val="GesAbsatz"/>
        <w:ind w:left="426"/>
      </w:pPr>
      <w:r>
        <w:t xml:space="preserve">d </w:t>
      </w:r>
      <w:r>
        <w:rPr>
          <w:u w:val="single"/>
        </w:rPr>
        <w:t>&gt;</w:t>
      </w:r>
      <w:r>
        <w:t xml:space="preserve"> 100 mm oder Estrichbelag d </w:t>
      </w:r>
      <w:r>
        <w:rPr>
          <w:u w:val="single"/>
        </w:rPr>
        <w:t>&gt;</w:t>
      </w:r>
      <w:r>
        <w:rPr>
          <w:sz w:val="24"/>
        </w:rPr>
        <w:t xml:space="preserve"> </w:t>
      </w:r>
      <w:r>
        <w:t>40 mm</w:t>
      </w:r>
    </w:p>
    <w:p w:rsidR="00767F96" w:rsidRPr="000F7FA0" w:rsidRDefault="00767F96" w:rsidP="000F7FA0">
      <w:pPr>
        <w:pStyle w:val="GesAbsatz"/>
        <w:tabs>
          <w:tab w:val="clear" w:pos="425"/>
        </w:tabs>
        <w:rPr>
          <w:u w:val="single"/>
        </w:rPr>
      </w:pPr>
      <w:r w:rsidRPr="000F7FA0">
        <w:rPr>
          <w:u w:val="single"/>
        </w:rPr>
        <w:t>Maßnahme F 1 zum Herstellen von Auffangräumen</w:t>
      </w:r>
    </w:p>
    <w:p w:rsidR="00767F96" w:rsidRDefault="000F7FA0" w:rsidP="000F7FA0">
      <w:pPr>
        <w:pStyle w:val="GesAbsatz"/>
        <w:ind w:left="426" w:hanging="426"/>
      </w:pPr>
      <w:r>
        <w:t>-</w:t>
      </w:r>
      <w:r>
        <w:tab/>
      </w:r>
      <w:r w:rsidR="00767F96">
        <w:t>unbeschichteter Stahlbeton nach DIN 1045, wasserundurchlässig gem. Abschnitt 6.5.7.2, Mindestko</w:t>
      </w:r>
      <w:r w:rsidR="00767F96">
        <w:t>n</w:t>
      </w:r>
      <w:r w:rsidR="00767F96">
        <w:t>struktionsdicke nach statischen Erfordernissen, in verschiedenen Ausführungen:</w:t>
      </w:r>
    </w:p>
    <w:p w:rsidR="00767F96" w:rsidRDefault="000F7FA0" w:rsidP="000F7FA0">
      <w:pPr>
        <w:pStyle w:val="GesAbsatz"/>
        <w:ind w:left="851" w:hanging="425"/>
      </w:pPr>
      <w:r>
        <w:t>a)</w:t>
      </w:r>
      <w:r>
        <w:tab/>
      </w:r>
      <w:r w:rsidR="00767F96">
        <w:t>als Ortbeton B 25, Betongruppe B I, Konstruktionsdicke 100 mm, Rißbeschränkung 0,2 mm, Tren</w:t>
      </w:r>
      <w:r w:rsidR="00767F96">
        <w:t>n</w:t>
      </w:r>
      <w:r w:rsidR="00767F96">
        <w:t>risse &gt; 0,1 mm sind zu schließen</w:t>
      </w:r>
    </w:p>
    <w:p w:rsidR="00767F96" w:rsidRDefault="000F7FA0" w:rsidP="000F7FA0">
      <w:pPr>
        <w:pStyle w:val="GesAbsatz"/>
        <w:ind w:left="851" w:hanging="425"/>
      </w:pPr>
      <w:r>
        <w:t>b)</w:t>
      </w:r>
      <w:r>
        <w:tab/>
      </w:r>
      <w:r w:rsidR="00767F96">
        <w:t xml:space="preserve">als werkmäßig hergestelltes Fertigteil, Betongruppe B II, Wasserzementwert </w:t>
      </w:r>
      <w:r w:rsidR="00767F96">
        <w:rPr>
          <w:u w:val="single"/>
        </w:rPr>
        <w:t>&lt;</w:t>
      </w:r>
      <w:r w:rsidR="00767F96">
        <w:t xml:space="preserve"> 0,5 mm, Rißb</w:t>
      </w:r>
      <w:r w:rsidR="00767F96">
        <w:t>e</w:t>
      </w:r>
      <w:r w:rsidR="00767F96">
        <w:t>schränkung 0,2 mm</w:t>
      </w:r>
    </w:p>
    <w:p w:rsidR="00767F96" w:rsidRDefault="000F7FA0" w:rsidP="000F7FA0">
      <w:pPr>
        <w:pStyle w:val="GesAbsatz"/>
      </w:pPr>
      <w:r>
        <w:t>-</w:t>
      </w:r>
      <w:r>
        <w:tab/>
      </w:r>
      <w:r w:rsidR="00767F96">
        <w:t>Auffangwanne aus Stahl</w:t>
      </w:r>
    </w:p>
    <w:p w:rsidR="00767F96" w:rsidRDefault="00767F96" w:rsidP="000F7FA0">
      <w:pPr>
        <w:pStyle w:val="GesAbsatz"/>
        <w:ind w:left="426"/>
      </w:pPr>
      <w:r>
        <w:t>Wanddicke abhängig von statischen Erfordernissen, korrosionsgeschützt, Aufstellfläche beschichtet g</w:t>
      </w:r>
      <w:r>
        <w:t>e</w:t>
      </w:r>
      <w:r>
        <w:t xml:space="preserve">gen mechanische Beschädigungen, dicht geschweißt </w:t>
      </w:r>
      <w:r>
        <w:noBreakHyphen/>
        <w:t xml:space="preserve"> dichtende Schraubverbindungen nur in Verbi</w:t>
      </w:r>
      <w:r>
        <w:t>n</w:t>
      </w:r>
      <w:r>
        <w:t>dung mit geeigneten Dichtungen und nur bei oberirdischer Aufstellung.</w:t>
      </w:r>
    </w:p>
    <w:p w:rsidR="00767F96" w:rsidRDefault="00767F96">
      <w:pPr>
        <w:pStyle w:val="GesAbsatz"/>
        <w:rPr>
          <w:b/>
        </w:rPr>
      </w:pPr>
      <w:bookmarkStart w:id="31" w:name="_Toc410606351"/>
      <w:r>
        <w:rPr>
          <w:b/>
        </w:rPr>
        <w:t>5.1.2 Anforderungen an das Rückhaltevermögen für austretende wassergefährdende Flüssigkeiten</w:t>
      </w:r>
      <w:bookmarkEnd w:id="31"/>
    </w:p>
    <w:p w:rsidR="00767F96" w:rsidRPr="000F7FA0" w:rsidRDefault="00767F96" w:rsidP="000F7FA0">
      <w:pPr>
        <w:pStyle w:val="GesAbsatz"/>
        <w:rPr>
          <w:u w:val="single"/>
        </w:rPr>
      </w:pPr>
      <w:r w:rsidRPr="000F7FA0">
        <w:rPr>
          <w:u w:val="single"/>
        </w:rPr>
        <w:t>Maßnahme R</w:t>
      </w:r>
      <w:r w:rsidR="000F7FA0">
        <w:rPr>
          <w:u w:val="single"/>
        </w:rPr>
        <w:t xml:space="preserve"> </w:t>
      </w:r>
      <w:r w:rsidRPr="000F7FA0">
        <w:rPr>
          <w:u w:val="single"/>
        </w:rPr>
        <w:t>0</w:t>
      </w:r>
    </w:p>
    <w:p w:rsidR="00767F96" w:rsidRDefault="000F7FA0" w:rsidP="000F7FA0">
      <w:pPr>
        <w:pStyle w:val="GesAbsatz"/>
        <w:ind w:left="426" w:hanging="426"/>
      </w:pPr>
      <w:r>
        <w:lastRenderedPageBreak/>
        <w:t>-</w:t>
      </w:r>
      <w:r>
        <w:tab/>
      </w:r>
      <w:r w:rsidR="00767F96">
        <w:t>keine zusätzlichen Anforderungen an das Rückhaltevermögen über die allgemeinen anerkannten R</w:t>
      </w:r>
      <w:r w:rsidR="00767F96">
        <w:t>e</w:t>
      </w:r>
      <w:r w:rsidR="00767F96">
        <w:t>geln der Technik, insbesondere DIN VDE 0101 (Mai 1989), hinaus.</w:t>
      </w:r>
    </w:p>
    <w:p w:rsidR="00767F96" w:rsidRDefault="000F7FA0" w:rsidP="000F7FA0">
      <w:pPr>
        <w:pStyle w:val="GesAbsatz"/>
        <w:ind w:left="426" w:hanging="426"/>
      </w:pPr>
      <w:r>
        <w:t>-</w:t>
      </w:r>
      <w:r>
        <w:tab/>
      </w:r>
      <w:r w:rsidR="00767F96">
        <w:t>Die für Transformatoren geltenden Maßnahmen sind in DIN VDE 0101 Abschnitt 5.4.2 beschrieben:</w:t>
      </w:r>
    </w:p>
    <w:p w:rsidR="00767F96" w:rsidRDefault="00767F96" w:rsidP="000F7FA0">
      <w:pPr>
        <w:pStyle w:val="GesAbsatz"/>
        <w:ind w:left="426"/>
      </w:pPr>
      <w:r>
        <w:t>"Bei Transformatoren mit Isolier</w:t>
      </w:r>
      <w:r>
        <w:noBreakHyphen/>
        <w:t xml:space="preserve"> bzw. Kühlflüssigkeit (Kühlmittelart O oder K) sind Auffangwannen bzw. Sammelgruben erforderlich."</w:t>
      </w:r>
    </w:p>
    <w:p w:rsidR="00767F96" w:rsidRDefault="00767F96" w:rsidP="000F7FA0">
      <w:pPr>
        <w:pStyle w:val="GesAbsatz"/>
      </w:pPr>
      <w:r>
        <w:t>Anmerkung:</w:t>
      </w:r>
      <w:r w:rsidRPr="000F7FA0">
        <w:t xml:space="preserve"> </w:t>
      </w:r>
      <w:r>
        <w:t>Kühlmittelart O:</w:t>
      </w:r>
    </w:p>
    <w:p w:rsidR="00767F96" w:rsidRDefault="00767F96" w:rsidP="000F7FA0">
      <w:pPr>
        <w:pStyle w:val="GesAbsatz"/>
      </w:pPr>
      <w:r>
        <w:t xml:space="preserve">Mineralöl oder synthetische Isolierflüssigkeit mit Brennpunkt </w:t>
      </w:r>
      <w:r>
        <w:rPr>
          <w:u w:val="single"/>
        </w:rPr>
        <w:t>&lt;</w:t>
      </w:r>
      <w:r>
        <w:t xml:space="preserve"> 300°C</w:t>
      </w:r>
    </w:p>
    <w:p w:rsidR="00767F96" w:rsidRDefault="00767F96" w:rsidP="000F7FA0">
      <w:pPr>
        <w:pStyle w:val="GesAbsatz"/>
      </w:pPr>
      <w:r>
        <w:t>Kühlmittelart K:</w:t>
      </w:r>
    </w:p>
    <w:p w:rsidR="00767F96" w:rsidRDefault="00767F96" w:rsidP="000F7FA0">
      <w:pPr>
        <w:pStyle w:val="GesAbsatz"/>
      </w:pPr>
      <w:r>
        <w:t>Isolierflüssigkeit mit Brennpunkt &gt; 300°C</w:t>
      </w:r>
    </w:p>
    <w:p w:rsidR="00767F96" w:rsidRDefault="00767F96" w:rsidP="000F7FA0">
      <w:pPr>
        <w:pStyle w:val="GesAbsatz"/>
      </w:pPr>
      <w:r>
        <w:t>Diese Einrichtungen sind wie folgt auszuführen:</w:t>
      </w:r>
    </w:p>
    <w:p w:rsidR="00767F96" w:rsidRDefault="005B44A2" w:rsidP="005B44A2">
      <w:pPr>
        <w:pStyle w:val="GesAbsatz"/>
      </w:pPr>
      <w:r>
        <w:t>a)</w:t>
      </w:r>
      <w:r>
        <w:tab/>
      </w:r>
      <w:r w:rsidR="00767F96">
        <w:t>Auffangwanne zugleich als Sammelgrube für die gesamte Flüssigkeit des Transformators.</w:t>
      </w:r>
    </w:p>
    <w:p w:rsidR="00767F96" w:rsidRDefault="005B44A2" w:rsidP="005B44A2">
      <w:pPr>
        <w:pStyle w:val="GesAbsatz"/>
        <w:ind w:left="426" w:hanging="426"/>
      </w:pPr>
      <w:r>
        <w:t>b)</w:t>
      </w:r>
      <w:r>
        <w:tab/>
      </w:r>
      <w:r w:rsidR="00767F96">
        <w:t>Auffangwanne mit getrennter Sammelgrube. Bei mehreren Auffangwannen dürfen die Abflußleitungen zu einer gemeinsamen Sammelgrube führen. Diese muß dann die Flüssigkeit des größten Transform</w:t>
      </w:r>
      <w:r w:rsidR="00767F96">
        <w:t>a</w:t>
      </w:r>
      <w:r w:rsidR="00767F96">
        <w:t>tors au</w:t>
      </w:r>
      <w:r w:rsidR="00767F96">
        <w:t>f</w:t>
      </w:r>
      <w:r w:rsidR="00767F96">
        <w:t>nehmen können.</w:t>
      </w:r>
    </w:p>
    <w:p w:rsidR="00767F96" w:rsidRDefault="00767F96" w:rsidP="005B44A2">
      <w:pPr>
        <w:pStyle w:val="GesAbsatz"/>
      </w:pPr>
      <w:r>
        <w:t>Anmerkung: Rohrverbindungen von Bodenausläufen zu Abscheideeinrichtungen etc. dürfen einwandig u</w:t>
      </w:r>
      <w:r>
        <w:t>n</w:t>
      </w:r>
      <w:r>
        <w:t>terirdisch verlegt werden, wenn sie regelmäßig und nach einer Betriebsstörung auf Dichtheit überprüft we</w:t>
      </w:r>
      <w:r>
        <w:t>r</w:t>
      </w:r>
      <w:r>
        <w:t>den.</w:t>
      </w:r>
    </w:p>
    <w:p w:rsidR="00767F96" w:rsidRDefault="005B44A2" w:rsidP="005B44A2">
      <w:pPr>
        <w:pStyle w:val="GesAbsatz"/>
        <w:ind w:left="426" w:hanging="426"/>
      </w:pPr>
      <w:r>
        <w:t>c)</w:t>
      </w:r>
      <w:r>
        <w:tab/>
      </w:r>
      <w:r w:rsidR="00767F96">
        <w:t>Auffangwanne zugleich als Sammelgrube für mehrere Transformatoren. Diese muß die Flüssigkeit des grö</w:t>
      </w:r>
      <w:r w:rsidR="00767F96">
        <w:t>ß</w:t>
      </w:r>
      <w:r w:rsidR="00767F96">
        <w:t>ten Transformators aufnehmen können.</w:t>
      </w:r>
    </w:p>
    <w:p w:rsidR="00767F96" w:rsidRDefault="005B44A2" w:rsidP="005B44A2">
      <w:pPr>
        <w:pStyle w:val="GesAbsatz"/>
        <w:ind w:left="426" w:hanging="426"/>
      </w:pPr>
      <w:r>
        <w:t>d)</w:t>
      </w:r>
      <w:r>
        <w:tab/>
      </w:r>
      <w:r w:rsidR="00767F96">
        <w:t>In abgeschlossenen elektrischen Betriebsstätten sind als Auffangwannen für die Flüssigkeit undurc</w:t>
      </w:r>
      <w:r w:rsidR="00767F96">
        <w:t>h</w:t>
      </w:r>
      <w:r w:rsidR="00767F96">
        <w:t>lässige Fußböden mit entsprechend hohen Schwellen zulässig, wenn höchstens drei Transformatoren vorha</w:t>
      </w:r>
      <w:r w:rsidR="00767F96">
        <w:t>n</w:t>
      </w:r>
      <w:r w:rsidR="00767F96">
        <w:t>den sind. Jeder dieser Transformatoren muß weniger als 1000 l Flüssigkeit enthalten.</w:t>
      </w:r>
    </w:p>
    <w:p w:rsidR="00767F96" w:rsidRDefault="005B44A2" w:rsidP="005B44A2">
      <w:pPr>
        <w:pStyle w:val="GesAbsatz"/>
        <w:ind w:left="426" w:hanging="426"/>
      </w:pPr>
      <w:r>
        <w:t>e)</w:t>
      </w:r>
      <w:r>
        <w:tab/>
      </w:r>
      <w:r w:rsidR="00767F96">
        <w:t>Bei Sammelgruben muß sichergestellt sein, daß ihr Aufnahmevermögen für Isolier</w:t>
      </w:r>
      <w:r>
        <w:t>-</w:t>
      </w:r>
      <w:r w:rsidR="00767F96">
        <w:t xml:space="preserve"> und Kühlflüssigkeit durch einfließendes Wasser nicht unzulässig vermindert wird. Das Wasser muß abgelassen oder abg</w:t>
      </w:r>
      <w:r w:rsidR="00767F96">
        <w:t>e</w:t>
      </w:r>
      <w:r w:rsidR="00767F96">
        <w:t>saugt we</w:t>
      </w:r>
      <w:r w:rsidR="00767F96">
        <w:t>r</w:t>
      </w:r>
      <w:r w:rsidR="00767F96">
        <w:t>den können. Die Frostgefahr ist zu beachten.</w:t>
      </w:r>
    </w:p>
    <w:p w:rsidR="00767F96" w:rsidRDefault="00767F96" w:rsidP="005B44A2">
      <w:pPr>
        <w:pStyle w:val="GesAbsatz"/>
      </w:pPr>
      <w:r>
        <w:t>Für den Gewässerschutz sind bei den Transformatoren mit Kühlflüssigkeit (Kühlmittelart O oder K) folgende Maßnahmen zusätzlich zu treffen:</w:t>
      </w:r>
    </w:p>
    <w:p w:rsidR="00767F96" w:rsidRDefault="005B44A2" w:rsidP="005B44A2">
      <w:pPr>
        <w:pStyle w:val="GesAbsatz"/>
        <w:ind w:left="426" w:hanging="426"/>
      </w:pPr>
      <w:r>
        <w:t>a)</w:t>
      </w:r>
      <w:r>
        <w:tab/>
      </w:r>
      <w:r w:rsidR="00767F96">
        <w:t>Der Austritt von Isolier</w:t>
      </w:r>
      <w:r>
        <w:t>-</w:t>
      </w:r>
      <w:r w:rsidR="00767F96">
        <w:t xml:space="preserve"> und Kühlflüssigkeit aus der Sammelgrube muß verhindert werden.</w:t>
      </w:r>
    </w:p>
    <w:p w:rsidR="00767F96" w:rsidRDefault="005B44A2" w:rsidP="005B44A2">
      <w:pPr>
        <w:pStyle w:val="GesAbsatz"/>
        <w:ind w:left="426" w:hanging="426"/>
      </w:pPr>
      <w:r>
        <w:t>b)</w:t>
      </w:r>
      <w:r>
        <w:tab/>
      </w:r>
      <w:r w:rsidR="00767F96">
        <w:t>Wasserabflüsse sind über Einrichtungen zur Trennung der Flüssigkeiten zu führen. Dabei ist auf ihre spez</w:t>
      </w:r>
      <w:r w:rsidR="00767F96">
        <w:t>i</w:t>
      </w:r>
      <w:r w:rsidR="00767F96">
        <w:t>fischen Wichten zu achten.</w:t>
      </w:r>
    </w:p>
    <w:p w:rsidR="00767F96" w:rsidRDefault="005B44A2" w:rsidP="005B44A2">
      <w:pPr>
        <w:pStyle w:val="GesAbsatz"/>
        <w:ind w:left="426" w:hanging="426"/>
      </w:pPr>
      <w:r>
        <w:t>c)</w:t>
      </w:r>
      <w:r>
        <w:tab/>
      </w:r>
      <w:r w:rsidR="00767F96">
        <w:t xml:space="preserve">Im Freien </w:t>
      </w:r>
      <w:r w:rsidR="00767F96">
        <w:noBreakHyphen/>
        <w:t xml:space="preserve"> ausgenommen in Fassungsbereichen und engeren Schutzzonen von Wasserschutzgebi</w:t>
      </w:r>
      <w:r w:rsidR="00767F96">
        <w:t>e</w:t>
      </w:r>
      <w:r w:rsidR="00767F96">
        <w:t xml:space="preserve">ten </w:t>
      </w:r>
      <w:r w:rsidR="00767F96">
        <w:noBreakHyphen/>
        <w:t xml:space="preserve"> darf eine Auffangwanne, die nicht für die gesamte Flüssigkeit der Transformatoren bemessen ist, auch ohne Sammelgrube verwendet werden, wenn verunreinigtes Erdreich abgetragen werden kann und die Flüssigkeit weder in Abwasseranlagen noch in Gewässer abfließen kann. Bei Transformatoren mit w</w:t>
      </w:r>
      <w:r w:rsidR="00767F96">
        <w:t>e</w:t>
      </w:r>
      <w:r w:rsidR="00767F96">
        <w:t>niger als 1000 l Flüssigkeit darf auch die Auffangwanne entfallen.</w:t>
      </w:r>
    </w:p>
    <w:p w:rsidR="00767F96" w:rsidRDefault="00767F96" w:rsidP="005B44A2">
      <w:pPr>
        <w:pStyle w:val="GesAbsatz"/>
      </w:pPr>
      <w:r>
        <w:t>"Wenn in Ausnahmefällen in Fassungsbereichen und engeren Schutzzonen von Wasserschutzgebieten di</w:t>
      </w:r>
      <w:r>
        <w:t>e</w:t>
      </w:r>
      <w:r>
        <w:t>se Erleichterungen bei der Auslegung von Auffangwannen in Anspruch genommen werden sollen, muß A</w:t>
      </w:r>
      <w:r>
        <w:t>b</w:t>
      </w:r>
      <w:r>
        <w:t>stimmung mit der zuständigen Wasserbehörde erfolgen."</w:t>
      </w:r>
    </w:p>
    <w:p w:rsidR="00767F96" w:rsidRPr="005B44A2" w:rsidRDefault="00767F96" w:rsidP="005B44A2">
      <w:pPr>
        <w:pStyle w:val="GesAbsatz"/>
        <w:rPr>
          <w:u w:val="single"/>
        </w:rPr>
      </w:pPr>
      <w:r w:rsidRPr="005B44A2">
        <w:rPr>
          <w:u w:val="single"/>
        </w:rPr>
        <w:t>Maßnahmen R 1 und R 2</w:t>
      </w:r>
    </w:p>
    <w:p w:rsidR="00767F96" w:rsidRDefault="005B44A2" w:rsidP="005B44A2">
      <w:pPr>
        <w:pStyle w:val="GesAbsatz"/>
        <w:ind w:left="426" w:hanging="426"/>
      </w:pPr>
      <w:r>
        <w:t>-</w:t>
      </w:r>
      <w:r>
        <w:tab/>
      </w:r>
      <w:r w:rsidR="00767F96">
        <w:t>Der Auffangraum muß 10% des Inhaltes aller zugeordneten elektrischen Betriebsmittel, mindestens j</w:t>
      </w:r>
      <w:r w:rsidR="00767F96">
        <w:t>e</w:t>
      </w:r>
      <w:r w:rsidR="00767F96">
        <w:t>doch den Inhalt des größten elektrischen Betriebsmittels, aufnehmen können.</w:t>
      </w:r>
    </w:p>
    <w:p w:rsidR="00767F96" w:rsidRDefault="00767F96">
      <w:pPr>
        <w:pStyle w:val="GesAbsatz"/>
        <w:rPr>
          <w:b/>
        </w:rPr>
      </w:pPr>
      <w:bookmarkStart w:id="32" w:name="_Toc410606352"/>
      <w:r>
        <w:rPr>
          <w:b/>
        </w:rPr>
        <w:t>5.1.3 Anforderungen an infrastrukturelle Maßnahmen organisatorischer und technischer Art</w:t>
      </w:r>
      <w:bookmarkEnd w:id="32"/>
    </w:p>
    <w:p w:rsidR="00767F96" w:rsidRPr="005B44A2" w:rsidRDefault="00767F96" w:rsidP="005B44A2">
      <w:pPr>
        <w:pStyle w:val="GesAbsatz"/>
        <w:rPr>
          <w:u w:val="single"/>
        </w:rPr>
      </w:pPr>
      <w:r w:rsidRPr="005B44A2">
        <w:rPr>
          <w:u w:val="single"/>
        </w:rPr>
        <w:t>Maßnahme I0</w:t>
      </w:r>
    </w:p>
    <w:p w:rsidR="00767F96" w:rsidRDefault="005B44A2" w:rsidP="005B44A2">
      <w:pPr>
        <w:pStyle w:val="GesAbsatz"/>
        <w:ind w:left="426" w:hanging="426"/>
      </w:pPr>
      <w:r>
        <w:t>-</w:t>
      </w:r>
      <w:r>
        <w:tab/>
      </w:r>
      <w:r w:rsidR="00767F96">
        <w:t xml:space="preserve">keine zusätzlichen Anforderungen an die Infrastruktur über die allgemein anerkannten Regeln der Technik </w:t>
      </w:r>
      <w:r w:rsidR="00767F96">
        <w:noBreakHyphen/>
        <w:t xml:space="preserve"> z. B. DIN VDE 0105, Unfallverhütungsvorschriften </w:t>
      </w:r>
      <w:r w:rsidR="00767F96">
        <w:noBreakHyphen/>
        <w:t xml:space="preserve"> hinaus, jedoch Kontrolle der Anlage nach Erkennen eines Fehlers, in dessen Verlauf Isolierflüssigkeit ausgetreten sein kann. Die Anlage ist s</w:t>
      </w:r>
      <w:r w:rsidR="00767F96">
        <w:t>o</w:t>
      </w:r>
      <w:r w:rsidR="00767F96">
        <w:t>weit instand zu setzen, daß keine weitere Isolierflüssigkeit austritt, ausgetretene Isolierflüssigkeit z</w:t>
      </w:r>
      <w:r w:rsidR="00767F96">
        <w:t>u</w:t>
      </w:r>
      <w:r w:rsidR="00767F96">
        <w:t>rückgehalten wird und Verunre</w:t>
      </w:r>
      <w:r w:rsidR="00767F96">
        <w:t>i</w:t>
      </w:r>
      <w:r w:rsidR="00767F96">
        <w:t>nigungen der ungeschützten Umgebung beseitigt werden.</w:t>
      </w:r>
    </w:p>
    <w:p w:rsidR="00767F96" w:rsidRPr="005B44A2" w:rsidRDefault="00767F96" w:rsidP="005B44A2">
      <w:pPr>
        <w:pStyle w:val="GesAbsatz"/>
        <w:rPr>
          <w:u w:val="single"/>
        </w:rPr>
      </w:pPr>
      <w:r w:rsidRPr="005B44A2">
        <w:rPr>
          <w:u w:val="single"/>
        </w:rPr>
        <w:t>Maßnahme I1</w:t>
      </w:r>
    </w:p>
    <w:p w:rsidR="00767F96" w:rsidRDefault="005B44A2" w:rsidP="005B44A2">
      <w:pPr>
        <w:pStyle w:val="GesAbsatz"/>
        <w:ind w:left="426" w:hanging="426"/>
      </w:pPr>
      <w:r>
        <w:t>-</w:t>
      </w:r>
      <w:r>
        <w:tab/>
      </w:r>
      <w:r w:rsidR="00767F96">
        <w:t xml:space="preserve">Der Verlust an Isolierflüssigkeit wird in einer ständig besetzten Leitstelle des betreffenden Netzes sofort direkt oder durch signifikante Änderung von Netzparametern (z. B. Strom, Spannung) angezeigt. Sind </w:t>
      </w:r>
      <w:r w:rsidR="00767F96">
        <w:lastRenderedPageBreak/>
        <w:t>elektrische Anlagen vom Netz getrennt, so sind Kontrollgänge entsprechend Betriebsanweisung durc</w:t>
      </w:r>
      <w:r w:rsidR="00767F96">
        <w:t>h</w:t>
      </w:r>
      <w:r w:rsidR="00767F96">
        <w:t>zufü</w:t>
      </w:r>
      <w:r w:rsidR="00767F96">
        <w:t>h</w:t>
      </w:r>
      <w:r w:rsidR="00767F96">
        <w:t>ren, sofern der Füllstand nicht überwacht wird.</w:t>
      </w:r>
    </w:p>
    <w:p w:rsidR="00767F96" w:rsidRPr="005B44A2" w:rsidRDefault="00767F96" w:rsidP="005B44A2">
      <w:pPr>
        <w:pStyle w:val="GesAbsatz"/>
        <w:rPr>
          <w:u w:val="single"/>
        </w:rPr>
      </w:pPr>
      <w:r w:rsidRPr="005B44A2">
        <w:rPr>
          <w:u w:val="single"/>
        </w:rPr>
        <w:t>Maßnahme I2</w:t>
      </w:r>
    </w:p>
    <w:p w:rsidR="00767F96" w:rsidRDefault="005B44A2" w:rsidP="005B44A2">
      <w:pPr>
        <w:pStyle w:val="GesAbsatz"/>
        <w:ind w:left="426" w:hanging="426"/>
      </w:pPr>
      <w:r>
        <w:t>-</w:t>
      </w:r>
      <w:r>
        <w:tab/>
      </w:r>
      <w:r w:rsidR="00767F96">
        <w:t>In einem Alarm- und Maßnahmenplan ist festgelegt und mit den zuständigen Behörden abgestimmt, welche Sofortmaßnahmen vor Ort zu treffen, welche örtlichen oder überörtlichen Stellen zu alarmieren und we</w:t>
      </w:r>
      <w:r w:rsidR="00767F96">
        <w:t>l</w:t>
      </w:r>
      <w:r w:rsidR="00767F96">
        <w:t>che Maßnahmen von diesen innerhalb welcher Zeiten zu ergreifen sind.</w:t>
      </w:r>
    </w:p>
    <w:p w:rsidR="00767F96" w:rsidRDefault="00767F96" w:rsidP="00B11A61">
      <w:pPr>
        <w:pStyle w:val="GesAbsatz"/>
      </w:pPr>
    </w:p>
    <w:sectPr w:rsidR="00767F96">
      <w:headerReference w:type="default" r:id="rId9"/>
      <w:footerReference w:type="default" r:id="rId10"/>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AC0" w:rsidRDefault="00085AC0">
      <w:r>
        <w:separator/>
      </w:r>
    </w:p>
  </w:endnote>
  <w:endnote w:type="continuationSeparator" w:id="0">
    <w:p w:rsidR="00085AC0" w:rsidRDefault="0008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093" w:rsidRPr="00B11A61" w:rsidRDefault="00272093" w:rsidP="00B11A61">
    <w:pPr>
      <w:pStyle w:val="Fuzeile"/>
    </w:pPr>
    <w:r w:rsidRPr="00B11A61">
      <w:tab/>
      <w:t>Stand 02.03.1995 (MBl. NRW. S. 436)</w:t>
    </w:r>
    <w:r w:rsidRPr="00B11A61">
      <w:tab/>
      <w:t xml:space="preserve">Seite </w:t>
    </w:r>
    <w:r w:rsidRPr="00B11A61">
      <w:fldChar w:fldCharType="begin"/>
    </w:r>
    <w:r w:rsidRPr="00B11A61">
      <w:instrText xml:space="preserve"> PAGE  \* MERGEFORMAT </w:instrText>
    </w:r>
    <w:r w:rsidRPr="00B11A61">
      <w:fldChar w:fldCharType="separate"/>
    </w:r>
    <w:r w:rsidR="00B11A61">
      <w:rPr>
        <w:noProof/>
      </w:rPr>
      <w:t>1</w:t>
    </w:r>
    <w:r w:rsidRPr="00B11A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AC0" w:rsidRDefault="00085AC0">
      <w:r>
        <w:separator/>
      </w:r>
    </w:p>
  </w:footnote>
  <w:footnote w:type="continuationSeparator" w:id="0">
    <w:p w:rsidR="00085AC0" w:rsidRDefault="00085AC0">
      <w:r>
        <w:continuationSeparator/>
      </w:r>
    </w:p>
  </w:footnote>
  <w:footnote w:id="1">
    <w:p w:rsidR="00272093" w:rsidRDefault="00272093">
      <w:pPr>
        <w:pStyle w:val="Funotentext"/>
      </w:pPr>
      <w:r>
        <w:rPr>
          <w:rStyle w:val="Funotenzeichen"/>
        </w:rPr>
        <w:footnoteRef/>
      </w:r>
      <w:r>
        <w:t xml:space="preserve"> Für Anlagen mit gasförmigen Isoliermedien der WGK 0 (z.B. SF</w:t>
      </w:r>
      <w:r>
        <w:rPr>
          <w:vertAlign w:val="subscript"/>
        </w:rPr>
        <w:t>6</w:t>
      </w:r>
      <w:r>
        <w:t>) gilt die Anforderungskombination: F0 + R0 + I0.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093" w:rsidRDefault="008C592B" w:rsidP="00B11A61">
    <w:pPr>
      <w:pStyle w:val="Kopfzeile0"/>
    </w:pPr>
    <w:r>
      <w:t>Archiv7.45</w:t>
    </w:r>
  </w:p>
  <w:p w:rsidR="00272093" w:rsidRDefault="00272093" w:rsidP="0013771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nsid w:val="FFFFFFFE"/>
    <w:multiLevelType w:val="singleLevel"/>
    <w:tmpl w:val="2C74B2E4"/>
    <w:lvl w:ilvl="0">
      <w:numFmt w:val="decimal"/>
      <w:lvlText w:val="*"/>
      <w:lvlJc w:val="left"/>
    </w:lvl>
  </w:abstractNum>
  <w:abstractNum w:abstractNumId="6">
    <w:nsid w:val="25E21360"/>
    <w:multiLevelType w:val="singleLevel"/>
    <w:tmpl w:val="E48C6B46"/>
    <w:lvl w:ilvl="0">
      <w:start w:val="1"/>
      <w:numFmt w:val="lowerLetter"/>
      <w:lvlText w:val="%1)"/>
      <w:legacy w:legacy="1" w:legacySpace="0" w:legacyIndent="454"/>
      <w:lvlJc w:val="left"/>
      <w:pPr>
        <w:ind w:left="454" w:hanging="454"/>
      </w:pPr>
    </w:lvl>
  </w:abstractNum>
  <w:abstractNum w:abstractNumId="7">
    <w:nsid w:val="3907112C"/>
    <w:multiLevelType w:val="hybridMultilevel"/>
    <w:tmpl w:val="12FA650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6E186FA2"/>
    <w:multiLevelType w:val="singleLevel"/>
    <w:tmpl w:val="E48C6B46"/>
    <w:lvl w:ilvl="0">
      <w:start w:val="1"/>
      <w:numFmt w:val="lowerLetter"/>
      <w:lvlText w:val="%1)"/>
      <w:legacy w:legacy="1" w:legacySpace="0" w:legacyIndent="454"/>
      <w:lvlJc w:val="left"/>
      <w:pPr>
        <w:ind w:left="454" w:hanging="454"/>
      </w:pPr>
    </w:lvl>
  </w:abstractNum>
  <w:num w:numId="1">
    <w:abstractNumId w:val="5"/>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abstractNumId w:val="6"/>
  </w:num>
  <w:num w:numId="4">
    <w:abstractNumId w:val="8"/>
  </w:num>
  <w:num w:numId="5">
    <w:abstractNumId w:val="7"/>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D11"/>
    <w:rsid w:val="00011276"/>
    <w:rsid w:val="00085AC0"/>
    <w:rsid w:val="000F7FA0"/>
    <w:rsid w:val="00137710"/>
    <w:rsid w:val="00272093"/>
    <w:rsid w:val="004133D8"/>
    <w:rsid w:val="004A20E9"/>
    <w:rsid w:val="00555FA1"/>
    <w:rsid w:val="005B44A2"/>
    <w:rsid w:val="005E656D"/>
    <w:rsid w:val="006514AF"/>
    <w:rsid w:val="00674D11"/>
    <w:rsid w:val="006F4E2B"/>
    <w:rsid w:val="007159AF"/>
    <w:rsid w:val="00767F96"/>
    <w:rsid w:val="00807F76"/>
    <w:rsid w:val="008C592B"/>
    <w:rsid w:val="009323BF"/>
    <w:rsid w:val="00B11A61"/>
    <w:rsid w:val="00E37936"/>
    <w:rsid w:val="00F211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nePrinter" w:eastAsia="Times New Roman" w:hAnsi="LinePrinter"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07F76"/>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807F76"/>
    <w:pPr>
      <w:keepNext/>
      <w:spacing w:after="120"/>
      <w:jc w:val="center"/>
      <w:outlineLvl w:val="0"/>
    </w:pPr>
    <w:rPr>
      <w:b/>
      <w:kern w:val="28"/>
      <w:sz w:val="28"/>
    </w:rPr>
  </w:style>
  <w:style w:type="paragraph" w:styleId="berschrift2">
    <w:name w:val="heading 2"/>
    <w:basedOn w:val="Standard"/>
    <w:next w:val="GesAbsatz"/>
    <w:qFormat/>
    <w:rsid w:val="00807F76"/>
    <w:pPr>
      <w:keepNext/>
      <w:spacing w:before="240"/>
      <w:jc w:val="center"/>
      <w:outlineLvl w:val="1"/>
    </w:pPr>
    <w:rPr>
      <w:b/>
      <w:sz w:val="24"/>
    </w:rPr>
  </w:style>
  <w:style w:type="paragraph" w:styleId="berschrift3">
    <w:name w:val="heading 3"/>
    <w:basedOn w:val="Standard"/>
    <w:next w:val="GesAbsatz"/>
    <w:qFormat/>
    <w:rsid w:val="00807F76"/>
    <w:pPr>
      <w:keepNext/>
      <w:spacing w:before="240" w:after="180"/>
      <w:jc w:val="center"/>
      <w:outlineLvl w:val="2"/>
    </w:pPr>
    <w:rPr>
      <w:b/>
    </w:rPr>
  </w:style>
  <w:style w:type="paragraph" w:styleId="berschrift4">
    <w:name w:val="heading 4"/>
    <w:basedOn w:val="Standard"/>
    <w:next w:val="Standard"/>
    <w:rsid w:val="00807F76"/>
    <w:pPr>
      <w:keepNext/>
      <w:spacing w:before="240"/>
      <w:outlineLvl w:val="3"/>
    </w:pPr>
  </w:style>
  <w:style w:type="paragraph" w:styleId="berschrift5">
    <w:name w:val="heading 5"/>
    <w:basedOn w:val="Standard"/>
    <w:next w:val="Standard"/>
    <w:rsid w:val="00807F76"/>
    <w:pPr>
      <w:spacing w:before="120"/>
      <w:ind w:left="709" w:hanging="709"/>
      <w:outlineLvl w:val="4"/>
    </w:pPr>
  </w:style>
  <w:style w:type="character" w:default="1" w:styleId="Absatz-Standardschriftart">
    <w:name w:val="Default Paragraph Font"/>
    <w:uiPriority w:val="1"/>
    <w:unhideWhenUsed/>
    <w:rsid w:val="00807F76"/>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807F76"/>
  </w:style>
  <w:style w:type="paragraph" w:styleId="Kopfzeile">
    <w:name w:val="header"/>
    <w:basedOn w:val="Standard"/>
    <w:qFormat/>
    <w:rsid w:val="00807F76"/>
    <w:pPr>
      <w:tabs>
        <w:tab w:val="center" w:pos="4536"/>
        <w:tab w:val="right" w:pos="9072"/>
      </w:tabs>
      <w:spacing w:before="0" w:after="120"/>
      <w:jc w:val="right"/>
    </w:pPr>
  </w:style>
  <w:style w:type="paragraph" w:styleId="Fuzeile">
    <w:name w:val="footer"/>
    <w:basedOn w:val="Standard"/>
    <w:qFormat/>
    <w:rsid w:val="00807F76"/>
    <w:pPr>
      <w:tabs>
        <w:tab w:val="clear" w:pos="425"/>
        <w:tab w:val="right" w:pos="8505"/>
        <w:tab w:val="right" w:pos="9639"/>
      </w:tabs>
      <w:spacing w:before="0" w:after="0"/>
      <w:jc w:val="left"/>
    </w:pPr>
    <w:rPr>
      <w:sz w:val="16"/>
    </w:rPr>
  </w:style>
  <w:style w:type="character" w:styleId="Seitenzahl">
    <w:name w:val="page number"/>
    <w:semiHidden/>
    <w:rsid w:val="00807F76"/>
    <w:rPr>
      <w:rFonts w:ascii="Arial" w:hAnsi="Arial"/>
      <w:sz w:val="16"/>
    </w:rPr>
  </w:style>
  <w:style w:type="paragraph" w:styleId="Verzeichnis2">
    <w:name w:val="toc 2"/>
    <w:basedOn w:val="Standard"/>
    <w:next w:val="Standard"/>
    <w:semiHidden/>
    <w:rsid w:val="00807F76"/>
    <w:pPr>
      <w:tabs>
        <w:tab w:val="clear" w:pos="425"/>
        <w:tab w:val="right" w:leader="dot" w:pos="9638"/>
      </w:tabs>
      <w:spacing w:before="0" w:after="0"/>
      <w:jc w:val="left"/>
    </w:pPr>
    <w:rPr>
      <w:rFonts w:ascii="Times New Roman" w:hAnsi="Times New Roman"/>
      <w:smallCaps/>
    </w:rPr>
  </w:style>
  <w:style w:type="character" w:styleId="BesuchterHyperlink">
    <w:name w:val="FollowedHyperlink"/>
    <w:basedOn w:val="Absatz-Standardschriftart"/>
    <w:rsid w:val="007159AF"/>
    <w:rPr>
      <w:color w:val="800080"/>
      <w:u w:val="single"/>
    </w:rPr>
  </w:style>
  <w:style w:type="paragraph" w:styleId="Verzeichnis3">
    <w:name w:val="toc 3"/>
    <w:basedOn w:val="Standard"/>
    <w:next w:val="Standard"/>
    <w:semiHidden/>
    <w:rsid w:val="00807F76"/>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807F76"/>
    <w:pPr>
      <w:spacing w:before="0" w:after="0"/>
    </w:pPr>
    <w:rPr>
      <w:sz w:val="16"/>
    </w:rPr>
  </w:style>
  <w:style w:type="paragraph" w:styleId="Verzeichnis1">
    <w:name w:val="toc 1"/>
    <w:basedOn w:val="Verzeichnis3"/>
    <w:next w:val="Standard"/>
    <w:semiHidden/>
    <w:rsid w:val="00807F76"/>
    <w:pPr>
      <w:spacing w:before="120" w:after="120"/>
      <w:ind w:left="0"/>
    </w:pPr>
    <w:rPr>
      <w:b/>
      <w:i w:val="0"/>
      <w:caps/>
    </w:rPr>
  </w:style>
  <w:style w:type="paragraph" w:customStyle="1" w:styleId="GesAbsatz">
    <w:name w:val="GesAbsatz"/>
    <w:basedOn w:val="Standard"/>
    <w:qFormat/>
    <w:rsid w:val="00807F76"/>
    <w:pPr>
      <w:spacing w:before="100"/>
    </w:pPr>
    <w:rPr>
      <w:color w:val="000000"/>
    </w:rPr>
  </w:style>
  <w:style w:type="paragraph" w:styleId="Verzeichnis4">
    <w:name w:val="toc 4"/>
    <w:basedOn w:val="Standard"/>
    <w:next w:val="Standard"/>
    <w:semiHidden/>
    <w:rsid w:val="00807F76"/>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807F76"/>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807F76"/>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807F76"/>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807F76"/>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807F76"/>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807F76"/>
    <w:rPr>
      <w:sz w:val="20"/>
      <w:szCs w:val="20"/>
      <w:vertAlign w:val="superscript"/>
    </w:rPr>
  </w:style>
  <w:style w:type="character" w:styleId="Hyperlink">
    <w:name w:val="Hyperlink"/>
    <w:rsid w:val="00807F76"/>
    <w:rPr>
      <w:color w:val="0000FF"/>
      <w:u w:val="single"/>
    </w:rPr>
  </w:style>
  <w:style w:type="paragraph" w:customStyle="1" w:styleId="Kopfzeile0">
    <w:name w:val="Kopfzeile0"/>
    <w:basedOn w:val="Standard"/>
    <w:next w:val="Kopfzeile"/>
    <w:qFormat/>
    <w:rsid w:val="00807F76"/>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nePrinter" w:eastAsia="Times New Roman" w:hAnsi="LinePrinter"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07F76"/>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807F76"/>
    <w:pPr>
      <w:keepNext/>
      <w:spacing w:after="120"/>
      <w:jc w:val="center"/>
      <w:outlineLvl w:val="0"/>
    </w:pPr>
    <w:rPr>
      <w:b/>
      <w:kern w:val="28"/>
      <w:sz w:val="28"/>
    </w:rPr>
  </w:style>
  <w:style w:type="paragraph" w:styleId="berschrift2">
    <w:name w:val="heading 2"/>
    <w:basedOn w:val="Standard"/>
    <w:next w:val="GesAbsatz"/>
    <w:qFormat/>
    <w:rsid w:val="00807F76"/>
    <w:pPr>
      <w:keepNext/>
      <w:spacing w:before="240"/>
      <w:jc w:val="center"/>
      <w:outlineLvl w:val="1"/>
    </w:pPr>
    <w:rPr>
      <w:b/>
      <w:sz w:val="24"/>
    </w:rPr>
  </w:style>
  <w:style w:type="paragraph" w:styleId="berschrift3">
    <w:name w:val="heading 3"/>
    <w:basedOn w:val="Standard"/>
    <w:next w:val="GesAbsatz"/>
    <w:qFormat/>
    <w:rsid w:val="00807F76"/>
    <w:pPr>
      <w:keepNext/>
      <w:spacing w:before="240" w:after="180"/>
      <w:jc w:val="center"/>
      <w:outlineLvl w:val="2"/>
    </w:pPr>
    <w:rPr>
      <w:b/>
    </w:rPr>
  </w:style>
  <w:style w:type="paragraph" w:styleId="berschrift4">
    <w:name w:val="heading 4"/>
    <w:basedOn w:val="Standard"/>
    <w:next w:val="Standard"/>
    <w:rsid w:val="00807F76"/>
    <w:pPr>
      <w:keepNext/>
      <w:spacing w:before="240"/>
      <w:outlineLvl w:val="3"/>
    </w:pPr>
  </w:style>
  <w:style w:type="paragraph" w:styleId="berschrift5">
    <w:name w:val="heading 5"/>
    <w:basedOn w:val="Standard"/>
    <w:next w:val="Standard"/>
    <w:rsid w:val="00807F76"/>
    <w:pPr>
      <w:spacing w:before="120"/>
      <w:ind w:left="709" w:hanging="709"/>
      <w:outlineLvl w:val="4"/>
    </w:pPr>
  </w:style>
  <w:style w:type="character" w:default="1" w:styleId="Absatz-Standardschriftart">
    <w:name w:val="Default Paragraph Font"/>
    <w:uiPriority w:val="1"/>
    <w:unhideWhenUsed/>
    <w:rsid w:val="00807F76"/>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807F76"/>
  </w:style>
  <w:style w:type="paragraph" w:styleId="Kopfzeile">
    <w:name w:val="header"/>
    <w:basedOn w:val="Standard"/>
    <w:qFormat/>
    <w:rsid w:val="00807F76"/>
    <w:pPr>
      <w:tabs>
        <w:tab w:val="center" w:pos="4536"/>
        <w:tab w:val="right" w:pos="9072"/>
      </w:tabs>
      <w:spacing w:before="0" w:after="120"/>
      <w:jc w:val="right"/>
    </w:pPr>
  </w:style>
  <w:style w:type="paragraph" w:styleId="Fuzeile">
    <w:name w:val="footer"/>
    <w:basedOn w:val="Standard"/>
    <w:qFormat/>
    <w:rsid w:val="00807F76"/>
    <w:pPr>
      <w:tabs>
        <w:tab w:val="clear" w:pos="425"/>
        <w:tab w:val="right" w:pos="8505"/>
        <w:tab w:val="right" w:pos="9639"/>
      </w:tabs>
      <w:spacing w:before="0" w:after="0"/>
      <w:jc w:val="left"/>
    </w:pPr>
    <w:rPr>
      <w:sz w:val="16"/>
    </w:rPr>
  </w:style>
  <w:style w:type="character" w:styleId="Seitenzahl">
    <w:name w:val="page number"/>
    <w:semiHidden/>
    <w:rsid w:val="00807F76"/>
    <w:rPr>
      <w:rFonts w:ascii="Arial" w:hAnsi="Arial"/>
      <w:sz w:val="16"/>
    </w:rPr>
  </w:style>
  <w:style w:type="paragraph" w:styleId="Verzeichnis2">
    <w:name w:val="toc 2"/>
    <w:basedOn w:val="Standard"/>
    <w:next w:val="Standard"/>
    <w:semiHidden/>
    <w:rsid w:val="00807F76"/>
    <w:pPr>
      <w:tabs>
        <w:tab w:val="clear" w:pos="425"/>
        <w:tab w:val="right" w:leader="dot" w:pos="9638"/>
      </w:tabs>
      <w:spacing w:before="0" w:after="0"/>
      <w:jc w:val="left"/>
    </w:pPr>
    <w:rPr>
      <w:rFonts w:ascii="Times New Roman" w:hAnsi="Times New Roman"/>
      <w:smallCaps/>
    </w:rPr>
  </w:style>
  <w:style w:type="character" w:styleId="BesuchterHyperlink">
    <w:name w:val="FollowedHyperlink"/>
    <w:basedOn w:val="Absatz-Standardschriftart"/>
    <w:rsid w:val="007159AF"/>
    <w:rPr>
      <w:color w:val="800080"/>
      <w:u w:val="single"/>
    </w:rPr>
  </w:style>
  <w:style w:type="paragraph" w:styleId="Verzeichnis3">
    <w:name w:val="toc 3"/>
    <w:basedOn w:val="Standard"/>
    <w:next w:val="Standard"/>
    <w:semiHidden/>
    <w:rsid w:val="00807F76"/>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807F76"/>
    <w:pPr>
      <w:spacing w:before="0" w:after="0"/>
    </w:pPr>
    <w:rPr>
      <w:sz w:val="16"/>
    </w:rPr>
  </w:style>
  <w:style w:type="paragraph" w:styleId="Verzeichnis1">
    <w:name w:val="toc 1"/>
    <w:basedOn w:val="Verzeichnis3"/>
    <w:next w:val="Standard"/>
    <w:semiHidden/>
    <w:rsid w:val="00807F76"/>
    <w:pPr>
      <w:spacing w:before="120" w:after="120"/>
      <w:ind w:left="0"/>
    </w:pPr>
    <w:rPr>
      <w:b/>
      <w:i w:val="0"/>
      <w:caps/>
    </w:rPr>
  </w:style>
  <w:style w:type="paragraph" w:customStyle="1" w:styleId="GesAbsatz">
    <w:name w:val="GesAbsatz"/>
    <w:basedOn w:val="Standard"/>
    <w:qFormat/>
    <w:rsid w:val="00807F76"/>
    <w:pPr>
      <w:spacing w:before="100"/>
    </w:pPr>
    <w:rPr>
      <w:color w:val="000000"/>
    </w:rPr>
  </w:style>
  <w:style w:type="paragraph" w:styleId="Verzeichnis4">
    <w:name w:val="toc 4"/>
    <w:basedOn w:val="Standard"/>
    <w:next w:val="Standard"/>
    <w:semiHidden/>
    <w:rsid w:val="00807F76"/>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807F76"/>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807F76"/>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807F76"/>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807F76"/>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807F76"/>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807F76"/>
    <w:rPr>
      <w:sz w:val="20"/>
      <w:szCs w:val="20"/>
      <w:vertAlign w:val="superscript"/>
    </w:rPr>
  </w:style>
  <w:style w:type="character" w:styleId="Hyperlink">
    <w:name w:val="Hyperlink"/>
    <w:rsid w:val="00807F76"/>
    <w:rPr>
      <w:color w:val="0000FF"/>
      <w:u w:val="single"/>
    </w:rPr>
  </w:style>
  <w:style w:type="paragraph" w:customStyle="1" w:styleId="Kopfzeile0">
    <w:name w:val="Kopfzeile0"/>
    <w:basedOn w:val="Standard"/>
    <w:next w:val="Kopfzeile"/>
    <w:qFormat/>
    <w:rsid w:val="00807F76"/>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1&amp;gld_nr=7&amp;ugl_nr=770&amp;bes_id=1978&amp;val=1978&amp;ver=7&amp;sg=0&amp;aufgehoben=J&amp;menu=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1878</Words>
  <Characters>12778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Merkblatt über Anlagen zum Verwenden wassergefährdender Stoffe im Netzbereich der Elektroversorgungsunternehmen</vt:lpstr>
    </vt:vector>
  </TitlesOfParts>
  <Company>LANUV</Company>
  <LinksUpToDate>false</LinksUpToDate>
  <CharactersWithSpaces>14627</CharactersWithSpaces>
  <SharedDoc>false</SharedDoc>
  <HLinks>
    <vt:vector size="6" baseType="variant">
      <vt:variant>
        <vt:i4>393280</vt:i4>
      </vt:variant>
      <vt:variant>
        <vt:i4>0</vt:i4>
      </vt:variant>
      <vt:variant>
        <vt:i4>0</vt:i4>
      </vt:variant>
      <vt:variant>
        <vt:i4>5</vt:i4>
      </vt:variant>
      <vt:variant>
        <vt:lpwstr>https://recht.nrw.de/lmi/owa/br_bes_text?anw_nr=1&amp;gld_nr=7&amp;ugl_nr=770&amp;bes_id=1978&amp;val=1978&amp;ver=7&amp;sg=0&amp;aufgehoben=N&amp;menu=1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über Anlagen zum Verwenden wassergefährdender Stoffe im Netzbereich der Elektroversorgungsunternehmen</dc:title>
  <dc:creator>LANUV</dc:creator>
  <cp:lastModifiedBy>rueter</cp:lastModifiedBy>
  <cp:revision>2</cp:revision>
  <cp:lastPrinted>2006-11-21T09:55:00Z</cp:lastPrinted>
  <dcterms:created xsi:type="dcterms:W3CDTF">2015-05-12T07:48:00Z</dcterms:created>
  <dcterms:modified xsi:type="dcterms:W3CDTF">2015-05-12T07:48:00Z</dcterms:modified>
</cp:coreProperties>
</file>