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47" w:rsidRDefault="00E93347" w:rsidP="00E93347">
      <w:pPr>
        <w:pStyle w:val="berschrift1"/>
      </w:pPr>
      <w:bookmarkStart w:id="0" w:name="_Toc262205201"/>
      <w:r>
        <w:t>Vollzug der Wassergesetze</w:t>
      </w:r>
      <w:r>
        <w:br/>
        <w:t>Gewässerbenutzun</w:t>
      </w:r>
      <w:bookmarkStart w:id="1" w:name="_GoBack"/>
      <w:bookmarkEnd w:id="1"/>
      <w:r>
        <w:t>g durch Wärmeentzug mittels Wärmepumpen</w:t>
      </w:r>
      <w:bookmarkEnd w:id="0"/>
    </w:p>
    <w:p w:rsidR="00E93347" w:rsidRPr="00D42AC5" w:rsidRDefault="00E93347" w:rsidP="00D42AC5">
      <w:pPr>
        <w:pStyle w:val="GesAbsatz"/>
        <w:jc w:val="center"/>
      </w:pPr>
      <w:r w:rsidRPr="00D42AC5">
        <w:t>RdErl. d. Ministeriums für Ernährung, Landwirtschaft und Forsten</w:t>
      </w:r>
      <w:r w:rsidRPr="00D42AC5">
        <w:br/>
        <w:t>- III A 4 – 672/2-24563/1 –v. 29.</w:t>
      </w:r>
      <w:r w:rsidR="00FC6B3B" w:rsidRPr="00D42AC5">
        <w:t>0</w:t>
      </w:r>
      <w:r w:rsidRPr="00D42AC5">
        <w:t>1.1982</w:t>
      </w:r>
    </w:p>
    <w:p w:rsidR="00E93347" w:rsidRDefault="00CA1E20" w:rsidP="00E93347">
      <w:pPr>
        <w:pStyle w:val="GesAbsatz"/>
      </w:pPr>
      <w:hyperlink r:id="rId7" w:history="1">
        <w:r w:rsidRPr="00CA1E20">
          <w:rPr>
            <w:rStyle w:val="Hyperlink"/>
          </w:rPr>
          <w:t xml:space="preserve">Link zur Vorschrift im </w:t>
        </w:r>
        <w:r w:rsidRPr="00CA1E20">
          <w:rPr>
            <w:rStyle w:val="Hyperlink"/>
          </w:rPr>
          <w:t>S</w:t>
        </w:r>
        <w:r w:rsidRPr="00CA1E20">
          <w:rPr>
            <w:rStyle w:val="Hyperlink"/>
          </w:rPr>
          <w:t>MBl. NRW. 770</w:t>
        </w:r>
      </w:hyperlink>
      <w:r w:rsidR="00FC6B3B">
        <w:t>:</w:t>
      </w:r>
    </w:p>
    <w:p w:rsidR="006D7FF6" w:rsidRPr="00417AE6" w:rsidRDefault="006D7FF6" w:rsidP="006D7FF6">
      <w:pPr>
        <w:pStyle w:val="GesAbsatz"/>
        <w:rPr>
          <w:b/>
          <w:i/>
          <w:color w:val="FF0000"/>
          <w:sz w:val="22"/>
          <w:szCs w:val="22"/>
        </w:rPr>
      </w:pPr>
      <w:r w:rsidRPr="00417AE6">
        <w:rPr>
          <w:b/>
          <w:i/>
          <w:color w:val="FF0000"/>
          <w:sz w:val="22"/>
          <w:szCs w:val="22"/>
        </w:rPr>
        <w:t>Gültig bis 10.08.2012 - aufgehoben durch Erlass vom 13.07.2012 (MBl. NRW. S. 562)</w:t>
      </w:r>
    </w:p>
    <w:p w:rsidR="00E93347" w:rsidRDefault="00E93347" w:rsidP="00E93347">
      <w:pPr>
        <w:pStyle w:val="berschrift2"/>
      </w:pPr>
      <w:bookmarkStart w:id="2" w:name="_Toc262205202"/>
      <w:r>
        <w:t>1</w:t>
      </w:r>
      <w:r>
        <w:br/>
        <w:t>Wasserrechtliche Beurteilung</w:t>
      </w:r>
      <w:bookmarkEnd w:id="2"/>
    </w:p>
    <w:p w:rsidR="00E93347" w:rsidRDefault="00E93347" w:rsidP="00E93347">
      <w:pPr>
        <w:pStyle w:val="GesAbsatz"/>
      </w:pPr>
      <w:r>
        <w:t>Gewässerbenutzungen im Zusammenhang mit Errichtung und Betrieb von Wärmepumpen sind wie folgt rechtlich zu beurteilen: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>1.1 Entnahme von Grundwasser und Wiedereinleitung in das Grundwasser</w:t>
      </w:r>
    </w:p>
    <w:p w:rsidR="00E93347" w:rsidRDefault="00E93347" w:rsidP="00E93347">
      <w:pPr>
        <w:pStyle w:val="GesAbsatz"/>
      </w:pPr>
      <w:r>
        <w:t xml:space="preserve">Die Entnahme von Grundwasser stellt eine Benutzung im Sinne des § 3 Abs. l Nr. 6 Wasserhaushaltsgesetz - WHG </w:t>
      </w:r>
      <w:r w:rsidR="006310FC">
        <w:t>-</w:t>
      </w:r>
      <w:r>
        <w:t xml:space="preserve"> in der Fassung der Bekanntmachung vom 19.</w:t>
      </w:r>
      <w:r w:rsidR="006310FC">
        <w:t xml:space="preserve"> </w:t>
      </w:r>
      <w:r>
        <w:t>August 2002 (BGBl. I S. 3246), in der jeweils gelte</w:t>
      </w:r>
      <w:r>
        <w:t>n</w:t>
      </w:r>
      <w:r>
        <w:t>den Fassung, dar. Sie ist nach § 2 Abs. 1 WHG erlaubnispflichtig. Das Wiedereinleiten von abgekühltem Wasser in das Grundwasser ist ebenfalls eine erlaubnispflichtige Benutzung nach § 3 Abs. 1 Nr. 5 WHG. Die Grundwasserentnahme für den Betrieb einer Wärmepumpe fällt nicht unter die gestattungsfreie Benu</w:t>
      </w:r>
      <w:r>
        <w:t>t</w:t>
      </w:r>
      <w:r>
        <w:t xml:space="preserve">zung nach § 33 Abs. 1 WHG. 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 xml:space="preserve">1.2 Entnahme von Grundwasser und Einleitung in ein oberirdisches Gewässer </w:t>
      </w:r>
    </w:p>
    <w:p w:rsidR="00E93347" w:rsidRDefault="00E93347" w:rsidP="00E93347">
      <w:pPr>
        <w:pStyle w:val="GesAbsatz"/>
      </w:pPr>
      <w:r>
        <w:t>Für die Entnahme des Grundwassers gilt das unter 1.1 Gesagte. Das Einleiten von abgekühltem Grundwa</w:t>
      </w:r>
      <w:r>
        <w:t>s</w:t>
      </w:r>
      <w:r>
        <w:t>ser in ein oberirdisches Gewässer ist eine Benutzung nach § 3 Abs. 1 Nr. 4 WHG. Sie ist erlaubnispflichtig nach § 2 Abs. 1 WHG.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>1.3 Entnahme von Wasser aus einem oberirdischen Gewässer und Wiedereinleiten in ein oberird</w:t>
      </w:r>
      <w:r w:rsidRPr="00E93347">
        <w:rPr>
          <w:b/>
        </w:rPr>
        <w:t>i</w:t>
      </w:r>
      <w:r w:rsidRPr="00E93347">
        <w:rPr>
          <w:b/>
        </w:rPr>
        <w:t>sches G</w:t>
      </w:r>
      <w:r w:rsidRPr="00E93347">
        <w:rPr>
          <w:b/>
        </w:rPr>
        <w:t>e</w:t>
      </w:r>
      <w:r w:rsidRPr="00E93347">
        <w:rPr>
          <w:b/>
        </w:rPr>
        <w:t>wässer</w:t>
      </w:r>
    </w:p>
    <w:p w:rsidR="00E93347" w:rsidRDefault="00E93347" w:rsidP="00E93347">
      <w:pPr>
        <w:pStyle w:val="GesAbsatz"/>
      </w:pPr>
      <w:r>
        <w:t>Die Entnahme von Wasser aus einem oberirdischen Gewässer stellt eine Benutzung nach § 3 Abs. 1 Nr. 1 WHG dar, das Wiedereinleiten des abgekühlten Wassers in ein oberirdisches Gewässer ist eine Benutzung nach § 3 Abs. 1 Nr. 4 WHG. Beide Benutzungen sind erlaubnispflichtig, es sei denn, die Benutzung erfolgt im Rahmen des Eigentümer- oder Anliegergebrauchs nach § 35 Landeswassergesetz - LWG - in der Fa</w:t>
      </w:r>
      <w:r>
        <w:t>s</w:t>
      </w:r>
      <w:r>
        <w:t>sung der Bekanntmachung vom 25. Juni 1995 GV. NRW. S. 926/SGV. NRW. 77), in der jeweils geltenden Fa</w:t>
      </w:r>
      <w:r>
        <w:t>s</w:t>
      </w:r>
      <w:r>
        <w:t>sung, in Verbindung mit § 24 WHG.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>1.4 Entzug von Wärme durch einen in den Grundwasserlei</w:t>
      </w:r>
      <w:r>
        <w:rPr>
          <w:b/>
        </w:rPr>
        <w:t>ter eingebrachten Wärmetauscher</w:t>
      </w:r>
    </w:p>
    <w:p w:rsidR="00E93347" w:rsidRDefault="00E93347" w:rsidP="00E93347">
      <w:pPr>
        <w:pStyle w:val="GesAbsatz"/>
      </w:pPr>
      <w:r>
        <w:t>Es liegt eine erlaubnispflichtige Benutzung nach § 3 Abs. 2 Nr. 2 WHG vor.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>1.5 Entzug von Wärme durch einen in das oberirdische Gewässer ei</w:t>
      </w:r>
      <w:r>
        <w:rPr>
          <w:b/>
        </w:rPr>
        <w:t>ngebrachten Wärmetauscher</w:t>
      </w:r>
    </w:p>
    <w:p w:rsidR="00E93347" w:rsidRDefault="00E93347" w:rsidP="00E93347">
      <w:pPr>
        <w:pStyle w:val="GesAbsatz"/>
      </w:pPr>
      <w:r>
        <w:t>Das Einbringen des Wärmetauschers (Rohrschlangen oder andere Einrichtungen im Gewässer) bedarf einer Genehmigung nach § 99 LWG. Daneben kann auch eine Benutzung nach § 3 Abs. 2 Nr. 2 WHG vorliegen, wenn der Wärmeentzug im Einzelfall geeignet ist, schädliche Veränderungen der physikalischen, chem</w:t>
      </w:r>
      <w:r>
        <w:t>i</w:t>
      </w:r>
      <w:r>
        <w:t>schen oder biologischen Beschaffenheit des Wassers herbeizuführen.</w:t>
      </w:r>
    </w:p>
    <w:p w:rsidR="00E93347" w:rsidRPr="00E93347" w:rsidRDefault="00E93347" w:rsidP="00E93347">
      <w:pPr>
        <w:pStyle w:val="GesAbsatz"/>
        <w:rPr>
          <w:b/>
        </w:rPr>
      </w:pPr>
      <w:r w:rsidRPr="00E93347">
        <w:rPr>
          <w:b/>
        </w:rPr>
        <w:t xml:space="preserve">1.6 Entzug von Wärme aus dem Boden durch </w:t>
      </w:r>
      <w:r>
        <w:rPr>
          <w:b/>
        </w:rPr>
        <w:t>im Boden verlegte Wärmetauscher</w:t>
      </w:r>
    </w:p>
    <w:p w:rsidR="00E93347" w:rsidRDefault="00E93347" w:rsidP="00E93347">
      <w:pPr>
        <w:pStyle w:val="GesAbsatz"/>
      </w:pPr>
      <w:r>
        <w:t>Es ist im Einzelfall zu prüfen, ob eine Benutzung nach § 3 Abs. 2 Nr. 2 WHG vorliegt. Maßgebend ist dabei der Grad einer möglichen Grundwassergefährdung. Von einer erlaubnispflichtigen Benutzung muss ausg</w:t>
      </w:r>
      <w:r>
        <w:t>e</w:t>
      </w:r>
      <w:r>
        <w:t>gangen werden, wenn Beeinträchtigungen der Grundwasserströmung oder der Versickerungsmöglichkeit von Oberflächenwasser durch den während einer längeren Zeit der Heizungsperiode auftretenden „Perm</w:t>
      </w:r>
      <w:r>
        <w:t>a</w:t>
      </w:r>
      <w:r>
        <w:t>frost" im bodennahen Bereich zu befürchten sind. Soweit Erdwärmesonden in das Grundwasser eingebracht we</w:t>
      </w:r>
      <w:r>
        <w:t>r</w:t>
      </w:r>
      <w:r>
        <w:t>den, gilt das unter 1.4 Gesagte.</w:t>
      </w:r>
    </w:p>
    <w:p w:rsidR="00E93347" w:rsidRDefault="00E93347" w:rsidP="00E93347">
      <w:pPr>
        <w:pStyle w:val="berschrift2"/>
      </w:pPr>
      <w:bookmarkStart w:id="3" w:name="_Toc262205203"/>
      <w:r>
        <w:t>2</w:t>
      </w:r>
      <w:r>
        <w:br/>
        <w:t>Wasserwirtschaftliche Beurteilung</w:t>
      </w:r>
      <w:bookmarkEnd w:id="3"/>
    </w:p>
    <w:p w:rsidR="00E93347" w:rsidRDefault="00E93347" w:rsidP="00E93347">
      <w:pPr>
        <w:pStyle w:val="GesAbsatz"/>
      </w:pPr>
      <w:r w:rsidRPr="00E93347">
        <w:rPr>
          <w:b/>
        </w:rPr>
        <w:t>2.1</w:t>
      </w:r>
      <w:r>
        <w:t xml:space="preserve"> Die Nutzung von Gewässern zur Trinkwasserversorgung hat grundsätzlich Vorrang vor einer Nutzung zur Energieversorgung mittels Wärmepumpen. Wärmepumpen sind deshalb in Wasserschutzgebieten und Heilquellenschutzgebieten grundsätzlich nicht zulässig; sie können jedoch unter besonderen Schutzvorke</w:t>
      </w:r>
      <w:r>
        <w:t>h</w:t>
      </w:r>
      <w:r>
        <w:t>rungen in der Schutzzone III zugelassen werden.</w:t>
      </w:r>
    </w:p>
    <w:p w:rsidR="00E93347" w:rsidRDefault="00E93347" w:rsidP="00E93347">
      <w:pPr>
        <w:pStyle w:val="GesAbsatz"/>
      </w:pPr>
      <w:r w:rsidRPr="00E93347">
        <w:rPr>
          <w:b/>
        </w:rPr>
        <w:t>2.2</w:t>
      </w:r>
      <w:r>
        <w:t xml:space="preserve"> Bau und Betrieb von Brunnen oder Einbringen und Betrieb von Wärmetauschern haben so zu erfolgen, dass schädliche Verunreinigungen des Grundwassers oder eine nachteilige Veränderung seiner Eigenscha</w:t>
      </w:r>
      <w:r>
        <w:t>f</w:t>
      </w:r>
      <w:r>
        <w:lastRenderedPageBreak/>
        <w:t>ten verhindert werden. Das Einleiten von abgekühltem Wasser bis zu einer Temperatur von 4°C lässt eine nachteilige Veränderung der biologischen oder chemischen Grundwasserbeschaffenheit nicht erwarten.</w:t>
      </w:r>
    </w:p>
    <w:p w:rsidR="00E93347" w:rsidRDefault="00E93347" w:rsidP="00E93347">
      <w:pPr>
        <w:pStyle w:val="GesAbsatz"/>
      </w:pPr>
      <w:r w:rsidRPr="00E93347">
        <w:rPr>
          <w:b/>
        </w:rPr>
        <w:t>2.3</w:t>
      </w:r>
      <w:r>
        <w:t xml:space="preserve"> Zur Vermeidung von Beeinträchtigungen des Grundwasserhaushalts ist das entnommene Wasser dem Grundwasserleiter wieder zuzuführen, dem es entnommen wird.</w:t>
      </w:r>
    </w:p>
    <w:p w:rsidR="00E93347" w:rsidRDefault="00E93347" w:rsidP="00E93347">
      <w:pPr>
        <w:pStyle w:val="GesAbsatz"/>
      </w:pPr>
      <w:r w:rsidRPr="00E93347">
        <w:rPr>
          <w:b/>
        </w:rPr>
        <w:t>2.4</w:t>
      </w:r>
      <w:r>
        <w:t xml:space="preserve"> Der Verockerung ist bei eisen- und manganhaltigem Grundwasser durch entsprechende bauliche und betriebliche Maßnahmen entgegenzuwirken. Das Einbringen von Chemikalien in das Grundwasser zur Brunnenregenerierung ist erlaubnispflichtig.</w:t>
      </w:r>
    </w:p>
    <w:p w:rsidR="00E93347" w:rsidRDefault="00E93347" w:rsidP="00E93347">
      <w:pPr>
        <w:pStyle w:val="GesAbsatz"/>
      </w:pPr>
      <w:r w:rsidRPr="00E93347">
        <w:rPr>
          <w:b/>
        </w:rPr>
        <w:t>2.5</w:t>
      </w:r>
      <w:r>
        <w:t xml:space="preserve"> Es sind Vorkehrungen zu treffen, dass das aus beschädigten oder undichten Rohrleitungen und Wärm</w:t>
      </w:r>
      <w:r>
        <w:t>e</w:t>
      </w:r>
      <w:r>
        <w:t>tauschern evtl. austretende Arbeitsmittel (Kältemittel und Maschinenöle) oder Wärmeträgerflüssigkeit (Sole) nicht in das Grundwasser gelangen kann. Leckagen müssen angezeigt werden. Zusätzliche Schutzma</w:t>
      </w:r>
      <w:r>
        <w:t>ß</w:t>
      </w:r>
      <w:r>
        <w:t>nahmen sind erforderlich (z.B. Tertiärwärmetauscher oder Druckbarrieren), wenn Ammoniak oder Schwefe</w:t>
      </w:r>
      <w:r>
        <w:t>l</w:t>
      </w:r>
      <w:r>
        <w:t>dioxid als Arbeitsmittel verwendet werden. In Wasserschutzgebieten dürfen nur Sicherheitskältemittel in Verbindung mit zusätzlichen Schutzmaßnahmen (z.B. Schnellabschaltung, Tertiärwärmetauscher oder Druckbarri</w:t>
      </w:r>
      <w:r>
        <w:t>e</w:t>
      </w:r>
      <w:r>
        <w:t>ren) gebraucht werden.</w:t>
      </w:r>
    </w:p>
    <w:p w:rsidR="00E93347" w:rsidRDefault="00E93347" w:rsidP="00E93347">
      <w:pPr>
        <w:pStyle w:val="berschrift2"/>
      </w:pPr>
      <w:bookmarkStart w:id="4" w:name="_Toc262205204"/>
      <w:r>
        <w:t>3</w:t>
      </w:r>
      <w:r>
        <w:br/>
        <w:t>Wasserrechtliches Verfahren</w:t>
      </w:r>
      <w:bookmarkEnd w:id="4"/>
    </w:p>
    <w:p w:rsidR="00E93347" w:rsidRDefault="00E93347" w:rsidP="00E93347">
      <w:pPr>
        <w:pStyle w:val="GesAbsatz"/>
      </w:pPr>
      <w:r>
        <w:t>Eine wasserrechtliche Erlaubnis für Gewässerbenutzungen wird nur auf Antrag erteilt. Dem Antrag sind die für die Beurteilung der Gewässerbenutzungen notwendigen Unterlagen beizufügen.</w:t>
      </w:r>
    </w:p>
    <w:p w:rsidR="00E93347" w:rsidRDefault="00E93347" w:rsidP="00E93347">
      <w:pPr>
        <w:pStyle w:val="GesAbsatz"/>
      </w:pPr>
      <w:r>
        <w:t>Dazu gehören insbesondere:</w:t>
      </w:r>
    </w:p>
    <w:p w:rsidR="00E93347" w:rsidRDefault="00E93347" w:rsidP="00E93347">
      <w:pPr>
        <w:pStyle w:val="GesAbsatz"/>
        <w:ind w:left="426" w:hanging="426"/>
      </w:pPr>
      <w:r>
        <w:t>-</w:t>
      </w:r>
      <w:r>
        <w:tab/>
        <w:t>ein Erläuterungsbericht, aus dem die Beschreibung des Vorhabens ersichtlich ist (z.B. Art, Umfang, Funktion und Betriebsweise der Anlage, zur Verwendung kommende Materialien für alle Teile der Anl</w:t>
      </w:r>
      <w:r>
        <w:t>a</w:t>
      </w:r>
      <w:r>
        <w:t>ge, Sicherheitseinrichtungen, Mess- und Kontrolleinrichtungen). Zu dem Erläuterungsbericht gehört auch eine Ko</w:t>
      </w:r>
      <w:r>
        <w:t>n</w:t>
      </w:r>
      <w:r>
        <w:t>struktionszeichnung mit dem Schema der Gesamtanlage;</w:t>
      </w:r>
    </w:p>
    <w:p w:rsidR="00E93347" w:rsidRDefault="00E93347" w:rsidP="00E93347">
      <w:pPr>
        <w:pStyle w:val="GesAbsatz"/>
        <w:ind w:left="426" w:hanging="426"/>
      </w:pPr>
      <w:r>
        <w:t>-</w:t>
      </w:r>
      <w:r>
        <w:tab/>
        <w:t>Nachweis des Wärmeenergiebedarfs, Angabe der Wärmepumpenleistung in kW und ihrer Grundwa</w:t>
      </w:r>
      <w:r>
        <w:t>s</w:t>
      </w:r>
      <w:r>
        <w:t>serentnahme in m³/h, Berechnung der Jahresgrundwasserentnahmesumme auf der Grundlage der stündlichen Grundwasserentnahme und der erwarteten maximalen Jahresbetriebsstundenzahl der Wärmepumpe;</w:t>
      </w:r>
    </w:p>
    <w:p w:rsidR="00E93347" w:rsidRDefault="00E93347" w:rsidP="00E93347">
      <w:pPr>
        <w:pStyle w:val="GesAbsatz"/>
        <w:ind w:left="426" w:hanging="426"/>
      </w:pPr>
      <w:r>
        <w:t>-</w:t>
      </w:r>
      <w:r>
        <w:tab/>
        <w:t>ein Lageplan (Auszug aus dem Liegenschaftskataster Maßstab 1</w:t>
      </w:r>
      <w:r w:rsidR="006310FC">
        <w:t xml:space="preserve"> </w:t>
      </w:r>
      <w:r>
        <w:t>:</w:t>
      </w:r>
      <w:r w:rsidR="006310FC">
        <w:t xml:space="preserve"> </w:t>
      </w:r>
      <w:r>
        <w:t>500) sowie ein Übersichtsplan im Maßstab 1</w:t>
      </w:r>
      <w:r w:rsidR="006310FC">
        <w:t xml:space="preserve"> </w:t>
      </w:r>
      <w:r>
        <w:t>:</w:t>
      </w:r>
      <w:r w:rsidR="006310FC">
        <w:t xml:space="preserve"> </w:t>
      </w:r>
      <w:r>
        <w:t>25</w:t>
      </w:r>
      <w:r w:rsidR="006310FC">
        <w:t>.</w:t>
      </w:r>
      <w:r>
        <w:t>000; Eintragung der Anlage (einschließlich Entnahme- und Schluckbrunnen, Rohrleitu</w:t>
      </w:r>
      <w:r>
        <w:t>n</w:t>
      </w:r>
      <w:r>
        <w:t>gen, Wärm</w:t>
      </w:r>
      <w:r>
        <w:t>e</w:t>
      </w:r>
      <w:r>
        <w:t>pumpe).</w:t>
      </w:r>
    </w:p>
    <w:sectPr w:rsidR="00E93347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1B" w:rsidRDefault="001A131B">
      <w:r>
        <w:separator/>
      </w:r>
    </w:p>
  </w:endnote>
  <w:endnote w:type="continuationSeparator" w:id="0">
    <w:p w:rsidR="001A131B" w:rsidRDefault="001A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Default="006242A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242A7" w:rsidRDefault="006242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Default="006242A7" w:rsidP="00DC1020">
    <w:pPr>
      <w:pStyle w:val="Fuzeile"/>
      <w:tabs>
        <w:tab w:val="clear" w:pos="9639"/>
        <w:tab w:val="right" w:pos="9498"/>
      </w:tabs>
      <w:ind w:right="140"/>
    </w:pPr>
    <w:r>
      <w:tab/>
    </w:r>
    <w:r w:rsidR="00E93347">
      <w:t>Stand 29.01.1982 (MBl. NRW: S. 374 / SMBl. NRW. 770)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 w:rsidR="00D42A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1B" w:rsidRDefault="001A131B">
      <w:r>
        <w:separator/>
      </w:r>
    </w:p>
  </w:footnote>
  <w:footnote w:type="continuationSeparator" w:id="0">
    <w:p w:rsidR="001A131B" w:rsidRDefault="001A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A7" w:rsidRDefault="006D7FF6" w:rsidP="00D42AC5">
    <w:pPr>
      <w:pStyle w:val="Kopfzeile0"/>
    </w:pPr>
    <w:r>
      <w:t>Archiv7.43</w:t>
    </w:r>
  </w:p>
  <w:p w:rsidR="006242A7" w:rsidRDefault="006242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47"/>
    <w:rsid w:val="0001451A"/>
    <w:rsid w:val="00077EF0"/>
    <w:rsid w:val="00093D90"/>
    <w:rsid w:val="000B208E"/>
    <w:rsid w:val="00150B0A"/>
    <w:rsid w:val="001715DF"/>
    <w:rsid w:val="001A131B"/>
    <w:rsid w:val="001C1083"/>
    <w:rsid w:val="00243AFC"/>
    <w:rsid w:val="002B3267"/>
    <w:rsid w:val="002D5542"/>
    <w:rsid w:val="003114DF"/>
    <w:rsid w:val="00313F0C"/>
    <w:rsid w:val="003A6E25"/>
    <w:rsid w:val="003B24A9"/>
    <w:rsid w:val="00404262"/>
    <w:rsid w:val="00406F32"/>
    <w:rsid w:val="00412824"/>
    <w:rsid w:val="004472F3"/>
    <w:rsid w:val="00463F31"/>
    <w:rsid w:val="004964D0"/>
    <w:rsid w:val="004F2A9F"/>
    <w:rsid w:val="00557465"/>
    <w:rsid w:val="00593E4E"/>
    <w:rsid w:val="006242A7"/>
    <w:rsid w:val="006310FC"/>
    <w:rsid w:val="0063668C"/>
    <w:rsid w:val="00666321"/>
    <w:rsid w:val="00674F69"/>
    <w:rsid w:val="00697151"/>
    <w:rsid w:val="006D0AB0"/>
    <w:rsid w:val="006D7FF6"/>
    <w:rsid w:val="006F7DCB"/>
    <w:rsid w:val="007C6FF5"/>
    <w:rsid w:val="007F5C17"/>
    <w:rsid w:val="008B789C"/>
    <w:rsid w:val="008C72C6"/>
    <w:rsid w:val="008D6200"/>
    <w:rsid w:val="00963345"/>
    <w:rsid w:val="0098598C"/>
    <w:rsid w:val="00A95D02"/>
    <w:rsid w:val="00AB20F7"/>
    <w:rsid w:val="00B2693D"/>
    <w:rsid w:val="00B466D3"/>
    <w:rsid w:val="00CA1E20"/>
    <w:rsid w:val="00D42AC5"/>
    <w:rsid w:val="00D750EF"/>
    <w:rsid w:val="00D86C52"/>
    <w:rsid w:val="00DB2935"/>
    <w:rsid w:val="00DC1020"/>
    <w:rsid w:val="00E03BB2"/>
    <w:rsid w:val="00E751D6"/>
    <w:rsid w:val="00E93347"/>
    <w:rsid w:val="00EB5006"/>
    <w:rsid w:val="00F61E0B"/>
    <w:rsid w:val="00F762F4"/>
    <w:rsid w:val="00FC6B3B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2AC5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D42AC5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D42AC5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D42AC5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D42AC5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D42AC5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D42AC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42AC5"/>
  </w:style>
  <w:style w:type="paragraph" w:styleId="Kopfzeile">
    <w:name w:val="header"/>
    <w:basedOn w:val="Standard"/>
    <w:qFormat/>
    <w:rsid w:val="00D42AC5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D42AC5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D42AC5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D42AC5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D42AC5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D42AC5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D42AC5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D42AC5"/>
    <w:rPr>
      <w:color w:val="0000FF"/>
      <w:u w:val="single"/>
    </w:rPr>
  </w:style>
  <w:style w:type="character" w:styleId="BesuchterHyperlink">
    <w:name w:val="FollowedHyperlink"/>
    <w:basedOn w:val="Absatz-Standardschriftart"/>
    <w:rsid w:val="00CA1E20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D42AC5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2AC5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D42AC5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D42AC5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D42AC5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D42AC5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D42AC5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D42AC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42AC5"/>
  </w:style>
  <w:style w:type="paragraph" w:styleId="Kopfzeile">
    <w:name w:val="header"/>
    <w:basedOn w:val="Standard"/>
    <w:qFormat/>
    <w:rsid w:val="00D42AC5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D42AC5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D42AC5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D42AC5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D42AC5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D42AC5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D42AC5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D42AC5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D42AC5"/>
    <w:rPr>
      <w:color w:val="0000FF"/>
      <w:u w:val="single"/>
    </w:rPr>
  </w:style>
  <w:style w:type="character" w:styleId="BesuchterHyperlink">
    <w:name w:val="FollowedHyperlink"/>
    <w:basedOn w:val="Absatz-Standardschriftart"/>
    <w:rsid w:val="00CA1E20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D42AC5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v.recht.nrw.de/lmi/owa/br_bes_text?anw_nr=1&amp;gld_nr=7&amp;ugl_nr=770&amp;bes_id=1974&amp;val=1974&amp;ver=7&amp;sg=0&amp;aufgehoben=J&amp;menu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814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Vollzug der Wassergesetze</vt:lpstr>
    </vt:vector>
  </TitlesOfParts>
  <Company>LANUV NRW</Company>
  <LinksUpToDate>false</LinksUpToDate>
  <CharactersWithSpaces>6293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https://lv.recht.nrw.de/lmi/owa/br_bes_text?anw_nr=1&amp;gld_nr=7&amp;ugl_nr=770&amp;bes_id=1974&amp;val=1974&amp;ver=7&amp;sg=0&amp;aufgehoben=N&amp;menu=1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Vollzug der Wassergesetze</dc:title>
  <dc:creator>Np</dc:creator>
  <cp:lastModifiedBy>rueter</cp:lastModifiedBy>
  <cp:revision>2</cp:revision>
  <cp:lastPrinted>2004-12-14T11:08:00Z</cp:lastPrinted>
  <dcterms:created xsi:type="dcterms:W3CDTF">2016-09-21T06:51:00Z</dcterms:created>
  <dcterms:modified xsi:type="dcterms:W3CDTF">2016-09-21T06:51:00Z</dcterms:modified>
</cp:coreProperties>
</file>