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D30" w:rsidRPr="00A54E03" w:rsidRDefault="00486D30" w:rsidP="00A54E03">
      <w:pPr>
        <w:pStyle w:val="berschrift1"/>
      </w:pPr>
      <w:bookmarkStart w:id="0" w:name="_Toc464822888"/>
      <w:r w:rsidRPr="00A54E03">
        <w:t xml:space="preserve">Richtlinie </w:t>
      </w:r>
      <w:hyperlink r:id="rId7" w:history="1">
        <w:r w:rsidR="00A54E03" w:rsidRPr="00EE0E56">
          <w:rPr>
            <w:rStyle w:val="Hyperlink"/>
          </w:rPr>
          <w:t>76/464/EWG</w:t>
        </w:r>
      </w:hyperlink>
      <w:r w:rsidR="00A54E03" w:rsidRPr="00A54E03">
        <w:t xml:space="preserve"> </w:t>
      </w:r>
      <w:r w:rsidRPr="00A54E03">
        <w:t xml:space="preserve">des Rates vom </w:t>
      </w:r>
      <w:smartTag w:uri="urn:schemas-microsoft-com:office:smarttags" w:element="date">
        <w:smartTagPr>
          <w:attr w:name="Year" w:val="1976"/>
          <w:attr w:name="Day" w:val="4"/>
          <w:attr w:name="Month" w:val="5"/>
          <w:attr w:name="ls" w:val="trans"/>
        </w:smartTagPr>
        <w:r w:rsidRPr="00A54E03">
          <w:t>4. Mai 1976</w:t>
        </w:r>
      </w:smartTag>
      <w:r w:rsidRPr="00A54E03">
        <w:t xml:space="preserve"> betreffend die Ve</w:t>
      </w:r>
      <w:r w:rsidRPr="00A54E03">
        <w:t>r</w:t>
      </w:r>
      <w:r w:rsidRPr="00A54E03">
        <w:t>schmutzung infolge der Ableitung bestimmter gefährlicher Stoffe in die Gewäss</w:t>
      </w:r>
      <w:bookmarkStart w:id="1" w:name="_GoBack"/>
      <w:bookmarkEnd w:id="1"/>
      <w:r w:rsidRPr="00A54E03">
        <w:t>er der Gemeinschaft</w:t>
      </w:r>
      <w:bookmarkEnd w:id="0"/>
    </w:p>
    <w:p w:rsidR="008E7A14" w:rsidRPr="008E7A14" w:rsidRDefault="008E7A14" w:rsidP="00A54E03">
      <w:pPr>
        <w:pStyle w:val="GesAbsatz"/>
      </w:pPr>
      <w:r w:rsidRPr="00BF72DA">
        <w:rPr>
          <w:b/>
          <w:sz w:val="22"/>
          <w:szCs w:val="22"/>
        </w:rPr>
        <w:t>Änderungen:</w:t>
      </w:r>
      <w:r>
        <w:t xml:space="preserve"> </w:t>
      </w:r>
      <w:hyperlink r:id="rId8" w:history="1">
        <w:r w:rsidRPr="00FF3C77">
          <w:rPr>
            <w:rStyle w:val="Hyperlink"/>
          </w:rPr>
          <w:t>91/692/EWG</w:t>
        </w:r>
      </w:hyperlink>
      <w:r>
        <w:t xml:space="preserve"> ABl. L 377 v. 31.12. 1991 S. 48; </w:t>
      </w:r>
      <w:r w:rsidR="004F6E47">
        <w:t xml:space="preserve">Verordnung </w:t>
      </w:r>
      <w:hyperlink r:id="rId9" w:history="1">
        <w:r w:rsidRPr="00A41D44">
          <w:rPr>
            <w:rStyle w:val="Hyperlink"/>
          </w:rPr>
          <w:t>2000/60/</w:t>
        </w:r>
        <w:r w:rsidRPr="00A41D44">
          <w:rPr>
            <w:rStyle w:val="Hyperlink"/>
          </w:rPr>
          <w:t>E</w:t>
        </w:r>
        <w:r w:rsidRPr="00A41D44">
          <w:rPr>
            <w:rStyle w:val="Hyperlink"/>
          </w:rPr>
          <w:t>G</w:t>
        </w:r>
      </w:hyperlink>
      <w:r>
        <w:t xml:space="preserve"> ABl. L 327 v. </w:t>
      </w:r>
      <w:smartTag w:uri="urn:schemas-microsoft-com:office:smarttags" w:element="date">
        <w:smartTagPr>
          <w:attr w:name="Year" w:val="2000"/>
          <w:attr w:name="Day" w:val="22"/>
          <w:attr w:name="Month" w:val="12"/>
          <w:attr w:name="ls" w:val="trans"/>
        </w:smartTagPr>
        <w:r>
          <w:t>22.12.2000</w:t>
        </w:r>
      </w:smartTag>
      <w:r>
        <w:t xml:space="preserve"> S. 1;</w:t>
      </w:r>
    </w:p>
    <w:p w:rsidR="00486D30" w:rsidRPr="00A54E03" w:rsidRDefault="00A54E03" w:rsidP="00A54E03">
      <w:pPr>
        <w:pStyle w:val="GesAbsatz"/>
        <w:rPr>
          <w:b/>
          <w:i/>
          <w:color w:val="FF0000"/>
        </w:rPr>
      </w:pPr>
      <w:r w:rsidRPr="00A54E03">
        <w:rPr>
          <w:b/>
          <w:i/>
          <w:color w:val="FF0000"/>
        </w:rPr>
        <w:t>G</w:t>
      </w:r>
      <w:r w:rsidR="001A5C26" w:rsidRPr="00A54E03">
        <w:rPr>
          <w:b/>
          <w:i/>
          <w:color w:val="FF0000"/>
        </w:rPr>
        <w:t>ültig bis 23.</w:t>
      </w:r>
      <w:r w:rsidRPr="00A54E03">
        <w:rPr>
          <w:b/>
          <w:i/>
          <w:color w:val="FF0000"/>
        </w:rPr>
        <w:t>0</w:t>
      </w:r>
      <w:r w:rsidR="001A5C26" w:rsidRPr="00A54E03">
        <w:rPr>
          <w:b/>
          <w:i/>
          <w:color w:val="FF0000"/>
        </w:rPr>
        <w:t xml:space="preserve">3.2006 gemäß Art. 13 der Richtlinie </w:t>
      </w:r>
      <w:r w:rsidR="001A5C26" w:rsidRPr="00A54E03">
        <w:rPr>
          <w:b/>
          <w:i/>
          <w:color w:val="FF0000"/>
          <w:sz w:val="22"/>
          <w:szCs w:val="22"/>
        </w:rPr>
        <w:t>200</w:t>
      </w:r>
      <w:r w:rsidR="001A5C26" w:rsidRPr="00A54E03">
        <w:rPr>
          <w:b/>
          <w:i/>
          <w:color w:val="FF0000"/>
          <w:sz w:val="22"/>
          <w:szCs w:val="22"/>
        </w:rPr>
        <w:t>6</w:t>
      </w:r>
      <w:r w:rsidR="001A5C26" w:rsidRPr="00A54E03">
        <w:rPr>
          <w:b/>
          <w:i/>
          <w:color w:val="FF0000"/>
          <w:sz w:val="22"/>
          <w:szCs w:val="22"/>
        </w:rPr>
        <w:t>/</w:t>
      </w:r>
      <w:r w:rsidR="001A5C26" w:rsidRPr="00A54E03">
        <w:rPr>
          <w:b/>
          <w:i/>
          <w:color w:val="FF0000"/>
          <w:sz w:val="22"/>
          <w:szCs w:val="22"/>
        </w:rPr>
        <w:t>1</w:t>
      </w:r>
      <w:r w:rsidR="001A5C26" w:rsidRPr="00A54E03">
        <w:rPr>
          <w:b/>
          <w:i/>
          <w:color w:val="FF0000"/>
          <w:sz w:val="22"/>
          <w:szCs w:val="22"/>
        </w:rPr>
        <w:t>1/EG</w:t>
      </w:r>
      <w:r w:rsidR="001A5C26" w:rsidRPr="00A54E03">
        <w:rPr>
          <w:b/>
          <w:i/>
          <w:color w:val="FF0000"/>
        </w:rPr>
        <w:t>.</w:t>
      </w:r>
    </w:p>
    <w:p w:rsidR="00A54E03" w:rsidRPr="00A54E03" w:rsidRDefault="00A54E03" w:rsidP="00A54E03">
      <w:pPr>
        <w:pStyle w:val="GesAbsatz"/>
        <w:rPr>
          <w:b/>
        </w:rPr>
      </w:pPr>
    </w:p>
    <w:p w:rsidR="00486D30" w:rsidRDefault="00486D30">
      <w:pPr>
        <w:pStyle w:val="GesAbsatz"/>
        <w:jc w:val="center"/>
        <w:rPr>
          <w:b/>
          <w:sz w:val="22"/>
        </w:rPr>
      </w:pPr>
      <w:r>
        <w:rPr>
          <w:b/>
          <w:sz w:val="22"/>
        </w:rPr>
        <w:t>Inhalt:</w:t>
      </w:r>
    </w:p>
    <w:p w:rsidR="00A54E03" w:rsidRDefault="008E7A14">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bCs/>
        </w:rPr>
        <w:fldChar w:fldCharType="begin"/>
      </w:r>
      <w:r>
        <w:rPr>
          <w:bCs/>
        </w:rPr>
        <w:instrText xml:space="preserve"> TOC \o "1-3" </w:instrText>
      </w:r>
      <w:r>
        <w:rPr>
          <w:bCs/>
        </w:rPr>
        <w:fldChar w:fldCharType="separate"/>
      </w:r>
      <w:r w:rsidR="00A54E03">
        <w:rPr>
          <w:noProof/>
        </w:rPr>
        <w:t>Richtlinie 76/464/EWG</w:t>
      </w:r>
      <w:r w:rsidR="00A54E03">
        <w:rPr>
          <w:noProof/>
        </w:rPr>
        <w:tab/>
      </w:r>
      <w:r w:rsidR="00A54E03">
        <w:rPr>
          <w:noProof/>
        </w:rPr>
        <w:fldChar w:fldCharType="begin"/>
      </w:r>
      <w:r w:rsidR="00A54E03">
        <w:rPr>
          <w:noProof/>
        </w:rPr>
        <w:instrText xml:space="preserve"> PAGEREF _Toc464822888 \h </w:instrText>
      </w:r>
      <w:r w:rsidR="00A54E03">
        <w:rPr>
          <w:noProof/>
        </w:rPr>
      </w:r>
      <w:r w:rsidR="00A54E03">
        <w:rPr>
          <w:noProof/>
        </w:rPr>
        <w:fldChar w:fldCharType="separate"/>
      </w:r>
      <w:r w:rsidR="00A54E03">
        <w:rPr>
          <w:noProof/>
        </w:rPr>
        <w:t>1</w:t>
      </w:r>
      <w:r w:rsidR="00A54E03">
        <w:rPr>
          <w:noProof/>
        </w:rPr>
        <w:fldChar w:fldCharType="end"/>
      </w:r>
    </w:p>
    <w:p w:rsidR="00A54E03" w:rsidRDefault="00A54E03">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rPr>
        <w:t>Artikel 1</w:t>
      </w:r>
      <w:r>
        <w:rPr>
          <w:noProof/>
        </w:rPr>
        <w:tab/>
      </w:r>
      <w:r>
        <w:rPr>
          <w:noProof/>
        </w:rPr>
        <w:fldChar w:fldCharType="begin"/>
      </w:r>
      <w:r>
        <w:rPr>
          <w:noProof/>
        </w:rPr>
        <w:instrText xml:space="preserve"> PAGEREF _Toc464822889 \h </w:instrText>
      </w:r>
      <w:r>
        <w:rPr>
          <w:noProof/>
        </w:rPr>
      </w:r>
      <w:r>
        <w:rPr>
          <w:noProof/>
        </w:rPr>
        <w:fldChar w:fldCharType="separate"/>
      </w:r>
      <w:r>
        <w:rPr>
          <w:noProof/>
        </w:rPr>
        <w:t>2</w:t>
      </w:r>
      <w:r>
        <w:rPr>
          <w:noProof/>
        </w:rPr>
        <w:fldChar w:fldCharType="end"/>
      </w:r>
    </w:p>
    <w:p w:rsidR="00A54E03" w:rsidRDefault="00A54E03">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rPr>
        <w:t>Artikel 2</w:t>
      </w:r>
      <w:r>
        <w:rPr>
          <w:noProof/>
        </w:rPr>
        <w:tab/>
      </w:r>
      <w:r>
        <w:rPr>
          <w:noProof/>
        </w:rPr>
        <w:fldChar w:fldCharType="begin"/>
      </w:r>
      <w:r>
        <w:rPr>
          <w:noProof/>
        </w:rPr>
        <w:instrText xml:space="preserve"> PAGEREF _Toc464822890 \h </w:instrText>
      </w:r>
      <w:r>
        <w:rPr>
          <w:noProof/>
        </w:rPr>
      </w:r>
      <w:r>
        <w:rPr>
          <w:noProof/>
        </w:rPr>
        <w:fldChar w:fldCharType="separate"/>
      </w:r>
      <w:r>
        <w:rPr>
          <w:noProof/>
        </w:rPr>
        <w:t>3</w:t>
      </w:r>
      <w:r>
        <w:rPr>
          <w:noProof/>
        </w:rPr>
        <w:fldChar w:fldCharType="end"/>
      </w:r>
    </w:p>
    <w:p w:rsidR="00A54E03" w:rsidRDefault="00A54E03">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rPr>
        <w:t>Artikel 3</w:t>
      </w:r>
      <w:r>
        <w:rPr>
          <w:noProof/>
        </w:rPr>
        <w:tab/>
      </w:r>
      <w:r>
        <w:rPr>
          <w:noProof/>
        </w:rPr>
        <w:fldChar w:fldCharType="begin"/>
      </w:r>
      <w:r>
        <w:rPr>
          <w:noProof/>
        </w:rPr>
        <w:instrText xml:space="preserve"> PAGEREF _Toc464822891 \h </w:instrText>
      </w:r>
      <w:r>
        <w:rPr>
          <w:noProof/>
        </w:rPr>
      </w:r>
      <w:r>
        <w:rPr>
          <w:noProof/>
        </w:rPr>
        <w:fldChar w:fldCharType="separate"/>
      </w:r>
      <w:r>
        <w:rPr>
          <w:noProof/>
        </w:rPr>
        <w:t>3</w:t>
      </w:r>
      <w:r>
        <w:rPr>
          <w:noProof/>
        </w:rPr>
        <w:fldChar w:fldCharType="end"/>
      </w:r>
    </w:p>
    <w:p w:rsidR="00A54E03" w:rsidRDefault="00A54E03">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rPr>
        <w:t>Artikel 4</w:t>
      </w:r>
      <w:r>
        <w:rPr>
          <w:noProof/>
        </w:rPr>
        <w:tab/>
      </w:r>
      <w:r>
        <w:rPr>
          <w:noProof/>
        </w:rPr>
        <w:fldChar w:fldCharType="begin"/>
      </w:r>
      <w:r>
        <w:rPr>
          <w:noProof/>
        </w:rPr>
        <w:instrText xml:space="preserve"> PAGEREF _Toc464822892 \h </w:instrText>
      </w:r>
      <w:r>
        <w:rPr>
          <w:noProof/>
        </w:rPr>
      </w:r>
      <w:r>
        <w:rPr>
          <w:noProof/>
        </w:rPr>
        <w:fldChar w:fldCharType="separate"/>
      </w:r>
      <w:r>
        <w:rPr>
          <w:noProof/>
        </w:rPr>
        <w:t>3</w:t>
      </w:r>
      <w:r>
        <w:rPr>
          <w:noProof/>
        </w:rPr>
        <w:fldChar w:fldCharType="end"/>
      </w:r>
    </w:p>
    <w:p w:rsidR="00A54E03" w:rsidRDefault="00A54E03">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rPr>
        <w:t>Artikel 5</w:t>
      </w:r>
      <w:r>
        <w:rPr>
          <w:noProof/>
        </w:rPr>
        <w:tab/>
      </w:r>
      <w:r>
        <w:rPr>
          <w:noProof/>
        </w:rPr>
        <w:fldChar w:fldCharType="begin"/>
      </w:r>
      <w:r>
        <w:rPr>
          <w:noProof/>
        </w:rPr>
        <w:instrText xml:space="preserve"> PAGEREF _Toc464822893 \h </w:instrText>
      </w:r>
      <w:r>
        <w:rPr>
          <w:noProof/>
        </w:rPr>
      </w:r>
      <w:r>
        <w:rPr>
          <w:noProof/>
        </w:rPr>
        <w:fldChar w:fldCharType="separate"/>
      </w:r>
      <w:r>
        <w:rPr>
          <w:noProof/>
        </w:rPr>
        <w:t>4</w:t>
      </w:r>
      <w:r>
        <w:rPr>
          <w:noProof/>
        </w:rPr>
        <w:fldChar w:fldCharType="end"/>
      </w:r>
    </w:p>
    <w:p w:rsidR="00A54E03" w:rsidRDefault="00A54E03">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rPr>
        <w:t>Artikel 6</w:t>
      </w:r>
      <w:r>
        <w:rPr>
          <w:noProof/>
        </w:rPr>
        <w:tab/>
      </w:r>
      <w:r>
        <w:rPr>
          <w:noProof/>
        </w:rPr>
        <w:fldChar w:fldCharType="begin"/>
      </w:r>
      <w:r>
        <w:rPr>
          <w:noProof/>
        </w:rPr>
        <w:instrText xml:space="preserve"> PAGEREF _Toc464822894 \h </w:instrText>
      </w:r>
      <w:r>
        <w:rPr>
          <w:noProof/>
        </w:rPr>
      </w:r>
      <w:r>
        <w:rPr>
          <w:noProof/>
        </w:rPr>
        <w:fldChar w:fldCharType="separate"/>
      </w:r>
      <w:r>
        <w:rPr>
          <w:noProof/>
        </w:rPr>
        <w:t>4</w:t>
      </w:r>
      <w:r>
        <w:rPr>
          <w:noProof/>
        </w:rPr>
        <w:fldChar w:fldCharType="end"/>
      </w:r>
    </w:p>
    <w:p w:rsidR="00A54E03" w:rsidRDefault="00A54E03">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rPr>
        <w:t>Artikel 7</w:t>
      </w:r>
      <w:r>
        <w:rPr>
          <w:noProof/>
        </w:rPr>
        <w:tab/>
      </w:r>
      <w:r>
        <w:rPr>
          <w:noProof/>
        </w:rPr>
        <w:fldChar w:fldCharType="begin"/>
      </w:r>
      <w:r>
        <w:rPr>
          <w:noProof/>
        </w:rPr>
        <w:instrText xml:space="preserve"> PAGEREF _Toc464822895 \h </w:instrText>
      </w:r>
      <w:r>
        <w:rPr>
          <w:noProof/>
        </w:rPr>
      </w:r>
      <w:r>
        <w:rPr>
          <w:noProof/>
        </w:rPr>
        <w:fldChar w:fldCharType="separate"/>
      </w:r>
      <w:r>
        <w:rPr>
          <w:noProof/>
        </w:rPr>
        <w:t>4</w:t>
      </w:r>
      <w:r>
        <w:rPr>
          <w:noProof/>
        </w:rPr>
        <w:fldChar w:fldCharType="end"/>
      </w:r>
    </w:p>
    <w:p w:rsidR="00A54E03" w:rsidRDefault="00A54E03">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rPr>
        <w:t>Artikel 8</w:t>
      </w:r>
      <w:r>
        <w:rPr>
          <w:noProof/>
        </w:rPr>
        <w:tab/>
      </w:r>
      <w:r>
        <w:rPr>
          <w:noProof/>
        </w:rPr>
        <w:fldChar w:fldCharType="begin"/>
      </w:r>
      <w:r>
        <w:rPr>
          <w:noProof/>
        </w:rPr>
        <w:instrText xml:space="preserve"> PAGEREF _Toc464822896 \h </w:instrText>
      </w:r>
      <w:r>
        <w:rPr>
          <w:noProof/>
        </w:rPr>
      </w:r>
      <w:r>
        <w:rPr>
          <w:noProof/>
        </w:rPr>
        <w:fldChar w:fldCharType="separate"/>
      </w:r>
      <w:r>
        <w:rPr>
          <w:noProof/>
        </w:rPr>
        <w:t>4</w:t>
      </w:r>
      <w:r>
        <w:rPr>
          <w:noProof/>
        </w:rPr>
        <w:fldChar w:fldCharType="end"/>
      </w:r>
    </w:p>
    <w:p w:rsidR="00A54E03" w:rsidRDefault="00A54E03">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rPr>
        <w:t>Artikel 9</w:t>
      </w:r>
      <w:r>
        <w:rPr>
          <w:noProof/>
        </w:rPr>
        <w:tab/>
      </w:r>
      <w:r>
        <w:rPr>
          <w:noProof/>
        </w:rPr>
        <w:fldChar w:fldCharType="begin"/>
      </w:r>
      <w:r>
        <w:rPr>
          <w:noProof/>
        </w:rPr>
        <w:instrText xml:space="preserve"> PAGEREF _Toc464822897 \h </w:instrText>
      </w:r>
      <w:r>
        <w:rPr>
          <w:noProof/>
        </w:rPr>
      </w:r>
      <w:r>
        <w:rPr>
          <w:noProof/>
        </w:rPr>
        <w:fldChar w:fldCharType="separate"/>
      </w:r>
      <w:r>
        <w:rPr>
          <w:noProof/>
        </w:rPr>
        <w:t>4</w:t>
      </w:r>
      <w:r>
        <w:rPr>
          <w:noProof/>
        </w:rPr>
        <w:fldChar w:fldCharType="end"/>
      </w:r>
    </w:p>
    <w:p w:rsidR="00A54E03" w:rsidRDefault="00A54E03">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rPr>
        <w:t>Artikel 10</w:t>
      </w:r>
      <w:r>
        <w:rPr>
          <w:noProof/>
        </w:rPr>
        <w:tab/>
      </w:r>
      <w:r>
        <w:rPr>
          <w:noProof/>
        </w:rPr>
        <w:fldChar w:fldCharType="begin"/>
      </w:r>
      <w:r>
        <w:rPr>
          <w:noProof/>
        </w:rPr>
        <w:instrText xml:space="preserve"> PAGEREF _Toc464822898 \h </w:instrText>
      </w:r>
      <w:r>
        <w:rPr>
          <w:noProof/>
        </w:rPr>
      </w:r>
      <w:r>
        <w:rPr>
          <w:noProof/>
        </w:rPr>
        <w:fldChar w:fldCharType="separate"/>
      </w:r>
      <w:r>
        <w:rPr>
          <w:noProof/>
        </w:rPr>
        <w:t>5</w:t>
      </w:r>
      <w:r>
        <w:rPr>
          <w:noProof/>
        </w:rPr>
        <w:fldChar w:fldCharType="end"/>
      </w:r>
    </w:p>
    <w:p w:rsidR="00A54E03" w:rsidRDefault="00A54E03">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rPr>
        <w:t>Artikel 11</w:t>
      </w:r>
      <w:r>
        <w:rPr>
          <w:noProof/>
        </w:rPr>
        <w:tab/>
      </w:r>
      <w:r>
        <w:rPr>
          <w:noProof/>
        </w:rPr>
        <w:fldChar w:fldCharType="begin"/>
      </w:r>
      <w:r>
        <w:rPr>
          <w:noProof/>
        </w:rPr>
        <w:instrText xml:space="preserve"> PAGEREF _Toc464822899 \h </w:instrText>
      </w:r>
      <w:r>
        <w:rPr>
          <w:noProof/>
        </w:rPr>
      </w:r>
      <w:r>
        <w:rPr>
          <w:noProof/>
        </w:rPr>
        <w:fldChar w:fldCharType="separate"/>
      </w:r>
      <w:r>
        <w:rPr>
          <w:noProof/>
        </w:rPr>
        <w:t>5</w:t>
      </w:r>
      <w:r>
        <w:rPr>
          <w:noProof/>
        </w:rPr>
        <w:fldChar w:fldCharType="end"/>
      </w:r>
    </w:p>
    <w:p w:rsidR="00A54E03" w:rsidRDefault="00A54E03">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rPr>
        <w:t>Artikel 12</w:t>
      </w:r>
      <w:r>
        <w:rPr>
          <w:noProof/>
        </w:rPr>
        <w:tab/>
      </w:r>
      <w:r>
        <w:rPr>
          <w:noProof/>
        </w:rPr>
        <w:fldChar w:fldCharType="begin"/>
      </w:r>
      <w:r>
        <w:rPr>
          <w:noProof/>
        </w:rPr>
        <w:instrText xml:space="preserve"> PAGEREF _Toc464822900 \h </w:instrText>
      </w:r>
      <w:r>
        <w:rPr>
          <w:noProof/>
        </w:rPr>
      </w:r>
      <w:r>
        <w:rPr>
          <w:noProof/>
        </w:rPr>
        <w:fldChar w:fldCharType="separate"/>
      </w:r>
      <w:r>
        <w:rPr>
          <w:noProof/>
        </w:rPr>
        <w:t>5</w:t>
      </w:r>
      <w:r>
        <w:rPr>
          <w:noProof/>
        </w:rPr>
        <w:fldChar w:fldCharType="end"/>
      </w:r>
    </w:p>
    <w:p w:rsidR="00A54E03" w:rsidRDefault="00A54E03">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rPr>
        <w:t>Artikel 13</w:t>
      </w:r>
      <w:r>
        <w:rPr>
          <w:noProof/>
        </w:rPr>
        <w:tab/>
      </w:r>
      <w:r>
        <w:rPr>
          <w:noProof/>
        </w:rPr>
        <w:fldChar w:fldCharType="begin"/>
      </w:r>
      <w:r>
        <w:rPr>
          <w:noProof/>
        </w:rPr>
        <w:instrText xml:space="preserve"> PAGEREF _Toc464822901 \h </w:instrText>
      </w:r>
      <w:r>
        <w:rPr>
          <w:noProof/>
        </w:rPr>
      </w:r>
      <w:r>
        <w:rPr>
          <w:noProof/>
        </w:rPr>
        <w:fldChar w:fldCharType="separate"/>
      </w:r>
      <w:r>
        <w:rPr>
          <w:noProof/>
        </w:rPr>
        <w:t>5</w:t>
      </w:r>
      <w:r>
        <w:rPr>
          <w:noProof/>
        </w:rPr>
        <w:fldChar w:fldCharType="end"/>
      </w:r>
    </w:p>
    <w:p w:rsidR="00A54E03" w:rsidRDefault="00A54E03">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rPr>
        <w:t>Artikel 14</w:t>
      </w:r>
      <w:r>
        <w:rPr>
          <w:noProof/>
        </w:rPr>
        <w:tab/>
      </w:r>
      <w:r>
        <w:rPr>
          <w:noProof/>
        </w:rPr>
        <w:fldChar w:fldCharType="begin"/>
      </w:r>
      <w:r>
        <w:rPr>
          <w:noProof/>
        </w:rPr>
        <w:instrText xml:space="preserve"> PAGEREF _Toc464822902 \h </w:instrText>
      </w:r>
      <w:r>
        <w:rPr>
          <w:noProof/>
        </w:rPr>
      </w:r>
      <w:r>
        <w:rPr>
          <w:noProof/>
        </w:rPr>
        <w:fldChar w:fldCharType="separate"/>
      </w:r>
      <w:r>
        <w:rPr>
          <w:noProof/>
        </w:rPr>
        <w:t>5</w:t>
      </w:r>
      <w:r>
        <w:rPr>
          <w:noProof/>
        </w:rPr>
        <w:fldChar w:fldCharType="end"/>
      </w:r>
    </w:p>
    <w:p w:rsidR="00A54E03" w:rsidRDefault="00A54E03">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rPr>
        <w:t>Artikel 15</w:t>
      </w:r>
      <w:r>
        <w:rPr>
          <w:noProof/>
        </w:rPr>
        <w:tab/>
      </w:r>
      <w:r>
        <w:rPr>
          <w:noProof/>
        </w:rPr>
        <w:fldChar w:fldCharType="begin"/>
      </w:r>
      <w:r>
        <w:rPr>
          <w:noProof/>
        </w:rPr>
        <w:instrText xml:space="preserve"> PAGEREF _Toc464822903 \h </w:instrText>
      </w:r>
      <w:r>
        <w:rPr>
          <w:noProof/>
        </w:rPr>
      </w:r>
      <w:r>
        <w:rPr>
          <w:noProof/>
        </w:rPr>
        <w:fldChar w:fldCharType="separate"/>
      </w:r>
      <w:r>
        <w:rPr>
          <w:noProof/>
        </w:rPr>
        <w:t>5</w:t>
      </w:r>
      <w:r>
        <w:rPr>
          <w:noProof/>
        </w:rPr>
        <w:fldChar w:fldCharType="end"/>
      </w:r>
    </w:p>
    <w:p w:rsidR="00A54E03" w:rsidRDefault="00A54E03">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rPr>
        <w:t>Anhang</w:t>
      </w:r>
      <w:r>
        <w:rPr>
          <w:noProof/>
        </w:rPr>
        <w:tab/>
      </w:r>
      <w:r>
        <w:rPr>
          <w:noProof/>
        </w:rPr>
        <w:fldChar w:fldCharType="begin"/>
      </w:r>
      <w:r>
        <w:rPr>
          <w:noProof/>
        </w:rPr>
        <w:instrText xml:space="preserve"> PAGEREF _Toc464822904 \h </w:instrText>
      </w:r>
      <w:r>
        <w:rPr>
          <w:noProof/>
        </w:rPr>
      </w:r>
      <w:r>
        <w:rPr>
          <w:noProof/>
        </w:rPr>
        <w:fldChar w:fldCharType="separate"/>
      </w:r>
      <w:r>
        <w:rPr>
          <w:noProof/>
        </w:rPr>
        <w:t>6</w:t>
      </w:r>
      <w:r>
        <w:rPr>
          <w:noProof/>
        </w:rPr>
        <w:fldChar w:fldCharType="end"/>
      </w:r>
    </w:p>
    <w:p w:rsidR="00A54E03" w:rsidRDefault="00A54E03">
      <w:pPr>
        <w:pStyle w:val="Verzeichnis3"/>
        <w:tabs>
          <w:tab w:val="clear" w:pos="9638"/>
          <w:tab w:val="right" w:leader="dot" w:pos="9628"/>
        </w:tabs>
        <w:rPr>
          <w:rFonts w:asciiTheme="minorHAnsi" w:eastAsiaTheme="minorEastAsia" w:hAnsiTheme="minorHAnsi" w:cstheme="minorBidi"/>
          <w:i w:val="0"/>
          <w:iCs/>
          <w:noProof/>
          <w:sz w:val="22"/>
          <w:szCs w:val="22"/>
        </w:rPr>
      </w:pPr>
      <w:r>
        <w:rPr>
          <w:noProof/>
        </w:rPr>
        <w:t>Liste I der Stoffamilien und Stoffgruppen</w:t>
      </w:r>
      <w:r>
        <w:rPr>
          <w:noProof/>
        </w:rPr>
        <w:tab/>
      </w:r>
      <w:r>
        <w:rPr>
          <w:noProof/>
        </w:rPr>
        <w:fldChar w:fldCharType="begin"/>
      </w:r>
      <w:r>
        <w:rPr>
          <w:noProof/>
        </w:rPr>
        <w:instrText xml:space="preserve"> PAGEREF _Toc464822905 \h </w:instrText>
      </w:r>
      <w:r>
        <w:rPr>
          <w:noProof/>
        </w:rPr>
      </w:r>
      <w:r>
        <w:rPr>
          <w:noProof/>
        </w:rPr>
        <w:fldChar w:fldCharType="separate"/>
      </w:r>
      <w:r>
        <w:rPr>
          <w:noProof/>
        </w:rPr>
        <w:t>6</w:t>
      </w:r>
      <w:r>
        <w:rPr>
          <w:noProof/>
        </w:rPr>
        <w:fldChar w:fldCharType="end"/>
      </w:r>
    </w:p>
    <w:p w:rsidR="00A54E03" w:rsidRDefault="00A54E03">
      <w:pPr>
        <w:pStyle w:val="Verzeichnis3"/>
        <w:tabs>
          <w:tab w:val="clear" w:pos="9638"/>
          <w:tab w:val="right" w:leader="dot" w:pos="9628"/>
        </w:tabs>
        <w:rPr>
          <w:rFonts w:asciiTheme="minorHAnsi" w:eastAsiaTheme="minorEastAsia" w:hAnsiTheme="minorHAnsi" w:cstheme="minorBidi"/>
          <w:i w:val="0"/>
          <w:iCs/>
          <w:noProof/>
          <w:sz w:val="22"/>
          <w:szCs w:val="22"/>
        </w:rPr>
      </w:pPr>
      <w:r>
        <w:rPr>
          <w:noProof/>
        </w:rPr>
        <w:t>Liste II der Stoffamilien und Stoffgruppen</w:t>
      </w:r>
      <w:r>
        <w:rPr>
          <w:noProof/>
        </w:rPr>
        <w:tab/>
      </w:r>
      <w:r>
        <w:rPr>
          <w:noProof/>
        </w:rPr>
        <w:fldChar w:fldCharType="begin"/>
      </w:r>
      <w:r>
        <w:rPr>
          <w:noProof/>
        </w:rPr>
        <w:instrText xml:space="preserve"> PAGEREF _Toc464822906 \h </w:instrText>
      </w:r>
      <w:r>
        <w:rPr>
          <w:noProof/>
        </w:rPr>
      </w:r>
      <w:r>
        <w:rPr>
          <w:noProof/>
        </w:rPr>
        <w:fldChar w:fldCharType="separate"/>
      </w:r>
      <w:r>
        <w:rPr>
          <w:noProof/>
        </w:rPr>
        <w:t>6</w:t>
      </w:r>
      <w:r>
        <w:rPr>
          <w:noProof/>
        </w:rPr>
        <w:fldChar w:fldCharType="end"/>
      </w:r>
    </w:p>
    <w:p w:rsidR="00A54E03" w:rsidRDefault="00A54E03">
      <w:pPr>
        <w:pStyle w:val="Verzeichnis3"/>
        <w:tabs>
          <w:tab w:val="clear" w:pos="9638"/>
          <w:tab w:val="right" w:leader="dot" w:pos="9628"/>
        </w:tabs>
        <w:rPr>
          <w:rFonts w:asciiTheme="minorHAnsi" w:eastAsiaTheme="minorEastAsia" w:hAnsiTheme="minorHAnsi" w:cstheme="minorBidi"/>
          <w:i w:val="0"/>
          <w:iCs/>
          <w:noProof/>
          <w:sz w:val="22"/>
          <w:szCs w:val="22"/>
        </w:rPr>
      </w:pPr>
      <w:r>
        <w:rPr>
          <w:noProof/>
        </w:rPr>
        <w:t>Stoffamilien und Stoffgruppen des zweiten Gedankenstrichs</w:t>
      </w:r>
      <w:r>
        <w:rPr>
          <w:noProof/>
        </w:rPr>
        <w:tab/>
      </w:r>
      <w:r>
        <w:rPr>
          <w:noProof/>
        </w:rPr>
        <w:fldChar w:fldCharType="begin"/>
      </w:r>
      <w:r>
        <w:rPr>
          <w:noProof/>
        </w:rPr>
        <w:instrText xml:space="preserve"> PAGEREF _Toc464822907 \h </w:instrText>
      </w:r>
      <w:r>
        <w:rPr>
          <w:noProof/>
        </w:rPr>
      </w:r>
      <w:r>
        <w:rPr>
          <w:noProof/>
        </w:rPr>
        <w:fldChar w:fldCharType="separate"/>
      </w:r>
      <w:r>
        <w:rPr>
          <w:noProof/>
        </w:rPr>
        <w:t>6</w:t>
      </w:r>
      <w:r>
        <w:rPr>
          <w:noProof/>
        </w:rPr>
        <w:fldChar w:fldCharType="end"/>
      </w:r>
    </w:p>
    <w:p w:rsidR="00A54E03" w:rsidRDefault="00A54E03">
      <w:pPr>
        <w:pStyle w:val="Verzeichnis3"/>
        <w:tabs>
          <w:tab w:val="clear" w:pos="9638"/>
          <w:tab w:val="right" w:leader="dot" w:pos="9628"/>
        </w:tabs>
        <w:rPr>
          <w:rFonts w:asciiTheme="minorHAnsi" w:eastAsiaTheme="minorEastAsia" w:hAnsiTheme="minorHAnsi" w:cstheme="minorBidi"/>
          <w:i w:val="0"/>
          <w:iCs/>
          <w:noProof/>
          <w:sz w:val="22"/>
          <w:szCs w:val="22"/>
        </w:rPr>
      </w:pPr>
      <w:r>
        <w:rPr>
          <w:noProof/>
        </w:rPr>
        <w:t>Erklärung zu Artikel 8</w:t>
      </w:r>
      <w:r>
        <w:rPr>
          <w:noProof/>
        </w:rPr>
        <w:tab/>
      </w:r>
      <w:r>
        <w:rPr>
          <w:noProof/>
        </w:rPr>
        <w:fldChar w:fldCharType="begin"/>
      </w:r>
      <w:r>
        <w:rPr>
          <w:noProof/>
        </w:rPr>
        <w:instrText xml:space="preserve"> PAGEREF _Toc464822908 \h </w:instrText>
      </w:r>
      <w:r>
        <w:rPr>
          <w:noProof/>
        </w:rPr>
      </w:r>
      <w:r>
        <w:rPr>
          <w:noProof/>
        </w:rPr>
        <w:fldChar w:fldCharType="separate"/>
      </w:r>
      <w:r>
        <w:rPr>
          <w:noProof/>
        </w:rPr>
        <w:t>7</w:t>
      </w:r>
      <w:r>
        <w:rPr>
          <w:noProof/>
        </w:rPr>
        <w:fldChar w:fldCharType="end"/>
      </w:r>
    </w:p>
    <w:p w:rsidR="00486D30" w:rsidRDefault="008E7A14" w:rsidP="00A54E03">
      <w:pPr>
        <w:pStyle w:val="GesAbsatz"/>
      </w:pPr>
      <w:r>
        <w:fldChar w:fldCharType="end"/>
      </w:r>
    </w:p>
    <w:p w:rsidR="00486D30" w:rsidRPr="00A54E03" w:rsidRDefault="00486D30">
      <w:r w:rsidRPr="00A54E03">
        <w:t>Der Rat der Europäischen Gemeinschaften -</w:t>
      </w:r>
    </w:p>
    <w:p w:rsidR="00486D30" w:rsidRDefault="00486D30">
      <w:pPr>
        <w:pStyle w:val="GesAbsatz"/>
      </w:pPr>
      <w:r>
        <w:t>gestützt auf den Vertrag zur Gründung der Europäischen Wirtschaftsgemeinschaft, insbesondere auf die Artikel 100 und 235,</w:t>
      </w:r>
    </w:p>
    <w:p w:rsidR="00486D30" w:rsidRDefault="00486D30">
      <w:pPr>
        <w:pStyle w:val="GesAbsatz"/>
      </w:pPr>
      <w:r>
        <w:t>auf Vorschlag der Kommission,</w:t>
      </w:r>
    </w:p>
    <w:p w:rsidR="00486D30" w:rsidRDefault="00486D30">
      <w:pPr>
        <w:pStyle w:val="GesAbsatz"/>
      </w:pPr>
      <w:r>
        <w:t>nach Stellungnahme des Europäischen Parlaments</w:t>
      </w:r>
      <w:r>
        <w:rPr>
          <w:rStyle w:val="Funotenzeichen"/>
        </w:rPr>
        <w:footnoteReference w:id="1"/>
      </w:r>
    </w:p>
    <w:p w:rsidR="00486D30" w:rsidRDefault="00486D30">
      <w:pPr>
        <w:pStyle w:val="GesAbsatz"/>
      </w:pPr>
      <w:r>
        <w:t>nach Stellungnahme des Wirtschafts- und Sozialausschusses</w:t>
      </w:r>
      <w:r>
        <w:rPr>
          <w:rStyle w:val="Funotenzeichen"/>
        </w:rPr>
        <w:footnoteReference w:id="2"/>
      </w:r>
    </w:p>
    <w:p w:rsidR="00486D30" w:rsidRDefault="00486D30">
      <w:pPr>
        <w:pStyle w:val="GesAbsatz"/>
      </w:pPr>
      <w:r>
        <w:t>in Erwägung nachstehender Gründe:</w:t>
      </w:r>
    </w:p>
    <w:p w:rsidR="00486D30" w:rsidRDefault="00486D30">
      <w:pPr>
        <w:pStyle w:val="GesAbsatz"/>
      </w:pPr>
      <w:r>
        <w:t>Es ist notwendig, daß die Mitgliedstaaten schnellstens eine umfassende und gleichzeitige Aktion zum Schutz der Gewässer der Gemeinschaft gegen Verschmutzung, insbesondere durch bestimmte langlebige, tox</w:t>
      </w:r>
      <w:r>
        <w:t>i</w:t>
      </w:r>
      <w:r>
        <w:t>sche, biologisch akkumulierbare Stoffe, durchführen.</w:t>
      </w:r>
    </w:p>
    <w:p w:rsidR="00486D30" w:rsidRDefault="00486D30">
      <w:pPr>
        <w:pStyle w:val="GesAbsatz"/>
      </w:pPr>
      <w:r>
        <w:t>Mehrere Übereinkommen oder Entwürfe von Übereinkommen, wie das Übereinkommen zur Verhütung der Meeresverschmutzung vom Lande aus, der Entwurf eines Übereinkommens zum Schutz des Rheins gegen die chemische Verunreinigung und der Entwurf des Europäischen Übereinkommens zum Schutz internati</w:t>
      </w:r>
      <w:r>
        <w:t>o</w:t>
      </w:r>
      <w:r>
        <w:t>naler Wasserläufe vor Verschmutzung, haben zum Ziel, die internationalen Wasserläufe und die Me</w:t>
      </w:r>
      <w:r>
        <w:t>e</w:t>
      </w:r>
      <w:r>
        <w:t>resumwelt vor Verschmutzung zu schützen. Es ist wichtig, daß die harmonisierte Anwendung dieser Übe</w:t>
      </w:r>
      <w:r>
        <w:t>r</w:t>
      </w:r>
      <w:r>
        <w:t>einko</w:t>
      </w:r>
      <w:r>
        <w:t>m</w:t>
      </w:r>
      <w:r>
        <w:t>men gewährleistet ist.</w:t>
      </w:r>
    </w:p>
    <w:p w:rsidR="00486D30" w:rsidRDefault="00486D30">
      <w:pPr>
        <w:pStyle w:val="GesAbsatz"/>
      </w:pPr>
      <w:r>
        <w:t>Unterschiede zwischen den in den verschiedenen Mitgliedstaaten bereits angewandten oder zur Zeit in Vo</w:t>
      </w:r>
      <w:r>
        <w:t>r</w:t>
      </w:r>
      <w:r>
        <w:t>bereitung befindlichen Bestimmungen betreffend die Ableitung bestimmter gefährlicher Stoffe in die Gewä</w:t>
      </w:r>
      <w:r>
        <w:t>s</w:t>
      </w:r>
      <w:r>
        <w:t xml:space="preserve">ser können zu unterschiedlichen Wettbewerbsbedingungen führen und so einen unmittelbaren Einfluß auf </w:t>
      </w:r>
      <w:r>
        <w:lastRenderedPageBreak/>
        <w:t>das Funktionieren des Gemeinsamen Marktes haben. Es ist daher angezeigt, auf diesem Gebiet die Recht</w:t>
      </w:r>
      <w:r>
        <w:t>s</w:t>
      </w:r>
      <w:r>
        <w:t>vorschriften gemäß Artikel 100 des Vertrages anzugleichen.</w:t>
      </w:r>
    </w:p>
    <w:p w:rsidR="00486D30" w:rsidRDefault="00486D30">
      <w:pPr>
        <w:pStyle w:val="GesAbsatz"/>
      </w:pPr>
      <w:r>
        <w:t>Es erscheint notwendig, in Verbindung mit dieser Angleichung der Rechtsvorschriften eine gemeinschaftl</w:t>
      </w:r>
      <w:r>
        <w:t>i</w:t>
      </w:r>
      <w:r>
        <w:t>che Aktion mit dem Ziel durchzuführen, durch eine umfassendere Regelung eines der Ziele der Gemei</w:t>
      </w:r>
      <w:r>
        <w:t>n</w:t>
      </w:r>
      <w:r>
        <w:t>schaft im Bereich des Umweltschutzes und der Verbesserung der Lebensqualität zu erreichen. Es ist daher angezeigt, in diesem Bereich einige spezifische Bestimmungen vorzusehen. Der Vertrag sieht die zu diesem Zweck erforderlichen Aktionsbefugnisse jedoch nicht vor; somit ist Artikel 235 des Vertrages anzuwenden.</w:t>
      </w:r>
    </w:p>
    <w:p w:rsidR="00486D30" w:rsidRDefault="00486D30">
      <w:pPr>
        <w:pStyle w:val="GesAbsatz"/>
      </w:pPr>
      <w:r>
        <w:t>Das Aktionsprogramm der Europäischen Gemeinschaften für den Umweltschutz</w:t>
      </w:r>
      <w:r>
        <w:rPr>
          <w:rStyle w:val="Funotenzeichen"/>
        </w:rPr>
        <w:footnoteReference w:id="3"/>
      </w:r>
      <w:r>
        <w:t xml:space="preserve"> sieht verschiedene Ma</w:t>
      </w:r>
      <w:r>
        <w:t>ß</w:t>
      </w:r>
      <w:r>
        <w:t>nahmen zum Schutz der Süßwasserläufe und des Meeres gegen bestimmte Schadstoffe vor.</w:t>
      </w:r>
    </w:p>
    <w:p w:rsidR="00486D30" w:rsidRDefault="00486D30">
      <w:pPr>
        <w:pStyle w:val="GesAbsatz"/>
      </w:pPr>
      <w:r>
        <w:t>Zur Gewährleistung eines wirksamen Schutzes der Gewässer der Gemeinschaft müssen eine erste Liste - die Liste I - bestimmter einzelner Stoffe, die hauptsächlich auf Grund ihrer Toxizität, ihrer Langlebigkeit, ihrer Bioakkumulation auszuwählen sind, mit Ausnahme von biologisch unschädlichen Stoffen und Stoffen, die rasch in biologisch unschädliche Stoffe umgewandelt werden, sowie eine zweite Liste - die Liste II - erstellt werden, in der die für die Gewässer schädlichen Stoffe aufzuführen sind, wobei die schädliche Wirkung j</w:t>
      </w:r>
      <w:r>
        <w:t>e</w:t>
      </w:r>
      <w:r>
        <w:t>doch auf eine bestimmte Zone beschränkt sein kann und von den Merkmalen des aufnehmenden Gewä</w:t>
      </w:r>
      <w:r>
        <w:t>s</w:t>
      </w:r>
      <w:r>
        <w:t xml:space="preserve">sers und ihrer Lokalisierung abhängt. Die Ableitung dieser Stoffe </w:t>
      </w:r>
      <w:proofErr w:type="spellStart"/>
      <w:r>
        <w:t>muß</w:t>
      </w:r>
      <w:proofErr w:type="spellEnd"/>
      <w:r>
        <w:t xml:space="preserve"> einer vorherigen Genehmigung unte</w:t>
      </w:r>
      <w:r>
        <w:t>r</w:t>
      </w:r>
      <w:r>
        <w:t>liegen, die die Emissionsnormen festlegt.</w:t>
      </w:r>
    </w:p>
    <w:p w:rsidR="00486D30" w:rsidRDefault="00486D30">
      <w:pPr>
        <w:pStyle w:val="GesAbsatz"/>
      </w:pPr>
      <w:r>
        <w:t>Die Verschmutzung infolge der Ableitung verschiedener gefährlicher Stoffe aus der Liste I sollte beseitigt werden. Der Rat müßte binnen bestimmter Fristen auf Vorschlag der Kommission Grenzwerte, die die Emi</w:t>
      </w:r>
      <w:r>
        <w:t>s</w:t>
      </w:r>
      <w:r>
        <w:t xml:space="preserve">sionsnormen nicht überschreiten dürfen, Meßverfahren sowie die Fristen festlegen, die die gegenwärtigen </w:t>
      </w:r>
      <w:proofErr w:type="spellStart"/>
      <w:r>
        <w:t>Ableiter</w:t>
      </w:r>
      <w:proofErr w:type="spellEnd"/>
      <w:r>
        <w:t xml:space="preserve"> einhalten müssen.</w:t>
      </w:r>
    </w:p>
    <w:p w:rsidR="00486D30" w:rsidRDefault="00486D30">
      <w:pPr>
        <w:pStyle w:val="GesAbsatz"/>
      </w:pPr>
      <w:r>
        <w:t>Die Mitgliedstaaten müssen diese Grenzwerte anwenden, ausgenommen in den Fällen, in denen ein Mi</w:t>
      </w:r>
      <w:r>
        <w:t>t</w:t>
      </w:r>
      <w:r>
        <w:t>gliedstaat der Kommission nach einem vom Rat festgelegten Kontrollverfahren nachweisen könnte, daß die vom Rat auf Vorschlag der Kommission festgelegten Qualitätsziele in dem gesamten geographischen G</w:t>
      </w:r>
      <w:r>
        <w:t>e</w:t>
      </w:r>
      <w:r>
        <w:t>biet, das gegebenenfalls von den Ableitungen betroffen ist, dank der Maßnahmen, die unter anderem von diesem Mitgliedstaat durchgeführt werden, erreicht und ständig eingehalten werden.</w:t>
      </w:r>
    </w:p>
    <w:p w:rsidR="00486D30" w:rsidRDefault="00486D30">
      <w:pPr>
        <w:pStyle w:val="GesAbsatz"/>
      </w:pPr>
      <w:r>
        <w:t>Es ist notwendig, die Verschmutzung der Gewässer durch die Stoffe aus der Liste II zu verringern. Zu di</w:t>
      </w:r>
      <w:r>
        <w:t>e</w:t>
      </w:r>
      <w:r>
        <w:t>sem Zweck stellen die Mitgliedstaaten Programme auf, die Qualitätsziele für die Gewässer umfassen, die unter Beachtung etwaiger Richtlinien des Rates festgelegt werden. Die Emissionsnormen für diese Stoffe sind auf Grund dieser Qualitätsziele zu berechnen.</w:t>
      </w:r>
    </w:p>
    <w:p w:rsidR="00486D30" w:rsidRDefault="00486D30">
      <w:pPr>
        <w:pStyle w:val="GesAbsatz"/>
      </w:pPr>
      <w:r>
        <w:t>Es ist wichtig, diese Richtlinie - vorbehaltlich einiger Ausnahmen und Änderungen - auf Ableitungen ins Grundwasser anzuwenden, solange keine spezifische gemeinschaftliche Regelung auf diesem Gebiet erla</w:t>
      </w:r>
      <w:r>
        <w:t>s</w:t>
      </w:r>
      <w:r>
        <w:t>sen worden ist.</w:t>
      </w:r>
    </w:p>
    <w:p w:rsidR="00486D30" w:rsidRDefault="00486D30">
      <w:pPr>
        <w:pStyle w:val="GesAbsatz"/>
      </w:pPr>
      <w:r>
        <w:t>Es ist wichtig, daß ein Mitgliedstaat oder mehrere Mitgliedstaaten einzeln oder gemeinsam strengere als die in dieser Richtlinie vorgesehenen Bestimmungen festlegen können.</w:t>
      </w:r>
    </w:p>
    <w:p w:rsidR="00486D30" w:rsidRDefault="00486D30">
      <w:pPr>
        <w:pStyle w:val="GesAbsatz"/>
      </w:pPr>
      <w:r>
        <w:t>Es ist wichtig, eine Bestandsaufnahme der Ableitungen besonders gefährlicher Stoffe in die Gewässer der Gemeinschaft vorzunehmen, um ihren Ursprung zu kennen.</w:t>
      </w:r>
    </w:p>
    <w:p w:rsidR="00486D30" w:rsidRDefault="00486D30">
      <w:pPr>
        <w:pStyle w:val="GesAbsatz"/>
      </w:pPr>
      <w:r>
        <w:t>Es kann sich als notwendig erweisen, die Listen I und II im Lichte der gewonnenen Erfahrungen zu überpr</w:t>
      </w:r>
      <w:r>
        <w:t>ü</w:t>
      </w:r>
      <w:r>
        <w:t>fen und zu vervollständigen, gegebenenfalls durch Übertragung bestimmter Stoffe aus der Liste II in die Liste I -</w:t>
      </w:r>
    </w:p>
    <w:p w:rsidR="00486D30" w:rsidRDefault="00486D30">
      <w:pPr>
        <w:pStyle w:val="GesAbsatz"/>
        <w:rPr>
          <w:b/>
        </w:rPr>
      </w:pPr>
      <w:r>
        <w:rPr>
          <w:b/>
        </w:rPr>
        <w:t>hat folgende Richtlinie erlassen:</w:t>
      </w:r>
    </w:p>
    <w:p w:rsidR="00486D30" w:rsidRDefault="00486D30">
      <w:pPr>
        <w:pStyle w:val="berschrift2"/>
      </w:pPr>
      <w:bookmarkStart w:id="2" w:name="_Toc464822889"/>
      <w:r>
        <w:t>Artikel 1</w:t>
      </w:r>
      <w:bookmarkEnd w:id="2"/>
    </w:p>
    <w:p w:rsidR="00486D30" w:rsidRDefault="00486D30">
      <w:pPr>
        <w:pStyle w:val="GesAbsatz"/>
      </w:pPr>
      <w:r>
        <w:t xml:space="preserve">(1) Vorbehaltlich des Artikels 8 findet diese Richtlinie Anwendung auf </w:t>
      </w:r>
    </w:p>
    <w:p w:rsidR="00486D30" w:rsidRDefault="00486D30">
      <w:pPr>
        <w:pStyle w:val="GesAbsatz"/>
      </w:pPr>
      <w:r>
        <w:t>-</w:t>
      </w:r>
      <w:r>
        <w:tab/>
        <w:t>die oberirdischen Binnengewässer,</w:t>
      </w:r>
    </w:p>
    <w:p w:rsidR="00486D30" w:rsidRDefault="00486D30">
      <w:pPr>
        <w:pStyle w:val="GesAbsatz"/>
      </w:pPr>
      <w:r>
        <w:t>-</w:t>
      </w:r>
      <w:r>
        <w:tab/>
        <w:t>das Küstenmeer,</w:t>
      </w:r>
    </w:p>
    <w:p w:rsidR="00486D30" w:rsidRDefault="00486D30">
      <w:pPr>
        <w:pStyle w:val="GesAbsatz"/>
      </w:pPr>
      <w:r>
        <w:t>-</w:t>
      </w:r>
      <w:r>
        <w:tab/>
        <w:t>die inneren Küstengewässer,</w:t>
      </w:r>
    </w:p>
    <w:p w:rsidR="00486D30" w:rsidRDefault="00486D30">
      <w:pPr>
        <w:pStyle w:val="GesAbsatz"/>
      </w:pPr>
      <w:r>
        <w:t>-</w:t>
      </w:r>
      <w:r>
        <w:tab/>
        <w:t>das Grundwasser.</w:t>
      </w:r>
    </w:p>
    <w:p w:rsidR="00486D30" w:rsidRDefault="00486D30">
      <w:pPr>
        <w:pStyle w:val="GesAbsatz"/>
      </w:pPr>
      <w:r>
        <w:t>(2) Im Sinne dieser Richtlinie sind</w:t>
      </w:r>
    </w:p>
    <w:p w:rsidR="00486D30" w:rsidRDefault="00486D30" w:rsidP="00E20BF3">
      <w:pPr>
        <w:pStyle w:val="GesAbsatz"/>
        <w:tabs>
          <w:tab w:val="clear" w:pos="425"/>
        </w:tabs>
        <w:ind w:left="426" w:hanging="426"/>
      </w:pPr>
      <w:r>
        <w:t>a)</w:t>
      </w:r>
      <w:r>
        <w:tab/>
        <w:t>„oberirdische Binnengewässer“: alle stehenden oder fließenden oberirdischen Süßwasser, die im H</w:t>
      </w:r>
      <w:r>
        <w:t>o</w:t>
      </w:r>
      <w:r>
        <w:t>heitsgebiet eines oder mehrerer Mitgliedstaaten gelegen sind;</w:t>
      </w:r>
    </w:p>
    <w:p w:rsidR="00486D30" w:rsidRDefault="00486D30" w:rsidP="00E20BF3">
      <w:pPr>
        <w:pStyle w:val="GesAbsatz"/>
        <w:tabs>
          <w:tab w:val="clear" w:pos="425"/>
        </w:tabs>
        <w:ind w:left="426" w:hanging="426"/>
      </w:pPr>
      <w:r>
        <w:lastRenderedPageBreak/>
        <w:t>b)</w:t>
      </w:r>
      <w:r>
        <w:tab/>
        <w:t>„innere Küstengewässer“: die Gewässer auf der landwärtigen Seite der Basislinien, von denen aus die Breite des Küstenmeers gemessen wird; sie erstrecken sich bei Wasserläufen bis zur Süßwassergre</w:t>
      </w:r>
      <w:r>
        <w:t>n</w:t>
      </w:r>
      <w:r>
        <w:t>ze;</w:t>
      </w:r>
    </w:p>
    <w:p w:rsidR="00486D30" w:rsidRDefault="00486D30" w:rsidP="00E20BF3">
      <w:pPr>
        <w:pStyle w:val="GesAbsatz"/>
        <w:tabs>
          <w:tab w:val="clear" w:pos="425"/>
        </w:tabs>
        <w:ind w:left="426" w:hanging="426"/>
      </w:pPr>
      <w:r>
        <w:t>c)</w:t>
      </w:r>
      <w:r>
        <w:tab/>
        <w:t>„Süßwassergrenze“: die Stelle in dem Wasserlauf, an der bei Ebbe und zu einer Zeit schwachen Sü</w:t>
      </w:r>
      <w:r>
        <w:t>ß</w:t>
      </w:r>
      <w:r>
        <w:t>wasserflusses auf Grund des Vorhandenseins von Meerwasser eine erhebliche Zunahme des Salzge</w:t>
      </w:r>
      <w:r>
        <w:t>h</w:t>
      </w:r>
      <w:r>
        <w:t>altes festzustellen ist;</w:t>
      </w:r>
    </w:p>
    <w:p w:rsidR="00486D30" w:rsidRDefault="00486D30" w:rsidP="00E20BF3">
      <w:pPr>
        <w:pStyle w:val="GesAbsatz"/>
        <w:tabs>
          <w:tab w:val="clear" w:pos="425"/>
        </w:tabs>
        <w:ind w:left="426" w:hanging="426"/>
      </w:pPr>
      <w:r>
        <w:t>d)</w:t>
      </w:r>
      <w:r>
        <w:tab/>
        <w:t>„Ableitung“: jede Einleitung von Stoffen aus der Liste I oder aus der Liste II im Anhang in die in Absatz 1 genannten Gewässer, mit Ausnahme</w:t>
      </w:r>
    </w:p>
    <w:p w:rsidR="00486D30" w:rsidRDefault="00486D30" w:rsidP="00E20BF3">
      <w:pPr>
        <w:pStyle w:val="GesAbsatz"/>
        <w:tabs>
          <w:tab w:val="clear" w:pos="425"/>
        </w:tabs>
        <w:ind w:left="851" w:hanging="425"/>
      </w:pPr>
      <w:r>
        <w:t>-</w:t>
      </w:r>
      <w:r>
        <w:tab/>
        <w:t>der Ableitung von Baggergut,</w:t>
      </w:r>
    </w:p>
    <w:p w:rsidR="00486D30" w:rsidRDefault="00486D30" w:rsidP="00E20BF3">
      <w:pPr>
        <w:pStyle w:val="GesAbsatz"/>
        <w:tabs>
          <w:tab w:val="clear" w:pos="425"/>
        </w:tabs>
        <w:ind w:left="851" w:hanging="425"/>
      </w:pPr>
      <w:r>
        <w:t>-</w:t>
      </w:r>
      <w:r>
        <w:tab/>
        <w:t>der betriebsbedingten Ableitung von Schiffen aus in das Küstenmeer,</w:t>
      </w:r>
    </w:p>
    <w:p w:rsidR="00486D30" w:rsidRDefault="00486D30" w:rsidP="00E20BF3">
      <w:pPr>
        <w:pStyle w:val="GesAbsatz"/>
        <w:tabs>
          <w:tab w:val="clear" w:pos="425"/>
        </w:tabs>
        <w:ind w:left="851" w:hanging="425"/>
      </w:pPr>
      <w:r>
        <w:t>-</w:t>
      </w:r>
      <w:r>
        <w:tab/>
        <w:t>der Versenkung von Abfallstoffen von Schiffen aus in das Küstenmeer;</w:t>
      </w:r>
    </w:p>
    <w:p w:rsidR="00486D30" w:rsidRDefault="00486D30" w:rsidP="00E20BF3">
      <w:pPr>
        <w:pStyle w:val="GesAbsatz"/>
        <w:tabs>
          <w:tab w:val="clear" w:pos="425"/>
        </w:tabs>
        <w:ind w:left="426" w:hanging="426"/>
      </w:pPr>
      <w:r>
        <w:t>e)</w:t>
      </w:r>
      <w:r>
        <w:tab/>
        <w:t>„Verschmutzung“: die unmittelbare oder mittelbare Ableitung von Stoffen oder Energie in die Gewässer durch den Menschen, wenn dadurch die menschliche Gesundheit gefährdet, die lebenden Bestände und das Ökosystem der Gewässer geschädigt, die Erholungsmöglichkeiten beeinträchtigt oder die sonstige rechtmäßige Nutzung der Gewässer behindert werden.</w:t>
      </w:r>
    </w:p>
    <w:p w:rsidR="00486D30" w:rsidRDefault="00486D30">
      <w:pPr>
        <w:pStyle w:val="berschrift2"/>
      </w:pPr>
      <w:bookmarkStart w:id="3" w:name="_Toc464822890"/>
      <w:r>
        <w:t>Artikel 2</w:t>
      </w:r>
      <w:bookmarkEnd w:id="3"/>
    </w:p>
    <w:p w:rsidR="00486D30" w:rsidRDefault="00486D30">
      <w:pPr>
        <w:pStyle w:val="GesAbsatz"/>
      </w:pPr>
      <w:r>
        <w:t>Die Mitgliedstaaten ergreifen geeignete Maßnahmen, um im Einklang mit dieser Richtlinie die Verschmu</w:t>
      </w:r>
      <w:r>
        <w:t>t</w:t>
      </w:r>
      <w:r>
        <w:t>zung der in Artikel 1 genannten Gewässer durch die gefährlichen Stoffe der Familien und Gruppen von Sto</w:t>
      </w:r>
      <w:r>
        <w:t>f</w:t>
      </w:r>
      <w:r>
        <w:t>fen aus der Liste I im Anhang zu beseitigen, und um die Verschmutzung der genannten Gewässer durch die gefährlichen Stoffe der Familien und Gruppen von Stoffen aus der Liste II im Anhang zu verringern, wobei diese Richtlinie einen ersten Schritt zur Erreichung dieses Ziels darstellt.</w:t>
      </w:r>
    </w:p>
    <w:p w:rsidR="00486D30" w:rsidRDefault="00486D30">
      <w:pPr>
        <w:pStyle w:val="berschrift2"/>
      </w:pPr>
      <w:bookmarkStart w:id="4" w:name="_Toc464822891"/>
      <w:r>
        <w:t>Artikel 3</w:t>
      </w:r>
      <w:bookmarkEnd w:id="4"/>
    </w:p>
    <w:p w:rsidR="00486D30" w:rsidRDefault="00486D30">
      <w:pPr>
        <w:pStyle w:val="GesAbsatz"/>
      </w:pPr>
      <w:r>
        <w:t>Für die Stoffe aus den Familien und Gruppen von Stoffen aus der Liste I, nachstehend „Stoffe aus der Liste I“ genannt, gilt folgendes:</w:t>
      </w:r>
    </w:p>
    <w:p w:rsidR="00486D30" w:rsidRDefault="00486D30" w:rsidP="00E20BF3">
      <w:pPr>
        <w:pStyle w:val="GesAbsatz"/>
        <w:tabs>
          <w:tab w:val="clear" w:pos="425"/>
        </w:tabs>
        <w:ind w:left="426" w:hanging="426"/>
      </w:pPr>
      <w:r>
        <w:t>1.</w:t>
      </w:r>
      <w:r>
        <w:tab/>
        <w:t>Jede Ableitung in die in Artikel 1 genannten Gewässer, die einen dieser Stoffe enthalten kann, bedarf einer vorherigen Genehmigung der zuständigen Behörde des betreffenden Mitgliedstaats.</w:t>
      </w:r>
    </w:p>
    <w:p w:rsidR="00486D30" w:rsidRDefault="00486D30" w:rsidP="00E20BF3">
      <w:pPr>
        <w:pStyle w:val="GesAbsatz"/>
        <w:tabs>
          <w:tab w:val="clear" w:pos="425"/>
        </w:tabs>
        <w:ind w:left="426" w:hanging="426"/>
      </w:pPr>
      <w:r>
        <w:t>2.</w:t>
      </w:r>
      <w:r>
        <w:tab/>
        <w:t>Für Ableitungen dieser Stoffe in die in Artikel 1 genannten Gewässer und, sofern es für die Anwendung dieser Richtlinie erforderlich ist, die Ableitungen solcher Stoffe in die Kanalisation, werden mit dieser Genehmigung Emissionsnormen festgesetzt.</w:t>
      </w:r>
    </w:p>
    <w:p w:rsidR="00486D30" w:rsidRDefault="00486D30" w:rsidP="00E20BF3">
      <w:pPr>
        <w:pStyle w:val="GesAbsatz"/>
        <w:tabs>
          <w:tab w:val="clear" w:pos="425"/>
        </w:tabs>
        <w:ind w:left="426" w:hanging="426"/>
      </w:pPr>
      <w:r>
        <w:t>3.</w:t>
      </w:r>
      <w:r>
        <w:tab/>
        <w:t xml:space="preserve">Bei bestehenden Ableitungen dieser Stoffe in die in Artikel 1 genannten Gewässer müssen die </w:t>
      </w:r>
      <w:proofErr w:type="spellStart"/>
      <w:r>
        <w:t>Ableiter</w:t>
      </w:r>
      <w:proofErr w:type="spellEnd"/>
      <w:r>
        <w:t xml:space="preserve"> die in der Genehmigung festgelegten Bedingungen innerhalb der darin gesetzten Frist erfüllen. Diese Frist darf die gemäß Artikel 6 Absatz 4 gesetzten Grenzen nicht überschreiten.</w:t>
      </w:r>
    </w:p>
    <w:p w:rsidR="00486D30" w:rsidRDefault="00486D30" w:rsidP="00E20BF3">
      <w:pPr>
        <w:pStyle w:val="GesAbsatz"/>
        <w:tabs>
          <w:tab w:val="clear" w:pos="425"/>
        </w:tabs>
        <w:ind w:left="426" w:hanging="426"/>
      </w:pPr>
      <w:r>
        <w:t>4.</w:t>
      </w:r>
      <w:r>
        <w:tab/>
        <w:t>Die Genehmigung darf nur für einen begrenzten Zeitraum erteilt werden. Sie kann unter Berücksicht</w:t>
      </w:r>
      <w:r>
        <w:t>i</w:t>
      </w:r>
      <w:r>
        <w:t>gung etwaiger Änderungen der Grenzwerte des Artikels 6 erneuert werden.</w:t>
      </w:r>
    </w:p>
    <w:p w:rsidR="00486D30" w:rsidRDefault="00486D30">
      <w:pPr>
        <w:pStyle w:val="berschrift2"/>
      </w:pPr>
      <w:bookmarkStart w:id="5" w:name="_Toc464822892"/>
      <w:r>
        <w:t>Artikel 4</w:t>
      </w:r>
      <w:bookmarkEnd w:id="5"/>
    </w:p>
    <w:p w:rsidR="00486D30" w:rsidRDefault="00486D30">
      <w:pPr>
        <w:pStyle w:val="GesAbsatz"/>
      </w:pPr>
      <w:r>
        <w:t>(1) Die Mitgliedstaaten wenden auf Ableitungen von Stoffen aus der Liste I in das Grundwasser eine Null-Emissionsregelung an.</w:t>
      </w:r>
    </w:p>
    <w:p w:rsidR="00486D30" w:rsidRDefault="00486D30">
      <w:pPr>
        <w:pStyle w:val="GesAbsatz"/>
      </w:pPr>
      <w:r>
        <w:t>(2) Die Mitgliedstaaten wenden auf Grundwasser die Bestimmungen dieser Richtlinie an, die die Stoffe aus den Familien und Gruppen von Stoffen aus der Liste II, nachstehend „Stoffe aus der Liste II“ genannt, betre</w:t>
      </w:r>
      <w:r>
        <w:t>f</w:t>
      </w:r>
      <w:r>
        <w:t>fen.</w:t>
      </w:r>
    </w:p>
    <w:p w:rsidR="00486D30" w:rsidRDefault="00486D30">
      <w:pPr>
        <w:pStyle w:val="GesAbsatz"/>
      </w:pPr>
      <w:r>
        <w:t>(3) Die Absätze 1 und 2 gelten weder für Haushaltsabwässer noch für das Verpressen in tiefe, salzhaltige und nichtverwendbare Schichten.</w:t>
      </w:r>
    </w:p>
    <w:p w:rsidR="00486D30" w:rsidRDefault="00486D30">
      <w:pPr>
        <w:pStyle w:val="GesAbsatz"/>
      </w:pPr>
      <w:r>
        <w:t>(4) Die das Grundwasser betreffenden Bestimmungen dieser Richtlinie treten mit Beginn der Anwendung einer besonderen Richtlinie über Grundwasser außer Kraft.</w:t>
      </w:r>
    </w:p>
    <w:p w:rsidR="00486D30" w:rsidRDefault="00486D30">
      <w:pPr>
        <w:pStyle w:val="berschrift2"/>
      </w:pPr>
      <w:bookmarkStart w:id="6" w:name="_Toc464822893"/>
      <w:r>
        <w:t>Artikel 5</w:t>
      </w:r>
      <w:bookmarkEnd w:id="6"/>
    </w:p>
    <w:p w:rsidR="00486D30" w:rsidRDefault="00486D30">
      <w:pPr>
        <w:pStyle w:val="GesAbsatz"/>
      </w:pPr>
      <w:r>
        <w:t>(1) Die in den Genehmigungen gemäß Artikel 3 festgesetzten Emissionsnormen legen folgendes fest:</w:t>
      </w:r>
    </w:p>
    <w:p w:rsidR="00486D30" w:rsidRDefault="00486D30" w:rsidP="00E20BF3">
      <w:pPr>
        <w:pStyle w:val="GesAbsatz"/>
        <w:tabs>
          <w:tab w:val="clear" w:pos="425"/>
        </w:tabs>
        <w:ind w:left="426" w:hanging="426"/>
      </w:pPr>
      <w:r>
        <w:t>a)</w:t>
      </w:r>
      <w:r>
        <w:tab/>
        <w:t xml:space="preserve">die in Ableitungen zulässige maximale Konzentration eines Stoffes. Im Falle einer Verdünnung ist der in Artikel 6 Absatz 1 </w:t>
      </w:r>
      <w:proofErr w:type="gramStart"/>
      <w:r>
        <w:t>Buchstabe a) vorgesehene Grenzwert</w:t>
      </w:r>
      <w:proofErr w:type="gramEnd"/>
      <w:r>
        <w:t xml:space="preserve"> durch den Verdünnungsfaktor zu teilen;</w:t>
      </w:r>
    </w:p>
    <w:p w:rsidR="00486D30" w:rsidRDefault="00486D30" w:rsidP="00E20BF3">
      <w:pPr>
        <w:pStyle w:val="GesAbsatz"/>
        <w:tabs>
          <w:tab w:val="clear" w:pos="425"/>
        </w:tabs>
        <w:ind w:left="426" w:hanging="426"/>
      </w:pPr>
      <w:r>
        <w:lastRenderedPageBreak/>
        <w:t>b)</w:t>
      </w:r>
      <w:r>
        <w:tab/>
        <w:t>die in einem oder mehreren bestimmten Zeiträumen in Ableitungen zulässige Höchstmenge eines Sto</w:t>
      </w:r>
      <w:r>
        <w:t>f</w:t>
      </w:r>
      <w:r>
        <w:t>fes. Diese Menge kann erforderlichenfalls darüber hinaus in Gewichtseinheit des Schadstoffes je Ei</w:t>
      </w:r>
      <w:r>
        <w:t>n</w:t>
      </w:r>
      <w:r>
        <w:t>heit des charakteristischen Elements der verunreinigenden Tätigkeit (z. B. Gewichtseinheit je Rohstoff oder je Produkteinheit) ausgedrückt werden.</w:t>
      </w:r>
    </w:p>
    <w:p w:rsidR="00486D30" w:rsidRDefault="00486D30">
      <w:pPr>
        <w:pStyle w:val="GesAbsatz"/>
      </w:pPr>
      <w:r>
        <w:t>(2) Bei jeder Genehmigung kann die zuständige Behörde des betreffenden Mitgliedstaats, falls erforderlich, strengere Emissionsnormen als diejenigen festlegen, die sich aus der Anwendung der Grenzwerte ergeben, die der Rat gemäß Artikel 6 festgesetzt hat, und zwar insbesondere unter Berücksichtigung der Toxizität, der Langlebigkeit und der Bioakkumulation des betreffenden Stoffes in dem Milieu, in das die Ableitung erfolgt.</w:t>
      </w:r>
    </w:p>
    <w:p w:rsidR="00486D30" w:rsidRDefault="00486D30">
      <w:pPr>
        <w:pStyle w:val="GesAbsatz"/>
      </w:pPr>
      <w:r>
        <w:t>(3) Erklärt der Ableiter, daß er die vorgeschriebenen Emissionsnormen nicht einhalten kann, oder stellt die zuständige Behörde des betreffenden Mitgliedstaats dies fest, so wird die Genehmigung verweigert</w:t>
      </w:r>
      <w:proofErr w:type="gramStart"/>
      <w:r>
        <w:t>..</w:t>
      </w:r>
      <w:proofErr w:type="gramEnd"/>
    </w:p>
    <w:p w:rsidR="00486D30" w:rsidRDefault="00486D30">
      <w:pPr>
        <w:pStyle w:val="GesAbsatz"/>
      </w:pPr>
      <w:r>
        <w:t>(4) Werden die Emissionsnormen nicht eingehalten, so unternimmt die zuständige Behörde des betreffenden Mitgliedstaats alle zweckdienlichen Schritte, um sicherzustellen, daß die Voraussetzungen für die Genehm</w:t>
      </w:r>
      <w:r>
        <w:t>i</w:t>
      </w:r>
      <w:r>
        <w:t>gung erfüllt werden und daß die Ableitung erforderlichenfalls verboten wird.</w:t>
      </w:r>
    </w:p>
    <w:p w:rsidR="00486D30" w:rsidRDefault="00486D30">
      <w:pPr>
        <w:pStyle w:val="berschrift2"/>
      </w:pPr>
      <w:bookmarkStart w:id="7" w:name="_Toc464822894"/>
      <w:r>
        <w:t>Artikel 6</w:t>
      </w:r>
      <w:bookmarkEnd w:id="7"/>
    </w:p>
    <w:p w:rsidR="00486D30" w:rsidRDefault="006C7C70">
      <w:pPr>
        <w:pStyle w:val="GesAbsatz"/>
      </w:pPr>
      <w:r>
        <w:t>(aufgehoben gemäß Art. 22 der Verordnung 2000/60/EG)</w:t>
      </w:r>
    </w:p>
    <w:p w:rsidR="00486D30" w:rsidRDefault="00486D30">
      <w:pPr>
        <w:pStyle w:val="berschrift2"/>
      </w:pPr>
      <w:bookmarkStart w:id="8" w:name="_Toc464822895"/>
      <w:r>
        <w:t>Artikel 7</w:t>
      </w:r>
      <w:bookmarkEnd w:id="8"/>
    </w:p>
    <w:p w:rsidR="00486D30" w:rsidRDefault="00486D30">
      <w:pPr>
        <w:pStyle w:val="GesAbsatz"/>
      </w:pPr>
      <w:r>
        <w:t>(1) Zur Verringerung der Verschmutzung der in Artikel 1 genannten Gewässer durch die Stoffe aus der Liste II stellen die Mitgliedstaaten Programme auf, zu deren Durchführung sie insbesondere die in den Absätzen 2 und 3 erwähnten Mittel anwenden.</w:t>
      </w:r>
    </w:p>
    <w:p w:rsidR="00486D30" w:rsidRDefault="00486D30">
      <w:pPr>
        <w:pStyle w:val="GesAbsatz"/>
      </w:pPr>
      <w:r>
        <w:t>(2) Jede Ableitung in die in Artikel 1 genannten Gewässer, die einen der Stoffe aus der Liste II enthalten kann, bedarf einer vorherigen Genehmigung durch die zuständige Behörde des betreffenden Mitgliedstaats, in der die Emissionsnormen festgesetzt werden. Diese sind nach den gemäß Absatz 3 festgelegten Qual</w:t>
      </w:r>
      <w:r>
        <w:t>i</w:t>
      </w:r>
      <w:r>
        <w:t>tätszielen auszurichten.</w:t>
      </w:r>
    </w:p>
    <w:p w:rsidR="00486D30" w:rsidRDefault="00486D30">
      <w:pPr>
        <w:pStyle w:val="GesAbsatz"/>
      </w:pPr>
      <w:r>
        <w:t>(3) Die Programme gemäß Absatz 1 umfassen Qualitätsziele für die Gewässer, die unter Beachtung etwa</w:t>
      </w:r>
      <w:r>
        <w:t>i</w:t>
      </w:r>
      <w:r>
        <w:t>ger Richtlinie</w:t>
      </w:r>
      <w:r w:rsidR="007E7B80">
        <w:t>n</w:t>
      </w:r>
      <w:r>
        <w:t xml:space="preserve"> des Rates festgelegt werden.</w:t>
      </w:r>
    </w:p>
    <w:p w:rsidR="00486D30" w:rsidRDefault="00486D30">
      <w:pPr>
        <w:pStyle w:val="GesAbsatz"/>
      </w:pPr>
      <w:r>
        <w:t>(4) Die Programme können auch spezifische Vorschriften für die Zusammensetzung und Verwendung von Stoffen und Stoffgruppen sowie Produkten enthalten; sie berücksichtigen die letzten wirtschaftlich realisie</w:t>
      </w:r>
      <w:r>
        <w:t>r</w:t>
      </w:r>
      <w:r>
        <w:t>baren technischen Fortschritte.</w:t>
      </w:r>
    </w:p>
    <w:p w:rsidR="00486D30" w:rsidRDefault="00486D30">
      <w:pPr>
        <w:pStyle w:val="GesAbsatz"/>
      </w:pPr>
      <w:r>
        <w:t>(5) In den Programmen werden die Fristen für ihre Durchführung festgelegt.</w:t>
      </w:r>
    </w:p>
    <w:p w:rsidR="00486D30" w:rsidRDefault="00486D30">
      <w:pPr>
        <w:pStyle w:val="GesAbsatz"/>
      </w:pPr>
      <w:r>
        <w:t>(6) Die Programme und die Ergebnisse ihrer Durchführung werden der Kommission in zusammenfassenden Übersichten mitgeteilt.</w:t>
      </w:r>
    </w:p>
    <w:p w:rsidR="00486D30" w:rsidRDefault="00486D30">
      <w:pPr>
        <w:pStyle w:val="GesAbsatz"/>
      </w:pPr>
      <w:r>
        <w:t>(7) Die Kommission nimmt mit den Mitgliedstaaten regelmäßig eine Gegenüberstellung dieser Programme im Hinblick auf eine ausreichende Harmonisierung ihrer Durchführung vor. Sie unterbreitet dem Rat, wenn sie es für erforderlich hält, einschlägige Vorschläge.</w:t>
      </w:r>
    </w:p>
    <w:p w:rsidR="00486D30" w:rsidRDefault="00486D30">
      <w:pPr>
        <w:pStyle w:val="berschrift2"/>
      </w:pPr>
      <w:bookmarkStart w:id="9" w:name="_Toc464822896"/>
      <w:r>
        <w:t>Artikel 8</w:t>
      </w:r>
      <w:bookmarkEnd w:id="9"/>
    </w:p>
    <w:p w:rsidR="00486D30" w:rsidRDefault="00486D30">
      <w:pPr>
        <w:pStyle w:val="GesAbsatz"/>
      </w:pPr>
      <w:r>
        <w:t xml:space="preserve">Die Mitgliedstaaten treffen alle geeigneten Maßnahmen, damit die auf Grund dieser Richtlinie getroffenen Maßnahmen so durchgeführt werden, daß eine Zunahme der Verschmutzung der nicht von Artikel 1 </w:t>
      </w:r>
      <w:proofErr w:type="spellStart"/>
      <w:r>
        <w:t>erfa</w:t>
      </w:r>
      <w:r>
        <w:t>ß</w:t>
      </w:r>
      <w:r>
        <w:t>ten</w:t>
      </w:r>
      <w:proofErr w:type="spellEnd"/>
      <w:r>
        <w:t xml:space="preserve"> Gewässer verhindert wird. Sie untersagen ferner jede Handlung, die eine Umgehung der Bestimmungen dieser Richtlinie bezweckt oder zur Folge hat.</w:t>
      </w:r>
    </w:p>
    <w:p w:rsidR="00486D30" w:rsidRDefault="00486D30">
      <w:pPr>
        <w:pStyle w:val="berschrift2"/>
      </w:pPr>
      <w:bookmarkStart w:id="10" w:name="_Toc464822897"/>
      <w:r>
        <w:t>Artikel 9</w:t>
      </w:r>
      <w:bookmarkEnd w:id="10"/>
    </w:p>
    <w:p w:rsidR="00486D30" w:rsidRDefault="00486D30">
      <w:pPr>
        <w:pStyle w:val="GesAbsatz"/>
      </w:pPr>
      <w:r>
        <w:t>Die Durchführung der auf Grund dieser Richtlinie getroffenen Maßnahmen darf keinesfalls eine unmittelbare oder mittelbare Zunahme der Verschmutzung der in Artikel 1 genannten Gewässer zur Folge haben.</w:t>
      </w:r>
    </w:p>
    <w:p w:rsidR="00486D30" w:rsidRDefault="00486D30">
      <w:pPr>
        <w:pStyle w:val="berschrift2"/>
      </w:pPr>
      <w:bookmarkStart w:id="11" w:name="_Toc464822898"/>
      <w:r>
        <w:t>Artikel 10</w:t>
      </w:r>
      <w:bookmarkEnd w:id="11"/>
    </w:p>
    <w:p w:rsidR="00486D30" w:rsidRDefault="00486D30">
      <w:pPr>
        <w:pStyle w:val="GesAbsatz"/>
      </w:pPr>
      <w:r>
        <w:t>Ein Mitgliedstaat oder mehrere Mitgliedstaaten können gegebenenfalls einzeln oder gemeinsam strengere als die in dieser Richtlinie vorgesehenen Bestimmungen festlegen.</w:t>
      </w:r>
    </w:p>
    <w:p w:rsidR="00486D30" w:rsidRDefault="00486D30">
      <w:pPr>
        <w:pStyle w:val="berschrift2"/>
      </w:pPr>
      <w:bookmarkStart w:id="12" w:name="_Toc464822899"/>
      <w:r>
        <w:t>Artikel 11</w:t>
      </w:r>
      <w:bookmarkEnd w:id="12"/>
    </w:p>
    <w:p w:rsidR="00486D30" w:rsidRDefault="00486D30">
      <w:pPr>
        <w:pStyle w:val="GesAbsatz"/>
      </w:pPr>
      <w:r>
        <w:t>Die zuständige Behörde nimmt eine Bestandsaufnahme der Ableitungen vor, die in die in Artikel 1 genan</w:t>
      </w:r>
      <w:r>
        <w:t>n</w:t>
      </w:r>
      <w:r>
        <w:t>ten Gewässer erfolgen und Stoffe aus der Liste I, für welche Emissionsnormen gelten, enthalten können.</w:t>
      </w:r>
    </w:p>
    <w:p w:rsidR="00486D30" w:rsidRDefault="00486D30">
      <w:pPr>
        <w:pStyle w:val="berschrift2"/>
      </w:pPr>
      <w:bookmarkStart w:id="13" w:name="_Toc464822900"/>
      <w:r>
        <w:lastRenderedPageBreak/>
        <w:t>Artikel 12</w:t>
      </w:r>
      <w:bookmarkEnd w:id="13"/>
    </w:p>
    <w:p w:rsidR="00486D30" w:rsidRDefault="00486D30">
      <w:pPr>
        <w:pStyle w:val="GesAbsatz"/>
      </w:pPr>
      <w:r>
        <w:t>(1) Der Rat beschließt einstimmig binnen neun Monaten über Vorschläge der Kommission gemäß Artikel 6 sowie über Vorschläge zu den entsprechenden Meßverfahren.</w:t>
      </w:r>
    </w:p>
    <w:p w:rsidR="00486D30" w:rsidRDefault="00486D30">
      <w:pPr>
        <w:pStyle w:val="GesAbsatz"/>
      </w:pPr>
      <w:r>
        <w:t>Die Kommission unterbreitet Vorschläge zu einer ersten Reihe von Stoffen sowie den entsprechenden Me</w:t>
      </w:r>
      <w:r>
        <w:t>ß</w:t>
      </w:r>
      <w:r>
        <w:t>verfahren und den Fristen gemäß Artikel 6 Absatz 4 binnen einer maximalen Frist von zwei Jahren nach B</w:t>
      </w:r>
      <w:r>
        <w:t>e</w:t>
      </w:r>
      <w:r>
        <w:t>kanntgabe dieser Richtlinie.</w:t>
      </w:r>
    </w:p>
    <w:p w:rsidR="00486D30" w:rsidRDefault="00486D30">
      <w:pPr>
        <w:pStyle w:val="GesAbsatz"/>
      </w:pPr>
      <w:r>
        <w:t>(2) Die Kommission übermittelt, soweit möglich binnen 27 Monaten nach Bekanntgabe dieser Richtlinie, ihre ersten Vorschläge gemäß Artikel 7 Absatz 7. Der Rat beschließt darüber einstimmig binnen neun Monaten.</w:t>
      </w:r>
    </w:p>
    <w:p w:rsidR="00486D30" w:rsidRDefault="00486D30">
      <w:pPr>
        <w:pStyle w:val="berschrift2"/>
      </w:pPr>
      <w:bookmarkStart w:id="14" w:name="_Toc464822901"/>
      <w:r>
        <w:t>Artikel 13</w:t>
      </w:r>
      <w:bookmarkEnd w:id="14"/>
    </w:p>
    <w:p w:rsidR="00E20BF3" w:rsidRDefault="00E20BF3" w:rsidP="00E20BF3">
      <w:pPr>
        <w:pStyle w:val="GesAbsatz"/>
      </w:pPr>
      <w:r>
        <w:t>(1) Die Mitgliedstaaten übermitteln der Kommission alle drei Jahre Angaben über die Durchführung dieser Richtlinie im Rahmen eines sektoralen Berichts, der auch die anderen einschlägigen Gemeinschaftsrichtl</w:t>
      </w:r>
      <w:r>
        <w:t>i</w:t>
      </w:r>
      <w:r>
        <w:t>nien erfasst. Der Bericht ist anhand eines von der Kommission nach dem Verfahren des Artikels 6 der Rich</w:t>
      </w:r>
      <w:r>
        <w:t>t</w:t>
      </w:r>
      <w:r>
        <w:t>linie 91/692/EWG</w:t>
      </w:r>
      <w:r>
        <w:rPr>
          <w:rStyle w:val="Funotenzeichen"/>
        </w:rPr>
        <w:footnoteReference w:id="4"/>
      </w:r>
      <w:r>
        <w:t xml:space="preserve"> ausgearbeiteten Fragebogens oder Schemas zu erstellen. Der Fragebogen bzw. das Schema wird den Mitgliedstaaten sechs Monate vor Beginn des Berichtszeitraums übersandt. Der Bericht ist bei der Kommission innerhalb von neun Monaten nach Ablauf des von ihm erfassten Dreijahreszeitraums einzureichen.</w:t>
      </w:r>
    </w:p>
    <w:p w:rsidR="00E20BF3" w:rsidRDefault="00E20BF3" w:rsidP="00E20BF3">
      <w:pPr>
        <w:pStyle w:val="GesAbsatz"/>
      </w:pPr>
      <w:r>
        <w:t>Der erste Bericht erfasst den Zeitraum 1993 bis 1995.</w:t>
      </w:r>
    </w:p>
    <w:p w:rsidR="00E20BF3" w:rsidRDefault="00E20BF3" w:rsidP="00E20BF3">
      <w:pPr>
        <w:pStyle w:val="GesAbsatz"/>
      </w:pPr>
      <w:r>
        <w:t>Die Kommission veröffentlicht innerhalb von neun Monaten nach Erhalt der einzelstaatlichen Berichte einen Gemeinschaftsbericht über die Durchführung dieser Richtlinie.</w:t>
      </w:r>
    </w:p>
    <w:p w:rsidR="00E20BF3" w:rsidRDefault="00E20BF3" w:rsidP="00E20BF3">
      <w:pPr>
        <w:pStyle w:val="GesAbsatz"/>
      </w:pPr>
      <w:r>
        <w:t>(2) Die bei Anwendung dieses Artikels erlangten Kenntnisse dürfen nur zu dem Zweck verwertet werden, zu dem sie angefordert worden sind.</w:t>
      </w:r>
    </w:p>
    <w:p w:rsidR="00E20BF3" w:rsidRDefault="00E20BF3" w:rsidP="00E20BF3">
      <w:pPr>
        <w:pStyle w:val="GesAbsatz"/>
      </w:pPr>
      <w:r>
        <w:t>(3) Die Kommission und die zuständigen Behörden der Mitgliedstaaten sowie ihre Beamten und sonstigen Bediensteten sind verpflichtet, Kenntnisse nicht preiszugeben, die sie bei der Anwendung dieser Richtlinie erlangt haben und die ihrem Wesen nach unter das Berufsgeheimnis fallen.</w:t>
      </w:r>
    </w:p>
    <w:p w:rsidR="00E20BF3" w:rsidRDefault="00E20BF3" w:rsidP="00E20BF3">
      <w:pPr>
        <w:pStyle w:val="GesAbsatz"/>
      </w:pPr>
      <w:r>
        <w:t>(4) Die Absätze 2 und 3 stehen der Veröffentlichung von Übersichten oder Zusammenfassungen, die keine Angaben über einzelne Unternehmen oder Unternehmensvereinigungen enthalten, nicht entgegen.</w:t>
      </w:r>
    </w:p>
    <w:p w:rsidR="00486D30" w:rsidRDefault="00486D30" w:rsidP="00E20BF3">
      <w:pPr>
        <w:pStyle w:val="berschrift2"/>
      </w:pPr>
      <w:bookmarkStart w:id="15" w:name="_Toc464822902"/>
      <w:r>
        <w:t>Artikel 14</w:t>
      </w:r>
      <w:bookmarkEnd w:id="15"/>
    </w:p>
    <w:p w:rsidR="00486D30" w:rsidRDefault="00486D30">
      <w:pPr>
        <w:pStyle w:val="GesAbsatz"/>
      </w:pPr>
      <w:r>
        <w:t>Der Rat beschließt auf Vorschlag der Kommission, den diese von sich aus oder auf Antrag eines Mitglie</w:t>
      </w:r>
      <w:r>
        <w:t>d</w:t>
      </w:r>
      <w:r>
        <w:t>staats unterbreitet, eine Revision und erforderlichenfalls Ergänzung der Listen I und II im Lichte der gewo</w:t>
      </w:r>
      <w:r>
        <w:t>n</w:t>
      </w:r>
      <w:r>
        <w:t>nenen Erfahrungen, gegebenenfalls unter Überführung von Stoffen aus der Liste II in die Liste I.</w:t>
      </w:r>
    </w:p>
    <w:p w:rsidR="00486D30" w:rsidRDefault="00486D30">
      <w:pPr>
        <w:pStyle w:val="berschrift2"/>
      </w:pPr>
      <w:bookmarkStart w:id="16" w:name="_Toc464822903"/>
      <w:r>
        <w:t>Artikel 15</w:t>
      </w:r>
      <w:bookmarkEnd w:id="16"/>
    </w:p>
    <w:p w:rsidR="00486D30" w:rsidRDefault="00486D30">
      <w:pPr>
        <w:pStyle w:val="GesAbsatz"/>
      </w:pPr>
      <w:r>
        <w:t>Diese Richtlinie ist an die Mitgliedstaaten gerichtet.</w:t>
      </w:r>
    </w:p>
    <w:p w:rsidR="00486D30" w:rsidRDefault="00486D30">
      <w:pPr>
        <w:pStyle w:val="GesAbsatz"/>
      </w:pPr>
    </w:p>
    <w:p w:rsidR="00486D30" w:rsidRDefault="00486D30">
      <w:pPr>
        <w:pStyle w:val="berschrift2"/>
        <w:jc w:val="left"/>
      </w:pPr>
      <w:bookmarkStart w:id="17" w:name="_Toc464822904"/>
      <w:r>
        <w:t>Anhang</w:t>
      </w:r>
      <w:bookmarkEnd w:id="17"/>
    </w:p>
    <w:p w:rsidR="00486D30" w:rsidRDefault="00486D30">
      <w:pPr>
        <w:pStyle w:val="berschrift3"/>
        <w:jc w:val="left"/>
      </w:pPr>
      <w:bookmarkStart w:id="18" w:name="_Toc464822905"/>
      <w:r>
        <w:t>Liste I der Stoffamilien und Stoffgruppen</w:t>
      </w:r>
      <w:bookmarkEnd w:id="18"/>
    </w:p>
    <w:p w:rsidR="00486D30" w:rsidRDefault="00486D30">
      <w:pPr>
        <w:pStyle w:val="GesAbsatz"/>
      </w:pPr>
      <w:r>
        <w:t>Die Liste I umfaßt bestimmte einzelne Stoffe folgender Stoffamilien oder -gruppen, die hauptsächlich auf Grund ihrer Toxizität, ihrer Langlebigkeit, ihrer Bioakkumulation auszuwählen sind, mit Ausnahme von biol</w:t>
      </w:r>
      <w:r>
        <w:t>o</w:t>
      </w:r>
      <w:r>
        <w:t>gisch unschädlichen Stoffen und Stoffen, die rasch in biologisch unschädliche Stoffe umgewandelt werden:</w:t>
      </w:r>
    </w:p>
    <w:p w:rsidR="00486D30" w:rsidRDefault="00486D30" w:rsidP="00E20BF3">
      <w:pPr>
        <w:pStyle w:val="GesAbsatz"/>
        <w:tabs>
          <w:tab w:val="clear" w:pos="425"/>
        </w:tabs>
        <w:ind w:left="426" w:hanging="426"/>
      </w:pPr>
      <w:r>
        <w:t>1.</w:t>
      </w:r>
      <w:r>
        <w:tab/>
        <w:t>Organische Halogenverbindungen und Stoffe, die im Wasser derartige Verbindungen bilden können;</w:t>
      </w:r>
    </w:p>
    <w:p w:rsidR="00486D30" w:rsidRDefault="00486D30" w:rsidP="00E20BF3">
      <w:pPr>
        <w:pStyle w:val="GesAbsatz"/>
        <w:tabs>
          <w:tab w:val="clear" w:pos="425"/>
        </w:tabs>
        <w:ind w:left="426" w:hanging="426"/>
      </w:pPr>
      <w:r>
        <w:t>2.</w:t>
      </w:r>
      <w:r>
        <w:tab/>
        <w:t>organische Phosphorverbindungen;</w:t>
      </w:r>
    </w:p>
    <w:p w:rsidR="00486D30" w:rsidRDefault="00486D30" w:rsidP="00E20BF3">
      <w:pPr>
        <w:pStyle w:val="GesAbsatz"/>
        <w:tabs>
          <w:tab w:val="clear" w:pos="425"/>
        </w:tabs>
        <w:ind w:left="426" w:hanging="426"/>
      </w:pPr>
      <w:r>
        <w:t>3.</w:t>
      </w:r>
      <w:r>
        <w:tab/>
        <w:t>organische Zinnverbindungen;</w:t>
      </w:r>
    </w:p>
    <w:p w:rsidR="00486D30" w:rsidRDefault="00486D30" w:rsidP="00E20BF3">
      <w:pPr>
        <w:pStyle w:val="GesAbsatz"/>
        <w:tabs>
          <w:tab w:val="clear" w:pos="425"/>
        </w:tabs>
        <w:ind w:left="426" w:hanging="426"/>
      </w:pPr>
      <w:r>
        <w:t>4.</w:t>
      </w:r>
      <w:r>
        <w:tab/>
        <w:t>Stoffe, deren kanzerogene Wirkung im oder durch das Wasser erwiesen ist</w:t>
      </w:r>
      <w:r>
        <w:rPr>
          <w:rStyle w:val="Funotenzeichen"/>
        </w:rPr>
        <w:footnoteReference w:id="5"/>
      </w:r>
      <w:r>
        <w:t>;</w:t>
      </w:r>
    </w:p>
    <w:p w:rsidR="00486D30" w:rsidRDefault="00486D30" w:rsidP="00E20BF3">
      <w:pPr>
        <w:pStyle w:val="GesAbsatz"/>
        <w:tabs>
          <w:tab w:val="clear" w:pos="425"/>
        </w:tabs>
        <w:ind w:left="426" w:hanging="426"/>
      </w:pPr>
      <w:r>
        <w:t>5.</w:t>
      </w:r>
      <w:r>
        <w:tab/>
        <w:t>Quecksilber und Quecksilberverbindungen;</w:t>
      </w:r>
    </w:p>
    <w:p w:rsidR="00486D30" w:rsidRDefault="00486D30" w:rsidP="00E20BF3">
      <w:pPr>
        <w:pStyle w:val="GesAbsatz"/>
        <w:tabs>
          <w:tab w:val="clear" w:pos="425"/>
        </w:tabs>
        <w:ind w:left="426" w:hanging="426"/>
      </w:pPr>
      <w:r>
        <w:t>6.</w:t>
      </w:r>
      <w:r>
        <w:tab/>
        <w:t>Kadmium und Kadmiumverbindungen;</w:t>
      </w:r>
    </w:p>
    <w:p w:rsidR="00486D30" w:rsidRDefault="00486D30" w:rsidP="00E20BF3">
      <w:pPr>
        <w:pStyle w:val="GesAbsatz"/>
        <w:tabs>
          <w:tab w:val="clear" w:pos="425"/>
        </w:tabs>
        <w:ind w:left="426" w:hanging="426"/>
      </w:pPr>
      <w:r>
        <w:lastRenderedPageBreak/>
        <w:t>7.</w:t>
      </w:r>
      <w:r>
        <w:tab/>
        <w:t>beständige Mineralöle und aus Erdöl gewonnene beständige Kohlenwasserstoffe</w:t>
      </w:r>
      <w:r w:rsidR="00921B24">
        <w:t>;</w:t>
      </w:r>
    </w:p>
    <w:p w:rsidR="00486D30" w:rsidRDefault="00486D30" w:rsidP="00E20BF3">
      <w:pPr>
        <w:pStyle w:val="GesAbsatz"/>
        <w:tabs>
          <w:tab w:val="clear" w:pos="425"/>
        </w:tabs>
        <w:ind w:left="426"/>
      </w:pPr>
      <w:r>
        <w:t>sowie für die Anwendung der Artikel 2, 8, 9 und 14 dieser Richtlinie</w:t>
      </w:r>
      <w:r w:rsidR="00921B24">
        <w:t>:</w:t>
      </w:r>
    </w:p>
    <w:p w:rsidR="00486D30" w:rsidRDefault="00486D30" w:rsidP="00E20BF3">
      <w:pPr>
        <w:pStyle w:val="GesAbsatz"/>
        <w:tabs>
          <w:tab w:val="clear" w:pos="425"/>
        </w:tabs>
        <w:ind w:left="426" w:hanging="426"/>
      </w:pPr>
      <w:r>
        <w:t>8.</w:t>
      </w:r>
      <w:r>
        <w:tab/>
        <w:t>langlebige Kunststoffe, die im Wasser treiben, schwimmen oder untergehen können und die jede Nu</w:t>
      </w:r>
      <w:r>
        <w:t>t</w:t>
      </w:r>
      <w:r>
        <w:t>zung der Gewässer behindern können.</w:t>
      </w:r>
    </w:p>
    <w:p w:rsidR="00486D30" w:rsidRDefault="00486D30">
      <w:pPr>
        <w:pStyle w:val="berschrift3"/>
        <w:jc w:val="left"/>
      </w:pPr>
      <w:bookmarkStart w:id="19" w:name="_Toc464822906"/>
      <w:r>
        <w:t>Liste II der Stoffamilien und Stoffgruppen</w:t>
      </w:r>
      <w:bookmarkEnd w:id="19"/>
    </w:p>
    <w:p w:rsidR="00486D30" w:rsidRDefault="00486D30">
      <w:pPr>
        <w:pStyle w:val="GesAbsatz"/>
      </w:pPr>
      <w:r>
        <w:t>Die Liste II umfaßt</w:t>
      </w:r>
    </w:p>
    <w:p w:rsidR="00486D30" w:rsidRDefault="00486D30" w:rsidP="00E20BF3">
      <w:pPr>
        <w:pStyle w:val="GesAbsatz"/>
        <w:tabs>
          <w:tab w:val="clear" w:pos="425"/>
        </w:tabs>
        <w:ind w:left="426" w:hanging="426"/>
      </w:pPr>
      <w:r>
        <w:t>-</w:t>
      </w:r>
      <w:r>
        <w:tab/>
        <w:t>diejenigen Stoffe der in der Liste I aufgeführten Stoffamilien und Stoffgruppen, für die die in Artikel 6 der Richtlinie vorgesehenen Gre</w:t>
      </w:r>
      <w:r w:rsidR="00921B24">
        <w:t>nzwerte nicht festgelegt werden,</w:t>
      </w:r>
    </w:p>
    <w:p w:rsidR="00486D30" w:rsidRDefault="00486D30" w:rsidP="00E20BF3">
      <w:pPr>
        <w:pStyle w:val="GesAbsatz"/>
        <w:tabs>
          <w:tab w:val="clear" w:pos="425"/>
        </w:tabs>
        <w:ind w:left="426" w:hanging="426"/>
      </w:pPr>
      <w:r>
        <w:t>-</w:t>
      </w:r>
      <w:r>
        <w:tab/>
        <w:t>bestimmte einzelne Stoffe und bestimmte Stoffkategorien aus den nachstehend aufgeführten Stoffam</w:t>
      </w:r>
      <w:r>
        <w:t>i</w:t>
      </w:r>
      <w:r>
        <w:t>lien und Stoffgruppen,</w:t>
      </w:r>
    </w:p>
    <w:p w:rsidR="00486D30" w:rsidRDefault="00486D30">
      <w:pPr>
        <w:pStyle w:val="GesAbsatz"/>
      </w:pPr>
      <w:r>
        <w:t>die für die Gewässer schädlich sind, wobei die schädlichen Auswirkungen jedoch auf eine bestimmte Zone beschränkt sein können und von den Merkmalen des aufnehmenden Gewässers und der Lokalisierung a</w:t>
      </w:r>
      <w:r>
        <w:t>b</w:t>
      </w:r>
      <w:r>
        <w:t>hängen.</w:t>
      </w:r>
    </w:p>
    <w:p w:rsidR="00486D30" w:rsidRDefault="00486D30">
      <w:pPr>
        <w:pStyle w:val="berschrift3"/>
        <w:jc w:val="left"/>
      </w:pPr>
      <w:bookmarkStart w:id="20" w:name="_Toc464822907"/>
      <w:r>
        <w:t>Stoffamilien und Stoffgruppen des zweiten Gedankenstrichs</w:t>
      </w:r>
      <w:bookmarkEnd w:id="20"/>
    </w:p>
    <w:p w:rsidR="00486D30" w:rsidRDefault="00486D30" w:rsidP="00E20BF3">
      <w:pPr>
        <w:pStyle w:val="GesAbsatz"/>
        <w:tabs>
          <w:tab w:val="clear" w:pos="425"/>
        </w:tabs>
        <w:spacing w:after="120"/>
        <w:ind w:left="426" w:hanging="426"/>
      </w:pPr>
      <w:r>
        <w:t>1.</w:t>
      </w:r>
      <w:r>
        <w:tab/>
        <w:t>Folgende Metalloide und Metalle und ihre Verbindungen:</w:t>
      </w:r>
    </w:p>
    <w:p w:rsidR="00E20BF3" w:rsidRDefault="00E20BF3" w:rsidP="00E20BF3">
      <w:pPr>
        <w:pStyle w:val="GesAbsatz"/>
      </w:pPr>
      <w:r>
        <w:t>1.</w:t>
      </w:r>
      <w:r>
        <w:tab/>
        <w:t>Zink</w:t>
      </w:r>
    </w:p>
    <w:p w:rsidR="00E20BF3" w:rsidRDefault="00E20BF3" w:rsidP="00E20BF3">
      <w:pPr>
        <w:pStyle w:val="GesAbsatz"/>
      </w:pPr>
      <w:r>
        <w:t>2.</w:t>
      </w:r>
      <w:r>
        <w:tab/>
        <w:t>Kupfer</w:t>
      </w:r>
    </w:p>
    <w:p w:rsidR="00E20BF3" w:rsidRDefault="00E20BF3" w:rsidP="00E20BF3">
      <w:pPr>
        <w:pStyle w:val="GesAbsatz"/>
      </w:pPr>
      <w:r>
        <w:t>3.</w:t>
      </w:r>
      <w:r>
        <w:tab/>
        <w:t>Nickel</w:t>
      </w:r>
    </w:p>
    <w:p w:rsidR="00E20BF3" w:rsidRDefault="00E20BF3" w:rsidP="00E20BF3">
      <w:pPr>
        <w:pStyle w:val="GesAbsatz"/>
      </w:pPr>
      <w:r>
        <w:t>4.</w:t>
      </w:r>
      <w:r>
        <w:tab/>
        <w:t>Chrom</w:t>
      </w:r>
    </w:p>
    <w:p w:rsidR="00E20BF3" w:rsidRDefault="00E20BF3" w:rsidP="00E20BF3">
      <w:pPr>
        <w:pStyle w:val="GesAbsatz"/>
      </w:pPr>
      <w:r>
        <w:t>5.</w:t>
      </w:r>
      <w:r>
        <w:tab/>
        <w:t>Blei</w:t>
      </w:r>
    </w:p>
    <w:p w:rsidR="00E20BF3" w:rsidRDefault="00E20BF3" w:rsidP="00E20BF3">
      <w:pPr>
        <w:pStyle w:val="GesAbsatz"/>
      </w:pPr>
      <w:r>
        <w:t>6.</w:t>
      </w:r>
      <w:r>
        <w:tab/>
        <w:t>Selen</w:t>
      </w:r>
    </w:p>
    <w:p w:rsidR="00E20BF3" w:rsidRDefault="00E20BF3" w:rsidP="00E20BF3">
      <w:pPr>
        <w:pStyle w:val="GesAbsatz"/>
      </w:pPr>
      <w:r>
        <w:t>7.</w:t>
      </w:r>
      <w:r>
        <w:tab/>
        <w:t>Arsen</w:t>
      </w:r>
    </w:p>
    <w:p w:rsidR="00E20BF3" w:rsidRDefault="00E20BF3" w:rsidP="00E20BF3">
      <w:pPr>
        <w:pStyle w:val="GesAbsatz"/>
      </w:pPr>
      <w:r>
        <w:t>8.</w:t>
      </w:r>
      <w:r>
        <w:tab/>
        <w:t>Antimon</w:t>
      </w:r>
    </w:p>
    <w:p w:rsidR="00E20BF3" w:rsidRDefault="00E20BF3" w:rsidP="00E20BF3">
      <w:pPr>
        <w:pStyle w:val="GesAbsatz"/>
      </w:pPr>
      <w:r>
        <w:t>9.</w:t>
      </w:r>
      <w:r>
        <w:tab/>
        <w:t>Molybdän</w:t>
      </w:r>
    </w:p>
    <w:p w:rsidR="00E20BF3" w:rsidRDefault="00E20BF3" w:rsidP="00E20BF3">
      <w:pPr>
        <w:pStyle w:val="GesAbsatz"/>
      </w:pPr>
      <w:r>
        <w:t>10.</w:t>
      </w:r>
      <w:r>
        <w:tab/>
        <w:t>Titan</w:t>
      </w:r>
    </w:p>
    <w:p w:rsidR="00E20BF3" w:rsidRDefault="00E20BF3" w:rsidP="00E20BF3">
      <w:pPr>
        <w:pStyle w:val="GesAbsatz"/>
      </w:pPr>
      <w:r>
        <w:t>11.</w:t>
      </w:r>
      <w:r>
        <w:tab/>
        <w:t>Zinn</w:t>
      </w:r>
    </w:p>
    <w:p w:rsidR="00E20BF3" w:rsidRDefault="00E20BF3" w:rsidP="00E20BF3">
      <w:pPr>
        <w:pStyle w:val="GesAbsatz"/>
      </w:pPr>
      <w:r>
        <w:t>12.</w:t>
      </w:r>
      <w:r>
        <w:tab/>
        <w:t>Barium</w:t>
      </w:r>
    </w:p>
    <w:p w:rsidR="00E20BF3" w:rsidRDefault="00E20BF3" w:rsidP="00E20BF3">
      <w:pPr>
        <w:pStyle w:val="GesAbsatz"/>
      </w:pPr>
      <w:r>
        <w:t>13.</w:t>
      </w:r>
      <w:r>
        <w:tab/>
        <w:t>Beryllium</w:t>
      </w:r>
    </w:p>
    <w:p w:rsidR="00E20BF3" w:rsidRDefault="00E20BF3" w:rsidP="00E20BF3">
      <w:pPr>
        <w:pStyle w:val="GesAbsatz"/>
      </w:pPr>
      <w:r>
        <w:t>14.</w:t>
      </w:r>
      <w:r>
        <w:tab/>
        <w:t>Bor</w:t>
      </w:r>
    </w:p>
    <w:p w:rsidR="00E20BF3" w:rsidRDefault="00E20BF3" w:rsidP="00E20BF3">
      <w:pPr>
        <w:pStyle w:val="GesAbsatz"/>
      </w:pPr>
      <w:r>
        <w:t>15.</w:t>
      </w:r>
      <w:r>
        <w:tab/>
        <w:t>Uran</w:t>
      </w:r>
    </w:p>
    <w:p w:rsidR="00E20BF3" w:rsidRDefault="00E20BF3" w:rsidP="00E20BF3">
      <w:pPr>
        <w:pStyle w:val="GesAbsatz"/>
      </w:pPr>
      <w:r>
        <w:t>16.</w:t>
      </w:r>
      <w:r>
        <w:tab/>
        <w:t>Vanadium</w:t>
      </w:r>
    </w:p>
    <w:p w:rsidR="00E20BF3" w:rsidRDefault="00E20BF3" w:rsidP="00E20BF3">
      <w:pPr>
        <w:pStyle w:val="GesAbsatz"/>
      </w:pPr>
      <w:r>
        <w:t>17.</w:t>
      </w:r>
      <w:r>
        <w:tab/>
        <w:t>Kobalt</w:t>
      </w:r>
    </w:p>
    <w:p w:rsidR="00E20BF3" w:rsidRDefault="00E20BF3" w:rsidP="00E20BF3">
      <w:pPr>
        <w:pStyle w:val="GesAbsatz"/>
      </w:pPr>
      <w:r>
        <w:t>18.</w:t>
      </w:r>
      <w:r>
        <w:tab/>
        <w:t>Thallium</w:t>
      </w:r>
    </w:p>
    <w:p w:rsidR="00E20BF3" w:rsidRDefault="00E20BF3" w:rsidP="00E20BF3">
      <w:pPr>
        <w:pStyle w:val="GesAbsatz"/>
      </w:pPr>
      <w:r>
        <w:t>19.</w:t>
      </w:r>
      <w:r>
        <w:tab/>
        <w:t>Tellur</w:t>
      </w:r>
    </w:p>
    <w:p w:rsidR="00E20BF3" w:rsidRDefault="00E20BF3" w:rsidP="00E20BF3">
      <w:pPr>
        <w:pStyle w:val="GesAbsatz"/>
      </w:pPr>
      <w:r>
        <w:t>20.</w:t>
      </w:r>
      <w:r>
        <w:tab/>
        <w:t>Silber.</w:t>
      </w:r>
    </w:p>
    <w:p w:rsidR="00486D30" w:rsidRDefault="00486D30" w:rsidP="00E20BF3">
      <w:pPr>
        <w:pStyle w:val="GesAbsatz"/>
        <w:tabs>
          <w:tab w:val="clear" w:pos="425"/>
        </w:tabs>
        <w:spacing w:before="120"/>
        <w:ind w:left="426" w:hanging="426"/>
      </w:pPr>
      <w:r>
        <w:t>2.</w:t>
      </w:r>
      <w:r>
        <w:tab/>
        <w:t>Biozide</w:t>
      </w:r>
    </w:p>
    <w:p w:rsidR="00486D30" w:rsidRDefault="00486D30" w:rsidP="00E20BF3">
      <w:pPr>
        <w:pStyle w:val="GesAbsatz"/>
        <w:tabs>
          <w:tab w:val="clear" w:pos="425"/>
        </w:tabs>
        <w:ind w:left="426"/>
      </w:pPr>
      <w:r>
        <w:t>und davon abgeleitete Verbindungen, die nicht in Liste I aufgeführt sind.</w:t>
      </w:r>
    </w:p>
    <w:p w:rsidR="00486D30" w:rsidRDefault="00486D30" w:rsidP="00E20BF3">
      <w:pPr>
        <w:pStyle w:val="GesAbsatz"/>
        <w:tabs>
          <w:tab w:val="clear" w:pos="425"/>
        </w:tabs>
        <w:spacing w:before="120"/>
        <w:ind w:left="426" w:hanging="426"/>
      </w:pPr>
      <w:r>
        <w:t>3.</w:t>
      </w:r>
      <w:r>
        <w:tab/>
        <w:t>Stoffe, die eine abträgliche Wirkung auf den Geschmack und/oder den Geruch der Erzeugnisse haben, die aus den Gewässern für den menschlichen Verzehr gewonnen werden,</w:t>
      </w:r>
    </w:p>
    <w:p w:rsidR="00486D30" w:rsidRDefault="00486D30" w:rsidP="00E20BF3">
      <w:pPr>
        <w:pStyle w:val="GesAbsatz"/>
        <w:tabs>
          <w:tab w:val="clear" w:pos="425"/>
        </w:tabs>
        <w:ind w:left="426"/>
      </w:pPr>
      <w:r>
        <w:t>sowie Verbindungen, die im Wasser zur Bildung solcher Stoffe führen können.</w:t>
      </w:r>
    </w:p>
    <w:p w:rsidR="00486D30" w:rsidRDefault="00486D30" w:rsidP="00E20BF3">
      <w:pPr>
        <w:pStyle w:val="GesAbsatz"/>
        <w:tabs>
          <w:tab w:val="clear" w:pos="425"/>
        </w:tabs>
        <w:spacing w:before="120"/>
        <w:ind w:left="426" w:hanging="426"/>
      </w:pPr>
      <w:r>
        <w:t>4.</w:t>
      </w:r>
      <w:r>
        <w:tab/>
        <w:t>Giftige oder langlebige organische Siliziumverbindungen</w:t>
      </w:r>
      <w:r w:rsidR="00921B24">
        <w:t>,</w:t>
      </w:r>
    </w:p>
    <w:p w:rsidR="00486D30" w:rsidRDefault="00486D30" w:rsidP="00E20BF3">
      <w:pPr>
        <w:pStyle w:val="GesAbsatz"/>
        <w:tabs>
          <w:tab w:val="clear" w:pos="425"/>
        </w:tabs>
        <w:ind w:left="426"/>
      </w:pPr>
      <w:r>
        <w:t>und Stoffe, die im Wasser zur Bildung solcher Verbindungen führen können, mit Ausnahme derjenigen, die biologisch unschädlich sind oder die sich im Wasser rasch in biologisch unschädliche Stoffe u</w:t>
      </w:r>
      <w:r>
        <w:t>m</w:t>
      </w:r>
      <w:r>
        <w:t>wandeln.</w:t>
      </w:r>
    </w:p>
    <w:p w:rsidR="00486D30" w:rsidRDefault="00486D30" w:rsidP="00E20BF3">
      <w:pPr>
        <w:pStyle w:val="GesAbsatz"/>
        <w:tabs>
          <w:tab w:val="clear" w:pos="425"/>
        </w:tabs>
        <w:spacing w:before="120"/>
        <w:ind w:left="426" w:hanging="426"/>
      </w:pPr>
      <w:r>
        <w:lastRenderedPageBreak/>
        <w:t>5.</w:t>
      </w:r>
      <w:r>
        <w:tab/>
        <w:t>Anorganische Phosphorverbindungen und reiner Phosphor.</w:t>
      </w:r>
    </w:p>
    <w:p w:rsidR="00486D30" w:rsidRDefault="00486D30" w:rsidP="00E20BF3">
      <w:pPr>
        <w:pStyle w:val="GesAbsatz"/>
        <w:tabs>
          <w:tab w:val="clear" w:pos="425"/>
        </w:tabs>
        <w:spacing w:before="120"/>
        <w:ind w:left="426" w:hanging="426"/>
      </w:pPr>
      <w:r>
        <w:t>6.</w:t>
      </w:r>
      <w:r>
        <w:tab/>
        <w:t>Nichtbeständige Mineralöle und aus Erdöl gewonnene nichtbeständige Kohlenwasserstoffe.</w:t>
      </w:r>
    </w:p>
    <w:p w:rsidR="00486D30" w:rsidRDefault="00486D30" w:rsidP="00E20BF3">
      <w:pPr>
        <w:pStyle w:val="GesAbsatz"/>
        <w:tabs>
          <w:tab w:val="clear" w:pos="425"/>
        </w:tabs>
        <w:spacing w:before="120"/>
        <w:ind w:left="426" w:hanging="426"/>
      </w:pPr>
      <w:r>
        <w:t>7.</w:t>
      </w:r>
      <w:r>
        <w:tab/>
        <w:t>Zyanide, Fluoride.</w:t>
      </w:r>
    </w:p>
    <w:p w:rsidR="00486D30" w:rsidRDefault="00486D30" w:rsidP="00E20BF3">
      <w:pPr>
        <w:pStyle w:val="GesAbsatz"/>
        <w:tabs>
          <w:tab w:val="clear" w:pos="425"/>
        </w:tabs>
        <w:spacing w:before="120"/>
        <w:ind w:left="426" w:hanging="426"/>
      </w:pPr>
      <w:r>
        <w:t>8.</w:t>
      </w:r>
      <w:r>
        <w:tab/>
        <w:t>Stoffe, die sich auf die Sauerstoffbilanz ungünstig auswirken, insbesondere Ammoniak, Nitrite.</w:t>
      </w:r>
    </w:p>
    <w:p w:rsidR="00486D30" w:rsidRDefault="00486D30">
      <w:pPr>
        <w:pStyle w:val="berschrift3"/>
        <w:jc w:val="left"/>
      </w:pPr>
      <w:bookmarkStart w:id="21" w:name="_Toc464822908"/>
      <w:r>
        <w:t>Erklärung zu Artikel 8</w:t>
      </w:r>
      <w:bookmarkEnd w:id="21"/>
    </w:p>
    <w:p w:rsidR="00486D30" w:rsidRDefault="00486D30">
      <w:pPr>
        <w:pStyle w:val="GesAbsatz"/>
      </w:pPr>
      <w:r>
        <w:t>Die Mitgliedstaaten verpflichten sich, für die Ableitung von Abwässern durch Fernleitungen in die hohe See Anforderungen aufzuerlegen, die nicht weniger streng sein dürfen als die in dieser Richtlinie vorgesehenen Anforderungen.</w:t>
      </w:r>
    </w:p>
    <w:p w:rsidR="00486D30" w:rsidRDefault="00486D30">
      <w:pPr>
        <w:pStyle w:val="GesAbsatz"/>
      </w:pPr>
    </w:p>
    <w:p w:rsidR="00486D30" w:rsidRDefault="00486D30">
      <w:pPr>
        <w:pStyle w:val="GesAbsatz"/>
      </w:pPr>
    </w:p>
    <w:sectPr w:rsidR="00486D30">
      <w:headerReference w:type="default" r:id="rId10"/>
      <w:footerReference w:type="even" r:id="rId11"/>
      <w:footerReference w:type="default" r:id="rId1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11A" w:rsidRDefault="0098411A">
      <w:r>
        <w:separator/>
      </w:r>
    </w:p>
  </w:endnote>
  <w:endnote w:type="continuationSeparator" w:id="0">
    <w:p w:rsidR="0098411A" w:rsidRDefault="0098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FE" w:rsidRDefault="008B77FE">
    <w:pPr>
      <w:pStyle w:val="Fuzeile"/>
      <w:framePr w:wrap="around" w:vAnchor="text" w:hAnchor="margin" w:xAlign="right" w:y="1"/>
    </w:pPr>
    <w:r>
      <w:fldChar w:fldCharType="begin"/>
    </w:r>
    <w:r>
      <w:instrText xml:space="preserve">PAGE  </w:instrText>
    </w:r>
    <w:r>
      <w:fldChar w:fldCharType="end"/>
    </w:r>
  </w:p>
  <w:p w:rsidR="008B77FE" w:rsidRDefault="008B77F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FE" w:rsidRDefault="008B77FE">
    <w:pPr>
      <w:pStyle w:val="Fuzeile"/>
      <w:ind w:right="-1"/>
    </w:pPr>
    <w:r>
      <w:tab/>
    </w:r>
    <w:smartTag w:uri="urn:schemas-microsoft-com:office:smarttags" w:element="date">
      <w:smartTagPr>
        <w:attr w:name="Year" w:val="1976"/>
        <w:attr w:name="Day" w:val="04"/>
        <w:attr w:name="Month" w:val="05"/>
        <w:attr w:name="ls" w:val="trans"/>
      </w:smartTagPr>
      <w:r>
        <w:t>04.05.1976</w:t>
      </w:r>
    </w:smartTag>
    <w:r>
      <w:t xml:space="preserve"> (ABl. L 129 v. 18.</w:t>
    </w:r>
    <w:r w:rsidR="00A54E03">
      <w:t>0</w:t>
    </w:r>
    <w:r>
      <w:t>5.</w:t>
    </w:r>
    <w:r w:rsidR="00A54E03">
      <w:t>19</w:t>
    </w:r>
    <w:r>
      <w:t>76 S. 23)</w:t>
    </w:r>
    <w:r>
      <w:tab/>
      <w:t xml:space="preserve">Seite </w:t>
    </w:r>
    <w:r>
      <w:fldChar w:fldCharType="begin"/>
    </w:r>
    <w:r>
      <w:instrText xml:space="preserve"> PAGE  \* MERGEFORMAT </w:instrText>
    </w:r>
    <w:r>
      <w:fldChar w:fldCharType="separate"/>
    </w:r>
    <w:r w:rsidR="00EE0E56">
      <w:rPr>
        <w:noProof/>
      </w:rPr>
      <w:t>1</w:t>
    </w:r>
    <w:r>
      <w:fldChar w:fldCharType="end"/>
    </w:r>
  </w:p>
  <w:p w:rsidR="008B77FE" w:rsidRDefault="008B77FE">
    <w:pPr>
      <w:pStyle w:val="Fuzeile"/>
      <w:ind w:right="-1"/>
      <w:rPr>
        <w:sz w:val="20"/>
      </w:rPr>
    </w:pPr>
    <w:r>
      <w:tab/>
      <w:t xml:space="preserve">Stand </w:t>
    </w:r>
    <w:smartTag w:uri="urn:schemas-microsoft-com:office:smarttags" w:element="date">
      <w:smartTagPr>
        <w:attr w:name="Year" w:val="2000"/>
        <w:attr w:name="Day" w:val="23"/>
        <w:attr w:name="Month" w:val="10"/>
        <w:attr w:name="ls" w:val="trans"/>
      </w:smartTagPr>
      <w:r>
        <w:t>23.10.2000</w:t>
      </w:r>
    </w:smartTag>
    <w:r>
      <w:t xml:space="preserve"> (ABl. L 327 v. </w:t>
    </w:r>
    <w:smartTag w:uri="urn:schemas-microsoft-com:office:smarttags" w:element="date">
      <w:smartTagPr>
        <w:attr w:name="Year" w:val="2000"/>
        <w:attr w:name="Day" w:val="22"/>
        <w:attr w:name="Month" w:val="12"/>
        <w:attr w:name="ls" w:val="trans"/>
      </w:smartTagPr>
      <w:r>
        <w:t>22.12.2000</w:t>
      </w:r>
    </w:smartTag>
    <w:r>
      <w:t xml:space="preserve"> S.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11A" w:rsidRDefault="0098411A">
      <w:r>
        <w:separator/>
      </w:r>
    </w:p>
  </w:footnote>
  <w:footnote w:type="continuationSeparator" w:id="0">
    <w:p w:rsidR="0098411A" w:rsidRDefault="0098411A">
      <w:r>
        <w:continuationSeparator/>
      </w:r>
    </w:p>
  </w:footnote>
  <w:footnote w:id="1">
    <w:p w:rsidR="008B77FE" w:rsidRDefault="008B77FE">
      <w:pPr>
        <w:pStyle w:val="Funotentext"/>
      </w:pPr>
      <w:r>
        <w:rPr>
          <w:rStyle w:val="Funotenzeichen"/>
        </w:rPr>
        <w:footnoteRef/>
      </w:r>
      <w:r>
        <w:t xml:space="preserve"> ABl. Nr. C 5 vom </w:t>
      </w:r>
      <w:smartTag w:uri="urn:schemas-microsoft-com:office:smarttags" w:element="date">
        <w:smartTagPr>
          <w:attr w:name="Year" w:val="1975"/>
          <w:attr w:name="Day" w:val="8"/>
          <w:attr w:name="Month" w:val="1"/>
          <w:attr w:name="ls" w:val="trans"/>
        </w:smartTagPr>
        <w:r>
          <w:t>8.1.1975</w:t>
        </w:r>
      </w:smartTag>
      <w:r>
        <w:t>, S. 62</w:t>
      </w:r>
    </w:p>
  </w:footnote>
  <w:footnote w:id="2">
    <w:p w:rsidR="008B77FE" w:rsidRDefault="008B77FE">
      <w:pPr>
        <w:pStyle w:val="Funotentext"/>
      </w:pPr>
      <w:r>
        <w:rPr>
          <w:rStyle w:val="Funotenzeichen"/>
        </w:rPr>
        <w:footnoteRef/>
      </w:r>
      <w:r>
        <w:t xml:space="preserve"> ABl. Nr. C 108 vom </w:t>
      </w:r>
      <w:smartTag w:uri="urn:schemas-microsoft-com:office:smarttags" w:element="date">
        <w:smartTagPr>
          <w:attr w:name="Year" w:val="1975"/>
          <w:attr w:name="Day" w:val="15"/>
          <w:attr w:name="Month" w:val="5"/>
          <w:attr w:name="ls" w:val="trans"/>
        </w:smartTagPr>
        <w:r>
          <w:t>15.5.1975</w:t>
        </w:r>
      </w:smartTag>
      <w:r>
        <w:t>, S. 76</w:t>
      </w:r>
    </w:p>
  </w:footnote>
  <w:footnote w:id="3">
    <w:p w:rsidR="008B77FE" w:rsidRDefault="008B77FE">
      <w:pPr>
        <w:pStyle w:val="Funotentext"/>
      </w:pPr>
      <w:r>
        <w:rPr>
          <w:rStyle w:val="Funotenzeichen"/>
        </w:rPr>
        <w:footnoteRef/>
      </w:r>
      <w:r>
        <w:t xml:space="preserve"> ABl. Nr. C 112 vom </w:t>
      </w:r>
      <w:smartTag w:uri="urn:schemas-microsoft-com:office:smarttags" w:element="date">
        <w:smartTagPr>
          <w:attr w:name="Year" w:val="1973"/>
          <w:attr w:name="Day" w:val="20"/>
          <w:attr w:name="Month" w:val="12"/>
          <w:attr w:name="ls" w:val="trans"/>
        </w:smartTagPr>
        <w:r>
          <w:t>20.12.1973</w:t>
        </w:r>
      </w:smartTag>
      <w:r>
        <w:t>, S. 1</w:t>
      </w:r>
    </w:p>
  </w:footnote>
  <w:footnote w:id="4">
    <w:p w:rsidR="008B77FE" w:rsidRPr="00E20BF3" w:rsidRDefault="008B77FE" w:rsidP="00E20BF3">
      <w:pPr>
        <w:tabs>
          <w:tab w:val="clear" w:pos="425"/>
        </w:tabs>
        <w:spacing w:before="0" w:after="0"/>
        <w:jc w:val="left"/>
        <w:rPr>
          <w:sz w:val="16"/>
          <w:szCs w:val="16"/>
        </w:rPr>
      </w:pPr>
      <w:r w:rsidRPr="00E20BF3">
        <w:rPr>
          <w:rStyle w:val="Funotenzeichen"/>
          <w:sz w:val="16"/>
          <w:szCs w:val="16"/>
        </w:rPr>
        <w:footnoteRef/>
      </w:r>
      <w:r w:rsidRPr="00E20BF3">
        <w:rPr>
          <w:sz w:val="16"/>
          <w:szCs w:val="16"/>
        </w:rPr>
        <w:t xml:space="preserve"> ABl. Nr. L 377 vom </w:t>
      </w:r>
      <w:smartTag w:uri="urn:schemas-microsoft-com:office:smarttags" w:element="date">
        <w:smartTagPr>
          <w:attr w:name="Year" w:val="1991"/>
          <w:attr w:name="Day" w:val="31"/>
          <w:attr w:name="Month" w:val="12"/>
          <w:attr w:name="ls" w:val="trans"/>
        </w:smartTagPr>
        <w:r w:rsidRPr="00E20BF3">
          <w:rPr>
            <w:sz w:val="16"/>
            <w:szCs w:val="16"/>
          </w:rPr>
          <w:t>31.12.1991</w:t>
        </w:r>
      </w:smartTag>
      <w:r w:rsidRPr="00E20BF3">
        <w:rPr>
          <w:sz w:val="16"/>
          <w:szCs w:val="16"/>
        </w:rPr>
        <w:t>, S. 48</w:t>
      </w:r>
    </w:p>
  </w:footnote>
  <w:footnote w:id="5">
    <w:p w:rsidR="008B77FE" w:rsidRDefault="008B77FE">
      <w:pPr>
        <w:pStyle w:val="Funotentext"/>
      </w:pPr>
      <w:r>
        <w:rPr>
          <w:rStyle w:val="Funotenzeichen"/>
        </w:rPr>
        <w:footnoteRef/>
      </w:r>
      <w:r>
        <w:t xml:space="preserve"> Sofern bestimmte Stoffe aus der Liste II kanzerogene Wirkung haben, fallen sie unter Gruppe 4 dieser Liste.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FE" w:rsidRDefault="008B77FE" w:rsidP="00A54E03">
    <w:pPr>
      <w:pStyle w:val="Kopfzeile0"/>
    </w:pPr>
    <w:r w:rsidRPr="00A54E03">
      <w:t>Archiv7</w:t>
    </w:r>
    <w:r>
      <w:t>.19</w:t>
    </w:r>
  </w:p>
  <w:p w:rsidR="008B77FE" w:rsidRDefault="008B77FE">
    <w:pPr>
      <w:pStyle w:val="Kopfzeile"/>
    </w:pPr>
    <w:r>
      <w:t>76/464/EWG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BF3"/>
    <w:rsid w:val="00130894"/>
    <w:rsid w:val="001A5C26"/>
    <w:rsid w:val="00486D30"/>
    <w:rsid w:val="004D0C97"/>
    <w:rsid w:val="004F6E47"/>
    <w:rsid w:val="0051305D"/>
    <w:rsid w:val="005231B3"/>
    <w:rsid w:val="005955E8"/>
    <w:rsid w:val="005A06FC"/>
    <w:rsid w:val="006225FC"/>
    <w:rsid w:val="006410C4"/>
    <w:rsid w:val="00650A80"/>
    <w:rsid w:val="006C7C70"/>
    <w:rsid w:val="007E7B80"/>
    <w:rsid w:val="008840F0"/>
    <w:rsid w:val="008B77FE"/>
    <w:rsid w:val="008E7A14"/>
    <w:rsid w:val="00921B24"/>
    <w:rsid w:val="00981146"/>
    <w:rsid w:val="0098411A"/>
    <w:rsid w:val="00A41D44"/>
    <w:rsid w:val="00A5490B"/>
    <w:rsid w:val="00A54E03"/>
    <w:rsid w:val="00B45F0A"/>
    <w:rsid w:val="00BF375B"/>
    <w:rsid w:val="00BF72DA"/>
    <w:rsid w:val="00E20BF3"/>
    <w:rsid w:val="00EE0E56"/>
    <w:rsid w:val="00FF3C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54E03"/>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A54E03"/>
    <w:pPr>
      <w:keepNext/>
      <w:spacing w:after="120"/>
      <w:jc w:val="center"/>
      <w:outlineLvl w:val="0"/>
    </w:pPr>
    <w:rPr>
      <w:b/>
      <w:kern w:val="28"/>
      <w:sz w:val="28"/>
    </w:rPr>
  </w:style>
  <w:style w:type="paragraph" w:styleId="berschrift2">
    <w:name w:val="heading 2"/>
    <w:basedOn w:val="Standard"/>
    <w:next w:val="GesAbsatz"/>
    <w:qFormat/>
    <w:rsid w:val="00A54E03"/>
    <w:pPr>
      <w:keepNext/>
      <w:spacing w:before="240"/>
      <w:jc w:val="center"/>
      <w:outlineLvl w:val="1"/>
    </w:pPr>
    <w:rPr>
      <w:b/>
      <w:sz w:val="24"/>
    </w:rPr>
  </w:style>
  <w:style w:type="paragraph" w:styleId="berschrift3">
    <w:name w:val="heading 3"/>
    <w:basedOn w:val="Standard"/>
    <w:next w:val="GesAbsatz"/>
    <w:qFormat/>
    <w:rsid w:val="00A54E03"/>
    <w:pPr>
      <w:keepNext/>
      <w:spacing w:before="240" w:after="180"/>
      <w:jc w:val="center"/>
      <w:outlineLvl w:val="2"/>
    </w:pPr>
    <w:rPr>
      <w:b/>
    </w:rPr>
  </w:style>
  <w:style w:type="paragraph" w:styleId="berschrift4">
    <w:name w:val="heading 4"/>
    <w:basedOn w:val="Standard"/>
    <w:next w:val="Standard"/>
    <w:rsid w:val="00A54E03"/>
    <w:pPr>
      <w:keepNext/>
      <w:spacing w:before="240"/>
      <w:outlineLvl w:val="3"/>
    </w:pPr>
  </w:style>
  <w:style w:type="paragraph" w:styleId="berschrift5">
    <w:name w:val="heading 5"/>
    <w:basedOn w:val="Standard"/>
    <w:next w:val="Standard"/>
    <w:rsid w:val="00A54E03"/>
    <w:pPr>
      <w:spacing w:before="120"/>
      <w:ind w:left="709" w:hanging="709"/>
      <w:outlineLvl w:val="4"/>
    </w:pPr>
  </w:style>
  <w:style w:type="character" w:default="1" w:styleId="Absatz-Standardschriftart">
    <w:name w:val="Default Paragraph Font"/>
    <w:uiPriority w:val="1"/>
    <w:unhideWhenUsed/>
    <w:rsid w:val="00A54E03"/>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A54E03"/>
  </w:style>
  <w:style w:type="paragraph" w:styleId="Kopfzeile">
    <w:name w:val="header"/>
    <w:basedOn w:val="Standard"/>
    <w:qFormat/>
    <w:rsid w:val="00A54E03"/>
    <w:pPr>
      <w:tabs>
        <w:tab w:val="center" w:pos="4536"/>
        <w:tab w:val="right" w:pos="9072"/>
      </w:tabs>
      <w:spacing w:before="0" w:after="120"/>
      <w:jc w:val="right"/>
    </w:pPr>
  </w:style>
  <w:style w:type="paragraph" w:styleId="Fuzeile">
    <w:name w:val="footer"/>
    <w:basedOn w:val="Standard"/>
    <w:qFormat/>
    <w:rsid w:val="00A54E03"/>
    <w:pPr>
      <w:tabs>
        <w:tab w:val="clear" w:pos="425"/>
        <w:tab w:val="right" w:pos="8505"/>
        <w:tab w:val="right" w:pos="9639"/>
      </w:tabs>
      <w:spacing w:before="0" w:after="0"/>
      <w:jc w:val="left"/>
    </w:pPr>
    <w:rPr>
      <w:sz w:val="16"/>
    </w:rPr>
  </w:style>
  <w:style w:type="paragraph" w:styleId="Verzeichnis2">
    <w:name w:val="toc 2"/>
    <w:basedOn w:val="Standard"/>
    <w:next w:val="Standard"/>
    <w:rsid w:val="00A54E03"/>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rsid w:val="00A54E03"/>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A54E03"/>
    <w:pPr>
      <w:spacing w:before="0" w:after="0"/>
    </w:pPr>
    <w:rPr>
      <w:sz w:val="16"/>
    </w:rPr>
  </w:style>
  <w:style w:type="paragraph" w:styleId="Verzeichnis1">
    <w:name w:val="toc 1"/>
    <w:basedOn w:val="Verzeichnis3"/>
    <w:next w:val="Standard"/>
    <w:rsid w:val="00A54E03"/>
    <w:pPr>
      <w:spacing w:before="120" w:after="120"/>
      <w:ind w:left="0"/>
    </w:pPr>
    <w:rPr>
      <w:b/>
      <w:i w:val="0"/>
      <w:caps/>
    </w:rPr>
  </w:style>
  <w:style w:type="paragraph" w:customStyle="1" w:styleId="GesAbsatz">
    <w:name w:val="GesAbsatz"/>
    <w:basedOn w:val="Standard"/>
    <w:qFormat/>
    <w:rsid w:val="00A54E03"/>
    <w:pPr>
      <w:spacing w:before="100"/>
    </w:pPr>
    <w:rPr>
      <w:color w:val="000000"/>
    </w:rPr>
  </w:style>
  <w:style w:type="paragraph" w:styleId="Verzeichnis4">
    <w:name w:val="toc 4"/>
    <w:basedOn w:val="Standard"/>
    <w:next w:val="Standard"/>
    <w:semiHidden/>
    <w:rsid w:val="00A54E03"/>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A54E03"/>
    <w:rPr>
      <w:sz w:val="20"/>
      <w:szCs w:val="20"/>
      <w:vertAlign w:val="superscript"/>
    </w:rPr>
  </w:style>
  <w:style w:type="paragraph" w:styleId="Verzeichnis5">
    <w:name w:val="toc 5"/>
    <w:basedOn w:val="Standard"/>
    <w:next w:val="Standard"/>
    <w:semiHidden/>
    <w:rsid w:val="00A54E03"/>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A54E03"/>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A54E03"/>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A54E03"/>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A54E03"/>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A54E03"/>
    <w:rPr>
      <w:color w:val="0000FF"/>
      <w:u w:val="single"/>
    </w:rPr>
  </w:style>
  <w:style w:type="character" w:styleId="BesuchterHyperlink">
    <w:name w:val="FollowedHyperlink"/>
    <w:basedOn w:val="Absatz-Standardschriftart"/>
    <w:rsid w:val="001A5C26"/>
    <w:rPr>
      <w:color w:val="800080"/>
      <w:u w:val="single"/>
    </w:rPr>
  </w:style>
  <w:style w:type="paragraph" w:customStyle="1" w:styleId="Kopfzeile0">
    <w:name w:val="Kopfzeile0"/>
    <w:basedOn w:val="Standard"/>
    <w:next w:val="Kopfzeile"/>
    <w:qFormat/>
    <w:rsid w:val="00A54E03"/>
    <w:pPr>
      <w:spacing w:before="0" w:after="0"/>
      <w:jc w:val="right"/>
    </w:pPr>
    <w:rPr>
      <w:b/>
      <w:sz w:val="24"/>
    </w:rPr>
  </w:style>
  <w:style w:type="character" w:styleId="Seitenzahl">
    <w:name w:val="page number"/>
    <w:rsid w:val="00A54E03"/>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54E03"/>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A54E03"/>
    <w:pPr>
      <w:keepNext/>
      <w:spacing w:after="120"/>
      <w:jc w:val="center"/>
      <w:outlineLvl w:val="0"/>
    </w:pPr>
    <w:rPr>
      <w:b/>
      <w:kern w:val="28"/>
      <w:sz w:val="28"/>
    </w:rPr>
  </w:style>
  <w:style w:type="paragraph" w:styleId="berschrift2">
    <w:name w:val="heading 2"/>
    <w:basedOn w:val="Standard"/>
    <w:next w:val="GesAbsatz"/>
    <w:qFormat/>
    <w:rsid w:val="00A54E03"/>
    <w:pPr>
      <w:keepNext/>
      <w:spacing w:before="240"/>
      <w:jc w:val="center"/>
      <w:outlineLvl w:val="1"/>
    </w:pPr>
    <w:rPr>
      <w:b/>
      <w:sz w:val="24"/>
    </w:rPr>
  </w:style>
  <w:style w:type="paragraph" w:styleId="berschrift3">
    <w:name w:val="heading 3"/>
    <w:basedOn w:val="Standard"/>
    <w:next w:val="GesAbsatz"/>
    <w:qFormat/>
    <w:rsid w:val="00A54E03"/>
    <w:pPr>
      <w:keepNext/>
      <w:spacing w:before="240" w:after="180"/>
      <w:jc w:val="center"/>
      <w:outlineLvl w:val="2"/>
    </w:pPr>
    <w:rPr>
      <w:b/>
    </w:rPr>
  </w:style>
  <w:style w:type="paragraph" w:styleId="berschrift4">
    <w:name w:val="heading 4"/>
    <w:basedOn w:val="Standard"/>
    <w:next w:val="Standard"/>
    <w:rsid w:val="00A54E03"/>
    <w:pPr>
      <w:keepNext/>
      <w:spacing w:before="240"/>
      <w:outlineLvl w:val="3"/>
    </w:pPr>
  </w:style>
  <w:style w:type="paragraph" w:styleId="berschrift5">
    <w:name w:val="heading 5"/>
    <w:basedOn w:val="Standard"/>
    <w:next w:val="Standard"/>
    <w:rsid w:val="00A54E03"/>
    <w:pPr>
      <w:spacing w:before="120"/>
      <w:ind w:left="709" w:hanging="709"/>
      <w:outlineLvl w:val="4"/>
    </w:pPr>
  </w:style>
  <w:style w:type="character" w:default="1" w:styleId="Absatz-Standardschriftart">
    <w:name w:val="Default Paragraph Font"/>
    <w:uiPriority w:val="1"/>
    <w:unhideWhenUsed/>
    <w:rsid w:val="00A54E03"/>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A54E03"/>
  </w:style>
  <w:style w:type="paragraph" w:styleId="Kopfzeile">
    <w:name w:val="header"/>
    <w:basedOn w:val="Standard"/>
    <w:qFormat/>
    <w:rsid w:val="00A54E03"/>
    <w:pPr>
      <w:tabs>
        <w:tab w:val="center" w:pos="4536"/>
        <w:tab w:val="right" w:pos="9072"/>
      </w:tabs>
      <w:spacing w:before="0" w:after="120"/>
      <w:jc w:val="right"/>
    </w:pPr>
  </w:style>
  <w:style w:type="paragraph" w:styleId="Fuzeile">
    <w:name w:val="footer"/>
    <w:basedOn w:val="Standard"/>
    <w:qFormat/>
    <w:rsid w:val="00A54E03"/>
    <w:pPr>
      <w:tabs>
        <w:tab w:val="clear" w:pos="425"/>
        <w:tab w:val="right" w:pos="8505"/>
        <w:tab w:val="right" w:pos="9639"/>
      </w:tabs>
      <w:spacing w:before="0" w:after="0"/>
      <w:jc w:val="left"/>
    </w:pPr>
    <w:rPr>
      <w:sz w:val="16"/>
    </w:rPr>
  </w:style>
  <w:style w:type="paragraph" w:styleId="Verzeichnis2">
    <w:name w:val="toc 2"/>
    <w:basedOn w:val="Standard"/>
    <w:next w:val="Standard"/>
    <w:rsid w:val="00A54E03"/>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rsid w:val="00A54E03"/>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A54E03"/>
    <w:pPr>
      <w:spacing w:before="0" w:after="0"/>
    </w:pPr>
    <w:rPr>
      <w:sz w:val="16"/>
    </w:rPr>
  </w:style>
  <w:style w:type="paragraph" w:styleId="Verzeichnis1">
    <w:name w:val="toc 1"/>
    <w:basedOn w:val="Verzeichnis3"/>
    <w:next w:val="Standard"/>
    <w:rsid w:val="00A54E03"/>
    <w:pPr>
      <w:spacing w:before="120" w:after="120"/>
      <w:ind w:left="0"/>
    </w:pPr>
    <w:rPr>
      <w:b/>
      <w:i w:val="0"/>
      <w:caps/>
    </w:rPr>
  </w:style>
  <w:style w:type="paragraph" w:customStyle="1" w:styleId="GesAbsatz">
    <w:name w:val="GesAbsatz"/>
    <w:basedOn w:val="Standard"/>
    <w:qFormat/>
    <w:rsid w:val="00A54E03"/>
    <w:pPr>
      <w:spacing w:before="100"/>
    </w:pPr>
    <w:rPr>
      <w:color w:val="000000"/>
    </w:rPr>
  </w:style>
  <w:style w:type="paragraph" w:styleId="Verzeichnis4">
    <w:name w:val="toc 4"/>
    <w:basedOn w:val="Standard"/>
    <w:next w:val="Standard"/>
    <w:semiHidden/>
    <w:rsid w:val="00A54E03"/>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A54E03"/>
    <w:rPr>
      <w:sz w:val="20"/>
      <w:szCs w:val="20"/>
      <w:vertAlign w:val="superscript"/>
    </w:rPr>
  </w:style>
  <w:style w:type="paragraph" w:styleId="Verzeichnis5">
    <w:name w:val="toc 5"/>
    <w:basedOn w:val="Standard"/>
    <w:next w:val="Standard"/>
    <w:semiHidden/>
    <w:rsid w:val="00A54E03"/>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A54E03"/>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A54E03"/>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A54E03"/>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A54E03"/>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A54E03"/>
    <w:rPr>
      <w:color w:val="0000FF"/>
      <w:u w:val="single"/>
    </w:rPr>
  </w:style>
  <w:style w:type="character" w:styleId="BesuchterHyperlink">
    <w:name w:val="FollowedHyperlink"/>
    <w:basedOn w:val="Absatz-Standardschriftart"/>
    <w:rsid w:val="001A5C26"/>
    <w:rPr>
      <w:color w:val="800080"/>
      <w:u w:val="single"/>
    </w:rPr>
  </w:style>
  <w:style w:type="paragraph" w:customStyle="1" w:styleId="Kopfzeile0">
    <w:name w:val="Kopfzeile0"/>
    <w:basedOn w:val="Standard"/>
    <w:next w:val="Kopfzeile"/>
    <w:qFormat/>
    <w:rsid w:val="00A54E03"/>
    <w:pPr>
      <w:spacing w:before="0" w:after="0"/>
      <w:jc w:val="right"/>
    </w:pPr>
    <w:rPr>
      <w:b/>
      <w:sz w:val="24"/>
    </w:rPr>
  </w:style>
  <w:style w:type="character" w:styleId="Seitenzahl">
    <w:name w:val="page number"/>
    <w:rsid w:val="00A54E03"/>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DE/TXT/PDF/?uri=CELEX:31991L0692&amp;from=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r-lex.europa.eu/legal-content/DE/TXT/PDF/?uri=CELEX:31976L0464&amp;from=DE"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ur-lex.europa.eu/resource.html?uri=cellar:5c835afb-2ec6-4577-bdf8-756d3d694eeb.0003.02/DOC_1&amp;format=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7</Pages>
  <Words>2585</Words>
  <Characters>17294</Characters>
  <Application>Microsoft Office Word</Application>
  <DocSecurity>0</DocSecurity>
  <Lines>144</Lines>
  <Paragraphs>39</Paragraphs>
  <ScaleCrop>false</ScaleCrop>
  <HeadingPairs>
    <vt:vector size="2" baseType="variant">
      <vt:variant>
        <vt:lpstr>Titel</vt:lpstr>
      </vt:variant>
      <vt:variant>
        <vt:i4>1</vt:i4>
      </vt:variant>
    </vt:vector>
  </HeadingPairs>
  <TitlesOfParts>
    <vt:vector size="1" baseType="lpstr">
      <vt:lpstr>Richtlinie des Rates vom 4. Mai 1976  betreffend die Verschmutzung infolge der Ableitung bestimmter gefährlicher Stoffe in die Gewässer der Gemeinschaft</vt:lpstr>
    </vt:vector>
  </TitlesOfParts>
  <Company>LANUV NRW</Company>
  <LinksUpToDate>false</LinksUpToDate>
  <CharactersWithSpaces>19840</CharactersWithSpaces>
  <SharedDoc>false</SharedDoc>
  <HLinks>
    <vt:vector size="12" baseType="variant">
      <vt:variant>
        <vt:i4>5636190</vt:i4>
      </vt:variant>
      <vt:variant>
        <vt:i4>3</vt:i4>
      </vt:variant>
      <vt:variant>
        <vt:i4>0</vt:i4>
      </vt:variant>
      <vt:variant>
        <vt:i4>5</vt:i4>
      </vt:variant>
      <vt:variant>
        <vt:lpwstr>http://europa.eu.int/eur-lex/lex/LexUriServ/site/de/oj/2006/l_064/l_06420060304de00520059.pdf</vt:lpwstr>
      </vt:variant>
      <vt:variant>
        <vt:lpwstr/>
      </vt:variant>
      <vt:variant>
        <vt:i4>720970</vt:i4>
      </vt:variant>
      <vt:variant>
        <vt:i4>0</vt:i4>
      </vt:variant>
      <vt:variant>
        <vt:i4>0</vt:i4>
      </vt:variant>
      <vt:variant>
        <vt:i4>5</vt:i4>
      </vt:variant>
      <vt:variant>
        <vt:lpwstr>http://europa.eu.int/eur-lex/pri/de/oj/dat/2000/l_327/l_32720001222de00010072.pdf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des Rates vom 4. Mai 1976  betreffend die Verschmutzung infolge der Ableitung bestimmter gefährlicher Stoffe in die Gewässer der Gemeinschaft</dc:title>
  <dc:creator>LANUV NRW</dc:creator>
  <dc:description>durchgesehen 01.2005</dc:description>
  <cp:lastModifiedBy>rueter</cp:lastModifiedBy>
  <cp:revision>5</cp:revision>
  <cp:lastPrinted>2005-01-17T12:10:00Z</cp:lastPrinted>
  <dcterms:created xsi:type="dcterms:W3CDTF">2016-10-21T12:24:00Z</dcterms:created>
  <dcterms:modified xsi:type="dcterms:W3CDTF">2016-10-21T12:29:00Z</dcterms:modified>
</cp:coreProperties>
</file>