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E9" w:rsidRPr="001F2E07" w:rsidRDefault="002648E9" w:rsidP="001F2E07">
      <w:pPr>
        <w:pStyle w:val="berschrift1"/>
      </w:pPr>
      <w:bookmarkStart w:id="0" w:name="_Toc465343633"/>
      <w:r w:rsidRPr="001F2E07">
        <w:t xml:space="preserve">Richtlinie des Rates </w:t>
      </w:r>
      <w:hyperlink r:id="rId7" w:history="1">
        <w:r w:rsidR="001F2E07" w:rsidRPr="0004694E">
          <w:rPr>
            <w:rStyle w:val="Hyperlink"/>
          </w:rPr>
          <w:t>82/242/EWG</w:t>
        </w:r>
      </w:hyperlink>
      <w:r w:rsidR="001F2E07" w:rsidRPr="001F2E07">
        <w:t xml:space="preserve"> </w:t>
      </w:r>
      <w:r w:rsidRPr="001F2E07">
        <w:t>vom 31.</w:t>
      </w:r>
      <w:r w:rsidR="00A321A8">
        <w:t xml:space="preserve"> </w:t>
      </w:r>
      <w:r w:rsidRPr="001F2E07">
        <w:t>März</w:t>
      </w:r>
      <w:r w:rsidR="00A321A8">
        <w:t xml:space="preserve"> </w:t>
      </w:r>
      <w:r w:rsidRPr="001F2E07">
        <w:t>1982 zur Angleichung der Rechtsvorschriften der Mitgliedstaaten über die Methoden zur Ko</w:t>
      </w:r>
      <w:r w:rsidRPr="001F2E07">
        <w:t>n</w:t>
      </w:r>
      <w:r w:rsidRPr="001F2E07">
        <w:t>trolle der biologischen Abbaubarkeit nichtionischer grenzflächenaktiver Subs</w:t>
      </w:r>
      <w:bookmarkStart w:id="1" w:name="_GoBack"/>
      <w:bookmarkEnd w:id="1"/>
      <w:r w:rsidRPr="001F2E07">
        <w:t>tanzen und zur Änderung der Richtlinie</w:t>
      </w:r>
      <w:r w:rsidR="00A321A8">
        <w:t xml:space="preserve"> </w:t>
      </w:r>
      <w:r w:rsidRPr="001F2E07">
        <w:t>73/404/EWG</w:t>
      </w:r>
      <w:bookmarkEnd w:id="0"/>
    </w:p>
    <w:p w:rsidR="002648E9" w:rsidRPr="001F2E07" w:rsidRDefault="002648E9">
      <w:pPr>
        <w:pStyle w:val="GesAbsatz"/>
        <w:jc w:val="left"/>
        <w:rPr>
          <w:b/>
          <w:i/>
          <w:iCs/>
          <w:color w:val="FF0000"/>
          <w:sz w:val="22"/>
          <w:szCs w:val="22"/>
        </w:rPr>
      </w:pPr>
      <w:r w:rsidRPr="001F2E07">
        <w:rPr>
          <w:b/>
          <w:i/>
          <w:iCs/>
          <w:color w:val="FF0000"/>
          <w:sz w:val="22"/>
          <w:szCs w:val="22"/>
        </w:rPr>
        <w:t xml:space="preserve">Die Richtlinie wird ab dem </w:t>
      </w:r>
      <w:smartTag w:uri="urn:schemas-microsoft-com:office:smarttags" w:element="date">
        <w:smartTagPr>
          <w:attr w:name="Year" w:val="2005"/>
          <w:attr w:name="Day" w:val="8"/>
          <w:attr w:name="Month" w:val="10"/>
          <w:attr w:name="ls" w:val="trans"/>
        </w:smartTagPr>
        <w:r w:rsidRPr="001F2E07">
          <w:rPr>
            <w:b/>
            <w:i/>
            <w:iCs/>
            <w:color w:val="FF0000"/>
            <w:sz w:val="22"/>
            <w:szCs w:val="22"/>
          </w:rPr>
          <w:t>8.10.2005</w:t>
        </w:r>
      </w:smartTag>
      <w:r w:rsidRPr="001F2E07">
        <w:rPr>
          <w:b/>
          <w:i/>
          <w:iCs/>
          <w:color w:val="FF0000"/>
          <w:sz w:val="22"/>
          <w:szCs w:val="22"/>
        </w:rPr>
        <w:t xml:space="preserve"> aufgehoben. Ersetzt durch VO 648/2004 über Deterge</w:t>
      </w:r>
      <w:r w:rsidRPr="001F2E07">
        <w:rPr>
          <w:b/>
          <w:i/>
          <w:iCs/>
          <w:color w:val="FF0000"/>
          <w:sz w:val="22"/>
          <w:szCs w:val="22"/>
        </w:rPr>
        <w:t>n</w:t>
      </w:r>
      <w:r w:rsidRPr="001F2E07">
        <w:rPr>
          <w:b/>
          <w:i/>
          <w:iCs/>
          <w:color w:val="FF0000"/>
          <w:sz w:val="22"/>
          <w:szCs w:val="22"/>
        </w:rPr>
        <w:t>zi</w:t>
      </w:r>
      <w:r w:rsidR="00F64EEC" w:rsidRPr="001F2E07">
        <w:rPr>
          <w:b/>
          <w:i/>
          <w:iCs/>
          <w:color w:val="FF0000"/>
          <w:sz w:val="22"/>
          <w:szCs w:val="22"/>
        </w:rPr>
        <w:t>en.</w:t>
      </w:r>
    </w:p>
    <w:p w:rsidR="001F2E07" w:rsidRPr="001F2E07" w:rsidRDefault="001F2E07" w:rsidP="001F2E07">
      <w:pPr>
        <w:pStyle w:val="GesAbsatz"/>
      </w:pPr>
    </w:p>
    <w:p w:rsidR="002648E9" w:rsidRPr="00B27E12" w:rsidRDefault="002648E9" w:rsidP="00B27E12">
      <w:pPr>
        <w:pStyle w:val="GesAbsatz"/>
        <w:jc w:val="center"/>
        <w:rPr>
          <w:b/>
          <w:sz w:val="22"/>
          <w:szCs w:val="22"/>
        </w:rPr>
      </w:pPr>
      <w:r w:rsidRPr="00B27E12">
        <w:rPr>
          <w:b/>
          <w:sz w:val="22"/>
          <w:szCs w:val="22"/>
        </w:rPr>
        <w:t>Inhalt</w:t>
      </w:r>
      <w:r w:rsidR="00B27E12">
        <w:rPr>
          <w:b/>
          <w:sz w:val="22"/>
          <w:szCs w:val="22"/>
        </w:rPr>
        <w:t>:</w:t>
      </w:r>
    </w:p>
    <w:p w:rsidR="001F2E07" w:rsidRDefault="00412A73">
      <w:pPr>
        <w:pStyle w:val="Verzeichnis1"/>
        <w:rPr>
          <w:rFonts w:asciiTheme="minorHAnsi" w:eastAsiaTheme="minorEastAsia" w:hAnsiTheme="minorHAnsi" w:cstheme="minorBidi"/>
          <w:b w:val="0"/>
          <w:caps w:val="0"/>
          <w:noProof/>
          <w:sz w:val="22"/>
          <w:szCs w:val="22"/>
        </w:rPr>
      </w:pPr>
      <w:r>
        <w:fldChar w:fldCharType="begin"/>
      </w:r>
      <w:r>
        <w:instrText xml:space="preserve"> TOC \o "1-3" </w:instrText>
      </w:r>
      <w:r>
        <w:fldChar w:fldCharType="separate"/>
      </w:r>
      <w:r w:rsidR="001F2E07">
        <w:rPr>
          <w:noProof/>
        </w:rPr>
        <w:t>Richtlinie des Rates 82/242/EWG</w:t>
      </w:r>
      <w:r w:rsidR="001F2E07">
        <w:rPr>
          <w:noProof/>
        </w:rPr>
        <w:tab/>
      </w:r>
      <w:r w:rsidR="001F2E07">
        <w:rPr>
          <w:noProof/>
        </w:rPr>
        <w:fldChar w:fldCharType="begin"/>
      </w:r>
      <w:r w:rsidR="001F2E07">
        <w:rPr>
          <w:noProof/>
        </w:rPr>
        <w:instrText xml:space="preserve"> PAGEREF _Toc465343633 \h </w:instrText>
      </w:r>
      <w:r w:rsidR="001F2E07">
        <w:rPr>
          <w:noProof/>
        </w:rPr>
      </w:r>
      <w:r w:rsidR="001F2E07">
        <w:rPr>
          <w:noProof/>
        </w:rPr>
        <w:fldChar w:fldCharType="separate"/>
      </w:r>
      <w:r w:rsidR="001F2E07">
        <w:rPr>
          <w:noProof/>
        </w:rPr>
        <w:t>1</w:t>
      </w:r>
      <w:r w:rsidR="001F2E07">
        <w:rPr>
          <w:noProof/>
        </w:rPr>
        <w:fldChar w:fldCharType="end"/>
      </w:r>
    </w:p>
    <w:p w:rsidR="001F2E07" w:rsidRDefault="001F2E07">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_Toc465343634 \h </w:instrText>
      </w:r>
      <w:r>
        <w:rPr>
          <w:noProof/>
        </w:rPr>
      </w:r>
      <w:r>
        <w:rPr>
          <w:noProof/>
        </w:rPr>
        <w:fldChar w:fldCharType="separate"/>
      </w:r>
      <w:r>
        <w:rPr>
          <w:noProof/>
        </w:rPr>
        <w:t>2</w:t>
      </w:r>
      <w:r>
        <w:rPr>
          <w:noProof/>
        </w:rPr>
        <w:fldChar w:fldCharType="end"/>
      </w:r>
    </w:p>
    <w:p w:rsidR="001F2E07" w:rsidRDefault="001F2E07">
      <w:pPr>
        <w:pStyle w:val="Verzeichnis2"/>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_Toc465343635 \h </w:instrText>
      </w:r>
      <w:r>
        <w:rPr>
          <w:noProof/>
        </w:rPr>
      </w:r>
      <w:r>
        <w:rPr>
          <w:noProof/>
        </w:rPr>
        <w:fldChar w:fldCharType="separate"/>
      </w:r>
      <w:r>
        <w:rPr>
          <w:noProof/>
        </w:rPr>
        <w:t>2</w:t>
      </w:r>
      <w:r>
        <w:rPr>
          <w:noProof/>
        </w:rPr>
        <w:fldChar w:fldCharType="end"/>
      </w:r>
    </w:p>
    <w:p w:rsidR="001F2E07" w:rsidRDefault="001F2E07">
      <w:pPr>
        <w:pStyle w:val="Verzeichnis2"/>
        <w:rPr>
          <w:rFonts w:asciiTheme="minorHAnsi" w:eastAsiaTheme="minorEastAsia" w:hAnsiTheme="minorHAnsi" w:cstheme="minorBidi"/>
          <w:smallCaps w:val="0"/>
          <w:noProof/>
          <w:sz w:val="22"/>
          <w:szCs w:val="22"/>
        </w:rPr>
      </w:pPr>
      <w:r>
        <w:rPr>
          <w:noProof/>
        </w:rPr>
        <w:t>Artikel 3</w:t>
      </w:r>
      <w:r>
        <w:rPr>
          <w:noProof/>
        </w:rPr>
        <w:tab/>
      </w:r>
      <w:r>
        <w:rPr>
          <w:noProof/>
        </w:rPr>
        <w:fldChar w:fldCharType="begin"/>
      </w:r>
      <w:r>
        <w:rPr>
          <w:noProof/>
        </w:rPr>
        <w:instrText xml:space="preserve"> PAGEREF _Toc465343636 \h </w:instrText>
      </w:r>
      <w:r>
        <w:rPr>
          <w:noProof/>
        </w:rPr>
      </w:r>
      <w:r>
        <w:rPr>
          <w:noProof/>
        </w:rPr>
        <w:fldChar w:fldCharType="separate"/>
      </w:r>
      <w:r>
        <w:rPr>
          <w:noProof/>
        </w:rPr>
        <w:t>2</w:t>
      </w:r>
      <w:r>
        <w:rPr>
          <w:noProof/>
        </w:rPr>
        <w:fldChar w:fldCharType="end"/>
      </w:r>
    </w:p>
    <w:p w:rsidR="001F2E07" w:rsidRDefault="001F2E07">
      <w:pPr>
        <w:pStyle w:val="Verzeichnis2"/>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_Toc465343637 \h </w:instrText>
      </w:r>
      <w:r>
        <w:rPr>
          <w:noProof/>
        </w:rPr>
      </w:r>
      <w:r>
        <w:rPr>
          <w:noProof/>
        </w:rPr>
        <w:fldChar w:fldCharType="separate"/>
      </w:r>
      <w:r>
        <w:rPr>
          <w:noProof/>
        </w:rPr>
        <w:t>2</w:t>
      </w:r>
      <w:r>
        <w:rPr>
          <w:noProof/>
        </w:rPr>
        <w:fldChar w:fldCharType="end"/>
      </w:r>
    </w:p>
    <w:p w:rsidR="001F2E07" w:rsidRDefault="001F2E07">
      <w:pPr>
        <w:pStyle w:val="Verzeichnis2"/>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_Toc465343638 \h </w:instrText>
      </w:r>
      <w:r>
        <w:rPr>
          <w:noProof/>
        </w:rPr>
      </w:r>
      <w:r>
        <w:rPr>
          <w:noProof/>
        </w:rPr>
        <w:fldChar w:fldCharType="separate"/>
      </w:r>
      <w:r>
        <w:rPr>
          <w:noProof/>
        </w:rPr>
        <w:t>2</w:t>
      </w:r>
      <w:r>
        <w:rPr>
          <w:noProof/>
        </w:rPr>
        <w:fldChar w:fldCharType="end"/>
      </w:r>
    </w:p>
    <w:p w:rsidR="001F2E07" w:rsidRDefault="001F2E07">
      <w:pPr>
        <w:pStyle w:val="Verzeichnis2"/>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_Toc465343639 \h </w:instrText>
      </w:r>
      <w:r>
        <w:rPr>
          <w:noProof/>
        </w:rPr>
      </w:r>
      <w:r>
        <w:rPr>
          <w:noProof/>
        </w:rPr>
        <w:fldChar w:fldCharType="separate"/>
      </w:r>
      <w:r>
        <w:rPr>
          <w:noProof/>
        </w:rPr>
        <w:t>3</w:t>
      </w:r>
      <w:r>
        <w:rPr>
          <w:noProof/>
        </w:rPr>
        <w:fldChar w:fldCharType="end"/>
      </w:r>
    </w:p>
    <w:p w:rsidR="001F2E07" w:rsidRDefault="001F2E07">
      <w:pPr>
        <w:pStyle w:val="Verzeichnis2"/>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_Toc465343640 \h </w:instrText>
      </w:r>
      <w:r>
        <w:rPr>
          <w:noProof/>
        </w:rPr>
      </w:r>
      <w:r>
        <w:rPr>
          <w:noProof/>
        </w:rPr>
        <w:fldChar w:fldCharType="separate"/>
      </w:r>
      <w:r>
        <w:rPr>
          <w:noProof/>
        </w:rPr>
        <w:t>4</w:t>
      </w:r>
      <w:r>
        <w:rPr>
          <w:noProof/>
        </w:rPr>
        <w:fldChar w:fldCharType="end"/>
      </w:r>
    </w:p>
    <w:p w:rsidR="001F2E07" w:rsidRDefault="001F2E07">
      <w:pPr>
        <w:pStyle w:val="Verzeichnis2"/>
        <w:rPr>
          <w:rFonts w:asciiTheme="minorHAnsi" w:eastAsiaTheme="minorEastAsia" w:hAnsiTheme="minorHAnsi" w:cstheme="minorBidi"/>
          <w:smallCaps w:val="0"/>
          <w:noProof/>
          <w:sz w:val="22"/>
          <w:szCs w:val="22"/>
        </w:rPr>
      </w:pPr>
      <w:r>
        <w:rPr>
          <w:noProof/>
        </w:rPr>
        <w:t>Anhang: Bestimmung der biologischen Abbaubarkeit nichtionischer Grenzflächenaktiver Substanzen Referenzmethoden (Bestätigungstest)</w:t>
      </w:r>
      <w:r>
        <w:rPr>
          <w:noProof/>
        </w:rPr>
        <w:tab/>
      </w:r>
      <w:r>
        <w:rPr>
          <w:noProof/>
        </w:rPr>
        <w:fldChar w:fldCharType="begin"/>
      </w:r>
      <w:r>
        <w:rPr>
          <w:noProof/>
        </w:rPr>
        <w:instrText xml:space="preserve"> PAGEREF _Toc465343641 \h </w:instrText>
      </w:r>
      <w:r>
        <w:rPr>
          <w:noProof/>
        </w:rPr>
      </w:r>
      <w:r>
        <w:rPr>
          <w:noProof/>
        </w:rPr>
        <w:fldChar w:fldCharType="separate"/>
      </w:r>
      <w:r>
        <w:rPr>
          <w:noProof/>
        </w:rPr>
        <w:t>5</w:t>
      </w:r>
      <w:r>
        <w:rPr>
          <w:noProof/>
        </w:rPr>
        <w:fldChar w:fldCharType="end"/>
      </w:r>
    </w:p>
    <w:p w:rsidR="001F2E07" w:rsidRDefault="001F2E07">
      <w:pPr>
        <w:pStyle w:val="Verzeichnis3"/>
        <w:rPr>
          <w:rFonts w:asciiTheme="minorHAnsi" w:eastAsiaTheme="minorEastAsia" w:hAnsiTheme="minorHAnsi" w:cstheme="minorBidi"/>
          <w:i w:val="0"/>
          <w:noProof/>
          <w:sz w:val="22"/>
          <w:szCs w:val="22"/>
        </w:rPr>
      </w:pPr>
      <w:r>
        <w:rPr>
          <w:noProof/>
        </w:rPr>
        <w:t>Kapitel 1</w:t>
      </w:r>
      <w:r>
        <w:rPr>
          <w:noProof/>
        </w:rPr>
        <w:tab/>
      </w:r>
      <w:r>
        <w:rPr>
          <w:noProof/>
        </w:rPr>
        <w:fldChar w:fldCharType="begin"/>
      </w:r>
      <w:r>
        <w:rPr>
          <w:noProof/>
        </w:rPr>
        <w:instrText xml:space="preserve"> PAGEREF _Toc465343642 \h </w:instrText>
      </w:r>
      <w:r>
        <w:rPr>
          <w:noProof/>
        </w:rPr>
      </w:r>
      <w:r>
        <w:rPr>
          <w:noProof/>
        </w:rPr>
        <w:fldChar w:fldCharType="separate"/>
      </w:r>
      <w:r>
        <w:rPr>
          <w:noProof/>
        </w:rPr>
        <w:t>5</w:t>
      </w:r>
      <w:r>
        <w:rPr>
          <w:noProof/>
        </w:rPr>
        <w:fldChar w:fldCharType="end"/>
      </w:r>
    </w:p>
    <w:p w:rsidR="001F2E07" w:rsidRDefault="001F2E07">
      <w:pPr>
        <w:pStyle w:val="Verzeichnis3"/>
        <w:rPr>
          <w:rFonts w:asciiTheme="minorHAnsi" w:eastAsiaTheme="minorEastAsia" w:hAnsiTheme="minorHAnsi" w:cstheme="minorBidi"/>
          <w:i w:val="0"/>
          <w:noProof/>
          <w:sz w:val="22"/>
          <w:szCs w:val="22"/>
        </w:rPr>
      </w:pPr>
      <w:r>
        <w:rPr>
          <w:noProof/>
        </w:rPr>
        <w:t>Kapitel 2 Vorbehandlung des Analysenmaterials</w:t>
      </w:r>
      <w:r>
        <w:rPr>
          <w:noProof/>
        </w:rPr>
        <w:tab/>
      </w:r>
      <w:r>
        <w:rPr>
          <w:noProof/>
        </w:rPr>
        <w:fldChar w:fldCharType="begin"/>
      </w:r>
      <w:r>
        <w:rPr>
          <w:noProof/>
        </w:rPr>
        <w:instrText xml:space="preserve"> PAGEREF _Toc465343643 \h </w:instrText>
      </w:r>
      <w:r>
        <w:rPr>
          <w:noProof/>
        </w:rPr>
      </w:r>
      <w:r>
        <w:rPr>
          <w:noProof/>
        </w:rPr>
        <w:fldChar w:fldCharType="separate"/>
      </w:r>
      <w:r>
        <w:rPr>
          <w:noProof/>
        </w:rPr>
        <w:t>6</w:t>
      </w:r>
      <w:r>
        <w:rPr>
          <w:noProof/>
        </w:rPr>
        <w:fldChar w:fldCharType="end"/>
      </w:r>
    </w:p>
    <w:p w:rsidR="001F2E07" w:rsidRDefault="001F2E07">
      <w:pPr>
        <w:pStyle w:val="Verzeichnis3"/>
        <w:rPr>
          <w:rFonts w:asciiTheme="minorHAnsi" w:eastAsiaTheme="minorEastAsia" w:hAnsiTheme="minorHAnsi" w:cstheme="minorBidi"/>
          <w:i w:val="0"/>
          <w:noProof/>
          <w:sz w:val="22"/>
          <w:szCs w:val="22"/>
        </w:rPr>
      </w:pPr>
      <w:r>
        <w:rPr>
          <w:noProof/>
        </w:rPr>
        <w:t>Kapitel 3: Bestimmung nichtionischer grenzflächenaktiver Substanzen beim Test der biologischen Abbaubarkeit</w:t>
      </w:r>
      <w:r>
        <w:rPr>
          <w:noProof/>
        </w:rPr>
        <w:tab/>
      </w:r>
      <w:r>
        <w:rPr>
          <w:noProof/>
        </w:rPr>
        <w:fldChar w:fldCharType="begin"/>
      </w:r>
      <w:r>
        <w:rPr>
          <w:noProof/>
        </w:rPr>
        <w:instrText xml:space="preserve"> PAGEREF _Toc465343644 \h </w:instrText>
      </w:r>
      <w:r>
        <w:rPr>
          <w:noProof/>
        </w:rPr>
      </w:r>
      <w:r>
        <w:rPr>
          <w:noProof/>
        </w:rPr>
        <w:fldChar w:fldCharType="separate"/>
      </w:r>
      <w:r>
        <w:rPr>
          <w:noProof/>
        </w:rPr>
        <w:t>9</w:t>
      </w:r>
      <w:r>
        <w:rPr>
          <w:noProof/>
        </w:rPr>
        <w:fldChar w:fldCharType="end"/>
      </w:r>
    </w:p>
    <w:p w:rsidR="002648E9" w:rsidRDefault="00412A73" w:rsidP="001F2E07">
      <w:pPr>
        <w:pStyle w:val="GesAbsatz"/>
      </w:pPr>
      <w:r>
        <w:rPr>
          <w:rFonts w:ascii="Times New Roman" w:hAnsi="Times New Roman"/>
        </w:rPr>
        <w:fldChar w:fldCharType="end"/>
      </w:r>
    </w:p>
    <w:p w:rsidR="002648E9" w:rsidRDefault="002648E9" w:rsidP="001F2E07">
      <w:pPr>
        <w:pStyle w:val="GesAbsatz"/>
      </w:pPr>
    </w:p>
    <w:p w:rsidR="002648E9" w:rsidRPr="00094CF6" w:rsidRDefault="002648E9">
      <w:pPr>
        <w:pStyle w:val="GesAbsatz"/>
        <w:rPr>
          <w:b/>
        </w:rPr>
      </w:pPr>
      <w:r w:rsidRPr="00094CF6">
        <w:rPr>
          <w:b/>
        </w:rPr>
        <w:t xml:space="preserve">Der Rat der Europäischen Gemeinschaften - </w:t>
      </w:r>
    </w:p>
    <w:p w:rsidR="002648E9" w:rsidRDefault="002648E9">
      <w:pPr>
        <w:pStyle w:val="GesAbsatz"/>
      </w:pPr>
      <w:r>
        <w:t>gestützt auf den Vertrag zur Gründung der Europäischen Wirtschaftsgemeinschaft, insbesondere auf Artikel</w:t>
      </w:r>
      <w:r w:rsidR="001F2E07">
        <w:t xml:space="preserve"> </w:t>
      </w:r>
      <w:r>
        <w:t>100,</w:t>
      </w:r>
    </w:p>
    <w:p w:rsidR="002648E9" w:rsidRDefault="002648E9">
      <w:pPr>
        <w:pStyle w:val="GesAbsatz"/>
      </w:pPr>
      <w:r>
        <w:t>auf Vorschlag der Kommission</w:t>
      </w:r>
      <w:r>
        <w:rPr>
          <w:rStyle w:val="Funotenzeichen"/>
        </w:rPr>
        <w:footnoteReference w:id="1"/>
      </w:r>
      <w:r>
        <w:t>,</w:t>
      </w:r>
    </w:p>
    <w:p w:rsidR="002648E9" w:rsidRDefault="002648E9">
      <w:pPr>
        <w:pStyle w:val="GesAbsatz"/>
      </w:pPr>
      <w:r>
        <w:t>nach Stellungnahme des Europäischen Parlaments</w:t>
      </w:r>
      <w:r>
        <w:rPr>
          <w:rStyle w:val="Funotenzeichen"/>
        </w:rPr>
        <w:footnoteReference w:id="2"/>
      </w:r>
      <w:r>
        <w:t>,</w:t>
      </w:r>
    </w:p>
    <w:p w:rsidR="002648E9" w:rsidRDefault="002648E9">
      <w:pPr>
        <w:pStyle w:val="GesAbsatz"/>
      </w:pPr>
      <w:r>
        <w:t>nach Stellungnahme des Wirtschafts- und Sozialausschusses</w:t>
      </w:r>
      <w:r>
        <w:rPr>
          <w:rStyle w:val="Funotenzeichen"/>
        </w:rPr>
        <w:footnoteReference w:id="3"/>
      </w:r>
      <w:r>
        <w:t>,</w:t>
      </w:r>
    </w:p>
    <w:p w:rsidR="002648E9" w:rsidRDefault="002648E9">
      <w:pPr>
        <w:pStyle w:val="GesAbsatz"/>
      </w:pPr>
      <w:r>
        <w:t>in Erwägung nachstehender Gründe:</w:t>
      </w:r>
    </w:p>
    <w:p w:rsidR="002648E9" w:rsidRDefault="002648E9">
      <w:pPr>
        <w:pStyle w:val="GesAbsatz"/>
      </w:pPr>
      <w:r>
        <w:t>Die in den verschiedenen Mitgliedstaaten geltenden Kontrollmethoden verfolgen zwar alle das gleiche Ziel, weisen jedoch Unterschiede auf, die Auswirkungen auf das Funktionieren des Gemeinsamen Marktes h</w:t>
      </w:r>
      <w:r>
        <w:t>a</w:t>
      </w:r>
      <w:r>
        <w:t>ben.</w:t>
      </w:r>
    </w:p>
    <w:p w:rsidR="002648E9" w:rsidRDefault="002648E9">
      <w:pPr>
        <w:pStyle w:val="GesAbsatz"/>
      </w:pPr>
      <w:r>
        <w:t>Artikel 4 der Richtlinie 73/404/EWG des Rates vom 22. November 1973 zur Angleichung der Rechtsvo</w:t>
      </w:r>
      <w:r>
        <w:t>r</w:t>
      </w:r>
      <w:r>
        <w:t>schriften der Mitgliedstaaten über Detergentien</w:t>
      </w:r>
      <w:r>
        <w:rPr>
          <w:rStyle w:val="Funotenzeichen"/>
        </w:rPr>
        <w:footnoteReference w:id="4"/>
      </w:r>
      <w:r>
        <w:t xml:space="preserve"> sieht den Erlaß von Richtlinien zur Festlegung von Ko</w:t>
      </w:r>
      <w:r>
        <w:t>n</w:t>
      </w:r>
      <w:r>
        <w:t>trollmethoden sowie von geeigneten Toleranzen zum Zweck der Feststellung vor, ob die dort festgelegten Anforderungen erfüllt sind. Außerdem wurden durch die Richtlinie 73/405/EWG des Rates vom 22. November 1973 zur Angleichung der Rechtsvorschriften der Mitgliedstaaten über die Methoden zur Ko</w:t>
      </w:r>
      <w:r>
        <w:t>n</w:t>
      </w:r>
      <w:r>
        <w:t>trolle der biologischen Abbaubarkeit anionischer grenzflächenaktiver Substanzen</w:t>
      </w:r>
      <w:r>
        <w:rPr>
          <w:rStyle w:val="Funotenzeichen"/>
        </w:rPr>
        <w:footnoteReference w:id="5"/>
      </w:r>
      <w:r>
        <w:t xml:space="preserve"> entsprechende Methoden und Toleranzen für anionische grenzflächenaktive Substanzen festgelegt.</w:t>
      </w:r>
    </w:p>
    <w:p w:rsidR="005A1A9E" w:rsidRDefault="005A1A9E">
      <w:pPr>
        <w:pStyle w:val="GesAbsatz"/>
        <w:rPr>
          <w:rFonts w:cs="Arial"/>
        </w:rPr>
      </w:pPr>
      <w:r w:rsidRPr="005A1A9E">
        <w:rPr>
          <w:rFonts w:cs="Arial"/>
        </w:rPr>
        <w:t>Damit die Mitgliedstaaten die biologische Abbaubarkeit der nichtionischen grenzflächenaktiven Substanzen messen können, empfiehlt es sich, die in einigen Mitgliedstaaten zu diesem Zweck bereits angewandten Kontrollmethoden heranzuziehen. In Streitfällen muß die Kontrolle der biologischen Abbaubarkeit hingegen nach einer gemeinsamen Refer</w:t>
      </w:r>
      <w:r>
        <w:rPr>
          <w:rFonts w:cs="Arial"/>
        </w:rPr>
        <w:t>enzmethode durchgeführt werden.</w:t>
      </w:r>
    </w:p>
    <w:p w:rsidR="005A1A9E" w:rsidRDefault="005A1A9E">
      <w:pPr>
        <w:pStyle w:val="GesAbsatz"/>
        <w:rPr>
          <w:rFonts w:cs="Arial"/>
        </w:rPr>
      </w:pPr>
      <w:r w:rsidRPr="005A1A9E">
        <w:rPr>
          <w:rFonts w:cs="Arial"/>
        </w:rPr>
        <w:t xml:space="preserve">Im Hinblick auf die Angleichung der Rechtsvorschriften der Mitgliedstaaten über Detergentien (Wasch- und Reinigungsmittel) sollten, wie in Artikel 4 der Richtlinie 73/404/EWG vorgesehen ist, geeignete Toleranzen für die Messung der biologischen Abbaubarkeit vorgesehen werden, und zwar zur Absicherung gegen die </w:t>
      </w:r>
      <w:r w:rsidRPr="005A1A9E">
        <w:rPr>
          <w:rFonts w:cs="Arial"/>
        </w:rPr>
        <w:lastRenderedPageBreak/>
        <w:t>Unsicherheit der Kontrollmethoden, die zu Ablehnungsbescheiden mit erheblichen wirtschaftlichen Kons</w:t>
      </w:r>
      <w:r w:rsidRPr="005A1A9E">
        <w:rPr>
          <w:rFonts w:cs="Arial"/>
        </w:rPr>
        <w:t>e</w:t>
      </w:r>
      <w:r w:rsidRPr="005A1A9E">
        <w:rPr>
          <w:rFonts w:cs="Arial"/>
        </w:rPr>
        <w:t>quenzen führen können. Ein Ablehnungsb</w:t>
      </w:r>
      <w:r w:rsidRPr="005A1A9E">
        <w:rPr>
          <w:rFonts w:cs="Arial"/>
        </w:rPr>
        <w:t>e</w:t>
      </w:r>
      <w:r w:rsidRPr="005A1A9E">
        <w:rPr>
          <w:rFonts w:cs="Arial"/>
        </w:rPr>
        <w:t>scheid darf also nur ergehen, wenn ein in Artikel 2 genanntes Verfahren ergibt, daß die biolog</w:t>
      </w:r>
      <w:r w:rsidRPr="005A1A9E">
        <w:rPr>
          <w:rFonts w:cs="Arial"/>
        </w:rPr>
        <w:t>i</w:t>
      </w:r>
      <w:r w:rsidRPr="005A1A9E">
        <w:rPr>
          <w:rFonts w:cs="Arial"/>
        </w:rPr>
        <w:t>sche</w:t>
      </w:r>
      <w:r>
        <w:rPr>
          <w:rFonts w:cs="Arial"/>
        </w:rPr>
        <w:t xml:space="preserve"> Abbaubarkeit unter 80 % liegt.</w:t>
      </w:r>
    </w:p>
    <w:p w:rsidR="005A1A9E" w:rsidRDefault="005A1A9E">
      <w:pPr>
        <w:pStyle w:val="GesAbsatz"/>
        <w:rPr>
          <w:rFonts w:cs="Arial"/>
        </w:rPr>
      </w:pPr>
      <w:r w:rsidRPr="005A1A9E">
        <w:rPr>
          <w:rFonts w:cs="Arial"/>
        </w:rPr>
        <w:t>Kleine Mengen nichtionischer grenzflächenaktiver Substanzen mit niedriger biologischer Abbaubarkeit mü</w:t>
      </w:r>
      <w:r w:rsidRPr="005A1A9E">
        <w:rPr>
          <w:rFonts w:cs="Arial"/>
        </w:rPr>
        <w:t>s</w:t>
      </w:r>
      <w:r w:rsidRPr="005A1A9E">
        <w:rPr>
          <w:rFonts w:cs="Arial"/>
        </w:rPr>
        <w:t>sen vorläufig zu technischen Zwecken und zur Vermeidung anderer, nicht wü</w:t>
      </w:r>
      <w:r w:rsidRPr="005A1A9E">
        <w:rPr>
          <w:rFonts w:cs="Arial"/>
        </w:rPr>
        <w:t>n</w:t>
      </w:r>
      <w:r w:rsidRPr="005A1A9E">
        <w:rPr>
          <w:rFonts w:cs="Arial"/>
        </w:rPr>
        <w:t>schenswerter Auswirkungen auf Hygiene und Umwelt verwendet werden. Es wird allerdings notwendig sein, die Möglichkeit vorzusehen, die Verwendung dieser in geringerem Masse bi</w:t>
      </w:r>
      <w:r w:rsidRPr="005A1A9E">
        <w:rPr>
          <w:rFonts w:cs="Arial"/>
        </w:rPr>
        <w:t>o</w:t>
      </w:r>
      <w:r w:rsidRPr="005A1A9E">
        <w:rPr>
          <w:rFonts w:cs="Arial"/>
        </w:rPr>
        <w:t>logisch abbaubaren grenzflächenaktiven Substanzen im Lichte des technisc</w:t>
      </w:r>
      <w:r>
        <w:rPr>
          <w:rFonts w:cs="Arial"/>
        </w:rPr>
        <w:t>hen Fortschritts zu überprüfen.</w:t>
      </w:r>
    </w:p>
    <w:p w:rsidR="005A1A9E" w:rsidRDefault="005A1A9E">
      <w:pPr>
        <w:pStyle w:val="GesAbsatz"/>
        <w:rPr>
          <w:rFonts w:ascii="Verdana" w:hAnsi="Verdana" w:cs="Tahoma"/>
        </w:rPr>
      </w:pPr>
      <w:r w:rsidRPr="005A1A9E">
        <w:rPr>
          <w:rFonts w:cs="Arial"/>
        </w:rPr>
        <w:t>Der technische Fortschritt macht eine rasche Anpassung der technischen Vorschriften der Rich</w:t>
      </w:r>
      <w:r w:rsidRPr="005A1A9E">
        <w:rPr>
          <w:rFonts w:cs="Arial"/>
        </w:rPr>
        <w:t>t</w:t>
      </w:r>
      <w:r w:rsidRPr="005A1A9E">
        <w:rPr>
          <w:rFonts w:cs="Arial"/>
        </w:rPr>
        <w:t>linien über Wasch- und Reinigungsmittel erforderlich. Um die Durchführung der hierfür notwendigen Maßnahmen zu erleichtern, muß ein Verfahren eingeführt werden, das eine enge Zusammenarbeit zwischen den Mitglie</w:t>
      </w:r>
      <w:r w:rsidRPr="005A1A9E">
        <w:rPr>
          <w:rFonts w:cs="Arial"/>
        </w:rPr>
        <w:t>d</w:t>
      </w:r>
      <w:r w:rsidRPr="005A1A9E">
        <w:rPr>
          <w:rFonts w:cs="Arial"/>
        </w:rPr>
        <w:t xml:space="preserve">staaten und der Kommission im Rahmen eines </w:t>
      </w:r>
      <w:r>
        <w:rPr>
          <w:rFonts w:cs="Arial"/>
        </w:rPr>
        <w:t>„</w:t>
      </w:r>
      <w:r w:rsidRPr="005A1A9E">
        <w:rPr>
          <w:rFonts w:cs="Arial"/>
        </w:rPr>
        <w:t>Au</w:t>
      </w:r>
      <w:r w:rsidRPr="005A1A9E">
        <w:rPr>
          <w:rFonts w:cs="Arial"/>
        </w:rPr>
        <w:t>s</w:t>
      </w:r>
      <w:r w:rsidRPr="005A1A9E">
        <w:rPr>
          <w:rFonts w:cs="Arial"/>
        </w:rPr>
        <w:t>schusses für die Anpassung der Richtlinien über die Beseitigung der technischen Handel</w:t>
      </w:r>
      <w:r w:rsidRPr="005A1A9E">
        <w:rPr>
          <w:rFonts w:cs="Arial"/>
        </w:rPr>
        <w:t>s</w:t>
      </w:r>
      <w:r w:rsidRPr="005A1A9E">
        <w:rPr>
          <w:rFonts w:cs="Arial"/>
        </w:rPr>
        <w:t>hemmnisse bei Wasch- und Reinigungsmitteln an den technischen Fortschritt" vorsieht -</w:t>
      </w:r>
    </w:p>
    <w:p w:rsidR="002648E9" w:rsidRPr="0016449B" w:rsidRDefault="002648E9">
      <w:pPr>
        <w:pStyle w:val="GesAbsatz"/>
        <w:rPr>
          <w:b/>
        </w:rPr>
      </w:pPr>
      <w:r w:rsidRPr="0016449B">
        <w:rPr>
          <w:b/>
        </w:rPr>
        <w:t>hat folgende Richtlinie erlassen:</w:t>
      </w:r>
    </w:p>
    <w:p w:rsidR="002648E9" w:rsidRDefault="002648E9">
      <w:pPr>
        <w:pStyle w:val="berschrift2"/>
      </w:pPr>
      <w:bookmarkStart w:id="2" w:name="_Toc465343634"/>
      <w:r>
        <w:t>Artikel 1</w:t>
      </w:r>
      <w:bookmarkEnd w:id="2"/>
    </w:p>
    <w:p w:rsidR="002648E9" w:rsidRPr="0016449B" w:rsidRDefault="0016449B">
      <w:pPr>
        <w:pStyle w:val="GesAbsatz"/>
        <w:rPr>
          <w:rFonts w:cs="Arial"/>
        </w:rPr>
      </w:pPr>
      <w:r w:rsidRPr="0016449B">
        <w:rPr>
          <w:rFonts w:cs="Arial"/>
        </w:rPr>
        <w:t>Diese Richtlinie betrifft die Methoden zur Kontrolle der biologischen Abbaubarkeit nichtionischer grenzfl</w:t>
      </w:r>
      <w:r w:rsidRPr="0016449B">
        <w:rPr>
          <w:rFonts w:cs="Arial"/>
        </w:rPr>
        <w:t>ä</w:t>
      </w:r>
      <w:r w:rsidRPr="0016449B">
        <w:rPr>
          <w:rFonts w:cs="Arial"/>
        </w:rPr>
        <w:t>chenaktiver Substanzen (Tenside) in Detergentien (Wasch- und Reinigungsmitteln) im Sinne von Artikel 1 der Richtlinie 73/404/EWG.</w:t>
      </w:r>
    </w:p>
    <w:p w:rsidR="002648E9" w:rsidRDefault="002648E9">
      <w:pPr>
        <w:pStyle w:val="berschrift2"/>
      </w:pPr>
      <w:bookmarkStart w:id="3" w:name="_Toc465343635"/>
      <w:r>
        <w:t>Artikel 2</w:t>
      </w:r>
      <w:bookmarkEnd w:id="3"/>
    </w:p>
    <w:p w:rsidR="0016449B" w:rsidRDefault="0016449B">
      <w:pPr>
        <w:pStyle w:val="GesAbsatz"/>
        <w:rPr>
          <w:rFonts w:cs="Arial"/>
        </w:rPr>
      </w:pPr>
      <w:r w:rsidRPr="0016449B">
        <w:rPr>
          <w:rFonts w:cs="Arial"/>
        </w:rPr>
        <w:t>Gemäß Artikel 4 der Richtlinie 73/404/EWG untersagen die Mitgliedstaaten das Inverkehrbri</w:t>
      </w:r>
      <w:r w:rsidRPr="0016449B">
        <w:rPr>
          <w:rFonts w:cs="Arial"/>
        </w:rPr>
        <w:t>n</w:t>
      </w:r>
      <w:r w:rsidRPr="0016449B">
        <w:rPr>
          <w:rFonts w:cs="Arial"/>
        </w:rPr>
        <w:t xml:space="preserve">gen und die Verwendung derjenigen Wasch- und Reinigungsmittel in ihrem Hoheitsgebiet, bei denen die Messung der biologischen Abbaubarkeit der in ihnen enthaltenen nichtionischen grenzflächenaktiven Substanzen einen Satz von weniger als 80 % ergibt. Diese Messung wird nach einem der folgenden Verfahren durchgeführt: - der ÖCD-Methode, veröffentlicht im technischen Bericht der ÖCD vom </w:t>
      </w:r>
      <w:smartTag w:uri="urn:schemas-microsoft-com:office:smarttags" w:element="date">
        <w:smartTagPr>
          <w:attr w:name="Year" w:val="1976"/>
          <w:attr w:name="Day" w:val="11"/>
          <w:attr w:name="Month" w:val="6"/>
          <w:attr w:name="ls" w:val="trans"/>
        </w:smartTagPr>
        <w:r w:rsidRPr="0016449B">
          <w:rPr>
            <w:rFonts w:cs="Arial"/>
          </w:rPr>
          <w:t>11. Juni 1976</w:t>
        </w:r>
      </w:smartTag>
      <w:r w:rsidRPr="0016449B">
        <w:rPr>
          <w:rFonts w:cs="Arial"/>
        </w:rPr>
        <w:t>, "Vorgeschlagene M</w:t>
      </w:r>
      <w:r w:rsidRPr="0016449B">
        <w:rPr>
          <w:rFonts w:cs="Arial"/>
        </w:rPr>
        <w:t>e</w:t>
      </w:r>
      <w:r w:rsidRPr="0016449B">
        <w:rPr>
          <w:rFonts w:cs="Arial"/>
        </w:rPr>
        <w:t>thode zur Bestimmung der biologischen Abbaubarkeit grenzflächenaktiver Stoffe in synthetischen Wasch- und Rein</w:t>
      </w:r>
      <w:r w:rsidRPr="0016449B">
        <w:rPr>
          <w:rFonts w:cs="Arial"/>
        </w:rPr>
        <w:t>i</w:t>
      </w:r>
      <w:r w:rsidRPr="0016449B">
        <w:rPr>
          <w:rFonts w:cs="Arial"/>
        </w:rPr>
        <w:t xml:space="preserve">gungsmitteln"; </w:t>
      </w:r>
    </w:p>
    <w:p w:rsidR="0016449B" w:rsidRDefault="0016449B" w:rsidP="0016449B">
      <w:pPr>
        <w:pStyle w:val="GesAbsatz"/>
        <w:ind w:left="426" w:hanging="426"/>
        <w:rPr>
          <w:rFonts w:cs="Arial"/>
        </w:rPr>
      </w:pPr>
      <w:r w:rsidRPr="0016449B">
        <w:rPr>
          <w:rFonts w:cs="Arial"/>
        </w:rPr>
        <w:t>-</w:t>
      </w:r>
      <w:r>
        <w:rPr>
          <w:rFonts w:cs="Arial"/>
        </w:rPr>
        <w:tab/>
      </w:r>
      <w:r w:rsidRPr="0016449B">
        <w:rPr>
          <w:rFonts w:cs="Arial"/>
        </w:rPr>
        <w:t>der in Deutschland geltenden Methode, festgelegt durch die Verordnung über die Abbaubarkeit anion</w:t>
      </w:r>
      <w:r w:rsidRPr="0016449B">
        <w:rPr>
          <w:rFonts w:cs="Arial"/>
        </w:rPr>
        <w:t>i</w:t>
      </w:r>
      <w:r w:rsidRPr="0016449B">
        <w:rPr>
          <w:rFonts w:cs="Arial"/>
        </w:rPr>
        <w:t xml:space="preserve">scher und nichtionischer grenzflächenaktiver Stoffe in Wasch- und Reinigungsmitteln vom </w:t>
      </w:r>
      <w:smartTag w:uri="urn:schemas-microsoft-com:office:smarttags" w:element="date">
        <w:smartTagPr>
          <w:attr w:name="Year" w:val="1977"/>
          <w:attr w:name="Day" w:val="30"/>
          <w:attr w:name="Month" w:val="1"/>
          <w:attr w:name="ls" w:val="trans"/>
        </w:smartTagPr>
        <w:r w:rsidRPr="0016449B">
          <w:rPr>
            <w:rFonts w:cs="Arial"/>
          </w:rPr>
          <w:t>30. Januar 1977</w:t>
        </w:r>
      </w:smartTag>
      <w:r w:rsidRPr="0016449B">
        <w:rPr>
          <w:rFonts w:cs="Arial"/>
        </w:rPr>
        <w:t xml:space="preserve">, die im Bundesgesetzblatt 1977, Teil I, Seite 244, veröffentlicht worden ist, in der Fassung der Verordnung zur Änderung dieser Verordnung vom </w:t>
      </w:r>
      <w:smartTag w:uri="urn:schemas-microsoft-com:office:smarttags" w:element="date">
        <w:smartTagPr>
          <w:attr w:name="Year" w:val="1980"/>
          <w:attr w:name="Day" w:val="18"/>
          <w:attr w:name="Month" w:val="6"/>
          <w:attr w:name="ls" w:val="trans"/>
        </w:smartTagPr>
        <w:r w:rsidRPr="0016449B">
          <w:rPr>
            <w:rFonts w:cs="Arial"/>
          </w:rPr>
          <w:t>18. Juni 1980</w:t>
        </w:r>
      </w:smartTag>
      <w:r w:rsidRPr="0016449B">
        <w:rPr>
          <w:rFonts w:cs="Arial"/>
        </w:rPr>
        <w:t>, die im Bundesgesetzblatt 1980, Teil I, Seite 706, veröffen</w:t>
      </w:r>
      <w:r w:rsidRPr="0016449B">
        <w:rPr>
          <w:rFonts w:cs="Arial"/>
        </w:rPr>
        <w:t>t</w:t>
      </w:r>
      <w:r w:rsidRPr="0016449B">
        <w:rPr>
          <w:rFonts w:cs="Arial"/>
        </w:rPr>
        <w:t xml:space="preserve">licht worden ist; </w:t>
      </w:r>
    </w:p>
    <w:p w:rsidR="0016449B" w:rsidRDefault="0016449B" w:rsidP="0016449B">
      <w:pPr>
        <w:pStyle w:val="GesAbsatz"/>
        <w:ind w:left="426" w:hanging="426"/>
        <w:rPr>
          <w:rFonts w:cs="Arial"/>
        </w:rPr>
      </w:pPr>
      <w:r w:rsidRPr="0016449B">
        <w:rPr>
          <w:rFonts w:cs="Arial"/>
        </w:rPr>
        <w:t>-</w:t>
      </w:r>
      <w:r>
        <w:rPr>
          <w:rFonts w:cs="Arial"/>
        </w:rPr>
        <w:tab/>
      </w:r>
      <w:r w:rsidRPr="0016449B">
        <w:rPr>
          <w:rFonts w:cs="Arial"/>
        </w:rPr>
        <w:t xml:space="preserve">der in Frankreich geltenden Methode, genehmigt durch den Erlaß vom </w:t>
      </w:r>
      <w:smartTag w:uri="urn:schemas-microsoft-com:office:smarttags" w:element="date">
        <w:smartTagPr>
          <w:attr w:name="Year" w:val="1977"/>
          <w:attr w:name="Day" w:val="28"/>
          <w:attr w:name="Month" w:val="12"/>
          <w:attr w:name="ls" w:val="trans"/>
        </w:smartTagPr>
        <w:r w:rsidRPr="0016449B">
          <w:rPr>
            <w:rFonts w:cs="Arial"/>
          </w:rPr>
          <w:t xml:space="preserve">28. </w:t>
        </w:r>
        <w:r w:rsidRPr="0016449B">
          <w:rPr>
            <w:rFonts w:cs="Arial"/>
            <w:lang w:val="fr-FR"/>
          </w:rPr>
          <w:t>Dezember 1977</w:t>
        </w:r>
      </w:smartTag>
      <w:r w:rsidRPr="0016449B">
        <w:rPr>
          <w:rFonts w:cs="Arial"/>
          <w:lang w:val="fr-FR"/>
        </w:rPr>
        <w:t xml:space="preserve">, der im Journal Officiel de la République Française vom </w:t>
      </w:r>
      <w:smartTag w:uri="urn:schemas-microsoft-com:office:smarttags" w:element="date">
        <w:smartTagPr>
          <w:attr w:name="Year" w:val="1978"/>
          <w:attr w:name="Day" w:val="18"/>
          <w:attr w:name="Month" w:val="1"/>
          <w:attr w:name="ls" w:val="trans"/>
        </w:smartTagPr>
        <w:r w:rsidRPr="0016449B">
          <w:rPr>
            <w:rFonts w:cs="Arial"/>
            <w:lang w:val="fr-FR"/>
          </w:rPr>
          <w:t xml:space="preserve">18. </w:t>
        </w:r>
        <w:r w:rsidRPr="0016449B">
          <w:rPr>
            <w:rFonts w:cs="Arial"/>
          </w:rPr>
          <w:t>Januar 1978</w:t>
        </w:r>
      </w:smartTag>
      <w:r w:rsidRPr="0016449B">
        <w:rPr>
          <w:rFonts w:cs="Arial"/>
        </w:rPr>
        <w:t xml:space="preserve"> veröffentlicht worden ist, und der Ve</w:t>
      </w:r>
      <w:r w:rsidRPr="0016449B">
        <w:rPr>
          <w:rFonts w:cs="Arial"/>
        </w:rPr>
        <w:t>r</w:t>
      </w:r>
      <w:r w:rsidRPr="0016449B">
        <w:rPr>
          <w:rFonts w:cs="Arial"/>
        </w:rPr>
        <w:t xml:space="preserve">suchsnorm T. 73.270, März 1974, herausgegeben von der Association Française de </w:t>
      </w:r>
      <w:proofErr w:type="spellStart"/>
      <w:r w:rsidRPr="0016449B">
        <w:rPr>
          <w:rFonts w:cs="Arial"/>
        </w:rPr>
        <w:t>Normalisation</w:t>
      </w:r>
      <w:proofErr w:type="spellEnd"/>
      <w:r w:rsidRPr="0016449B">
        <w:rPr>
          <w:rFonts w:cs="Arial"/>
        </w:rPr>
        <w:t xml:space="preserve"> (AFNOR); </w:t>
      </w:r>
    </w:p>
    <w:p w:rsidR="002648E9" w:rsidRPr="0016449B" w:rsidRDefault="0016449B" w:rsidP="0016449B">
      <w:pPr>
        <w:pStyle w:val="GesAbsatz"/>
        <w:ind w:left="426" w:hanging="426"/>
        <w:rPr>
          <w:rFonts w:cs="Arial"/>
        </w:rPr>
      </w:pPr>
      <w:r w:rsidRPr="0016449B">
        <w:rPr>
          <w:rFonts w:cs="Arial"/>
        </w:rPr>
        <w:t>-</w:t>
      </w:r>
      <w:r>
        <w:rPr>
          <w:rFonts w:cs="Arial"/>
        </w:rPr>
        <w:tab/>
      </w:r>
      <w:r w:rsidRPr="0016449B">
        <w:rPr>
          <w:rFonts w:cs="Arial"/>
        </w:rPr>
        <w:t xml:space="preserve">der im Vereinigten Königreich unter der Bezeichnung </w:t>
      </w:r>
      <w:r w:rsidR="001F2E07">
        <w:rPr>
          <w:rFonts w:cs="Arial"/>
        </w:rPr>
        <w:t>„</w:t>
      </w:r>
      <w:r w:rsidRPr="001F2E07">
        <w:rPr>
          <w:rFonts w:cs="Arial"/>
          <w:lang w:val="en-US"/>
        </w:rPr>
        <w:t>Porous</w:t>
      </w:r>
      <w:r w:rsidRPr="0016449B">
        <w:rPr>
          <w:rFonts w:cs="Arial"/>
        </w:rPr>
        <w:t xml:space="preserve"> Pot Test" geltenden Methode, die im technischen Bericht Nr. 70 (1978) des Water Research Centre beschrieben ist.</w:t>
      </w:r>
    </w:p>
    <w:p w:rsidR="002648E9" w:rsidRDefault="002648E9">
      <w:pPr>
        <w:pStyle w:val="berschrift2"/>
      </w:pPr>
      <w:bookmarkStart w:id="4" w:name="_Toc465343636"/>
      <w:r>
        <w:t>Artikel 3</w:t>
      </w:r>
      <w:bookmarkEnd w:id="4"/>
    </w:p>
    <w:p w:rsidR="002648E9" w:rsidRPr="0016449B" w:rsidRDefault="0016449B">
      <w:pPr>
        <w:pStyle w:val="GesAbsatz"/>
        <w:rPr>
          <w:rFonts w:cs="Arial"/>
        </w:rPr>
      </w:pPr>
      <w:r w:rsidRPr="0016449B">
        <w:rPr>
          <w:rFonts w:cs="Arial"/>
        </w:rPr>
        <w:t>Im Rahmen des Verfahrens des Artikels 5 Absatz 2 der Richtlinie 73/404/EWG wird das Gutachten des L</w:t>
      </w:r>
      <w:r w:rsidRPr="0016449B">
        <w:rPr>
          <w:rFonts w:cs="Arial"/>
        </w:rPr>
        <w:t>a</w:t>
      </w:r>
      <w:r w:rsidRPr="0016449B">
        <w:rPr>
          <w:rFonts w:cs="Arial"/>
        </w:rPr>
        <w:t>boratoriums bei nichtionischen grenzflächenaktiven Substanzen anhand der im Anhang zu dieser Richtlinie beschriebenen Referenzmethode ("Bestätigungstest") erstellt.</w:t>
      </w:r>
    </w:p>
    <w:p w:rsidR="002648E9" w:rsidRDefault="002648E9">
      <w:pPr>
        <w:pStyle w:val="berschrift2"/>
      </w:pPr>
      <w:bookmarkStart w:id="5" w:name="_Toc465343637"/>
      <w:r>
        <w:t>Artikel 4</w:t>
      </w:r>
      <w:bookmarkEnd w:id="5"/>
    </w:p>
    <w:p w:rsidR="002648E9" w:rsidRPr="0016449B" w:rsidRDefault="0016449B">
      <w:pPr>
        <w:pStyle w:val="GesAbsatz"/>
        <w:rPr>
          <w:rFonts w:cs="Arial"/>
        </w:rPr>
      </w:pPr>
      <w:r w:rsidRPr="0016449B">
        <w:rPr>
          <w:rFonts w:cs="Arial"/>
        </w:rPr>
        <w:t>Die Änderungen, die zur Anpassung des Anhangs an den technischen Fortschritt notwendig sind, werden nach dem Verfahren des Artikels 7b der Richtlinie 73/404/EWG erlassen.</w:t>
      </w:r>
    </w:p>
    <w:p w:rsidR="0016449B" w:rsidRDefault="0016449B" w:rsidP="0016449B">
      <w:pPr>
        <w:pStyle w:val="berschrift2"/>
      </w:pPr>
      <w:bookmarkStart w:id="6" w:name="_Toc465343638"/>
      <w:r>
        <w:t>Artikel 5</w:t>
      </w:r>
      <w:bookmarkEnd w:id="6"/>
    </w:p>
    <w:p w:rsidR="0016449B" w:rsidRDefault="0016449B" w:rsidP="0016449B">
      <w:pPr>
        <w:pStyle w:val="GesAbsatz"/>
      </w:pPr>
      <w:r>
        <w:t xml:space="preserve">In die Richtlinie des Rates 73/404/EWG werden folgende Artikel eingefügt: </w:t>
      </w:r>
    </w:p>
    <w:p w:rsidR="0016449B" w:rsidRDefault="0016449B" w:rsidP="0016449B">
      <w:pPr>
        <w:pStyle w:val="GesAbsatz"/>
      </w:pPr>
      <w:r>
        <w:t>"Artikel 2a</w:t>
      </w:r>
    </w:p>
    <w:p w:rsidR="0016449B" w:rsidRDefault="0016449B" w:rsidP="0016449B">
      <w:pPr>
        <w:pStyle w:val="GesAbsatz"/>
      </w:pPr>
      <w:r>
        <w:t xml:space="preserve">(1) Bis zum </w:t>
      </w:r>
      <w:smartTag w:uri="urn:schemas-microsoft-com:office:smarttags" w:element="date">
        <w:smartTagPr>
          <w:attr w:name="Year" w:val="1986"/>
          <w:attr w:name="Day" w:val="31"/>
          <w:attr w:name="Month" w:val="3"/>
          <w:attr w:name="ls" w:val="trans"/>
        </w:smartTagPr>
        <w:r>
          <w:t>31. März 1986</w:t>
        </w:r>
      </w:smartTag>
    </w:p>
    <w:p w:rsidR="0016449B" w:rsidRDefault="0016449B" w:rsidP="00094CF6">
      <w:pPr>
        <w:pStyle w:val="GesAbsatz"/>
        <w:ind w:left="426" w:hanging="426"/>
      </w:pPr>
      <w:r>
        <w:lastRenderedPageBreak/>
        <w:t>a)</w:t>
      </w:r>
      <w:r w:rsidR="00094CF6">
        <w:tab/>
      </w:r>
      <w:r>
        <w:t>können die Mitgliedstaaten schwachschäumende Additionsprodukte von A</w:t>
      </w:r>
      <w:r>
        <w:t>l</w:t>
      </w:r>
      <w:r>
        <w:t>kenoxiden mit Substanzen wie Alkoholen, Alkylphenolen, Glykolen, Polyolen, Fettsäuren, Amiden oder Aminen, soweit sie in Re</w:t>
      </w:r>
      <w:r>
        <w:t>i</w:t>
      </w:r>
      <w:r>
        <w:t>nigungsmitteln für die maschinelle Geschirrspülung verwendet werden, von den Anforderungen des A</w:t>
      </w:r>
      <w:r>
        <w:t>r</w:t>
      </w:r>
      <w:r>
        <w:t xml:space="preserve">tikels 2 Absatz 1 ausnehmen; </w:t>
      </w:r>
    </w:p>
    <w:p w:rsidR="0016449B" w:rsidRDefault="0016449B" w:rsidP="00094CF6">
      <w:pPr>
        <w:pStyle w:val="GesAbsatz"/>
        <w:ind w:left="426" w:hanging="426"/>
      </w:pPr>
      <w:r>
        <w:t>b)</w:t>
      </w:r>
      <w:r w:rsidR="00094CF6">
        <w:tab/>
      </w:r>
      <w:r>
        <w:t>gilt Artikel 2 Absatz 1 nicht für alkaliresistente endständig blockierte Alkyl- und Alkylarylpolyglykolether sowie für die unter Buchstabe a) genannten Arten von Substanzen, soweit sie in Reinigungsmitteln für die Nahrungsmittel- und Getränkeind</w:t>
      </w:r>
      <w:r>
        <w:t>u</w:t>
      </w:r>
      <w:r>
        <w:t xml:space="preserve">strie und für die metallverarbeitende Industrie verwendet werden. </w:t>
      </w:r>
    </w:p>
    <w:p w:rsidR="0016449B" w:rsidRDefault="0016449B" w:rsidP="0016449B">
      <w:pPr>
        <w:pStyle w:val="GesAbsatz"/>
      </w:pPr>
      <w:r>
        <w:t>(2) Absatz 1 findet auf die vorgenannten nichtionischen grenzflächenaktiven Su</w:t>
      </w:r>
      <w:r>
        <w:t>b</w:t>
      </w:r>
      <w:r>
        <w:t xml:space="preserve">stanzen, die nach dem </w:t>
      </w:r>
      <w:smartTag w:uri="urn:schemas-microsoft-com:office:smarttags" w:element="date">
        <w:smartTagPr>
          <w:attr w:name="Year" w:val="1983"/>
          <w:attr w:name="Day" w:val="30"/>
          <w:attr w:name="Month" w:val="9"/>
          <w:attr w:name="ls" w:val="trans"/>
        </w:smartTagPr>
        <w:r>
          <w:t>30. September 1983</w:t>
        </w:r>
      </w:smartTag>
      <w:r>
        <w:t xml:space="preserve"> in Verkehr gebracht werden, nur dann Anwendung, wenn ihre biologische Abbaubarkeit größer ist als diejenige der für den gleichen Verwendungszweck bereits existierenden Produkte.</w:t>
      </w:r>
    </w:p>
    <w:p w:rsidR="0016449B" w:rsidRDefault="0016449B" w:rsidP="0016449B">
      <w:pPr>
        <w:pStyle w:val="GesAbsatz"/>
      </w:pPr>
      <w:r>
        <w:t>(3) Die Verwendung der in den Absätzen 1 und 2 genannten nichtionischen grenzflächenaktiven Substa</w:t>
      </w:r>
      <w:r>
        <w:t>n</w:t>
      </w:r>
      <w:r>
        <w:t>zen, für die vorübergehend Ausnahmen vorgesehen sind, darf unter normalen Verwendungsbedingungen die Gesundheit von Mensch oder Tier nicht gefährden.</w:t>
      </w:r>
    </w:p>
    <w:p w:rsidR="00094CF6" w:rsidRDefault="00094CF6" w:rsidP="0016449B">
      <w:pPr>
        <w:pStyle w:val="GesAbsatz"/>
      </w:pPr>
      <w:r>
        <w:t>Artikel 7a</w:t>
      </w:r>
    </w:p>
    <w:p w:rsidR="00094CF6" w:rsidRDefault="0016449B" w:rsidP="0016449B">
      <w:pPr>
        <w:pStyle w:val="GesAbsatz"/>
      </w:pPr>
      <w:r>
        <w:t>(1) Es wird ein Ausschuß für die Anpassung der Richtlinien über die Beseitigung der technischen Handel</w:t>
      </w:r>
      <w:r>
        <w:t>s</w:t>
      </w:r>
      <w:r>
        <w:t>hemmnisse bei Wasch- und Reinigungsmitteln an den technischen Fortschritt - im folgenden "Au</w:t>
      </w:r>
      <w:r>
        <w:t>s</w:t>
      </w:r>
      <w:r>
        <w:t>schuß" genannt - eingesetzt, der aus Vertretern der Mitgliedstaaten besteht und in dem ein Vertreter der Kommiss</w:t>
      </w:r>
      <w:r>
        <w:t>i</w:t>
      </w:r>
      <w:r>
        <w:t>on den Vorsitz führt.</w:t>
      </w:r>
    </w:p>
    <w:p w:rsidR="00094CF6" w:rsidRDefault="0016449B" w:rsidP="0016449B">
      <w:pPr>
        <w:pStyle w:val="GesAbsatz"/>
      </w:pPr>
      <w:r>
        <w:t>(2) Der Ausschuß g</w:t>
      </w:r>
      <w:r w:rsidR="00094CF6">
        <w:t>ibt sich eine Geschäftsordnung.</w:t>
      </w:r>
    </w:p>
    <w:p w:rsidR="00094CF6" w:rsidRDefault="00094CF6" w:rsidP="0016449B">
      <w:pPr>
        <w:pStyle w:val="GesAbsatz"/>
      </w:pPr>
      <w:r>
        <w:t>Artikel 7b</w:t>
      </w:r>
    </w:p>
    <w:p w:rsidR="00094CF6" w:rsidRDefault="0016449B" w:rsidP="0016449B">
      <w:pPr>
        <w:pStyle w:val="GesAbsatz"/>
      </w:pPr>
      <w:r>
        <w:t>(1) Wird auf das in diesem Artikel festgelegte Verfahren Bezug genommen, so befa</w:t>
      </w:r>
      <w:r w:rsidR="00094CF6">
        <w:t>ß</w:t>
      </w:r>
      <w:r>
        <w:t>t der Vorsi</w:t>
      </w:r>
      <w:r>
        <w:t>t</w:t>
      </w:r>
      <w:r>
        <w:t xml:space="preserve">zende den Ausschuß von sich aus oder auf Antrag des Vertreters eines Mitgliedstaats. </w:t>
      </w:r>
    </w:p>
    <w:p w:rsidR="00094CF6" w:rsidRDefault="0016449B" w:rsidP="0016449B">
      <w:pPr>
        <w:pStyle w:val="GesAbsatz"/>
      </w:pPr>
      <w:r>
        <w:t>(2) Der Vertreter der Kommission unterbreitet dem Ausschuß einen Entwurf der zu treffenden Maßnahmen. Der Ausschuß nimmt zu diesem Entwurf innerhalb einer Frist Stellung, die der Vorsitzende nach Maßgabe der Dringlichkeit der betreffenden Frage bestimmen kann. Die Stellungnahme des Ausschusses kommt mit qualifizierter Meh</w:t>
      </w:r>
      <w:r>
        <w:t>r</w:t>
      </w:r>
      <w:r>
        <w:t xml:space="preserve">heit gemäß Artikel 148 Absatz 2 des Vertrages zustande. </w:t>
      </w:r>
    </w:p>
    <w:p w:rsidR="00094CF6" w:rsidRDefault="0016449B" w:rsidP="0016449B">
      <w:pPr>
        <w:pStyle w:val="GesAbsatz"/>
      </w:pPr>
      <w:r>
        <w:t>Der Vorsitzende nimm</w:t>
      </w:r>
      <w:r w:rsidR="00094CF6">
        <w:t>t an der Abstimmung nicht teil.</w:t>
      </w:r>
    </w:p>
    <w:p w:rsidR="00094CF6" w:rsidRDefault="0016449B" w:rsidP="0016449B">
      <w:pPr>
        <w:pStyle w:val="GesAbsatz"/>
      </w:pPr>
      <w:r>
        <w:t>(3)</w:t>
      </w:r>
    </w:p>
    <w:p w:rsidR="00094CF6" w:rsidRDefault="0016449B" w:rsidP="00094CF6">
      <w:pPr>
        <w:pStyle w:val="GesAbsatz"/>
        <w:ind w:left="426" w:hanging="426"/>
      </w:pPr>
      <w:r>
        <w:t>a)</w:t>
      </w:r>
      <w:r w:rsidR="00094CF6">
        <w:tab/>
      </w:r>
      <w:r>
        <w:t>Die Kommission trifft die in Aussicht genommenen Maßnahmen, wenn sie der Stellungnahme des Au</w:t>
      </w:r>
      <w:r>
        <w:t>s</w:t>
      </w:r>
      <w:r>
        <w:t xml:space="preserve">schusses entsprechen. </w:t>
      </w:r>
    </w:p>
    <w:p w:rsidR="00094CF6" w:rsidRDefault="0016449B" w:rsidP="00094CF6">
      <w:pPr>
        <w:pStyle w:val="GesAbsatz"/>
        <w:ind w:left="426" w:hanging="426"/>
      </w:pPr>
      <w:r>
        <w:t>b)</w:t>
      </w:r>
      <w:r w:rsidR="00094CF6">
        <w:tab/>
      </w:r>
      <w:r>
        <w:t>Entsprechen die in Aussicht genommenen Maßnahmen nicht der Stellungnahme des Ausschusses oder ist keine Stellungnahme ergangen, so schlägt die Kommission dem Rat unverz</w:t>
      </w:r>
      <w:r w:rsidR="00094CF6">
        <w:t>ü</w:t>
      </w:r>
      <w:r>
        <w:t>glich die zu tre</w:t>
      </w:r>
      <w:r>
        <w:t>f</w:t>
      </w:r>
      <w:r>
        <w:t>fenden Maßnahmen vor. Der Rat beschließt mit qu</w:t>
      </w:r>
      <w:r>
        <w:t>a</w:t>
      </w:r>
      <w:r>
        <w:t xml:space="preserve">lifizierter Mehrheit. </w:t>
      </w:r>
    </w:p>
    <w:p w:rsidR="00094CF6" w:rsidRDefault="0016449B" w:rsidP="00094CF6">
      <w:pPr>
        <w:pStyle w:val="GesAbsatz"/>
        <w:ind w:left="426" w:hanging="426"/>
      </w:pPr>
      <w:r>
        <w:t>c)</w:t>
      </w:r>
      <w:r w:rsidR="00094CF6">
        <w:tab/>
      </w:r>
      <w:r>
        <w:t>Hat der Rat nach Ablauf einer Frist von drei Monaten, nachdem ihm der Vorschlag übermittelt worden ist, keinen Beschluß gefasst, so werden die vorgeschlagenen Maßnahmen von der Kommission getro</w:t>
      </w:r>
      <w:r>
        <w:t>f</w:t>
      </w:r>
      <w:r>
        <w:t xml:space="preserve">fen. </w:t>
      </w:r>
    </w:p>
    <w:p w:rsidR="00094CF6" w:rsidRDefault="0016449B" w:rsidP="0016449B">
      <w:pPr>
        <w:pStyle w:val="GesAbsatz"/>
      </w:pPr>
      <w:r>
        <w:t>Artikel 7c</w:t>
      </w:r>
    </w:p>
    <w:p w:rsidR="00094CF6" w:rsidRDefault="0016449B" w:rsidP="0016449B">
      <w:pPr>
        <w:pStyle w:val="GesAbsatz"/>
      </w:pPr>
      <w:r>
        <w:t>(1) Nach dem Verfahren des Artikels 7b werden</w:t>
      </w:r>
    </w:p>
    <w:p w:rsidR="00094CF6" w:rsidRDefault="0016449B" w:rsidP="00094CF6">
      <w:pPr>
        <w:pStyle w:val="GesAbsatz"/>
        <w:ind w:left="426" w:hanging="426"/>
      </w:pPr>
      <w:r>
        <w:t>-</w:t>
      </w:r>
      <w:r w:rsidR="00094CF6">
        <w:tab/>
      </w:r>
      <w:r>
        <w:t>die Hinweise auf die Ko</w:t>
      </w:r>
      <w:r>
        <w:t>n</w:t>
      </w:r>
      <w:r>
        <w:t xml:space="preserve">trollmethoden in den in Artikel 4 genannten Richtlinien erforderlichenfalls durch andere Hinweise auf in anderen Mitgliedstaaten eingeführte Kontrollmethoden auf den neuesten Stand gebracht oder ergänzt; </w:t>
      </w:r>
    </w:p>
    <w:p w:rsidR="00094CF6" w:rsidRDefault="00094CF6" w:rsidP="00094CF6">
      <w:pPr>
        <w:pStyle w:val="GesAbsatz"/>
        <w:ind w:left="426" w:hanging="426"/>
      </w:pPr>
      <w:r>
        <w:t>-</w:t>
      </w:r>
      <w:r>
        <w:tab/>
      </w:r>
      <w:r w:rsidR="0016449B">
        <w:t>die Referenzmethoden (Bestätigungstests) in den Anhängen zu den in Artikel 4 g</w:t>
      </w:r>
      <w:r w:rsidR="0016449B">
        <w:t>e</w:t>
      </w:r>
      <w:r w:rsidR="0016449B">
        <w:t>nannten Richtlinien zum Zweck ihrer Anpassung an den technischen Fortschritt geä</w:t>
      </w:r>
      <w:r w:rsidR="0016449B">
        <w:t>n</w:t>
      </w:r>
      <w:r w:rsidR="0016449B">
        <w:t xml:space="preserve">dert. </w:t>
      </w:r>
    </w:p>
    <w:p w:rsidR="0016449B" w:rsidRDefault="0016449B" w:rsidP="0016449B">
      <w:pPr>
        <w:pStyle w:val="GesAbsatz"/>
      </w:pPr>
      <w:r>
        <w:t>(2) Diese Anpassungen dürfen nicht zur Folge haben, daß die bereits gemäß Artikel 4 niedergelegten Anfo</w:t>
      </w:r>
      <w:r>
        <w:t>r</w:t>
      </w:r>
      <w:r>
        <w:t>derungen an die biologische Abbaubarkeit grenzflächenaktiver Substanzen ungünstig beeinflu</w:t>
      </w:r>
      <w:r w:rsidR="00094CF6">
        <w:t>ß</w:t>
      </w:r>
      <w:r>
        <w:t>t werden.</w:t>
      </w:r>
      <w:r w:rsidR="00094CF6">
        <w:t>"</w:t>
      </w:r>
    </w:p>
    <w:p w:rsidR="0016449B" w:rsidRPr="0016449B" w:rsidRDefault="0016449B" w:rsidP="0016449B">
      <w:pPr>
        <w:pStyle w:val="berschrift2"/>
      </w:pPr>
      <w:bookmarkStart w:id="7" w:name="_Toc465343639"/>
      <w:r w:rsidRPr="0016449B">
        <w:t>Artikel 6</w:t>
      </w:r>
      <w:bookmarkEnd w:id="7"/>
    </w:p>
    <w:p w:rsidR="0016449B" w:rsidRDefault="0016449B" w:rsidP="0016449B">
      <w:pPr>
        <w:pStyle w:val="GesAbsatz"/>
      </w:pPr>
      <w:r>
        <w:t>(1) Die Mitgliedstaaten erlassen die erforderlichen Rechtsvorschriften, um dieser Richtlinie binnen achtzehn Monaten nach ihrer Bekanntgabe nachzukommen, und setzen die Kommission hiervon unverzüglich in Kenntnis.</w:t>
      </w:r>
    </w:p>
    <w:p w:rsidR="0016449B" w:rsidRDefault="0016449B" w:rsidP="0016449B">
      <w:pPr>
        <w:pStyle w:val="GesAbsatz"/>
      </w:pPr>
      <w:r>
        <w:t>(2) Die Mitgliedstaaten teilen der Kommission den Wortlaut der innerstaatlichen Rechtsvorschriften mit, die sie auf dem unter diese Richtlinie fallenden Gebiet erla</w:t>
      </w:r>
      <w:r>
        <w:t>s</w:t>
      </w:r>
      <w:r>
        <w:t>sen.</w:t>
      </w:r>
    </w:p>
    <w:p w:rsidR="002648E9" w:rsidRDefault="002648E9">
      <w:pPr>
        <w:pStyle w:val="berschrift2"/>
      </w:pPr>
      <w:bookmarkStart w:id="8" w:name="_Toc465343640"/>
      <w:r>
        <w:lastRenderedPageBreak/>
        <w:t xml:space="preserve">Artikel </w:t>
      </w:r>
      <w:r w:rsidR="0016449B">
        <w:t>7</w:t>
      </w:r>
      <w:bookmarkEnd w:id="8"/>
    </w:p>
    <w:p w:rsidR="002648E9" w:rsidRPr="00094CF6" w:rsidRDefault="00094CF6">
      <w:pPr>
        <w:pStyle w:val="GesAbsatz"/>
        <w:rPr>
          <w:rFonts w:cs="Arial"/>
        </w:rPr>
      </w:pPr>
      <w:r w:rsidRPr="00094CF6">
        <w:rPr>
          <w:rFonts w:cs="Arial"/>
        </w:rPr>
        <w:t>Diese Richtlinie ist an die Mitgliedstaaten gerichtet.</w:t>
      </w:r>
    </w:p>
    <w:p w:rsidR="002648E9" w:rsidRDefault="002648E9" w:rsidP="00AF6714">
      <w:pPr>
        <w:pStyle w:val="berschrift2"/>
        <w:jc w:val="left"/>
      </w:pPr>
      <w:r>
        <w:br w:type="column"/>
      </w:r>
      <w:bookmarkStart w:id="9" w:name="_Toc465343641"/>
      <w:r>
        <w:lastRenderedPageBreak/>
        <w:t>Anhang: Bestimmung der biologischen Abbaubarkeit nichtionischer Grenzfläche</w:t>
      </w:r>
      <w:r>
        <w:t>n</w:t>
      </w:r>
      <w:r>
        <w:t>aktiver Substanzen Referenzmethoden (Bestätigungstest)</w:t>
      </w:r>
      <w:bookmarkEnd w:id="9"/>
    </w:p>
    <w:p w:rsidR="00AF6714" w:rsidRDefault="00AF6714" w:rsidP="00AF6714">
      <w:pPr>
        <w:pStyle w:val="berschrift3"/>
        <w:jc w:val="left"/>
      </w:pPr>
      <w:bookmarkStart w:id="10" w:name="_Toc465343642"/>
      <w:r>
        <w:t>K</w:t>
      </w:r>
      <w:r w:rsidR="00412A73">
        <w:t>apitel</w:t>
      </w:r>
      <w:r>
        <w:t xml:space="preserve"> 1</w:t>
      </w:r>
      <w:bookmarkEnd w:id="10"/>
    </w:p>
    <w:p w:rsidR="00AF6714" w:rsidRPr="00AF6714" w:rsidRDefault="00AF6714">
      <w:pPr>
        <w:pStyle w:val="GesAbsatz"/>
        <w:rPr>
          <w:rFonts w:cs="Arial"/>
        </w:rPr>
      </w:pPr>
      <w:r w:rsidRPr="00AF6714">
        <w:rPr>
          <w:rFonts w:cs="Arial"/>
        </w:rPr>
        <w:t>1.1. Begriffsbestimmung</w:t>
      </w:r>
    </w:p>
    <w:p w:rsidR="00AF6714" w:rsidRDefault="00AF6714">
      <w:pPr>
        <w:pStyle w:val="GesAbsatz"/>
        <w:rPr>
          <w:rFonts w:cs="Arial"/>
        </w:rPr>
      </w:pPr>
      <w:r w:rsidRPr="00AF6714">
        <w:rPr>
          <w:rFonts w:cs="Arial"/>
        </w:rPr>
        <w:t>Nichtionische grenzflächenaktive Substanzen (Tenside) im Sinne dieser Richtlinie sind Verbi</w:t>
      </w:r>
      <w:r w:rsidRPr="00AF6714">
        <w:rPr>
          <w:rFonts w:cs="Arial"/>
        </w:rPr>
        <w:t>n</w:t>
      </w:r>
      <w:r w:rsidRPr="00AF6714">
        <w:rPr>
          <w:rFonts w:cs="Arial"/>
        </w:rPr>
        <w:t>dungen, die nach Durchgang durch einen Kationen- und Anionenaustauscher nach der in Kapitel 3 beschriebenen An</w:t>
      </w:r>
      <w:r w:rsidRPr="00AF6714">
        <w:rPr>
          <w:rFonts w:cs="Arial"/>
        </w:rPr>
        <w:t>a</w:t>
      </w:r>
      <w:r w:rsidRPr="00AF6714">
        <w:rPr>
          <w:rFonts w:cs="Arial"/>
        </w:rPr>
        <w:t xml:space="preserve">lysenvorschrift als bismutaktive Substanz. (BiAS) bestimmt werden. </w:t>
      </w:r>
    </w:p>
    <w:p w:rsidR="00AF6714" w:rsidRDefault="00AF6714">
      <w:pPr>
        <w:pStyle w:val="GesAbsatz"/>
        <w:rPr>
          <w:rFonts w:cs="Arial"/>
        </w:rPr>
      </w:pPr>
      <w:r>
        <w:rPr>
          <w:rFonts w:cs="Arial"/>
        </w:rPr>
        <w:t>1.2. Erforderliche Ausrüstung</w:t>
      </w:r>
    </w:p>
    <w:p w:rsidR="00AF6714" w:rsidRDefault="00AF6714">
      <w:pPr>
        <w:pStyle w:val="GesAbsatz"/>
        <w:rPr>
          <w:rFonts w:cs="Arial"/>
        </w:rPr>
      </w:pPr>
      <w:r w:rsidRPr="00AF6714">
        <w:rPr>
          <w:rFonts w:cs="Arial"/>
        </w:rPr>
        <w:t>Die Messung erfolgt unter Verwendung einer Belebtschlammanlage, die in Abbildung 1 sch</w:t>
      </w:r>
      <w:r w:rsidRPr="00AF6714">
        <w:rPr>
          <w:rFonts w:cs="Arial"/>
        </w:rPr>
        <w:t>e</w:t>
      </w:r>
      <w:r w:rsidRPr="00AF6714">
        <w:rPr>
          <w:rFonts w:cs="Arial"/>
        </w:rPr>
        <w:t>matisch und in Abbildung 2</w:t>
      </w:r>
      <w:r>
        <w:rPr>
          <w:rFonts w:cs="Arial"/>
        </w:rPr>
        <w:t xml:space="preserve"> ausführlicher dargestellt ist.</w:t>
      </w:r>
    </w:p>
    <w:p w:rsidR="00AF6714" w:rsidRDefault="00AF6714">
      <w:pPr>
        <w:pStyle w:val="GesAbsatz"/>
        <w:rPr>
          <w:rFonts w:cs="Arial"/>
        </w:rPr>
      </w:pPr>
      <w:r w:rsidRPr="00AF6714">
        <w:rPr>
          <w:rFonts w:cs="Arial"/>
        </w:rPr>
        <w:t xml:space="preserve">Die Ausrüstung besteht aus einem Vorratsgefäß A für synthetisches </w:t>
      </w:r>
      <w:proofErr w:type="gramStart"/>
      <w:r w:rsidRPr="00AF6714">
        <w:rPr>
          <w:rFonts w:cs="Arial"/>
        </w:rPr>
        <w:t>Abwasser ;</w:t>
      </w:r>
      <w:proofErr w:type="gramEnd"/>
      <w:r w:rsidRPr="00AF6714">
        <w:rPr>
          <w:rFonts w:cs="Arial"/>
        </w:rPr>
        <w:t xml:space="preserve"> einer Dosierpumpe B, e</w:t>
      </w:r>
      <w:r w:rsidRPr="00AF6714">
        <w:rPr>
          <w:rFonts w:cs="Arial"/>
        </w:rPr>
        <w:t>i</w:t>
      </w:r>
      <w:r w:rsidRPr="00AF6714">
        <w:rPr>
          <w:rFonts w:cs="Arial"/>
        </w:rPr>
        <w:t>nem Belüftungsgefäß C, einem Absetzgefäß D, einer Druckluftpumpe (Mammutpumpe) E für den B</w:t>
      </w:r>
      <w:r w:rsidRPr="00AF6714">
        <w:rPr>
          <w:rFonts w:cs="Arial"/>
        </w:rPr>
        <w:t>e</w:t>
      </w:r>
      <w:r w:rsidRPr="00AF6714">
        <w:rPr>
          <w:rFonts w:cs="Arial"/>
        </w:rPr>
        <w:t>lebtschlammrücklauf und einem Sammelgefäß F für das ablaufende b</w:t>
      </w:r>
      <w:r w:rsidRPr="00AF6714">
        <w:rPr>
          <w:rFonts w:cs="Arial"/>
        </w:rPr>
        <w:t>e</w:t>
      </w:r>
      <w:r w:rsidRPr="00AF6714">
        <w:rPr>
          <w:rFonts w:cs="Arial"/>
        </w:rPr>
        <w:t xml:space="preserve">handelte Abwasser. </w:t>
      </w:r>
    </w:p>
    <w:p w:rsidR="00AF6714" w:rsidRDefault="00AF6714">
      <w:pPr>
        <w:pStyle w:val="GesAbsatz"/>
        <w:rPr>
          <w:rFonts w:cs="Arial"/>
        </w:rPr>
      </w:pPr>
      <w:r w:rsidRPr="00AF6714">
        <w:rPr>
          <w:rFonts w:cs="Arial"/>
        </w:rPr>
        <w:t>Die Gefä</w:t>
      </w:r>
      <w:r w:rsidR="001F1D13">
        <w:rPr>
          <w:rFonts w:cs="Arial"/>
        </w:rPr>
        <w:t>ß</w:t>
      </w:r>
      <w:r w:rsidRPr="00AF6714">
        <w:rPr>
          <w:rFonts w:cs="Arial"/>
        </w:rPr>
        <w:t>e A und F müssen aus Glas oder geeignetem Kunststoff bestehen und mindestens 24 Liter fa</w:t>
      </w:r>
      <w:r w:rsidRPr="00AF6714">
        <w:rPr>
          <w:rFonts w:cs="Arial"/>
        </w:rPr>
        <w:t>s</w:t>
      </w:r>
      <w:r w:rsidRPr="00AF6714">
        <w:rPr>
          <w:rFonts w:cs="Arial"/>
        </w:rPr>
        <w:t>sen. Die Pumpe B muß einen gleichmä</w:t>
      </w:r>
      <w:r>
        <w:rPr>
          <w:rFonts w:cs="Arial"/>
        </w:rPr>
        <w:t>ß</w:t>
      </w:r>
      <w:r w:rsidRPr="00AF6714">
        <w:rPr>
          <w:rFonts w:cs="Arial"/>
        </w:rPr>
        <w:t>igen Zufluß des synthetischen Abwassers zu</w:t>
      </w:r>
      <w:r>
        <w:rPr>
          <w:rFonts w:cs="Arial"/>
        </w:rPr>
        <w:t>m Belüftungsgefäß gewährleisten</w:t>
      </w:r>
      <w:r w:rsidRPr="00AF6714">
        <w:rPr>
          <w:rFonts w:cs="Arial"/>
        </w:rPr>
        <w:t>; im normalen Betrieb muß dieses Gefäß 3 Liter Abwasser fa</w:t>
      </w:r>
      <w:r w:rsidRPr="00AF6714">
        <w:rPr>
          <w:rFonts w:cs="Arial"/>
        </w:rPr>
        <w:t>s</w:t>
      </w:r>
      <w:r w:rsidRPr="00AF6714">
        <w:rPr>
          <w:rFonts w:cs="Arial"/>
        </w:rPr>
        <w:t>sen können. Im Gefäß C ist in der Spitze des konisch geformten Gefäßbodens eine Glasfilte</w:t>
      </w:r>
      <w:r w:rsidRPr="00AF6714">
        <w:rPr>
          <w:rFonts w:cs="Arial"/>
        </w:rPr>
        <w:t>r</w:t>
      </w:r>
      <w:r w:rsidRPr="00AF6714">
        <w:rPr>
          <w:rFonts w:cs="Arial"/>
        </w:rPr>
        <w:t>fritte G zur Belüftung aufgehängt. Die durch die Fritte eingeblasene Luft muß mit einem Me</w:t>
      </w:r>
      <w:r w:rsidRPr="00AF6714">
        <w:rPr>
          <w:rFonts w:cs="Arial"/>
        </w:rPr>
        <w:t>n</w:t>
      </w:r>
      <w:r>
        <w:rPr>
          <w:rFonts w:cs="Arial"/>
        </w:rPr>
        <w:t>genmeßgerät H gemessen werden.</w:t>
      </w:r>
    </w:p>
    <w:p w:rsidR="00AF6714" w:rsidRDefault="00AF6714">
      <w:pPr>
        <w:pStyle w:val="GesAbsatz"/>
        <w:rPr>
          <w:rFonts w:cs="Arial"/>
        </w:rPr>
      </w:pPr>
      <w:r>
        <w:rPr>
          <w:rFonts w:cs="Arial"/>
        </w:rPr>
        <w:t>1.3. Synthetisches Abwasser</w:t>
      </w:r>
    </w:p>
    <w:p w:rsidR="00AF6714" w:rsidRDefault="00AF6714">
      <w:pPr>
        <w:pStyle w:val="GesAbsatz"/>
        <w:rPr>
          <w:rFonts w:cs="Arial"/>
        </w:rPr>
      </w:pPr>
      <w:r w:rsidRPr="00AF6714">
        <w:rPr>
          <w:rFonts w:cs="Arial"/>
        </w:rPr>
        <w:t>Zur Durchführung des Tests ist ein synthetisches Abwasser zu verwenden. Hierzu werden pro Liter Trin</w:t>
      </w:r>
      <w:r w:rsidRPr="00AF6714">
        <w:rPr>
          <w:rFonts w:cs="Arial"/>
        </w:rPr>
        <w:t>k</w:t>
      </w:r>
      <w:r w:rsidRPr="00AF6714">
        <w:rPr>
          <w:rFonts w:cs="Arial"/>
        </w:rPr>
        <w:t xml:space="preserve">wasser gelöst: </w:t>
      </w:r>
    </w:p>
    <w:p w:rsidR="00AF6714" w:rsidRDefault="00AF6714">
      <w:pPr>
        <w:pStyle w:val="GesAbsatz"/>
        <w:rPr>
          <w:rFonts w:cs="Arial"/>
        </w:rPr>
      </w:pPr>
      <w:r w:rsidRPr="00AF6714">
        <w:rPr>
          <w:rFonts w:cs="Arial"/>
        </w:rPr>
        <w:t>160 mg Pepton, 110 mg Fleischextrakt, 30 mg Harnstoff CO(NH</w:t>
      </w:r>
      <w:r w:rsidRPr="00AF6714">
        <w:rPr>
          <w:rFonts w:cs="Arial"/>
          <w:vertAlign w:val="subscript"/>
        </w:rPr>
        <w:t>2</w:t>
      </w:r>
      <w:r w:rsidRPr="00AF6714">
        <w:rPr>
          <w:rFonts w:cs="Arial"/>
        </w:rPr>
        <w:t>)</w:t>
      </w:r>
      <w:r w:rsidRPr="00AF6714">
        <w:rPr>
          <w:rFonts w:cs="Arial"/>
          <w:vertAlign w:val="subscript"/>
        </w:rPr>
        <w:t>2</w:t>
      </w:r>
      <w:r w:rsidRPr="00AF6714">
        <w:rPr>
          <w:rFonts w:cs="Arial"/>
        </w:rPr>
        <w:t>, 7 mg Natriumchlorid NaCl, 4 mg Calc</w:t>
      </w:r>
      <w:r w:rsidRPr="00AF6714">
        <w:rPr>
          <w:rFonts w:cs="Arial"/>
        </w:rPr>
        <w:t>i</w:t>
      </w:r>
      <w:r w:rsidRPr="00AF6714">
        <w:rPr>
          <w:rFonts w:cs="Arial"/>
        </w:rPr>
        <w:t>umchlorid CaCl</w:t>
      </w:r>
      <w:r w:rsidRPr="00AF6714">
        <w:rPr>
          <w:rFonts w:cs="Arial"/>
          <w:vertAlign w:val="subscript"/>
        </w:rPr>
        <w:t>2</w:t>
      </w:r>
      <w:r w:rsidRPr="00AF6714">
        <w:rPr>
          <w:rFonts w:cs="Arial"/>
        </w:rPr>
        <w:t xml:space="preserve"> </w:t>
      </w:r>
      <w:r w:rsidR="00556EB9">
        <w:rPr>
          <w:rFonts w:cs="Arial"/>
          <w:b/>
        </w:rPr>
        <w:t>.</w:t>
      </w:r>
      <w:r>
        <w:rPr>
          <w:rFonts w:cs="Arial"/>
        </w:rPr>
        <w:t xml:space="preserve"> </w:t>
      </w:r>
      <w:r w:rsidRPr="00AF6714">
        <w:rPr>
          <w:rFonts w:cs="Arial"/>
        </w:rPr>
        <w:t>2</w:t>
      </w:r>
      <w:r>
        <w:rPr>
          <w:rFonts w:cs="Arial"/>
        </w:rPr>
        <w:t xml:space="preserve"> </w:t>
      </w:r>
      <w:r w:rsidRPr="00AF6714">
        <w:rPr>
          <w:rFonts w:cs="Arial"/>
        </w:rPr>
        <w:t>H</w:t>
      </w:r>
      <w:r w:rsidRPr="00AF6714">
        <w:rPr>
          <w:rFonts w:cs="Arial"/>
          <w:vertAlign w:val="subscript"/>
        </w:rPr>
        <w:t>2</w:t>
      </w:r>
      <w:r>
        <w:rPr>
          <w:rFonts w:cs="Arial"/>
        </w:rPr>
        <w:t>O</w:t>
      </w:r>
      <w:r w:rsidRPr="00AF6714">
        <w:rPr>
          <w:rFonts w:cs="Arial"/>
        </w:rPr>
        <w:t>, 2 mg Magnesiumsulfat MgSO</w:t>
      </w:r>
      <w:r w:rsidRPr="00AF6714">
        <w:rPr>
          <w:rFonts w:cs="Arial"/>
          <w:vertAlign w:val="subscript"/>
        </w:rPr>
        <w:t>4</w:t>
      </w:r>
      <w:r w:rsidRPr="00AF6714">
        <w:rPr>
          <w:rFonts w:cs="Arial"/>
        </w:rPr>
        <w:t xml:space="preserve"> </w:t>
      </w:r>
      <w:r w:rsidR="00556EB9">
        <w:rPr>
          <w:rFonts w:cs="Arial"/>
          <w:b/>
        </w:rPr>
        <w:t xml:space="preserve">. </w:t>
      </w:r>
      <w:r w:rsidRPr="00AF6714">
        <w:rPr>
          <w:rFonts w:cs="Arial"/>
        </w:rPr>
        <w:t>7</w:t>
      </w:r>
      <w:r>
        <w:rPr>
          <w:rFonts w:cs="Arial"/>
        </w:rPr>
        <w:t xml:space="preserve"> </w:t>
      </w:r>
      <w:r w:rsidRPr="00AF6714">
        <w:rPr>
          <w:rFonts w:cs="Arial"/>
        </w:rPr>
        <w:t>H</w:t>
      </w:r>
      <w:r w:rsidRPr="00AF6714">
        <w:rPr>
          <w:rFonts w:cs="Arial"/>
          <w:vertAlign w:val="subscript"/>
        </w:rPr>
        <w:t>2</w:t>
      </w:r>
      <w:r w:rsidRPr="00AF6714">
        <w:rPr>
          <w:rFonts w:cs="Arial"/>
        </w:rPr>
        <w:t>O, 28 mg Dikaliumh</w:t>
      </w:r>
      <w:r w:rsidRPr="00AF6714">
        <w:rPr>
          <w:rFonts w:cs="Arial"/>
        </w:rPr>
        <w:t>y</w:t>
      </w:r>
      <w:r w:rsidRPr="00AF6714">
        <w:rPr>
          <w:rFonts w:cs="Arial"/>
        </w:rPr>
        <w:t>drogenphosphat K</w:t>
      </w:r>
      <w:r w:rsidRPr="00AF6714">
        <w:rPr>
          <w:rFonts w:cs="Arial"/>
          <w:vertAlign w:val="subscript"/>
        </w:rPr>
        <w:t>2</w:t>
      </w:r>
      <w:r w:rsidRPr="00AF6714">
        <w:rPr>
          <w:rFonts w:cs="Arial"/>
        </w:rPr>
        <w:t>HPO</w:t>
      </w:r>
      <w:r w:rsidRPr="00AF6714">
        <w:rPr>
          <w:rFonts w:cs="Arial"/>
          <w:vertAlign w:val="subscript"/>
        </w:rPr>
        <w:t>4</w:t>
      </w:r>
      <w:r w:rsidR="00556EB9">
        <w:rPr>
          <w:rFonts w:cs="Arial"/>
        </w:rPr>
        <w:t xml:space="preserve"> und 10 ± 1 mg BiAS.</w:t>
      </w:r>
    </w:p>
    <w:p w:rsidR="00AF6714" w:rsidRDefault="00AF6714">
      <w:pPr>
        <w:pStyle w:val="GesAbsatz"/>
        <w:rPr>
          <w:rFonts w:cs="Arial"/>
        </w:rPr>
      </w:pPr>
      <w:r w:rsidRPr="00AF6714">
        <w:rPr>
          <w:rFonts w:cs="Arial"/>
        </w:rPr>
        <w:t xml:space="preserve">Die BiAS </w:t>
      </w:r>
      <w:proofErr w:type="gramStart"/>
      <w:r w:rsidRPr="00AF6714">
        <w:rPr>
          <w:rFonts w:cs="Arial"/>
        </w:rPr>
        <w:t>wird</w:t>
      </w:r>
      <w:proofErr w:type="gramEnd"/>
      <w:r w:rsidRPr="00AF6714">
        <w:rPr>
          <w:rFonts w:cs="Arial"/>
        </w:rPr>
        <w:t xml:space="preserve"> aus dem zu prüfenden Produkt mittels der in Kapitel 2 angegebenen Methode extrahiert. Das synthetische Abwasser w</w:t>
      </w:r>
      <w:r w:rsidR="00556EB9">
        <w:rPr>
          <w:rFonts w:cs="Arial"/>
        </w:rPr>
        <w:t>ird täglich frisch hergestellt.</w:t>
      </w:r>
    </w:p>
    <w:p w:rsidR="00556EB9" w:rsidRDefault="00AF6714">
      <w:pPr>
        <w:pStyle w:val="GesAbsatz"/>
        <w:rPr>
          <w:rFonts w:cs="Arial"/>
        </w:rPr>
      </w:pPr>
      <w:r w:rsidRPr="00AF6714">
        <w:rPr>
          <w:rFonts w:cs="Arial"/>
        </w:rPr>
        <w:t xml:space="preserve">1.4. Herstellung der Proben </w:t>
      </w:r>
    </w:p>
    <w:p w:rsidR="00AF6714" w:rsidRDefault="00AF6714">
      <w:pPr>
        <w:pStyle w:val="GesAbsatz"/>
        <w:rPr>
          <w:rFonts w:cs="Arial"/>
        </w:rPr>
      </w:pPr>
      <w:r w:rsidRPr="00AF6714">
        <w:rPr>
          <w:rFonts w:cs="Arial"/>
        </w:rPr>
        <w:t>1.4.1. Reine grenzflächenaktive Substanzen können ohne Vorbehandlung get</w:t>
      </w:r>
      <w:r w:rsidRPr="00AF6714">
        <w:rPr>
          <w:rFonts w:cs="Arial"/>
        </w:rPr>
        <w:t>e</w:t>
      </w:r>
      <w:r w:rsidRPr="00AF6714">
        <w:rPr>
          <w:rFonts w:cs="Arial"/>
        </w:rPr>
        <w:t xml:space="preserve">stet werden. Zur Herstellung des synthetischen Abwassers (1.3) muß der </w:t>
      </w:r>
      <w:r w:rsidR="00556EB9">
        <w:rPr>
          <w:rFonts w:cs="Arial"/>
        </w:rPr>
        <w:t>Gehalt an BiAS bestimmt werden.</w:t>
      </w:r>
    </w:p>
    <w:p w:rsidR="002648E9" w:rsidRPr="00AF6714" w:rsidRDefault="00AF6714">
      <w:pPr>
        <w:pStyle w:val="GesAbsatz"/>
        <w:rPr>
          <w:rFonts w:cs="Arial"/>
        </w:rPr>
      </w:pPr>
      <w:r w:rsidRPr="00AF6714">
        <w:rPr>
          <w:rFonts w:cs="Arial"/>
        </w:rPr>
        <w:t>1.4.2. Bei konfektionierten Wasch- und Reinigungsmitteln wird der Gehalt an BiAS, MBAS und Seife ermi</w:t>
      </w:r>
      <w:r w:rsidRPr="00AF6714">
        <w:rPr>
          <w:rFonts w:cs="Arial"/>
        </w:rPr>
        <w:t>t</w:t>
      </w:r>
      <w:r w:rsidRPr="00AF6714">
        <w:rPr>
          <w:rFonts w:cs="Arial"/>
        </w:rPr>
        <w:t>telt. Es wird eine alkoholische Extraktion und dann eine Abtrennung der BiAS durc</w:t>
      </w:r>
      <w:r w:rsidRPr="00AF6714">
        <w:rPr>
          <w:rFonts w:cs="Arial"/>
        </w:rPr>
        <w:t>h</w:t>
      </w:r>
      <w:r w:rsidRPr="00AF6714">
        <w:rPr>
          <w:rFonts w:cs="Arial"/>
        </w:rPr>
        <w:t>geführt (siehe Kapitel 2). Der Gehalt des Extrakts an BiAS muß zur Herstellung des synthet</w:t>
      </w:r>
      <w:r w:rsidRPr="00AF6714">
        <w:rPr>
          <w:rFonts w:cs="Arial"/>
        </w:rPr>
        <w:t>i</w:t>
      </w:r>
      <w:r w:rsidRPr="00AF6714">
        <w:rPr>
          <w:rFonts w:cs="Arial"/>
        </w:rPr>
        <w:t>schen Abwassers bekannt sein.</w:t>
      </w:r>
    </w:p>
    <w:p w:rsidR="00556EB9" w:rsidRDefault="00556EB9">
      <w:pPr>
        <w:pStyle w:val="GesAbsatz"/>
        <w:rPr>
          <w:rFonts w:cs="Arial"/>
        </w:rPr>
      </w:pPr>
      <w:r w:rsidRPr="00556EB9">
        <w:rPr>
          <w:rFonts w:cs="Arial"/>
        </w:rPr>
        <w:t>1</w:t>
      </w:r>
      <w:r>
        <w:rPr>
          <w:rFonts w:cs="Arial"/>
        </w:rPr>
        <w:t>.5. Betrieb der Prüfeinrichtung</w:t>
      </w:r>
    </w:p>
    <w:p w:rsidR="00556EB9" w:rsidRDefault="00556EB9">
      <w:pPr>
        <w:pStyle w:val="GesAbsatz"/>
        <w:rPr>
          <w:rFonts w:cs="Arial"/>
        </w:rPr>
      </w:pPr>
      <w:r w:rsidRPr="00556EB9">
        <w:rPr>
          <w:rFonts w:cs="Arial"/>
        </w:rPr>
        <w:t>Zu Beginn des Tests werden das Belüftungsgefäß C sowie das Absetzgefäß D mit synthet</w:t>
      </w:r>
      <w:r w:rsidRPr="00556EB9">
        <w:rPr>
          <w:rFonts w:cs="Arial"/>
        </w:rPr>
        <w:t>i</w:t>
      </w:r>
      <w:r w:rsidRPr="00556EB9">
        <w:rPr>
          <w:rFonts w:cs="Arial"/>
        </w:rPr>
        <w:t>schem Abwasser gefüllt. Das Absetzgefäß D wird in der Höhe so fixiert, daß das Belüftungsg</w:t>
      </w:r>
      <w:r w:rsidRPr="00556EB9">
        <w:rPr>
          <w:rFonts w:cs="Arial"/>
        </w:rPr>
        <w:t>e</w:t>
      </w:r>
      <w:r w:rsidRPr="00556EB9">
        <w:rPr>
          <w:rFonts w:cs="Arial"/>
        </w:rPr>
        <w:t>fäß C 3 l aufnimmt. Die Impfung erfolgt mit 3 ml eines Kläranlagenablaufs guter Qualität, der frisch dem Ablauf einer biologischen Kläranlage für vorwiegend häusliches Abwasser entnommen wird. Die Ablaufprobe muß von der Entnahme bis zur Ve</w:t>
      </w:r>
      <w:r w:rsidRPr="00556EB9">
        <w:rPr>
          <w:rFonts w:cs="Arial"/>
        </w:rPr>
        <w:t>r</w:t>
      </w:r>
      <w:r w:rsidRPr="00556EB9">
        <w:rPr>
          <w:rFonts w:cs="Arial"/>
        </w:rPr>
        <w:t xml:space="preserve">wendung </w:t>
      </w:r>
      <w:r>
        <w:rPr>
          <w:rFonts w:cs="Arial"/>
        </w:rPr>
        <w:t>ae</w:t>
      </w:r>
      <w:r w:rsidRPr="00556EB9">
        <w:rPr>
          <w:rFonts w:cs="Arial"/>
        </w:rPr>
        <w:t xml:space="preserve">rob gehalten werden. Dann sind die Luftzufuhr G, die Druckluftpumpe E und die Dosierpumpe B einzuschalten. Der Zulauf des synthetischen Abwassers in das Belüftungsgefäß C muß 1 Liter je Stunde betragen, was einer durchschnittlichen Aufenthaltszeit von 3 Stunden entspricht. </w:t>
      </w:r>
    </w:p>
    <w:p w:rsidR="00556EB9" w:rsidRDefault="00556EB9">
      <w:pPr>
        <w:pStyle w:val="GesAbsatz"/>
        <w:rPr>
          <w:rFonts w:cs="Arial"/>
        </w:rPr>
      </w:pPr>
      <w:r w:rsidRPr="00556EB9">
        <w:rPr>
          <w:rFonts w:cs="Arial"/>
        </w:rPr>
        <w:t>Die Luftzufuhr ist so einzustellen, daß der Inhalt des Belüftungsgefä</w:t>
      </w:r>
      <w:r>
        <w:rPr>
          <w:rFonts w:cs="Arial"/>
        </w:rPr>
        <w:t>ß</w:t>
      </w:r>
      <w:r w:rsidRPr="00556EB9">
        <w:rPr>
          <w:rFonts w:cs="Arial"/>
        </w:rPr>
        <w:t>es C ständig in Suspens</w:t>
      </w:r>
      <w:r w:rsidRPr="00556EB9">
        <w:rPr>
          <w:rFonts w:cs="Arial"/>
        </w:rPr>
        <w:t>i</w:t>
      </w:r>
      <w:r w:rsidRPr="00556EB9">
        <w:rPr>
          <w:rFonts w:cs="Arial"/>
        </w:rPr>
        <w:t>on verbleibt und ein Mindestgehalt an gelöstem Sauerstoff von 2 mg/l aufrechterhalten wird. Schaumbildung ist durch geeignete Mittel zu verhindern. Jedoch dürfen keine Entschäumer verwendet werden, die eine hemmende Wirkung auf den Belebtschlamm ausüben oder BiAS enthalten. Die Pumpe E muß so eingestellt sein, daß stets ein gleichmä</w:t>
      </w:r>
      <w:r w:rsidR="001F1D13">
        <w:rPr>
          <w:rFonts w:cs="Arial"/>
        </w:rPr>
        <w:t>ß</w:t>
      </w:r>
      <w:r w:rsidRPr="00556EB9">
        <w:rPr>
          <w:rFonts w:cs="Arial"/>
        </w:rPr>
        <w:t>iger Rücklauf von Belebtschlamm aus dem Absetzgefäß D zum Belüftungsgefäß C e</w:t>
      </w:r>
      <w:r w:rsidRPr="00556EB9">
        <w:rPr>
          <w:rFonts w:cs="Arial"/>
        </w:rPr>
        <w:t>r</w:t>
      </w:r>
      <w:r w:rsidRPr="00556EB9">
        <w:rPr>
          <w:rFonts w:cs="Arial"/>
        </w:rPr>
        <w:t>folgt. Der im oberen Teil des Belüftungsgefä</w:t>
      </w:r>
      <w:r>
        <w:rPr>
          <w:rFonts w:cs="Arial"/>
        </w:rPr>
        <w:t>ß</w:t>
      </w:r>
      <w:r w:rsidRPr="00556EB9">
        <w:rPr>
          <w:rFonts w:cs="Arial"/>
        </w:rPr>
        <w:t>es C, am Boden des Absetzgefä</w:t>
      </w:r>
      <w:r>
        <w:rPr>
          <w:rFonts w:cs="Arial"/>
        </w:rPr>
        <w:t>ß</w:t>
      </w:r>
      <w:r w:rsidRPr="00556EB9">
        <w:rPr>
          <w:rFonts w:cs="Arial"/>
        </w:rPr>
        <w:t>es D oder in der Rücklaufle</w:t>
      </w:r>
      <w:r w:rsidRPr="00556EB9">
        <w:rPr>
          <w:rFonts w:cs="Arial"/>
        </w:rPr>
        <w:t>i</w:t>
      </w:r>
      <w:r w:rsidRPr="00556EB9">
        <w:rPr>
          <w:rFonts w:cs="Arial"/>
        </w:rPr>
        <w:t>tung sich ansammelnde Schlamm muß mindestens einmal täglich durch Bürsten oder durch andere geei</w:t>
      </w:r>
      <w:r w:rsidRPr="00556EB9">
        <w:rPr>
          <w:rFonts w:cs="Arial"/>
        </w:rPr>
        <w:t>g</w:t>
      </w:r>
      <w:r w:rsidRPr="00556EB9">
        <w:rPr>
          <w:rFonts w:cs="Arial"/>
        </w:rPr>
        <w:t>nete Mittel in den Umlauf zurückgebracht werden. Wenn der Schlamm sich nicht absetzt, kann sein A</w:t>
      </w:r>
      <w:r w:rsidRPr="00556EB9">
        <w:rPr>
          <w:rFonts w:cs="Arial"/>
        </w:rPr>
        <w:t>b</w:t>
      </w:r>
      <w:r w:rsidRPr="00556EB9">
        <w:rPr>
          <w:rFonts w:cs="Arial"/>
        </w:rPr>
        <w:t>setz- und Eindickverhalten durch gegebenenfalls wiederh</w:t>
      </w:r>
      <w:r w:rsidR="001F1D13">
        <w:rPr>
          <w:rFonts w:cs="Arial"/>
        </w:rPr>
        <w:t>olte Zugabe von je 2 ml einer 5</w:t>
      </w:r>
      <w:r w:rsidRPr="00556EB9">
        <w:rPr>
          <w:rFonts w:cs="Arial"/>
        </w:rPr>
        <w:t>%igen E</w:t>
      </w:r>
      <w:r w:rsidRPr="00556EB9">
        <w:rPr>
          <w:rFonts w:cs="Arial"/>
        </w:rPr>
        <w:t>i</w:t>
      </w:r>
      <w:r w:rsidRPr="00556EB9">
        <w:rPr>
          <w:rFonts w:cs="Arial"/>
        </w:rPr>
        <w:t>sen(III)</w:t>
      </w:r>
      <w:proofErr w:type="spellStart"/>
      <w:r w:rsidRPr="00556EB9">
        <w:rPr>
          <w:rFonts w:cs="Arial"/>
        </w:rPr>
        <w:t>chloridlösung</w:t>
      </w:r>
      <w:proofErr w:type="spellEnd"/>
      <w:r w:rsidRPr="00556EB9">
        <w:rPr>
          <w:rFonts w:cs="Arial"/>
        </w:rPr>
        <w:t xml:space="preserve"> verbessert werden. </w:t>
      </w:r>
    </w:p>
    <w:p w:rsidR="00556EB9" w:rsidRDefault="00556EB9">
      <w:pPr>
        <w:pStyle w:val="GesAbsatz"/>
        <w:rPr>
          <w:rFonts w:cs="Arial"/>
        </w:rPr>
      </w:pPr>
      <w:r w:rsidRPr="00556EB9">
        <w:rPr>
          <w:rFonts w:cs="Arial"/>
        </w:rPr>
        <w:t xml:space="preserve">Das aus dem Absetzgefäß D abfließende Wasser wird in dem Sammelgefäß F während 24 Stunden </w:t>
      </w:r>
      <w:proofErr w:type="gramStart"/>
      <w:r w:rsidRPr="00556EB9">
        <w:rPr>
          <w:rFonts w:cs="Arial"/>
        </w:rPr>
        <w:t>aufg</w:t>
      </w:r>
      <w:r w:rsidRPr="00556EB9">
        <w:rPr>
          <w:rFonts w:cs="Arial"/>
        </w:rPr>
        <w:t>e</w:t>
      </w:r>
      <w:r w:rsidRPr="00556EB9">
        <w:rPr>
          <w:rFonts w:cs="Arial"/>
        </w:rPr>
        <w:t>fangen ;</w:t>
      </w:r>
      <w:proofErr w:type="gramEnd"/>
      <w:r w:rsidRPr="00556EB9">
        <w:rPr>
          <w:rFonts w:cs="Arial"/>
        </w:rPr>
        <w:t xml:space="preserve"> nach Ablauf dieser Zeit wird nach gründlichem Durchmischen die Probe entnommen. Anschließend ist das Sammelgefäß F sorgfältig zu reinigen. </w:t>
      </w:r>
    </w:p>
    <w:p w:rsidR="00556EB9" w:rsidRDefault="00556EB9">
      <w:pPr>
        <w:pStyle w:val="GesAbsatz"/>
        <w:rPr>
          <w:rFonts w:cs="Arial"/>
        </w:rPr>
      </w:pPr>
      <w:r w:rsidRPr="00556EB9">
        <w:rPr>
          <w:rFonts w:cs="Arial"/>
        </w:rPr>
        <w:lastRenderedPageBreak/>
        <w:t>1.6. Überwachung der Me</w:t>
      </w:r>
      <w:r>
        <w:rPr>
          <w:rFonts w:cs="Arial"/>
        </w:rPr>
        <w:t>ß</w:t>
      </w:r>
      <w:r w:rsidRPr="00556EB9">
        <w:rPr>
          <w:rFonts w:cs="Arial"/>
        </w:rPr>
        <w:t xml:space="preserve">anordnung </w:t>
      </w:r>
    </w:p>
    <w:p w:rsidR="00556EB9" w:rsidRDefault="00556EB9">
      <w:pPr>
        <w:pStyle w:val="GesAbsatz"/>
        <w:rPr>
          <w:rFonts w:cs="Arial"/>
        </w:rPr>
      </w:pPr>
      <w:r w:rsidRPr="00556EB9">
        <w:rPr>
          <w:rFonts w:cs="Arial"/>
        </w:rPr>
        <w:t xml:space="preserve">Der Gehalt des synthetischen Abwassers an BiAS (in mg/l) wird unmittelbar vor dem Gebrauch bestimmt. </w:t>
      </w:r>
    </w:p>
    <w:p w:rsidR="00556EB9" w:rsidRDefault="00556EB9">
      <w:pPr>
        <w:pStyle w:val="GesAbsatz"/>
        <w:rPr>
          <w:rFonts w:cs="Arial"/>
        </w:rPr>
      </w:pPr>
      <w:r w:rsidRPr="00556EB9">
        <w:rPr>
          <w:rFonts w:cs="Arial"/>
        </w:rPr>
        <w:t>Der Gehalt an BiAS (in mg/l) des im Sammelgefäß F während 24 Stunden aufgefangenen Ablaufs wird an</w:t>
      </w:r>
      <w:r w:rsidRPr="00556EB9">
        <w:rPr>
          <w:rFonts w:cs="Arial"/>
        </w:rPr>
        <w:t>a</w:t>
      </w:r>
      <w:r w:rsidRPr="00556EB9">
        <w:rPr>
          <w:rFonts w:cs="Arial"/>
        </w:rPr>
        <w:t xml:space="preserve">lytisch nach derselben Methode unmittelbar nach der Probenahme bestimmt ; ist dies nicht möglich, muß die Probe konserviert werden (vorzugsweise durch Einfrieren). Die Konzentration ist auf 0,1 mg/l BiAS genau zu bestimmen. </w:t>
      </w:r>
    </w:p>
    <w:p w:rsidR="00556EB9" w:rsidRDefault="00556EB9">
      <w:pPr>
        <w:pStyle w:val="GesAbsatz"/>
        <w:rPr>
          <w:rFonts w:cs="Arial"/>
        </w:rPr>
      </w:pPr>
      <w:r w:rsidRPr="00556EB9">
        <w:rPr>
          <w:rFonts w:cs="Arial"/>
        </w:rPr>
        <w:t>Zur Überwachung des einwandfreien Betriebs der Me</w:t>
      </w:r>
      <w:r>
        <w:rPr>
          <w:rFonts w:cs="Arial"/>
        </w:rPr>
        <w:t>ß</w:t>
      </w:r>
      <w:r w:rsidRPr="00556EB9">
        <w:rPr>
          <w:rFonts w:cs="Arial"/>
        </w:rPr>
        <w:t>anordnung wird zweimal wöchentlich der chemische Sauerstoffbedarf (CSB) oder der gelöste organische Kohlenstoff (DOC) des gla</w:t>
      </w:r>
      <w:r w:rsidRPr="00556EB9">
        <w:rPr>
          <w:rFonts w:cs="Arial"/>
        </w:rPr>
        <w:t>s</w:t>
      </w:r>
      <w:r w:rsidRPr="00556EB9">
        <w:rPr>
          <w:rFonts w:cs="Arial"/>
        </w:rPr>
        <w:t xml:space="preserve">fasergefilterten Abwassers im Sammelgefäß F und des gefilterten synthetischen Abwassers im Vorratsgefäß A gemessen. </w:t>
      </w:r>
    </w:p>
    <w:p w:rsidR="00556EB9" w:rsidRDefault="00556EB9">
      <w:pPr>
        <w:pStyle w:val="GesAbsatz"/>
        <w:rPr>
          <w:rFonts w:cs="Arial"/>
        </w:rPr>
      </w:pPr>
      <w:r w:rsidRPr="00556EB9">
        <w:rPr>
          <w:rFonts w:cs="Arial"/>
        </w:rPr>
        <w:t>Nach Erreichen eines pro Tag nahezu gleichbleibenden biologischen Abbaus der BiAS, d.h. nach Ende der Einarbeitungszeit gemäß Abbildung 3, sollte die Verringerung des CSB oder DOC weitgehend stetig verla</w:t>
      </w:r>
      <w:r w:rsidRPr="00556EB9">
        <w:rPr>
          <w:rFonts w:cs="Arial"/>
        </w:rPr>
        <w:t>u</w:t>
      </w:r>
      <w:r w:rsidRPr="00556EB9">
        <w:rPr>
          <w:rFonts w:cs="Arial"/>
        </w:rPr>
        <w:t xml:space="preserve">fen. </w:t>
      </w:r>
    </w:p>
    <w:p w:rsidR="00556EB9" w:rsidRDefault="00556EB9">
      <w:pPr>
        <w:pStyle w:val="GesAbsatz"/>
        <w:rPr>
          <w:rFonts w:cs="Arial"/>
        </w:rPr>
      </w:pPr>
      <w:r w:rsidRPr="00556EB9">
        <w:rPr>
          <w:rFonts w:cs="Arial"/>
        </w:rPr>
        <w:t>Die Belebtschlammtrockensubstanz in g/l im Belüftungsgefäß ist zweimal wöchentlich zu ermi</w:t>
      </w:r>
      <w:r w:rsidRPr="00556EB9">
        <w:rPr>
          <w:rFonts w:cs="Arial"/>
        </w:rPr>
        <w:t>t</w:t>
      </w:r>
      <w:r w:rsidRPr="00556EB9">
        <w:rPr>
          <w:rFonts w:cs="Arial"/>
        </w:rPr>
        <w:t>teln. Ist sie grö</w:t>
      </w:r>
      <w:r w:rsidR="001F1D13">
        <w:rPr>
          <w:rFonts w:cs="Arial"/>
        </w:rPr>
        <w:t>ß</w:t>
      </w:r>
      <w:r w:rsidRPr="00556EB9">
        <w:rPr>
          <w:rFonts w:cs="Arial"/>
        </w:rPr>
        <w:t xml:space="preserve">er als 2,5 g/l, so ist der Überschuß an Belebtschlamm zu entfernen. </w:t>
      </w:r>
    </w:p>
    <w:p w:rsidR="00556EB9" w:rsidRDefault="00556EB9">
      <w:pPr>
        <w:pStyle w:val="GesAbsatz"/>
        <w:rPr>
          <w:rFonts w:cs="Arial"/>
        </w:rPr>
      </w:pPr>
      <w:r w:rsidRPr="00556EB9">
        <w:rPr>
          <w:rFonts w:cs="Arial"/>
        </w:rPr>
        <w:t>Der Abbaubarkeitstest ist bei annähernd gleichbleibender Raumtemperatur im Bereich zw</w:t>
      </w:r>
      <w:r w:rsidRPr="00556EB9">
        <w:rPr>
          <w:rFonts w:cs="Arial"/>
        </w:rPr>
        <w:t>i</w:t>
      </w:r>
      <w:r w:rsidRPr="00556EB9">
        <w:rPr>
          <w:rFonts w:cs="Arial"/>
        </w:rPr>
        <w:t xml:space="preserve">schen 292 K und 297 K (19 bis 24 ºC) durchzuführen. </w:t>
      </w:r>
    </w:p>
    <w:p w:rsidR="00556EB9" w:rsidRDefault="00556EB9">
      <w:pPr>
        <w:pStyle w:val="GesAbsatz"/>
        <w:rPr>
          <w:rFonts w:cs="Arial"/>
        </w:rPr>
      </w:pPr>
      <w:r w:rsidRPr="00556EB9">
        <w:rPr>
          <w:rFonts w:cs="Arial"/>
        </w:rPr>
        <w:t>1.7. Berechnun</w:t>
      </w:r>
      <w:r>
        <w:rPr>
          <w:rFonts w:cs="Arial"/>
        </w:rPr>
        <w:t>g der biologischen Abbaubarkeit</w:t>
      </w:r>
    </w:p>
    <w:p w:rsidR="00556EB9" w:rsidRDefault="00556EB9">
      <w:pPr>
        <w:pStyle w:val="GesAbsatz"/>
        <w:rPr>
          <w:rFonts w:cs="Arial"/>
        </w:rPr>
      </w:pPr>
      <w:r w:rsidRPr="00556EB9">
        <w:rPr>
          <w:rFonts w:cs="Arial"/>
        </w:rPr>
        <w:t xml:space="preserve">Der biologische Abbau der BiAS in Prozenten ist täglich aus dem Gehalt an BiAS in mg/l des synthetischen Abwassers und des im Sammelgefäß F gesammelten Ablaufs zu errechnen. </w:t>
      </w:r>
    </w:p>
    <w:p w:rsidR="00556EB9" w:rsidRDefault="00556EB9">
      <w:pPr>
        <w:pStyle w:val="GesAbsatz"/>
        <w:rPr>
          <w:rFonts w:cs="Arial"/>
        </w:rPr>
      </w:pPr>
      <w:r w:rsidRPr="00556EB9">
        <w:rPr>
          <w:rFonts w:cs="Arial"/>
        </w:rPr>
        <w:t xml:space="preserve">Die errechneten Abbauwerte werden entsprechend Abbildung 3 graphisch dargestellt. </w:t>
      </w:r>
    </w:p>
    <w:p w:rsidR="00556EB9" w:rsidRDefault="00556EB9">
      <w:pPr>
        <w:pStyle w:val="GesAbsatz"/>
        <w:rPr>
          <w:rFonts w:cs="Arial"/>
        </w:rPr>
      </w:pPr>
      <w:r w:rsidRPr="00556EB9">
        <w:rPr>
          <w:rFonts w:cs="Arial"/>
        </w:rPr>
        <w:t>Für die Errechnung der biologischen Abbauwerte der BiAS ist das arithmetische Mittel aus den Abbauwerten in Prozenten zu bilden, die nach dem Ende der Einarbeitungszeit an 21 aufeina</w:t>
      </w:r>
      <w:r w:rsidRPr="00556EB9">
        <w:rPr>
          <w:rFonts w:cs="Arial"/>
        </w:rPr>
        <w:t>n</w:t>
      </w:r>
      <w:r w:rsidRPr="00556EB9">
        <w:rPr>
          <w:rFonts w:cs="Arial"/>
        </w:rPr>
        <w:t xml:space="preserve">derfolgenden Tagen bei gleichbleibendem Abbau in störungsfreiem Betrieb ermittelt wurden. In keinem Fall soll die Einarbeitungszeit länger als 6 Wochen dauern. </w:t>
      </w:r>
    </w:p>
    <w:p w:rsidR="00556EB9" w:rsidRDefault="00556EB9">
      <w:pPr>
        <w:pStyle w:val="GesAbsatz"/>
        <w:rPr>
          <w:rFonts w:cs="Arial"/>
        </w:rPr>
      </w:pPr>
      <w:r w:rsidRPr="00556EB9">
        <w:rPr>
          <w:rFonts w:cs="Arial"/>
        </w:rPr>
        <w:t>Die täglichen biologischen Abbauwerte werden b</w:t>
      </w:r>
      <w:r w:rsidR="005F01F1">
        <w:rPr>
          <w:rFonts w:cs="Arial"/>
        </w:rPr>
        <w:t>is auf 0,1 % genau berechnet</w:t>
      </w:r>
      <w:r w:rsidRPr="00556EB9">
        <w:rPr>
          <w:rFonts w:cs="Arial"/>
        </w:rPr>
        <w:t>; das Enderge</w:t>
      </w:r>
      <w:r w:rsidRPr="00556EB9">
        <w:rPr>
          <w:rFonts w:cs="Arial"/>
        </w:rPr>
        <w:t>b</w:t>
      </w:r>
      <w:r w:rsidRPr="00556EB9">
        <w:rPr>
          <w:rFonts w:cs="Arial"/>
        </w:rPr>
        <w:t xml:space="preserve">nis ist jedoch auf ganze Zahlen auf- bzw. abzurunden. </w:t>
      </w:r>
    </w:p>
    <w:p w:rsidR="002648E9" w:rsidRPr="00556EB9" w:rsidRDefault="00556EB9">
      <w:pPr>
        <w:pStyle w:val="GesAbsatz"/>
        <w:rPr>
          <w:rFonts w:cs="Arial"/>
        </w:rPr>
      </w:pPr>
      <w:r w:rsidRPr="00556EB9">
        <w:rPr>
          <w:rFonts w:cs="Arial"/>
        </w:rPr>
        <w:t>In manchen Fällen kann die Häufigkeit der Bestimmungen beschränkt werden, jedoch sind zur Ermittlung des Mittelwerts die Ergebnisse von wenigstens 14 Tagesprobenahmen zugrunde zu legen, die auf den auf die Einarbeitungszeit folgenden Zeitraum von 21 Tagen zu verteilen sind.</w:t>
      </w:r>
    </w:p>
    <w:p w:rsidR="002648E9" w:rsidRDefault="002648E9" w:rsidP="005F01F1">
      <w:pPr>
        <w:pStyle w:val="berschrift3"/>
        <w:jc w:val="left"/>
      </w:pPr>
      <w:bookmarkStart w:id="11" w:name="_Toc465343643"/>
      <w:r>
        <w:t>Kapitel 2</w:t>
      </w:r>
      <w:r w:rsidR="005F01F1">
        <w:br/>
      </w:r>
      <w:r>
        <w:t>Vorbehandlung des Analysenmaterials</w:t>
      </w:r>
      <w:bookmarkEnd w:id="11"/>
    </w:p>
    <w:p w:rsidR="002648E9" w:rsidRDefault="002648E9">
      <w:pPr>
        <w:pStyle w:val="GesAbsatz"/>
        <w:tabs>
          <w:tab w:val="clear" w:pos="425"/>
        </w:tabs>
        <w:ind w:left="567" w:hanging="567"/>
      </w:pPr>
      <w:r>
        <w:t>2.1.</w:t>
      </w:r>
      <w:r w:rsidR="005F01F1">
        <w:t xml:space="preserve"> </w:t>
      </w:r>
      <w:r>
        <w:t>Vorbemerkungen</w:t>
      </w:r>
    </w:p>
    <w:p w:rsidR="002648E9" w:rsidRDefault="002648E9">
      <w:pPr>
        <w:pStyle w:val="GesAbsatz"/>
        <w:tabs>
          <w:tab w:val="clear" w:pos="425"/>
        </w:tabs>
        <w:ind w:left="567" w:hanging="567"/>
      </w:pPr>
      <w:r>
        <w:t>2.1.1.</w:t>
      </w:r>
      <w:r w:rsidR="005F01F1">
        <w:t xml:space="preserve"> </w:t>
      </w:r>
      <w:r>
        <w:t>Behandlung der Proben</w:t>
      </w:r>
    </w:p>
    <w:p w:rsidR="002648E9" w:rsidRDefault="002648E9" w:rsidP="005F01F1">
      <w:pPr>
        <w:pStyle w:val="GesAbsatz"/>
        <w:tabs>
          <w:tab w:val="clear" w:pos="425"/>
        </w:tabs>
      </w:pPr>
      <w:r>
        <w:t>In Bezug auf die Behandlung von nichtionischen grenzflächenaktiven Stoffen und von Wasch- und Rein</w:t>
      </w:r>
      <w:r>
        <w:t>i</w:t>
      </w:r>
      <w:r>
        <w:t>gungsmitteln zur Bestimmung der biologischen Abbaubarkeit durch den Bestätigungstest ist wie folgt zu ve</w:t>
      </w:r>
      <w:r>
        <w:t>r</w:t>
      </w:r>
      <w:r>
        <w:t>fahren: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69"/>
        <w:gridCol w:w="3969"/>
      </w:tblGrid>
      <w:tr w:rsidR="002648E9">
        <w:tblPrEx>
          <w:tblCellMar>
            <w:top w:w="0" w:type="dxa"/>
            <w:bottom w:w="0" w:type="dxa"/>
          </w:tblCellMar>
        </w:tblPrEx>
        <w:tc>
          <w:tcPr>
            <w:tcW w:w="3969" w:type="dxa"/>
          </w:tcPr>
          <w:p w:rsidR="002648E9" w:rsidRDefault="002648E9">
            <w:pPr>
              <w:pStyle w:val="GesAbsatz"/>
              <w:jc w:val="center"/>
            </w:pPr>
            <w:r>
              <w:t>Produkte</w:t>
            </w:r>
          </w:p>
        </w:tc>
        <w:tc>
          <w:tcPr>
            <w:tcW w:w="3969" w:type="dxa"/>
          </w:tcPr>
          <w:p w:rsidR="002648E9" w:rsidRDefault="002648E9">
            <w:pPr>
              <w:pStyle w:val="GesAbsatz"/>
              <w:jc w:val="center"/>
            </w:pPr>
            <w:r>
              <w:t>Behandlung</w:t>
            </w:r>
          </w:p>
        </w:tc>
      </w:tr>
      <w:tr w:rsidR="002648E9">
        <w:tblPrEx>
          <w:tblCellMar>
            <w:top w:w="0" w:type="dxa"/>
            <w:bottom w:w="0" w:type="dxa"/>
          </w:tblCellMar>
        </w:tblPrEx>
        <w:tc>
          <w:tcPr>
            <w:tcW w:w="3969" w:type="dxa"/>
          </w:tcPr>
          <w:p w:rsidR="002648E9" w:rsidRDefault="002648E9">
            <w:pPr>
              <w:pStyle w:val="GesAbsatz"/>
            </w:pPr>
            <w:r>
              <w:t>Nichtionische Tenside</w:t>
            </w:r>
          </w:p>
        </w:tc>
        <w:tc>
          <w:tcPr>
            <w:tcW w:w="3969" w:type="dxa"/>
          </w:tcPr>
          <w:p w:rsidR="002648E9" w:rsidRDefault="002648E9">
            <w:pPr>
              <w:pStyle w:val="GesAbsatz"/>
            </w:pPr>
            <w:r>
              <w:t>Keine</w:t>
            </w:r>
          </w:p>
          <w:p w:rsidR="002648E9" w:rsidRDefault="002648E9">
            <w:pPr>
              <w:pStyle w:val="GesAbsatz"/>
            </w:pPr>
          </w:p>
        </w:tc>
      </w:tr>
      <w:tr w:rsidR="002648E9">
        <w:tblPrEx>
          <w:tblCellMar>
            <w:top w:w="0" w:type="dxa"/>
            <w:bottom w:w="0" w:type="dxa"/>
          </w:tblCellMar>
        </w:tblPrEx>
        <w:tc>
          <w:tcPr>
            <w:tcW w:w="3969" w:type="dxa"/>
          </w:tcPr>
          <w:p w:rsidR="002648E9" w:rsidRDefault="002648E9">
            <w:pPr>
              <w:pStyle w:val="GesAbsatz"/>
            </w:pPr>
            <w:r>
              <w:t>Wasch- und Reinigungsmittel</w:t>
            </w:r>
          </w:p>
        </w:tc>
        <w:tc>
          <w:tcPr>
            <w:tcW w:w="3969" w:type="dxa"/>
          </w:tcPr>
          <w:p w:rsidR="002648E9" w:rsidRDefault="002648E9">
            <w:pPr>
              <w:pStyle w:val="GesAbsatz"/>
              <w:jc w:val="left"/>
            </w:pPr>
            <w:r>
              <w:t>Alkoholische Extraktionen mit anschli</w:t>
            </w:r>
            <w:r>
              <w:t>e</w:t>
            </w:r>
            <w:r>
              <w:t>ßender Isolierung der nichtionischen Te</w:t>
            </w:r>
            <w:r>
              <w:t>n</w:t>
            </w:r>
            <w:r>
              <w:t>side</w:t>
            </w:r>
            <w:r w:rsidR="005F01F1">
              <w:t xml:space="preserve"> durch Ionenaustausch</w:t>
            </w:r>
          </w:p>
        </w:tc>
      </w:tr>
    </w:tbl>
    <w:p w:rsidR="002648E9" w:rsidRDefault="002648E9">
      <w:pPr>
        <w:pStyle w:val="GesAbsatz"/>
        <w:tabs>
          <w:tab w:val="clear" w:pos="425"/>
        </w:tabs>
        <w:ind w:left="567" w:hanging="567"/>
      </w:pPr>
    </w:p>
    <w:p w:rsidR="005F01F1" w:rsidRDefault="005F01F1" w:rsidP="005F01F1">
      <w:pPr>
        <w:pStyle w:val="GesAbsatz"/>
        <w:tabs>
          <w:tab w:val="clear" w:pos="425"/>
        </w:tabs>
        <w:rPr>
          <w:rFonts w:cs="Arial"/>
        </w:rPr>
      </w:pPr>
      <w:r w:rsidRPr="005F01F1">
        <w:rPr>
          <w:rFonts w:cs="Arial"/>
        </w:rPr>
        <w:t>Zweck der Extraktion ist die Entfernung unlöslicher und anorganischer Bestandteile des kommerziellen Pr</w:t>
      </w:r>
      <w:r w:rsidRPr="005F01F1">
        <w:rPr>
          <w:rFonts w:cs="Arial"/>
        </w:rPr>
        <w:t>o</w:t>
      </w:r>
      <w:r w:rsidRPr="005F01F1">
        <w:rPr>
          <w:rFonts w:cs="Arial"/>
        </w:rPr>
        <w:t xml:space="preserve">dukts, die den Test der biologischen Abbaubarkeit stören könnten. </w:t>
      </w:r>
    </w:p>
    <w:p w:rsidR="005F01F1" w:rsidRDefault="005F01F1" w:rsidP="005F01F1">
      <w:pPr>
        <w:pStyle w:val="GesAbsatz"/>
        <w:tabs>
          <w:tab w:val="clear" w:pos="425"/>
        </w:tabs>
        <w:rPr>
          <w:rFonts w:cs="Arial"/>
        </w:rPr>
      </w:pPr>
      <w:r w:rsidRPr="005F01F1">
        <w:rPr>
          <w:rFonts w:cs="Arial"/>
        </w:rPr>
        <w:t xml:space="preserve">2.1.2. Ionenaustauscherverfahren </w:t>
      </w:r>
    </w:p>
    <w:p w:rsidR="005F01F1" w:rsidRDefault="005F01F1" w:rsidP="005F01F1">
      <w:pPr>
        <w:pStyle w:val="GesAbsatz"/>
        <w:tabs>
          <w:tab w:val="clear" w:pos="425"/>
        </w:tabs>
        <w:rPr>
          <w:rFonts w:cs="Arial"/>
        </w:rPr>
      </w:pPr>
      <w:r w:rsidRPr="005F01F1">
        <w:rPr>
          <w:rFonts w:cs="Arial"/>
        </w:rPr>
        <w:t>Zur korrekten Durchführung des Tests der biologischen Abbaubarkeit ist die Isolierung und Abtrennung der nichtionischen Tenside von Seife, anionischen und kationischen Te</w:t>
      </w:r>
      <w:r w:rsidRPr="005F01F1">
        <w:rPr>
          <w:rFonts w:cs="Arial"/>
        </w:rPr>
        <w:t>n</w:t>
      </w:r>
      <w:r w:rsidRPr="005F01F1">
        <w:rPr>
          <w:rFonts w:cs="Arial"/>
        </w:rPr>
        <w:t xml:space="preserve">siden erforderlich. </w:t>
      </w:r>
    </w:p>
    <w:p w:rsidR="005F01F1" w:rsidRDefault="005F01F1" w:rsidP="005F01F1">
      <w:pPr>
        <w:pStyle w:val="GesAbsatz"/>
        <w:tabs>
          <w:tab w:val="clear" w:pos="425"/>
        </w:tabs>
        <w:rPr>
          <w:rFonts w:cs="Arial"/>
        </w:rPr>
      </w:pPr>
      <w:r w:rsidRPr="005F01F1">
        <w:rPr>
          <w:rFonts w:cs="Arial"/>
        </w:rPr>
        <w:lastRenderedPageBreak/>
        <w:t>Dieses Ergebnis wird durch ein Ionenaustauscherverfahren mittels eines makroporösen Austausche</w:t>
      </w:r>
      <w:r w:rsidRPr="005F01F1">
        <w:rPr>
          <w:rFonts w:cs="Arial"/>
        </w:rPr>
        <w:t>r</w:t>
      </w:r>
      <w:r w:rsidRPr="005F01F1">
        <w:rPr>
          <w:rFonts w:cs="Arial"/>
        </w:rPr>
        <w:t>harz</w:t>
      </w:r>
      <w:r w:rsidR="001F1D13">
        <w:rPr>
          <w:rFonts w:cs="Arial"/>
        </w:rPr>
        <w:t>es und geeigneter Elutionsmittel</w:t>
      </w:r>
      <w:r w:rsidRPr="005F01F1">
        <w:rPr>
          <w:rFonts w:cs="Arial"/>
        </w:rPr>
        <w:t xml:space="preserve"> für fraktionelle Elution erzielt. Auf diese Weise werden Seife, anionische und nichtionische Tenside in einem</w:t>
      </w:r>
      <w:r>
        <w:rPr>
          <w:rFonts w:cs="Arial"/>
        </w:rPr>
        <w:t xml:space="preserve"> einzigen Arbeitsgang isoliert.</w:t>
      </w:r>
    </w:p>
    <w:p w:rsidR="005F01F1" w:rsidRDefault="005F01F1" w:rsidP="005F01F1">
      <w:pPr>
        <w:pStyle w:val="GesAbsatz"/>
        <w:tabs>
          <w:tab w:val="clear" w:pos="425"/>
        </w:tabs>
        <w:rPr>
          <w:rFonts w:cs="Arial"/>
        </w:rPr>
      </w:pPr>
      <w:r w:rsidRPr="005F01F1">
        <w:rPr>
          <w:rFonts w:cs="Arial"/>
        </w:rPr>
        <w:t xml:space="preserve">2.1.3. Analytische Kontrolle </w:t>
      </w:r>
    </w:p>
    <w:p w:rsidR="005F01F1" w:rsidRDefault="005F01F1" w:rsidP="005F01F1">
      <w:pPr>
        <w:pStyle w:val="GesAbsatz"/>
        <w:tabs>
          <w:tab w:val="clear" w:pos="425"/>
        </w:tabs>
        <w:rPr>
          <w:rFonts w:cs="Arial"/>
        </w:rPr>
      </w:pPr>
      <w:r w:rsidRPr="005F01F1">
        <w:rPr>
          <w:rFonts w:cs="Arial"/>
        </w:rPr>
        <w:t>Die Konzentration an anionischen und nichtionischen Tensiden in dem Wasch- und Reinigungsmittel wird nach Homogenisieren nach den MBAS- und BiAS-Analysenverfahren bestimmt. Der Seifengehalt wird mi</w:t>
      </w:r>
      <w:r w:rsidRPr="005F01F1">
        <w:rPr>
          <w:rFonts w:cs="Arial"/>
        </w:rPr>
        <w:t>t</w:t>
      </w:r>
      <w:r w:rsidRPr="005F01F1">
        <w:rPr>
          <w:rFonts w:cs="Arial"/>
        </w:rPr>
        <w:t xml:space="preserve">tels einer geeigneten Analysenmethode bestimmt. </w:t>
      </w:r>
    </w:p>
    <w:p w:rsidR="005F01F1" w:rsidRDefault="005F01F1" w:rsidP="005F01F1">
      <w:pPr>
        <w:pStyle w:val="GesAbsatz"/>
        <w:tabs>
          <w:tab w:val="clear" w:pos="425"/>
        </w:tabs>
        <w:rPr>
          <w:rFonts w:cs="Arial"/>
        </w:rPr>
      </w:pPr>
      <w:r w:rsidRPr="005F01F1">
        <w:rPr>
          <w:rFonts w:cs="Arial"/>
        </w:rPr>
        <w:t>Diese Analyse des Produkts ist zur Berechnung der Mengen erforderlich, die zur Herstellung der Fra</w:t>
      </w:r>
      <w:r w:rsidRPr="005F01F1">
        <w:rPr>
          <w:rFonts w:cs="Arial"/>
        </w:rPr>
        <w:t>k</w:t>
      </w:r>
      <w:r w:rsidRPr="005F01F1">
        <w:rPr>
          <w:rFonts w:cs="Arial"/>
        </w:rPr>
        <w:t xml:space="preserve">tionen für den Test der biologischen </w:t>
      </w:r>
      <w:r>
        <w:rPr>
          <w:rFonts w:cs="Arial"/>
        </w:rPr>
        <w:t>Abbaubarkeit erforderlich sind.</w:t>
      </w:r>
    </w:p>
    <w:p w:rsidR="005F01F1" w:rsidRPr="005F01F1" w:rsidRDefault="005F01F1" w:rsidP="005F01F1">
      <w:pPr>
        <w:pStyle w:val="GesAbsatz"/>
        <w:tabs>
          <w:tab w:val="clear" w:pos="425"/>
        </w:tabs>
        <w:rPr>
          <w:rFonts w:cs="Arial"/>
        </w:rPr>
      </w:pPr>
      <w:r w:rsidRPr="005F01F1">
        <w:rPr>
          <w:rFonts w:cs="Arial"/>
        </w:rPr>
        <w:t>Eine quantitative Extraktion ist nicht erforderlich; doch sollten mindestens 80 % der nichtionischen Tenside extrahiert werden. In der Regel werden 90 % und mehr erhalten.</w:t>
      </w:r>
    </w:p>
    <w:p w:rsidR="005F01F1" w:rsidRPr="005F01F1" w:rsidRDefault="005F01F1">
      <w:pPr>
        <w:pStyle w:val="GesAbsatz"/>
        <w:rPr>
          <w:rFonts w:cs="Arial"/>
        </w:rPr>
      </w:pPr>
      <w:r w:rsidRPr="005F01F1">
        <w:rPr>
          <w:rFonts w:cs="Arial"/>
        </w:rPr>
        <w:t xml:space="preserve">2.2. Prinzip </w:t>
      </w:r>
    </w:p>
    <w:p w:rsidR="005F01F1" w:rsidRPr="005F01F1" w:rsidRDefault="005F01F1">
      <w:pPr>
        <w:pStyle w:val="GesAbsatz"/>
        <w:rPr>
          <w:rFonts w:cs="Arial"/>
        </w:rPr>
      </w:pPr>
      <w:r w:rsidRPr="005F01F1">
        <w:rPr>
          <w:rFonts w:cs="Arial"/>
        </w:rPr>
        <w:t>Aus der homogenen Probe (Pulver, Pasten und vorher getrocknete Flüssigkeiten) wird ein Ethanolextrakt gewonnen, der die Tenside, die Seife und andere alkohollösliche Bestandteile der Wasch- und Reinigung</w:t>
      </w:r>
      <w:r w:rsidRPr="005F01F1">
        <w:rPr>
          <w:rFonts w:cs="Arial"/>
        </w:rPr>
        <w:t>s</w:t>
      </w:r>
      <w:r w:rsidRPr="005F01F1">
        <w:rPr>
          <w:rFonts w:cs="Arial"/>
        </w:rPr>
        <w:t xml:space="preserve">mittel-Probe enthält. </w:t>
      </w:r>
    </w:p>
    <w:p w:rsidR="005F01F1" w:rsidRPr="005F01F1" w:rsidRDefault="005F01F1">
      <w:pPr>
        <w:pStyle w:val="GesAbsatz"/>
        <w:rPr>
          <w:rFonts w:cs="Arial"/>
        </w:rPr>
      </w:pPr>
      <w:r w:rsidRPr="005F01F1">
        <w:rPr>
          <w:rFonts w:cs="Arial"/>
        </w:rPr>
        <w:t>Der Ethanolextrakt wird zur Trockne verdampft, in Isopropanol-Wasser-Gemisch gelöst und diese Lösung durch eine auf 323 K (50 ºC) erhitzte Austauscherkombination aus stark saurem Kationenaustauscher und makroporösem Anionenaustauscher gegeben. Diese Temperatur ist erforderlich, um die Fällung von Fet</w:t>
      </w:r>
      <w:r w:rsidRPr="005F01F1">
        <w:rPr>
          <w:rFonts w:cs="Arial"/>
        </w:rPr>
        <w:t>t</w:t>
      </w:r>
      <w:r w:rsidRPr="005F01F1">
        <w:rPr>
          <w:rFonts w:cs="Arial"/>
        </w:rPr>
        <w:t xml:space="preserve">säuren in sauren Medien zu vermeiden. </w:t>
      </w:r>
    </w:p>
    <w:p w:rsidR="002648E9" w:rsidRPr="005F01F1" w:rsidRDefault="005F01F1">
      <w:pPr>
        <w:pStyle w:val="GesAbsatz"/>
        <w:rPr>
          <w:rFonts w:cs="Arial"/>
        </w:rPr>
      </w:pPr>
      <w:r w:rsidRPr="005F01F1">
        <w:rPr>
          <w:rFonts w:cs="Arial"/>
        </w:rPr>
        <w:t>Nach Eindampfen des Ablaufs erhält man die nichtionischen Tenside. Kationische Tenside, die den Abba</w:t>
      </w:r>
      <w:r w:rsidRPr="005F01F1">
        <w:rPr>
          <w:rFonts w:cs="Arial"/>
        </w:rPr>
        <w:t>u</w:t>
      </w:r>
      <w:r w:rsidRPr="005F01F1">
        <w:rPr>
          <w:rFonts w:cs="Arial"/>
        </w:rPr>
        <w:t>barkeitstest und das Analysenverfahren stören könnten, werden durch den über dem Anionenaustauscher eingesetzten Kationenaustauscher eliminiert.</w:t>
      </w:r>
    </w:p>
    <w:p w:rsidR="002648E9" w:rsidRDefault="002648E9">
      <w:pPr>
        <w:pStyle w:val="GesAbsatz"/>
        <w:tabs>
          <w:tab w:val="clear" w:pos="425"/>
        </w:tabs>
        <w:ind w:left="567" w:hanging="567"/>
      </w:pPr>
      <w:r>
        <w:t>2.3.</w:t>
      </w:r>
      <w:r w:rsidR="005F01F1">
        <w:t xml:space="preserve"> </w:t>
      </w:r>
      <w:r>
        <w:t>Chemikalien und Geräte</w:t>
      </w:r>
    </w:p>
    <w:p w:rsidR="002648E9" w:rsidRDefault="002648E9">
      <w:pPr>
        <w:pStyle w:val="GesAbsatz"/>
        <w:tabs>
          <w:tab w:val="clear" w:pos="425"/>
        </w:tabs>
        <w:ind w:left="567" w:hanging="567"/>
      </w:pPr>
      <w:r>
        <w:t>2.3.1.</w:t>
      </w:r>
      <w:r w:rsidR="005F01F1">
        <w:t xml:space="preserve"> </w:t>
      </w:r>
      <w:r>
        <w:t>Entsalztes Wasser</w:t>
      </w:r>
    </w:p>
    <w:p w:rsidR="002648E9" w:rsidRDefault="002648E9">
      <w:pPr>
        <w:pStyle w:val="GesAbsatz"/>
        <w:ind w:left="567" w:hanging="567"/>
      </w:pPr>
      <w:r>
        <w:t>2.3.2.</w:t>
      </w:r>
      <w:r w:rsidR="005F01F1">
        <w:t xml:space="preserve"> </w:t>
      </w:r>
      <w:r>
        <w:t>Ethanol, 95 Vol.-% C</w:t>
      </w:r>
      <w:r>
        <w:rPr>
          <w:vertAlign w:val="subscript"/>
        </w:rPr>
        <w:t>2</w:t>
      </w:r>
      <w:r>
        <w:t>H</w:t>
      </w:r>
      <w:r>
        <w:rPr>
          <w:vertAlign w:val="subscript"/>
        </w:rPr>
        <w:t>5</w:t>
      </w:r>
      <w:r>
        <w:t>OH (zulässig als Vergällungsmittel: Methylethylketon oder Methanol)</w:t>
      </w:r>
    </w:p>
    <w:p w:rsidR="002648E9" w:rsidRDefault="002648E9">
      <w:pPr>
        <w:pStyle w:val="GesAbsatz"/>
        <w:ind w:left="567" w:hanging="567"/>
      </w:pPr>
      <w:r>
        <w:t>2.3.3.</w:t>
      </w:r>
      <w:r w:rsidR="005F01F1">
        <w:t xml:space="preserve"> </w:t>
      </w:r>
      <w:r>
        <w:t>Isopropanol-Wasser-Gemisch (50/50 v/v):</w:t>
      </w:r>
    </w:p>
    <w:p w:rsidR="002648E9" w:rsidRDefault="002648E9">
      <w:pPr>
        <w:pStyle w:val="GesAbsatz"/>
        <w:tabs>
          <w:tab w:val="clear" w:pos="425"/>
        </w:tabs>
        <w:ind w:left="567" w:hanging="567"/>
      </w:pPr>
      <w:r>
        <w:tab/>
        <w:t>50 Volumenteile Isopropanol (CH</w:t>
      </w:r>
      <w:r>
        <w:rPr>
          <w:vertAlign w:val="subscript"/>
        </w:rPr>
        <w:t>3</w:t>
      </w:r>
      <w:r>
        <w:t>CHOH-CH</w:t>
      </w:r>
      <w:r>
        <w:rPr>
          <w:vertAlign w:val="subscript"/>
        </w:rPr>
        <w:t>3</w:t>
      </w:r>
      <w:r>
        <w:t>) auf</w:t>
      </w:r>
    </w:p>
    <w:p w:rsidR="002648E9" w:rsidRDefault="002648E9">
      <w:pPr>
        <w:pStyle w:val="GesAbsatz"/>
        <w:tabs>
          <w:tab w:val="clear" w:pos="425"/>
        </w:tabs>
        <w:ind w:left="567" w:hanging="567"/>
      </w:pPr>
      <w:r>
        <w:tab/>
        <w:t>50 Volumenteile Wasser (2.3.1)</w:t>
      </w:r>
    </w:p>
    <w:p w:rsidR="002648E9" w:rsidRDefault="002648E9">
      <w:pPr>
        <w:pStyle w:val="GesAbsatz"/>
        <w:ind w:left="567" w:hanging="567"/>
      </w:pPr>
      <w:r>
        <w:t>2.3.4.</w:t>
      </w:r>
      <w:r w:rsidR="005F01F1">
        <w:t xml:space="preserve"> </w:t>
      </w:r>
      <w:r>
        <w:t>Ammoniumhydrogenca</w:t>
      </w:r>
      <w:r w:rsidR="005F01F1">
        <w:t>r</w:t>
      </w:r>
      <w:r>
        <w:t>bonatlösung (60/40 v/v):</w:t>
      </w:r>
    </w:p>
    <w:p w:rsidR="002648E9" w:rsidRDefault="002648E9">
      <w:pPr>
        <w:pStyle w:val="GesAbsatz"/>
        <w:tabs>
          <w:tab w:val="clear" w:pos="425"/>
        </w:tabs>
        <w:ind w:left="567" w:hanging="567"/>
      </w:pPr>
      <w:r>
        <w:tab/>
        <w:t>0,3 Mol NH</w:t>
      </w:r>
      <w:r>
        <w:rPr>
          <w:vertAlign w:val="subscript"/>
        </w:rPr>
        <w:t>4</w:t>
      </w:r>
      <w:r>
        <w:t>HCO</w:t>
      </w:r>
      <w:r w:rsidRPr="005F01F1">
        <w:rPr>
          <w:vertAlign w:val="subscript"/>
        </w:rPr>
        <w:t>3</w:t>
      </w:r>
      <w:r>
        <w:t xml:space="preserve"> in 1000 ml Isopropanol-Wasser-Gemisch aus 60 Volumenteilen Isopropanol und 40 Volumenteilen Wasser (2.3.1)</w:t>
      </w:r>
    </w:p>
    <w:p w:rsidR="002648E9" w:rsidRDefault="002648E9">
      <w:pPr>
        <w:pStyle w:val="GesAbsatz"/>
        <w:ind w:left="567" w:hanging="567"/>
      </w:pPr>
      <w:r>
        <w:t>2.3.5.</w:t>
      </w:r>
      <w:r w:rsidR="005F01F1">
        <w:t xml:space="preserve"> </w:t>
      </w:r>
      <w:r>
        <w:t xml:space="preserve">Kationenaustauscher (KAT), stark sauer, alkoholfest (50 - 100 </w:t>
      </w:r>
      <w:r w:rsidRPr="001F2E07">
        <w:rPr>
          <w:lang w:val="en-US"/>
        </w:rPr>
        <w:t>mesh</w:t>
      </w:r>
      <w:r>
        <w:t>)</w:t>
      </w:r>
    </w:p>
    <w:p w:rsidR="002648E9" w:rsidRDefault="002648E9">
      <w:pPr>
        <w:pStyle w:val="GesAbsatz"/>
        <w:ind w:left="567" w:hanging="567"/>
      </w:pPr>
      <w:r>
        <w:t>2.3.6.</w:t>
      </w:r>
      <w:r w:rsidR="005F01F1">
        <w:t xml:space="preserve"> </w:t>
      </w:r>
      <w:r>
        <w:t xml:space="preserve">Anionenaustauscher (AAT) makroporös, Merck </w:t>
      </w:r>
      <w:proofErr w:type="spellStart"/>
      <w:r>
        <w:t>Levatit</w:t>
      </w:r>
      <w:proofErr w:type="spellEnd"/>
      <w:r>
        <w:t xml:space="preserve"> MP 7080 /70-150 </w:t>
      </w:r>
      <w:r w:rsidRPr="001F2E07">
        <w:rPr>
          <w:lang w:val="en-US"/>
        </w:rPr>
        <w:t>mesh</w:t>
      </w:r>
      <w:r>
        <w:t>) oder gleichwertig</w:t>
      </w:r>
    </w:p>
    <w:p w:rsidR="002648E9" w:rsidRDefault="002648E9">
      <w:pPr>
        <w:pStyle w:val="GesAbsatz"/>
        <w:ind w:left="567" w:hanging="567"/>
      </w:pPr>
      <w:r>
        <w:t>2.3.7.</w:t>
      </w:r>
      <w:r w:rsidR="005F01F1">
        <w:t xml:space="preserve"> </w:t>
      </w:r>
      <w:r>
        <w:t>Salzsäure 10 Gew.-% HCl</w:t>
      </w:r>
    </w:p>
    <w:p w:rsidR="002648E9" w:rsidRDefault="002648E9">
      <w:pPr>
        <w:pStyle w:val="GesAbsatz"/>
        <w:tabs>
          <w:tab w:val="clear" w:pos="425"/>
        </w:tabs>
        <w:ind w:left="567" w:hanging="567"/>
      </w:pPr>
      <w:r>
        <w:t>2.3.8.</w:t>
      </w:r>
      <w:r w:rsidR="005F01F1">
        <w:t xml:space="preserve"> </w:t>
      </w:r>
      <w:r>
        <w:t>Rundkolben mit konischem Schliff und Rückflußkühler, Inhalt 2000 ml</w:t>
      </w:r>
    </w:p>
    <w:p w:rsidR="002648E9" w:rsidRDefault="002648E9">
      <w:pPr>
        <w:pStyle w:val="GesAbsatz"/>
        <w:tabs>
          <w:tab w:val="clear" w:pos="425"/>
        </w:tabs>
        <w:ind w:left="567" w:hanging="567"/>
      </w:pPr>
      <w:r>
        <w:t>2.3.9.</w:t>
      </w:r>
      <w:r w:rsidR="005F01F1">
        <w:t xml:space="preserve"> </w:t>
      </w:r>
      <w:r>
        <w:t>Nutsche (heizbar) für Papierfilter, Durchmesser 90 mm</w:t>
      </w:r>
    </w:p>
    <w:p w:rsidR="002648E9" w:rsidRDefault="002648E9">
      <w:pPr>
        <w:pStyle w:val="GesAbsatz"/>
        <w:tabs>
          <w:tab w:val="clear" w:pos="425"/>
        </w:tabs>
        <w:ind w:left="567" w:hanging="567"/>
      </w:pPr>
      <w:smartTag w:uri="urn:schemas-microsoft-com:office:smarttags" w:element="date">
        <w:smartTagPr>
          <w:attr w:name="Year" w:val="10"/>
          <w:attr w:name="Day" w:val="2"/>
          <w:attr w:name="Month" w:val="3"/>
          <w:attr w:name="ls" w:val="trans"/>
        </w:smartTagPr>
        <w:r>
          <w:t>2.3.</w:t>
        </w:r>
        <w:smartTag w:uri="urn:schemas-microsoft-com:office:smarttags" w:element="date">
          <w:smartTagPr>
            <w:attr w:name="Year" w:val="2000"/>
            <w:attr w:name="Day" w:val="10"/>
            <w:attr w:name="Month" w:val="1"/>
            <w:attr w:name="ls" w:val="trans"/>
          </w:smartTagPr>
          <w:r>
            <w:t>10.</w:t>
          </w:r>
        </w:smartTag>
      </w:smartTag>
      <w:r w:rsidR="005F01F1">
        <w:t xml:space="preserve"> </w:t>
      </w:r>
      <w:r>
        <w:t>Saugflasche, 2000</w:t>
      </w:r>
      <w:r>
        <w:t xml:space="preserve"> ml</w:t>
      </w:r>
    </w:p>
    <w:p w:rsidR="002648E9" w:rsidRDefault="002648E9">
      <w:pPr>
        <w:pStyle w:val="GesAbsatz"/>
        <w:tabs>
          <w:tab w:val="clear" w:pos="425"/>
        </w:tabs>
        <w:ind w:left="709" w:hanging="709"/>
      </w:pPr>
      <w:smartTag w:uri="urn:schemas-microsoft-com:office:smarttags" w:element="date">
        <w:smartTagPr>
          <w:attr w:name="Year" w:val="11"/>
          <w:attr w:name="Day" w:val="2"/>
          <w:attr w:name="Month" w:val="3"/>
          <w:attr w:name="ls" w:val="trans"/>
        </w:smartTagPr>
        <w:r>
          <w:t>2.3.11.</w:t>
        </w:r>
      </w:smartTag>
      <w:r w:rsidR="005F01F1">
        <w:t xml:space="preserve"> </w:t>
      </w:r>
      <w:r>
        <w:t>Austauschersäule mit Heizmantel und Hahn; Durchmesser des Innenrohres 60 mm, Höhe 450 mm (Abbildung 4)</w:t>
      </w:r>
    </w:p>
    <w:p w:rsidR="002648E9" w:rsidRDefault="002648E9">
      <w:pPr>
        <w:pStyle w:val="GesAbsatz"/>
        <w:tabs>
          <w:tab w:val="clear" w:pos="425"/>
        </w:tabs>
        <w:ind w:left="567" w:hanging="567"/>
      </w:pPr>
      <w:smartTag w:uri="urn:schemas-microsoft-com:office:smarttags" w:element="date">
        <w:smartTagPr>
          <w:attr w:name="Year" w:val="12"/>
          <w:attr w:name="Day" w:val="2"/>
          <w:attr w:name="Month" w:val="3"/>
          <w:attr w:name="ls" w:val="trans"/>
        </w:smartTagPr>
        <w:r>
          <w:t>2.3.12.</w:t>
        </w:r>
      </w:smartTag>
      <w:r w:rsidR="005F01F1">
        <w:t xml:space="preserve"> </w:t>
      </w:r>
      <w:r>
        <w:t>Wasserbad</w:t>
      </w:r>
    </w:p>
    <w:p w:rsidR="002648E9" w:rsidRDefault="002648E9">
      <w:pPr>
        <w:pStyle w:val="GesAbsatz"/>
        <w:tabs>
          <w:tab w:val="clear" w:pos="425"/>
        </w:tabs>
        <w:ind w:left="567" w:hanging="567"/>
      </w:pPr>
      <w:smartTag w:uri="urn:schemas-microsoft-com:office:smarttags" w:element="date">
        <w:smartTagPr>
          <w:attr w:name="Year" w:val="13"/>
          <w:attr w:name="Day" w:val="2"/>
          <w:attr w:name="Month" w:val="3"/>
          <w:attr w:name="ls" w:val="trans"/>
        </w:smartTagPr>
        <w:r>
          <w:t>2.3.13.</w:t>
        </w:r>
      </w:smartTag>
      <w:r w:rsidR="005F01F1">
        <w:t xml:space="preserve"> </w:t>
      </w:r>
      <w:r>
        <w:t>Vakuumtrockenschrank</w:t>
      </w:r>
    </w:p>
    <w:p w:rsidR="002648E9" w:rsidRDefault="002648E9">
      <w:pPr>
        <w:pStyle w:val="GesAbsatz"/>
        <w:ind w:left="567" w:hanging="567"/>
      </w:pPr>
      <w:smartTag w:uri="urn:schemas-microsoft-com:office:smarttags" w:element="date">
        <w:smartTagPr>
          <w:attr w:name="Year" w:val="14"/>
          <w:attr w:name="Day" w:val="2"/>
          <w:attr w:name="Month" w:val="3"/>
          <w:attr w:name="ls" w:val="trans"/>
        </w:smartTagPr>
        <w:r>
          <w:t>2.3.14.</w:t>
        </w:r>
      </w:smartTag>
      <w:r w:rsidR="005F01F1">
        <w:t xml:space="preserve"> </w:t>
      </w:r>
      <w:r>
        <w:t>Thermostat</w:t>
      </w:r>
    </w:p>
    <w:p w:rsidR="002648E9" w:rsidRDefault="002648E9">
      <w:pPr>
        <w:pStyle w:val="GesAbsatz"/>
        <w:tabs>
          <w:tab w:val="clear" w:pos="425"/>
        </w:tabs>
        <w:ind w:left="567" w:hanging="567"/>
      </w:pPr>
      <w:smartTag w:uri="urn:schemas-microsoft-com:office:smarttags" w:element="date">
        <w:smartTagPr>
          <w:attr w:name="Year" w:val="15"/>
          <w:attr w:name="Day" w:val="2"/>
          <w:attr w:name="Month" w:val="3"/>
          <w:attr w:name="ls" w:val="trans"/>
        </w:smartTagPr>
        <w:r>
          <w:t>2.3.15.</w:t>
        </w:r>
      </w:smartTag>
      <w:r w:rsidR="005F01F1">
        <w:t xml:space="preserve"> </w:t>
      </w:r>
      <w:r>
        <w:t>Rotationsverdampfer</w:t>
      </w:r>
    </w:p>
    <w:p w:rsidR="002648E9" w:rsidRDefault="002648E9">
      <w:pPr>
        <w:pStyle w:val="GesAbsatz"/>
        <w:ind w:left="567" w:hanging="567"/>
      </w:pPr>
    </w:p>
    <w:p w:rsidR="002648E9" w:rsidRDefault="002648E9">
      <w:pPr>
        <w:pStyle w:val="GesAbsatz"/>
        <w:tabs>
          <w:tab w:val="clear" w:pos="425"/>
        </w:tabs>
        <w:ind w:left="567" w:hanging="567"/>
      </w:pPr>
      <w:r>
        <w:t>2.4.</w:t>
      </w:r>
      <w:r w:rsidR="005F01F1">
        <w:t xml:space="preserve"> </w:t>
      </w:r>
      <w:r>
        <w:t>Herstellung des Extrakts und Abtrennung der nichtionischen Tenside</w:t>
      </w:r>
    </w:p>
    <w:p w:rsidR="002648E9" w:rsidRDefault="002648E9">
      <w:pPr>
        <w:pStyle w:val="GesAbsatz"/>
        <w:tabs>
          <w:tab w:val="clear" w:pos="425"/>
        </w:tabs>
        <w:ind w:left="567" w:hanging="567"/>
      </w:pPr>
      <w:r>
        <w:t>2.4.1.</w:t>
      </w:r>
      <w:r w:rsidR="005F01F1">
        <w:t xml:space="preserve"> </w:t>
      </w:r>
      <w:r>
        <w:t>Herstellung des Extrakts</w:t>
      </w:r>
    </w:p>
    <w:p w:rsidR="009B3843" w:rsidRDefault="009B3843" w:rsidP="009B3843">
      <w:pPr>
        <w:pStyle w:val="GesAbsatz"/>
        <w:rPr>
          <w:rFonts w:cs="Arial"/>
        </w:rPr>
      </w:pPr>
      <w:r w:rsidRPr="009B3843">
        <w:rPr>
          <w:rFonts w:cs="Arial"/>
        </w:rPr>
        <w:t>Für den Abbaubarkeitstest sind etwa 25 g BiAS als grenzflächenaktive Substanz erforde</w:t>
      </w:r>
      <w:r w:rsidRPr="009B3843">
        <w:rPr>
          <w:rFonts w:cs="Arial"/>
        </w:rPr>
        <w:t>r</w:t>
      </w:r>
      <w:r w:rsidRPr="009B3843">
        <w:rPr>
          <w:rFonts w:cs="Arial"/>
        </w:rPr>
        <w:t xml:space="preserve">lich. </w:t>
      </w:r>
    </w:p>
    <w:p w:rsidR="009B3843" w:rsidRDefault="009B3843" w:rsidP="009B3843">
      <w:pPr>
        <w:pStyle w:val="GesAbsatz"/>
        <w:rPr>
          <w:rFonts w:cs="Arial"/>
        </w:rPr>
      </w:pPr>
      <w:r w:rsidRPr="009B3843">
        <w:rPr>
          <w:rFonts w:cs="Arial"/>
        </w:rPr>
        <w:lastRenderedPageBreak/>
        <w:t>Bei der Herstellung der Extrakte für die Abbaubarkeitstests soll die einzusetzende Produktmenge auf höch</w:t>
      </w:r>
      <w:r w:rsidRPr="009B3843">
        <w:rPr>
          <w:rFonts w:cs="Arial"/>
        </w:rPr>
        <w:t>s</w:t>
      </w:r>
      <w:r w:rsidRPr="009B3843">
        <w:rPr>
          <w:rFonts w:cs="Arial"/>
        </w:rPr>
        <w:t>tens 2 000 g beschränkt bleiben. Es kann daher nötig werden, die Aufarbeitung zweimal oder öfter durchz</w:t>
      </w:r>
      <w:r w:rsidRPr="009B3843">
        <w:rPr>
          <w:rFonts w:cs="Arial"/>
        </w:rPr>
        <w:t>u</w:t>
      </w:r>
      <w:r w:rsidRPr="009B3843">
        <w:rPr>
          <w:rFonts w:cs="Arial"/>
        </w:rPr>
        <w:t>führen, um die für den Abbaubarkeitstest gen</w:t>
      </w:r>
      <w:r w:rsidRPr="009B3843">
        <w:rPr>
          <w:rFonts w:cs="Arial"/>
        </w:rPr>
        <w:t>ü</w:t>
      </w:r>
      <w:r w:rsidRPr="009B3843">
        <w:rPr>
          <w:rFonts w:cs="Arial"/>
        </w:rPr>
        <w:t xml:space="preserve">gende Menge zu erhalten. </w:t>
      </w:r>
    </w:p>
    <w:p w:rsidR="009B3843" w:rsidRDefault="009B3843" w:rsidP="009B3843">
      <w:pPr>
        <w:pStyle w:val="GesAbsatz"/>
        <w:rPr>
          <w:rFonts w:cs="Arial"/>
        </w:rPr>
      </w:pPr>
      <w:r w:rsidRPr="009B3843">
        <w:rPr>
          <w:rFonts w:cs="Arial"/>
        </w:rPr>
        <w:t>Erfahrungsgemäß ist die chargenweise Gewinnung der Extrakte arbeitstechnisch vorteilhafter als das Arbe</w:t>
      </w:r>
      <w:r w:rsidRPr="009B3843">
        <w:rPr>
          <w:rFonts w:cs="Arial"/>
        </w:rPr>
        <w:t>i</w:t>
      </w:r>
      <w:r w:rsidRPr="009B3843">
        <w:rPr>
          <w:rFonts w:cs="Arial"/>
        </w:rPr>
        <w:t>ten in grö</w:t>
      </w:r>
      <w:r>
        <w:rPr>
          <w:rFonts w:cs="Arial"/>
        </w:rPr>
        <w:t>ß</w:t>
      </w:r>
      <w:r w:rsidRPr="009B3843">
        <w:rPr>
          <w:rFonts w:cs="Arial"/>
        </w:rPr>
        <w:t xml:space="preserve">erem Maßstab. </w:t>
      </w:r>
    </w:p>
    <w:p w:rsidR="009B3843" w:rsidRDefault="009B3843" w:rsidP="009B3843">
      <w:pPr>
        <w:pStyle w:val="GesAbsatz"/>
        <w:rPr>
          <w:rFonts w:cs="Arial"/>
        </w:rPr>
      </w:pPr>
      <w:r w:rsidRPr="009B3843">
        <w:rPr>
          <w:rFonts w:cs="Arial"/>
        </w:rPr>
        <w:t xml:space="preserve">2.4.2. Abtrennung der alkohollöslichen Bestandteile </w:t>
      </w:r>
    </w:p>
    <w:p w:rsidR="009B3843" w:rsidRDefault="009B3843" w:rsidP="009B3843">
      <w:pPr>
        <w:pStyle w:val="GesAbsatz"/>
        <w:rPr>
          <w:rFonts w:cs="Arial"/>
        </w:rPr>
      </w:pPr>
      <w:r w:rsidRPr="009B3843">
        <w:rPr>
          <w:rFonts w:cs="Arial"/>
        </w:rPr>
        <w:t>Nach Eintragen von 250 g des zu untersuchenden Wasch- und Reinigungsmittels in 1 250 ml Ethanol wird das Gemisch 1 Stunde unter Rühren und Rückfluß zum Sieden erhitzt. Die hei</w:t>
      </w:r>
      <w:r>
        <w:rPr>
          <w:rFonts w:cs="Arial"/>
        </w:rPr>
        <w:t>ß</w:t>
      </w:r>
      <w:r w:rsidRPr="009B3843">
        <w:rPr>
          <w:rFonts w:cs="Arial"/>
        </w:rPr>
        <w:t>e alkoholische Lösung wird über eine auf 323 K (50 ºC) aufgeheizte Nutsche mit einem grobporigen Filter gegeben und rasch abg</w:t>
      </w:r>
      <w:r w:rsidRPr="009B3843">
        <w:rPr>
          <w:rFonts w:cs="Arial"/>
        </w:rPr>
        <w:t>e</w:t>
      </w:r>
      <w:r w:rsidRPr="009B3843">
        <w:rPr>
          <w:rFonts w:cs="Arial"/>
        </w:rPr>
        <w:t>saugt. Anschließend spült man Kolben und Nutsche mit rund 200 ml hei</w:t>
      </w:r>
      <w:r>
        <w:rPr>
          <w:rFonts w:cs="Arial"/>
        </w:rPr>
        <w:t>ß</w:t>
      </w:r>
      <w:r w:rsidRPr="009B3843">
        <w:rPr>
          <w:rFonts w:cs="Arial"/>
        </w:rPr>
        <w:t xml:space="preserve">em Ethanol nach. Filtrat und Spülalkohol werden in einer leeren Saugflasche aufgefangen. </w:t>
      </w:r>
    </w:p>
    <w:p w:rsidR="009B3843" w:rsidRDefault="009B3843" w:rsidP="009B3843">
      <w:pPr>
        <w:pStyle w:val="GesAbsatz"/>
        <w:rPr>
          <w:rFonts w:cs="Arial"/>
        </w:rPr>
      </w:pPr>
      <w:r w:rsidRPr="009B3843">
        <w:rPr>
          <w:rFonts w:cs="Arial"/>
        </w:rPr>
        <w:t>Bei pastösen und flüssigen Produkten wägt man soviel ein, daß nicht mehr als 25 g ani</w:t>
      </w:r>
      <w:r w:rsidRPr="009B3843">
        <w:rPr>
          <w:rFonts w:cs="Arial"/>
        </w:rPr>
        <w:t>o</w:t>
      </w:r>
      <w:r w:rsidRPr="009B3843">
        <w:rPr>
          <w:rFonts w:cs="Arial"/>
        </w:rPr>
        <w:t xml:space="preserve">nisches Tensid und 35 g Seife vorliegen. Diese Einwaage wird zur Trockne gebracht. Der Rückstand wird in 500 ml Ethanol </w:t>
      </w:r>
      <w:proofErr w:type="gramStart"/>
      <w:r w:rsidRPr="009B3843">
        <w:rPr>
          <w:rFonts w:cs="Arial"/>
        </w:rPr>
        <w:t>g</w:t>
      </w:r>
      <w:r w:rsidRPr="009B3843">
        <w:rPr>
          <w:rFonts w:cs="Arial"/>
        </w:rPr>
        <w:t>e</w:t>
      </w:r>
      <w:r w:rsidRPr="009B3843">
        <w:rPr>
          <w:rFonts w:cs="Arial"/>
        </w:rPr>
        <w:t>löst ;</w:t>
      </w:r>
      <w:proofErr w:type="gramEnd"/>
      <w:r w:rsidRPr="009B3843">
        <w:rPr>
          <w:rFonts w:cs="Arial"/>
        </w:rPr>
        <w:t xml:space="preserve"> dann wird wie vorstehend beschrieben verfa</w:t>
      </w:r>
      <w:r w:rsidRPr="009B3843">
        <w:rPr>
          <w:rFonts w:cs="Arial"/>
        </w:rPr>
        <w:t>h</w:t>
      </w:r>
      <w:r w:rsidRPr="009B3843">
        <w:rPr>
          <w:rFonts w:cs="Arial"/>
        </w:rPr>
        <w:t xml:space="preserve">ren. </w:t>
      </w:r>
    </w:p>
    <w:p w:rsidR="009B3843" w:rsidRDefault="009B3843" w:rsidP="009B3843">
      <w:pPr>
        <w:pStyle w:val="GesAbsatz"/>
        <w:rPr>
          <w:rFonts w:cs="Arial"/>
        </w:rPr>
      </w:pPr>
      <w:r w:rsidRPr="009B3843">
        <w:rPr>
          <w:rFonts w:cs="Arial"/>
        </w:rPr>
        <w:t>Hat ein pulverförmiges Wasch- und Reinigungsmittel eine deutlich geringere Schüttwichte (Das ethanolische Filtrat wird - vorzugsweise mittels eines Rotationsverdampfers - zur Trockne eingedampft. Wird eine grö</w:t>
      </w:r>
      <w:r>
        <w:rPr>
          <w:rFonts w:cs="Arial"/>
        </w:rPr>
        <w:t>ß</w:t>
      </w:r>
      <w:r w:rsidRPr="009B3843">
        <w:rPr>
          <w:rFonts w:cs="Arial"/>
        </w:rPr>
        <w:t>e</w:t>
      </w:r>
      <w:r w:rsidRPr="009B3843">
        <w:rPr>
          <w:rFonts w:cs="Arial"/>
        </w:rPr>
        <w:t xml:space="preserve">re Extraktmenge benötigt, so wird das Verfahren wiederholt. Der Rückstand wird in 5 000 ml Isopropanol-Wasser-Gemisch gelöst. </w:t>
      </w:r>
    </w:p>
    <w:p w:rsidR="009B3843" w:rsidRDefault="009B3843" w:rsidP="009B3843">
      <w:pPr>
        <w:pStyle w:val="GesAbsatz"/>
        <w:rPr>
          <w:rFonts w:cs="Arial"/>
        </w:rPr>
      </w:pPr>
      <w:r w:rsidRPr="009B3843">
        <w:rPr>
          <w:rFonts w:cs="Arial"/>
        </w:rPr>
        <w:t xml:space="preserve">2.4.3. Vorbereitung der Ionenaustauschersäulen </w:t>
      </w:r>
    </w:p>
    <w:p w:rsidR="009B3843" w:rsidRPr="009B3843" w:rsidRDefault="009B3843" w:rsidP="009B3843">
      <w:pPr>
        <w:pStyle w:val="GesAbsatz"/>
        <w:rPr>
          <w:rFonts w:cs="Arial"/>
          <w:i/>
        </w:rPr>
      </w:pPr>
      <w:r w:rsidRPr="009B3843">
        <w:rPr>
          <w:rFonts w:cs="Arial"/>
          <w:i/>
        </w:rPr>
        <w:t xml:space="preserve">Kationenaustauschersäule </w:t>
      </w:r>
    </w:p>
    <w:p w:rsidR="009B3843" w:rsidRDefault="009B3843" w:rsidP="009B3843">
      <w:pPr>
        <w:pStyle w:val="GesAbsatz"/>
        <w:rPr>
          <w:rFonts w:cs="Arial"/>
        </w:rPr>
      </w:pPr>
      <w:r w:rsidRPr="009B3843">
        <w:rPr>
          <w:rFonts w:cs="Arial"/>
        </w:rPr>
        <w:t>600 ml KAT (2.3.5) werden in ein 3 000-ml-Becherglas gegeben und darin mit 2 000 ml Salzsäure (2.3.7) übergossen. Man lä</w:t>
      </w:r>
      <w:r>
        <w:rPr>
          <w:rFonts w:cs="Arial"/>
        </w:rPr>
        <w:t>ß</w:t>
      </w:r>
      <w:r w:rsidRPr="009B3843">
        <w:rPr>
          <w:rFonts w:cs="Arial"/>
        </w:rPr>
        <w:t>t mindestens 2 Stunden unter gelegentlichem Umrühren stehen, sodann dekantiert man die Säure und spült den KAT mit entsalztem Wasser in die Säule (</w:t>
      </w:r>
      <w:smartTag w:uri="urn:schemas-microsoft-com:office:smarttags" w:element="date">
        <w:smartTagPr>
          <w:attr w:name="Year" w:val="11"/>
          <w:attr w:name="Day" w:val="2"/>
          <w:attr w:name="Month" w:val="3"/>
          <w:attr w:name="ls" w:val="trans"/>
        </w:smartTagPr>
        <w:r w:rsidRPr="009B3843">
          <w:rPr>
            <w:rFonts w:cs="Arial"/>
          </w:rPr>
          <w:t>2.3.11</w:t>
        </w:r>
      </w:smartTag>
      <w:r w:rsidRPr="009B3843">
        <w:rPr>
          <w:rFonts w:cs="Arial"/>
        </w:rPr>
        <w:t>) ein, in die man zuvor einen Gla</w:t>
      </w:r>
      <w:r w:rsidRPr="009B3843">
        <w:rPr>
          <w:rFonts w:cs="Arial"/>
        </w:rPr>
        <w:t>s</w:t>
      </w:r>
      <w:r w:rsidRPr="009B3843">
        <w:rPr>
          <w:rFonts w:cs="Arial"/>
        </w:rPr>
        <w:t>wollebausch eingelegt hat. Die Säule wird mit entsalztem Wasser bei einer Durchlaufgeschwindigkeit von 10 bis 30 ml/min bis zur Chloridfreiheit gewaschen. Anschließend verdrängt man das Wasser mit 2 000 ml Iso</w:t>
      </w:r>
      <w:r w:rsidRPr="009B3843">
        <w:rPr>
          <w:rFonts w:cs="Arial"/>
        </w:rPr>
        <w:t>p</w:t>
      </w:r>
      <w:r w:rsidRPr="009B3843">
        <w:rPr>
          <w:rFonts w:cs="Arial"/>
        </w:rPr>
        <w:t xml:space="preserve">ropanol-Wasser-Gemisch (2.3.3) ebenfalls bei einer Durchflußgeschwindigkeit von 10 bis 30 ml/min. Damit ist die KAT-Säule betriebsbereit. </w:t>
      </w:r>
    </w:p>
    <w:p w:rsidR="009B3843" w:rsidRPr="009B3843" w:rsidRDefault="009B3843" w:rsidP="009B3843">
      <w:pPr>
        <w:pStyle w:val="GesAbsatz"/>
        <w:rPr>
          <w:rFonts w:cs="Arial"/>
          <w:i/>
        </w:rPr>
      </w:pPr>
      <w:r w:rsidRPr="009B3843">
        <w:rPr>
          <w:rFonts w:cs="Arial"/>
          <w:i/>
        </w:rPr>
        <w:t xml:space="preserve">Anionenaustauschersäule </w:t>
      </w:r>
    </w:p>
    <w:p w:rsidR="009B3843" w:rsidRDefault="009B3843" w:rsidP="009B3843">
      <w:pPr>
        <w:pStyle w:val="GesAbsatz"/>
        <w:rPr>
          <w:rFonts w:cs="Arial"/>
        </w:rPr>
      </w:pPr>
      <w:r w:rsidRPr="009B3843">
        <w:rPr>
          <w:rFonts w:cs="Arial"/>
        </w:rPr>
        <w:t>600 ml AAT (2.3.6) werden in ein Becherglas gegeben und darin mit 2 000 ml entsalztem Wasser vollständig übergossen. Dann lä</w:t>
      </w:r>
      <w:r>
        <w:rPr>
          <w:rFonts w:cs="Arial"/>
        </w:rPr>
        <w:t>ß</w:t>
      </w:r>
      <w:r w:rsidRPr="009B3843">
        <w:rPr>
          <w:rFonts w:cs="Arial"/>
        </w:rPr>
        <w:t xml:space="preserve">t man den Austauscher mindestens 2 Stunden lang quellen. Anschließend spült man den AAT mit entsalztem Wasser in die Säule, in die zuvor ebenfalls ein Glaswollebausch eingebracht wurde. </w:t>
      </w:r>
    </w:p>
    <w:p w:rsidR="009B3843" w:rsidRDefault="009B3843" w:rsidP="009B3843">
      <w:pPr>
        <w:pStyle w:val="GesAbsatz"/>
        <w:rPr>
          <w:rFonts w:cs="Arial"/>
        </w:rPr>
      </w:pPr>
      <w:r w:rsidRPr="009B3843">
        <w:rPr>
          <w:rFonts w:cs="Arial"/>
        </w:rPr>
        <w:t xml:space="preserve">Die Säule wird mit 0,3 M Ammoniumhydrogencarbonatlösung (2.3.4) bis zur Chloridfreiheit </w:t>
      </w:r>
      <w:proofErr w:type="gramStart"/>
      <w:r w:rsidRPr="009B3843">
        <w:rPr>
          <w:rFonts w:cs="Arial"/>
        </w:rPr>
        <w:t>gewaschen ;</w:t>
      </w:r>
      <w:proofErr w:type="gramEnd"/>
      <w:r w:rsidRPr="009B3843">
        <w:rPr>
          <w:rFonts w:cs="Arial"/>
        </w:rPr>
        <w:t xml:space="preserve"> hierzu werden etwa 5 000 ml Lösung benötigt. Anschließend wird mit 2 000 ml entsalztem Wasser nachg</w:t>
      </w:r>
      <w:r w:rsidRPr="009B3843">
        <w:rPr>
          <w:rFonts w:cs="Arial"/>
        </w:rPr>
        <w:t>e</w:t>
      </w:r>
      <w:r w:rsidRPr="009B3843">
        <w:rPr>
          <w:rFonts w:cs="Arial"/>
        </w:rPr>
        <w:t>waschen, sodann wird das Wasser mit 2 000 ml Isopropanol-Wasser-Gemisch (2.3.3) mit einer Durchflußg</w:t>
      </w:r>
      <w:r w:rsidRPr="009B3843">
        <w:rPr>
          <w:rFonts w:cs="Arial"/>
        </w:rPr>
        <w:t>e</w:t>
      </w:r>
      <w:r w:rsidRPr="009B3843">
        <w:rPr>
          <w:rFonts w:cs="Arial"/>
        </w:rPr>
        <w:t>schwindigkeit von 10 bis 30 ml/min verdrängt. Die AAT-Säule befindet sich nun in der OH-Form und ist b</w:t>
      </w:r>
      <w:r w:rsidRPr="009B3843">
        <w:rPr>
          <w:rFonts w:cs="Arial"/>
        </w:rPr>
        <w:t>e</w:t>
      </w:r>
      <w:r w:rsidRPr="009B3843">
        <w:rPr>
          <w:rFonts w:cs="Arial"/>
        </w:rPr>
        <w:t>triebsb</w:t>
      </w:r>
      <w:r w:rsidRPr="009B3843">
        <w:rPr>
          <w:rFonts w:cs="Arial"/>
        </w:rPr>
        <w:t>e</w:t>
      </w:r>
      <w:r>
        <w:rPr>
          <w:rFonts w:cs="Arial"/>
        </w:rPr>
        <w:t>reit.</w:t>
      </w:r>
    </w:p>
    <w:p w:rsidR="009B3843" w:rsidRDefault="009B3843" w:rsidP="009B3843">
      <w:pPr>
        <w:pStyle w:val="GesAbsatz"/>
        <w:rPr>
          <w:rFonts w:cs="Arial"/>
        </w:rPr>
      </w:pPr>
      <w:r w:rsidRPr="009B3843">
        <w:rPr>
          <w:rFonts w:cs="Arial"/>
        </w:rPr>
        <w:t xml:space="preserve">2.4.4. Verfahren des Ionenaustauschs </w:t>
      </w:r>
    </w:p>
    <w:p w:rsidR="009B3843" w:rsidRDefault="009B3843" w:rsidP="009B3843">
      <w:pPr>
        <w:pStyle w:val="GesAbsatz"/>
        <w:rPr>
          <w:rFonts w:cs="Arial"/>
        </w:rPr>
      </w:pPr>
      <w:r w:rsidRPr="009B3843">
        <w:rPr>
          <w:rFonts w:cs="Arial"/>
        </w:rPr>
        <w:t>Man verbindet beide Austauschersäulen derart miteinander, daß sich die KAT-Säule vor der AAT-Säule befindet. Unter Verwendung eines Thermostaten werden die Austauschersäulen auf 323 K (50 ºC) aufg</w:t>
      </w:r>
      <w:r w:rsidRPr="009B3843">
        <w:rPr>
          <w:rFonts w:cs="Arial"/>
        </w:rPr>
        <w:t>e</w:t>
      </w:r>
      <w:r w:rsidRPr="009B3843">
        <w:rPr>
          <w:rFonts w:cs="Arial"/>
        </w:rPr>
        <w:t>heizt. Dann werden 5 000 ml der nach 2.4.2 erhaltenen. Lösung auf 333 K (60 ºC) erwärmt und die hei</w:t>
      </w:r>
      <w:r>
        <w:rPr>
          <w:rFonts w:cs="Arial"/>
        </w:rPr>
        <w:t>ß</w:t>
      </w:r>
      <w:r w:rsidRPr="009B3843">
        <w:rPr>
          <w:rFonts w:cs="Arial"/>
        </w:rPr>
        <w:t>e Lösung mit einer Durchlaufgeschwindigkeit von 20 ml/min durch die Säulenkombination gegeben. Anschli</w:t>
      </w:r>
      <w:r w:rsidRPr="009B3843">
        <w:rPr>
          <w:rFonts w:cs="Arial"/>
        </w:rPr>
        <w:t>e</w:t>
      </w:r>
      <w:r w:rsidRPr="009B3843">
        <w:rPr>
          <w:rFonts w:cs="Arial"/>
        </w:rPr>
        <w:t>ßend wäscht man mit 1 000 ml des hei</w:t>
      </w:r>
      <w:r w:rsidR="001F1D13">
        <w:rPr>
          <w:rFonts w:cs="Arial"/>
        </w:rPr>
        <w:t>ß</w:t>
      </w:r>
      <w:r w:rsidRPr="009B3843">
        <w:rPr>
          <w:rFonts w:cs="Arial"/>
        </w:rPr>
        <w:t xml:space="preserve">en Isopropanol-Wasser-Gemisches (2.3.3) die Säulen nach. </w:t>
      </w:r>
    </w:p>
    <w:p w:rsidR="009B3843" w:rsidRDefault="009B3843" w:rsidP="009B3843">
      <w:pPr>
        <w:pStyle w:val="GesAbsatz"/>
        <w:rPr>
          <w:rFonts w:cs="Arial"/>
        </w:rPr>
      </w:pPr>
      <w:r w:rsidRPr="009B3843">
        <w:rPr>
          <w:rFonts w:cs="Arial"/>
        </w:rPr>
        <w:t xml:space="preserve">Zur Gewinnung der nichtionischen Tenside werden Durchlauf und Waschalkohol vereint und - vorzugsweise im Rotationsverdampfer - zur Trockne eingedampft. Der Rückstand enthält die BiAS. Entsalztes Wasser zugeben, bis ein bestimmtes Volumen erreicht ist, und den BiAS-Gehalt in der Aliquote nach 3.3 </w:t>
      </w:r>
      <w:proofErr w:type="gramStart"/>
      <w:r w:rsidRPr="009B3843">
        <w:rPr>
          <w:rFonts w:cs="Arial"/>
        </w:rPr>
        <w:t>bestimmen</w:t>
      </w:r>
      <w:proofErr w:type="gramEnd"/>
      <w:r w:rsidRPr="009B3843">
        <w:rPr>
          <w:rFonts w:cs="Arial"/>
        </w:rPr>
        <w:t>. Diese Lösung wird als Stam</w:t>
      </w:r>
      <w:r w:rsidRPr="009B3843">
        <w:rPr>
          <w:rFonts w:cs="Arial"/>
        </w:rPr>
        <w:t>m</w:t>
      </w:r>
      <w:r w:rsidRPr="009B3843">
        <w:rPr>
          <w:rFonts w:cs="Arial"/>
        </w:rPr>
        <w:t>lösung der nichtionischen grenzflächenaktiven Substanzen für den Test der biologischen Abbaubarkeit verwendet. Sie muß bei Temperaturen unter 278 K (5 ºC) aufbewahrt we</w:t>
      </w:r>
      <w:r w:rsidRPr="009B3843">
        <w:rPr>
          <w:rFonts w:cs="Arial"/>
        </w:rPr>
        <w:t>r</w:t>
      </w:r>
      <w:r w:rsidRPr="009B3843">
        <w:rPr>
          <w:rFonts w:cs="Arial"/>
        </w:rPr>
        <w:t xml:space="preserve">den. </w:t>
      </w:r>
    </w:p>
    <w:p w:rsidR="009B3843" w:rsidRDefault="009B3843" w:rsidP="009B3843">
      <w:pPr>
        <w:pStyle w:val="GesAbsatz"/>
        <w:rPr>
          <w:rFonts w:cs="Arial"/>
        </w:rPr>
      </w:pPr>
      <w:r w:rsidRPr="009B3843">
        <w:rPr>
          <w:rFonts w:cs="Arial"/>
        </w:rPr>
        <w:t xml:space="preserve">2.4.5. Regenerierung der verwendeten Austauscher </w:t>
      </w:r>
    </w:p>
    <w:p w:rsidR="009B3843" w:rsidRDefault="009B3843" w:rsidP="009B3843">
      <w:pPr>
        <w:pStyle w:val="GesAbsatz"/>
        <w:rPr>
          <w:rFonts w:cs="Arial"/>
        </w:rPr>
      </w:pPr>
      <w:r w:rsidRPr="009B3843">
        <w:rPr>
          <w:rFonts w:cs="Arial"/>
        </w:rPr>
        <w:t xml:space="preserve">Der Kationenaustauscher wird nach Gebrauch verworfen. </w:t>
      </w:r>
    </w:p>
    <w:p w:rsidR="002648E9" w:rsidRPr="009B3843" w:rsidRDefault="009B3843" w:rsidP="009B3843">
      <w:pPr>
        <w:pStyle w:val="GesAbsatz"/>
        <w:rPr>
          <w:rFonts w:cs="Arial"/>
        </w:rPr>
      </w:pPr>
      <w:r w:rsidRPr="009B3843">
        <w:rPr>
          <w:rFonts w:cs="Arial"/>
        </w:rPr>
        <w:t>Der Anionenaustauscher wird mittels Durchgabe von etwa 5 000 bis 6 000 ml Ammoniumhydrogencarbona</w:t>
      </w:r>
      <w:r w:rsidRPr="009B3843">
        <w:rPr>
          <w:rFonts w:cs="Arial"/>
        </w:rPr>
        <w:t>t</w:t>
      </w:r>
      <w:r w:rsidRPr="009B3843">
        <w:rPr>
          <w:rFonts w:cs="Arial"/>
        </w:rPr>
        <w:t>lösung (2.3.4) durch die Säule bei einer Durchflußgeschwindigkeit von etwa 10 ml/min regeneriert, bis das Eluat von anionischen Tensiden frei ist (Methylenblau-Test). Anschließend werden noch 2 000 ml Isoprop</w:t>
      </w:r>
      <w:r w:rsidRPr="009B3843">
        <w:rPr>
          <w:rFonts w:cs="Arial"/>
        </w:rPr>
        <w:t>a</w:t>
      </w:r>
      <w:r w:rsidRPr="009B3843">
        <w:rPr>
          <w:rFonts w:cs="Arial"/>
        </w:rPr>
        <w:t>nol-Wasser-Gemisch (2.3.3) durch den Anionenaustauscher gegeben. Danach ist der Anionenaustauscher wieder einsatzbereit.</w:t>
      </w:r>
    </w:p>
    <w:p w:rsidR="002648E9" w:rsidRDefault="002648E9" w:rsidP="009B3843">
      <w:pPr>
        <w:pStyle w:val="berschrift3"/>
        <w:jc w:val="left"/>
      </w:pPr>
      <w:bookmarkStart w:id="12" w:name="_Toc465343644"/>
      <w:r>
        <w:lastRenderedPageBreak/>
        <w:t>Kapitel 3: Bestimmung nichtionischer grenzflächenaktiver Substanzen beim Test der biologischen Abbaubarkeit</w:t>
      </w:r>
      <w:bookmarkEnd w:id="12"/>
    </w:p>
    <w:p w:rsidR="002648E9" w:rsidRDefault="002648E9">
      <w:pPr>
        <w:pStyle w:val="GesAbsatz"/>
        <w:tabs>
          <w:tab w:val="clear" w:pos="425"/>
        </w:tabs>
        <w:ind w:left="567" w:hanging="567"/>
      </w:pPr>
      <w:r>
        <w:t>3.1.</w:t>
      </w:r>
      <w:r>
        <w:tab/>
        <w:t>Prinzip</w:t>
      </w:r>
    </w:p>
    <w:p w:rsidR="009B3843" w:rsidRPr="001F1D13" w:rsidRDefault="009B3843">
      <w:pPr>
        <w:pStyle w:val="GesAbsatz"/>
        <w:rPr>
          <w:rFonts w:cs="Arial"/>
        </w:rPr>
      </w:pPr>
      <w:r w:rsidRPr="001F1D13">
        <w:rPr>
          <w:rFonts w:cs="Arial"/>
        </w:rPr>
        <w:t xml:space="preserve">Grenzflächenaktive Substanzen werden konzentriert und durch Ausblasen abgetrennt. In der eingesetzten Probemenge sollte der Gehalt an nichtionischen Tensiden im Bereich zwischen 250 bis 800 g liegen. </w:t>
      </w:r>
    </w:p>
    <w:p w:rsidR="009B3843" w:rsidRPr="001F1D13" w:rsidRDefault="009B3843">
      <w:pPr>
        <w:pStyle w:val="GesAbsatz"/>
        <w:rPr>
          <w:rFonts w:cs="Arial"/>
        </w:rPr>
      </w:pPr>
      <w:r w:rsidRPr="001F1D13">
        <w:rPr>
          <w:rFonts w:cs="Arial"/>
        </w:rPr>
        <w:t xml:space="preserve">Das abgetrennte Tensid wird in Ethylacetat gelöst. </w:t>
      </w:r>
    </w:p>
    <w:p w:rsidR="009B3843" w:rsidRPr="001F1D13" w:rsidRDefault="009B3843">
      <w:pPr>
        <w:pStyle w:val="GesAbsatz"/>
        <w:rPr>
          <w:rFonts w:cs="Arial"/>
        </w:rPr>
      </w:pPr>
      <w:r w:rsidRPr="001F1D13">
        <w:rPr>
          <w:rFonts w:cs="Arial"/>
        </w:rPr>
        <w:t>Nach Phasentrennung und Eindampfen des Lösungsmittels werden die nichtionischen Tenside in wäßriger Lösung mit modifiziertem Dragendorffschen Reagens (KBiI</w:t>
      </w:r>
      <w:r w:rsidRPr="001F1D13">
        <w:rPr>
          <w:rFonts w:cs="Arial"/>
          <w:vertAlign w:val="subscript"/>
        </w:rPr>
        <w:t>4</w:t>
      </w:r>
      <w:r w:rsidRPr="001F1D13">
        <w:rPr>
          <w:rFonts w:cs="Arial"/>
        </w:rPr>
        <w:t xml:space="preserve"> + BaCl</w:t>
      </w:r>
      <w:r w:rsidRPr="001F1D13">
        <w:rPr>
          <w:rFonts w:cs="Arial"/>
          <w:vertAlign w:val="subscript"/>
        </w:rPr>
        <w:t>2</w:t>
      </w:r>
      <w:r w:rsidRPr="001F1D13">
        <w:rPr>
          <w:rFonts w:cs="Arial"/>
        </w:rPr>
        <w:t xml:space="preserve"> + Essigsäure) gefällt.</w:t>
      </w:r>
    </w:p>
    <w:p w:rsidR="009B3843" w:rsidRPr="001F1D13" w:rsidRDefault="009B3843">
      <w:pPr>
        <w:pStyle w:val="GesAbsatz"/>
        <w:rPr>
          <w:rFonts w:cs="Arial"/>
        </w:rPr>
      </w:pPr>
      <w:r w:rsidRPr="001F1D13">
        <w:rPr>
          <w:rFonts w:cs="Arial"/>
        </w:rPr>
        <w:t>Der Niederschlag wird abfiltriert, mit Essigsäure gewaschen und in Ammoniumtartratlösung gelöst. Das in Lösung befindliche Bismut wird bei pH 4-5 mit Pyrrolidindithiocarbamatlösung unter Verwendung einer bla</w:t>
      </w:r>
      <w:r w:rsidRPr="001F1D13">
        <w:rPr>
          <w:rFonts w:cs="Arial"/>
        </w:rPr>
        <w:t>n</w:t>
      </w:r>
      <w:r w:rsidRPr="001F1D13">
        <w:rPr>
          <w:rFonts w:cs="Arial"/>
        </w:rPr>
        <w:t>ken Platinindikatorelektrode und einer Kalomel- oder Si</w:t>
      </w:r>
      <w:r w:rsidRPr="001F1D13">
        <w:rPr>
          <w:rFonts w:cs="Arial"/>
        </w:rPr>
        <w:t>l</w:t>
      </w:r>
      <w:r w:rsidRPr="001F1D13">
        <w:rPr>
          <w:rFonts w:cs="Arial"/>
        </w:rPr>
        <w:t>ber/Silberchlorid-Referenzelektrode potentiometrisch titriert.</w:t>
      </w:r>
    </w:p>
    <w:p w:rsidR="009B3843" w:rsidRPr="001F1D13" w:rsidRDefault="009B3843">
      <w:pPr>
        <w:pStyle w:val="GesAbsatz"/>
        <w:rPr>
          <w:rFonts w:cs="Arial"/>
        </w:rPr>
      </w:pPr>
      <w:r w:rsidRPr="001F1D13">
        <w:rPr>
          <w:rFonts w:cs="Arial"/>
        </w:rPr>
        <w:t xml:space="preserve">Die Methode ist auf nichtionische Tenside mit 6-30 Alkylenoxidgruppen anwendbar. </w:t>
      </w:r>
    </w:p>
    <w:p w:rsidR="002648E9" w:rsidRPr="001F1D13" w:rsidRDefault="009B3843">
      <w:pPr>
        <w:pStyle w:val="GesAbsatz"/>
        <w:rPr>
          <w:rFonts w:cs="Arial"/>
        </w:rPr>
      </w:pPr>
      <w:r w:rsidRPr="001F1D13">
        <w:rPr>
          <w:rFonts w:cs="Arial"/>
        </w:rPr>
        <w:t>Das Titrationsergebnis wird mit dem empirischen Eichfaktor 54 zur Umrechnung auf die B</w:t>
      </w:r>
      <w:r w:rsidRPr="001F1D13">
        <w:rPr>
          <w:rFonts w:cs="Arial"/>
        </w:rPr>
        <w:t>e</w:t>
      </w:r>
      <w:r w:rsidRPr="001F1D13">
        <w:rPr>
          <w:rFonts w:cs="Arial"/>
        </w:rPr>
        <w:t>zugssubstanz Nonylphenol mit 10 Molen Ethylenoxid (NP 10) multipliziert.</w:t>
      </w:r>
    </w:p>
    <w:p w:rsidR="002648E9" w:rsidRDefault="002648E9">
      <w:pPr>
        <w:pStyle w:val="GesAbsatz"/>
        <w:tabs>
          <w:tab w:val="clear" w:pos="425"/>
        </w:tabs>
        <w:ind w:left="567" w:hanging="567"/>
      </w:pPr>
      <w:r>
        <w:t>3.2.</w:t>
      </w:r>
      <w:r w:rsidR="009B3843">
        <w:t xml:space="preserve"> </w:t>
      </w:r>
      <w:r>
        <w:t>Chemikalien und Geräte</w:t>
      </w:r>
    </w:p>
    <w:p w:rsidR="002648E9" w:rsidRDefault="002648E9">
      <w:pPr>
        <w:pStyle w:val="GesAbsatz"/>
        <w:tabs>
          <w:tab w:val="clear" w:pos="425"/>
        </w:tabs>
        <w:ind w:left="567" w:hanging="567"/>
      </w:pPr>
      <w:r>
        <w:t>Alle wäßrigen Lösungen sind mit entsalztem Wasser herzustellen.</w:t>
      </w:r>
    </w:p>
    <w:p w:rsidR="002648E9" w:rsidRDefault="002648E9">
      <w:pPr>
        <w:pStyle w:val="GesAbsatz"/>
        <w:tabs>
          <w:tab w:val="clear" w:pos="425"/>
        </w:tabs>
        <w:ind w:left="567" w:hanging="567"/>
      </w:pPr>
      <w:r>
        <w:t>3.2.1.</w:t>
      </w:r>
      <w:r w:rsidR="009B3843">
        <w:t xml:space="preserve"> </w:t>
      </w:r>
      <w:r>
        <w:t>Reines Ethylacetat, frisch destilliert</w:t>
      </w:r>
    </w:p>
    <w:p w:rsidR="002648E9" w:rsidRDefault="002648E9">
      <w:pPr>
        <w:pStyle w:val="GesAbsatz"/>
        <w:tabs>
          <w:tab w:val="clear" w:pos="425"/>
        </w:tabs>
        <w:ind w:left="567" w:hanging="567"/>
      </w:pPr>
      <w:r>
        <w:t>3.2.2.</w:t>
      </w:r>
      <w:r w:rsidR="009B3843">
        <w:t xml:space="preserve"> </w:t>
      </w:r>
      <w:r>
        <w:t>Natriumhydrogencarbonat (NaHCO</w:t>
      </w:r>
      <w:r>
        <w:rPr>
          <w:vertAlign w:val="subscript"/>
        </w:rPr>
        <w:t>3</w:t>
      </w:r>
      <w:r>
        <w:t>) p.a.</w:t>
      </w:r>
    </w:p>
    <w:p w:rsidR="002648E9" w:rsidRDefault="002648E9">
      <w:pPr>
        <w:pStyle w:val="GesAbsatz"/>
        <w:tabs>
          <w:tab w:val="clear" w:pos="425"/>
        </w:tabs>
        <w:ind w:left="567" w:hanging="567"/>
      </w:pPr>
      <w:r>
        <w:t>3.2.3.</w:t>
      </w:r>
      <w:r w:rsidR="009B3843">
        <w:t xml:space="preserve"> </w:t>
      </w:r>
      <w:r>
        <w:t>Verdünnte Salzsäure (HCI) (20 ml konzentrierte Salzsäure p. a., mit Wasser auf 1000 ml auffüllen)</w:t>
      </w:r>
    </w:p>
    <w:p w:rsidR="002648E9" w:rsidRDefault="002648E9">
      <w:pPr>
        <w:pStyle w:val="GesAbsatz"/>
        <w:tabs>
          <w:tab w:val="clear" w:pos="425"/>
        </w:tabs>
        <w:ind w:left="567" w:hanging="567"/>
      </w:pPr>
      <w:r>
        <w:t>3.2.4.</w:t>
      </w:r>
      <w:r w:rsidR="009B3843">
        <w:t xml:space="preserve"> </w:t>
      </w:r>
      <w:r>
        <w:t>Methanol p.a., frisch destilliert, in Glasflaschen aufzubewahren</w:t>
      </w:r>
    </w:p>
    <w:p w:rsidR="002648E9" w:rsidRPr="009B3843" w:rsidRDefault="002648E9">
      <w:pPr>
        <w:pStyle w:val="GesAbsatz"/>
        <w:tabs>
          <w:tab w:val="clear" w:pos="425"/>
        </w:tabs>
        <w:ind w:left="567" w:hanging="567"/>
        <w:rPr>
          <w:lang w:val="en-GB"/>
        </w:rPr>
      </w:pPr>
      <w:r w:rsidRPr="009B3843">
        <w:rPr>
          <w:lang w:val="en-GB"/>
        </w:rPr>
        <w:t>3.2.5.</w:t>
      </w:r>
      <w:r w:rsidR="009B3843" w:rsidRPr="009B3843">
        <w:rPr>
          <w:lang w:val="en-GB"/>
        </w:rPr>
        <w:t xml:space="preserve"> </w:t>
      </w:r>
      <w:r w:rsidRPr="009B3843">
        <w:rPr>
          <w:lang w:val="en-GB"/>
        </w:rPr>
        <w:t>Bromkresolpurpur, 0</w:t>
      </w:r>
      <w:proofErr w:type="gramStart"/>
      <w:r w:rsidRPr="009B3843">
        <w:rPr>
          <w:lang w:val="en-GB"/>
        </w:rPr>
        <w:t>,1</w:t>
      </w:r>
      <w:proofErr w:type="gramEnd"/>
      <w:r w:rsidRPr="009B3843">
        <w:rPr>
          <w:lang w:val="en-GB"/>
        </w:rPr>
        <w:t xml:space="preserve"> g in 100 ml Methanol</w:t>
      </w:r>
    </w:p>
    <w:p w:rsidR="002648E9" w:rsidRDefault="002648E9">
      <w:pPr>
        <w:pStyle w:val="GesAbsatz"/>
        <w:tabs>
          <w:tab w:val="clear" w:pos="425"/>
        </w:tabs>
        <w:ind w:left="567" w:hanging="567"/>
      </w:pPr>
      <w:r>
        <w:t>3.2.6.</w:t>
      </w:r>
      <w:r w:rsidR="009B3843">
        <w:t xml:space="preserve"> </w:t>
      </w:r>
      <w:r>
        <w:t>Fällungsreagenz: Das Fällungsreagenz ist eine Mischung von 2 Volumenteilen der Lösung A und 1 Volumenteil der Lösung B. Die Mischung ist in einer braunen Flasche aufzubewahren und bis zu einer Woche haltbar.</w:t>
      </w:r>
    </w:p>
    <w:p w:rsidR="002648E9" w:rsidRDefault="002648E9">
      <w:pPr>
        <w:pStyle w:val="GesAbsatz"/>
        <w:tabs>
          <w:tab w:val="clear" w:pos="425"/>
        </w:tabs>
        <w:ind w:left="567" w:hanging="567"/>
      </w:pPr>
      <w:r>
        <w:t>3.2.6.1.</w:t>
      </w:r>
      <w:r w:rsidR="009B3843">
        <w:t xml:space="preserve"> </w:t>
      </w:r>
      <w:r>
        <w:t>Lösung A</w:t>
      </w:r>
    </w:p>
    <w:p w:rsidR="002648E9" w:rsidRDefault="002648E9" w:rsidP="009B3843">
      <w:pPr>
        <w:pStyle w:val="GesAbsatz"/>
        <w:tabs>
          <w:tab w:val="clear" w:pos="425"/>
        </w:tabs>
      </w:pPr>
      <w:r>
        <w:t>1,7 g Bismut(III)</w:t>
      </w:r>
      <w:proofErr w:type="spellStart"/>
      <w:r>
        <w:t>nitrat</w:t>
      </w:r>
      <w:proofErr w:type="spellEnd"/>
      <w:r>
        <w:t xml:space="preserve"> p. a. (</w:t>
      </w:r>
      <w:proofErr w:type="spellStart"/>
      <w:r>
        <w:t>BiO</w:t>
      </w:r>
      <w:proofErr w:type="spellEnd"/>
      <w:r>
        <w:t xml:space="preserve"> </w:t>
      </w:r>
      <w:r>
        <w:sym w:font="Symbol" w:char="F0B7"/>
      </w:r>
      <w:r>
        <w:t xml:space="preserve"> NO</w:t>
      </w:r>
      <w:r>
        <w:rPr>
          <w:vertAlign w:val="subscript"/>
        </w:rPr>
        <w:t xml:space="preserve">3 </w:t>
      </w:r>
      <w:r>
        <w:sym w:font="Symbol" w:char="F0B7"/>
      </w:r>
      <w:r>
        <w:t xml:space="preserve"> H</w:t>
      </w:r>
      <w:r>
        <w:rPr>
          <w:vertAlign w:val="subscript"/>
        </w:rPr>
        <w:t>2</w:t>
      </w:r>
      <w:r>
        <w:t>O) werden in 20 ml Essigsäure gelöst und mit Wasser auf 100 ml aufgefüllt. Dann werden 65 g Kaliumiodid p. a. in 200 ml Wasser gelöst. Diese beiden Lösungen we</w:t>
      </w:r>
      <w:r>
        <w:t>r</w:t>
      </w:r>
      <w:r>
        <w:t>den in einem 1000-ml-Meßkolben gemischt, 200 ml Essigsäure (3.2.7) hinzugefügt und mit Wasser bis zur Marke aufgefüllt.</w:t>
      </w:r>
    </w:p>
    <w:p w:rsidR="002648E9" w:rsidRDefault="002648E9">
      <w:pPr>
        <w:pStyle w:val="GesAbsatz"/>
        <w:tabs>
          <w:tab w:val="clear" w:pos="425"/>
        </w:tabs>
        <w:ind w:left="567" w:hanging="567"/>
      </w:pPr>
      <w:r>
        <w:t>3.2.6.2.</w:t>
      </w:r>
      <w:r w:rsidR="009B3843">
        <w:t xml:space="preserve"> </w:t>
      </w:r>
      <w:r>
        <w:t>Lösung B</w:t>
      </w:r>
    </w:p>
    <w:p w:rsidR="002648E9" w:rsidRDefault="002648E9">
      <w:pPr>
        <w:pStyle w:val="GesAbsatz"/>
        <w:tabs>
          <w:tab w:val="clear" w:pos="425"/>
        </w:tabs>
        <w:ind w:left="567" w:hanging="567"/>
      </w:pPr>
      <w:r>
        <w:t>290 g Bariumchlorid (CaCl</w:t>
      </w:r>
      <w:r>
        <w:rPr>
          <w:vertAlign w:val="subscript"/>
        </w:rPr>
        <w:t>2</w:t>
      </w:r>
      <w:r>
        <w:t xml:space="preserve"> </w:t>
      </w:r>
      <w:r w:rsidR="009B3843">
        <w:sym w:font="Symbol" w:char="F0B7"/>
      </w:r>
      <w:r>
        <w:t xml:space="preserve"> 2H</w:t>
      </w:r>
      <w:r>
        <w:rPr>
          <w:vertAlign w:val="subscript"/>
        </w:rPr>
        <w:t>2</w:t>
      </w:r>
      <w:r>
        <w:t>O) p.a. werden in 1000 ml Wasser gelöst.</w:t>
      </w:r>
    </w:p>
    <w:p w:rsidR="002648E9" w:rsidRPr="001F1D13" w:rsidRDefault="002648E9" w:rsidP="009B3843">
      <w:pPr>
        <w:pStyle w:val="GesAbsatz"/>
        <w:tabs>
          <w:tab w:val="clear" w:pos="425"/>
        </w:tabs>
        <w:rPr>
          <w:color w:val="FF0000"/>
        </w:rPr>
      </w:pPr>
      <w:r w:rsidRPr="001F1D13">
        <w:rPr>
          <w:i/>
          <w:color w:val="FF0000"/>
        </w:rPr>
        <w:t>[</w:t>
      </w:r>
      <w:r w:rsidR="009B3843" w:rsidRPr="001F1D13">
        <w:rPr>
          <w:i/>
          <w:color w:val="FF0000"/>
        </w:rPr>
        <w:t>R</w:t>
      </w:r>
      <w:r w:rsidRPr="001F1D13">
        <w:rPr>
          <w:i/>
          <w:color w:val="FF0000"/>
        </w:rPr>
        <w:t xml:space="preserve">ed. Anmerkung: Hier steht im Original tatsächlich </w:t>
      </w:r>
      <w:r w:rsidRPr="001F1D13">
        <w:rPr>
          <w:b/>
          <w:i/>
          <w:color w:val="FF0000"/>
        </w:rPr>
        <w:t>Bariumchlorid</w:t>
      </w:r>
      <w:r w:rsidRPr="001F1D13">
        <w:rPr>
          <w:i/>
          <w:color w:val="FF0000"/>
        </w:rPr>
        <w:t xml:space="preserve">, obwohl in erklärenden Formel </w:t>
      </w:r>
      <w:r w:rsidRPr="001F1D13">
        <w:rPr>
          <w:b/>
          <w:i/>
          <w:color w:val="FF0000"/>
        </w:rPr>
        <w:t>Calciu</w:t>
      </w:r>
      <w:r w:rsidRPr="001F1D13">
        <w:rPr>
          <w:b/>
          <w:i/>
          <w:color w:val="FF0000"/>
        </w:rPr>
        <w:t>m</w:t>
      </w:r>
      <w:r w:rsidRPr="001F1D13">
        <w:rPr>
          <w:b/>
          <w:i/>
          <w:color w:val="FF0000"/>
        </w:rPr>
        <w:t>chlorid</w:t>
      </w:r>
      <w:r w:rsidRPr="001F1D13">
        <w:rPr>
          <w:i/>
          <w:color w:val="FF0000"/>
        </w:rPr>
        <w:t xml:space="preserve"> geschrieben steht. Welches von beiden falsch ist, ist der Redaktion nicht bekannt.]</w:t>
      </w:r>
    </w:p>
    <w:p w:rsidR="002648E9" w:rsidRDefault="002648E9">
      <w:pPr>
        <w:pStyle w:val="GesAbsatz"/>
        <w:tabs>
          <w:tab w:val="clear" w:pos="425"/>
        </w:tabs>
        <w:ind w:left="567" w:hanging="567"/>
      </w:pPr>
      <w:r>
        <w:t>3.2.7.</w:t>
      </w:r>
      <w:r w:rsidR="009B3843">
        <w:t xml:space="preserve"> </w:t>
      </w:r>
      <w:r>
        <w:t>Essigsäure, 99-100%ig (Essigsäure geringerer Konzentration ist ungeeignet)</w:t>
      </w:r>
      <w:r w:rsidR="005E3DDC">
        <w:t>.</w:t>
      </w:r>
    </w:p>
    <w:p w:rsidR="002648E9" w:rsidRDefault="002648E9" w:rsidP="009B3843">
      <w:pPr>
        <w:pStyle w:val="GesAbsatz"/>
        <w:tabs>
          <w:tab w:val="clear" w:pos="425"/>
        </w:tabs>
      </w:pPr>
      <w:r>
        <w:t>3.2.8.</w:t>
      </w:r>
      <w:r w:rsidR="009B3843">
        <w:t xml:space="preserve"> </w:t>
      </w:r>
      <w:r>
        <w:t>Ammoniumtartratlösung: 12,5 g Weinsäure p. a. und 12,4 ml Ammoniaklösung p. a. (d= 0,91g/ml) werden gemischt und mit Wasser auf 1000 ml aufgefüllt (oder eine gleiche Menge von Am</w:t>
      </w:r>
      <w:r w:rsidR="009B3843">
        <w:t>moniumtartrat p. a. verwenden)</w:t>
      </w:r>
      <w:r w:rsidR="005E3DDC">
        <w:t>.</w:t>
      </w:r>
    </w:p>
    <w:p w:rsidR="002648E9" w:rsidRDefault="002648E9">
      <w:pPr>
        <w:pStyle w:val="GesAbsatz"/>
        <w:tabs>
          <w:tab w:val="clear" w:pos="425"/>
        </w:tabs>
        <w:ind w:left="567" w:hanging="567"/>
      </w:pPr>
      <w:r>
        <w:t>3.2.9.</w:t>
      </w:r>
      <w:r w:rsidR="009B3843">
        <w:t xml:space="preserve"> </w:t>
      </w:r>
      <w:r>
        <w:t>Ammoniaklösung: 40 mg Ammoniaklösung p. a. (d = 0,91 g/</w:t>
      </w:r>
      <w:r w:rsidR="005E3DDC">
        <w:t>m</w:t>
      </w:r>
      <w:r>
        <w:t>l) werden mit 1000 ml Wasser verdünnt.</w:t>
      </w:r>
    </w:p>
    <w:p w:rsidR="002648E9" w:rsidRDefault="002648E9" w:rsidP="005E3DDC">
      <w:pPr>
        <w:pStyle w:val="GesAbsatz"/>
        <w:tabs>
          <w:tab w:val="clear" w:pos="425"/>
        </w:tabs>
      </w:pPr>
      <w:smartTag w:uri="urn:schemas-microsoft-com:office:smarttags" w:element="date">
        <w:smartTagPr>
          <w:attr w:name="Year" w:val="10"/>
          <w:attr w:name="Day" w:val="3"/>
          <w:attr w:name="Month" w:val="2"/>
          <w:attr w:name="ls" w:val="trans"/>
        </w:smartTagPr>
        <w:r>
          <w:t>3.2.10.</w:t>
        </w:r>
      </w:smartTag>
      <w:r w:rsidR="005E3DDC">
        <w:t xml:space="preserve"> </w:t>
      </w:r>
      <w:r>
        <w:t>Standardacetatpufferlösung: 40 g Natriumhydroxid p. a. werden in ein Becherglas gegeben, mit etwa 500 ml Wasser gelöst und abgekühlt. Dann werden 120 ml Essigsäure (3.2.7.) zugefügt. Nach grün</w:t>
      </w:r>
      <w:r>
        <w:t>d</w:t>
      </w:r>
      <w:r>
        <w:t>lichem Mischen und Abkühlen wird die Lösung in einen 1000-ml-Meßkolben umgefüllt und mit Wasser bis zur Ma</w:t>
      </w:r>
      <w:r>
        <w:t>r</w:t>
      </w:r>
      <w:r>
        <w:t>ke aufgefüllt.</w:t>
      </w:r>
    </w:p>
    <w:p w:rsidR="002648E9" w:rsidRDefault="002648E9" w:rsidP="005E3DDC">
      <w:pPr>
        <w:pStyle w:val="GesAbsatz"/>
        <w:tabs>
          <w:tab w:val="clear" w:pos="425"/>
        </w:tabs>
      </w:pPr>
      <w:smartTag w:uri="urn:schemas-microsoft-com:office:smarttags" w:element="date">
        <w:smartTagPr>
          <w:attr w:name="Year" w:val="11"/>
          <w:attr w:name="Day" w:val="3"/>
          <w:attr w:name="Month" w:val="2"/>
          <w:attr w:name="ls" w:val="trans"/>
        </w:smartTagPr>
        <w:r>
          <w:t>3.2.11.</w:t>
        </w:r>
      </w:smartTag>
      <w:r w:rsidR="005E3DDC">
        <w:t xml:space="preserve"> </w:t>
      </w:r>
      <w:r>
        <w:t>Pyrrolidindithiocarbamatlösung (nachstehend „Carbatlösung“ genannt): Man löst 103 ml Pyrrolidi</w:t>
      </w:r>
      <w:r>
        <w:t>n</w:t>
      </w:r>
      <w:r>
        <w:t>dithiocarbonsäure-Natriumsalz (C</w:t>
      </w:r>
      <w:r>
        <w:rPr>
          <w:vertAlign w:val="subscript"/>
        </w:rPr>
        <w:t>5</w:t>
      </w:r>
      <w:r>
        <w:t>H</w:t>
      </w:r>
      <w:r>
        <w:rPr>
          <w:vertAlign w:val="subscript"/>
        </w:rPr>
        <w:t>8</w:t>
      </w:r>
      <w:r>
        <w:t>NNaS</w:t>
      </w:r>
      <w:r>
        <w:rPr>
          <w:vertAlign w:val="subscript"/>
        </w:rPr>
        <w:t>2</w:t>
      </w:r>
      <w:r>
        <w:t xml:space="preserve"> </w:t>
      </w:r>
      <w:r w:rsidR="005E3DDC">
        <w:sym w:font="Symbol" w:char="F0B7"/>
      </w:r>
      <w:r>
        <w:t xml:space="preserve"> 2H</w:t>
      </w:r>
      <w:r>
        <w:rPr>
          <w:vertAlign w:val="subscript"/>
        </w:rPr>
        <w:t>2</w:t>
      </w:r>
      <w:r>
        <w:t>O) in etwa 500 ml Wasser gibt 10 ml n-Amylalkohol p. a. und 0,5 g Natriumhydrogencarbonat p. a. (NaHCO</w:t>
      </w:r>
      <w:r>
        <w:rPr>
          <w:vertAlign w:val="subscript"/>
        </w:rPr>
        <w:t>3</w:t>
      </w:r>
      <w:r>
        <w:t>) hinzu und füllt mit Wasser auf 1000 ml auf.</w:t>
      </w:r>
    </w:p>
    <w:p w:rsidR="002648E9" w:rsidRDefault="002648E9" w:rsidP="005E3DDC">
      <w:pPr>
        <w:pStyle w:val="GesAbsatz"/>
        <w:tabs>
          <w:tab w:val="clear" w:pos="425"/>
        </w:tabs>
      </w:pPr>
      <w:smartTag w:uri="urn:schemas-microsoft-com:office:smarttags" w:element="date">
        <w:smartTagPr>
          <w:attr w:name="Year" w:val="12"/>
          <w:attr w:name="Day" w:val="3"/>
          <w:attr w:name="Month" w:val="2"/>
          <w:attr w:name="ls" w:val="trans"/>
        </w:smartTagPr>
        <w:r>
          <w:t>3.2.12.</w:t>
        </w:r>
      </w:smartTag>
      <w:r w:rsidR="005E3DDC">
        <w:t xml:space="preserve"> </w:t>
      </w:r>
      <w:r>
        <w:t xml:space="preserve">Kupfersulfatlösung (für die Eichung der Lösung </w:t>
      </w:r>
      <w:smartTag w:uri="urn:schemas-microsoft-com:office:smarttags" w:element="date">
        <w:smartTagPr>
          <w:attr w:name="Year" w:val="11"/>
          <w:attr w:name="Day" w:val="3"/>
          <w:attr w:name="Month" w:val="2"/>
          <w:attr w:name="ls" w:val="trans"/>
        </w:smartTagPr>
        <w:r>
          <w:t>3.2.11</w:t>
        </w:r>
      </w:smartTag>
      <w:r>
        <w:t>).</w:t>
      </w:r>
    </w:p>
    <w:p w:rsidR="002648E9" w:rsidRDefault="002648E9">
      <w:pPr>
        <w:pStyle w:val="GesAbsatz"/>
        <w:tabs>
          <w:tab w:val="clear" w:pos="425"/>
        </w:tabs>
        <w:ind w:left="709" w:hanging="709"/>
      </w:pPr>
      <w:r>
        <w:t>Stammlösung</w:t>
      </w:r>
    </w:p>
    <w:p w:rsidR="002648E9" w:rsidRDefault="002648E9" w:rsidP="005E3DDC">
      <w:pPr>
        <w:pStyle w:val="GesAbsatz"/>
        <w:tabs>
          <w:tab w:val="clear" w:pos="425"/>
        </w:tabs>
      </w:pPr>
      <w:r>
        <w:t>1,249 g Kupfersulfat p. a. (CuSO</w:t>
      </w:r>
      <w:r>
        <w:rPr>
          <w:vertAlign w:val="subscript"/>
        </w:rPr>
        <w:t>4</w:t>
      </w:r>
      <w:r>
        <w:t xml:space="preserve"> </w:t>
      </w:r>
      <w:r w:rsidR="005E3DDC">
        <w:sym w:font="Symbol" w:char="F0B7"/>
      </w:r>
      <w:r>
        <w:t xml:space="preserve"> 5H</w:t>
      </w:r>
      <w:r>
        <w:rPr>
          <w:vertAlign w:val="subscript"/>
        </w:rPr>
        <w:t>2</w:t>
      </w:r>
      <w:r>
        <w:t>O) werden mit 50 ml 1 N Schwefelsäure gemischt und zu 1000 ml mit Wasser aufgefüllt.</w:t>
      </w:r>
    </w:p>
    <w:p w:rsidR="002648E9" w:rsidRDefault="002648E9" w:rsidP="005E3DDC">
      <w:pPr>
        <w:pStyle w:val="GesAbsatz"/>
        <w:tabs>
          <w:tab w:val="clear" w:pos="425"/>
        </w:tabs>
      </w:pPr>
      <w:r>
        <w:lastRenderedPageBreak/>
        <w:t>Eichlösung</w:t>
      </w:r>
    </w:p>
    <w:p w:rsidR="002648E9" w:rsidRDefault="002648E9" w:rsidP="005E3DDC">
      <w:pPr>
        <w:pStyle w:val="GesAbsatz"/>
        <w:tabs>
          <w:tab w:val="clear" w:pos="425"/>
        </w:tabs>
      </w:pPr>
      <w:r>
        <w:t>50 ml der Stammlösung und 10 ml 1 N H</w:t>
      </w:r>
      <w:r>
        <w:rPr>
          <w:vertAlign w:val="subscript"/>
        </w:rPr>
        <w:t>2</w:t>
      </w:r>
      <w:r>
        <w:t>SO</w:t>
      </w:r>
      <w:r>
        <w:rPr>
          <w:vertAlign w:val="subscript"/>
        </w:rPr>
        <w:t>4</w:t>
      </w:r>
      <w:r>
        <w:t xml:space="preserve"> werden gemischt und mit Wasser zu 1000 ml aufgefüllt.</w:t>
      </w:r>
    </w:p>
    <w:p w:rsidR="002648E9" w:rsidRDefault="002648E9" w:rsidP="005E3DDC">
      <w:pPr>
        <w:pStyle w:val="GesAbsatz"/>
        <w:tabs>
          <w:tab w:val="clear" w:pos="425"/>
        </w:tabs>
      </w:pPr>
      <w:smartTag w:uri="urn:schemas-microsoft-com:office:smarttags" w:element="date">
        <w:smartTagPr>
          <w:attr w:name="Year" w:val="13"/>
          <w:attr w:name="Day" w:val="3"/>
          <w:attr w:name="Month" w:val="2"/>
          <w:attr w:name="ls" w:val="trans"/>
        </w:smartTagPr>
        <w:r>
          <w:t>3.2.13.</w:t>
        </w:r>
      </w:smartTag>
      <w:r w:rsidR="005E3DDC">
        <w:t xml:space="preserve"> </w:t>
      </w:r>
      <w:r>
        <w:t>Natriumchlorid p. a.</w:t>
      </w:r>
    </w:p>
    <w:p w:rsidR="002648E9" w:rsidRDefault="002648E9">
      <w:pPr>
        <w:pStyle w:val="GesAbsatz"/>
        <w:tabs>
          <w:tab w:val="clear" w:pos="425"/>
        </w:tabs>
        <w:ind w:left="709" w:hanging="709"/>
      </w:pPr>
      <w:smartTag w:uri="urn:schemas-microsoft-com:office:smarttags" w:element="date">
        <w:smartTagPr>
          <w:attr w:name="Year" w:val="14"/>
          <w:attr w:name="Day" w:val="3"/>
          <w:attr w:name="Month" w:val="2"/>
          <w:attr w:name="ls" w:val="trans"/>
        </w:smartTagPr>
        <w:r>
          <w:t>3.2.14.</w:t>
        </w:r>
      </w:smartTag>
      <w:r w:rsidR="005E3DDC">
        <w:t xml:space="preserve"> </w:t>
      </w:r>
      <w:r>
        <w:t>Tensid-Ausblasegerät (siehe Abbildung 5)</w:t>
      </w:r>
    </w:p>
    <w:p w:rsidR="002648E9" w:rsidRDefault="002648E9">
      <w:pPr>
        <w:pStyle w:val="GesAbsatz"/>
        <w:tabs>
          <w:tab w:val="clear" w:pos="425"/>
        </w:tabs>
        <w:ind w:left="709" w:hanging="709"/>
      </w:pPr>
      <w:r>
        <w:t>Die Durchmesser von Glasfilterfritte und Zylinder müssen gleich groß sein.</w:t>
      </w:r>
    </w:p>
    <w:p w:rsidR="002648E9" w:rsidRDefault="002648E9">
      <w:pPr>
        <w:pStyle w:val="GesAbsatz"/>
        <w:tabs>
          <w:tab w:val="clear" w:pos="425"/>
        </w:tabs>
        <w:ind w:left="709" w:hanging="709"/>
      </w:pPr>
      <w:smartTag w:uri="urn:schemas-microsoft-com:office:smarttags" w:element="date">
        <w:smartTagPr>
          <w:attr w:name="Year" w:val="15"/>
          <w:attr w:name="Day" w:val="3"/>
          <w:attr w:name="Month" w:val="2"/>
          <w:attr w:name="ls" w:val="trans"/>
        </w:smartTagPr>
        <w:r>
          <w:t>3.2.15.</w:t>
        </w:r>
      </w:smartTag>
      <w:r w:rsidR="005E3DDC">
        <w:t xml:space="preserve"> </w:t>
      </w:r>
      <w:r>
        <w:t>Trenntrichter, 250 ml</w:t>
      </w:r>
    </w:p>
    <w:p w:rsidR="002648E9" w:rsidRDefault="002648E9">
      <w:pPr>
        <w:pStyle w:val="GesAbsatz"/>
        <w:tabs>
          <w:tab w:val="clear" w:pos="425"/>
        </w:tabs>
        <w:ind w:left="709" w:hanging="709"/>
      </w:pPr>
      <w:smartTag w:uri="urn:schemas-microsoft-com:office:smarttags" w:element="date">
        <w:smartTagPr>
          <w:attr w:name="Year" w:val="16"/>
          <w:attr w:name="Day" w:val="3"/>
          <w:attr w:name="Month" w:val="2"/>
          <w:attr w:name="ls" w:val="trans"/>
        </w:smartTagPr>
        <w:r>
          <w:t>3.2.16.</w:t>
        </w:r>
      </w:smartTag>
      <w:r w:rsidR="005E3DDC">
        <w:t xml:space="preserve"> </w:t>
      </w:r>
      <w:r>
        <w:t>Magnetrührwerk mit Magnetstab 25-30 mm</w:t>
      </w:r>
    </w:p>
    <w:p w:rsidR="002648E9" w:rsidRDefault="002648E9">
      <w:pPr>
        <w:pStyle w:val="GesAbsatz"/>
        <w:tabs>
          <w:tab w:val="clear" w:pos="425"/>
        </w:tabs>
        <w:ind w:left="709" w:hanging="709"/>
      </w:pPr>
      <w:smartTag w:uri="urn:schemas-microsoft-com:office:smarttags" w:element="date">
        <w:smartTagPr>
          <w:attr w:name="Year" w:val="17"/>
          <w:attr w:name="Day" w:val="3"/>
          <w:attr w:name="Month" w:val="2"/>
          <w:attr w:name="ls" w:val="trans"/>
        </w:smartTagPr>
        <w:r>
          <w:t>3.2.17.</w:t>
        </w:r>
      </w:smartTag>
      <w:r w:rsidR="005E3DDC">
        <w:t xml:space="preserve"> </w:t>
      </w:r>
      <w:r>
        <w:t>Goochtiegel, Durchmesser des perforierten Bodens 25 mm, Typ G 4</w:t>
      </w:r>
    </w:p>
    <w:p w:rsidR="002648E9" w:rsidRDefault="002648E9">
      <w:pPr>
        <w:pStyle w:val="GesAbsatz"/>
        <w:tabs>
          <w:tab w:val="clear" w:pos="425"/>
        </w:tabs>
        <w:ind w:left="851" w:hanging="851"/>
      </w:pPr>
      <w:smartTag w:uri="urn:schemas-microsoft-com:office:smarttags" w:element="date">
        <w:smartTagPr>
          <w:attr w:name="Year" w:val="18"/>
          <w:attr w:name="Day" w:val="3"/>
          <w:attr w:name="Month" w:val="2"/>
          <w:attr w:name="ls" w:val="trans"/>
        </w:smartTagPr>
        <w:r>
          <w:t>3.2.18.</w:t>
        </w:r>
      </w:smartTag>
      <w:r w:rsidR="005E3DDC">
        <w:t xml:space="preserve"> </w:t>
      </w:r>
      <w:r>
        <w:t>Rundfilter aus Glasfaserpapier, Durchmesser 27 mm, Faserdurchmesser 0,5-1,5 m.</w:t>
      </w:r>
    </w:p>
    <w:p w:rsidR="002648E9" w:rsidRDefault="002648E9">
      <w:pPr>
        <w:pStyle w:val="GesAbsatz"/>
        <w:tabs>
          <w:tab w:val="clear" w:pos="425"/>
        </w:tabs>
        <w:ind w:left="851" w:hanging="851"/>
      </w:pPr>
      <w:smartTag w:uri="urn:schemas-microsoft-com:office:smarttags" w:element="date">
        <w:smartTagPr>
          <w:attr w:name="Year" w:val="19"/>
          <w:attr w:name="Day" w:val="3"/>
          <w:attr w:name="Month" w:val="2"/>
          <w:attr w:name="ls" w:val="trans"/>
        </w:smartTagPr>
        <w:r>
          <w:t>3.2.19.</w:t>
        </w:r>
      </w:smartTag>
      <w:r w:rsidR="005E3DDC">
        <w:t xml:space="preserve"> </w:t>
      </w:r>
      <w:r>
        <w:t>Zwei Saugflaschen mit Vorstoß und Gummimanschette, Inhalt je 250 und 500 ml.</w:t>
      </w:r>
    </w:p>
    <w:p w:rsidR="002648E9" w:rsidRDefault="002648E9" w:rsidP="005E3DDC">
      <w:pPr>
        <w:pStyle w:val="GesAbsatz"/>
        <w:tabs>
          <w:tab w:val="clear" w:pos="425"/>
        </w:tabs>
      </w:pPr>
      <w:smartTag w:uri="urn:schemas-microsoft-com:office:smarttags" w:element="date">
        <w:smartTagPr>
          <w:attr w:name="Year" w:val="20"/>
          <w:attr w:name="Day" w:val="3"/>
          <w:attr w:name="Month" w:val="2"/>
          <w:attr w:name="ls" w:val="trans"/>
        </w:smartTagPr>
        <w:r>
          <w:t>3.2.20.</w:t>
        </w:r>
      </w:smartTag>
      <w:r w:rsidR="005E3DDC">
        <w:t xml:space="preserve"> </w:t>
      </w:r>
      <w:r>
        <w:t>Registrierendes Potentiometer und einer blanken Platinindikatorelektrode und einer Kalomel- oder Silber/Silberchlorid-Referenzelektrode, Meßbereich 250 mV, mit automatischer Bürette von 20 - 25 ml Inhalt oder alternativ eine entsprechende manuelle Einrichtung.</w:t>
      </w:r>
    </w:p>
    <w:p w:rsidR="002648E9" w:rsidRDefault="002648E9">
      <w:pPr>
        <w:pStyle w:val="GesAbsatz"/>
        <w:tabs>
          <w:tab w:val="clear" w:pos="425"/>
        </w:tabs>
        <w:ind w:left="851" w:hanging="851"/>
      </w:pPr>
      <w:r>
        <w:t>3.3</w:t>
      </w:r>
      <w:r w:rsidR="005E3DDC">
        <w:t xml:space="preserve"> </w:t>
      </w:r>
      <w:r>
        <w:t>Verfahren</w:t>
      </w:r>
    </w:p>
    <w:p w:rsidR="002648E9" w:rsidRDefault="002648E9">
      <w:pPr>
        <w:pStyle w:val="GesAbsatz"/>
        <w:tabs>
          <w:tab w:val="clear" w:pos="425"/>
        </w:tabs>
        <w:ind w:left="567" w:hanging="567"/>
      </w:pPr>
      <w:r>
        <w:t>3.3.1.</w:t>
      </w:r>
      <w:r w:rsidR="005E3DDC">
        <w:t xml:space="preserve"> </w:t>
      </w:r>
      <w:r>
        <w:t>Anreicherung und Isolierung der</w:t>
      </w:r>
      <w:r w:rsidR="005E3DDC">
        <w:t xml:space="preserve"> grenzflächenaktiven Substanzen</w:t>
      </w:r>
    </w:p>
    <w:p w:rsidR="000215D5" w:rsidRDefault="000215D5" w:rsidP="000215D5">
      <w:pPr>
        <w:pStyle w:val="GesAbsatz"/>
        <w:rPr>
          <w:rFonts w:cs="Arial"/>
        </w:rPr>
      </w:pPr>
      <w:r w:rsidRPr="000215D5">
        <w:rPr>
          <w:rFonts w:cs="Arial"/>
        </w:rPr>
        <w:t>Die wäßrige Probe wird durch ein grobporiges Filter filtriert. Die ersten 100 ml des Filtrats we</w:t>
      </w:r>
      <w:r w:rsidRPr="000215D5">
        <w:rPr>
          <w:rFonts w:cs="Arial"/>
        </w:rPr>
        <w:t>r</w:t>
      </w:r>
      <w:r w:rsidRPr="000215D5">
        <w:rPr>
          <w:rFonts w:cs="Arial"/>
        </w:rPr>
        <w:t xml:space="preserve">den verworfen. </w:t>
      </w:r>
    </w:p>
    <w:p w:rsidR="000215D5" w:rsidRDefault="000215D5" w:rsidP="000215D5">
      <w:pPr>
        <w:pStyle w:val="GesAbsatz"/>
        <w:rPr>
          <w:rFonts w:cs="Arial"/>
        </w:rPr>
      </w:pPr>
      <w:r w:rsidRPr="000215D5">
        <w:rPr>
          <w:rFonts w:cs="Arial"/>
        </w:rPr>
        <w:t xml:space="preserve">In das zuvor mit Ethylacetat durchgespülte Ausblasegerät wird eine abgemessene Probemenge gegeben, die zu 250 bis 800 g nichtionische Tenside enthalten soll. </w:t>
      </w:r>
    </w:p>
    <w:p w:rsidR="000215D5" w:rsidRDefault="000215D5" w:rsidP="000215D5">
      <w:pPr>
        <w:pStyle w:val="GesAbsatz"/>
        <w:rPr>
          <w:rFonts w:cs="Arial"/>
        </w:rPr>
      </w:pPr>
      <w:r w:rsidRPr="000215D5">
        <w:rPr>
          <w:rFonts w:cs="Arial"/>
        </w:rPr>
        <w:t>Zur Verbesserung des Trenneffekts werden 100 g Natriumchlorid und 5 g Natriumhydrogencarbonat hinz</w:t>
      </w:r>
      <w:r w:rsidRPr="000215D5">
        <w:rPr>
          <w:rFonts w:cs="Arial"/>
        </w:rPr>
        <w:t>u</w:t>
      </w:r>
      <w:r w:rsidRPr="000215D5">
        <w:rPr>
          <w:rFonts w:cs="Arial"/>
        </w:rPr>
        <w:t xml:space="preserve">gegeben. </w:t>
      </w:r>
    </w:p>
    <w:p w:rsidR="000215D5" w:rsidRDefault="000215D5" w:rsidP="000215D5">
      <w:pPr>
        <w:pStyle w:val="GesAbsatz"/>
        <w:rPr>
          <w:rFonts w:cs="Arial"/>
        </w:rPr>
      </w:pPr>
      <w:r w:rsidRPr="000215D5">
        <w:rPr>
          <w:rFonts w:cs="Arial"/>
        </w:rPr>
        <w:t>Überschreitet das Probevolumen 500 ml, so werden diese Salze in fester Form in das Ausblasgerät geg</w:t>
      </w:r>
      <w:r w:rsidRPr="000215D5">
        <w:rPr>
          <w:rFonts w:cs="Arial"/>
        </w:rPr>
        <w:t>e</w:t>
      </w:r>
      <w:r w:rsidRPr="000215D5">
        <w:rPr>
          <w:rFonts w:cs="Arial"/>
        </w:rPr>
        <w:t xml:space="preserve">ben und unter Durchleiten von Stickstoff oder Luft gelöst. </w:t>
      </w:r>
    </w:p>
    <w:p w:rsidR="000215D5" w:rsidRDefault="000215D5" w:rsidP="000215D5">
      <w:pPr>
        <w:pStyle w:val="GesAbsatz"/>
        <w:rPr>
          <w:rFonts w:cs="Arial"/>
        </w:rPr>
      </w:pPr>
      <w:r w:rsidRPr="000215D5">
        <w:rPr>
          <w:rFonts w:cs="Arial"/>
        </w:rPr>
        <w:t xml:space="preserve">Kommt ein geringeres Probevolumen zur Anwendung, werden diese Salze in etwa 400 ml Wasser gelöst und dann zugegeben. </w:t>
      </w:r>
    </w:p>
    <w:p w:rsidR="000215D5" w:rsidRDefault="000215D5" w:rsidP="000215D5">
      <w:pPr>
        <w:pStyle w:val="GesAbsatz"/>
        <w:rPr>
          <w:rFonts w:cs="Arial"/>
        </w:rPr>
      </w:pPr>
      <w:r w:rsidRPr="000215D5">
        <w:rPr>
          <w:rFonts w:cs="Arial"/>
        </w:rPr>
        <w:t xml:space="preserve">In jedem Fall wird mit Wasser bis zum oberen Ablaßhahn aufgefüllt. </w:t>
      </w:r>
    </w:p>
    <w:p w:rsidR="000215D5" w:rsidRDefault="000215D5" w:rsidP="000215D5">
      <w:pPr>
        <w:pStyle w:val="GesAbsatz"/>
        <w:rPr>
          <w:rFonts w:cs="Arial"/>
        </w:rPr>
      </w:pPr>
      <w:r w:rsidRPr="000215D5">
        <w:rPr>
          <w:rFonts w:cs="Arial"/>
        </w:rPr>
        <w:t xml:space="preserve">Über die wäßrige Phase werden vorsichtig 100 ml Ethylacetat aufgegeben. Die Waschflasche in der Gasstromzuleitung (Stickstoff oder Luft) wird zu etwa zwei Drittel mit Ethylacetat gefüllt. </w:t>
      </w:r>
    </w:p>
    <w:p w:rsidR="000215D5" w:rsidRDefault="000215D5" w:rsidP="000215D5">
      <w:pPr>
        <w:pStyle w:val="GesAbsatz"/>
        <w:rPr>
          <w:rFonts w:cs="Arial"/>
        </w:rPr>
      </w:pPr>
      <w:r w:rsidRPr="000215D5">
        <w:rPr>
          <w:rFonts w:cs="Arial"/>
        </w:rPr>
        <w:t xml:space="preserve">Man leitet einen Gasstrom von 30 bis 60 l je Stunde durch die </w:t>
      </w:r>
      <w:proofErr w:type="gramStart"/>
      <w:r w:rsidRPr="000215D5">
        <w:rPr>
          <w:rFonts w:cs="Arial"/>
        </w:rPr>
        <w:t>Apparatur ;</w:t>
      </w:r>
      <w:proofErr w:type="gramEnd"/>
      <w:r w:rsidRPr="000215D5">
        <w:rPr>
          <w:rFonts w:cs="Arial"/>
        </w:rPr>
        <w:t xml:space="preserve"> der Einbau eines Strömungsme</w:t>
      </w:r>
      <w:r w:rsidRPr="000215D5">
        <w:rPr>
          <w:rFonts w:cs="Arial"/>
        </w:rPr>
        <w:t>s</w:t>
      </w:r>
      <w:r w:rsidRPr="000215D5">
        <w:rPr>
          <w:rFonts w:cs="Arial"/>
        </w:rPr>
        <w:t>sers ist zu empfehlen. Der Gasdurchsatz wird anfangs schrittweise erhöht. Die Gasmenge muß so beme</w:t>
      </w:r>
      <w:r w:rsidRPr="000215D5">
        <w:rPr>
          <w:rFonts w:cs="Arial"/>
        </w:rPr>
        <w:t>s</w:t>
      </w:r>
      <w:r w:rsidRPr="000215D5">
        <w:rPr>
          <w:rFonts w:cs="Arial"/>
        </w:rPr>
        <w:t xml:space="preserve">sen sein, daß die Phasen erkennbar getrennt bleiben und eine Vermischung der Phasen und ein </w:t>
      </w:r>
      <w:r w:rsidR="001F1D13">
        <w:rPr>
          <w:rFonts w:cs="Arial"/>
        </w:rPr>
        <w:t>I</w:t>
      </w:r>
      <w:r w:rsidRPr="000215D5">
        <w:rPr>
          <w:rFonts w:cs="Arial"/>
        </w:rPr>
        <w:t>n</w:t>
      </w:r>
      <w:r w:rsidR="001F1D13">
        <w:rPr>
          <w:rFonts w:cs="Arial"/>
        </w:rPr>
        <w:t>l</w:t>
      </w:r>
      <w:r w:rsidRPr="000215D5">
        <w:rPr>
          <w:rFonts w:cs="Arial"/>
        </w:rPr>
        <w:t>ösun</w:t>
      </w:r>
      <w:r w:rsidRPr="000215D5">
        <w:rPr>
          <w:rFonts w:cs="Arial"/>
        </w:rPr>
        <w:t>g</w:t>
      </w:r>
      <w:r w:rsidRPr="000215D5">
        <w:rPr>
          <w:rFonts w:cs="Arial"/>
        </w:rPr>
        <w:t xml:space="preserve">gehen des Ethylacetats möglichst vermieden </w:t>
      </w:r>
      <w:proofErr w:type="gramStart"/>
      <w:r w:rsidRPr="000215D5">
        <w:rPr>
          <w:rFonts w:cs="Arial"/>
        </w:rPr>
        <w:t>wird</w:t>
      </w:r>
      <w:proofErr w:type="gramEnd"/>
      <w:r w:rsidRPr="000215D5">
        <w:rPr>
          <w:rFonts w:cs="Arial"/>
        </w:rPr>
        <w:t xml:space="preserve">. Nach fünf Minuten wird der Gasstrom abgestellt. </w:t>
      </w:r>
    </w:p>
    <w:p w:rsidR="000215D5" w:rsidRDefault="000215D5" w:rsidP="000215D5">
      <w:pPr>
        <w:pStyle w:val="GesAbsatz"/>
        <w:rPr>
          <w:rFonts w:cs="Arial"/>
        </w:rPr>
      </w:pPr>
      <w:r w:rsidRPr="000215D5">
        <w:rPr>
          <w:rFonts w:cs="Arial"/>
        </w:rPr>
        <w:t xml:space="preserve">Ist das Volumen der organischen Phase durch Lösen in Wasser um mehr als 20 % vermindert worden, so ist der Arbeitsgang unter Verringerung des Gasdurchsatzes zu wiederholen. </w:t>
      </w:r>
    </w:p>
    <w:p w:rsidR="000215D5" w:rsidRDefault="000215D5" w:rsidP="000215D5">
      <w:pPr>
        <w:pStyle w:val="GesAbsatz"/>
        <w:rPr>
          <w:rFonts w:cs="Arial"/>
        </w:rPr>
      </w:pPr>
      <w:r w:rsidRPr="000215D5">
        <w:rPr>
          <w:rFonts w:cs="Arial"/>
        </w:rPr>
        <w:t>Die organische Phase wird in einen Scheidetrichter abgelassen. Die im Scheidetrichter etwa abgesetzte wä</w:t>
      </w:r>
      <w:r w:rsidRPr="000215D5">
        <w:rPr>
          <w:rFonts w:cs="Arial"/>
        </w:rPr>
        <w:t>ß</w:t>
      </w:r>
      <w:r w:rsidRPr="000215D5">
        <w:rPr>
          <w:rFonts w:cs="Arial"/>
        </w:rPr>
        <w:t>rige Phase - es sollen nur wenige ml sein - wird in das Ausblasegerät zurückgegeben. Die Ethylacetat-Phase wird durch ein trockenes, grobporiges Fi</w:t>
      </w:r>
      <w:r w:rsidRPr="000215D5">
        <w:rPr>
          <w:rFonts w:cs="Arial"/>
        </w:rPr>
        <w:t>l</w:t>
      </w:r>
      <w:r w:rsidRPr="000215D5">
        <w:rPr>
          <w:rFonts w:cs="Arial"/>
        </w:rPr>
        <w:t xml:space="preserve">ter in ein 250-ml-Becherglas filtriert. </w:t>
      </w:r>
    </w:p>
    <w:p w:rsidR="000215D5" w:rsidRDefault="000215D5" w:rsidP="000215D5">
      <w:pPr>
        <w:pStyle w:val="GesAbsatz"/>
        <w:rPr>
          <w:rFonts w:cs="Arial"/>
        </w:rPr>
      </w:pPr>
      <w:r w:rsidRPr="000215D5">
        <w:rPr>
          <w:rFonts w:cs="Arial"/>
        </w:rPr>
        <w:t>Man gibt erneut 100 ml Ethylacetat in das Ausblasegerät und leitet weitere fünf Minuten lang Stic</w:t>
      </w:r>
      <w:r w:rsidRPr="000215D5">
        <w:rPr>
          <w:rFonts w:cs="Arial"/>
        </w:rPr>
        <w:t>k</w:t>
      </w:r>
      <w:r w:rsidRPr="000215D5">
        <w:rPr>
          <w:rFonts w:cs="Arial"/>
        </w:rPr>
        <w:t>stoff oder Luft hindurch. Die organische Phase wird in den bereits bei der ersten Abtrennung b</w:t>
      </w:r>
      <w:r w:rsidRPr="000215D5">
        <w:rPr>
          <w:rFonts w:cs="Arial"/>
        </w:rPr>
        <w:t>e</w:t>
      </w:r>
      <w:r w:rsidRPr="000215D5">
        <w:rPr>
          <w:rFonts w:cs="Arial"/>
        </w:rPr>
        <w:t>nutzten Scheidetrichter abgelassen. Die wäßrige Phase wird verworfen und die organische Phase über das gleiche Filter gegeben. Scheidetrichter und Filter werden mit 20 ml Ethylacetat nachg</w:t>
      </w:r>
      <w:r w:rsidRPr="000215D5">
        <w:rPr>
          <w:rFonts w:cs="Arial"/>
        </w:rPr>
        <w:t>e</w:t>
      </w:r>
      <w:r w:rsidRPr="000215D5">
        <w:rPr>
          <w:rFonts w:cs="Arial"/>
        </w:rPr>
        <w:t>spült. Der Ethylacetat-Extrakt wird auf dem Wasserbad unter dem Abzug zur Trockne eingedampft. Zur Beschleunigung der Verdunstung wird auf die Oberfläche der Lösung ein leichter Luftstrom g</w:t>
      </w:r>
      <w:r w:rsidRPr="000215D5">
        <w:rPr>
          <w:rFonts w:cs="Arial"/>
        </w:rPr>
        <w:t>e</w:t>
      </w:r>
      <w:r w:rsidRPr="000215D5">
        <w:rPr>
          <w:rFonts w:cs="Arial"/>
        </w:rPr>
        <w:t xml:space="preserve">richtet. </w:t>
      </w:r>
    </w:p>
    <w:p w:rsidR="000215D5" w:rsidRDefault="000215D5" w:rsidP="000215D5">
      <w:pPr>
        <w:pStyle w:val="GesAbsatz"/>
        <w:rPr>
          <w:rFonts w:cs="Arial"/>
        </w:rPr>
      </w:pPr>
      <w:r w:rsidRPr="000215D5">
        <w:rPr>
          <w:rFonts w:cs="Arial"/>
        </w:rPr>
        <w:t xml:space="preserve">3.3.2. Fällen und Filtrieren </w:t>
      </w:r>
    </w:p>
    <w:p w:rsidR="000215D5" w:rsidRDefault="000215D5" w:rsidP="000215D5">
      <w:pPr>
        <w:pStyle w:val="GesAbsatz"/>
        <w:rPr>
          <w:rFonts w:cs="Arial"/>
        </w:rPr>
      </w:pPr>
      <w:r w:rsidRPr="000215D5">
        <w:rPr>
          <w:rFonts w:cs="Arial"/>
        </w:rPr>
        <w:t>Der nach 3.3.1 erhaltene Trockenrückstand wird in 5 ml Methanol gelöst, dann werden 40 ml Wa</w:t>
      </w:r>
      <w:r w:rsidRPr="000215D5">
        <w:rPr>
          <w:rFonts w:cs="Arial"/>
        </w:rPr>
        <w:t>s</w:t>
      </w:r>
      <w:r w:rsidRPr="000215D5">
        <w:rPr>
          <w:rFonts w:cs="Arial"/>
        </w:rPr>
        <w:t xml:space="preserve">ser und 0,5 ml verdünnte Salzsäure (3.2.3) hinzugegeben und die Lösung mit einem Magnetrührer durchgerührt. </w:t>
      </w:r>
    </w:p>
    <w:p w:rsidR="000215D5" w:rsidRDefault="000215D5" w:rsidP="000215D5">
      <w:pPr>
        <w:pStyle w:val="GesAbsatz"/>
        <w:rPr>
          <w:rFonts w:cs="Arial"/>
        </w:rPr>
      </w:pPr>
      <w:r w:rsidRPr="000215D5">
        <w:rPr>
          <w:rFonts w:cs="Arial"/>
        </w:rPr>
        <w:t>In diese Lösung gibt man aus einem Meßzylinder 30 ml Fällungsreagenz (3.2.6) hinzu. Der Niede</w:t>
      </w:r>
      <w:r w:rsidRPr="000215D5">
        <w:rPr>
          <w:rFonts w:cs="Arial"/>
        </w:rPr>
        <w:t>r</w:t>
      </w:r>
      <w:r w:rsidRPr="000215D5">
        <w:rPr>
          <w:rFonts w:cs="Arial"/>
        </w:rPr>
        <w:t>schlag bildet sich bei fortgesetztem Rühren. Nach 10 Minuten bricht man das Rühren ab und lä</w:t>
      </w:r>
      <w:r>
        <w:rPr>
          <w:rFonts w:cs="Arial"/>
        </w:rPr>
        <w:t>ß</w:t>
      </w:r>
      <w:r w:rsidRPr="000215D5">
        <w:rPr>
          <w:rFonts w:cs="Arial"/>
        </w:rPr>
        <w:t>t mindestens 5 M</w:t>
      </w:r>
      <w:r w:rsidRPr="000215D5">
        <w:rPr>
          <w:rFonts w:cs="Arial"/>
        </w:rPr>
        <w:t>i</w:t>
      </w:r>
      <w:r w:rsidRPr="000215D5">
        <w:rPr>
          <w:rFonts w:cs="Arial"/>
        </w:rPr>
        <w:t xml:space="preserve">nuten stehen. </w:t>
      </w:r>
    </w:p>
    <w:p w:rsidR="000215D5" w:rsidRDefault="000215D5" w:rsidP="000215D5">
      <w:pPr>
        <w:pStyle w:val="GesAbsatz"/>
        <w:rPr>
          <w:rFonts w:cs="Arial"/>
        </w:rPr>
      </w:pPr>
      <w:r w:rsidRPr="000215D5">
        <w:rPr>
          <w:rFonts w:cs="Arial"/>
        </w:rPr>
        <w:t>Danach filtriert man durch einen Gooch-Tiegel, dessen B</w:t>
      </w:r>
      <w:r>
        <w:rPr>
          <w:rFonts w:cs="Arial"/>
        </w:rPr>
        <w:t>oden mit einem Glasfaser-Filter</w:t>
      </w:r>
      <w:r w:rsidRPr="000215D5">
        <w:rPr>
          <w:rFonts w:cs="Arial"/>
        </w:rPr>
        <w:t>papier b</w:t>
      </w:r>
      <w:r w:rsidRPr="000215D5">
        <w:rPr>
          <w:rFonts w:cs="Arial"/>
        </w:rPr>
        <w:t>e</w:t>
      </w:r>
      <w:r w:rsidRPr="000215D5">
        <w:rPr>
          <w:rFonts w:cs="Arial"/>
        </w:rPr>
        <w:t xml:space="preserve">legt ist. Das Filter wird zuvor mit etwa 2 ml Essigsäure angefeuchtet und angesaugt. Becherglas, Magnetstab und Tiegel werden gründlich mit Essigsäure nachgewaschen, wozu etwa 40 bis 50 ml notwendig sind. Es ist </w:t>
      </w:r>
      <w:r w:rsidRPr="000215D5">
        <w:rPr>
          <w:rFonts w:cs="Arial"/>
        </w:rPr>
        <w:lastRenderedPageBreak/>
        <w:t>nicht erforderlich, den am Becherglas fest anhaftenden Niederschlag quant</w:t>
      </w:r>
      <w:r w:rsidRPr="000215D5">
        <w:rPr>
          <w:rFonts w:cs="Arial"/>
        </w:rPr>
        <w:t>i</w:t>
      </w:r>
      <w:r w:rsidRPr="000215D5">
        <w:rPr>
          <w:rFonts w:cs="Arial"/>
        </w:rPr>
        <w:t>tativ auf das Filter zu bringen, da die Lösung des Niederschlags vor der Filtration wieder in das Fällungs-Becherglas gegeben und der verble</w:t>
      </w:r>
      <w:r w:rsidRPr="000215D5">
        <w:rPr>
          <w:rFonts w:cs="Arial"/>
        </w:rPr>
        <w:t>i</w:t>
      </w:r>
      <w:r w:rsidRPr="000215D5">
        <w:rPr>
          <w:rFonts w:cs="Arial"/>
        </w:rPr>
        <w:t>be</w:t>
      </w:r>
      <w:r w:rsidRPr="000215D5">
        <w:rPr>
          <w:rFonts w:cs="Arial"/>
        </w:rPr>
        <w:t>n</w:t>
      </w:r>
      <w:r w:rsidRPr="000215D5">
        <w:rPr>
          <w:rFonts w:cs="Arial"/>
        </w:rPr>
        <w:t xml:space="preserve">de Niederschlag dann gelöst wird. </w:t>
      </w:r>
    </w:p>
    <w:p w:rsidR="000215D5" w:rsidRDefault="000215D5" w:rsidP="000215D5">
      <w:pPr>
        <w:pStyle w:val="GesAbsatz"/>
        <w:rPr>
          <w:rFonts w:cs="Arial"/>
        </w:rPr>
      </w:pPr>
      <w:r w:rsidRPr="000215D5">
        <w:rPr>
          <w:rFonts w:cs="Arial"/>
        </w:rPr>
        <w:t xml:space="preserve">3.3.3. Lösen des Niederschlags </w:t>
      </w:r>
    </w:p>
    <w:p w:rsidR="000215D5" w:rsidRDefault="000215D5" w:rsidP="000215D5">
      <w:pPr>
        <w:pStyle w:val="GesAbsatz"/>
        <w:rPr>
          <w:rFonts w:cs="Arial"/>
        </w:rPr>
      </w:pPr>
      <w:r w:rsidRPr="000215D5">
        <w:rPr>
          <w:rFonts w:cs="Arial"/>
        </w:rPr>
        <w:t>Der Niederschlag wird durch Zugabe von hei</w:t>
      </w:r>
      <w:r>
        <w:rPr>
          <w:rFonts w:cs="Arial"/>
        </w:rPr>
        <w:t>ß</w:t>
      </w:r>
      <w:r w:rsidRPr="000215D5">
        <w:rPr>
          <w:rFonts w:cs="Arial"/>
        </w:rPr>
        <w:t>er Ammoniumtartratlösung (353 K, etwa 80 ºC) (3.2.8) in drei Portionen von je 10 ml gelöst. Jede Portion wird einige Minuten im Filter stehengela</w:t>
      </w:r>
      <w:r w:rsidRPr="000215D5">
        <w:rPr>
          <w:rFonts w:cs="Arial"/>
        </w:rPr>
        <w:t>s</w:t>
      </w:r>
      <w:r w:rsidRPr="000215D5">
        <w:rPr>
          <w:rFonts w:cs="Arial"/>
        </w:rPr>
        <w:t xml:space="preserve">sen, bevor sie durch das Filter in die Flasche abgesaugt wird. </w:t>
      </w:r>
    </w:p>
    <w:p w:rsidR="000215D5" w:rsidRDefault="000215D5" w:rsidP="000215D5">
      <w:pPr>
        <w:pStyle w:val="GesAbsatz"/>
        <w:rPr>
          <w:rFonts w:cs="Arial"/>
        </w:rPr>
      </w:pPr>
      <w:r w:rsidRPr="000215D5">
        <w:rPr>
          <w:rFonts w:cs="Arial"/>
        </w:rPr>
        <w:t>Der Inhalt der Saugflasche wird in das Fällungs-Becherglas gegeben. Dann lä</w:t>
      </w:r>
      <w:r>
        <w:rPr>
          <w:rFonts w:cs="Arial"/>
        </w:rPr>
        <w:t>ß</w:t>
      </w:r>
      <w:r w:rsidRPr="000215D5">
        <w:rPr>
          <w:rFonts w:cs="Arial"/>
        </w:rPr>
        <w:t>t man weitere 20 ml Amm</w:t>
      </w:r>
      <w:r w:rsidRPr="000215D5">
        <w:rPr>
          <w:rFonts w:cs="Arial"/>
        </w:rPr>
        <w:t>o</w:t>
      </w:r>
      <w:r w:rsidRPr="000215D5">
        <w:rPr>
          <w:rFonts w:cs="Arial"/>
        </w:rPr>
        <w:t>niumtartratlösung die Wandungen des Fällungsglases hinablaufen, um alle Reste des Niederschlags zu l</w:t>
      </w:r>
      <w:r w:rsidRPr="000215D5">
        <w:rPr>
          <w:rFonts w:cs="Arial"/>
        </w:rPr>
        <w:t>ö</w:t>
      </w:r>
      <w:r w:rsidRPr="000215D5">
        <w:rPr>
          <w:rFonts w:cs="Arial"/>
        </w:rPr>
        <w:t>sen.</w:t>
      </w:r>
    </w:p>
    <w:p w:rsidR="002648E9" w:rsidRPr="000215D5" w:rsidRDefault="000215D5" w:rsidP="000215D5">
      <w:pPr>
        <w:pStyle w:val="GesAbsatz"/>
        <w:rPr>
          <w:rFonts w:cs="Arial"/>
        </w:rPr>
      </w:pPr>
      <w:r w:rsidRPr="000215D5">
        <w:rPr>
          <w:rFonts w:cs="Arial"/>
        </w:rPr>
        <w:t>Filtertiegel, Vorstoß und Saugflasche werden gründlich mit 150 bis 200 ml Wasser g</w:t>
      </w:r>
      <w:r w:rsidRPr="000215D5">
        <w:rPr>
          <w:rFonts w:cs="Arial"/>
        </w:rPr>
        <w:t>e</w:t>
      </w:r>
      <w:r w:rsidRPr="000215D5">
        <w:rPr>
          <w:rFonts w:cs="Arial"/>
        </w:rPr>
        <w:t>waschen und dieses Wasser in das Fällungs-Becherglas gegeben.</w:t>
      </w:r>
    </w:p>
    <w:p w:rsidR="005E3DDC" w:rsidRDefault="005E3DDC">
      <w:pPr>
        <w:pStyle w:val="GesAbsatz"/>
        <w:ind w:left="851" w:hanging="851"/>
      </w:pPr>
    </w:p>
    <w:p w:rsidR="00162E49" w:rsidRDefault="00162E49" w:rsidP="00162E49">
      <w:pPr>
        <w:pStyle w:val="GesAbsatz"/>
        <w:rPr>
          <w:rFonts w:cs="Arial"/>
        </w:rPr>
      </w:pPr>
      <w:r w:rsidRPr="00162E49">
        <w:rPr>
          <w:rFonts w:cs="Arial"/>
        </w:rPr>
        <w:t xml:space="preserve">3.3.4. Titration </w:t>
      </w:r>
    </w:p>
    <w:p w:rsidR="00162E49" w:rsidRDefault="00162E49" w:rsidP="00162E49">
      <w:pPr>
        <w:pStyle w:val="GesAbsatz"/>
        <w:rPr>
          <w:rFonts w:cs="Arial"/>
        </w:rPr>
      </w:pPr>
      <w:r w:rsidRPr="00162E49">
        <w:rPr>
          <w:rFonts w:cs="Arial"/>
        </w:rPr>
        <w:t>Man rührt die Lösung mit dem Magnetrührwerk (</w:t>
      </w:r>
      <w:smartTag w:uri="urn:schemas-microsoft-com:office:smarttags" w:element="date">
        <w:smartTagPr>
          <w:attr w:name="Year" w:val="16"/>
          <w:attr w:name="Day" w:val="3"/>
          <w:attr w:name="Month" w:val="2"/>
          <w:attr w:name="ls" w:val="trans"/>
        </w:smartTagPr>
        <w:r w:rsidRPr="00162E49">
          <w:rPr>
            <w:rFonts w:cs="Arial"/>
          </w:rPr>
          <w:t>3.2.16</w:t>
        </w:r>
      </w:smartTag>
      <w:r w:rsidRPr="00162E49">
        <w:rPr>
          <w:rFonts w:cs="Arial"/>
        </w:rPr>
        <w:t>), setzt einige Tropfen Bromkresolpurpurl</w:t>
      </w:r>
      <w:r w:rsidRPr="00162E49">
        <w:rPr>
          <w:rFonts w:cs="Arial"/>
        </w:rPr>
        <w:t>ö</w:t>
      </w:r>
      <w:r w:rsidRPr="00162E49">
        <w:rPr>
          <w:rFonts w:cs="Arial"/>
        </w:rPr>
        <w:t>sung (3.2.5) zu und stellt mit der verdünnten Ammoniaklösung (3.2.9) auf Farbumschlag nach violett ein (die L</w:t>
      </w:r>
      <w:r w:rsidRPr="00162E49">
        <w:rPr>
          <w:rFonts w:cs="Arial"/>
        </w:rPr>
        <w:t>ö</w:t>
      </w:r>
      <w:r w:rsidRPr="00162E49">
        <w:rPr>
          <w:rFonts w:cs="Arial"/>
        </w:rPr>
        <w:t xml:space="preserve">sung ist durch Essigsäurereste, die vom Nachwaschen herrühren, schwach sauer). </w:t>
      </w:r>
    </w:p>
    <w:p w:rsidR="00162E49" w:rsidRDefault="00162E49" w:rsidP="00162E49">
      <w:pPr>
        <w:pStyle w:val="GesAbsatz"/>
        <w:rPr>
          <w:rFonts w:cs="Arial"/>
        </w:rPr>
      </w:pPr>
      <w:r w:rsidRPr="00162E49">
        <w:rPr>
          <w:rFonts w:cs="Arial"/>
        </w:rPr>
        <w:t>Dann gibt man 10 ml Standardacetatpufferlösung (</w:t>
      </w:r>
      <w:smartTag w:uri="urn:schemas-microsoft-com:office:smarttags" w:element="date">
        <w:smartTagPr>
          <w:attr w:name="Year" w:val="10"/>
          <w:attr w:name="Day" w:val="3"/>
          <w:attr w:name="Month" w:val="2"/>
          <w:attr w:name="ls" w:val="trans"/>
        </w:smartTagPr>
        <w:r w:rsidRPr="00162E49">
          <w:rPr>
            <w:rFonts w:cs="Arial"/>
          </w:rPr>
          <w:t>3.2.10</w:t>
        </w:r>
      </w:smartTag>
      <w:r w:rsidRPr="00162E49">
        <w:rPr>
          <w:rFonts w:cs="Arial"/>
        </w:rPr>
        <w:t>) hinzu, führt die Elektroden in die Lösung ein und titriert mit eingetauchter Bürettenspitze potentiometrisch mit der Carbatlösung (</w:t>
      </w:r>
      <w:smartTag w:uri="urn:schemas-microsoft-com:office:smarttags" w:element="date">
        <w:smartTagPr>
          <w:attr w:name="Year" w:val="11"/>
          <w:attr w:name="Day" w:val="3"/>
          <w:attr w:name="Month" w:val="2"/>
          <w:attr w:name="ls" w:val="trans"/>
        </w:smartTagPr>
        <w:r w:rsidRPr="00162E49">
          <w:rPr>
            <w:rFonts w:cs="Arial"/>
          </w:rPr>
          <w:t>3.2.11</w:t>
        </w:r>
      </w:smartTag>
      <w:r w:rsidRPr="00162E49">
        <w:rPr>
          <w:rFonts w:cs="Arial"/>
        </w:rPr>
        <w:t>). Die Titration</w:t>
      </w:r>
      <w:r>
        <w:rPr>
          <w:rFonts w:cs="Arial"/>
        </w:rPr>
        <w:t>s</w:t>
      </w:r>
      <w:r w:rsidRPr="00162E49">
        <w:rPr>
          <w:rFonts w:cs="Arial"/>
        </w:rPr>
        <w:t>g</w:t>
      </w:r>
      <w:r w:rsidRPr="00162E49">
        <w:rPr>
          <w:rFonts w:cs="Arial"/>
        </w:rPr>
        <w:t>e</w:t>
      </w:r>
      <w:r w:rsidRPr="00162E49">
        <w:rPr>
          <w:rFonts w:cs="Arial"/>
        </w:rPr>
        <w:t>schwindigkeit soll 2 ml/min nicht übe</w:t>
      </w:r>
      <w:r w:rsidRPr="00162E49">
        <w:rPr>
          <w:rFonts w:cs="Arial"/>
        </w:rPr>
        <w:t>r</w:t>
      </w:r>
      <w:r w:rsidRPr="00162E49">
        <w:rPr>
          <w:rFonts w:cs="Arial"/>
        </w:rPr>
        <w:t xml:space="preserve">schreiten. </w:t>
      </w:r>
    </w:p>
    <w:p w:rsidR="00162E49" w:rsidRDefault="00162E49" w:rsidP="00162E49">
      <w:pPr>
        <w:pStyle w:val="GesAbsatz"/>
        <w:rPr>
          <w:rFonts w:cs="Arial"/>
        </w:rPr>
      </w:pPr>
      <w:r w:rsidRPr="00162E49">
        <w:rPr>
          <w:rFonts w:cs="Arial"/>
        </w:rPr>
        <w:t>Als Endpunkt gilt der Schnittpunkt der Tangenten, die man an die beiden Äste der Potentialkurve legt. Eine gelegentlich zu beobachtende Verflachung des Potentialsprungs lässt sich durch Rein</w:t>
      </w:r>
      <w:r w:rsidRPr="00162E49">
        <w:rPr>
          <w:rFonts w:cs="Arial"/>
        </w:rPr>
        <w:t>i</w:t>
      </w:r>
      <w:r w:rsidRPr="00162E49">
        <w:rPr>
          <w:rFonts w:cs="Arial"/>
        </w:rPr>
        <w:t xml:space="preserve">gen der Platin-Elektrode (durch Schleifen mit Schmirgelpapier) beheben. </w:t>
      </w:r>
    </w:p>
    <w:p w:rsidR="00162E49" w:rsidRDefault="00162E49" w:rsidP="00162E49">
      <w:pPr>
        <w:pStyle w:val="GesAbsatz"/>
        <w:rPr>
          <w:rFonts w:cs="Arial"/>
        </w:rPr>
      </w:pPr>
      <w:r w:rsidRPr="00162E49">
        <w:rPr>
          <w:rFonts w:cs="Arial"/>
        </w:rPr>
        <w:t xml:space="preserve">3.3.5. Blindversuch </w:t>
      </w:r>
    </w:p>
    <w:p w:rsidR="00162E49" w:rsidRDefault="00162E49" w:rsidP="00162E49">
      <w:pPr>
        <w:pStyle w:val="GesAbsatz"/>
        <w:rPr>
          <w:rFonts w:cs="Arial"/>
        </w:rPr>
      </w:pPr>
      <w:r w:rsidRPr="00162E49">
        <w:rPr>
          <w:rFonts w:cs="Arial"/>
        </w:rPr>
        <w:t xml:space="preserve">Parallel zu den eigentlichen Bestimmungen läuft ein Blindversuch mit, bei dem 5 ml Methanol und 40 ml Wasser eingesetzt und nach 3.3.2 weiterverarbeitet werden. Der Verbrauch im Blindversuch sollte unter 1 ml Meßlösung liegen, andernfalls bestehen Zweifel über die Reinheit der Reagenzien (3.2.3 - 3.2.7 - 3.2.8 - 3.2.9 - </w:t>
      </w:r>
      <w:smartTag w:uri="urn:schemas-microsoft-com:office:smarttags" w:element="date">
        <w:smartTagPr>
          <w:attr w:name="Year" w:val="10"/>
          <w:attr w:name="Day" w:val="3"/>
          <w:attr w:name="Month" w:val="2"/>
          <w:attr w:name="ls" w:val="trans"/>
        </w:smartTagPr>
        <w:r w:rsidRPr="00162E49">
          <w:rPr>
            <w:rFonts w:cs="Arial"/>
          </w:rPr>
          <w:t>3.2.10</w:t>
        </w:r>
      </w:smartTag>
      <w:r w:rsidRPr="00162E49">
        <w:rPr>
          <w:rFonts w:cs="Arial"/>
        </w:rPr>
        <w:t xml:space="preserve">), insbesondere durch ihren Gehalt an </w:t>
      </w:r>
      <w:proofErr w:type="gramStart"/>
      <w:r w:rsidRPr="00162E49">
        <w:rPr>
          <w:rFonts w:cs="Arial"/>
        </w:rPr>
        <w:t>Schwermetallen ;</w:t>
      </w:r>
      <w:proofErr w:type="gramEnd"/>
      <w:r w:rsidRPr="00162E49">
        <w:rPr>
          <w:rFonts w:cs="Arial"/>
        </w:rPr>
        <w:t xml:space="preserve"> in di</w:t>
      </w:r>
      <w:r w:rsidRPr="00162E49">
        <w:rPr>
          <w:rFonts w:cs="Arial"/>
        </w:rPr>
        <w:t>e</w:t>
      </w:r>
      <w:r w:rsidRPr="00162E49">
        <w:rPr>
          <w:rFonts w:cs="Arial"/>
        </w:rPr>
        <w:t>sem Fall sind die Reagenzien neu anzusetzen und die Bestimmungen zu wiederholen. Das Ergebnis des Blindversuchs ist bei der Berec</w:t>
      </w:r>
      <w:r w:rsidRPr="00162E49">
        <w:rPr>
          <w:rFonts w:cs="Arial"/>
        </w:rPr>
        <w:t>h</w:t>
      </w:r>
      <w:r w:rsidRPr="00162E49">
        <w:rPr>
          <w:rFonts w:cs="Arial"/>
        </w:rPr>
        <w:t xml:space="preserve">nung zu berücksichtigen. </w:t>
      </w:r>
    </w:p>
    <w:p w:rsidR="00162E49" w:rsidRDefault="00162E49" w:rsidP="00162E49">
      <w:pPr>
        <w:pStyle w:val="GesAbsatz"/>
        <w:rPr>
          <w:rFonts w:cs="Arial"/>
        </w:rPr>
      </w:pPr>
      <w:r w:rsidRPr="00162E49">
        <w:rPr>
          <w:rFonts w:cs="Arial"/>
        </w:rPr>
        <w:t xml:space="preserve">3.3.6. Kontrolle des Faktors der Carbatlösung </w:t>
      </w:r>
    </w:p>
    <w:p w:rsidR="00162E49" w:rsidRDefault="00162E49" w:rsidP="00162E49">
      <w:pPr>
        <w:pStyle w:val="GesAbsatz"/>
        <w:rPr>
          <w:rFonts w:cs="Arial"/>
        </w:rPr>
      </w:pPr>
      <w:r w:rsidRPr="00162E49">
        <w:rPr>
          <w:rFonts w:cs="Arial"/>
        </w:rPr>
        <w:t>Der Faktor der Carbatlösung wird bei Verwendung täglich bestimmt. Hierzu werden 10 ml der Ku</w:t>
      </w:r>
      <w:r w:rsidRPr="00162E49">
        <w:rPr>
          <w:rFonts w:cs="Arial"/>
        </w:rPr>
        <w:t>p</w:t>
      </w:r>
      <w:r w:rsidRPr="00162E49">
        <w:rPr>
          <w:rFonts w:cs="Arial"/>
        </w:rPr>
        <w:t>fersulfat-Eichlösung (</w:t>
      </w:r>
      <w:smartTag w:uri="urn:schemas-microsoft-com:office:smarttags" w:element="date">
        <w:smartTagPr>
          <w:attr w:name="Year" w:val="12"/>
          <w:attr w:name="Day" w:val="3"/>
          <w:attr w:name="Month" w:val="2"/>
          <w:attr w:name="ls" w:val="trans"/>
        </w:smartTagPr>
        <w:r w:rsidRPr="00162E49">
          <w:rPr>
            <w:rFonts w:cs="Arial"/>
          </w:rPr>
          <w:t>3.2.12</w:t>
        </w:r>
      </w:smartTag>
      <w:r w:rsidRPr="00162E49">
        <w:rPr>
          <w:rFonts w:cs="Arial"/>
        </w:rPr>
        <w:t>) mit Carbatlösung nach Zugabe von 100 ml Wasser und 10 ml Standardacetatpuffer (</w:t>
      </w:r>
      <w:smartTag w:uri="urn:schemas-microsoft-com:office:smarttags" w:element="date">
        <w:smartTagPr>
          <w:attr w:name="Year" w:val="10"/>
          <w:attr w:name="Day" w:val="3"/>
          <w:attr w:name="Month" w:val="2"/>
          <w:attr w:name="ls" w:val="trans"/>
        </w:smartTagPr>
        <w:r w:rsidRPr="00162E49">
          <w:rPr>
            <w:rFonts w:cs="Arial"/>
          </w:rPr>
          <w:t>3.2.10</w:t>
        </w:r>
      </w:smartTag>
      <w:r w:rsidRPr="00162E49">
        <w:rPr>
          <w:rFonts w:cs="Arial"/>
        </w:rPr>
        <w:t>) titriert. Beträgt die verbrauchte Me</w:t>
      </w:r>
      <w:r w:rsidRPr="00162E49">
        <w:rPr>
          <w:rFonts w:cs="Arial"/>
        </w:rPr>
        <w:t>n</w:t>
      </w:r>
      <w:r w:rsidRPr="00162E49">
        <w:rPr>
          <w:rFonts w:cs="Arial"/>
        </w:rPr>
        <w:t xml:space="preserve">ge "a" ml, so errechnet sich der Faktor "f" wie folgt: </w:t>
      </w:r>
    </w:p>
    <w:p w:rsidR="00162E49" w:rsidRDefault="00162E49" w:rsidP="00162E49">
      <w:pPr>
        <w:pStyle w:val="GesAbsatz"/>
        <w:tabs>
          <w:tab w:val="clear" w:pos="425"/>
        </w:tabs>
        <w:ind w:left="709" w:hanging="709"/>
      </w:pPr>
      <w:r>
        <w:tab/>
        <w:t xml:space="preserve">f = </w:t>
      </w:r>
      <w:r>
        <w:rPr>
          <w:position w:val="-66"/>
        </w:rPr>
        <w:object w:dxaOrig="3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52.2pt" o:ole="">
            <v:imagedata r:id="rId8" o:title=""/>
          </v:shape>
          <o:OLEObject Type="Embed" ProgID="Equation.2" ShapeID="_x0000_i1025" DrawAspect="Content" ObjectID="_1539086554" r:id="rId9"/>
        </w:object>
      </w:r>
    </w:p>
    <w:p w:rsidR="005E3DDC" w:rsidRPr="00162E49" w:rsidRDefault="00162E49" w:rsidP="00162E49">
      <w:pPr>
        <w:pStyle w:val="GesAbsatz"/>
        <w:rPr>
          <w:rFonts w:cs="Arial"/>
        </w:rPr>
      </w:pPr>
      <w:r w:rsidRPr="00162E49">
        <w:rPr>
          <w:rFonts w:cs="Arial"/>
        </w:rPr>
        <w:t>mit diesem Faktor sind die Titrationsergebnisse zu multiplizieren.</w:t>
      </w:r>
    </w:p>
    <w:p w:rsidR="002648E9" w:rsidRDefault="002648E9">
      <w:pPr>
        <w:pStyle w:val="GesAbsatz"/>
      </w:pPr>
      <w:r>
        <w:t>3.4.</w:t>
      </w:r>
      <w:r w:rsidR="00162E49">
        <w:t xml:space="preserve"> </w:t>
      </w:r>
      <w:r>
        <w:t>Berechnung der Ergebnisse</w:t>
      </w:r>
    </w:p>
    <w:p w:rsidR="002648E9" w:rsidRPr="00162E49" w:rsidRDefault="00162E49" w:rsidP="00162E49">
      <w:pPr>
        <w:pStyle w:val="GesAbsatz"/>
        <w:tabs>
          <w:tab w:val="clear" w:pos="425"/>
        </w:tabs>
        <w:rPr>
          <w:rFonts w:cs="Arial"/>
        </w:rPr>
      </w:pPr>
      <w:r w:rsidRPr="00162E49">
        <w:rPr>
          <w:rFonts w:cs="Arial"/>
        </w:rPr>
        <w:t>Jedes nichtionische Tensid hat einen von seiner Zusammensetzung, insbesondere von der Lä</w:t>
      </w:r>
      <w:r w:rsidRPr="00162E49">
        <w:rPr>
          <w:rFonts w:cs="Arial"/>
        </w:rPr>
        <w:t>n</w:t>
      </w:r>
      <w:r w:rsidRPr="00162E49">
        <w:rPr>
          <w:rFonts w:cs="Arial"/>
        </w:rPr>
        <w:t>ge seiner Alkenoxidkette abhängigen Eichfaktor. Die Konzentrationen an nichtionischen Tensiden werden im Verhäl</w:t>
      </w:r>
      <w:r w:rsidRPr="00162E49">
        <w:rPr>
          <w:rFonts w:cs="Arial"/>
        </w:rPr>
        <w:t>t</w:t>
      </w:r>
      <w:r w:rsidRPr="00162E49">
        <w:rPr>
          <w:rFonts w:cs="Arial"/>
        </w:rPr>
        <w:t xml:space="preserve">nis zu einer Referenzsubstanz </w:t>
      </w:r>
      <w:proofErr w:type="gramStart"/>
      <w:r w:rsidRPr="00162E49">
        <w:rPr>
          <w:rFonts w:cs="Arial"/>
        </w:rPr>
        <w:t>ausgedrückt :</w:t>
      </w:r>
      <w:proofErr w:type="gramEnd"/>
      <w:r w:rsidRPr="00162E49">
        <w:rPr>
          <w:rFonts w:cs="Arial"/>
        </w:rPr>
        <w:t xml:space="preserve"> diese ist ein Nonylphenol mit 10 Ethylenoxid-Einheiten (NP 10). Der Umrechnungsfaktor hierfür ist gleich 0,054.</w:t>
      </w:r>
    </w:p>
    <w:p w:rsidR="002648E9" w:rsidRDefault="002648E9">
      <w:pPr>
        <w:pStyle w:val="GesAbsatz"/>
        <w:tabs>
          <w:tab w:val="clear" w:pos="425"/>
        </w:tabs>
        <w:ind w:left="426" w:hanging="426"/>
      </w:pPr>
      <w:r>
        <w:t>Die Menge des in der Probe vorhandenen Tensides läßt sich mit Hilfe dieses Faktors wie folgt berechnen:</w:t>
      </w:r>
    </w:p>
    <w:p w:rsidR="002648E9" w:rsidRDefault="002648E9">
      <w:pPr>
        <w:pStyle w:val="GesAbsatz"/>
        <w:tabs>
          <w:tab w:val="clear" w:pos="425"/>
        </w:tabs>
        <w:ind w:left="426" w:hanging="426"/>
      </w:pPr>
      <w:r>
        <w:tab/>
        <w:t xml:space="preserve">(b-c) </w:t>
      </w:r>
      <w:r>
        <w:sym w:font="Symbol" w:char="F0B7"/>
      </w:r>
      <w:r>
        <w:t xml:space="preserve">f </w:t>
      </w:r>
      <w:r>
        <w:sym w:font="Symbol" w:char="F0B7"/>
      </w:r>
      <w:r>
        <w:t xml:space="preserve"> 0</w:t>
      </w:r>
      <w:r w:rsidR="00162E49">
        <w:t>,</w:t>
      </w:r>
      <w:r>
        <w:t>054 = mg nichtionische Tenside als NP 10;</w:t>
      </w:r>
    </w:p>
    <w:p w:rsidR="002648E9" w:rsidRDefault="002648E9">
      <w:pPr>
        <w:pStyle w:val="GesAbsatz"/>
        <w:tabs>
          <w:tab w:val="clear" w:pos="425"/>
        </w:tabs>
        <w:ind w:left="426" w:hanging="426"/>
      </w:pPr>
      <w:r>
        <w:tab/>
        <w:t>hierbei ist:</w:t>
      </w:r>
    </w:p>
    <w:p w:rsidR="002648E9" w:rsidRDefault="002648E9">
      <w:pPr>
        <w:pStyle w:val="GesAbsatz"/>
        <w:tabs>
          <w:tab w:val="clear" w:pos="425"/>
          <w:tab w:val="left" w:pos="426"/>
          <w:tab w:val="left" w:pos="709"/>
        </w:tabs>
        <w:ind w:left="993" w:hanging="993"/>
      </w:pPr>
      <w:r>
        <w:tab/>
        <w:t>b</w:t>
      </w:r>
      <w:r>
        <w:tab/>
        <w:t>=</w:t>
      </w:r>
      <w:r>
        <w:tab/>
        <w:t>der Verbrauch an Carbatlösung der Probe in ml,</w:t>
      </w:r>
    </w:p>
    <w:p w:rsidR="002648E9" w:rsidRDefault="002648E9">
      <w:pPr>
        <w:pStyle w:val="GesAbsatz"/>
        <w:tabs>
          <w:tab w:val="clear" w:pos="425"/>
          <w:tab w:val="left" w:pos="426"/>
          <w:tab w:val="left" w:pos="709"/>
        </w:tabs>
        <w:ind w:left="993" w:hanging="993"/>
      </w:pPr>
      <w:r>
        <w:tab/>
        <w:t>c</w:t>
      </w:r>
      <w:r>
        <w:tab/>
        <w:t>=</w:t>
      </w:r>
      <w:r>
        <w:tab/>
        <w:t>der Verbrauch an Carbatlösung des Blindversuches in ml,</w:t>
      </w:r>
    </w:p>
    <w:p w:rsidR="002648E9" w:rsidRDefault="002648E9">
      <w:pPr>
        <w:pStyle w:val="GesAbsatz"/>
        <w:tabs>
          <w:tab w:val="clear" w:pos="425"/>
          <w:tab w:val="left" w:pos="426"/>
          <w:tab w:val="left" w:pos="709"/>
        </w:tabs>
        <w:ind w:left="993" w:hanging="993"/>
      </w:pPr>
      <w:r>
        <w:tab/>
        <w:t>f</w:t>
      </w:r>
      <w:r>
        <w:tab/>
        <w:t>=</w:t>
      </w:r>
      <w:r>
        <w:tab/>
        <w:t>der Faktor der Carbatlösung.</w:t>
      </w:r>
    </w:p>
    <w:p w:rsidR="002648E9" w:rsidRDefault="002648E9">
      <w:pPr>
        <w:pStyle w:val="GesAbsatz"/>
        <w:tabs>
          <w:tab w:val="clear" w:pos="425"/>
        </w:tabs>
        <w:ind w:left="426" w:hanging="426"/>
      </w:pPr>
      <w:r>
        <w:t>3.5.</w:t>
      </w:r>
      <w:r w:rsidR="00162E49">
        <w:t xml:space="preserve"> </w:t>
      </w:r>
      <w:r>
        <w:t>Angabe der Ergebnisse</w:t>
      </w:r>
    </w:p>
    <w:p w:rsidR="002648E9" w:rsidRDefault="002648E9">
      <w:pPr>
        <w:pStyle w:val="GesAbsatz"/>
        <w:tabs>
          <w:tab w:val="clear" w:pos="425"/>
          <w:tab w:val="left" w:pos="426"/>
        </w:tabs>
      </w:pPr>
      <w:r>
        <w:lastRenderedPageBreak/>
        <w:t>Die Ergebnisse sind in mg/l als NP 10 auf 0,1 genau anzugeben.</w:t>
      </w:r>
    </w:p>
    <w:p w:rsidR="002648E9" w:rsidRDefault="002648E9">
      <w:pPr>
        <w:pStyle w:val="GesAbsatz"/>
        <w:tabs>
          <w:tab w:val="clear" w:pos="425"/>
          <w:tab w:val="left" w:pos="426"/>
        </w:tabs>
      </w:pPr>
      <w:r>
        <w:br w:type="page"/>
      </w:r>
      <w:r w:rsidR="001F2E07">
        <w:rPr>
          <w:noProof/>
        </w:rPr>
        <w:lastRenderedPageBreak/>
        <w:drawing>
          <wp:inline distT="0" distB="0" distL="0" distR="0" wp14:anchorId="6069B472" wp14:editId="523C666F">
            <wp:extent cx="6111240" cy="43891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1240" cy="4389120"/>
                    </a:xfrm>
                    <a:prstGeom prst="rect">
                      <a:avLst/>
                    </a:prstGeom>
                    <a:noFill/>
                    <a:ln>
                      <a:noFill/>
                    </a:ln>
                  </pic:spPr>
                </pic:pic>
              </a:graphicData>
            </a:graphic>
          </wp:inline>
        </w:drawing>
      </w:r>
    </w:p>
    <w:p w:rsidR="002648E9" w:rsidRDefault="002648E9">
      <w:pPr>
        <w:pStyle w:val="GesAbsatz"/>
        <w:tabs>
          <w:tab w:val="clear" w:pos="425"/>
          <w:tab w:val="left" w:pos="426"/>
        </w:tabs>
        <w:jc w:val="center"/>
      </w:pPr>
      <w:r>
        <w:t>Abbildung 1</w:t>
      </w:r>
    </w:p>
    <w:p w:rsidR="002648E9" w:rsidRDefault="002648E9">
      <w:pPr>
        <w:pStyle w:val="GesAbsatz"/>
        <w:tabs>
          <w:tab w:val="clear" w:pos="425"/>
          <w:tab w:val="left" w:pos="426"/>
        </w:tabs>
      </w:pPr>
      <w:r>
        <w:t>A. Vorratsgefäß</w:t>
      </w:r>
    </w:p>
    <w:p w:rsidR="002648E9" w:rsidRDefault="002648E9">
      <w:pPr>
        <w:pStyle w:val="GesAbsatz"/>
        <w:tabs>
          <w:tab w:val="clear" w:pos="425"/>
          <w:tab w:val="left" w:pos="426"/>
        </w:tabs>
      </w:pPr>
      <w:r>
        <w:t>B. Dosierpumpe</w:t>
      </w:r>
    </w:p>
    <w:p w:rsidR="002648E9" w:rsidRDefault="002648E9">
      <w:pPr>
        <w:pStyle w:val="GesAbsatz"/>
        <w:tabs>
          <w:tab w:val="clear" w:pos="425"/>
          <w:tab w:val="left" w:pos="426"/>
        </w:tabs>
      </w:pPr>
      <w:r>
        <w:t>C. Belüftungsgefäß (Inhalt 3 l)</w:t>
      </w:r>
    </w:p>
    <w:p w:rsidR="002648E9" w:rsidRDefault="002648E9">
      <w:pPr>
        <w:pStyle w:val="GesAbsatz"/>
        <w:tabs>
          <w:tab w:val="clear" w:pos="425"/>
          <w:tab w:val="left" w:pos="426"/>
        </w:tabs>
      </w:pPr>
      <w:r>
        <w:t>D. Absetzgefäß</w:t>
      </w:r>
    </w:p>
    <w:p w:rsidR="002648E9" w:rsidRDefault="002648E9">
      <w:pPr>
        <w:pStyle w:val="GesAbsatz"/>
        <w:tabs>
          <w:tab w:val="clear" w:pos="425"/>
          <w:tab w:val="left" w:pos="426"/>
        </w:tabs>
      </w:pPr>
      <w:r>
        <w:t>E. Druckluftpumpe</w:t>
      </w:r>
    </w:p>
    <w:p w:rsidR="002648E9" w:rsidRDefault="002648E9">
      <w:pPr>
        <w:pStyle w:val="GesAbsatz"/>
        <w:tabs>
          <w:tab w:val="clear" w:pos="425"/>
          <w:tab w:val="left" w:pos="426"/>
        </w:tabs>
      </w:pPr>
      <w:r>
        <w:t>F. Sammelgefäß</w:t>
      </w:r>
    </w:p>
    <w:p w:rsidR="002648E9" w:rsidRDefault="002648E9">
      <w:pPr>
        <w:pStyle w:val="GesAbsatz"/>
        <w:tabs>
          <w:tab w:val="clear" w:pos="425"/>
          <w:tab w:val="left" w:pos="426"/>
        </w:tabs>
      </w:pPr>
      <w:r>
        <w:t>G. Glasfilterfritte</w:t>
      </w:r>
    </w:p>
    <w:p w:rsidR="002648E9" w:rsidRDefault="002648E9">
      <w:pPr>
        <w:pStyle w:val="GesAbsatz"/>
        <w:tabs>
          <w:tab w:val="clear" w:pos="425"/>
          <w:tab w:val="left" w:pos="426"/>
        </w:tabs>
      </w:pPr>
      <w:r>
        <w:t>H. Luftmengenmesser</w:t>
      </w:r>
    </w:p>
    <w:p w:rsidR="002648E9" w:rsidRDefault="002648E9">
      <w:pPr>
        <w:pStyle w:val="GesAbsatz"/>
        <w:tabs>
          <w:tab w:val="clear" w:pos="425"/>
          <w:tab w:val="left" w:pos="426"/>
        </w:tabs>
        <w:jc w:val="center"/>
      </w:pPr>
      <w:r>
        <w:br w:type="page"/>
      </w:r>
      <w:r w:rsidR="001F2E07">
        <w:rPr>
          <w:noProof/>
        </w:rPr>
        <w:lastRenderedPageBreak/>
        <w:drawing>
          <wp:inline distT="0" distB="0" distL="0" distR="0" wp14:anchorId="7232952D" wp14:editId="1991CBEC">
            <wp:extent cx="6050280" cy="92430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0280" cy="9243060"/>
                    </a:xfrm>
                    <a:prstGeom prst="rect">
                      <a:avLst/>
                    </a:prstGeom>
                    <a:noFill/>
                    <a:ln>
                      <a:noFill/>
                    </a:ln>
                  </pic:spPr>
                </pic:pic>
              </a:graphicData>
            </a:graphic>
          </wp:inline>
        </w:drawing>
      </w:r>
      <w:r>
        <w:br w:type="page"/>
      </w:r>
      <w:r w:rsidR="001F2E07">
        <w:rPr>
          <w:noProof/>
        </w:rPr>
        <w:lastRenderedPageBreak/>
        <w:drawing>
          <wp:inline distT="0" distB="0" distL="0" distR="0" wp14:anchorId="0948D7DB" wp14:editId="4A8DAC19">
            <wp:extent cx="4640580" cy="87630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0580" cy="8763000"/>
                    </a:xfrm>
                    <a:prstGeom prst="rect">
                      <a:avLst/>
                    </a:prstGeom>
                    <a:noFill/>
                    <a:ln>
                      <a:noFill/>
                    </a:ln>
                  </pic:spPr>
                </pic:pic>
              </a:graphicData>
            </a:graphic>
          </wp:inline>
        </w:drawing>
      </w:r>
    </w:p>
    <w:p w:rsidR="002648E9" w:rsidRDefault="002648E9">
      <w:pPr>
        <w:pStyle w:val="GesAbsatz"/>
        <w:tabs>
          <w:tab w:val="clear" w:pos="425"/>
          <w:tab w:val="left" w:pos="426"/>
        </w:tabs>
        <w:jc w:val="center"/>
      </w:pPr>
      <w:r>
        <w:t>Berechnung der biologischen Abbaubarkeit - Bestätigungstest</w:t>
      </w:r>
      <w:r>
        <w:br w:type="page"/>
      </w:r>
      <w:r w:rsidR="001F2E07">
        <w:rPr>
          <w:noProof/>
        </w:rPr>
        <w:lastRenderedPageBreak/>
        <w:drawing>
          <wp:inline distT="0" distB="0" distL="0" distR="0" wp14:anchorId="3810161F" wp14:editId="5C2D7156">
            <wp:extent cx="4244340" cy="870204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4340" cy="8702040"/>
                    </a:xfrm>
                    <a:prstGeom prst="rect">
                      <a:avLst/>
                    </a:prstGeom>
                    <a:noFill/>
                    <a:ln>
                      <a:noFill/>
                    </a:ln>
                  </pic:spPr>
                </pic:pic>
              </a:graphicData>
            </a:graphic>
          </wp:inline>
        </w:drawing>
      </w:r>
    </w:p>
    <w:p w:rsidR="002648E9" w:rsidRDefault="002648E9">
      <w:pPr>
        <w:pStyle w:val="GesAbsatz"/>
        <w:tabs>
          <w:tab w:val="clear" w:pos="425"/>
          <w:tab w:val="left" w:pos="426"/>
        </w:tabs>
        <w:jc w:val="center"/>
      </w:pPr>
      <w:r>
        <w:t>Beheizte Austauschersäule</w:t>
      </w:r>
    </w:p>
    <w:p w:rsidR="002648E9" w:rsidRDefault="002648E9">
      <w:pPr>
        <w:pStyle w:val="GesAbsatz"/>
        <w:tabs>
          <w:tab w:val="clear" w:pos="425"/>
          <w:tab w:val="left" w:pos="426"/>
        </w:tabs>
        <w:jc w:val="center"/>
      </w:pPr>
      <w:r>
        <w:t>(Alle Abmessungen in mm)</w:t>
      </w:r>
      <w:r>
        <w:br w:type="page"/>
      </w:r>
      <w:r w:rsidR="001F2E07">
        <w:rPr>
          <w:noProof/>
        </w:rPr>
        <w:lastRenderedPageBreak/>
        <w:drawing>
          <wp:inline distT="0" distB="0" distL="0" distR="0" wp14:anchorId="5661D46C" wp14:editId="021F0775">
            <wp:extent cx="6080760" cy="85039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0760" cy="8503920"/>
                    </a:xfrm>
                    <a:prstGeom prst="rect">
                      <a:avLst/>
                    </a:prstGeom>
                    <a:noFill/>
                    <a:ln>
                      <a:noFill/>
                    </a:ln>
                  </pic:spPr>
                </pic:pic>
              </a:graphicData>
            </a:graphic>
          </wp:inline>
        </w:drawing>
      </w:r>
    </w:p>
    <w:p w:rsidR="002648E9" w:rsidRDefault="002648E9">
      <w:pPr>
        <w:pStyle w:val="GesAbsatz"/>
        <w:tabs>
          <w:tab w:val="clear" w:pos="425"/>
          <w:tab w:val="left" w:pos="426"/>
        </w:tabs>
        <w:jc w:val="center"/>
      </w:pPr>
      <w:r>
        <w:t>Tensid-Ausblasegerät</w:t>
      </w:r>
    </w:p>
    <w:p w:rsidR="002648E9" w:rsidRDefault="002648E9">
      <w:pPr>
        <w:pStyle w:val="GesAbsatz"/>
        <w:tabs>
          <w:tab w:val="clear" w:pos="425"/>
          <w:tab w:val="left" w:pos="426"/>
        </w:tabs>
        <w:jc w:val="center"/>
      </w:pPr>
      <w:r>
        <w:t>(Alle Abmessungen in mm)</w:t>
      </w:r>
    </w:p>
    <w:sectPr w:rsidR="002648E9">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FF" w:rsidRDefault="001D1CFF">
      <w:r>
        <w:separator/>
      </w:r>
    </w:p>
  </w:endnote>
  <w:endnote w:type="continuationSeparator" w:id="0">
    <w:p w:rsidR="001D1CFF" w:rsidRDefault="001D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73" w:rsidRDefault="00412A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12A73" w:rsidRDefault="00412A7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73" w:rsidRDefault="00412A73" w:rsidP="00094CF6">
    <w:pPr>
      <w:pStyle w:val="Fuzeile"/>
      <w:ind w:right="-1"/>
    </w:pPr>
    <w:r>
      <w:tab/>
      <w:t>Stand 31.</w:t>
    </w:r>
    <w:r w:rsidR="001F2E07">
      <w:t>0</w:t>
    </w:r>
    <w:r>
      <w:t>3.1982 (ABl. L 109 vom 22.</w:t>
    </w:r>
    <w:r w:rsidR="001F2E07">
      <w:t>0</w:t>
    </w:r>
    <w:r>
      <w:t>4.</w:t>
    </w:r>
    <w:r w:rsidR="001F2E07">
      <w:t>19</w:t>
    </w:r>
    <w:r>
      <w:t>82 S. 1)</w:t>
    </w:r>
    <w:r>
      <w:tab/>
    </w:r>
    <w:r w:rsidRPr="00094CF6">
      <w:rPr>
        <w:szCs w:val="16"/>
      </w:rPr>
      <w:t xml:space="preserve">Seite </w:t>
    </w:r>
    <w:r w:rsidRPr="00094CF6">
      <w:rPr>
        <w:szCs w:val="16"/>
      </w:rPr>
      <w:fldChar w:fldCharType="begin"/>
    </w:r>
    <w:r w:rsidRPr="00094CF6">
      <w:rPr>
        <w:szCs w:val="16"/>
      </w:rPr>
      <w:instrText xml:space="preserve"> PAGE  \* MERGEFORMAT </w:instrText>
    </w:r>
    <w:r w:rsidRPr="00094CF6">
      <w:rPr>
        <w:szCs w:val="16"/>
      </w:rPr>
      <w:fldChar w:fldCharType="separate"/>
    </w:r>
    <w:r w:rsidR="0004694E">
      <w:rPr>
        <w:noProof/>
        <w:szCs w:val="16"/>
      </w:rPr>
      <w:t>1</w:t>
    </w:r>
    <w:r w:rsidRPr="00094CF6">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FF" w:rsidRDefault="001D1CFF">
      <w:r>
        <w:separator/>
      </w:r>
    </w:p>
  </w:footnote>
  <w:footnote w:type="continuationSeparator" w:id="0">
    <w:p w:rsidR="001D1CFF" w:rsidRDefault="001D1CFF">
      <w:r>
        <w:continuationSeparator/>
      </w:r>
    </w:p>
  </w:footnote>
  <w:footnote w:id="1">
    <w:p w:rsidR="00412A73" w:rsidRPr="00094CF6" w:rsidRDefault="00412A73">
      <w:pPr>
        <w:pStyle w:val="Funotentext"/>
        <w:rPr>
          <w:szCs w:val="16"/>
        </w:rPr>
      </w:pPr>
      <w:r w:rsidRPr="00094CF6">
        <w:rPr>
          <w:rStyle w:val="Funotenzeichen"/>
          <w:sz w:val="16"/>
          <w:szCs w:val="16"/>
        </w:rPr>
        <w:footnoteRef/>
      </w:r>
      <w:r w:rsidRPr="00094CF6">
        <w:rPr>
          <w:szCs w:val="16"/>
        </w:rPr>
        <w:t xml:space="preserve"> </w:t>
      </w:r>
      <w:proofErr w:type="spellStart"/>
      <w:r w:rsidRPr="00094CF6">
        <w:rPr>
          <w:szCs w:val="16"/>
        </w:rPr>
        <w:t>ABl.Nr</w:t>
      </w:r>
      <w:proofErr w:type="spellEnd"/>
      <w:r w:rsidRPr="00094CF6">
        <w:rPr>
          <w:szCs w:val="16"/>
        </w:rPr>
        <w:t xml:space="preserve">. C 104 vom </w:t>
      </w:r>
      <w:smartTag w:uri="urn:schemas-microsoft-com:office:smarttags" w:element="date">
        <w:smartTagPr>
          <w:attr w:name="Year" w:val="1980"/>
          <w:attr w:name="Day" w:val="28"/>
          <w:attr w:name="Month" w:val="4"/>
          <w:attr w:name="ls" w:val="trans"/>
        </w:smartTagPr>
        <w:r w:rsidRPr="00094CF6">
          <w:rPr>
            <w:szCs w:val="16"/>
          </w:rPr>
          <w:t>28.4.1980</w:t>
        </w:r>
      </w:smartTag>
      <w:r w:rsidRPr="00094CF6">
        <w:rPr>
          <w:szCs w:val="16"/>
        </w:rPr>
        <w:t>, S. 112</w:t>
      </w:r>
      <w:r>
        <w:rPr>
          <w:szCs w:val="16"/>
        </w:rPr>
        <w:t>.</w:t>
      </w:r>
    </w:p>
  </w:footnote>
  <w:footnote w:id="2">
    <w:p w:rsidR="00412A73" w:rsidRPr="00094CF6" w:rsidRDefault="00412A73">
      <w:pPr>
        <w:pStyle w:val="Funotentext"/>
        <w:rPr>
          <w:szCs w:val="16"/>
        </w:rPr>
      </w:pPr>
      <w:r w:rsidRPr="00094CF6">
        <w:rPr>
          <w:rStyle w:val="Funotenzeichen"/>
          <w:sz w:val="16"/>
          <w:szCs w:val="16"/>
        </w:rPr>
        <w:footnoteRef/>
      </w:r>
      <w:r w:rsidRPr="00094CF6">
        <w:rPr>
          <w:szCs w:val="16"/>
        </w:rPr>
        <w:t xml:space="preserve"> </w:t>
      </w:r>
      <w:proofErr w:type="spellStart"/>
      <w:r w:rsidRPr="00094CF6">
        <w:rPr>
          <w:szCs w:val="16"/>
        </w:rPr>
        <w:t>ABl.Nr</w:t>
      </w:r>
      <w:proofErr w:type="spellEnd"/>
      <w:r w:rsidRPr="00094CF6">
        <w:rPr>
          <w:szCs w:val="16"/>
        </w:rPr>
        <w:t xml:space="preserve">. C 197 vom </w:t>
      </w:r>
      <w:smartTag w:uri="urn:schemas-microsoft-com:office:smarttags" w:element="date">
        <w:smartTagPr>
          <w:attr w:name="Year" w:val="1980"/>
          <w:attr w:name="Day" w:val="4"/>
          <w:attr w:name="Month" w:val="8"/>
          <w:attr w:name="ls" w:val="trans"/>
        </w:smartTagPr>
        <w:r w:rsidRPr="00094CF6">
          <w:rPr>
            <w:szCs w:val="16"/>
          </w:rPr>
          <w:t>4.8.1980</w:t>
        </w:r>
      </w:smartTag>
      <w:r w:rsidRPr="00094CF6">
        <w:rPr>
          <w:szCs w:val="16"/>
        </w:rPr>
        <w:t>, S. 66</w:t>
      </w:r>
      <w:r>
        <w:rPr>
          <w:szCs w:val="16"/>
        </w:rPr>
        <w:t>.</w:t>
      </w:r>
    </w:p>
  </w:footnote>
  <w:footnote w:id="3">
    <w:p w:rsidR="00412A73" w:rsidRPr="00094CF6" w:rsidRDefault="00412A73">
      <w:pPr>
        <w:pStyle w:val="Funotentext"/>
        <w:rPr>
          <w:szCs w:val="16"/>
        </w:rPr>
      </w:pPr>
      <w:r w:rsidRPr="00094CF6">
        <w:rPr>
          <w:rStyle w:val="Funotenzeichen"/>
          <w:sz w:val="16"/>
          <w:szCs w:val="16"/>
        </w:rPr>
        <w:footnoteRef/>
      </w:r>
      <w:r w:rsidRPr="00094CF6">
        <w:rPr>
          <w:szCs w:val="16"/>
        </w:rPr>
        <w:t xml:space="preserve"> </w:t>
      </w:r>
      <w:proofErr w:type="spellStart"/>
      <w:r w:rsidRPr="00094CF6">
        <w:rPr>
          <w:szCs w:val="16"/>
        </w:rPr>
        <w:t>ABl.Nr</w:t>
      </w:r>
      <w:proofErr w:type="spellEnd"/>
      <w:r w:rsidRPr="00094CF6">
        <w:rPr>
          <w:szCs w:val="16"/>
        </w:rPr>
        <w:t xml:space="preserve">. C 310 vom </w:t>
      </w:r>
      <w:smartTag w:uri="urn:schemas-microsoft-com:office:smarttags" w:element="date">
        <w:smartTagPr>
          <w:attr w:name="Year" w:val="1981"/>
          <w:attr w:name="Day" w:val="30"/>
          <w:attr w:name="Month" w:val="11"/>
          <w:attr w:name="ls" w:val="trans"/>
        </w:smartTagPr>
        <w:r w:rsidRPr="00094CF6">
          <w:rPr>
            <w:szCs w:val="16"/>
          </w:rPr>
          <w:t>30.11.1981</w:t>
        </w:r>
      </w:smartTag>
      <w:r w:rsidRPr="00094CF6">
        <w:rPr>
          <w:szCs w:val="16"/>
        </w:rPr>
        <w:t>, S. 7</w:t>
      </w:r>
      <w:r>
        <w:rPr>
          <w:szCs w:val="16"/>
        </w:rPr>
        <w:t>.</w:t>
      </w:r>
    </w:p>
  </w:footnote>
  <w:footnote w:id="4">
    <w:p w:rsidR="00412A73" w:rsidRPr="00094CF6" w:rsidRDefault="00412A73">
      <w:pPr>
        <w:pStyle w:val="Funotentext"/>
        <w:rPr>
          <w:szCs w:val="16"/>
        </w:rPr>
      </w:pPr>
      <w:r w:rsidRPr="00094CF6">
        <w:rPr>
          <w:rStyle w:val="Funotenzeichen"/>
          <w:sz w:val="16"/>
          <w:szCs w:val="16"/>
        </w:rPr>
        <w:footnoteRef/>
      </w:r>
      <w:r w:rsidRPr="00094CF6">
        <w:rPr>
          <w:szCs w:val="16"/>
        </w:rPr>
        <w:t xml:space="preserve"> </w:t>
      </w:r>
      <w:proofErr w:type="spellStart"/>
      <w:r w:rsidRPr="00094CF6">
        <w:rPr>
          <w:szCs w:val="16"/>
        </w:rPr>
        <w:t>ABl.Nr</w:t>
      </w:r>
      <w:proofErr w:type="spellEnd"/>
      <w:r w:rsidRPr="00094CF6">
        <w:rPr>
          <w:szCs w:val="16"/>
        </w:rPr>
        <w:t xml:space="preserve">. L 347 vom </w:t>
      </w:r>
      <w:smartTag w:uri="urn:schemas-microsoft-com:office:smarttags" w:element="date">
        <w:smartTagPr>
          <w:attr w:name="Year" w:val="1973"/>
          <w:attr w:name="Day" w:val="17"/>
          <w:attr w:name="Month" w:val="12"/>
          <w:attr w:name="ls" w:val="trans"/>
        </w:smartTagPr>
        <w:r w:rsidRPr="00094CF6">
          <w:rPr>
            <w:szCs w:val="16"/>
          </w:rPr>
          <w:t>17.12.1973</w:t>
        </w:r>
      </w:smartTag>
      <w:r w:rsidRPr="00094CF6">
        <w:rPr>
          <w:szCs w:val="16"/>
        </w:rPr>
        <w:t>, S. 51.</w:t>
      </w:r>
    </w:p>
  </w:footnote>
  <w:footnote w:id="5">
    <w:p w:rsidR="00412A73" w:rsidRPr="00B27E12" w:rsidRDefault="00412A73">
      <w:pPr>
        <w:pStyle w:val="Funotentext"/>
        <w:rPr>
          <w:szCs w:val="16"/>
        </w:rPr>
      </w:pPr>
      <w:r w:rsidRPr="00B27E12">
        <w:rPr>
          <w:rStyle w:val="Funotenzeichen"/>
          <w:sz w:val="16"/>
          <w:szCs w:val="16"/>
        </w:rPr>
        <w:footnoteRef/>
      </w:r>
      <w:r w:rsidRPr="00B27E12">
        <w:rPr>
          <w:szCs w:val="16"/>
        </w:rPr>
        <w:t xml:space="preserve"> </w:t>
      </w:r>
      <w:proofErr w:type="spellStart"/>
      <w:r w:rsidRPr="00B27E12">
        <w:rPr>
          <w:szCs w:val="16"/>
        </w:rPr>
        <w:t>ABl.Nr</w:t>
      </w:r>
      <w:proofErr w:type="spellEnd"/>
      <w:r w:rsidRPr="00B27E12">
        <w:rPr>
          <w:szCs w:val="16"/>
        </w:rPr>
        <w:t xml:space="preserve">. L 347 vom </w:t>
      </w:r>
      <w:smartTag w:uri="urn:schemas-microsoft-com:office:smarttags" w:element="date">
        <w:smartTagPr>
          <w:attr w:name="Year" w:val="1973"/>
          <w:attr w:name="Day" w:val="17"/>
          <w:attr w:name="Month" w:val="12"/>
          <w:attr w:name="ls" w:val="trans"/>
        </w:smartTagPr>
        <w:r w:rsidRPr="00B27E12">
          <w:rPr>
            <w:szCs w:val="16"/>
          </w:rPr>
          <w:t>17.12.1973</w:t>
        </w:r>
      </w:smartTag>
      <w:r w:rsidRPr="00B27E12">
        <w:rPr>
          <w:szCs w:val="16"/>
        </w:rPr>
        <w:t>, S. 53</w:t>
      </w:r>
      <w:r>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73" w:rsidRDefault="00DD6D41" w:rsidP="001F2E07">
    <w:pPr>
      <w:pStyle w:val="Kopfzeile0"/>
    </w:pPr>
    <w:r>
      <w:t>Archiv</w:t>
    </w:r>
    <w:r w:rsidR="00412A73">
      <w:t>7</w:t>
    </w:r>
    <w:r w:rsidR="00F64EEC">
      <w:t>.</w:t>
    </w:r>
    <w:r>
      <w:t>16</w:t>
    </w:r>
  </w:p>
  <w:p w:rsidR="00412A73" w:rsidRDefault="00412A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9B"/>
    <w:rsid w:val="000215D5"/>
    <w:rsid w:val="0004694E"/>
    <w:rsid w:val="00094CF6"/>
    <w:rsid w:val="00162E49"/>
    <w:rsid w:val="0016449B"/>
    <w:rsid w:val="001D1CFF"/>
    <w:rsid w:val="001F1D13"/>
    <w:rsid w:val="001F2E07"/>
    <w:rsid w:val="002648E9"/>
    <w:rsid w:val="002E2BB5"/>
    <w:rsid w:val="00301EB2"/>
    <w:rsid w:val="00412A73"/>
    <w:rsid w:val="00440952"/>
    <w:rsid w:val="00556EB9"/>
    <w:rsid w:val="005A1A9E"/>
    <w:rsid w:val="005E3DDC"/>
    <w:rsid w:val="005F01F1"/>
    <w:rsid w:val="00847184"/>
    <w:rsid w:val="00872498"/>
    <w:rsid w:val="009B3843"/>
    <w:rsid w:val="00A321A8"/>
    <w:rsid w:val="00A953E6"/>
    <w:rsid w:val="00AF6714"/>
    <w:rsid w:val="00B27E12"/>
    <w:rsid w:val="00BB7052"/>
    <w:rsid w:val="00DD6D41"/>
    <w:rsid w:val="00F64E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2E0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F2E07"/>
    <w:pPr>
      <w:keepNext/>
      <w:spacing w:after="120"/>
      <w:jc w:val="center"/>
      <w:outlineLvl w:val="0"/>
    </w:pPr>
    <w:rPr>
      <w:b/>
      <w:kern w:val="28"/>
      <w:sz w:val="28"/>
    </w:rPr>
  </w:style>
  <w:style w:type="paragraph" w:styleId="berschrift2">
    <w:name w:val="heading 2"/>
    <w:basedOn w:val="Standard"/>
    <w:next w:val="GesAbsatz"/>
    <w:qFormat/>
    <w:rsid w:val="001F2E07"/>
    <w:pPr>
      <w:keepNext/>
      <w:spacing w:before="240"/>
      <w:jc w:val="center"/>
      <w:outlineLvl w:val="1"/>
    </w:pPr>
    <w:rPr>
      <w:b/>
      <w:sz w:val="24"/>
    </w:rPr>
  </w:style>
  <w:style w:type="paragraph" w:styleId="berschrift3">
    <w:name w:val="heading 3"/>
    <w:basedOn w:val="Standard"/>
    <w:next w:val="GesAbsatz"/>
    <w:qFormat/>
    <w:rsid w:val="001F2E07"/>
    <w:pPr>
      <w:keepNext/>
      <w:spacing w:before="240" w:after="180"/>
      <w:jc w:val="center"/>
      <w:outlineLvl w:val="2"/>
    </w:pPr>
    <w:rPr>
      <w:b/>
    </w:rPr>
  </w:style>
  <w:style w:type="paragraph" w:styleId="berschrift4">
    <w:name w:val="heading 4"/>
    <w:basedOn w:val="Standard"/>
    <w:next w:val="Standard"/>
    <w:rsid w:val="001F2E07"/>
    <w:pPr>
      <w:keepNext/>
      <w:spacing w:before="240"/>
      <w:outlineLvl w:val="3"/>
    </w:pPr>
  </w:style>
  <w:style w:type="paragraph" w:styleId="berschrift5">
    <w:name w:val="heading 5"/>
    <w:basedOn w:val="Standard"/>
    <w:next w:val="Standard"/>
    <w:rsid w:val="001F2E07"/>
    <w:pPr>
      <w:spacing w:before="120"/>
      <w:ind w:left="709" w:hanging="709"/>
      <w:outlineLvl w:val="4"/>
    </w:pPr>
  </w:style>
  <w:style w:type="character" w:default="1" w:styleId="Absatz-Standardschriftart">
    <w:name w:val="Default Paragraph Font"/>
    <w:uiPriority w:val="1"/>
    <w:semiHidden/>
    <w:unhideWhenUsed/>
    <w:rsid w:val="001F2E07"/>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1F2E07"/>
  </w:style>
  <w:style w:type="paragraph" w:styleId="Kopfzeile">
    <w:name w:val="header"/>
    <w:basedOn w:val="Standard"/>
    <w:qFormat/>
    <w:rsid w:val="001F2E07"/>
    <w:pPr>
      <w:tabs>
        <w:tab w:val="center" w:pos="4536"/>
        <w:tab w:val="right" w:pos="9072"/>
      </w:tabs>
      <w:spacing w:before="0" w:after="120"/>
      <w:jc w:val="right"/>
    </w:pPr>
  </w:style>
  <w:style w:type="paragraph" w:styleId="Fuzeile">
    <w:name w:val="footer"/>
    <w:basedOn w:val="Standard"/>
    <w:qFormat/>
    <w:rsid w:val="001F2E07"/>
    <w:pPr>
      <w:tabs>
        <w:tab w:val="clear" w:pos="425"/>
        <w:tab w:val="right" w:pos="8505"/>
        <w:tab w:val="right" w:pos="9639"/>
      </w:tabs>
      <w:spacing w:before="0" w:after="0"/>
      <w:jc w:val="left"/>
    </w:pPr>
    <w:rPr>
      <w:sz w:val="16"/>
    </w:rPr>
  </w:style>
  <w:style w:type="character" w:styleId="Seitenzahl">
    <w:name w:val="page number"/>
    <w:rsid w:val="001F2E07"/>
    <w:rPr>
      <w:rFonts w:ascii="Arial" w:hAnsi="Arial"/>
      <w:sz w:val="16"/>
    </w:rPr>
  </w:style>
  <w:style w:type="paragraph" w:styleId="Verzeichnis2">
    <w:name w:val="toc 2"/>
    <w:basedOn w:val="Standard"/>
    <w:next w:val="Standard"/>
    <w:uiPriority w:val="39"/>
    <w:rsid w:val="001F2E0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1F2E0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F2E07"/>
    <w:pPr>
      <w:spacing w:before="0" w:after="0"/>
    </w:pPr>
    <w:rPr>
      <w:sz w:val="16"/>
    </w:rPr>
  </w:style>
  <w:style w:type="paragraph" w:styleId="Verzeichnis1">
    <w:name w:val="toc 1"/>
    <w:basedOn w:val="Verzeichnis3"/>
    <w:next w:val="Standard"/>
    <w:uiPriority w:val="39"/>
    <w:rsid w:val="001F2E07"/>
    <w:pPr>
      <w:spacing w:before="120" w:after="120"/>
      <w:ind w:left="0"/>
    </w:pPr>
    <w:rPr>
      <w:b/>
      <w:i w:val="0"/>
      <w:caps/>
    </w:rPr>
  </w:style>
  <w:style w:type="paragraph" w:customStyle="1" w:styleId="GesAbsatz">
    <w:name w:val="GesAbsatz"/>
    <w:basedOn w:val="Standard"/>
    <w:qFormat/>
    <w:rsid w:val="001F2E07"/>
    <w:pPr>
      <w:spacing w:before="100"/>
    </w:pPr>
    <w:rPr>
      <w:color w:val="000000"/>
    </w:rPr>
  </w:style>
  <w:style w:type="paragraph" w:styleId="Verzeichnis4">
    <w:name w:val="toc 4"/>
    <w:basedOn w:val="Standard"/>
    <w:next w:val="Standard"/>
    <w:semiHidden/>
    <w:rsid w:val="001F2E07"/>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1F2E07"/>
    <w:rPr>
      <w:sz w:val="20"/>
      <w:szCs w:val="20"/>
      <w:vertAlign w:val="superscript"/>
    </w:rPr>
  </w:style>
  <w:style w:type="paragraph" w:styleId="Verzeichnis5">
    <w:name w:val="toc 5"/>
    <w:basedOn w:val="Standard"/>
    <w:next w:val="Standard"/>
    <w:semiHidden/>
    <w:rsid w:val="001F2E0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F2E0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F2E0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F2E0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F2E07"/>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1F2E07"/>
    <w:rPr>
      <w:color w:val="0000FF"/>
      <w:u w:val="single"/>
    </w:rPr>
  </w:style>
  <w:style w:type="paragraph" w:customStyle="1" w:styleId="Kopfzeile0">
    <w:name w:val="Kopfzeile0"/>
    <w:basedOn w:val="Standard"/>
    <w:next w:val="Kopfzeile"/>
    <w:qFormat/>
    <w:rsid w:val="001F2E07"/>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2E0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F2E07"/>
    <w:pPr>
      <w:keepNext/>
      <w:spacing w:after="120"/>
      <w:jc w:val="center"/>
      <w:outlineLvl w:val="0"/>
    </w:pPr>
    <w:rPr>
      <w:b/>
      <w:kern w:val="28"/>
      <w:sz w:val="28"/>
    </w:rPr>
  </w:style>
  <w:style w:type="paragraph" w:styleId="berschrift2">
    <w:name w:val="heading 2"/>
    <w:basedOn w:val="Standard"/>
    <w:next w:val="GesAbsatz"/>
    <w:qFormat/>
    <w:rsid w:val="001F2E07"/>
    <w:pPr>
      <w:keepNext/>
      <w:spacing w:before="240"/>
      <w:jc w:val="center"/>
      <w:outlineLvl w:val="1"/>
    </w:pPr>
    <w:rPr>
      <w:b/>
      <w:sz w:val="24"/>
    </w:rPr>
  </w:style>
  <w:style w:type="paragraph" w:styleId="berschrift3">
    <w:name w:val="heading 3"/>
    <w:basedOn w:val="Standard"/>
    <w:next w:val="GesAbsatz"/>
    <w:qFormat/>
    <w:rsid w:val="001F2E07"/>
    <w:pPr>
      <w:keepNext/>
      <w:spacing w:before="240" w:after="180"/>
      <w:jc w:val="center"/>
      <w:outlineLvl w:val="2"/>
    </w:pPr>
    <w:rPr>
      <w:b/>
    </w:rPr>
  </w:style>
  <w:style w:type="paragraph" w:styleId="berschrift4">
    <w:name w:val="heading 4"/>
    <w:basedOn w:val="Standard"/>
    <w:next w:val="Standard"/>
    <w:rsid w:val="001F2E07"/>
    <w:pPr>
      <w:keepNext/>
      <w:spacing w:before="240"/>
      <w:outlineLvl w:val="3"/>
    </w:pPr>
  </w:style>
  <w:style w:type="paragraph" w:styleId="berschrift5">
    <w:name w:val="heading 5"/>
    <w:basedOn w:val="Standard"/>
    <w:next w:val="Standard"/>
    <w:rsid w:val="001F2E07"/>
    <w:pPr>
      <w:spacing w:before="120"/>
      <w:ind w:left="709" w:hanging="709"/>
      <w:outlineLvl w:val="4"/>
    </w:pPr>
  </w:style>
  <w:style w:type="character" w:default="1" w:styleId="Absatz-Standardschriftart">
    <w:name w:val="Default Paragraph Font"/>
    <w:uiPriority w:val="1"/>
    <w:semiHidden/>
    <w:unhideWhenUsed/>
    <w:rsid w:val="001F2E07"/>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1F2E07"/>
  </w:style>
  <w:style w:type="paragraph" w:styleId="Kopfzeile">
    <w:name w:val="header"/>
    <w:basedOn w:val="Standard"/>
    <w:qFormat/>
    <w:rsid w:val="001F2E07"/>
    <w:pPr>
      <w:tabs>
        <w:tab w:val="center" w:pos="4536"/>
        <w:tab w:val="right" w:pos="9072"/>
      </w:tabs>
      <w:spacing w:before="0" w:after="120"/>
      <w:jc w:val="right"/>
    </w:pPr>
  </w:style>
  <w:style w:type="paragraph" w:styleId="Fuzeile">
    <w:name w:val="footer"/>
    <w:basedOn w:val="Standard"/>
    <w:qFormat/>
    <w:rsid w:val="001F2E07"/>
    <w:pPr>
      <w:tabs>
        <w:tab w:val="clear" w:pos="425"/>
        <w:tab w:val="right" w:pos="8505"/>
        <w:tab w:val="right" w:pos="9639"/>
      </w:tabs>
      <w:spacing w:before="0" w:after="0"/>
      <w:jc w:val="left"/>
    </w:pPr>
    <w:rPr>
      <w:sz w:val="16"/>
    </w:rPr>
  </w:style>
  <w:style w:type="character" w:styleId="Seitenzahl">
    <w:name w:val="page number"/>
    <w:rsid w:val="001F2E07"/>
    <w:rPr>
      <w:rFonts w:ascii="Arial" w:hAnsi="Arial"/>
      <w:sz w:val="16"/>
    </w:rPr>
  </w:style>
  <w:style w:type="paragraph" w:styleId="Verzeichnis2">
    <w:name w:val="toc 2"/>
    <w:basedOn w:val="Standard"/>
    <w:next w:val="Standard"/>
    <w:uiPriority w:val="39"/>
    <w:rsid w:val="001F2E07"/>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1F2E0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F2E07"/>
    <w:pPr>
      <w:spacing w:before="0" w:after="0"/>
    </w:pPr>
    <w:rPr>
      <w:sz w:val="16"/>
    </w:rPr>
  </w:style>
  <w:style w:type="paragraph" w:styleId="Verzeichnis1">
    <w:name w:val="toc 1"/>
    <w:basedOn w:val="Verzeichnis3"/>
    <w:next w:val="Standard"/>
    <w:uiPriority w:val="39"/>
    <w:rsid w:val="001F2E07"/>
    <w:pPr>
      <w:spacing w:before="120" w:after="120"/>
      <w:ind w:left="0"/>
    </w:pPr>
    <w:rPr>
      <w:b/>
      <w:i w:val="0"/>
      <w:caps/>
    </w:rPr>
  </w:style>
  <w:style w:type="paragraph" w:customStyle="1" w:styleId="GesAbsatz">
    <w:name w:val="GesAbsatz"/>
    <w:basedOn w:val="Standard"/>
    <w:qFormat/>
    <w:rsid w:val="001F2E07"/>
    <w:pPr>
      <w:spacing w:before="100"/>
    </w:pPr>
    <w:rPr>
      <w:color w:val="000000"/>
    </w:rPr>
  </w:style>
  <w:style w:type="paragraph" w:styleId="Verzeichnis4">
    <w:name w:val="toc 4"/>
    <w:basedOn w:val="Standard"/>
    <w:next w:val="Standard"/>
    <w:semiHidden/>
    <w:rsid w:val="001F2E07"/>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1F2E07"/>
    <w:rPr>
      <w:sz w:val="20"/>
      <w:szCs w:val="20"/>
      <w:vertAlign w:val="superscript"/>
    </w:rPr>
  </w:style>
  <w:style w:type="paragraph" w:styleId="Verzeichnis5">
    <w:name w:val="toc 5"/>
    <w:basedOn w:val="Standard"/>
    <w:next w:val="Standard"/>
    <w:semiHidden/>
    <w:rsid w:val="001F2E0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1F2E0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1F2E0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1F2E0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1F2E07"/>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1F2E07"/>
    <w:rPr>
      <w:color w:val="0000FF"/>
      <w:u w:val="single"/>
    </w:rPr>
  </w:style>
  <w:style w:type="paragraph" w:customStyle="1" w:styleId="Kopfzeile0">
    <w:name w:val="Kopfzeile0"/>
    <w:basedOn w:val="Standard"/>
    <w:next w:val="Kopfzeile"/>
    <w:qFormat/>
    <w:rsid w:val="001F2E07"/>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gal-content/DE/TXT/PDF/?uri=CELEX:31982L0242&amp;from=DE" TargetMode="External"/><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17</Pages>
  <Words>4948</Words>
  <Characters>32393</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Richtlinie des Rates vom 31. März 1982 zur Angleichung der Rechtsvorschriften der Mitgliedstaaten über die Methoden zur Kontrolle der biologischen Abbaubarkeit nichtionischer grenzflächenaktiver Substanzen und zur Änderung der Richtlinie 73/404/EWG (82/24</vt:lpstr>
    </vt:vector>
  </TitlesOfParts>
  <Manager>neu 12.2004</Manager>
  <Company>LANUV NRW</Company>
  <LinksUpToDate>false</LinksUpToDate>
  <CharactersWithSpaces>37267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31. März 1982 zur Angleichung der Rechtsvorschriften der Mitgliedstaaten über die Methoden zur Kontrolle der biologischen Abbaubarkeit nichtionischer grenzflächenaktiver Substanzen und zur Änderung der Richtlinie 73/404/EWG (82/24</dc:title>
  <dc:creator>LANUV NRW</dc:creator>
  <dc:description>gültig bis 8.10.2005</dc:description>
  <cp:lastModifiedBy>rueter</cp:lastModifiedBy>
  <cp:revision>4</cp:revision>
  <cp:lastPrinted>2005-10-27T08:22:00Z</cp:lastPrinted>
  <dcterms:created xsi:type="dcterms:W3CDTF">2016-10-27T13:01:00Z</dcterms:created>
  <dcterms:modified xsi:type="dcterms:W3CDTF">2016-10-27T13:16:00Z</dcterms:modified>
</cp:coreProperties>
</file>