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Vierundvierzigste Allg</w:t>
      </w:r>
      <w:bookmarkStart w:id="0" w:name="_GoBack"/>
      <w:bookmarkEnd w:id="0"/>
      <w:r>
        <w:t>emeine Verwaltungsvorschrift über Mindest-</w:t>
      </w:r>
      <w:r>
        <w:br/>
      </w:r>
      <w:proofErr w:type="spellStart"/>
      <w:r>
        <w:t>anforderungen</w:t>
      </w:r>
      <w:proofErr w:type="spellEnd"/>
      <w:r>
        <w:t xml:space="preserve"> an das Einleiten von Abwasser in Gewässer - </w:t>
      </w:r>
      <w:r>
        <w:br/>
        <w:t>Herstellung von mineralischen Düngemitteln außer Kali</w:t>
      </w:r>
    </w:p>
    <w:p>
      <w:pPr>
        <w:jc w:val="center"/>
      </w:pPr>
      <w:r>
        <w:t>vom 05.09.1984</w:t>
      </w:r>
    </w:p>
    <w:p/>
    <w:p>
      <w:r>
        <w:t>Nach § 7a Abs. 1 des Wasserhaushaltsgesetzes in der Fassung der Bekanntmachung vom 16. Oktober 1976 (BGBl. I S. 3017) wird mit Zustimmung des Bundesrates folgende allgemeine Verwaltungsvorschrift erlassen:</w:t>
      </w:r>
    </w:p>
    <w:p>
      <w:pPr>
        <w:pStyle w:val="berschrift3"/>
      </w:pPr>
      <w:r>
        <w:t>1. Anwendungsbereich:</w:t>
      </w:r>
    </w:p>
    <w:p>
      <w:pPr>
        <w:pStyle w:val="GesAbsatz"/>
      </w:pPr>
      <w:r>
        <w:t>1.1 Die allgemeine Verwaltungsvorschrift gilt für in Gewässer einzuleitendes Abwasser, dessen Schmut</w:t>
      </w:r>
      <w:r>
        <w:t>z</w:t>
      </w:r>
      <w:r>
        <w:t>fracht im Wesentlichen aus der Herstellung von mineralischen Düngemitteln stammt.</w:t>
      </w:r>
    </w:p>
    <w:p>
      <w:pPr>
        <w:pStyle w:val="GesAbsatz"/>
      </w:pPr>
      <w:r>
        <w:t>1.2 Diese allgemeine Verwaltungsvorschrift gilt nicht für das Einleiten von Abwasser</w:t>
      </w:r>
    </w:p>
    <w:p>
      <w:pPr>
        <w:pStyle w:val="GesAbsatz"/>
      </w:pPr>
      <w:r>
        <w:t>1.2.1 aus der Herstellung von Kalidüngemitteln</w:t>
      </w:r>
    </w:p>
    <w:p>
      <w:pPr>
        <w:pStyle w:val="GesAbsatz"/>
      </w:pPr>
      <w:r>
        <w:t>1.2.2 aus der Herstellung von Phosphorsäure ohne Gipsgewinnung</w:t>
      </w:r>
    </w:p>
    <w:p>
      <w:pPr>
        <w:pStyle w:val="GesAbsatz"/>
      </w:pPr>
      <w:r>
        <w:t>1.2.3 aus Kühlsystemen und aus der Betriebswasseraufbereitung</w:t>
      </w:r>
    </w:p>
    <w:p>
      <w:pPr>
        <w:pStyle w:val="berschrift3"/>
      </w:pPr>
      <w:r>
        <w:t>2. Mindestanforderungen:</w:t>
      </w:r>
    </w:p>
    <w:p>
      <w:pPr>
        <w:pStyle w:val="GesAbsatz"/>
      </w:pPr>
      <w:r>
        <w:t>2.1 An das Einleiten des Abwassers werden folgende Mindestanforderungen gestellt:</w:t>
      </w:r>
    </w:p>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709"/>
        <w:gridCol w:w="1771"/>
        <w:gridCol w:w="1771"/>
        <w:gridCol w:w="1771"/>
      </w:tblGrid>
      <w:tr>
        <w:tblPrEx>
          <w:tblCellMar>
            <w:top w:w="0" w:type="dxa"/>
            <w:bottom w:w="0" w:type="dxa"/>
          </w:tblCellMar>
        </w:tblPrEx>
        <w:tc>
          <w:tcPr>
            <w:tcW w:w="2977" w:type="dxa"/>
            <w:tcBorders>
              <w:top w:val="single" w:sz="12" w:space="0" w:color="auto"/>
              <w:left w:val="single" w:sz="12" w:space="0" w:color="auto"/>
              <w:bottom w:val="nil"/>
              <w:right w:val="nil"/>
            </w:tcBorders>
          </w:tcPr>
          <w:p>
            <w:pPr>
              <w:tabs>
                <w:tab w:val="clear" w:pos="425"/>
              </w:tabs>
              <w:jc w:val="left"/>
            </w:pPr>
          </w:p>
        </w:tc>
        <w:tc>
          <w:tcPr>
            <w:tcW w:w="709" w:type="dxa"/>
            <w:tcBorders>
              <w:top w:val="single" w:sz="12" w:space="0" w:color="auto"/>
              <w:left w:val="nil"/>
              <w:bottom w:val="nil"/>
              <w:right w:val="single" w:sz="6" w:space="0" w:color="auto"/>
            </w:tcBorders>
          </w:tcPr>
          <w:p>
            <w:pPr>
              <w:tabs>
                <w:tab w:val="clear" w:pos="425"/>
              </w:tabs>
              <w:jc w:val="center"/>
            </w:pPr>
          </w:p>
        </w:tc>
        <w:tc>
          <w:tcPr>
            <w:tcW w:w="1771" w:type="dxa"/>
            <w:tcBorders>
              <w:top w:val="single" w:sz="12" w:space="0" w:color="auto"/>
              <w:left w:val="single" w:sz="6" w:space="0" w:color="auto"/>
              <w:bottom w:val="single" w:sz="6" w:space="0" w:color="auto"/>
              <w:right w:val="single" w:sz="6" w:space="0" w:color="auto"/>
            </w:tcBorders>
          </w:tcPr>
          <w:p>
            <w:pPr>
              <w:tabs>
                <w:tab w:val="clear" w:pos="425"/>
              </w:tabs>
              <w:jc w:val="center"/>
            </w:pPr>
            <w:r>
              <w:t>Mehrnährstoff Dünger stickstof</w:t>
            </w:r>
            <w:r>
              <w:t>f</w:t>
            </w:r>
            <w:r>
              <w:t>haltig</w:t>
            </w:r>
          </w:p>
        </w:tc>
        <w:tc>
          <w:tcPr>
            <w:tcW w:w="1771" w:type="dxa"/>
            <w:tcBorders>
              <w:top w:val="single" w:sz="12" w:space="0" w:color="auto"/>
              <w:left w:val="single" w:sz="6" w:space="0" w:color="auto"/>
              <w:bottom w:val="single" w:sz="6" w:space="0" w:color="auto"/>
              <w:right w:val="single" w:sz="6" w:space="0" w:color="auto"/>
            </w:tcBorders>
          </w:tcPr>
          <w:p>
            <w:pPr>
              <w:tabs>
                <w:tab w:val="clear" w:pos="425"/>
              </w:tabs>
              <w:jc w:val="center"/>
            </w:pPr>
            <w:r>
              <w:t>Stickstoff-Einze</w:t>
            </w:r>
            <w:r>
              <w:t>l</w:t>
            </w:r>
            <w:r>
              <w:t>dünger</w:t>
            </w:r>
          </w:p>
        </w:tc>
        <w:tc>
          <w:tcPr>
            <w:tcW w:w="1771" w:type="dxa"/>
            <w:tcBorders>
              <w:top w:val="single" w:sz="12" w:space="0" w:color="auto"/>
              <w:left w:val="single" w:sz="6" w:space="0" w:color="auto"/>
              <w:bottom w:val="single" w:sz="6" w:space="0" w:color="auto"/>
              <w:right w:val="single" w:sz="12" w:space="0" w:color="auto"/>
            </w:tcBorders>
          </w:tcPr>
          <w:p>
            <w:pPr>
              <w:tabs>
                <w:tab w:val="clear" w:pos="425"/>
              </w:tabs>
              <w:jc w:val="center"/>
            </w:pPr>
            <w:r>
              <w:t>Phosphat-Dünger Phosphorsäure</w:t>
            </w:r>
          </w:p>
        </w:tc>
      </w:tr>
      <w:tr>
        <w:tblPrEx>
          <w:tblCellMar>
            <w:top w:w="0" w:type="dxa"/>
            <w:bottom w:w="0" w:type="dxa"/>
          </w:tblCellMar>
        </w:tblPrEx>
        <w:tc>
          <w:tcPr>
            <w:tcW w:w="2977" w:type="dxa"/>
            <w:tcBorders>
              <w:top w:val="nil"/>
              <w:left w:val="single" w:sz="12" w:space="0" w:color="auto"/>
              <w:bottom w:val="single" w:sz="6" w:space="0" w:color="auto"/>
              <w:right w:val="nil"/>
            </w:tcBorders>
          </w:tcPr>
          <w:p>
            <w:pPr>
              <w:tabs>
                <w:tab w:val="clear" w:pos="425"/>
              </w:tabs>
              <w:jc w:val="left"/>
            </w:pPr>
          </w:p>
        </w:tc>
        <w:tc>
          <w:tcPr>
            <w:tcW w:w="709" w:type="dxa"/>
            <w:tcBorders>
              <w:top w:val="nil"/>
              <w:left w:val="nil"/>
              <w:bottom w:val="single" w:sz="6" w:space="0" w:color="auto"/>
              <w:right w:val="single" w:sz="6" w:space="0" w:color="auto"/>
            </w:tcBorders>
          </w:tcPr>
          <w:p>
            <w:pPr>
              <w:tabs>
                <w:tab w:val="clear" w:pos="425"/>
              </w:tabs>
              <w:jc w:val="center"/>
            </w:pPr>
          </w:p>
        </w:tc>
        <w:tc>
          <w:tcPr>
            <w:tcW w:w="5313" w:type="dxa"/>
            <w:gridSpan w:val="3"/>
            <w:tcBorders>
              <w:top w:val="single" w:sz="6" w:space="0" w:color="auto"/>
              <w:left w:val="single" w:sz="6" w:space="0" w:color="auto"/>
              <w:bottom w:val="single" w:sz="6" w:space="0" w:color="auto"/>
              <w:right w:val="single" w:sz="12" w:space="0" w:color="auto"/>
            </w:tcBorders>
          </w:tcPr>
          <w:p>
            <w:pPr>
              <w:tabs>
                <w:tab w:val="clear" w:pos="425"/>
              </w:tabs>
              <w:jc w:val="center"/>
              <w:rPr>
                <w:b/>
              </w:rPr>
            </w:pPr>
            <w:r>
              <w:rPr>
                <w:b/>
              </w:rPr>
              <w:t>Stichprobe</w:t>
            </w:r>
          </w:p>
        </w:tc>
      </w:tr>
      <w:tr>
        <w:tblPrEx>
          <w:tblCellMar>
            <w:top w:w="0" w:type="dxa"/>
            <w:bottom w:w="0" w:type="dxa"/>
          </w:tblCellMar>
        </w:tblPrEx>
        <w:tc>
          <w:tcPr>
            <w:tcW w:w="2977" w:type="dxa"/>
            <w:tcBorders>
              <w:top w:val="nil"/>
              <w:left w:val="single" w:sz="12" w:space="0" w:color="auto"/>
              <w:bottom w:val="single" w:sz="6" w:space="0" w:color="auto"/>
              <w:right w:val="single" w:sz="6" w:space="0" w:color="auto"/>
            </w:tcBorders>
          </w:tcPr>
          <w:p>
            <w:pPr>
              <w:tabs>
                <w:tab w:val="clear" w:pos="425"/>
              </w:tabs>
              <w:jc w:val="left"/>
            </w:pPr>
            <w:r>
              <w:t>Absetzbare Stoffe</w:t>
            </w:r>
          </w:p>
        </w:tc>
        <w:tc>
          <w:tcPr>
            <w:tcW w:w="709" w:type="dxa"/>
            <w:tcBorders>
              <w:top w:val="nil"/>
              <w:left w:val="single" w:sz="6" w:space="0" w:color="auto"/>
              <w:bottom w:val="single" w:sz="6" w:space="0" w:color="auto"/>
              <w:right w:val="single" w:sz="6" w:space="0" w:color="auto"/>
            </w:tcBorders>
          </w:tcPr>
          <w:p>
            <w:pPr>
              <w:tabs>
                <w:tab w:val="clear" w:pos="425"/>
              </w:tabs>
              <w:jc w:val="center"/>
            </w:pPr>
            <w:r>
              <w:t>ml/l</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0,7</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0,5</w:t>
            </w:r>
          </w:p>
        </w:tc>
        <w:tc>
          <w:tcPr>
            <w:tcW w:w="1771" w:type="dxa"/>
            <w:tcBorders>
              <w:top w:val="single" w:sz="6" w:space="0" w:color="auto"/>
              <w:left w:val="single" w:sz="6" w:space="0" w:color="auto"/>
              <w:bottom w:val="single" w:sz="6" w:space="0" w:color="auto"/>
              <w:right w:val="single" w:sz="12" w:space="0" w:color="auto"/>
            </w:tcBorders>
          </w:tcPr>
          <w:p>
            <w:pPr>
              <w:tabs>
                <w:tab w:val="clear" w:pos="425"/>
              </w:tabs>
              <w:jc w:val="center"/>
            </w:pPr>
            <w:r>
              <w:t xml:space="preserve"> 0,7</w:t>
            </w:r>
          </w:p>
        </w:tc>
      </w:tr>
      <w:tr>
        <w:tblPrEx>
          <w:tblCellMar>
            <w:top w:w="0" w:type="dxa"/>
            <w:bottom w:w="0" w:type="dxa"/>
          </w:tblCellMar>
        </w:tblPrEx>
        <w:tc>
          <w:tcPr>
            <w:tcW w:w="2977" w:type="dxa"/>
            <w:tcBorders>
              <w:top w:val="single" w:sz="6" w:space="0" w:color="auto"/>
              <w:left w:val="single" w:sz="12" w:space="0" w:color="auto"/>
              <w:bottom w:val="single" w:sz="6" w:space="0" w:color="auto"/>
              <w:right w:val="single" w:sz="6" w:space="0" w:color="auto"/>
            </w:tcBorders>
          </w:tcPr>
          <w:p>
            <w:pPr>
              <w:tabs>
                <w:tab w:val="clear" w:pos="425"/>
              </w:tabs>
              <w:jc w:val="left"/>
            </w:pPr>
          </w:p>
        </w:tc>
        <w:tc>
          <w:tcPr>
            <w:tcW w:w="709" w:type="dxa"/>
            <w:tcBorders>
              <w:top w:val="single" w:sz="6" w:space="0" w:color="auto"/>
              <w:left w:val="single" w:sz="6" w:space="0" w:color="auto"/>
              <w:bottom w:val="single" w:sz="6" w:space="0" w:color="auto"/>
              <w:right w:val="single" w:sz="6" w:space="0" w:color="auto"/>
            </w:tcBorders>
          </w:tcPr>
          <w:p>
            <w:pPr>
              <w:tabs>
                <w:tab w:val="clear" w:pos="425"/>
              </w:tabs>
              <w:jc w:val="center"/>
            </w:pPr>
          </w:p>
        </w:tc>
        <w:tc>
          <w:tcPr>
            <w:tcW w:w="5313" w:type="dxa"/>
            <w:gridSpan w:val="3"/>
            <w:tcBorders>
              <w:top w:val="single" w:sz="6" w:space="0" w:color="auto"/>
              <w:left w:val="single" w:sz="6" w:space="0" w:color="auto"/>
              <w:bottom w:val="single" w:sz="6" w:space="0" w:color="auto"/>
              <w:right w:val="single" w:sz="12" w:space="0" w:color="auto"/>
            </w:tcBorders>
          </w:tcPr>
          <w:p>
            <w:pPr>
              <w:tabs>
                <w:tab w:val="clear" w:pos="425"/>
              </w:tabs>
              <w:jc w:val="center"/>
              <w:rPr>
                <w:b/>
              </w:rPr>
            </w:pPr>
            <w:r>
              <w:rPr>
                <w:b/>
              </w:rPr>
              <w:t>2-Stunden-Mischprobe</w:t>
            </w:r>
          </w:p>
        </w:tc>
      </w:tr>
      <w:tr>
        <w:tblPrEx>
          <w:tblCellMar>
            <w:top w:w="0" w:type="dxa"/>
            <w:bottom w:w="0" w:type="dxa"/>
          </w:tblCellMar>
        </w:tblPrEx>
        <w:tc>
          <w:tcPr>
            <w:tcW w:w="2977" w:type="dxa"/>
            <w:tcBorders>
              <w:top w:val="single" w:sz="6" w:space="0" w:color="auto"/>
              <w:left w:val="single" w:sz="12" w:space="0" w:color="auto"/>
              <w:bottom w:val="single" w:sz="6" w:space="0" w:color="auto"/>
              <w:right w:val="single" w:sz="6" w:space="0" w:color="auto"/>
            </w:tcBorders>
          </w:tcPr>
          <w:p>
            <w:pPr>
              <w:tabs>
                <w:tab w:val="clear" w:pos="425"/>
              </w:tabs>
              <w:jc w:val="left"/>
            </w:pPr>
            <w:r>
              <w:t>Chemischer Sauerstoffbedarf (CSB)</w:t>
            </w:r>
          </w:p>
        </w:tc>
        <w:tc>
          <w:tcPr>
            <w:tcW w:w="709" w:type="dxa"/>
            <w:tcBorders>
              <w:top w:val="single" w:sz="6" w:space="0" w:color="auto"/>
              <w:left w:val="single" w:sz="6" w:space="0" w:color="auto"/>
              <w:bottom w:val="single" w:sz="6" w:space="0" w:color="auto"/>
              <w:right w:val="single" w:sz="6" w:space="0" w:color="auto"/>
            </w:tcBorders>
          </w:tcPr>
          <w:p>
            <w:pPr>
              <w:tabs>
                <w:tab w:val="clear" w:pos="425"/>
              </w:tabs>
              <w:jc w:val="center"/>
            </w:pPr>
            <w:r>
              <w:t>kg/t</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3</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2</w:t>
            </w:r>
          </w:p>
        </w:tc>
        <w:tc>
          <w:tcPr>
            <w:tcW w:w="1771" w:type="dxa"/>
            <w:tcBorders>
              <w:top w:val="single" w:sz="6" w:space="0" w:color="auto"/>
              <w:left w:val="single" w:sz="6" w:space="0" w:color="auto"/>
              <w:bottom w:val="single" w:sz="6" w:space="0" w:color="auto"/>
              <w:right w:val="single" w:sz="12" w:space="0" w:color="auto"/>
            </w:tcBorders>
          </w:tcPr>
          <w:p>
            <w:pPr>
              <w:tabs>
                <w:tab w:val="clear" w:pos="425"/>
              </w:tabs>
              <w:jc w:val="center"/>
            </w:pPr>
            <w:r>
              <w:t>3</w:t>
            </w:r>
          </w:p>
        </w:tc>
      </w:tr>
      <w:tr>
        <w:tblPrEx>
          <w:tblCellMar>
            <w:top w:w="0" w:type="dxa"/>
            <w:bottom w:w="0" w:type="dxa"/>
          </w:tblCellMar>
        </w:tblPrEx>
        <w:tc>
          <w:tcPr>
            <w:tcW w:w="2977" w:type="dxa"/>
            <w:tcBorders>
              <w:top w:val="single" w:sz="6" w:space="0" w:color="auto"/>
              <w:left w:val="single" w:sz="12" w:space="0" w:color="auto"/>
              <w:bottom w:val="single" w:sz="6" w:space="0" w:color="auto"/>
              <w:right w:val="single" w:sz="6" w:space="0" w:color="auto"/>
            </w:tcBorders>
          </w:tcPr>
          <w:p>
            <w:pPr>
              <w:tabs>
                <w:tab w:val="clear" w:pos="425"/>
                <w:tab w:val="right" w:pos="2765"/>
              </w:tabs>
              <w:jc w:val="left"/>
            </w:pPr>
            <w:r>
              <w:t xml:space="preserve">Cadmium gesamt </w:t>
            </w:r>
            <w:r>
              <w:br/>
              <w:t>Cadmiumgehalt</w:t>
            </w:r>
            <w:r>
              <w:tab/>
              <w:t>bis 50 g</w:t>
            </w:r>
            <w:r>
              <w:br/>
              <w:t xml:space="preserve">je Tonne </w:t>
            </w:r>
            <w:r>
              <w:tab/>
              <w:t>50 - 100 g</w:t>
            </w:r>
            <w:r>
              <w:br/>
              <w:t>Rohphosphat</w:t>
            </w:r>
          </w:p>
        </w:tc>
        <w:tc>
          <w:tcPr>
            <w:tcW w:w="709" w:type="dxa"/>
            <w:tcBorders>
              <w:top w:val="single" w:sz="6" w:space="0" w:color="auto"/>
              <w:left w:val="single" w:sz="6" w:space="0" w:color="auto"/>
              <w:bottom w:val="single" w:sz="6" w:space="0" w:color="auto"/>
              <w:right w:val="single" w:sz="6" w:space="0" w:color="auto"/>
            </w:tcBorders>
          </w:tcPr>
          <w:p>
            <w:pPr>
              <w:tabs>
                <w:tab w:val="clear" w:pos="425"/>
              </w:tabs>
              <w:jc w:val="center"/>
            </w:pPr>
            <w:r>
              <w:br/>
              <w:t>g/t</w:t>
            </w:r>
            <w:r>
              <w:br/>
              <w:t>g/t</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br/>
              <w:t>0,5</w:t>
            </w:r>
            <w:r>
              <w:br/>
              <w:t>1</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br/>
              <w:t>-</w:t>
            </w:r>
            <w:r>
              <w:br/>
              <w:t>-</w:t>
            </w:r>
          </w:p>
        </w:tc>
        <w:tc>
          <w:tcPr>
            <w:tcW w:w="1771" w:type="dxa"/>
            <w:tcBorders>
              <w:top w:val="single" w:sz="6" w:space="0" w:color="auto"/>
              <w:left w:val="single" w:sz="6" w:space="0" w:color="auto"/>
              <w:bottom w:val="single" w:sz="6" w:space="0" w:color="auto"/>
              <w:right w:val="single" w:sz="12" w:space="0" w:color="auto"/>
            </w:tcBorders>
          </w:tcPr>
          <w:p>
            <w:pPr>
              <w:tabs>
                <w:tab w:val="clear" w:pos="425"/>
              </w:tabs>
              <w:jc w:val="center"/>
            </w:pPr>
            <w:r>
              <w:br/>
              <w:t>0,5</w:t>
            </w:r>
            <w:r>
              <w:br/>
              <w:t>1</w:t>
            </w:r>
          </w:p>
        </w:tc>
      </w:tr>
      <w:tr>
        <w:tblPrEx>
          <w:tblCellMar>
            <w:top w:w="0" w:type="dxa"/>
            <w:bottom w:w="0" w:type="dxa"/>
          </w:tblCellMar>
        </w:tblPrEx>
        <w:tc>
          <w:tcPr>
            <w:tcW w:w="2977" w:type="dxa"/>
            <w:tcBorders>
              <w:top w:val="single" w:sz="6" w:space="0" w:color="auto"/>
              <w:left w:val="single" w:sz="12" w:space="0" w:color="auto"/>
              <w:bottom w:val="single" w:sz="6" w:space="0" w:color="auto"/>
              <w:right w:val="single" w:sz="6" w:space="0" w:color="auto"/>
            </w:tcBorders>
          </w:tcPr>
          <w:p>
            <w:pPr>
              <w:tabs>
                <w:tab w:val="clear" w:pos="425"/>
              </w:tabs>
              <w:jc w:val="left"/>
            </w:pPr>
            <w:r>
              <w:t>Stickstoff aus Ammoniumverbindungen</w:t>
            </w:r>
          </w:p>
        </w:tc>
        <w:tc>
          <w:tcPr>
            <w:tcW w:w="709" w:type="dxa"/>
            <w:tcBorders>
              <w:top w:val="single" w:sz="6" w:space="0" w:color="auto"/>
              <w:left w:val="single" w:sz="6" w:space="0" w:color="auto"/>
              <w:bottom w:val="single" w:sz="6" w:space="0" w:color="auto"/>
              <w:right w:val="single" w:sz="6" w:space="0" w:color="auto"/>
            </w:tcBorders>
          </w:tcPr>
          <w:p>
            <w:pPr>
              <w:tabs>
                <w:tab w:val="clear" w:pos="425"/>
              </w:tabs>
              <w:jc w:val="center"/>
            </w:pPr>
            <w:r>
              <w:t>kg/t</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14</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4</w:t>
            </w:r>
          </w:p>
        </w:tc>
        <w:tc>
          <w:tcPr>
            <w:tcW w:w="1771" w:type="dxa"/>
            <w:tcBorders>
              <w:top w:val="single" w:sz="6" w:space="0" w:color="auto"/>
              <w:left w:val="single" w:sz="6" w:space="0" w:color="auto"/>
              <w:bottom w:val="single" w:sz="6" w:space="0" w:color="auto"/>
              <w:right w:val="single" w:sz="12" w:space="0" w:color="auto"/>
            </w:tcBorders>
          </w:tcPr>
          <w:p>
            <w:pPr>
              <w:tabs>
                <w:tab w:val="clear" w:pos="425"/>
              </w:tabs>
              <w:jc w:val="center"/>
            </w:pPr>
            <w:r>
              <w:t>-</w:t>
            </w:r>
          </w:p>
        </w:tc>
      </w:tr>
      <w:tr>
        <w:tblPrEx>
          <w:tblCellMar>
            <w:top w:w="0" w:type="dxa"/>
            <w:bottom w:w="0" w:type="dxa"/>
          </w:tblCellMar>
        </w:tblPrEx>
        <w:tc>
          <w:tcPr>
            <w:tcW w:w="2977" w:type="dxa"/>
            <w:tcBorders>
              <w:top w:val="single" w:sz="6" w:space="0" w:color="auto"/>
              <w:left w:val="single" w:sz="12" w:space="0" w:color="auto"/>
              <w:bottom w:val="single" w:sz="6" w:space="0" w:color="auto"/>
              <w:right w:val="single" w:sz="6" w:space="0" w:color="auto"/>
            </w:tcBorders>
          </w:tcPr>
          <w:p>
            <w:pPr>
              <w:tabs>
                <w:tab w:val="clear" w:pos="425"/>
              </w:tabs>
              <w:jc w:val="left"/>
            </w:pPr>
            <w:r>
              <w:t>Stickstoff aus Nitrat</w:t>
            </w:r>
          </w:p>
        </w:tc>
        <w:tc>
          <w:tcPr>
            <w:tcW w:w="709" w:type="dxa"/>
            <w:tcBorders>
              <w:top w:val="single" w:sz="6" w:space="0" w:color="auto"/>
              <w:left w:val="single" w:sz="6" w:space="0" w:color="auto"/>
              <w:bottom w:val="single" w:sz="6" w:space="0" w:color="auto"/>
              <w:right w:val="single" w:sz="6" w:space="0" w:color="auto"/>
            </w:tcBorders>
          </w:tcPr>
          <w:p>
            <w:pPr>
              <w:tabs>
                <w:tab w:val="clear" w:pos="425"/>
              </w:tabs>
              <w:jc w:val="center"/>
            </w:pPr>
            <w:r>
              <w:t>kg/t</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14</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4</w:t>
            </w:r>
          </w:p>
        </w:tc>
        <w:tc>
          <w:tcPr>
            <w:tcW w:w="1771" w:type="dxa"/>
            <w:tcBorders>
              <w:top w:val="single" w:sz="6" w:space="0" w:color="auto"/>
              <w:left w:val="single" w:sz="6" w:space="0" w:color="auto"/>
              <w:bottom w:val="single" w:sz="6" w:space="0" w:color="auto"/>
              <w:right w:val="single" w:sz="12" w:space="0" w:color="auto"/>
            </w:tcBorders>
          </w:tcPr>
          <w:p>
            <w:pPr>
              <w:tabs>
                <w:tab w:val="clear" w:pos="425"/>
              </w:tabs>
              <w:jc w:val="center"/>
            </w:pPr>
            <w:r>
              <w:t>-</w:t>
            </w:r>
          </w:p>
        </w:tc>
      </w:tr>
      <w:tr>
        <w:tblPrEx>
          <w:tblCellMar>
            <w:top w:w="0" w:type="dxa"/>
            <w:bottom w:w="0" w:type="dxa"/>
          </w:tblCellMar>
        </w:tblPrEx>
        <w:tc>
          <w:tcPr>
            <w:tcW w:w="2977" w:type="dxa"/>
            <w:tcBorders>
              <w:top w:val="single" w:sz="6" w:space="0" w:color="auto"/>
              <w:left w:val="single" w:sz="12" w:space="0" w:color="auto"/>
              <w:bottom w:val="single" w:sz="6" w:space="0" w:color="auto"/>
              <w:right w:val="single" w:sz="6" w:space="0" w:color="auto"/>
            </w:tcBorders>
          </w:tcPr>
          <w:p>
            <w:pPr>
              <w:tabs>
                <w:tab w:val="clear" w:pos="425"/>
              </w:tabs>
              <w:jc w:val="left"/>
            </w:pPr>
            <w:r>
              <w:t>Phosphor aus Phosphaten</w:t>
            </w:r>
          </w:p>
        </w:tc>
        <w:tc>
          <w:tcPr>
            <w:tcW w:w="709" w:type="dxa"/>
            <w:tcBorders>
              <w:top w:val="single" w:sz="6" w:space="0" w:color="auto"/>
              <w:left w:val="single" w:sz="6" w:space="0" w:color="auto"/>
              <w:bottom w:val="single" w:sz="6" w:space="0" w:color="auto"/>
              <w:right w:val="single" w:sz="6" w:space="0" w:color="auto"/>
            </w:tcBorders>
          </w:tcPr>
          <w:p>
            <w:pPr>
              <w:tabs>
                <w:tab w:val="clear" w:pos="425"/>
              </w:tabs>
              <w:jc w:val="center"/>
            </w:pPr>
            <w:r>
              <w:t>kg/t</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3</w:t>
            </w:r>
          </w:p>
        </w:tc>
        <w:tc>
          <w:tcPr>
            <w:tcW w:w="1771" w:type="dxa"/>
            <w:tcBorders>
              <w:top w:val="single" w:sz="6" w:space="0" w:color="auto"/>
              <w:left w:val="single" w:sz="6" w:space="0" w:color="auto"/>
              <w:bottom w:val="single" w:sz="6" w:space="0" w:color="auto"/>
              <w:right w:val="single" w:sz="6" w:space="0" w:color="auto"/>
            </w:tcBorders>
          </w:tcPr>
          <w:p>
            <w:pPr>
              <w:tabs>
                <w:tab w:val="clear" w:pos="425"/>
              </w:tabs>
              <w:jc w:val="center"/>
            </w:pPr>
            <w:r>
              <w:t>-</w:t>
            </w:r>
          </w:p>
        </w:tc>
        <w:tc>
          <w:tcPr>
            <w:tcW w:w="1771" w:type="dxa"/>
            <w:tcBorders>
              <w:top w:val="single" w:sz="6" w:space="0" w:color="auto"/>
              <w:left w:val="single" w:sz="6" w:space="0" w:color="auto"/>
              <w:bottom w:val="single" w:sz="6" w:space="0" w:color="auto"/>
              <w:right w:val="single" w:sz="12" w:space="0" w:color="auto"/>
            </w:tcBorders>
          </w:tcPr>
          <w:p>
            <w:pPr>
              <w:tabs>
                <w:tab w:val="clear" w:pos="425"/>
              </w:tabs>
              <w:jc w:val="center"/>
            </w:pPr>
            <w:r>
              <w:t>3</w:t>
            </w:r>
          </w:p>
        </w:tc>
      </w:tr>
      <w:tr>
        <w:tblPrEx>
          <w:tblCellMar>
            <w:top w:w="0" w:type="dxa"/>
            <w:bottom w:w="0" w:type="dxa"/>
          </w:tblCellMar>
        </w:tblPrEx>
        <w:tc>
          <w:tcPr>
            <w:tcW w:w="2977" w:type="dxa"/>
            <w:tcBorders>
              <w:top w:val="single" w:sz="6" w:space="0" w:color="auto"/>
              <w:left w:val="single" w:sz="12" w:space="0" w:color="auto"/>
              <w:bottom w:val="single" w:sz="12" w:space="0" w:color="auto"/>
              <w:right w:val="single" w:sz="6" w:space="0" w:color="auto"/>
            </w:tcBorders>
          </w:tcPr>
          <w:p>
            <w:pPr>
              <w:tabs>
                <w:tab w:val="clear" w:pos="425"/>
              </w:tabs>
              <w:jc w:val="left"/>
            </w:pPr>
            <w:r>
              <w:t>Fluorid</w:t>
            </w:r>
          </w:p>
        </w:tc>
        <w:tc>
          <w:tcPr>
            <w:tcW w:w="709" w:type="dxa"/>
            <w:tcBorders>
              <w:top w:val="single" w:sz="6" w:space="0" w:color="auto"/>
              <w:left w:val="single" w:sz="6" w:space="0" w:color="auto"/>
              <w:bottom w:val="single" w:sz="12" w:space="0" w:color="auto"/>
              <w:right w:val="single" w:sz="6" w:space="0" w:color="auto"/>
            </w:tcBorders>
          </w:tcPr>
          <w:p>
            <w:pPr>
              <w:tabs>
                <w:tab w:val="clear" w:pos="425"/>
              </w:tabs>
              <w:jc w:val="center"/>
            </w:pPr>
            <w:r>
              <w:t>kg/t</w:t>
            </w:r>
          </w:p>
        </w:tc>
        <w:tc>
          <w:tcPr>
            <w:tcW w:w="1771" w:type="dxa"/>
            <w:tcBorders>
              <w:top w:val="single" w:sz="6" w:space="0" w:color="auto"/>
              <w:left w:val="single" w:sz="6" w:space="0" w:color="auto"/>
              <w:bottom w:val="single" w:sz="12" w:space="0" w:color="auto"/>
              <w:right w:val="single" w:sz="6" w:space="0" w:color="auto"/>
            </w:tcBorders>
          </w:tcPr>
          <w:p>
            <w:pPr>
              <w:tabs>
                <w:tab w:val="clear" w:pos="425"/>
              </w:tabs>
              <w:jc w:val="center"/>
            </w:pPr>
            <w:r>
              <w:t>3,5</w:t>
            </w:r>
          </w:p>
        </w:tc>
        <w:tc>
          <w:tcPr>
            <w:tcW w:w="1771" w:type="dxa"/>
            <w:tcBorders>
              <w:top w:val="single" w:sz="6" w:space="0" w:color="auto"/>
              <w:left w:val="single" w:sz="6" w:space="0" w:color="auto"/>
              <w:bottom w:val="single" w:sz="12" w:space="0" w:color="auto"/>
              <w:right w:val="single" w:sz="6" w:space="0" w:color="auto"/>
            </w:tcBorders>
          </w:tcPr>
          <w:p>
            <w:pPr>
              <w:tabs>
                <w:tab w:val="clear" w:pos="425"/>
              </w:tabs>
              <w:jc w:val="center"/>
            </w:pPr>
            <w:r>
              <w:t>-</w:t>
            </w:r>
          </w:p>
        </w:tc>
        <w:tc>
          <w:tcPr>
            <w:tcW w:w="1771" w:type="dxa"/>
            <w:tcBorders>
              <w:top w:val="single" w:sz="6" w:space="0" w:color="auto"/>
              <w:left w:val="single" w:sz="6" w:space="0" w:color="auto"/>
              <w:bottom w:val="single" w:sz="12" w:space="0" w:color="auto"/>
              <w:right w:val="single" w:sz="12" w:space="0" w:color="auto"/>
            </w:tcBorders>
          </w:tcPr>
          <w:p>
            <w:pPr>
              <w:tabs>
                <w:tab w:val="clear" w:pos="425"/>
              </w:tabs>
              <w:jc w:val="center"/>
            </w:pPr>
            <w:r>
              <w:t>3</w:t>
            </w:r>
          </w:p>
        </w:tc>
      </w:tr>
    </w:tbl>
    <w:p/>
    <w:p>
      <w:pPr>
        <w:pStyle w:val="GesAbsatz"/>
      </w:pPr>
      <w:r>
        <w:t>Die produktspezifischen Frachtwerte beziehen sich auf die dem Bescheid zugrundeliegende Kapazität der Produktionsanlagen in zwei Stunden. Die Frachtwerte für Cadmium, Phosphor und Fluorid beziehen sich im Übrigen auf den Gehalt an Phosphat, berechnet als P2O5, und die Frachtwerte für Stickstoff aus Ammoniumverbindungen und Stickstoff aus Nitraten auf den Gehalt an Stickstoffverbindungen, berechnet als N, in den jeweiligen Fertig-Düngemitteln.</w:t>
      </w:r>
    </w:p>
    <w:p>
      <w:pPr>
        <w:pStyle w:val="GesAbsatz"/>
      </w:pPr>
      <w:r>
        <w:t xml:space="preserve">2.2 Die Werte der Nummer 2.1 beziehen sich auf das Abwasser im Ablauf der Abwasserbehandlungsanlage. </w:t>
      </w:r>
    </w:p>
    <w:p>
      <w:pPr>
        <w:pStyle w:val="GesAbsatz"/>
      </w:pPr>
      <w:r>
        <w:t>Diesen Werten liegen folgende oder gleichwertige Analyseverfahren zugrunde:</w:t>
      </w:r>
    </w:p>
    <w:p>
      <w:pPr>
        <w:tabs>
          <w:tab w:val="clear" w:pos="425"/>
          <w:tab w:val="left" w:pos="5103"/>
        </w:tabs>
        <w:ind w:left="709" w:hanging="709"/>
      </w:pPr>
      <w:r>
        <w:t>2.2.1</w:t>
      </w:r>
      <w:r>
        <w:tab/>
        <w:t>Absetzbare Stoffe:</w:t>
      </w:r>
    </w:p>
    <w:p>
      <w:pPr>
        <w:tabs>
          <w:tab w:val="clear" w:pos="425"/>
          <w:tab w:val="left" w:pos="5103"/>
        </w:tabs>
        <w:ind w:left="709"/>
      </w:pPr>
      <w:r>
        <w:lastRenderedPageBreak/>
        <w:t>DIN 38409 - H 9 - 2 (Ausgabe Juli 1980)</w:t>
      </w:r>
    </w:p>
    <w:p>
      <w:pPr>
        <w:tabs>
          <w:tab w:val="clear" w:pos="425"/>
          <w:tab w:val="left" w:pos="5103"/>
        </w:tabs>
        <w:ind w:left="709" w:hanging="709"/>
        <w:jc w:val="left"/>
      </w:pPr>
      <w:r>
        <w:t>2.2.2</w:t>
      </w:r>
      <w:r>
        <w:tab/>
        <w:t>Chemischer Sauerstoffbedarf (CSB) von der abgesetzten Probe:</w:t>
      </w:r>
    </w:p>
    <w:p>
      <w:pPr>
        <w:tabs>
          <w:tab w:val="clear" w:pos="425"/>
          <w:tab w:val="left" w:pos="5103"/>
        </w:tabs>
        <w:ind w:left="709"/>
      </w:pPr>
      <w:r>
        <w:t xml:space="preserve">DIN 38409 - H 41 (Ausgabe Dezember 1980) </w:t>
      </w:r>
    </w:p>
    <w:p>
      <w:pPr>
        <w:tabs>
          <w:tab w:val="clear" w:pos="425"/>
          <w:tab w:val="left" w:pos="5103"/>
        </w:tabs>
        <w:ind w:left="709" w:hanging="709"/>
        <w:jc w:val="left"/>
      </w:pPr>
      <w:r>
        <w:t>2.2.3</w:t>
      </w:r>
      <w:r>
        <w:tab/>
        <w:t>Cadmium, gesamt, von der nicht abgesetzten, homogenisierten Probe:</w:t>
      </w:r>
    </w:p>
    <w:p>
      <w:pPr>
        <w:tabs>
          <w:tab w:val="clear" w:pos="425"/>
          <w:tab w:val="left" w:pos="5103"/>
        </w:tabs>
        <w:ind w:left="709"/>
      </w:pPr>
      <w:r>
        <w:t xml:space="preserve">DIN 38406 - E 19-1/2/3 (Ausgabe Juli 1980) </w:t>
      </w:r>
    </w:p>
    <w:p>
      <w:pPr>
        <w:tabs>
          <w:tab w:val="clear" w:pos="425"/>
          <w:tab w:val="left" w:pos="5103"/>
        </w:tabs>
        <w:ind w:left="709" w:hanging="709"/>
        <w:jc w:val="left"/>
      </w:pPr>
      <w:r>
        <w:t>2.2.4</w:t>
      </w:r>
      <w:r>
        <w:tab/>
        <w:t xml:space="preserve">Stickstoff aus Ammoniumverbindungen, von der nicht abgesetzten, homogenisier </w:t>
      </w:r>
      <w:proofErr w:type="spellStart"/>
      <w:r>
        <w:t>ten</w:t>
      </w:r>
      <w:proofErr w:type="spellEnd"/>
      <w:r>
        <w:t xml:space="preserve"> Probe:</w:t>
      </w:r>
    </w:p>
    <w:p>
      <w:pPr>
        <w:tabs>
          <w:tab w:val="clear" w:pos="425"/>
          <w:tab w:val="left" w:pos="5103"/>
        </w:tabs>
        <w:ind w:left="709"/>
      </w:pPr>
      <w:r>
        <w:t xml:space="preserve">DEV E 5.2 (7. Lieferung 1975) </w:t>
      </w:r>
    </w:p>
    <w:p>
      <w:pPr>
        <w:tabs>
          <w:tab w:val="clear" w:pos="425"/>
          <w:tab w:val="left" w:pos="5103"/>
        </w:tabs>
        <w:ind w:left="709" w:hanging="709"/>
        <w:jc w:val="left"/>
      </w:pPr>
      <w:r>
        <w:t>2.2.5</w:t>
      </w:r>
      <w:r>
        <w:tab/>
        <w:t>Stickstoff aus Nitrat von der filtrierten Probe:</w:t>
      </w:r>
    </w:p>
    <w:p>
      <w:pPr>
        <w:tabs>
          <w:tab w:val="clear" w:pos="425"/>
          <w:tab w:val="left" w:pos="5103"/>
        </w:tabs>
        <w:ind w:left="709"/>
      </w:pPr>
      <w:r>
        <w:t xml:space="preserve">DIN 38405 - D 9-2 (Ausgabe Mai 1979) </w:t>
      </w:r>
    </w:p>
    <w:p>
      <w:pPr>
        <w:tabs>
          <w:tab w:val="clear" w:pos="425"/>
          <w:tab w:val="left" w:pos="5103"/>
        </w:tabs>
        <w:ind w:left="709" w:hanging="709"/>
        <w:jc w:val="left"/>
      </w:pPr>
      <w:r>
        <w:t>2.2.6</w:t>
      </w:r>
      <w:r>
        <w:tab/>
        <w:t>Phosphor aus Phosphaten, von der nicht abgesetzten, homogenisierten Probe:</w:t>
      </w:r>
    </w:p>
    <w:p>
      <w:pPr>
        <w:tabs>
          <w:tab w:val="clear" w:pos="425"/>
          <w:tab w:val="left" w:pos="5103"/>
        </w:tabs>
        <w:ind w:left="709"/>
      </w:pPr>
      <w:r>
        <w:t xml:space="preserve">DEV D 11.2 (7. Lieferung 1975) </w:t>
      </w:r>
    </w:p>
    <w:p>
      <w:pPr>
        <w:tabs>
          <w:tab w:val="clear" w:pos="425"/>
          <w:tab w:val="left" w:pos="5103"/>
        </w:tabs>
        <w:ind w:left="709" w:hanging="709"/>
        <w:jc w:val="left"/>
      </w:pPr>
      <w:r>
        <w:t>2.2.7</w:t>
      </w:r>
      <w:r>
        <w:tab/>
        <w:t>Fluorid, gesamt, von der nicht abgesetzten, homogenisierten Probe:</w:t>
      </w:r>
    </w:p>
    <w:p>
      <w:pPr>
        <w:tabs>
          <w:tab w:val="clear" w:pos="425"/>
          <w:tab w:val="left" w:pos="5103"/>
        </w:tabs>
        <w:ind w:left="709"/>
        <w:rPr>
          <w:lang w:val="en-GB"/>
        </w:rPr>
      </w:pPr>
      <w:r>
        <w:t>Anlage 3 zur 39. AbwasserVwV vom 5. </w:t>
      </w:r>
      <w:r>
        <w:rPr>
          <w:lang w:val="en-GB"/>
        </w:rPr>
        <w:t xml:space="preserve">September 1984 (GMBl. S. 350) </w:t>
      </w:r>
    </w:p>
    <w:p>
      <w:pPr>
        <w:pStyle w:val="GesAbsatz"/>
      </w:pPr>
      <w:r>
        <w:t xml:space="preserve">2.3 Ein in Nummer 2.1 bestimmter Wert ist einzuhalten. Er gilt auch als eingehalten, wenn das arithmetische Mittel der Ergebnisse aus den letzten fünf im Rahmen der staatlichen Gewässeraufsicht durchgeführten Untersuchungen diesen Wert nicht überschreitet. Untersuchungen, die länger als drei Jahre zurückliegen, bleiben dabei </w:t>
      </w:r>
      <w:proofErr w:type="gramStart"/>
      <w:r>
        <w:t>unberücksichtigt.</w:t>
      </w:r>
      <w:proofErr w:type="gramEnd"/>
    </w:p>
    <w:sectPr>
      <w:headerReference w:type="default" r:id="rId6"/>
      <w:footerReference w:type="default" r:id="rId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05.09.1984 (GMBl. 1984 S. 361)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Archiv7.3.44</w:t>
    </w:r>
  </w:p>
  <w:p>
    <w:pPr>
      <w:pStyle w:val="Kopfzeile"/>
      <w:spacing w:before="0" w:after="120"/>
    </w:pPr>
    <w:r>
      <w:t>44. Abwasser 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00AA6-F965-493C-B8AC-7B7E5877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paragraph" w:customStyle="1" w:styleId="Einzug075Nr">
    <w:name w:val="Einzug075Nr"/>
    <w:pPr>
      <w:tabs>
        <w:tab w:val="left" w:pos="578"/>
      </w:tabs>
      <w:overflowPunct w:val="0"/>
      <w:autoSpaceDE w:val="0"/>
      <w:autoSpaceDN w:val="0"/>
      <w:adjustRightInd w:val="0"/>
      <w:spacing w:before="60" w:after="60"/>
      <w:ind w:left="425" w:hanging="425"/>
      <w:jc w:val="both"/>
      <w:textAlignment w:val="baseline"/>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M121.SERVE\VETUA12\VETUA12\DATEN\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2</Pages>
  <Words>428</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Vierundvierzigste Allgemeine Verwaltungsvorschrift über Mindestanforderungen an das  Einleiten von Abwasser in Gewässer</vt:lpstr>
    </vt:vector>
  </TitlesOfParts>
  <Company>LUA</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Vierundvierzigste Allgemeine Verwaltungsvorschrift über Mindestanforderungen an das  Einleiten von Abwasser in Gewässer</dc:title>
  <dc:subject/>
  <dc:creator>Olaf Vetter</dc:creator>
  <cp:keywords/>
  <dc:description/>
  <cp:lastModifiedBy>Rüter, Dr., Ingo</cp:lastModifiedBy>
  <cp:revision>5</cp:revision>
  <dcterms:created xsi:type="dcterms:W3CDTF">2024-07-22T11:10:00Z</dcterms:created>
  <dcterms:modified xsi:type="dcterms:W3CDTF">2024-07-22T11:17:00Z</dcterms:modified>
</cp:coreProperties>
</file>