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 xml:space="preserve">Dreiundvierzigste Allgemeine Verwaltungsvorschrift über </w:t>
      </w:r>
      <w:r>
        <w:br/>
        <w:t>Mindestanfo</w:t>
      </w:r>
      <w:r>
        <w:t>r</w:t>
      </w:r>
      <w:r>
        <w:t>derungen</w:t>
      </w:r>
      <w:bookmarkStart w:id="0" w:name="_GoBack"/>
      <w:bookmarkEnd w:id="0"/>
      <w:r>
        <w:t xml:space="preserve"> an das Einleiten von Abwasser in Gewässer - </w:t>
      </w:r>
      <w:r>
        <w:br/>
        <w:t>Chemiefasern</w:t>
      </w:r>
    </w:p>
    <w:p>
      <w:pPr>
        <w:jc w:val="center"/>
      </w:pPr>
      <w:r>
        <w:t>vom 05.09.1984</w:t>
      </w:r>
    </w:p>
    <w:p>
      <w:pPr>
        <w:jc w:val="center"/>
      </w:pPr>
    </w:p>
    <w:p>
      <w:pPr>
        <w:jc w:val="left"/>
      </w:pPr>
      <w:r>
        <w:t>Nach § 7a Abs. 1 des Wasserhaushaltsgesetzes in der Fassung der Bekanntmachung vom 16. Oktober 1976 (BGBl. I S. 3017) wird mit Zustimmung des Bundesrates folgende allgemeine Verwaltungsvorschrift erlassen:</w:t>
      </w:r>
    </w:p>
    <w:p>
      <w:pPr>
        <w:pStyle w:val="berschrift3"/>
      </w:pPr>
      <w:r>
        <w:t>1.</w:t>
      </w:r>
      <w:r>
        <w:tab/>
        <w:t>Anwendungsbereich</w:t>
      </w:r>
    </w:p>
    <w:p>
      <w:pPr>
        <w:tabs>
          <w:tab w:val="clear" w:pos="425"/>
        </w:tabs>
        <w:ind w:left="709" w:hanging="709"/>
      </w:pPr>
      <w:r>
        <w:t>1.1</w:t>
      </w:r>
      <w:r>
        <w:tab/>
        <w:t>Die allgemeine Verwaltungsvorschrift gilt für in Gewässer einzuleitendes Abwasser, dessen Schmutzfracht im Wesentlichen aus der Produktion von Polyacrylnitril, Polyamid, Polyester sowie aus der Verarbeitung dieser Produkte zu Fasern stammt.</w:t>
      </w:r>
    </w:p>
    <w:p>
      <w:pPr>
        <w:tabs>
          <w:tab w:val="clear" w:pos="425"/>
        </w:tabs>
        <w:ind w:left="709" w:hanging="709"/>
      </w:pPr>
      <w:r>
        <w:t>1.2</w:t>
      </w:r>
      <w:r>
        <w:tab/>
        <w:t>Diese allgemeine Verwaltungsvorschrift gilt nicht für das Einleiten von Abwasser aus Kühlsystemen und aus der Betriebswasseraufbereitung.</w:t>
      </w:r>
    </w:p>
    <w:p>
      <w:pPr>
        <w:pStyle w:val="berschrift3"/>
      </w:pPr>
      <w:r>
        <w:t>2.</w:t>
      </w:r>
      <w:r>
        <w:tab/>
        <w:t>Mindestanforderungen:</w:t>
      </w:r>
    </w:p>
    <w:p>
      <w:pPr>
        <w:tabs>
          <w:tab w:val="clear" w:pos="425"/>
        </w:tabs>
      </w:pPr>
      <w:r>
        <w:t>2.1</w:t>
      </w:r>
      <w:r>
        <w:tab/>
        <w:t>An das Einleiten des Abwassers werden folgende Mindestanforderungen gestellt:</w:t>
      </w:r>
    </w:p>
    <w:p>
      <w:pPr>
        <w:spacing w:after="240"/>
      </w:pPr>
      <w:r>
        <w:t>2.1.1</w:t>
      </w:r>
      <w:r>
        <w:tab/>
        <w:t>Herstellung von Polyamid- und Polyesterfasern</w:t>
      </w: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567"/>
        <w:gridCol w:w="1960"/>
        <w:gridCol w:w="1960"/>
        <w:gridCol w:w="1960"/>
      </w:tblGrid>
      <w:tr>
        <w:tblPrEx>
          <w:tblCellMar>
            <w:top w:w="0" w:type="dxa"/>
            <w:bottom w:w="0" w:type="dxa"/>
          </w:tblCellMar>
        </w:tblPrEx>
        <w:tc>
          <w:tcPr>
            <w:tcW w:w="2552" w:type="dxa"/>
            <w:tcBorders>
              <w:top w:val="single" w:sz="12" w:space="0" w:color="auto"/>
              <w:bottom w:val="single" w:sz="6" w:space="0" w:color="auto"/>
              <w:right w:val="nil"/>
            </w:tcBorders>
          </w:tcPr>
          <w:p>
            <w:pPr>
              <w:tabs>
                <w:tab w:val="clear" w:pos="425"/>
              </w:tabs>
              <w:jc w:val="left"/>
            </w:pPr>
          </w:p>
        </w:tc>
        <w:tc>
          <w:tcPr>
            <w:tcW w:w="567" w:type="dxa"/>
            <w:tcBorders>
              <w:left w:val="nil"/>
            </w:tcBorders>
          </w:tcPr>
          <w:p>
            <w:pPr>
              <w:tabs>
                <w:tab w:val="clear" w:pos="425"/>
              </w:tabs>
              <w:jc w:val="center"/>
            </w:pPr>
          </w:p>
        </w:tc>
        <w:tc>
          <w:tcPr>
            <w:tcW w:w="1960" w:type="dxa"/>
          </w:tcPr>
          <w:p>
            <w:pPr>
              <w:tabs>
                <w:tab w:val="clear" w:pos="425"/>
              </w:tabs>
              <w:jc w:val="center"/>
            </w:pPr>
            <w:r>
              <w:t>Stichprobe</w:t>
            </w:r>
          </w:p>
        </w:tc>
        <w:tc>
          <w:tcPr>
            <w:tcW w:w="1960" w:type="dxa"/>
          </w:tcPr>
          <w:p>
            <w:pPr>
              <w:tabs>
                <w:tab w:val="clear" w:pos="425"/>
              </w:tabs>
              <w:jc w:val="center"/>
            </w:pPr>
            <w:r>
              <w:t>2-Stunden Misc</w:t>
            </w:r>
            <w:r>
              <w:t>h</w:t>
            </w:r>
            <w:r>
              <w:t>probe</w:t>
            </w:r>
          </w:p>
        </w:tc>
        <w:tc>
          <w:tcPr>
            <w:tcW w:w="1960" w:type="dxa"/>
          </w:tcPr>
          <w:p>
            <w:pPr>
              <w:tabs>
                <w:tab w:val="clear" w:pos="425"/>
              </w:tabs>
              <w:jc w:val="center"/>
            </w:pPr>
            <w:r>
              <w:t>24-Stunden Misc</w:t>
            </w:r>
            <w:r>
              <w:t>h</w:t>
            </w:r>
            <w:r>
              <w:t>probe</w:t>
            </w:r>
          </w:p>
        </w:tc>
      </w:tr>
      <w:tr>
        <w:tblPrEx>
          <w:tblCellMar>
            <w:top w:w="0" w:type="dxa"/>
            <w:bottom w:w="0" w:type="dxa"/>
          </w:tblCellMar>
        </w:tblPrEx>
        <w:tc>
          <w:tcPr>
            <w:tcW w:w="2552" w:type="dxa"/>
          </w:tcPr>
          <w:p>
            <w:pPr>
              <w:tabs>
                <w:tab w:val="clear" w:pos="425"/>
              </w:tabs>
              <w:jc w:val="left"/>
            </w:pPr>
            <w:r>
              <w:t>Absetzbare Stoffe</w:t>
            </w:r>
          </w:p>
        </w:tc>
        <w:tc>
          <w:tcPr>
            <w:tcW w:w="567" w:type="dxa"/>
          </w:tcPr>
          <w:p>
            <w:pPr>
              <w:tabs>
                <w:tab w:val="clear" w:pos="425"/>
              </w:tabs>
              <w:jc w:val="center"/>
            </w:pPr>
            <w:r>
              <w:t>ml/l</w:t>
            </w:r>
          </w:p>
        </w:tc>
        <w:tc>
          <w:tcPr>
            <w:tcW w:w="1960" w:type="dxa"/>
          </w:tcPr>
          <w:p>
            <w:pPr>
              <w:tabs>
                <w:tab w:val="clear" w:pos="425"/>
              </w:tabs>
              <w:jc w:val="center"/>
            </w:pPr>
            <w:r>
              <w:t>0,3</w:t>
            </w:r>
          </w:p>
        </w:tc>
        <w:tc>
          <w:tcPr>
            <w:tcW w:w="1960" w:type="dxa"/>
          </w:tcPr>
          <w:p>
            <w:pPr>
              <w:tabs>
                <w:tab w:val="clear" w:pos="425"/>
              </w:tabs>
              <w:jc w:val="center"/>
            </w:pPr>
            <w:r>
              <w:t>-</w:t>
            </w:r>
          </w:p>
        </w:tc>
        <w:tc>
          <w:tcPr>
            <w:tcW w:w="1960" w:type="dxa"/>
          </w:tcPr>
          <w:p>
            <w:pPr>
              <w:tabs>
                <w:tab w:val="clear" w:pos="425"/>
              </w:tabs>
              <w:jc w:val="center"/>
            </w:pPr>
            <w:r>
              <w:t>-</w:t>
            </w:r>
          </w:p>
        </w:tc>
      </w:tr>
      <w:tr>
        <w:tblPrEx>
          <w:tblCellMar>
            <w:top w:w="0" w:type="dxa"/>
            <w:bottom w:w="0" w:type="dxa"/>
          </w:tblCellMar>
        </w:tblPrEx>
        <w:tc>
          <w:tcPr>
            <w:tcW w:w="2552" w:type="dxa"/>
          </w:tcPr>
          <w:p>
            <w:pPr>
              <w:tabs>
                <w:tab w:val="clear" w:pos="425"/>
              </w:tabs>
              <w:jc w:val="left"/>
            </w:pPr>
            <w:r>
              <w:t>Chemischer Sauerstoffb</w:t>
            </w:r>
            <w:r>
              <w:t>e</w:t>
            </w:r>
            <w:r>
              <w:t>darf (CSB)</w:t>
            </w:r>
          </w:p>
        </w:tc>
        <w:tc>
          <w:tcPr>
            <w:tcW w:w="567" w:type="dxa"/>
          </w:tcPr>
          <w:p>
            <w:pPr>
              <w:tabs>
                <w:tab w:val="clear" w:pos="425"/>
              </w:tabs>
              <w:jc w:val="center"/>
            </w:pPr>
            <w:r>
              <w:t>mg/l</w:t>
            </w:r>
          </w:p>
        </w:tc>
        <w:tc>
          <w:tcPr>
            <w:tcW w:w="1960" w:type="dxa"/>
          </w:tcPr>
          <w:p>
            <w:pPr>
              <w:tabs>
                <w:tab w:val="clear" w:pos="425"/>
              </w:tabs>
              <w:jc w:val="center"/>
            </w:pPr>
            <w:r>
              <w:t>-</w:t>
            </w:r>
          </w:p>
        </w:tc>
        <w:tc>
          <w:tcPr>
            <w:tcW w:w="1960" w:type="dxa"/>
          </w:tcPr>
          <w:p>
            <w:pPr>
              <w:tabs>
                <w:tab w:val="clear" w:pos="425"/>
              </w:tabs>
              <w:jc w:val="center"/>
            </w:pPr>
            <w:r>
              <w:t>140</w:t>
            </w:r>
          </w:p>
        </w:tc>
        <w:tc>
          <w:tcPr>
            <w:tcW w:w="1960" w:type="dxa"/>
          </w:tcPr>
          <w:p>
            <w:pPr>
              <w:tabs>
                <w:tab w:val="clear" w:pos="425"/>
              </w:tabs>
              <w:jc w:val="center"/>
            </w:pPr>
            <w:r>
              <w:t>100</w:t>
            </w:r>
          </w:p>
        </w:tc>
      </w:tr>
      <w:tr>
        <w:tblPrEx>
          <w:tblCellMar>
            <w:top w:w="0" w:type="dxa"/>
            <w:bottom w:w="0" w:type="dxa"/>
          </w:tblCellMar>
        </w:tblPrEx>
        <w:tc>
          <w:tcPr>
            <w:tcW w:w="2552" w:type="dxa"/>
          </w:tcPr>
          <w:p>
            <w:pPr>
              <w:tabs>
                <w:tab w:val="clear" w:pos="425"/>
              </w:tabs>
              <w:jc w:val="left"/>
            </w:pPr>
            <w:r>
              <w:t>Biochemischer Sauerstof</w:t>
            </w:r>
            <w:r>
              <w:t>f</w:t>
            </w:r>
            <w:r>
              <w:t>bedarf (BSB</w:t>
            </w:r>
            <w:r>
              <w:rPr>
                <w:vertAlign w:val="subscript"/>
              </w:rPr>
              <w:t>5</w:t>
            </w:r>
            <w:r>
              <w:t>)</w:t>
            </w:r>
          </w:p>
        </w:tc>
        <w:tc>
          <w:tcPr>
            <w:tcW w:w="567" w:type="dxa"/>
          </w:tcPr>
          <w:p>
            <w:pPr>
              <w:tabs>
                <w:tab w:val="clear" w:pos="425"/>
              </w:tabs>
              <w:jc w:val="center"/>
            </w:pPr>
            <w:r>
              <w:t>mg/l</w:t>
            </w:r>
          </w:p>
        </w:tc>
        <w:tc>
          <w:tcPr>
            <w:tcW w:w="1960" w:type="dxa"/>
          </w:tcPr>
          <w:p>
            <w:pPr>
              <w:tabs>
                <w:tab w:val="clear" w:pos="425"/>
              </w:tabs>
              <w:jc w:val="center"/>
            </w:pPr>
            <w:r>
              <w:t>-</w:t>
            </w:r>
          </w:p>
        </w:tc>
        <w:tc>
          <w:tcPr>
            <w:tcW w:w="1960" w:type="dxa"/>
          </w:tcPr>
          <w:p>
            <w:pPr>
              <w:tabs>
                <w:tab w:val="clear" w:pos="425"/>
              </w:tabs>
              <w:jc w:val="center"/>
            </w:pPr>
            <w:r>
              <w:t>30</w:t>
            </w:r>
          </w:p>
        </w:tc>
        <w:tc>
          <w:tcPr>
            <w:tcW w:w="1960" w:type="dxa"/>
          </w:tcPr>
          <w:p>
            <w:pPr>
              <w:tabs>
                <w:tab w:val="clear" w:pos="425"/>
              </w:tabs>
              <w:jc w:val="center"/>
            </w:pPr>
            <w:r>
              <w:t>20</w:t>
            </w:r>
          </w:p>
        </w:tc>
      </w:tr>
      <w:tr>
        <w:tblPrEx>
          <w:tblCellMar>
            <w:top w:w="0" w:type="dxa"/>
            <w:bottom w:w="0" w:type="dxa"/>
          </w:tblCellMar>
        </w:tblPrEx>
        <w:tc>
          <w:tcPr>
            <w:tcW w:w="2552" w:type="dxa"/>
          </w:tcPr>
          <w:p>
            <w:pPr>
              <w:tabs>
                <w:tab w:val="clear" w:pos="425"/>
              </w:tabs>
              <w:jc w:val="left"/>
            </w:pPr>
            <w:r>
              <w:t>Fischgiftigkeit als Verdü</w:t>
            </w:r>
            <w:r>
              <w:t>n</w:t>
            </w:r>
            <w:r>
              <w:t>nungsfaktor G</w:t>
            </w:r>
            <w:r>
              <w:rPr>
                <w:vertAlign w:val="subscript"/>
              </w:rPr>
              <w:t>F</w:t>
            </w:r>
          </w:p>
        </w:tc>
        <w:tc>
          <w:tcPr>
            <w:tcW w:w="567" w:type="dxa"/>
          </w:tcPr>
          <w:p>
            <w:pPr>
              <w:tabs>
                <w:tab w:val="clear" w:pos="425"/>
              </w:tabs>
              <w:jc w:val="center"/>
            </w:pPr>
          </w:p>
        </w:tc>
        <w:tc>
          <w:tcPr>
            <w:tcW w:w="1960" w:type="dxa"/>
          </w:tcPr>
          <w:p>
            <w:pPr>
              <w:tabs>
                <w:tab w:val="clear" w:pos="425"/>
              </w:tabs>
              <w:jc w:val="center"/>
            </w:pPr>
            <w:r>
              <w:t>-</w:t>
            </w:r>
          </w:p>
        </w:tc>
        <w:tc>
          <w:tcPr>
            <w:tcW w:w="1960" w:type="dxa"/>
          </w:tcPr>
          <w:p>
            <w:pPr>
              <w:tabs>
                <w:tab w:val="clear" w:pos="425"/>
              </w:tabs>
              <w:jc w:val="center"/>
            </w:pPr>
            <w:r>
              <w:t>2</w:t>
            </w:r>
          </w:p>
        </w:tc>
        <w:tc>
          <w:tcPr>
            <w:tcW w:w="1960" w:type="dxa"/>
          </w:tcPr>
          <w:p>
            <w:pPr>
              <w:tabs>
                <w:tab w:val="clear" w:pos="425"/>
              </w:tabs>
              <w:jc w:val="center"/>
            </w:pPr>
            <w:r>
              <w:t>2</w:t>
            </w:r>
          </w:p>
        </w:tc>
      </w:tr>
    </w:tbl>
    <w:p/>
    <w:p>
      <w:pPr>
        <w:spacing w:after="240"/>
      </w:pPr>
      <w:r>
        <w:t>2.1.2</w:t>
      </w:r>
      <w:r>
        <w:tab/>
        <w:t>Herstellung von Polyacrylnitrilfasern</w:t>
      </w: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567"/>
        <w:gridCol w:w="1960"/>
        <w:gridCol w:w="1960"/>
        <w:gridCol w:w="1960"/>
      </w:tblGrid>
      <w:tr>
        <w:tblPrEx>
          <w:tblCellMar>
            <w:top w:w="0" w:type="dxa"/>
            <w:bottom w:w="0" w:type="dxa"/>
          </w:tblCellMar>
        </w:tblPrEx>
        <w:tc>
          <w:tcPr>
            <w:tcW w:w="2552" w:type="dxa"/>
            <w:tcBorders>
              <w:top w:val="single" w:sz="12" w:space="0" w:color="auto"/>
              <w:bottom w:val="single" w:sz="6" w:space="0" w:color="auto"/>
              <w:right w:val="nil"/>
            </w:tcBorders>
          </w:tcPr>
          <w:p>
            <w:pPr>
              <w:tabs>
                <w:tab w:val="clear" w:pos="425"/>
              </w:tabs>
              <w:jc w:val="left"/>
            </w:pPr>
          </w:p>
        </w:tc>
        <w:tc>
          <w:tcPr>
            <w:tcW w:w="567" w:type="dxa"/>
            <w:tcBorders>
              <w:left w:val="nil"/>
            </w:tcBorders>
          </w:tcPr>
          <w:p>
            <w:pPr>
              <w:tabs>
                <w:tab w:val="clear" w:pos="425"/>
              </w:tabs>
              <w:jc w:val="center"/>
            </w:pPr>
          </w:p>
        </w:tc>
        <w:tc>
          <w:tcPr>
            <w:tcW w:w="1960" w:type="dxa"/>
          </w:tcPr>
          <w:p>
            <w:pPr>
              <w:tabs>
                <w:tab w:val="clear" w:pos="425"/>
              </w:tabs>
              <w:jc w:val="center"/>
            </w:pPr>
            <w:r>
              <w:t>Stichprobe</w:t>
            </w:r>
          </w:p>
        </w:tc>
        <w:tc>
          <w:tcPr>
            <w:tcW w:w="1960" w:type="dxa"/>
          </w:tcPr>
          <w:p>
            <w:pPr>
              <w:tabs>
                <w:tab w:val="clear" w:pos="425"/>
              </w:tabs>
              <w:jc w:val="center"/>
            </w:pPr>
            <w:r>
              <w:t>2-Stunden Misc</w:t>
            </w:r>
            <w:r>
              <w:t>h</w:t>
            </w:r>
            <w:r>
              <w:t>probe</w:t>
            </w:r>
          </w:p>
        </w:tc>
        <w:tc>
          <w:tcPr>
            <w:tcW w:w="1960" w:type="dxa"/>
          </w:tcPr>
          <w:p>
            <w:pPr>
              <w:tabs>
                <w:tab w:val="clear" w:pos="425"/>
              </w:tabs>
              <w:jc w:val="center"/>
            </w:pPr>
            <w:r>
              <w:t>24-Stunden Misc</w:t>
            </w:r>
            <w:r>
              <w:t>h</w:t>
            </w:r>
            <w:r>
              <w:t>probe</w:t>
            </w:r>
          </w:p>
        </w:tc>
      </w:tr>
      <w:tr>
        <w:tblPrEx>
          <w:tblCellMar>
            <w:top w:w="0" w:type="dxa"/>
            <w:bottom w:w="0" w:type="dxa"/>
          </w:tblCellMar>
        </w:tblPrEx>
        <w:tc>
          <w:tcPr>
            <w:tcW w:w="2552" w:type="dxa"/>
          </w:tcPr>
          <w:p>
            <w:pPr>
              <w:tabs>
                <w:tab w:val="clear" w:pos="425"/>
              </w:tabs>
              <w:jc w:val="left"/>
            </w:pPr>
            <w:r>
              <w:t>Absetzbare Stoffe</w:t>
            </w:r>
          </w:p>
        </w:tc>
        <w:tc>
          <w:tcPr>
            <w:tcW w:w="567" w:type="dxa"/>
          </w:tcPr>
          <w:p>
            <w:pPr>
              <w:tabs>
                <w:tab w:val="clear" w:pos="425"/>
              </w:tabs>
              <w:jc w:val="center"/>
            </w:pPr>
            <w:r>
              <w:t>ml/l</w:t>
            </w:r>
          </w:p>
        </w:tc>
        <w:tc>
          <w:tcPr>
            <w:tcW w:w="1960" w:type="dxa"/>
          </w:tcPr>
          <w:p>
            <w:pPr>
              <w:tabs>
                <w:tab w:val="clear" w:pos="425"/>
              </w:tabs>
              <w:jc w:val="center"/>
            </w:pPr>
            <w:r>
              <w:t>0,3</w:t>
            </w:r>
          </w:p>
        </w:tc>
        <w:tc>
          <w:tcPr>
            <w:tcW w:w="1960" w:type="dxa"/>
          </w:tcPr>
          <w:p>
            <w:pPr>
              <w:tabs>
                <w:tab w:val="clear" w:pos="425"/>
              </w:tabs>
              <w:jc w:val="center"/>
            </w:pPr>
            <w:r>
              <w:t>-</w:t>
            </w:r>
          </w:p>
        </w:tc>
        <w:tc>
          <w:tcPr>
            <w:tcW w:w="1960" w:type="dxa"/>
          </w:tcPr>
          <w:p>
            <w:pPr>
              <w:tabs>
                <w:tab w:val="clear" w:pos="425"/>
              </w:tabs>
              <w:jc w:val="center"/>
            </w:pPr>
            <w:r>
              <w:t>-</w:t>
            </w:r>
          </w:p>
        </w:tc>
      </w:tr>
      <w:tr>
        <w:tblPrEx>
          <w:tblCellMar>
            <w:top w:w="0" w:type="dxa"/>
            <w:bottom w:w="0" w:type="dxa"/>
          </w:tblCellMar>
        </w:tblPrEx>
        <w:tc>
          <w:tcPr>
            <w:tcW w:w="2552" w:type="dxa"/>
          </w:tcPr>
          <w:p>
            <w:pPr>
              <w:tabs>
                <w:tab w:val="clear" w:pos="425"/>
              </w:tabs>
              <w:jc w:val="left"/>
            </w:pPr>
            <w:r>
              <w:t>Chemischer Sauerstoffb</w:t>
            </w:r>
            <w:r>
              <w:t>e</w:t>
            </w:r>
            <w:r>
              <w:t>darf (CSB)</w:t>
            </w:r>
          </w:p>
        </w:tc>
        <w:tc>
          <w:tcPr>
            <w:tcW w:w="567" w:type="dxa"/>
          </w:tcPr>
          <w:p>
            <w:pPr>
              <w:tabs>
                <w:tab w:val="clear" w:pos="425"/>
              </w:tabs>
              <w:jc w:val="center"/>
            </w:pPr>
            <w:r>
              <w:t>mg/l</w:t>
            </w:r>
          </w:p>
        </w:tc>
        <w:tc>
          <w:tcPr>
            <w:tcW w:w="1960" w:type="dxa"/>
          </w:tcPr>
          <w:p>
            <w:pPr>
              <w:tabs>
                <w:tab w:val="clear" w:pos="425"/>
              </w:tabs>
              <w:jc w:val="center"/>
            </w:pPr>
            <w:r>
              <w:t>-</w:t>
            </w:r>
          </w:p>
        </w:tc>
        <w:tc>
          <w:tcPr>
            <w:tcW w:w="1960" w:type="dxa"/>
          </w:tcPr>
          <w:p>
            <w:pPr>
              <w:tabs>
                <w:tab w:val="clear" w:pos="425"/>
              </w:tabs>
              <w:jc w:val="center"/>
            </w:pPr>
            <w:r>
              <w:t>750</w:t>
            </w:r>
          </w:p>
        </w:tc>
        <w:tc>
          <w:tcPr>
            <w:tcW w:w="1960" w:type="dxa"/>
          </w:tcPr>
          <w:p>
            <w:pPr>
              <w:tabs>
                <w:tab w:val="clear" w:pos="425"/>
              </w:tabs>
              <w:jc w:val="center"/>
            </w:pPr>
            <w:r>
              <w:t>700</w:t>
            </w:r>
          </w:p>
        </w:tc>
      </w:tr>
      <w:tr>
        <w:tblPrEx>
          <w:tblCellMar>
            <w:top w:w="0" w:type="dxa"/>
            <w:bottom w:w="0" w:type="dxa"/>
          </w:tblCellMar>
        </w:tblPrEx>
        <w:tc>
          <w:tcPr>
            <w:tcW w:w="2552" w:type="dxa"/>
          </w:tcPr>
          <w:p>
            <w:pPr>
              <w:tabs>
                <w:tab w:val="clear" w:pos="425"/>
              </w:tabs>
              <w:jc w:val="left"/>
            </w:pPr>
            <w:r>
              <w:t>Biochemischer Sauerstof</w:t>
            </w:r>
            <w:r>
              <w:t>f</w:t>
            </w:r>
            <w:r>
              <w:t>bedarf (BSB</w:t>
            </w:r>
            <w:r>
              <w:rPr>
                <w:vertAlign w:val="subscript"/>
              </w:rPr>
              <w:t>5</w:t>
            </w:r>
            <w:r>
              <w:t>)</w:t>
            </w:r>
          </w:p>
        </w:tc>
        <w:tc>
          <w:tcPr>
            <w:tcW w:w="567" w:type="dxa"/>
          </w:tcPr>
          <w:p>
            <w:pPr>
              <w:tabs>
                <w:tab w:val="clear" w:pos="425"/>
              </w:tabs>
              <w:jc w:val="center"/>
            </w:pPr>
            <w:r>
              <w:t>mg/l</w:t>
            </w:r>
          </w:p>
        </w:tc>
        <w:tc>
          <w:tcPr>
            <w:tcW w:w="1960" w:type="dxa"/>
          </w:tcPr>
          <w:p>
            <w:pPr>
              <w:tabs>
                <w:tab w:val="clear" w:pos="425"/>
              </w:tabs>
              <w:jc w:val="center"/>
            </w:pPr>
            <w:r>
              <w:t>-</w:t>
            </w:r>
          </w:p>
        </w:tc>
        <w:tc>
          <w:tcPr>
            <w:tcW w:w="1960" w:type="dxa"/>
          </w:tcPr>
          <w:p>
            <w:pPr>
              <w:tabs>
                <w:tab w:val="clear" w:pos="425"/>
              </w:tabs>
              <w:jc w:val="center"/>
            </w:pPr>
            <w:r>
              <w:t>50</w:t>
            </w:r>
          </w:p>
        </w:tc>
        <w:tc>
          <w:tcPr>
            <w:tcW w:w="1960" w:type="dxa"/>
          </w:tcPr>
          <w:p>
            <w:pPr>
              <w:tabs>
                <w:tab w:val="clear" w:pos="425"/>
              </w:tabs>
              <w:jc w:val="center"/>
            </w:pPr>
            <w:r>
              <w:t>45</w:t>
            </w:r>
          </w:p>
        </w:tc>
      </w:tr>
      <w:tr>
        <w:tblPrEx>
          <w:tblCellMar>
            <w:top w:w="0" w:type="dxa"/>
            <w:bottom w:w="0" w:type="dxa"/>
          </w:tblCellMar>
        </w:tblPrEx>
        <w:tc>
          <w:tcPr>
            <w:tcW w:w="2552" w:type="dxa"/>
          </w:tcPr>
          <w:p>
            <w:pPr>
              <w:tabs>
                <w:tab w:val="clear" w:pos="425"/>
              </w:tabs>
              <w:jc w:val="left"/>
            </w:pPr>
            <w:r>
              <w:t>Fischgiftigkeit als Verdü</w:t>
            </w:r>
            <w:r>
              <w:t>n</w:t>
            </w:r>
            <w:r>
              <w:t>nungsfaktor G</w:t>
            </w:r>
            <w:r>
              <w:rPr>
                <w:vertAlign w:val="subscript"/>
              </w:rPr>
              <w:t>F</w:t>
            </w:r>
          </w:p>
        </w:tc>
        <w:tc>
          <w:tcPr>
            <w:tcW w:w="567" w:type="dxa"/>
          </w:tcPr>
          <w:p>
            <w:pPr>
              <w:tabs>
                <w:tab w:val="clear" w:pos="425"/>
              </w:tabs>
              <w:jc w:val="center"/>
            </w:pPr>
          </w:p>
        </w:tc>
        <w:tc>
          <w:tcPr>
            <w:tcW w:w="1960" w:type="dxa"/>
          </w:tcPr>
          <w:p>
            <w:pPr>
              <w:tabs>
                <w:tab w:val="clear" w:pos="425"/>
              </w:tabs>
              <w:jc w:val="center"/>
            </w:pPr>
            <w:r>
              <w:t>-</w:t>
            </w:r>
          </w:p>
        </w:tc>
        <w:tc>
          <w:tcPr>
            <w:tcW w:w="1960" w:type="dxa"/>
          </w:tcPr>
          <w:p>
            <w:pPr>
              <w:tabs>
                <w:tab w:val="clear" w:pos="425"/>
              </w:tabs>
              <w:jc w:val="center"/>
            </w:pPr>
            <w:r>
              <w:t>3</w:t>
            </w:r>
          </w:p>
        </w:tc>
        <w:tc>
          <w:tcPr>
            <w:tcW w:w="1960" w:type="dxa"/>
          </w:tcPr>
          <w:p>
            <w:pPr>
              <w:tabs>
                <w:tab w:val="clear" w:pos="425"/>
              </w:tabs>
              <w:jc w:val="center"/>
            </w:pPr>
            <w:r>
              <w:t>2</w:t>
            </w:r>
          </w:p>
        </w:tc>
      </w:tr>
    </w:tbl>
    <w:p/>
    <w:p>
      <w:pPr>
        <w:tabs>
          <w:tab w:val="clear" w:pos="425"/>
        </w:tabs>
        <w:ind w:left="709" w:hanging="709"/>
      </w:pPr>
      <w:r>
        <w:t>2.2</w:t>
      </w:r>
      <w:r>
        <w:tab/>
        <w:t>Die Werte der Nummer 2.1 beziehen sich auf das Abwasser im Ablauf der Abwasserbehandlung</w:t>
      </w:r>
      <w:r>
        <w:t>s</w:t>
      </w:r>
      <w:r>
        <w:t>anlage.</w:t>
      </w:r>
    </w:p>
    <w:p>
      <w:pPr>
        <w:tabs>
          <w:tab w:val="clear" w:pos="425"/>
        </w:tabs>
        <w:ind w:left="709" w:hanging="709"/>
      </w:pPr>
      <w:r>
        <w:tab/>
        <w:t>Diesen Werten liegen folgende oder gleichwertige Analyseverfahren zugrunde:</w:t>
      </w:r>
    </w:p>
    <w:p>
      <w:pPr>
        <w:tabs>
          <w:tab w:val="clear" w:pos="425"/>
          <w:tab w:val="left" w:pos="5103"/>
        </w:tabs>
        <w:ind w:left="709" w:hanging="709"/>
      </w:pPr>
      <w:r>
        <w:lastRenderedPageBreak/>
        <w:t>2.2.1</w:t>
      </w:r>
      <w:r>
        <w:tab/>
        <w:t>Absetzbare Stoffe:</w:t>
      </w:r>
      <w:r>
        <w:tab/>
        <w:t>DIN 38409 - H 9 - 2 (Ausgabe Juli 1980)</w:t>
      </w:r>
    </w:p>
    <w:p>
      <w:pPr>
        <w:tabs>
          <w:tab w:val="clear" w:pos="425"/>
          <w:tab w:val="left" w:pos="5103"/>
        </w:tabs>
        <w:ind w:left="709" w:hanging="709"/>
        <w:jc w:val="left"/>
      </w:pPr>
      <w:r>
        <w:t>2.2.2</w:t>
      </w:r>
      <w:r>
        <w:tab/>
        <w:t>Chemischer Sauerstoffbedarf (CSB)</w:t>
      </w:r>
      <w:r>
        <w:br/>
        <w:t>von der abgesetzten Probe:</w:t>
      </w:r>
      <w:r>
        <w:tab/>
        <w:t>DIN 38409 - H 41 (Ausgabe Dezember 1980)</w:t>
      </w:r>
    </w:p>
    <w:p>
      <w:pPr>
        <w:tabs>
          <w:tab w:val="clear" w:pos="425"/>
          <w:tab w:val="left" w:pos="5103"/>
        </w:tabs>
        <w:ind w:left="709" w:hanging="709"/>
        <w:jc w:val="left"/>
      </w:pPr>
      <w:r>
        <w:t>2.2.3</w:t>
      </w:r>
      <w:r>
        <w:tab/>
        <w:t xml:space="preserve">Biochemischer Sauerstoffbedarf in </w:t>
      </w:r>
      <w:r>
        <w:br/>
        <w:t>5 Tagen (BSB</w:t>
      </w:r>
      <w:r>
        <w:rPr>
          <w:vertAlign w:val="subscript"/>
        </w:rPr>
        <w:t>5</w:t>
      </w:r>
      <w:r>
        <w:t>) von der abgesetzten Probe:</w:t>
      </w:r>
      <w:r>
        <w:tab/>
        <w:t xml:space="preserve">DEV H 5a 2 (4. Lieferung, 1966) unter zusätzlicher </w:t>
      </w:r>
      <w:r>
        <w:tab/>
        <w:t xml:space="preserve">Hemmung der Nitrifikation mit </w:t>
      </w:r>
      <w:r>
        <w:br/>
      </w:r>
      <w:r>
        <w:tab/>
      </w:r>
      <w:r>
        <w:t>0,5 mg/l Allylthio</w:t>
      </w:r>
      <w:r>
        <w:t>harnstoff</w:t>
      </w:r>
    </w:p>
    <w:p>
      <w:pPr>
        <w:tabs>
          <w:tab w:val="clear" w:pos="425"/>
          <w:tab w:val="left" w:pos="5103"/>
        </w:tabs>
        <w:ind w:left="709" w:hanging="709"/>
        <w:jc w:val="left"/>
      </w:pPr>
      <w:r>
        <w:t>2.2.4</w:t>
      </w:r>
      <w:r>
        <w:tab/>
        <w:t>Fischgiftigkeit als Verdünnungsfaktor</w:t>
      </w:r>
      <w:r>
        <w:br/>
        <w:t>G</w:t>
      </w:r>
      <w:r>
        <w:rPr>
          <w:vertAlign w:val="subscript"/>
        </w:rPr>
        <w:t>F</w:t>
      </w:r>
      <w:r>
        <w:t xml:space="preserve"> von der nicht abgesetzten Probe:</w:t>
      </w:r>
      <w:r>
        <w:tab/>
        <w:t>DIN 38412 - L 20 (Ausgabe Dezember 1980)</w:t>
      </w:r>
    </w:p>
    <w:p>
      <w:pPr>
        <w:tabs>
          <w:tab w:val="clear" w:pos="425"/>
          <w:tab w:val="left" w:pos="5103"/>
        </w:tabs>
        <w:ind w:left="709" w:hanging="709"/>
        <w:jc w:val="left"/>
      </w:pPr>
    </w:p>
    <w:p>
      <w:pPr>
        <w:tabs>
          <w:tab w:val="clear" w:pos="425"/>
        </w:tabs>
        <w:ind w:left="709" w:hanging="709"/>
      </w:pPr>
      <w:r>
        <w:t>2.3</w:t>
      </w:r>
      <w:r>
        <w:tab/>
        <w:t>Ein in Nummer 2.1 bestimmter Wert ist einzuhalten. Er gilt mit Ausnahme des Wertes für die Fischgiftigkeit auch als eingehalten, wenn das arithmetische Mittel aus den letzten fünf im Rahmen der staatlichen Gewässeraufsicht durchgeführten Untersuchungen diesen Wert nicht überschreitet. Ein in Nummer 2.1 für die Fischgiftigkeit bestimmter Wert gilt auch als eingehalten, wenn die Ergebnisse der letzten fünf im Rahmen der staatlichen Gewässeraufsicht durchgeführten Untersuchungen diesen Wert in vier Fällen nicht überschreiten. Untersuchungen, die länger als drei Jahre zurückliegen, bleiben unberücksichtigt.</w:t>
      </w:r>
    </w:p>
    <w:p>
      <w:pPr>
        <w:tabs>
          <w:tab w:val="clear" w:pos="425"/>
        </w:tabs>
        <w:ind w:left="709" w:hanging="709"/>
        <w:rPr>
          <w:b/>
        </w:rPr>
      </w:pPr>
      <w:r>
        <w:tab/>
        <w:t>Wird in einer Einzelprobe ein für die absetzbaren Stoffe in Nummer 2.1 festgelegter Wert überschritten, so kann bei den Nummern 2.1.1 und 2.1.2 für die Bildung des arithmetischen Mittels 0,3 ml/l eingesetzt werden, wenn die Trockenmasse der abfiltrierbaren Stoffe 30 mg/l nicht übersteigt.</w:t>
      </w:r>
      <w:r>
        <w:rPr>
          <w:rStyle w:val="Funotenzeichen"/>
        </w:rPr>
        <w:footnoteReference w:id="1"/>
      </w: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05.09.1984 (GMBl. S. 359)</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15.04.1996 (GMBl. 1996 S. 463/474)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unter Zugrundelegung des Verfahrens nach DIN 38409-H 2-2/3 (Ausgabe Juli 1980)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b/>
        <w:sz w:val="24"/>
      </w:rPr>
    </w:pPr>
    <w:r>
      <w:rPr>
        <w:b/>
        <w:sz w:val="24"/>
      </w:rPr>
      <w:t>Archiv7.3.43</w:t>
    </w:r>
  </w:p>
  <w:p>
    <w:pPr>
      <w:pStyle w:val="Kopfzeile"/>
      <w:spacing w:before="0" w:after="120"/>
    </w:pPr>
    <w:r>
      <w:t xml:space="preserve">43. </w:t>
    </w:r>
    <w:proofErr w:type="spellStart"/>
    <w:r>
      <w:t>AbwasserVwV</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7A64B41-FFC9-4120-B3D7-F97C7182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spacing w:before="60" w:after="60"/>
      <w:jc w:val="both"/>
    </w:pPr>
    <w:rPr>
      <w:rFonts w:ascii="Arial" w:hAnsi="Arial"/>
    </w:rPr>
  </w:style>
  <w:style w:type="paragraph" w:styleId="berschrift1">
    <w:name w:val="heading 1"/>
    <w:basedOn w:val="Standard"/>
    <w:next w:val="Standard"/>
    <w:qFormat/>
    <w:pPr>
      <w:keepNext/>
      <w:spacing w:before="24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tabs>
        <w:tab w:val="clear" w:pos="425"/>
      </w:tabs>
      <w:spacing w:before="240" w:after="180"/>
      <w:jc w:val="left"/>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spacing w:after="0"/>
      <w:jc w:val="right"/>
    </w:pPr>
  </w:style>
  <w:style w:type="paragraph" w:styleId="Fuzeile">
    <w:name w:val="footer"/>
    <w:basedOn w:val="Standard"/>
    <w:pPr>
      <w:tabs>
        <w:tab w:val="clear" w:pos="425"/>
        <w:tab w:val="right" w:pos="8505"/>
        <w:tab w:val="right" w:pos="9639"/>
      </w:tabs>
      <w:spacing w:after="0"/>
      <w:jc w:val="left"/>
    </w:pPr>
    <w:rPr>
      <w:sz w:val="16"/>
    </w:rPr>
  </w:style>
  <w:style w:type="character" w:styleId="Seitenzahl">
    <w:name w:val="page number"/>
    <w:basedOn w:val="Absatz-Standardschriftart"/>
    <w:rPr>
      <w:rFonts w:ascii="Arial" w:hAnsi="Arial"/>
      <w:sz w:val="16"/>
    </w:rPr>
  </w:style>
  <w:style w:type="paragraph" w:styleId="Verzeichnis2">
    <w:name w:val="toc 2"/>
    <w:basedOn w:val="Standard"/>
    <w:next w:val="Standard"/>
    <w:semiHidden/>
    <w:pPr>
      <w:tabs>
        <w:tab w:val="clear" w:pos="425"/>
        <w:tab w:val="left" w:pos="1418"/>
        <w:tab w:val="right" w:leader="dot" w:pos="9639"/>
      </w:tabs>
      <w:spacing w:after="0"/>
      <w:ind w:left="1418" w:right="567" w:hanging="1418"/>
      <w:jc w:val="left"/>
    </w:pPr>
    <w:rPr>
      <w:rFonts w:ascii="Times New Roman" w:hAnsi="Times New Roman"/>
      <w:smallCaps/>
    </w:rPr>
  </w:style>
  <w:style w:type="paragraph" w:styleId="Beschriftung">
    <w:name w:val="caption"/>
    <w:basedOn w:val="Standard"/>
    <w:next w:val="Standard"/>
    <w:qFormat/>
    <w:pPr>
      <w:spacing w:before="120"/>
    </w:pPr>
    <w:rPr>
      <w:b/>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semiHidden/>
    <w:pPr>
      <w:spacing w:before="0" w:after="0"/>
      <w:ind w:left="425" w:hanging="425"/>
    </w:pPr>
    <w:rPr>
      <w:sz w:val="16"/>
    </w:rPr>
  </w:style>
  <w:style w:type="paragraph" w:styleId="Verzeichnis1">
    <w:name w:val="toc 1"/>
    <w:basedOn w:val="Verzeichnis3"/>
    <w:next w:val="Standard"/>
    <w:semiHidden/>
    <w:pPr>
      <w:tabs>
        <w:tab w:val="right" w:pos="9638"/>
      </w:tabs>
      <w:spacing w:before="120" w:after="120"/>
      <w:ind w:left="0" w:right="566"/>
    </w:pPr>
    <w:rPr>
      <w:b/>
      <w:i w:val="0"/>
      <w:caps/>
    </w:rPr>
  </w:style>
  <w:style w:type="paragraph" w:styleId="Aufzhlungszeichen">
    <w:name w:val="List Bullet"/>
    <w:basedOn w:val="Standard"/>
    <w:pPr>
      <w:ind w:left="283" w:hanging="283"/>
    </w:pPr>
  </w:style>
  <w:style w:type="paragraph" w:customStyle="1" w:styleId="GesAbsatz">
    <w:name w:val="GesAbsatz"/>
    <w:basedOn w:val="Standard"/>
    <w:pPr>
      <w:tabs>
        <w:tab w:val="left" w:pos="425"/>
      </w:tabs>
    </w:pPr>
    <w:rPr>
      <w:color w:val="000000"/>
    </w:rPr>
  </w:style>
  <w:style w:type="paragraph" w:customStyle="1" w:styleId="GesNr">
    <w:name w:val="GesNr"/>
    <w:basedOn w:val="Standard"/>
    <w:pPr>
      <w:tabs>
        <w:tab w:val="left" w:pos="578"/>
      </w:tabs>
      <w:ind w:left="284" w:hanging="284"/>
    </w:pPr>
    <w:rPr>
      <w:color w:val="000000"/>
    </w:rPr>
  </w:style>
  <w:style w:type="paragraph" w:customStyle="1" w:styleId="Einzug1">
    <w:name w:val="Einzug1"/>
    <w:basedOn w:val="Standard"/>
    <w:next w:val="Standard"/>
    <w:pPr>
      <w:tabs>
        <w:tab w:val="clear" w:pos="425"/>
        <w:tab w:val="left" w:pos="576"/>
      </w:tabs>
      <w:ind w:left="567" w:hanging="567"/>
    </w:pPr>
    <w:rPr>
      <w:color w:val="000000"/>
    </w:rPr>
  </w:style>
  <w:style w:type="paragraph" w:customStyle="1" w:styleId="Einzug3">
    <w:name w:val="Einzug3"/>
    <w:basedOn w:val="Standard"/>
    <w:pPr>
      <w:tabs>
        <w:tab w:val="clear" w:pos="425"/>
      </w:tabs>
      <w:ind w:left="993" w:hanging="284"/>
    </w:pPr>
    <w:rPr>
      <w:color w:val="000000"/>
    </w:rPr>
  </w:style>
  <w:style w:type="paragraph" w:customStyle="1" w:styleId="GesBs">
    <w:name w:val="GesBs"/>
    <w:basedOn w:val="Standard"/>
    <w:pPr>
      <w:tabs>
        <w:tab w:val="left" w:pos="935"/>
      </w:tabs>
      <w:ind w:left="568" w:hanging="284"/>
    </w:pPr>
    <w:rPr>
      <w:color w:val="000000"/>
    </w:rPr>
  </w:style>
  <w:style w:type="paragraph" w:styleId="Verzeichnis4">
    <w:name w:val="toc 4"/>
    <w:basedOn w:val="Standard"/>
    <w:next w:val="Standard"/>
    <w:semiHidden/>
    <w:pPr>
      <w:tabs>
        <w:tab w:val="clear" w:pos="425"/>
        <w:tab w:val="right" w:leader="dot" w:pos="9638"/>
      </w:tabs>
      <w:spacing w:after="0"/>
      <w:ind w:left="400"/>
      <w:jc w:val="left"/>
    </w:pPr>
    <w:rPr>
      <w:sz w:val="16"/>
    </w:rPr>
  </w:style>
  <w:style w:type="paragraph" w:customStyle="1" w:styleId="Einzug2">
    <w:name w:val="Einzug2"/>
    <w:basedOn w:val="Standard"/>
    <w:pPr>
      <w:tabs>
        <w:tab w:val="left" w:pos="937"/>
      </w:tabs>
      <w:ind w:left="709" w:hanging="284"/>
    </w:pPr>
    <w:rPr>
      <w:color w:val="000000"/>
    </w:rPr>
  </w:style>
  <w:style w:type="paragraph" w:customStyle="1" w:styleId="EinzugNR">
    <w:name w:val="EinzugNR"/>
    <w:basedOn w:val="Standard"/>
    <w:pPr>
      <w:tabs>
        <w:tab w:val="clear" w:pos="425"/>
        <w:tab w:val="left" w:pos="1298"/>
      </w:tabs>
      <w:ind w:left="567" w:hanging="567"/>
    </w:pPr>
    <w:rPr>
      <w:color w:val="000000"/>
    </w:rPr>
  </w:style>
  <w:style w:type="paragraph" w:customStyle="1" w:styleId="GesetzAbsatz">
    <w:name w:val="GesetzAbsatz"/>
    <w:pPr>
      <w:tabs>
        <w:tab w:val="left" w:pos="425"/>
        <w:tab w:val="left" w:pos="567"/>
      </w:tabs>
      <w:spacing w:before="60" w:after="60"/>
      <w:jc w:val="both"/>
    </w:pPr>
    <w:rPr>
      <w:rFonts w:ascii="Arial" w:hAnsi="Arial"/>
      <w:noProof/>
      <w:color w:val="000000"/>
    </w:rPr>
  </w:style>
  <w:style w:type="paragraph" w:customStyle="1" w:styleId="Einzug075Nr">
    <w:name w:val="Einzug075Nr"/>
    <w:pPr>
      <w:tabs>
        <w:tab w:val="left" w:pos="578"/>
      </w:tabs>
      <w:spacing w:before="60" w:after="60"/>
      <w:ind w:left="425" w:hanging="425"/>
      <w:jc w:val="both"/>
    </w:pPr>
    <w:rPr>
      <w:rFonts w:ascii="Arial" w:hAnsi="Arial"/>
      <w:noProof/>
      <w:color w:val="000000"/>
    </w:rPr>
  </w:style>
  <w:style w:type="paragraph" w:customStyle="1" w:styleId="Einzug075050Bs">
    <w:name w:val="Einzug075_050Bs"/>
    <w:basedOn w:val="Standard"/>
    <w:pPr>
      <w:tabs>
        <w:tab w:val="left" w:pos="935"/>
      </w:tabs>
      <w:spacing w:before="120" w:after="0"/>
      <w:ind w:left="709" w:hanging="284"/>
    </w:pPr>
    <w:rPr>
      <w:color w:val="000000"/>
    </w:rPr>
  </w:style>
  <w:style w:type="paragraph" w:customStyle="1" w:styleId="Einzug100Nr">
    <w:name w:val="Einzug100Nr"/>
    <w:basedOn w:val="Einzug075Nr"/>
    <w:pPr>
      <w:ind w:left="567" w:hanging="567"/>
    </w:pPr>
  </w:style>
  <w:style w:type="paragraph" w:customStyle="1" w:styleId="Einzug125">
    <w:name w:val="Einzug125"/>
    <w:basedOn w:val="Standard"/>
    <w:pPr>
      <w:tabs>
        <w:tab w:val="clear" w:pos="425"/>
      </w:tabs>
      <w:ind w:left="709" w:hanging="709"/>
    </w:pPr>
  </w:style>
  <w:style w:type="paragraph" w:customStyle="1" w:styleId="Einzug1250">
    <w:name w:val="Einzug 125"/>
    <w:basedOn w:val="Standard"/>
    <w:pPr>
      <w:spacing w:before="0" w:after="120"/>
      <w:ind w:left="709" w:hanging="709"/>
    </w:pPr>
  </w:style>
  <w:style w:type="character" w:styleId="Funotenzeichen">
    <w:name w:val="footnote reference"/>
    <w:basedOn w:val="Absatz-Standardschriftart"/>
    <w:semiHidden/>
    <w:rPr>
      <w:b/>
      <w:vertAlign w:val="superscript"/>
    </w:rPr>
  </w:style>
  <w:style w:type="paragraph" w:customStyle="1" w:styleId="Arial9">
    <w:name w:val="Arial9"/>
    <w:basedOn w:val="Standard"/>
    <w:pPr>
      <w:tabs>
        <w:tab w:val="clear" w:pos="425"/>
      </w:tabs>
      <w:ind w:left="709"/>
    </w:pPr>
    <w:rPr>
      <w:i/>
      <w:sz w:val="18"/>
    </w:rPr>
  </w:style>
  <w:style w:type="paragraph" w:customStyle="1" w:styleId="Emphasized">
    <w:name w:val="Emphasized"/>
    <w:basedOn w:val="Standard"/>
    <w:next w:val="Standard"/>
    <w:pPr>
      <w:tabs>
        <w:tab w:val="clear" w:pos="425"/>
      </w:tabs>
      <w:spacing w:before="0" w:after="0"/>
      <w:jc w:val="left"/>
    </w:pPr>
    <w:rPr>
      <w:rFonts w:ascii="Courier New" w:hAnsi="Courier New"/>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VT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50087-1F89-4ADB-B604-EDC2AC592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Template>
  <TotalTime>0</TotalTime>
  <Pages>2</Pages>
  <Words>402</Words>
  <Characters>2624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Dreiundvierzigste Allgemeine Verwaltungsvorschrift über Mindestanforderungen an das  Einleiten von Abwasser in Gewässer </vt:lpstr>
    </vt:vector>
  </TitlesOfParts>
  <Company>LUA</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Dreiundvierzigste Allgemeine Verwaltungsvorschrift über Mindestanforderungen an das  Einleiten von Abwasser in Gewässer</dc:title>
  <dc:subject/>
  <dc:creator>Jochen Stöppler</dc:creator>
  <cp:keywords/>
  <cp:lastModifiedBy>Rüter, Dr., Ingo</cp:lastModifiedBy>
  <cp:revision>8</cp:revision>
  <cp:lastPrinted>1601-01-01T00:00:00Z</cp:lastPrinted>
  <dcterms:created xsi:type="dcterms:W3CDTF">2024-07-22T10:02:00Z</dcterms:created>
  <dcterms:modified xsi:type="dcterms:W3CDTF">2024-07-22T10:49:00Z</dcterms:modified>
</cp:coreProperties>
</file>