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Achtunddreißigste Allgemeine Verwaltungsvorschrift über Mindestanforderungen an das Einleiten von Abwasser in Gewässer - </w:t>
      </w:r>
      <w:r>
        <w:br/>
        <w:t>Textilherstel</w:t>
      </w:r>
      <w:bookmarkStart w:id="0" w:name="_GoBack"/>
      <w:bookmarkEnd w:id="0"/>
      <w:r>
        <w:t>lung</w:t>
      </w:r>
    </w:p>
    <w:p>
      <w:pPr>
        <w:jc w:val="center"/>
      </w:pPr>
      <w:r>
        <w:t>Stand 05.09.1984</w:t>
      </w:r>
    </w:p>
    <w:p/>
    <w:p>
      <w:r>
        <w:t>Nach § 7a Abs. 1 des Wasserhaushaltsgesetzes in der Fassung der Bekanntmachung vom 16. Oktober 1976 (BGBl. I S. 3017) wird mit Zustimmung des Bundesrates folgende allgemeine Verwaltungsvorschrift erlassen:</w:t>
      </w:r>
    </w:p>
    <w:p>
      <w:pPr>
        <w:pStyle w:val="berschrift3"/>
      </w:pPr>
      <w:r>
        <w:t>1.</w:t>
      </w:r>
      <w:r>
        <w:tab/>
        <w:t>Anwendungsbereich:</w:t>
      </w:r>
    </w:p>
    <w:p>
      <w:pPr>
        <w:tabs>
          <w:tab w:val="clear" w:pos="425"/>
        </w:tabs>
        <w:ind w:left="709" w:hanging="709"/>
      </w:pPr>
      <w:r>
        <w:t>1.1</w:t>
      </w:r>
      <w:r>
        <w:tab/>
        <w:t>Diese Allgemeine Verwaltungsvorschrift gilt für in Gewässer einzuleitendes Abwasser, dessen Schmutzfracht im Wesentlichen aus der Bearbeitung und Verarbeitung von Spinnstoffen und Garnen und der Textilveredelung stammt.</w:t>
      </w:r>
    </w:p>
    <w:p>
      <w:pPr>
        <w:tabs>
          <w:tab w:val="clear" w:pos="425"/>
        </w:tabs>
        <w:ind w:left="709" w:hanging="709"/>
      </w:pPr>
      <w:r>
        <w:t>1.2</w:t>
      </w:r>
      <w:r>
        <w:tab/>
        <w:t>Diese Allgemeine Verwaltungsvorschrift gilt nicht für das Einleiten von Abwasser aus</w:t>
      </w:r>
    </w:p>
    <w:p>
      <w:pPr>
        <w:tabs>
          <w:tab w:val="clear" w:pos="425"/>
        </w:tabs>
        <w:ind w:left="709" w:hanging="709"/>
      </w:pPr>
      <w:r>
        <w:t>1.2.1</w:t>
      </w:r>
      <w:r>
        <w:tab/>
        <w:t>der Wäsche von Rohwolle sowie aus</w:t>
      </w:r>
    </w:p>
    <w:p>
      <w:pPr>
        <w:tabs>
          <w:tab w:val="clear" w:pos="425"/>
        </w:tabs>
        <w:ind w:left="709" w:hanging="709"/>
      </w:pPr>
      <w:r>
        <w:t>1.2.2</w:t>
      </w:r>
      <w:r>
        <w:tab/>
        <w:t>Kühlsystemen.</w:t>
      </w:r>
    </w:p>
    <w:p>
      <w:pPr>
        <w:pStyle w:val="berschrift3"/>
      </w:pPr>
      <w:r>
        <w:t>2.</w:t>
      </w:r>
      <w:r>
        <w:tab/>
        <w:t>Mindestanforderungen:</w:t>
      </w:r>
    </w:p>
    <w:p>
      <w:pPr>
        <w:tabs>
          <w:tab w:val="clear" w:pos="425"/>
        </w:tabs>
      </w:pPr>
      <w:r>
        <w:t>2.1</w:t>
      </w:r>
      <w:r>
        <w:tab/>
        <w:t>An das Einleiten des Abwassers werden folgende Mindestanforderungen gestellt:</w:t>
      </w:r>
    </w:p>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567"/>
        <w:gridCol w:w="1960"/>
        <w:gridCol w:w="1960"/>
        <w:gridCol w:w="1960"/>
      </w:tblGrid>
      <w:tr>
        <w:tc>
          <w:tcPr>
            <w:tcW w:w="2552" w:type="dxa"/>
            <w:tcBorders>
              <w:top w:val="single" w:sz="12" w:space="0" w:color="auto"/>
              <w:bottom w:val="single" w:sz="6" w:space="0" w:color="auto"/>
              <w:right w:val="nil"/>
            </w:tcBorders>
          </w:tcPr>
          <w:p>
            <w:pPr>
              <w:tabs>
                <w:tab w:val="clear" w:pos="425"/>
              </w:tabs>
              <w:jc w:val="left"/>
            </w:pPr>
          </w:p>
        </w:tc>
        <w:tc>
          <w:tcPr>
            <w:tcW w:w="567" w:type="dxa"/>
            <w:tcBorders>
              <w:left w:val="nil"/>
            </w:tcBorders>
          </w:tcPr>
          <w:p>
            <w:pPr>
              <w:tabs>
                <w:tab w:val="clear" w:pos="425"/>
              </w:tabs>
              <w:jc w:val="center"/>
            </w:pPr>
          </w:p>
        </w:tc>
        <w:tc>
          <w:tcPr>
            <w:tcW w:w="1960" w:type="dxa"/>
          </w:tcPr>
          <w:p>
            <w:pPr>
              <w:tabs>
                <w:tab w:val="clear" w:pos="425"/>
              </w:tabs>
              <w:jc w:val="center"/>
            </w:pPr>
            <w:r>
              <w:t>Stichprobe</w:t>
            </w:r>
          </w:p>
        </w:tc>
        <w:tc>
          <w:tcPr>
            <w:tcW w:w="3920" w:type="dxa"/>
            <w:gridSpan w:val="2"/>
          </w:tcPr>
          <w:p>
            <w:pPr>
              <w:tabs>
                <w:tab w:val="clear" w:pos="425"/>
              </w:tabs>
              <w:jc w:val="center"/>
            </w:pPr>
            <w:r>
              <w:t>Mischprobe</w:t>
            </w:r>
          </w:p>
          <w:p>
            <w:pPr>
              <w:tabs>
                <w:tab w:val="clear" w:pos="425"/>
                <w:tab w:val="left" w:pos="2222"/>
              </w:tabs>
              <w:jc w:val="center"/>
            </w:pPr>
            <w:r>
              <w:t>2-Stunden</w:t>
            </w:r>
            <w:r>
              <w:tab/>
              <w:t>24-Stunden</w:t>
            </w:r>
          </w:p>
        </w:tc>
      </w:tr>
      <w:tr>
        <w:tc>
          <w:tcPr>
            <w:tcW w:w="2552" w:type="dxa"/>
          </w:tcPr>
          <w:p>
            <w:pPr>
              <w:tabs>
                <w:tab w:val="clear" w:pos="425"/>
              </w:tabs>
              <w:jc w:val="left"/>
            </w:pPr>
            <w:r>
              <w:t>Abfiltrierbare Stoffe</w:t>
            </w:r>
          </w:p>
        </w:tc>
        <w:tc>
          <w:tcPr>
            <w:tcW w:w="567" w:type="dxa"/>
          </w:tcPr>
          <w:p>
            <w:pPr>
              <w:tabs>
                <w:tab w:val="clear" w:pos="425"/>
              </w:tabs>
              <w:jc w:val="center"/>
            </w:pPr>
            <w:r>
              <w:t>mg/l</w:t>
            </w:r>
          </w:p>
        </w:tc>
        <w:tc>
          <w:tcPr>
            <w:tcW w:w="1960" w:type="dxa"/>
          </w:tcPr>
          <w:p>
            <w:pPr>
              <w:tabs>
                <w:tab w:val="clear" w:pos="425"/>
              </w:tabs>
              <w:jc w:val="center"/>
            </w:pPr>
            <w:r>
              <w:t>40</w:t>
            </w:r>
          </w:p>
        </w:tc>
        <w:tc>
          <w:tcPr>
            <w:tcW w:w="1960" w:type="dxa"/>
          </w:tcPr>
          <w:p>
            <w:pPr>
              <w:tabs>
                <w:tab w:val="clear" w:pos="425"/>
              </w:tabs>
              <w:jc w:val="center"/>
            </w:pPr>
            <w:r>
              <w:t>-</w:t>
            </w:r>
          </w:p>
        </w:tc>
        <w:tc>
          <w:tcPr>
            <w:tcW w:w="1960" w:type="dxa"/>
          </w:tcPr>
          <w:p>
            <w:pPr>
              <w:tabs>
                <w:tab w:val="clear" w:pos="425"/>
              </w:tabs>
              <w:jc w:val="center"/>
            </w:pPr>
            <w:r>
              <w:t>-</w:t>
            </w:r>
          </w:p>
        </w:tc>
      </w:tr>
      <w:tr>
        <w:tc>
          <w:tcPr>
            <w:tcW w:w="2552" w:type="dxa"/>
          </w:tcPr>
          <w:p>
            <w:pPr>
              <w:tabs>
                <w:tab w:val="clear" w:pos="425"/>
              </w:tabs>
              <w:jc w:val="left"/>
            </w:pPr>
            <w:r>
              <w:t>Absetzbare Stoffe</w:t>
            </w:r>
          </w:p>
        </w:tc>
        <w:tc>
          <w:tcPr>
            <w:tcW w:w="567" w:type="dxa"/>
          </w:tcPr>
          <w:p>
            <w:pPr>
              <w:tabs>
                <w:tab w:val="clear" w:pos="425"/>
              </w:tabs>
              <w:jc w:val="center"/>
            </w:pPr>
            <w:r>
              <w:t>ml/l</w:t>
            </w:r>
          </w:p>
        </w:tc>
        <w:tc>
          <w:tcPr>
            <w:tcW w:w="1960" w:type="dxa"/>
          </w:tcPr>
          <w:p>
            <w:pPr>
              <w:tabs>
                <w:tab w:val="clear" w:pos="425"/>
              </w:tabs>
              <w:jc w:val="center"/>
            </w:pPr>
            <w:r>
              <w:t>0,3</w:t>
            </w:r>
          </w:p>
        </w:tc>
        <w:tc>
          <w:tcPr>
            <w:tcW w:w="1960" w:type="dxa"/>
          </w:tcPr>
          <w:p>
            <w:pPr>
              <w:tabs>
                <w:tab w:val="clear" w:pos="425"/>
              </w:tabs>
              <w:jc w:val="center"/>
            </w:pPr>
            <w:r>
              <w:t>-</w:t>
            </w:r>
          </w:p>
        </w:tc>
        <w:tc>
          <w:tcPr>
            <w:tcW w:w="1960" w:type="dxa"/>
          </w:tcPr>
          <w:p>
            <w:pPr>
              <w:tabs>
                <w:tab w:val="clear" w:pos="425"/>
              </w:tabs>
              <w:jc w:val="center"/>
            </w:pPr>
            <w:r>
              <w:t>-</w:t>
            </w:r>
          </w:p>
        </w:tc>
      </w:tr>
      <w:tr>
        <w:tc>
          <w:tcPr>
            <w:tcW w:w="2552" w:type="dxa"/>
          </w:tcPr>
          <w:p>
            <w:pPr>
              <w:tabs>
                <w:tab w:val="clear" w:pos="425"/>
              </w:tabs>
              <w:jc w:val="left"/>
            </w:pPr>
            <w:r>
              <w:t>Chemischer Sauerstoffbedarf (CSB)</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280</w:t>
            </w:r>
          </w:p>
        </w:tc>
        <w:tc>
          <w:tcPr>
            <w:tcW w:w="1960" w:type="dxa"/>
          </w:tcPr>
          <w:p>
            <w:pPr>
              <w:tabs>
                <w:tab w:val="clear" w:pos="425"/>
              </w:tabs>
              <w:jc w:val="center"/>
            </w:pPr>
            <w:r>
              <w:t>200</w:t>
            </w:r>
          </w:p>
        </w:tc>
      </w:tr>
      <w:tr>
        <w:tc>
          <w:tcPr>
            <w:tcW w:w="2552" w:type="dxa"/>
          </w:tcPr>
          <w:p>
            <w:pPr>
              <w:tabs>
                <w:tab w:val="clear" w:pos="425"/>
              </w:tabs>
              <w:jc w:val="left"/>
            </w:pPr>
            <w:r>
              <w:t>Biochemischer Sauerstoff</w:t>
            </w:r>
            <w:r>
              <w:softHyphen/>
              <w:t>bedarf in 5 Tagen (BSB</w:t>
            </w:r>
            <w:r>
              <w:rPr>
                <w:vertAlign w:val="subscript"/>
              </w:rPr>
              <w:t>5</w:t>
            </w:r>
            <w:r>
              <w:t>)</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40</w:t>
            </w:r>
          </w:p>
        </w:tc>
        <w:tc>
          <w:tcPr>
            <w:tcW w:w="1960" w:type="dxa"/>
          </w:tcPr>
          <w:p>
            <w:pPr>
              <w:tabs>
                <w:tab w:val="clear" w:pos="425"/>
              </w:tabs>
              <w:jc w:val="center"/>
            </w:pPr>
            <w:r>
              <w:t>30</w:t>
            </w:r>
          </w:p>
        </w:tc>
      </w:tr>
      <w:tr>
        <w:tc>
          <w:tcPr>
            <w:tcW w:w="2552" w:type="dxa"/>
          </w:tcPr>
          <w:p>
            <w:pPr>
              <w:tabs>
                <w:tab w:val="clear" w:pos="425"/>
              </w:tabs>
              <w:jc w:val="left"/>
            </w:pPr>
            <w:r>
              <w:t>Fischgiftigkeit als Verdünnungsfaktor G</w:t>
            </w:r>
            <w:r>
              <w:rPr>
                <w:vertAlign w:val="subscript"/>
              </w:rPr>
              <w:t>F</w:t>
            </w:r>
          </w:p>
        </w:tc>
        <w:tc>
          <w:tcPr>
            <w:tcW w:w="567" w:type="dxa"/>
          </w:tcPr>
          <w:p>
            <w:pPr>
              <w:tabs>
                <w:tab w:val="clear" w:pos="425"/>
              </w:tabs>
              <w:jc w:val="center"/>
            </w:pPr>
          </w:p>
        </w:tc>
        <w:tc>
          <w:tcPr>
            <w:tcW w:w="1960" w:type="dxa"/>
          </w:tcPr>
          <w:p>
            <w:pPr>
              <w:tabs>
                <w:tab w:val="clear" w:pos="425"/>
              </w:tabs>
              <w:jc w:val="center"/>
            </w:pPr>
            <w:r>
              <w:t>-</w:t>
            </w:r>
          </w:p>
        </w:tc>
        <w:tc>
          <w:tcPr>
            <w:tcW w:w="1960" w:type="dxa"/>
          </w:tcPr>
          <w:p>
            <w:pPr>
              <w:tabs>
                <w:tab w:val="clear" w:pos="425"/>
              </w:tabs>
              <w:jc w:val="center"/>
            </w:pPr>
            <w:r>
              <w:t>4</w:t>
            </w:r>
          </w:p>
        </w:tc>
        <w:tc>
          <w:tcPr>
            <w:tcW w:w="1960" w:type="dxa"/>
          </w:tcPr>
          <w:p>
            <w:pPr>
              <w:tabs>
                <w:tab w:val="clear" w:pos="425"/>
              </w:tabs>
              <w:jc w:val="center"/>
            </w:pPr>
            <w:r>
              <w:t>3</w:t>
            </w:r>
          </w:p>
        </w:tc>
      </w:tr>
      <w:tr>
        <w:tc>
          <w:tcPr>
            <w:tcW w:w="2552" w:type="dxa"/>
          </w:tcPr>
          <w:p>
            <w:pPr>
              <w:tabs>
                <w:tab w:val="clear" w:pos="425"/>
              </w:tabs>
              <w:jc w:val="left"/>
            </w:pPr>
            <w:r>
              <w:t>Zink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3</w:t>
            </w:r>
          </w:p>
        </w:tc>
        <w:tc>
          <w:tcPr>
            <w:tcW w:w="1960" w:type="dxa"/>
          </w:tcPr>
          <w:p>
            <w:pPr>
              <w:tabs>
                <w:tab w:val="clear" w:pos="425"/>
              </w:tabs>
              <w:jc w:val="center"/>
            </w:pPr>
            <w:r>
              <w:t>-</w:t>
            </w:r>
          </w:p>
        </w:tc>
      </w:tr>
      <w:tr>
        <w:tc>
          <w:tcPr>
            <w:tcW w:w="2552" w:type="dxa"/>
          </w:tcPr>
          <w:p>
            <w:pPr>
              <w:tabs>
                <w:tab w:val="clear" w:pos="425"/>
              </w:tabs>
              <w:jc w:val="left"/>
            </w:pPr>
            <w:r>
              <w:t>Kupfer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1</w:t>
            </w:r>
          </w:p>
        </w:tc>
        <w:tc>
          <w:tcPr>
            <w:tcW w:w="1960" w:type="dxa"/>
          </w:tcPr>
          <w:p>
            <w:pPr>
              <w:tabs>
                <w:tab w:val="clear" w:pos="425"/>
              </w:tabs>
              <w:jc w:val="center"/>
            </w:pPr>
            <w:r>
              <w:t>-</w:t>
            </w:r>
          </w:p>
        </w:tc>
      </w:tr>
      <w:tr>
        <w:tc>
          <w:tcPr>
            <w:tcW w:w="2552" w:type="dxa"/>
          </w:tcPr>
          <w:p>
            <w:pPr>
              <w:tabs>
                <w:tab w:val="clear" w:pos="425"/>
              </w:tabs>
              <w:jc w:val="left"/>
            </w:pPr>
            <w:r>
              <w:t>Chrom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2</w:t>
            </w:r>
          </w:p>
        </w:tc>
        <w:tc>
          <w:tcPr>
            <w:tcW w:w="1960" w:type="dxa"/>
          </w:tcPr>
          <w:p>
            <w:pPr>
              <w:tabs>
                <w:tab w:val="clear" w:pos="425"/>
              </w:tabs>
              <w:jc w:val="center"/>
            </w:pPr>
            <w:r>
              <w:t>-</w:t>
            </w:r>
          </w:p>
        </w:tc>
      </w:tr>
      <w:tr>
        <w:tc>
          <w:tcPr>
            <w:tcW w:w="2552" w:type="dxa"/>
          </w:tcPr>
          <w:p>
            <w:pPr>
              <w:tabs>
                <w:tab w:val="clear" w:pos="425"/>
              </w:tabs>
              <w:jc w:val="left"/>
            </w:pPr>
            <w:r>
              <w:t>Stickstoff aus Ammonium</w:t>
            </w:r>
            <w:r>
              <w:softHyphen/>
              <w:t>verbindungen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5</w:t>
            </w:r>
          </w:p>
        </w:tc>
        <w:tc>
          <w:tcPr>
            <w:tcW w:w="1960" w:type="dxa"/>
          </w:tcPr>
          <w:p>
            <w:pPr>
              <w:tabs>
                <w:tab w:val="clear" w:pos="425"/>
              </w:tabs>
              <w:jc w:val="center"/>
            </w:pPr>
            <w:r>
              <w:t>-</w:t>
            </w:r>
          </w:p>
        </w:tc>
      </w:tr>
      <w:tr>
        <w:tc>
          <w:tcPr>
            <w:tcW w:w="2552" w:type="dxa"/>
          </w:tcPr>
          <w:p>
            <w:pPr>
              <w:tabs>
                <w:tab w:val="clear" w:pos="425"/>
              </w:tabs>
              <w:jc w:val="left"/>
            </w:pPr>
            <w:r>
              <w:t>Wirksames Chlor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0,3</w:t>
            </w:r>
          </w:p>
        </w:tc>
        <w:tc>
          <w:tcPr>
            <w:tcW w:w="1960" w:type="dxa"/>
          </w:tcPr>
          <w:p>
            <w:pPr>
              <w:tabs>
                <w:tab w:val="clear" w:pos="425"/>
              </w:tabs>
              <w:jc w:val="center"/>
            </w:pPr>
            <w:r>
              <w:t>-</w:t>
            </w:r>
          </w:p>
        </w:tc>
      </w:tr>
      <w:tr>
        <w:tc>
          <w:tcPr>
            <w:tcW w:w="2552" w:type="dxa"/>
          </w:tcPr>
          <w:p>
            <w:pPr>
              <w:tabs>
                <w:tab w:val="clear" w:pos="425"/>
              </w:tabs>
              <w:jc w:val="left"/>
            </w:pPr>
            <w:r>
              <w:t>Sulfid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0.1</w:t>
            </w:r>
          </w:p>
        </w:tc>
        <w:tc>
          <w:tcPr>
            <w:tcW w:w="1960" w:type="dxa"/>
          </w:tcPr>
          <w:p>
            <w:pPr>
              <w:tabs>
                <w:tab w:val="clear" w:pos="425"/>
              </w:tabs>
              <w:jc w:val="center"/>
            </w:pPr>
            <w:r>
              <w:t>-</w:t>
            </w:r>
          </w:p>
        </w:tc>
      </w:tr>
      <w:tr>
        <w:tc>
          <w:tcPr>
            <w:tcW w:w="2552" w:type="dxa"/>
          </w:tcPr>
          <w:p>
            <w:pPr>
              <w:tabs>
                <w:tab w:val="clear" w:pos="425"/>
              </w:tabs>
              <w:jc w:val="left"/>
            </w:pPr>
            <w:r>
              <w:t>Sulfit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1</w:t>
            </w:r>
          </w:p>
        </w:tc>
        <w:tc>
          <w:tcPr>
            <w:tcW w:w="1960" w:type="dxa"/>
          </w:tcPr>
          <w:p>
            <w:pPr>
              <w:tabs>
                <w:tab w:val="clear" w:pos="425"/>
              </w:tabs>
              <w:jc w:val="center"/>
            </w:pPr>
            <w:r>
              <w:t>-</w:t>
            </w:r>
          </w:p>
        </w:tc>
      </w:tr>
      <w:tr>
        <w:tc>
          <w:tcPr>
            <w:tcW w:w="2552" w:type="dxa"/>
          </w:tcPr>
          <w:p>
            <w:pPr>
              <w:tabs>
                <w:tab w:val="clear" w:pos="425"/>
              </w:tabs>
              <w:jc w:val="left"/>
            </w:pPr>
            <w:r>
              <w:t>Kohlenwasserstoffe *)</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10</w:t>
            </w:r>
          </w:p>
        </w:tc>
        <w:tc>
          <w:tcPr>
            <w:tcW w:w="1960" w:type="dxa"/>
          </w:tcPr>
          <w:p>
            <w:pPr>
              <w:tabs>
                <w:tab w:val="clear" w:pos="425"/>
              </w:tabs>
              <w:jc w:val="center"/>
            </w:pPr>
            <w:r>
              <w:t>-</w:t>
            </w:r>
          </w:p>
        </w:tc>
      </w:tr>
    </w:tbl>
    <w:p>
      <w:pPr>
        <w:tabs>
          <w:tab w:val="clear" w:pos="425"/>
        </w:tabs>
        <w:ind w:left="709"/>
        <w:rPr>
          <w:sz w:val="16"/>
          <w:szCs w:val="16"/>
        </w:rPr>
      </w:pPr>
      <w:r>
        <w:rPr>
          <w:sz w:val="16"/>
          <w:szCs w:val="16"/>
        </w:rPr>
        <w:t>*) Diese Parameter müssen in den Bescheid aufgenommen werden, wenn sie im Abwasser zu erwarten sind.</w:t>
      </w:r>
    </w:p>
    <w:p>
      <w:pPr>
        <w:tabs>
          <w:tab w:val="clear" w:pos="425"/>
        </w:tabs>
        <w:ind w:left="709" w:hanging="709"/>
      </w:pPr>
      <w:r>
        <w:t>2.2</w:t>
      </w:r>
      <w:r>
        <w:tab/>
        <w:t>Die Werte der Nummer 2.1 beziehen sich auf das Abwasser im Ablauf der Abwasserbehandlungs</w:t>
      </w:r>
      <w:r>
        <w:softHyphen/>
        <w:t xml:space="preserve">anlage. </w:t>
      </w:r>
    </w:p>
    <w:p>
      <w:pPr>
        <w:tabs>
          <w:tab w:val="clear" w:pos="425"/>
        </w:tabs>
        <w:ind w:left="709" w:hanging="709"/>
      </w:pPr>
      <w:r>
        <w:tab/>
        <w:t>Diesen Werten liegen folgende oder gleichwertige Analyseverfahren zugrunde:</w:t>
      </w:r>
    </w:p>
    <w:p>
      <w:pPr>
        <w:tabs>
          <w:tab w:val="clear" w:pos="425"/>
          <w:tab w:val="left" w:pos="5103"/>
        </w:tabs>
        <w:ind w:left="709" w:hanging="709"/>
        <w:jc w:val="left"/>
      </w:pPr>
      <w:r>
        <w:t>2.2.1</w:t>
      </w:r>
      <w:r>
        <w:tab/>
        <w:t>Abfiltrierbare Stoffe:</w:t>
      </w:r>
      <w:r>
        <w:tab/>
        <w:t>DIN 38409 - H 2 - 2/3 (Ausgabe Juli 1980)</w:t>
      </w:r>
    </w:p>
    <w:p>
      <w:pPr>
        <w:tabs>
          <w:tab w:val="clear" w:pos="425"/>
          <w:tab w:val="left" w:pos="5103"/>
        </w:tabs>
        <w:ind w:left="709" w:hanging="709"/>
      </w:pPr>
      <w:r>
        <w:lastRenderedPageBreak/>
        <w:t>2.2.2</w:t>
      </w:r>
      <w:r>
        <w:tab/>
        <w:t>Absetzbare Stoffe:</w:t>
      </w:r>
      <w:r>
        <w:tab/>
        <w:t>DIN 38409 - H 9 - 2 (Ausgabe Juli 1980)</w:t>
      </w:r>
    </w:p>
    <w:p>
      <w:pPr>
        <w:tabs>
          <w:tab w:val="clear" w:pos="425"/>
          <w:tab w:val="left" w:pos="5103"/>
        </w:tabs>
        <w:ind w:left="709" w:hanging="709"/>
        <w:jc w:val="left"/>
      </w:pPr>
      <w:r>
        <w:t>2.2.3</w:t>
      </w:r>
      <w:r>
        <w:tab/>
        <w:t>Chemischer Sauerstoffbedarf (CSB)</w:t>
      </w:r>
      <w:r>
        <w:br/>
        <w:t>von der abgesetzten Probe:</w:t>
      </w:r>
      <w:r>
        <w:tab/>
        <w:t>DIN 38409 - H 41 (Ausgabe Dezember 1980)</w:t>
      </w:r>
    </w:p>
    <w:p>
      <w:pPr>
        <w:tabs>
          <w:tab w:val="clear" w:pos="425"/>
          <w:tab w:val="left" w:pos="5103"/>
        </w:tabs>
        <w:ind w:left="709" w:hanging="709"/>
        <w:jc w:val="left"/>
      </w:pPr>
      <w:r>
        <w:tab/>
        <w:t>Wird CSB aus der nicht absetzbaren Probe ermittelt, so erhöhen sich die in Nummer 2.1 für CSB festgelegten Werte um 15 mg/l</w:t>
      </w:r>
    </w:p>
    <w:p>
      <w:pPr>
        <w:tabs>
          <w:tab w:val="clear" w:pos="425"/>
          <w:tab w:val="left" w:pos="5103"/>
        </w:tabs>
        <w:ind w:left="709" w:hanging="709"/>
        <w:jc w:val="left"/>
      </w:pPr>
      <w:r>
        <w:t>2.2.4</w:t>
      </w:r>
      <w:r>
        <w:tab/>
        <w:t xml:space="preserve">Biochemischer Sauerstoffbedarf in </w:t>
      </w:r>
      <w:r>
        <w:br/>
        <w:t>5 Tagen (BSB</w:t>
      </w:r>
      <w:r>
        <w:rPr>
          <w:vertAlign w:val="subscript"/>
        </w:rPr>
        <w:t>5</w:t>
      </w:r>
      <w:r>
        <w:t>) von der abgesetzten Probe:</w:t>
      </w:r>
      <w:r>
        <w:tab/>
        <w:t xml:space="preserve">DEV H 5a 2 (4. Lieferung, 1966) unter zusätzlicher </w:t>
      </w:r>
      <w:r>
        <w:tab/>
        <w:t>Hemmung der Nitrifikation mit 0,5 mg/l</w:t>
      </w:r>
      <w:r>
        <w:tab/>
        <w:t>Allylthioharnstoff</w:t>
      </w:r>
    </w:p>
    <w:p>
      <w:pPr>
        <w:tabs>
          <w:tab w:val="clear" w:pos="425"/>
          <w:tab w:val="left" w:pos="5103"/>
        </w:tabs>
        <w:ind w:left="709"/>
        <w:jc w:val="left"/>
      </w:pPr>
      <w:r>
        <w:t>Wird BSB</w:t>
      </w:r>
      <w:r>
        <w:rPr>
          <w:vertAlign w:val="subscript"/>
        </w:rPr>
        <w:t>5</w:t>
      </w:r>
      <w:r>
        <w:t xml:space="preserve"> aus der nicht absetzbaren Probe ermittelt, so erhöhen sich die in Nummer 2.1 für BSB</w:t>
      </w:r>
      <w:r>
        <w:rPr>
          <w:vertAlign w:val="subscript"/>
        </w:rPr>
        <w:t>5</w:t>
      </w:r>
      <w:r>
        <w:t xml:space="preserve"> festgelegten Werte um 5 mg/l</w:t>
      </w:r>
    </w:p>
    <w:p>
      <w:pPr>
        <w:tabs>
          <w:tab w:val="clear" w:pos="425"/>
          <w:tab w:val="left" w:pos="5103"/>
        </w:tabs>
        <w:ind w:left="709" w:hanging="709"/>
        <w:jc w:val="left"/>
      </w:pPr>
      <w:r>
        <w:t>2.2.5</w:t>
      </w:r>
      <w:r>
        <w:tab/>
        <w:t>Fischgiftigkeit als Verdünnungsfaktor</w:t>
      </w:r>
      <w:r>
        <w:br/>
        <w:t>G</w:t>
      </w:r>
      <w:r>
        <w:rPr>
          <w:vertAlign w:val="subscript"/>
        </w:rPr>
        <w:t>F</w:t>
      </w:r>
      <w:r>
        <w:t xml:space="preserve"> von der nicht abgesetzten Probe:</w:t>
      </w:r>
      <w:r>
        <w:tab/>
        <w:t>DIN 38412 - L 20 (Ausgabe Dezember 1980)</w:t>
      </w:r>
    </w:p>
    <w:p>
      <w:pPr>
        <w:tabs>
          <w:tab w:val="clear" w:pos="425"/>
          <w:tab w:val="left" w:pos="5103"/>
        </w:tabs>
        <w:ind w:left="709" w:hanging="709"/>
        <w:jc w:val="left"/>
      </w:pPr>
      <w:r>
        <w:t>2.2.6</w:t>
      </w:r>
      <w:r>
        <w:tab/>
        <w:t>Zink, gesamt, von der nicht abgesetzten,</w:t>
      </w:r>
      <w:r>
        <w:br/>
        <w:t>homogenisierten Probe:</w:t>
      </w:r>
      <w:r>
        <w:tab/>
        <w:t>DIN 38406 - E 21</w:t>
      </w:r>
      <w:r>
        <w:rPr>
          <w:vertAlign w:val="superscript"/>
        </w:rPr>
        <w:t>1</w:t>
      </w:r>
      <w:r>
        <w:t xml:space="preserve"> (Ausgabe  September 1980)</w:t>
      </w:r>
    </w:p>
    <w:p>
      <w:pPr>
        <w:tabs>
          <w:tab w:val="clear" w:pos="425"/>
          <w:tab w:val="left" w:pos="5103"/>
        </w:tabs>
        <w:ind w:left="709" w:hanging="709"/>
        <w:jc w:val="left"/>
      </w:pPr>
      <w:r>
        <w:t>2.2.7</w:t>
      </w:r>
      <w:r>
        <w:tab/>
        <w:t>Kupfer, gesamt, von der nicht abgesetzten,</w:t>
      </w:r>
      <w:r>
        <w:br/>
        <w:t>homogenisierten Probe:</w:t>
      </w:r>
      <w:r>
        <w:tab/>
        <w:t>DIN 38406 - E 21</w:t>
      </w:r>
      <w:r>
        <w:rPr>
          <w:vertAlign w:val="superscript"/>
        </w:rPr>
        <w:t>1</w:t>
      </w:r>
      <w:r>
        <w:t xml:space="preserve"> (Ausgabe  September 1980)</w:t>
      </w:r>
    </w:p>
    <w:p>
      <w:pPr>
        <w:tabs>
          <w:tab w:val="clear" w:pos="425"/>
          <w:tab w:val="left" w:pos="5103"/>
        </w:tabs>
        <w:ind w:left="709" w:hanging="709"/>
        <w:jc w:val="left"/>
      </w:pPr>
      <w:r>
        <w:t>2.2.8</w:t>
      </w:r>
      <w:r>
        <w:tab/>
        <w:t>Chrom, gesamt, von der nicht abgesetzten,</w:t>
      </w:r>
      <w:r>
        <w:br/>
        <w:t>homogenisierten Probe:</w:t>
      </w:r>
      <w:r>
        <w:tab/>
        <w:t>analog DIN 38406 - E 21</w:t>
      </w:r>
      <w:r>
        <w:rPr>
          <w:rStyle w:val="Funotenzeichen"/>
        </w:rPr>
        <w:footnoteReference w:id="1"/>
      </w:r>
      <w:r>
        <w:t xml:space="preserve"> (Ausgabe  September </w:t>
      </w:r>
      <w:r>
        <w:tab/>
        <w:t>1980)</w:t>
      </w:r>
    </w:p>
    <w:p>
      <w:pPr>
        <w:tabs>
          <w:tab w:val="clear" w:pos="425"/>
          <w:tab w:val="left" w:pos="5103"/>
        </w:tabs>
        <w:ind w:left="709" w:hanging="709"/>
        <w:jc w:val="left"/>
      </w:pPr>
      <w:r>
        <w:t>2.2.9</w:t>
      </w:r>
      <w:r>
        <w:tab/>
        <w:t>Stickstoff aus Ammoniumverbindungen,</w:t>
      </w:r>
      <w:r>
        <w:br/>
        <w:t>von der nicht abgesetzten, homogenisier</w:t>
      </w:r>
      <w:r>
        <w:softHyphen/>
      </w:r>
      <w:r>
        <w:br/>
        <w:t>ten Probe:</w:t>
      </w:r>
      <w:r>
        <w:tab/>
        <w:t>DEV E 5.2 (7. Lieferung 1975)</w:t>
      </w:r>
    </w:p>
    <w:p>
      <w:pPr>
        <w:tabs>
          <w:tab w:val="clear" w:pos="425"/>
          <w:tab w:val="left" w:pos="5103"/>
        </w:tabs>
        <w:ind w:left="709" w:hanging="709"/>
        <w:jc w:val="left"/>
      </w:pPr>
      <w:r>
        <w:t>2.2.10</w:t>
      </w:r>
      <w:r>
        <w:tab/>
        <w:t>Wirksames Chlor von der filtrierten Probe:</w:t>
      </w:r>
      <w:r>
        <w:tab/>
        <w:t xml:space="preserve">DEV G 4.1b (7. Lieferung 1975), </w:t>
      </w:r>
      <w:r>
        <w:br/>
      </w:r>
      <w:r>
        <w:tab/>
        <w:t>Glasfaserfilter nicht mit Unterdruck</w:t>
      </w:r>
    </w:p>
    <w:p>
      <w:pPr>
        <w:tabs>
          <w:tab w:val="clear" w:pos="425"/>
          <w:tab w:val="left" w:pos="5103"/>
        </w:tabs>
        <w:ind w:left="709" w:hanging="709"/>
        <w:jc w:val="left"/>
      </w:pPr>
      <w:r>
        <w:t>2.2.11</w:t>
      </w:r>
      <w:r>
        <w:tab/>
        <w:t>Sulfid, gesamt, von der nicht abgesetzten,</w:t>
      </w:r>
      <w:r>
        <w:br/>
        <w:t>homogenisierten Probe:</w:t>
      </w:r>
      <w:r>
        <w:tab/>
        <w:t>DEV D 7b (7. Lieferung 1975)</w:t>
      </w:r>
    </w:p>
    <w:p>
      <w:pPr>
        <w:tabs>
          <w:tab w:val="clear" w:pos="425"/>
          <w:tab w:val="left" w:pos="5103"/>
        </w:tabs>
        <w:ind w:left="709" w:hanging="709"/>
        <w:jc w:val="left"/>
      </w:pPr>
      <w:r>
        <w:t>2.2.12</w:t>
      </w:r>
      <w:r>
        <w:tab/>
        <w:t>Sulfit, gesamt, von der nicht abgesetzten,</w:t>
      </w:r>
      <w:r>
        <w:br/>
        <w:t>homogenisierten Probe:</w:t>
      </w:r>
      <w:r>
        <w:tab/>
        <w:t>DEV D 6.2 (1. Lieferung 1960)</w:t>
      </w:r>
    </w:p>
    <w:p>
      <w:pPr>
        <w:tabs>
          <w:tab w:val="clear" w:pos="425"/>
          <w:tab w:val="left" w:pos="5103"/>
        </w:tabs>
        <w:ind w:left="709" w:hanging="709"/>
        <w:jc w:val="left"/>
      </w:pPr>
      <w:r>
        <w:t>2.2.13</w:t>
      </w:r>
      <w:r>
        <w:tab/>
        <w:t>Kohlenwasserstoffe von der nicht abgesetzten,</w:t>
      </w:r>
      <w:r>
        <w:br/>
        <w:t>homogenisierten Probe:</w:t>
      </w:r>
      <w:r>
        <w:tab/>
        <w:t>DIN 38409 - H 18 (Ausgabe Februar 1981)</w:t>
      </w:r>
    </w:p>
    <w:p>
      <w:pPr>
        <w:tabs>
          <w:tab w:val="clear" w:pos="425"/>
        </w:tabs>
        <w:ind w:left="709" w:hanging="709"/>
      </w:pPr>
      <w:r>
        <w:t>2.3</w:t>
      </w:r>
      <w:r>
        <w:tab/>
        <w:t>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 Ein für Fischgiftigkeit bestimmter Wert gilt auch als eingehalten, wenn die Ergebnisse der letzten fünf im Rahmen der staatlichen Gewässeraufsicht durchgeführten Untersuchungen diesen Wert in vier von fünf Fällen nicht überschreiten. Untersuchungen, die länger als drei Jahre zurückliegen, bleiben unberücksichtigt.</w:t>
      </w:r>
    </w:p>
    <w:p>
      <w:pPr>
        <w:tabs>
          <w:tab w:val="clear" w:pos="425"/>
        </w:tabs>
        <w:ind w:left="709" w:hanging="709"/>
        <w:rPr>
          <w:b/>
        </w:rPr>
      </w:pPr>
      <w:r>
        <w:tab/>
        <w:t>Wird in einer Einzelprobe der für die absetzbaren Stoffe in Nummer 2.1 festgelegte Wert überschritten, so kann für die Bildung des arithmetischen Mittels 0,3 ml/l eingesetzt werden, wenn die Anforderung an die abfiltrierbaren Stoffe eingehalten wird.</w:t>
      </w:r>
      <w:r>
        <w:rPr>
          <w:rStyle w:val="Funotenzeichen"/>
        </w:rPr>
        <w:footnoteReference w:id="2"/>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05.09.1984 (GMBl. 1984 S. 348)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ab/>
        <w:t>Aufschluss gemäß Anlage zur 25. AbwasserVwV vom 03.03.1983 (GMBl. S. 140)</w:t>
      </w:r>
    </w:p>
  </w:footnote>
  <w:footnote w:id="2">
    <w:p>
      <w:pPr>
        <w:pStyle w:val="Funotentext"/>
      </w:pPr>
      <w:r>
        <w:rPr>
          <w:rStyle w:val="Funotenzeichen"/>
        </w:rPr>
        <w:footnoteRef/>
      </w:r>
      <w:r>
        <w:t xml:space="preserve"> </w:t>
      </w:r>
      <w:r>
        <w:tab/>
        <w:t>Unter Zugrundelegung des Verfahrens nach DIN 38409 - H 2-2 (Ausgabe Juli 1980)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Archiv7.3.38</w:t>
    </w:r>
  </w:p>
  <w:p>
    <w:pPr>
      <w:pStyle w:val="Kopfzeile"/>
      <w:spacing w:before="0" w:after="120"/>
    </w:pPr>
    <w:r>
      <w:t>38. AbwasserVwV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ED7B1-411C-4CF2-92D8-103217CC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617</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Achtunddreißigste Allgemeine Verwaltungsvorschrift über Mindestanforderungen an das  Einleiten von Abwasser in Gewässer</vt:lpstr>
    </vt:vector>
  </TitlesOfParts>
  <Company>LUA</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Achtunddreißigste Allgemeine Verwaltungsvorschrift über Mindestanforderungen an das  Einleiten von Abwasser in Gewässer</dc:title>
  <dc:subject/>
  <dc:creator>Olaf Vetter</dc:creator>
  <cp:keywords/>
  <cp:lastModifiedBy>Rüter, Dr., Ingo</cp:lastModifiedBy>
  <cp:revision>5</cp:revision>
  <cp:lastPrinted>1899-12-31T23:00:00Z</cp:lastPrinted>
  <dcterms:created xsi:type="dcterms:W3CDTF">2024-07-22T09:22:00Z</dcterms:created>
  <dcterms:modified xsi:type="dcterms:W3CDTF">2024-07-22T09:37:00Z</dcterms:modified>
</cp:coreProperties>
</file>