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Neunundzwanzigste Allgemeine Verwaltungsvorschrift über Mindestanforderungen an das  Einleiten von Abwasser in Gewässer </w:t>
      </w:r>
      <w:r>
        <w:br/>
        <w:t>(Fischintensivhaltung)</w:t>
      </w:r>
    </w:p>
    <w:p>
      <w:pPr>
        <w:jc w:val="center"/>
      </w:pPr>
      <w:r>
        <w:t>Stand 13.09.1983</w:t>
      </w:r>
    </w:p>
    <w:p/>
    <w:p>
      <w:pPr>
        <w:jc w:val="left"/>
      </w:pPr>
      <w:r>
        <w:t>Nach § 7a Abs. 1 des Wasserhaushaltsgesetzes in der Fassung der Bekanntmachung vom 16. Oktober 1976 (BGBl. I S. 3017) wird mit Zustimmung des Bundesrates folgende allgemeine Verwaltungsvorschrift erlassen:</w:t>
      </w:r>
    </w:p>
    <w:p>
      <w:pPr>
        <w:pStyle w:val="berschrift3"/>
        <w:tabs>
          <w:tab w:val="clear" w:pos="425"/>
        </w:tabs>
        <w:jc w:val="left"/>
      </w:pPr>
      <w:r>
        <w:t>1.</w:t>
      </w:r>
      <w:r>
        <w:tab/>
        <w:t>Anwendungsbereich</w:t>
      </w:r>
    </w:p>
    <w:p>
      <w:pPr>
        <w:tabs>
          <w:tab w:val="clear" w:pos="425"/>
        </w:tabs>
        <w:ind w:left="709" w:hanging="709"/>
      </w:pPr>
      <w:r>
        <w:t>1.1</w:t>
      </w:r>
      <w:r>
        <w:tab/>
        <w:t xml:space="preserve">Die allgemeine Verwaltungsvorschrift gilt für in Gewässer einzuleitendes Abwasser, dessen Schmutzfracht im </w:t>
      </w:r>
      <w:proofErr w:type="gramStart"/>
      <w:r>
        <w:t>wesentlichen</w:t>
      </w:r>
      <w:proofErr w:type="gramEnd"/>
      <w:r>
        <w:t xml:space="preserve"> aus der Haltung von Fischen in Anlagen, die nicht Gewässer sind, stammt.</w:t>
      </w:r>
    </w:p>
    <w:p>
      <w:pPr>
        <w:tabs>
          <w:tab w:val="clear" w:pos="425"/>
        </w:tabs>
        <w:ind w:left="709" w:hanging="709"/>
      </w:pPr>
      <w:r>
        <w:t>1.2</w:t>
      </w:r>
      <w:r>
        <w:tab/>
        <w:t>Diese allgemeine Verwaltungsvorschrift gilt nicht für das Einleiten von Abwasser aus Kreislaufanlagen.</w:t>
      </w:r>
    </w:p>
    <w:p>
      <w:pPr>
        <w:pStyle w:val="berschrift3"/>
        <w:tabs>
          <w:tab w:val="clear" w:pos="425"/>
        </w:tabs>
        <w:jc w:val="left"/>
      </w:pPr>
      <w:r>
        <w:t>2.</w:t>
      </w:r>
      <w:r>
        <w:tab/>
        <w:t>Mindestanforderungen</w:t>
      </w:r>
    </w:p>
    <w:p>
      <w:pPr>
        <w:tabs>
          <w:tab w:val="clear" w:pos="425"/>
        </w:tabs>
        <w:ind w:left="709"/>
      </w:pPr>
      <w:r>
        <w:t>An das Einleiten des Abwassers werden folgende Mindestanforderungen gestellt:</w:t>
      </w:r>
    </w:p>
    <w:p/>
    <w:tbl>
      <w:tblPr>
        <w:tblW w:w="0" w:type="auto"/>
        <w:tblInd w:w="77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985"/>
        <w:gridCol w:w="1517"/>
        <w:gridCol w:w="1743"/>
        <w:gridCol w:w="1559"/>
      </w:tblGrid>
      <w:tr>
        <w:tblPrEx>
          <w:tblCellMar>
            <w:top w:w="0" w:type="dxa"/>
            <w:bottom w:w="0" w:type="dxa"/>
          </w:tblCellMar>
        </w:tblPrEx>
        <w:tc>
          <w:tcPr>
            <w:tcW w:w="1985" w:type="dxa"/>
            <w:tcBorders>
              <w:top w:val="single" w:sz="12" w:space="0" w:color="auto"/>
              <w:bottom w:val="nil"/>
              <w:right w:val="single" w:sz="6" w:space="0" w:color="auto"/>
            </w:tcBorders>
          </w:tcPr>
          <w:p>
            <w:pPr>
              <w:tabs>
                <w:tab w:val="clear" w:pos="425"/>
              </w:tabs>
              <w:jc w:val="center"/>
            </w:pPr>
          </w:p>
        </w:tc>
        <w:tc>
          <w:tcPr>
            <w:tcW w:w="1517" w:type="dxa"/>
            <w:tcBorders>
              <w:top w:val="single" w:sz="12" w:space="0" w:color="auto"/>
              <w:bottom w:val="nil"/>
              <w:right w:val="single" w:sz="6" w:space="0" w:color="auto"/>
            </w:tcBorders>
          </w:tcPr>
          <w:p>
            <w:pPr>
              <w:tabs>
                <w:tab w:val="clear" w:pos="425"/>
              </w:tabs>
              <w:jc w:val="center"/>
            </w:pPr>
            <w:r>
              <w:t>Absetzbare Stoffe</w:t>
            </w:r>
          </w:p>
        </w:tc>
        <w:tc>
          <w:tcPr>
            <w:tcW w:w="1743" w:type="dxa"/>
            <w:tcBorders>
              <w:top w:val="single" w:sz="12" w:space="0" w:color="auto"/>
              <w:bottom w:val="nil"/>
              <w:right w:val="single" w:sz="6" w:space="0" w:color="auto"/>
            </w:tcBorders>
          </w:tcPr>
          <w:p>
            <w:pPr>
              <w:tabs>
                <w:tab w:val="clear" w:pos="425"/>
              </w:tabs>
              <w:jc w:val="center"/>
            </w:pPr>
            <w:r>
              <w:t>Chemischer Sauerstoffbedarf (CSB)</w:t>
            </w:r>
          </w:p>
        </w:tc>
        <w:tc>
          <w:tcPr>
            <w:tcW w:w="1559" w:type="dxa"/>
            <w:tcBorders>
              <w:top w:val="single" w:sz="12" w:space="0" w:color="auto"/>
              <w:left w:val="nil"/>
              <w:bottom w:val="nil"/>
              <w:right w:val="single" w:sz="12" w:space="0" w:color="auto"/>
            </w:tcBorders>
          </w:tcPr>
          <w:p>
            <w:pPr>
              <w:tabs>
                <w:tab w:val="clear" w:pos="425"/>
              </w:tabs>
              <w:jc w:val="center"/>
            </w:pPr>
            <w:r>
              <w:t>Biochemischer Sauerstoff</w:t>
            </w:r>
            <w:r>
              <w:softHyphen/>
              <w:t>bedarf in 5 Tagen (BSB</w:t>
            </w:r>
            <w:r>
              <w:rPr>
                <w:vertAlign w:val="subscript"/>
              </w:rPr>
              <w:t>5</w:t>
            </w:r>
            <w:r>
              <w:t>)</w:t>
            </w:r>
          </w:p>
        </w:tc>
      </w:tr>
      <w:tr>
        <w:tblPrEx>
          <w:tblCellMar>
            <w:top w:w="0" w:type="dxa"/>
            <w:bottom w:w="0" w:type="dxa"/>
          </w:tblCellMar>
        </w:tblPrEx>
        <w:tc>
          <w:tcPr>
            <w:tcW w:w="1985" w:type="dxa"/>
            <w:tcBorders>
              <w:top w:val="nil"/>
              <w:bottom w:val="nil"/>
              <w:right w:val="single" w:sz="6" w:space="0" w:color="auto"/>
            </w:tcBorders>
          </w:tcPr>
          <w:p>
            <w:pPr>
              <w:tabs>
                <w:tab w:val="clear" w:pos="425"/>
              </w:tabs>
              <w:jc w:val="center"/>
            </w:pPr>
          </w:p>
        </w:tc>
        <w:tc>
          <w:tcPr>
            <w:tcW w:w="1517" w:type="dxa"/>
            <w:tcBorders>
              <w:top w:val="nil"/>
              <w:bottom w:val="nil"/>
              <w:right w:val="single" w:sz="6" w:space="0" w:color="auto"/>
            </w:tcBorders>
          </w:tcPr>
          <w:p>
            <w:pPr>
              <w:tabs>
                <w:tab w:val="clear" w:pos="425"/>
              </w:tabs>
              <w:jc w:val="center"/>
            </w:pPr>
            <w:r>
              <w:t>ml/l</w:t>
            </w:r>
          </w:p>
        </w:tc>
        <w:tc>
          <w:tcPr>
            <w:tcW w:w="1743" w:type="dxa"/>
            <w:tcBorders>
              <w:top w:val="nil"/>
              <w:bottom w:val="nil"/>
              <w:right w:val="single" w:sz="6" w:space="0" w:color="auto"/>
            </w:tcBorders>
          </w:tcPr>
          <w:p>
            <w:pPr>
              <w:tabs>
                <w:tab w:val="clear" w:pos="425"/>
              </w:tabs>
              <w:jc w:val="center"/>
            </w:pPr>
            <w:r>
              <w:t>mg/l</w:t>
            </w:r>
          </w:p>
        </w:tc>
        <w:tc>
          <w:tcPr>
            <w:tcW w:w="1559" w:type="dxa"/>
            <w:tcBorders>
              <w:top w:val="nil"/>
              <w:left w:val="nil"/>
              <w:bottom w:val="nil"/>
              <w:right w:val="single" w:sz="12" w:space="0" w:color="auto"/>
            </w:tcBorders>
          </w:tcPr>
          <w:p>
            <w:pPr>
              <w:tabs>
                <w:tab w:val="clear" w:pos="425"/>
              </w:tabs>
              <w:jc w:val="center"/>
              <w:rPr>
                <w:lang w:val="it-IT"/>
              </w:rPr>
            </w:pPr>
            <w:r>
              <w:rPr>
                <w:lang w:val="it-IT"/>
              </w:rPr>
              <w:t>mg/l</w:t>
            </w:r>
          </w:p>
        </w:tc>
      </w:tr>
      <w:tr>
        <w:tblPrEx>
          <w:tblCellMar>
            <w:top w:w="0" w:type="dxa"/>
            <w:bottom w:w="0" w:type="dxa"/>
          </w:tblCellMar>
        </w:tblPrEx>
        <w:tc>
          <w:tcPr>
            <w:tcW w:w="1985" w:type="dxa"/>
            <w:tcBorders>
              <w:top w:val="single" w:sz="6" w:space="0" w:color="auto"/>
              <w:bottom w:val="nil"/>
              <w:right w:val="single" w:sz="6" w:space="0" w:color="auto"/>
            </w:tcBorders>
          </w:tcPr>
          <w:p>
            <w:pPr>
              <w:tabs>
                <w:tab w:val="clear" w:pos="425"/>
              </w:tabs>
              <w:jc w:val="center"/>
              <w:rPr>
                <w:lang w:val="it-IT"/>
              </w:rPr>
            </w:pPr>
            <w:r>
              <w:rPr>
                <w:lang w:val="it-IT"/>
              </w:rPr>
              <w:t>Stichprobe</w:t>
            </w:r>
          </w:p>
        </w:tc>
        <w:tc>
          <w:tcPr>
            <w:tcW w:w="1517" w:type="dxa"/>
            <w:tcBorders>
              <w:top w:val="single" w:sz="6" w:space="0" w:color="auto"/>
              <w:bottom w:val="nil"/>
              <w:right w:val="single" w:sz="6" w:space="0" w:color="auto"/>
            </w:tcBorders>
          </w:tcPr>
          <w:p>
            <w:pPr>
              <w:tabs>
                <w:tab w:val="clear" w:pos="425"/>
              </w:tabs>
              <w:jc w:val="center"/>
            </w:pPr>
            <w:r>
              <w:t>0,3</w:t>
            </w:r>
          </w:p>
        </w:tc>
        <w:tc>
          <w:tcPr>
            <w:tcW w:w="1743" w:type="dxa"/>
            <w:tcBorders>
              <w:top w:val="single" w:sz="6" w:space="0" w:color="auto"/>
              <w:bottom w:val="nil"/>
              <w:right w:val="single" w:sz="6" w:space="0" w:color="auto"/>
            </w:tcBorders>
          </w:tcPr>
          <w:p>
            <w:pPr>
              <w:tabs>
                <w:tab w:val="clear" w:pos="425"/>
              </w:tabs>
              <w:jc w:val="center"/>
            </w:pPr>
            <w:r>
              <w:t>-</w:t>
            </w:r>
          </w:p>
        </w:tc>
        <w:tc>
          <w:tcPr>
            <w:tcW w:w="1559" w:type="dxa"/>
            <w:tcBorders>
              <w:top w:val="single" w:sz="6" w:space="0" w:color="auto"/>
              <w:left w:val="nil"/>
              <w:bottom w:val="nil"/>
              <w:right w:val="single" w:sz="12" w:space="0" w:color="auto"/>
            </w:tcBorders>
          </w:tcPr>
          <w:p>
            <w:pPr>
              <w:tabs>
                <w:tab w:val="clear" w:pos="425"/>
              </w:tabs>
              <w:jc w:val="center"/>
            </w:pPr>
            <w:r>
              <w:t>-</w:t>
            </w:r>
          </w:p>
        </w:tc>
      </w:tr>
      <w:tr>
        <w:tblPrEx>
          <w:tblCellMar>
            <w:top w:w="0" w:type="dxa"/>
            <w:bottom w:w="0" w:type="dxa"/>
          </w:tblCellMar>
        </w:tblPrEx>
        <w:tc>
          <w:tcPr>
            <w:tcW w:w="1985" w:type="dxa"/>
            <w:tcBorders>
              <w:top w:val="single" w:sz="6" w:space="0" w:color="auto"/>
              <w:bottom w:val="single" w:sz="12" w:space="0" w:color="auto"/>
              <w:right w:val="single" w:sz="6" w:space="0" w:color="auto"/>
            </w:tcBorders>
          </w:tcPr>
          <w:p>
            <w:pPr>
              <w:tabs>
                <w:tab w:val="clear" w:pos="425"/>
              </w:tabs>
              <w:jc w:val="center"/>
            </w:pPr>
            <w:r>
              <w:t>2-Std.-Mischprobe</w:t>
            </w:r>
          </w:p>
        </w:tc>
        <w:tc>
          <w:tcPr>
            <w:tcW w:w="1517" w:type="dxa"/>
            <w:tcBorders>
              <w:top w:val="single" w:sz="6" w:space="0" w:color="auto"/>
              <w:bottom w:val="single" w:sz="12" w:space="0" w:color="auto"/>
              <w:right w:val="single" w:sz="6" w:space="0" w:color="auto"/>
            </w:tcBorders>
          </w:tcPr>
          <w:p>
            <w:pPr>
              <w:tabs>
                <w:tab w:val="clear" w:pos="425"/>
              </w:tabs>
              <w:jc w:val="center"/>
            </w:pPr>
            <w:r>
              <w:t>-</w:t>
            </w:r>
          </w:p>
        </w:tc>
        <w:tc>
          <w:tcPr>
            <w:tcW w:w="1743" w:type="dxa"/>
            <w:tcBorders>
              <w:top w:val="single" w:sz="6" w:space="0" w:color="auto"/>
              <w:bottom w:val="single" w:sz="12" w:space="0" w:color="auto"/>
              <w:right w:val="single" w:sz="6" w:space="0" w:color="auto"/>
            </w:tcBorders>
          </w:tcPr>
          <w:p>
            <w:pPr>
              <w:tabs>
                <w:tab w:val="clear" w:pos="425"/>
              </w:tabs>
              <w:jc w:val="center"/>
            </w:pPr>
            <w:r>
              <w:t>30</w:t>
            </w:r>
          </w:p>
        </w:tc>
        <w:tc>
          <w:tcPr>
            <w:tcW w:w="1559" w:type="dxa"/>
            <w:tcBorders>
              <w:top w:val="single" w:sz="6" w:space="0" w:color="auto"/>
              <w:left w:val="nil"/>
              <w:bottom w:val="single" w:sz="12" w:space="0" w:color="auto"/>
              <w:right w:val="single" w:sz="12" w:space="0" w:color="auto"/>
            </w:tcBorders>
          </w:tcPr>
          <w:p>
            <w:pPr>
              <w:tabs>
                <w:tab w:val="clear" w:pos="425"/>
              </w:tabs>
              <w:jc w:val="center"/>
            </w:pPr>
            <w:r>
              <w:t>10</w:t>
            </w:r>
          </w:p>
        </w:tc>
      </w:tr>
    </w:tbl>
    <w:p/>
    <w:p>
      <w:pPr>
        <w:tabs>
          <w:tab w:val="clear" w:pos="425"/>
        </w:tabs>
        <w:ind w:left="709" w:hanging="709"/>
      </w:pPr>
      <w:r>
        <w:t>2.2</w:t>
      </w:r>
      <w:r>
        <w:tab/>
        <w:t>Den Werten liegen folgende oder gleichwertige Analyseverfahren zugrunde:</w:t>
      </w:r>
    </w:p>
    <w:p>
      <w:pPr>
        <w:tabs>
          <w:tab w:val="clear" w:pos="425"/>
          <w:tab w:val="left" w:pos="5103"/>
        </w:tabs>
        <w:ind w:left="709" w:hanging="709"/>
      </w:pPr>
      <w:r>
        <w:t>2.2.1</w:t>
      </w:r>
      <w:r>
        <w:tab/>
        <w:t>Absetzbare Stoffe:</w:t>
      </w:r>
      <w:r>
        <w:tab/>
        <w:t>DIN 38409 - H 9 - 2 (Ausgabe Juli 1980)</w:t>
      </w:r>
    </w:p>
    <w:p>
      <w:pPr>
        <w:tabs>
          <w:tab w:val="clear" w:pos="425"/>
          <w:tab w:val="left" w:pos="5103"/>
        </w:tabs>
        <w:ind w:left="709" w:hanging="709"/>
        <w:jc w:val="left"/>
      </w:pPr>
      <w:r>
        <w:t>2.2.2</w:t>
      </w:r>
      <w:r>
        <w:tab/>
        <w:t>Chemischer Sauerstoffbedarf (CSB)</w:t>
      </w:r>
      <w:r>
        <w:br/>
        <w:t>von der abgesetzten Probe:</w:t>
      </w:r>
      <w:r>
        <w:tab/>
        <w:t>DIN 38409 - H 41 (Ausgabe Dezember 1980)</w:t>
      </w:r>
    </w:p>
    <w:p>
      <w:pPr>
        <w:tabs>
          <w:tab w:val="clear" w:pos="425"/>
          <w:tab w:val="left" w:pos="5103"/>
        </w:tabs>
        <w:ind w:left="709" w:hanging="709"/>
        <w:jc w:val="left"/>
      </w:pPr>
      <w:r>
        <w:tab/>
        <w:t>Wird CSB aus der nicht absetzbaren Probe ermittelt, so erhöhen sich die in Nummer 2.1 für CSB festgelegten Werte um 6 mg/l</w:t>
      </w:r>
    </w:p>
    <w:p>
      <w:pPr>
        <w:tabs>
          <w:tab w:val="clear" w:pos="425"/>
          <w:tab w:val="left" w:pos="5103"/>
        </w:tabs>
        <w:ind w:left="709" w:hanging="709"/>
        <w:jc w:val="left"/>
      </w:pPr>
      <w:r>
        <w:t>2.2.3</w:t>
      </w:r>
      <w:r>
        <w:tab/>
        <w:t xml:space="preserve">Biochemischer Sauerstoffbedarf in </w:t>
      </w:r>
      <w:r>
        <w:br/>
        <w:t>5 Tagen (BSB</w:t>
      </w:r>
      <w:r>
        <w:rPr>
          <w:vertAlign w:val="subscript"/>
        </w:rPr>
        <w:t>5</w:t>
      </w:r>
      <w:r>
        <w:t>) von der abgesetzten Probe:</w:t>
      </w:r>
      <w:r>
        <w:tab/>
        <w:t xml:space="preserve">DEV H 5a 2 (4. Lieferung, 1966) unter zusätzlicher </w:t>
      </w:r>
      <w:r>
        <w:tab/>
        <w:t xml:space="preserve">Hemmung der Nitrifikation mit 0,5 mg/l </w:t>
      </w:r>
      <w:proofErr w:type="spellStart"/>
      <w:r>
        <w:t>Allylthio</w:t>
      </w:r>
      <w:proofErr w:type="spellEnd"/>
      <w:r>
        <w:softHyphen/>
      </w:r>
      <w:r>
        <w:tab/>
      </w:r>
      <w:proofErr w:type="spellStart"/>
      <w:r>
        <w:t>harnstoff</w:t>
      </w:r>
      <w:proofErr w:type="spellEnd"/>
    </w:p>
    <w:p>
      <w:pPr>
        <w:tabs>
          <w:tab w:val="clear" w:pos="425"/>
          <w:tab w:val="left" w:pos="5103"/>
        </w:tabs>
        <w:ind w:left="709" w:hanging="709"/>
        <w:jc w:val="left"/>
      </w:pPr>
      <w:r>
        <w:tab/>
        <w:t>Wird BSB</w:t>
      </w:r>
      <w:r>
        <w:rPr>
          <w:vertAlign w:val="subscript"/>
        </w:rPr>
        <w:t>5</w:t>
      </w:r>
      <w:r>
        <w:t xml:space="preserve"> aus der nicht absetzbaren Probe ermittelt, so erhöhen sich die in Nummer 2.1 für BSB</w:t>
      </w:r>
      <w:r>
        <w:rPr>
          <w:vertAlign w:val="subscript"/>
        </w:rPr>
        <w:t>5</w:t>
      </w:r>
      <w:r>
        <w:t xml:space="preserve"> festgelegten Werte um 3 mg/l</w:t>
      </w:r>
    </w:p>
    <w:p>
      <w:pPr>
        <w:tabs>
          <w:tab w:val="clear" w:pos="425"/>
        </w:tabs>
        <w:ind w:left="709" w:hanging="709"/>
      </w:pPr>
      <w:r>
        <w:t>2.2.4</w:t>
      </w:r>
      <w:r>
        <w:tab/>
        <w:t>Ist eine Probe durch Algen deutlich gefärbt, so sind der CSB und der BSB</w:t>
      </w:r>
      <w:r>
        <w:rPr>
          <w:vertAlign w:val="subscript"/>
        </w:rPr>
        <w:t>5</w:t>
      </w:r>
      <w:r>
        <w:t xml:space="preserve"> von der algenfreien Probe zu bestimmen.</w:t>
      </w:r>
    </w:p>
    <w:p>
      <w:pPr>
        <w:tabs>
          <w:tab w:val="clear" w:pos="425"/>
        </w:tabs>
        <w:ind w:left="709" w:hanging="709"/>
      </w:pPr>
      <w:r>
        <w:t>2.3</w:t>
      </w:r>
      <w:r>
        <w:tab/>
        <w:t>Ein in Nummer 2.1 bestimmter Wert ist einzuhalten, wenn das arithmetische Mittel der Ergebnisse aus den letzten fünf im Rahmen der staatlichen Gewässeraufsicht durchgeführten Untersuchungen diesen Wert nicht überschreitet. Untersuchungen, die länger als drei Jahre zurückliegen, bleiben unberücksichtigt.</w:t>
      </w:r>
    </w:p>
    <w:p>
      <w:pPr>
        <w:tabs>
          <w:tab w:val="clear" w:pos="425"/>
        </w:tabs>
        <w:ind w:left="709"/>
      </w:pPr>
      <w:r>
        <w:lastRenderedPageBreak/>
        <w:t>Wird in einer Einzelprobe der für die absetzbaren Stoffe in Nummer 2.1 festgelegte Wert überschritten, so kann für die Bildung des arithmetischen Mittels 0,5 ml/l eingesetzt werden, wenn die Trockenmasse der abfiltrierbaren 50 mg/l nicht</w:t>
      </w:r>
      <w:bookmarkStart w:id="0" w:name="_GoBack"/>
      <w:bookmarkEnd w:id="0"/>
      <w:r>
        <w:t xml:space="preserve"> übersteigt.</w:t>
      </w:r>
      <w:r>
        <w:rPr>
          <w:rStyle w:val="Funotenzeichen"/>
        </w:rPr>
        <w:footnoteReference w:id="1"/>
      </w:r>
    </w:p>
    <w:p/>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13.09.1983 (</w:t>
    </w:r>
    <w:proofErr w:type="spellStart"/>
    <w:r>
      <w:t>BAnz.Nr</w:t>
    </w:r>
    <w:proofErr w:type="spellEnd"/>
    <w:r>
      <w:t>. 173 13.09.1996)</w:t>
    </w:r>
    <w:r>
      <w:tab/>
    </w:r>
    <w:r>
      <w:rPr>
        <w:sz w:val="20"/>
      </w:rPr>
      <w:t xml:space="preserve">Seite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id="1">
    <w:p>
      <w:pPr>
        <w:pStyle w:val="Funotentext"/>
      </w:pPr>
      <w:r>
        <w:rPr>
          <w:rStyle w:val="Funotenzeichen"/>
        </w:rPr>
        <w:footnoteRef/>
      </w:r>
      <w:r>
        <w:t xml:space="preserve"> </w:t>
      </w:r>
      <w:r>
        <w:tab/>
        <w:t xml:space="preserve">Unter Zugrundelegung des </w:t>
      </w:r>
      <w:proofErr w:type="spellStart"/>
      <w:r>
        <w:t>Vefahrens</w:t>
      </w:r>
      <w:proofErr w:type="spellEnd"/>
      <w:r>
        <w:t xml:space="preserve"> nach DIN 38409 - H 2 - 2 (Ausgabe Juli 1980)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100.7-3.29</w:t>
    </w:r>
  </w:p>
  <w:p>
    <w:pPr>
      <w:pStyle w:val="Kopfzeile"/>
      <w:spacing w:before="0" w:after="120"/>
    </w:pPr>
    <w:r>
      <w:t>29. Abwasser 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7074C-79E8-4793-B5AE-192784FA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jc w:val="right"/>
    </w:pPr>
  </w:style>
  <w:style w:type="paragraph" w:styleId="Fuzeile">
    <w:name w:val="footer"/>
    <w:basedOn w:val="Standard"/>
    <w:semiHidden/>
    <w:pPr>
      <w:tabs>
        <w:tab w:val="clear" w:pos="425"/>
        <w:tab w:val="right" w:pos="8505"/>
        <w:tab w:val="right" w:pos="9639"/>
      </w:tabs>
      <w:spacing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semiHidden/>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paragraph" w:customStyle="1" w:styleId="Einzug075Nr">
    <w:name w:val="Einzug075Nr"/>
    <w:pPr>
      <w:tabs>
        <w:tab w:val="left" w:pos="578"/>
      </w:tabs>
      <w:overflowPunct w:val="0"/>
      <w:autoSpaceDE w:val="0"/>
      <w:autoSpaceDN w:val="0"/>
      <w:adjustRightInd w:val="0"/>
      <w:spacing w:before="60" w:after="60"/>
      <w:ind w:left="425" w:hanging="425"/>
      <w:jc w:val="both"/>
      <w:textAlignment w:val="baseline"/>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M121.SERVE\VETUA12\VETUA12\DATEN\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324</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Neunundzwanzigste Allgemeine Verwaltungsvorschrift über Mindestanforderungen an das  Einleiten von Abwasser in Gewässer </vt:lpstr>
    </vt:vector>
  </TitlesOfParts>
  <Company>LUA</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Neunundzwanzigste Allgemeine Verwaltungsvorschrift über Mindestanforderungen an das  Einleiten von Abwasser in Gewässer</dc:title>
  <dc:subject/>
  <dc:creator>Olaf Vetter</dc:creator>
  <cp:keywords/>
  <cp:lastModifiedBy>Rüter, Dr., Ingo</cp:lastModifiedBy>
  <cp:revision>3</cp:revision>
  <cp:lastPrinted>1601-01-01T00:00:00Z</cp:lastPrinted>
  <dcterms:created xsi:type="dcterms:W3CDTF">2024-07-19T14:43:00Z</dcterms:created>
  <dcterms:modified xsi:type="dcterms:W3CDTF">2024-07-19T14:44:00Z</dcterms:modified>
</cp:coreProperties>
</file>