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r>
        <w:t xml:space="preserve">Vierte Allgemeine Verwaltungsvorschrift über Mindestanforderungen an das Einleiten von Abwasser in Gewässer - </w:t>
      </w:r>
      <w:r>
        <w:br/>
        <w:t>Ölsaatenaufber</w:t>
      </w:r>
      <w:bookmarkStart w:id="0" w:name="_GoBack"/>
      <w:bookmarkEnd w:id="0"/>
      <w:r>
        <w:t xml:space="preserve">eitung, Speisefett- und Speiseölraffination - </w:t>
      </w:r>
      <w:r>
        <w:br/>
        <w:t>4. Abwasser VwV</w:t>
      </w:r>
    </w:p>
    <w:p>
      <w:pPr>
        <w:pStyle w:val="GesAbsatz"/>
        <w:jc w:val="center"/>
      </w:pPr>
      <w:r>
        <w:t>vom 17. März 1981</w:t>
      </w:r>
    </w:p>
    <w:p>
      <w:pPr>
        <w:pStyle w:val="GesAbsatz"/>
      </w:pPr>
    </w:p>
    <w:p>
      <w:pPr>
        <w:pStyle w:val="GesAbsatz"/>
      </w:pPr>
      <w:r>
        <w:t>Nach § 7a Abs. 1 des Wasserhaushaltsgesetzes in der Fassung der Bekanntmachung vom 16. Oktober 1976 (BGBl. I S. 3017) wird mit Zustimmung des Bundesrates folgende allgemeine Verwaltungsvorschrift erlassen:</w:t>
      </w:r>
    </w:p>
    <w:p>
      <w:pPr>
        <w:pStyle w:val="berschrift3"/>
        <w:jc w:val="left"/>
      </w:pPr>
      <w:r>
        <w:t>1.</w:t>
      </w:r>
      <w:r>
        <w:tab/>
        <w:t>Anwendungsbereich:</w:t>
      </w:r>
    </w:p>
    <w:p>
      <w:pPr>
        <w:pStyle w:val="GesAbsatz"/>
      </w:pPr>
      <w:r>
        <w:t>Diese allgemeine Verwaltungsvorschrift gilt für in Gewässer einzuleitendes Abwasser, dessen Schmutzfracht im Wesentlichen aus der Ölsaatenaufbereitung, der Speisefett- und Speiseölraffination stammt.</w:t>
      </w:r>
    </w:p>
    <w:p>
      <w:pPr>
        <w:pStyle w:val="berschrift3"/>
        <w:jc w:val="left"/>
      </w:pPr>
      <w:r>
        <w:t>2.</w:t>
      </w:r>
      <w:r>
        <w:tab/>
        <w:t>Mindestanforderungen</w:t>
      </w:r>
    </w:p>
    <w:p>
      <w:pPr>
        <w:pStyle w:val="GesAbsatz"/>
      </w:pPr>
      <w:r>
        <w:t>An das Einleiten des Abwassers werden folgende Mindestanforderungen gestellt:</w:t>
      </w:r>
    </w:p>
    <w:p>
      <w:pPr>
        <w:pStyle w:val="GesAbsatz"/>
      </w:pPr>
    </w:p>
    <w:tbl>
      <w:tblPr>
        <w:tblW w:w="9709"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127"/>
        <w:gridCol w:w="2268"/>
        <w:gridCol w:w="1207"/>
        <w:gridCol w:w="1025"/>
        <w:gridCol w:w="997"/>
        <w:gridCol w:w="1012"/>
        <w:gridCol w:w="1073"/>
      </w:tblGrid>
      <w:tr>
        <w:tc>
          <w:tcPr>
            <w:tcW w:w="2127" w:type="dxa"/>
            <w:tcBorders>
              <w:top w:val="single" w:sz="12" w:space="0" w:color="auto"/>
              <w:bottom w:val="nil"/>
              <w:right w:val="single" w:sz="6" w:space="0" w:color="auto"/>
            </w:tcBorders>
          </w:tcPr>
          <w:p>
            <w:pPr>
              <w:tabs>
                <w:tab w:val="clear" w:pos="425"/>
              </w:tabs>
              <w:jc w:val="center"/>
            </w:pPr>
          </w:p>
        </w:tc>
        <w:tc>
          <w:tcPr>
            <w:tcW w:w="2268" w:type="dxa"/>
            <w:tcBorders>
              <w:top w:val="single" w:sz="12" w:space="0" w:color="auto"/>
              <w:left w:val="nil"/>
              <w:bottom w:val="nil"/>
              <w:right w:val="single" w:sz="6" w:space="0" w:color="auto"/>
            </w:tcBorders>
          </w:tcPr>
          <w:p>
            <w:pPr>
              <w:tabs>
                <w:tab w:val="clear" w:pos="425"/>
              </w:tabs>
              <w:jc w:val="center"/>
            </w:pPr>
            <w:r>
              <w:t xml:space="preserve">Schmutzwassermenge in m³/t </w:t>
            </w:r>
            <w:r>
              <w:br/>
              <w:t>Einsatzprodukt</w:t>
            </w:r>
          </w:p>
        </w:tc>
        <w:tc>
          <w:tcPr>
            <w:tcW w:w="1207" w:type="dxa"/>
            <w:tcBorders>
              <w:top w:val="single" w:sz="12" w:space="0" w:color="auto"/>
              <w:left w:val="nil"/>
              <w:bottom w:val="nil"/>
              <w:right w:val="single" w:sz="6" w:space="0" w:color="auto"/>
            </w:tcBorders>
          </w:tcPr>
          <w:p>
            <w:pPr>
              <w:tabs>
                <w:tab w:val="clear" w:pos="425"/>
              </w:tabs>
              <w:jc w:val="center"/>
            </w:pPr>
            <w:r>
              <w:t>Absetzbare Stoffe</w:t>
            </w:r>
          </w:p>
        </w:tc>
        <w:tc>
          <w:tcPr>
            <w:tcW w:w="2022" w:type="dxa"/>
            <w:gridSpan w:val="2"/>
            <w:tcBorders>
              <w:top w:val="single" w:sz="12" w:space="0" w:color="auto"/>
              <w:left w:val="nil"/>
              <w:bottom w:val="nil"/>
              <w:right w:val="single" w:sz="6" w:space="0" w:color="auto"/>
            </w:tcBorders>
          </w:tcPr>
          <w:p>
            <w:pPr>
              <w:tabs>
                <w:tab w:val="clear" w:pos="425"/>
              </w:tabs>
              <w:jc w:val="center"/>
            </w:pPr>
            <w:r>
              <w:t>Chemischer Sauerstoffbedarf (CSB)</w:t>
            </w:r>
          </w:p>
        </w:tc>
        <w:tc>
          <w:tcPr>
            <w:tcW w:w="2085" w:type="dxa"/>
            <w:gridSpan w:val="2"/>
            <w:tcBorders>
              <w:left w:val="nil"/>
            </w:tcBorders>
          </w:tcPr>
          <w:p>
            <w:pPr>
              <w:tabs>
                <w:tab w:val="clear" w:pos="425"/>
              </w:tabs>
              <w:jc w:val="center"/>
            </w:pPr>
            <w:r>
              <w:t>Extrahierbare Stoffe</w:t>
            </w:r>
          </w:p>
        </w:tc>
      </w:tr>
      <w:tr>
        <w:tc>
          <w:tcPr>
            <w:tcW w:w="2127" w:type="dxa"/>
            <w:tcBorders>
              <w:top w:val="nil"/>
              <w:bottom w:val="nil"/>
              <w:right w:val="single" w:sz="6" w:space="0" w:color="auto"/>
            </w:tcBorders>
          </w:tcPr>
          <w:p>
            <w:pPr>
              <w:tabs>
                <w:tab w:val="clear" w:pos="425"/>
              </w:tabs>
              <w:jc w:val="center"/>
            </w:pPr>
          </w:p>
        </w:tc>
        <w:tc>
          <w:tcPr>
            <w:tcW w:w="2268" w:type="dxa"/>
            <w:tcBorders>
              <w:top w:val="nil"/>
              <w:left w:val="nil"/>
              <w:bottom w:val="nil"/>
              <w:right w:val="single" w:sz="6" w:space="0" w:color="auto"/>
            </w:tcBorders>
          </w:tcPr>
          <w:p>
            <w:pPr>
              <w:tabs>
                <w:tab w:val="clear" w:pos="425"/>
              </w:tabs>
              <w:jc w:val="center"/>
            </w:pPr>
          </w:p>
        </w:tc>
        <w:tc>
          <w:tcPr>
            <w:tcW w:w="1207" w:type="dxa"/>
            <w:tcBorders>
              <w:top w:val="nil"/>
              <w:left w:val="nil"/>
              <w:bottom w:val="nil"/>
              <w:right w:val="single" w:sz="6" w:space="0" w:color="auto"/>
            </w:tcBorders>
          </w:tcPr>
          <w:p>
            <w:pPr>
              <w:tabs>
                <w:tab w:val="clear" w:pos="425"/>
              </w:tabs>
              <w:jc w:val="center"/>
            </w:pPr>
            <w:r>
              <w:t>ml/l</w:t>
            </w:r>
          </w:p>
        </w:tc>
        <w:tc>
          <w:tcPr>
            <w:tcW w:w="2022" w:type="dxa"/>
            <w:gridSpan w:val="2"/>
            <w:tcBorders>
              <w:top w:val="nil"/>
              <w:left w:val="nil"/>
              <w:bottom w:val="nil"/>
              <w:right w:val="single" w:sz="6" w:space="0" w:color="auto"/>
            </w:tcBorders>
          </w:tcPr>
          <w:p>
            <w:pPr>
              <w:tabs>
                <w:tab w:val="clear" w:pos="425"/>
              </w:tabs>
              <w:jc w:val="center"/>
            </w:pPr>
            <w:r>
              <w:t>mg/l</w:t>
            </w:r>
          </w:p>
        </w:tc>
        <w:tc>
          <w:tcPr>
            <w:tcW w:w="2085" w:type="dxa"/>
            <w:gridSpan w:val="2"/>
            <w:tcBorders>
              <w:left w:val="nil"/>
            </w:tcBorders>
          </w:tcPr>
          <w:p>
            <w:pPr>
              <w:tabs>
                <w:tab w:val="clear" w:pos="425"/>
              </w:tabs>
              <w:jc w:val="center"/>
            </w:pPr>
            <w:r>
              <w:t>mg/l</w:t>
            </w:r>
          </w:p>
        </w:tc>
      </w:tr>
      <w:tr>
        <w:tc>
          <w:tcPr>
            <w:tcW w:w="2127" w:type="dxa"/>
            <w:tcBorders>
              <w:top w:val="nil"/>
              <w:bottom w:val="nil"/>
              <w:right w:val="single" w:sz="6" w:space="0" w:color="auto"/>
            </w:tcBorders>
          </w:tcPr>
          <w:p>
            <w:pPr>
              <w:tabs>
                <w:tab w:val="clear" w:pos="425"/>
              </w:tabs>
              <w:jc w:val="center"/>
            </w:pPr>
          </w:p>
        </w:tc>
        <w:tc>
          <w:tcPr>
            <w:tcW w:w="2268" w:type="dxa"/>
            <w:tcBorders>
              <w:top w:val="nil"/>
              <w:left w:val="nil"/>
              <w:bottom w:val="nil"/>
              <w:right w:val="single" w:sz="6" w:space="0" w:color="auto"/>
            </w:tcBorders>
          </w:tcPr>
          <w:p>
            <w:pPr>
              <w:tabs>
                <w:tab w:val="clear" w:pos="425"/>
              </w:tabs>
              <w:jc w:val="center"/>
            </w:pPr>
          </w:p>
        </w:tc>
        <w:tc>
          <w:tcPr>
            <w:tcW w:w="1207" w:type="dxa"/>
            <w:tcBorders>
              <w:top w:val="nil"/>
              <w:left w:val="nil"/>
              <w:bottom w:val="nil"/>
              <w:right w:val="single" w:sz="6" w:space="0" w:color="auto"/>
            </w:tcBorders>
          </w:tcPr>
          <w:p>
            <w:pPr>
              <w:tabs>
                <w:tab w:val="clear" w:pos="425"/>
              </w:tabs>
              <w:jc w:val="center"/>
            </w:pPr>
            <w:r>
              <w:t>Stichprobe</w:t>
            </w:r>
          </w:p>
        </w:tc>
        <w:tc>
          <w:tcPr>
            <w:tcW w:w="2022" w:type="dxa"/>
            <w:gridSpan w:val="2"/>
            <w:tcBorders>
              <w:top w:val="nil"/>
              <w:left w:val="nil"/>
              <w:bottom w:val="nil"/>
              <w:right w:val="single" w:sz="6" w:space="0" w:color="auto"/>
            </w:tcBorders>
          </w:tcPr>
          <w:p>
            <w:pPr>
              <w:tabs>
                <w:tab w:val="clear" w:pos="425"/>
              </w:tabs>
              <w:jc w:val="center"/>
            </w:pPr>
            <w:r>
              <w:t>Mischprobe</w:t>
            </w:r>
          </w:p>
        </w:tc>
        <w:tc>
          <w:tcPr>
            <w:tcW w:w="2085" w:type="dxa"/>
            <w:gridSpan w:val="2"/>
            <w:tcBorders>
              <w:left w:val="nil"/>
            </w:tcBorders>
          </w:tcPr>
          <w:p>
            <w:pPr>
              <w:tabs>
                <w:tab w:val="clear" w:pos="425"/>
              </w:tabs>
              <w:jc w:val="center"/>
            </w:pPr>
            <w:r>
              <w:t>Mischprobe</w:t>
            </w:r>
          </w:p>
        </w:tc>
      </w:tr>
      <w:tr>
        <w:tc>
          <w:tcPr>
            <w:tcW w:w="2127" w:type="dxa"/>
            <w:tcBorders>
              <w:top w:val="nil"/>
              <w:bottom w:val="nil"/>
              <w:right w:val="single" w:sz="6" w:space="0" w:color="auto"/>
            </w:tcBorders>
          </w:tcPr>
          <w:p>
            <w:pPr>
              <w:tabs>
                <w:tab w:val="clear" w:pos="425"/>
              </w:tabs>
              <w:jc w:val="center"/>
            </w:pPr>
          </w:p>
        </w:tc>
        <w:tc>
          <w:tcPr>
            <w:tcW w:w="2268" w:type="dxa"/>
            <w:tcBorders>
              <w:top w:val="nil"/>
              <w:left w:val="nil"/>
              <w:bottom w:val="nil"/>
              <w:right w:val="single" w:sz="6" w:space="0" w:color="auto"/>
            </w:tcBorders>
          </w:tcPr>
          <w:p>
            <w:pPr>
              <w:tabs>
                <w:tab w:val="clear" w:pos="425"/>
              </w:tabs>
              <w:jc w:val="center"/>
            </w:pPr>
          </w:p>
        </w:tc>
        <w:tc>
          <w:tcPr>
            <w:tcW w:w="1207" w:type="dxa"/>
            <w:tcBorders>
              <w:top w:val="nil"/>
              <w:left w:val="nil"/>
              <w:bottom w:val="nil"/>
              <w:right w:val="single" w:sz="6" w:space="0" w:color="auto"/>
            </w:tcBorders>
          </w:tcPr>
          <w:p>
            <w:pPr>
              <w:tabs>
                <w:tab w:val="clear" w:pos="425"/>
              </w:tabs>
              <w:jc w:val="center"/>
            </w:pPr>
          </w:p>
        </w:tc>
        <w:tc>
          <w:tcPr>
            <w:tcW w:w="1025" w:type="dxa"/>
            <w:tcBorders>
              <w:top w:val="nil"/>
              <w:left w:val="nil"/>
              <w:bottom w:val="nil"/>
              <w:right w:val="single" w:sz="6" w:space="0" w:color="auto"/>
            </w:tcBorders>
          </w:tcPr>
          <w:p>
            <w:pPr>
              <w:tabs>
                <w:tab w:val="clear" w:pos="425"/>
              </w:tabs>
              <w:jc w:val="center"/>
            </w:pPr>
            <w:r>
              <w:t>2 Std.</w:t>
            </w:r>
          </w:p>
        </w:tc>
        <w:tc>
          <w:tcPr>
            <w:tcW w:w="997" w:type="dxa"/>
            <w:tcBorders>
              <w:top w:val="nil"/>
              <w:left w:val="nil"/>
              <w:bottom w:val="nil"/>
              <w:right w:val="single" w:sz="6" w:space="0" w:color="auto"/>
            </w:tcBorders>
          </w:tcPr>
          <w:p>
            <w:pPr>
              <w:tabs>
                <w:tab w:val="clear" w:pos="425"/>
              </w:tabs>
              <w:jc w:val="center"/>
            </w:pPr>
            <w:r>
              <w:t>24 Std.</w:t>
            </w:r>
          </w:p>
        </w:tc>
        <w:tc>
          <w:tcPr>
            <w:tcW w:w="1012" w:type="dxa"/>
            <w:tcBorders>
              <w:top w:val="nil"/>
              <w:left w:val="nil"/>
              <w:bottom w:val="nil"/>
              <w:right w:val="single" w:sz="6" w:space="0" w:color="auto"/>
            </w:tcBorders>
          </w:tcPr>
          <w:p>
            <w:pPr>
              <w:tabs>
                <w:tab w:val="clear" w:pos="425"/>
              </w:tabs>
              <w:jc w:val="center"/>
            </w:pPr>
            <w:r>
              <w:t>2 Std.</w:t>
            </w:r>
          </w:p>
        </w:tc>
        <w:tc>
          <w:tcPr>
            <w:tcW w:w="1073" w:type="dxa"/>
            <w:tcBorders>
              <w:top w:val="nil"/>
              <w:left w:val="nil"/>
              <w:bottom w:val="nil"/>
            </w:tcBorders>
          </w:tcPr>
          <w:p>
            <w:pPr>
              <w:tabs>
                <w:tab w:val="clear" w:pos="425"/>
              </w:tabs>
              <w:jc w:val="center"/>
            </w:pPr>
            <w:r>
              <w:t>24 Std.</w:t>
            </w:r>
          </w:p>
        </w:tc>
      </w:tr>
      <w:tr>
        <w:tc>
          <w:tcPr>
            <w:tcW w:w="2127" w:type="dxa"/>
            <w:tcBorders>
              <w:top w:val="single" w:sz="6" w:space="0" w:color="auto"/>
              <w:bottom w:val="single" w:sz="6" w:space="0" w:color="auto"/>
              <w:right w:val="single" w:sz="6" w:space="0" w:color="auto"/>
            </w:tcBorders>
          </w:tcPr>
          <w:p>
            <w:pPr>
              <w:tabs>
                <w:tab w:val="clear" w:pos="425"/>
              </w:tabs>
              <w:jc w:val="left"/>
            </w:pPr>
            <w:r>
              <w:t>Saatenaufbereitung</w:t>
            </w:r>
          </w:p>
        </w:tc>
        <w:tc>
          <w:tcPr>
            <w:tcW w:w="2268" w:type="dxa"/>
            <w:tcBorders>
              <w:top w:val="single" w:sz="6" w:space="0" w:color="auto"/>
              <w:left w:val="nil"/>
              <w:bottom w:val="nil"/>
              <w:right w:val="single" w:sz="6" w:space="0" w:color="auto"/>
            </w:tcBorders>
          </w:tcPr>
          <w:p>
            <w:pPr>
              <w:tabs>
                <w:tab w:val="clear" w:pos="425"/>
              </w:tabs>
              <w:jc w:val="center"/>
            </w:pPr>
            <w:r>
              <w:t>&lt; 10</w:t>
            </w:r>
          </w:p>
        </w:tc>
        <w:tc>
          <w:tcPr>
            <w:tcW w:w="1207" w:type="dxa"/>
            <w:tcBorders>
              <w:top w:val="single" w:sz="6" w:space="0" w:color="auto"/>
              <w:left w:val="nil"/>
              <w:bottom w:val="nil"/>
              <w:right w:val="single" w:sz="6" w:space="0" w:color="auto"/>
            </w:tcBorders>
          </w:tcPr>
          <w:p>
            <w:pPr>
              <w:tabs>
                <w:tab w:val="clear" w:pos="425"/>
              </w:tabs>
              <w:jc w:val="center"/>
            </w:pPr>
            <w:r>
              <w:t>0,3</w:t>
            </w:r>
          </w:p>
        </w:tc>
        <w:tc>
          <w:tcPr>
            <w:tcW w:w="1025" w:type="dxa"/>
            <w:tcBorders>
              <w:top w:val="single" w:sz="6" w:space="0" w:color="auto"/>
              <w:left w:val="nil"/>
              <w:bottom w:val="nil"/>
              <w:right w:val="single" w:sz="6" w:space="0" w:color="auto"/>
            </w:tcBorders>
          </w:tcPr>
          <w:p>
            <w:pPr>
              <w:tabs>
                <w:tab w:val="clear" w:pos="425"/>
              </w:tabs>
              <w:jc w:val="center"/>
            </w:pPr>
            <w:r>
              <w:t>200</w:t>
            </w:r>
          </w:p>
        </w:tc>
        <w:tc>
          <w:tcPr>
            <w:tcW w:w="997" w:type="dxa"/>
            <w:tcBorders>
              <w:top w:val="single" w:sz="6" w:space="0" w:color="auto"/>
              <w:left w:val="nil"/>
              <w:bottom w:val="nil"/>
              <w:right w:val="single" w:sz="6" w:space="0" w:color="auto"/>
            </w:tcBorders>
          </w:tcPr>
          <w:p>
            <w:pPr>
              <w:tabs>
                <w:tab w:val="clear" w:pos="425"/>
              </w:tabs>
              <w:jc w:val="center"/>
            </w:pPr>
            <w:r>
              <w:t>170</w:t>
            </w:r>
          </w:p>
        </w:tc>
        <w:tc>
          <w:tcPr>
            <w:tcW w:w="1012" w:type="dxa"/>
            <w:tcBorders>
              <w:top w:val="single" w:sz="6" w:space="0" w:color="auto"/>
              <w:left w:val="nil"/>
              <w:bottom w:val="nil"/>
              <w:right w:val="single" w:sz="6" w:space="0" w:color="auto"/>
            </w:tcBorders>
          </w:tcPr>
          <w:p>
            <w:pPr>
              <w:tabs>
                <w:tab w:val="clear" w:pos="425"/>
              </w:tabs>
              <w:jc w:val="center"/>
            </w:pPr>
            <w:r>
              <w:t>30</w:t>
            </w:r>
          </w:p>
        </w:tc>
        <w:tc>
          <w:tcPr>
            <w:tcW w:w="1073" w:type="dxa"/>
            <w:tcBorders>
              <w:top w:val="single" w:sz="6" w:space="0" w:color="auto"/>
              <w:left w:val="nil"/>
              <w:bottom w:val="nil"/>
            </w:tcBorders>
          </w:tcPr>
          <w:p>
            <w:pPr>
              <w:tabs>
                <w:tab w:val="clear" w:pos="425"/>
              </w:tabs>
              <w:jc w:val="center"/>
            </w:pPr>
            <w:r>
              <w:t>20</w:t>
            </w:r>
          </w:p>
        </w:tc>
      </w:tr>
      <w:tr>
        <w:tc>
          <w:tcPr>
            <w:tcW w:w="2127" w:type="dxa"/>
            <w:tcBorders>
              <w:top w:val="nil"/>
              <w:bottom w:val="nil"/>
              <w:right w:val="single" w:sz="6" w:space="0" w:color="auto"/>
            </w:tcBorders>
          </w:tcPr>
          <w:p>
            <w:pPr>
              <w:tabs>
                <w:tab w:val="clear" w:pos="425"/>
              </w:tabs>
              <w:jc w:val="left"/>
            </w:pPr>
            <w:r>
              <w:t>Speisefett- und</w:t>
            </w:r>
          </w:p>
        </w:tc>
        <w:tc>
          <w:tcPr>
            <w:tcW w:w="2268" w:type="dxa"/>
            <w:tcBorders>
              <w:top w:val="single" w:sz="6" w:space="0" w:color="auto"/>
              <w:left w:val="nil"/>
              <w:bottom w:val="single" w:sz="6" w:space="0" w:color="auto"/>
              <w:right w:val="single" w:sz="6" w:space="0" w:color="auto"/>
            </w:tcBorders>
          </w:tcPr>
          <w:p>
            <w:pPr>
              <w:tabs>
                <w:tab w:val="clear" w:pos="425"/>
              </w:tabs>
              <w:jc w:val="center"/>
            </w:pPr>
            <w:r>
              <w:t>&lt; 10</w:t>
            </w:r>
          </w:p>
        </w:tc>
        <w:tc>
          <w:tcPr>
            <w:tcW w:w="1207" w:type="dxa"/>
            <w:tcBorders>
              <w:top w:val="single" w:sz="6" w:space="0" w:color="auto"/>
              <w:left w:val="nil"/>
              <w:bottom w:val="single" w:sz="6" w:space="0" w:color="auto"/>
              <w:right w:val="single" w:sz="6" w:space="0" w:color="auto"/>
            </w:tcBorders>
          </w:tcPr>
          <w:p>
            <w:pPr>
              <w:tabs>
                <w:tab w:val="clear" w:pos="425"/>
              </w:tabs>
              <w:jc w:val="center"/>
            </w:pPr>
            <w:r>
              <w:t>0,3</w:t>
            </w:r>
          </w:p>
        </w:tc>
        <w:tc>
          <w:tcPr>
            <w:tcW w:w="1025" w:type="dxa"/>
            <w:tcBorders>
              <w:top w:val="single" w:sz="6" w:space="0" w:color="auto"/>
              <w:left w:val="nil"/>
              <w:bottom w:val="single" w:sz="6" w:space="0" w:color="auto"/>
              <w:right w:val="single" w:sz="6" w:space="0" w:color="auto"/>
            </w:tcBorders>
          </w:tcPr>
          <w:p>
            <w:pPr>
              <w:tabs>
                <w:tab w:val="clear" w:pos="425"/>
              </w:tabs>
              <w:jc w:val="center"/>
            </w:pPr>
            <w:r>
              <w:t>250</w:t>
            </w:r>
          </w:p>
        </w:tc>
        <w:tc>
          <w:tcPr>
            <w:tcW w:w="997" w:type="dxa"/>
            <w:tcBorders>
              <w:top w:val="single" w:sz="6" w:space="0" w:color="auto"/>
              <w:left w:val="nil"/>
              <w:bottom w:val="single" w:sz="6" w:space="0" w:color="auto"/>
              <w:right w:val="single" w:sz="6" w:space="0" w:color="auto"/>
            </w:tcBorders>
          </w:tcPr>
          <w:p>
            <w:pPr>
              <w:tabs>
                <w:tab w:val="clear" w:pos="425"/>
              </w:tabs>
              <w:jc w:val="center"/>
            </w:pPr>
            <w:r>
              <w:t>230</w:t>
            </w:r>
          </w:p>
        </w:tc>
        <w:tc>
          <w:tcPr>
            <w:tcW w:w="1012" w:type="dxa"/>
            <w:tcBorders>
              <w:top w:val="single" w:sz="6" w:space="0" w:color="auto"/>
              <w:left w:val="nil"/>
              <w:bottom w:val="single" w:sz="6" w:space="0" w:color="auto"/>
              <w:right w:val="single" w:sz="6" w:space="0" w:color="auto"/>
            </w:tcBorders>
          </w:tcPr>
          <w:p>
            <w:pPr>
              <w:tabs>
                <w:tab w:val="clear" w:pos="425"/>
              </w:tabs>
              <w:jc w:val="center"/>
            </w:pPr>
            <w:r>
              <w:t>50</w:t>
            </w:r>
          </w:p>
        </w:tc>
        <w:tc>
          <w:tcPr>
            <w:tcW w:w="1073" w:type="dxa"/>
            <w:tcBorders>
              <w:top w:val="single" w:sz="6" w:space="0" w:color="auto"/>
              <w:left w:val="nil"/>
              <w:bottom w:val="single" w:sz="6" w:space="0" w:color="auto"/>
            </w:tcBorders>
          </w:tcPr>
          <w:p>
            <w:pPr>
              <w:tabs>
                <w:tab w:val="clear" w:pos="425"/>
              </w:tabs>
              <w:jc w:val="center"/>
            </w:pPr>
            <w:r>
              <w:t>40</w:t>
            </w:r>
          </w:p>
        </w:tc>
      </w:tr>
      <w:tr>
        <w:tc>
          <w:tcPr>
            <w:tcW w:w="2127" w:type="dxa"/>
            <w:tcBorders>
              <w:top w:val="nil"/>
              <w:bottom w:val="single" w:sz="12" w:space="0" w:color="auto"/>
              <w:right w:val="single" w:sz="6" w:space="0" w:color="auto"/>
            </w:tcBorders>
          </w:tcPr>
          <w:p>
            <w:pPr>
              <w:tabs>
                <w:tab w:val="clear" w:pos="425"/>
              </w:tabs>
              <w:jc w:val="left"/>
            </w:pPr>
            <w:r>
              <w:t>Speiseölraffination</w:t>
            </w:r>
          </w:p>
        </w:tc>
        <w:tc>
          <w:tcPr>
            <w:tcW w:w="2268" w:type="dxa"/>
            <w:tcBorders>
              <w:top w:val="nil"/>
              <w:left w:val="nil"/>
              <w:bottom w:val="single" w:sz="12" w:space="0" w:color="auto"/>
              <w:right w:val="single" w:sz="6" w:space="0" w:color="auto"/>
            </w:tcBorders>
          </w:tcPr>
          <w:p>
            <w:pPr>
              <w:tabs>
                <w:tab w:val="clear" w:pos="425"/>
              </w:tabs>
              <w:jc w:val="center"/>
            </w:pPr>
            <w:r>
              <w:t>10-25</w:t>
            </w:r>
          </w:p>
        </w:tc>
        <w:tc>
          <w:tcPr>
            <w:tcW w:w="1207" w:type="dxa"/>
            <w:tcBorders>
              <w:top w:val="nil"/>
              <w:left w:val="nil"/>
              <w:bottom w:val="single" w:sz="12" w:space="0" w:color="auto"/>
              <w:right w:val="single" w:sz="6" w:space="0" w:color="auto"/>
            </w:tcBorders>
          </w:tcPr>
          <w:p>
            <w:pPr>
              <w:tabs>
                <w:tab w:val="clear" w:pos="425"/>
              </w:tabs>
              <w:jc w:val="center"/>
            </w:pPr>
            <w:r>
              <w:t>0,3</w:t>
            </w:r>
          </w:p>
        </w:tc>
        <w:tc>
          <w:tcPr>
            <w:tcW w:w="1025" w:type="dxa"/>
            <w:tcBorders>
              <w:top w:val="nil"/>
              <w:left w:val="nil"/>
              <w:bottom w:val="single" w:sz="12" w:space="0" w:color="auto"/>
              <w:right w:val="single" w:sz="6" w:space="0" w:color="auto"/>
            </w:tcBorders>
          </w:tcPr>
          <w:p>
            <w:pPr>
              <w:tabs>
                <w:tab w:val="clear" w:pos="425"/>
              </w:tabs>
              <w:jc w:val="center"/>
            </w:pPr>
            <w:r>
              <w:t>200</w:t>
            </w:r>
          </w:p>
        </w:tc>
        <w:tc>
          <w:tcPr>
            <w:tcW w:w="997" w:type="dxa"/>
            <w:tcBorders>
              <w:top w:val="nil"/>
              <w:left w:val="nil"/>
              <w:bottom w:val="single" w:sz="12" w:space="0" w:color="auto"/>
              <w:right w:val="single" w:sz="6" w:space="0" w:color="auto"/>
            </w:tcBorders>
          </w:tcPr>
          <w:p>
            <w:pPr>
              <w:tabs>
                <w:tab w:val="clear" w:pos="425"/>
              </w:tabs>
              <w:jc w:val="center"/>
            </w:pPr>
            <w:r>
              <w:t>170</w:t>
            </w:r>
          </w:p>
        </w:tc>
        <w:tc>
          <w:tcPr>
            <w:tcW w:w="1012" w:type="dxa"/>
            <w:tcBorders>
              <w:top w:val="nil"/>
              <w:left w:val="nil"/>
              <w:bottom w:val="single" w:sz="12" w:space="0" w:color="auto"/>
              <w:right w:val="single" w:sz="6" w:space="0" w:color="auto"/>
            </w:tcBorders>
          </w:tcPr>
          <w:p>
            <w:pPr>
              <w:tabs>
                <w:tab w:val="clear" w:pos="425"/>
              </w:tabs>
              <w:jc w:val="center"/>
            </w:pPr>
            <w:r>
              <w:t>30</w:t>
            </w:r>
          </w:p>
        </w:tc>
        <w:tc>
          <w:tcPr>
            <w:tcW w:w="1073" w:type="dxa"/>
            <w:tcBorders>
              <w:top w:val="nil"/>
              <w:left w:val="nil"/>
            </w:tcBorders>
          </w:tcPr>
          <w:p>
            <w:pPr>
              <w:tabs>
                <w:tab w:val="clear" w:pos="425"/>
              </w:tabs>
              <w:jc w:val="center"/>
            </w:pPr>
            <w:r>
              <w:t>20</w:t>
            </w:r>
          </w:p>
        </w:tc>
      </w:tr>
    </w:tbl>
    <w:p>
      <w:pPr>
        <w:pStyle w:val="GesAbsatz"/>
      </w:pPr>
    </w:p>
    <w:p>
      <w:pPr>
        <w:pStyle w:val="GesAbsatz"/>
      </w:pPr>
      <w:r>
        <w:t>Bei der Speisefett- und Speiseölraffination ist Einsatzprodukt:</w:t>
      </w:r>
    </w:p>
    <w:p>
      <w:pPr>
        <w:pStyle w:val="GesAbsatz"/>
        <w:tabs>
          <w:tab w:val="clear" w:pos="425"/>
        </w:tabs>
        <w:ind w:left="567" w:hanging="283"/>
      </w:pPr>
      <w:r>
        <w:t>-</w:t>
      </w:r>
      <w:r>
        <w:tab/>
        <w:t>rohes Öl, wie es bei der Ölgewinnung anfällt</w:t>
      </w:r>
    </w:p>
    <w:p>
      <w:pPr>
        <w:pStyle w:val="GesAbsatz"/>
        <w:tabs>
          <w:tab w:val="clear" w:pos="425"/>
        </w:tabs>
        <w:ind w:left="567" w:hanging="283"/>
      </w:pPr>
      <w:r>
        <w:t>-</w:t>
      </w:r>
      <w:r>
        <w:tab/>
        <w:t>Fehl- und Retourchargen, die die Raffination neu durchlaufen</w:t>
      </w:r>
    </w:p>
    <w:p>
      <w:pPr>
        <w:pStyle w:val="GesAbsatz"/>
        <w:tabs>
          <w:tab w:val="clear" w:pos="425"/>
        </w:tabs>
        <w:ind w:left="567" w:hanging="283"/>
      </w:pPr>
      <w:r>
        <w:t>-</w:t>
      </w:r>
      <w:r>
        <w:tab/>
        <w:t>Produkte, die mehrfach Produktionsstufen durchlaufen</w:t>
      </w:r>
    </w:p>
    <w:p>
      <w:pPr>
        <w:pStyle w:val="GesAbsatz"/>
      </w:pPr>
      <w:r>
        <w:rPr>
          <w:b/>
        </w:rPr>
        <w:t>2.2</w:t>
      </w:r>
      <w:r>
        <w:t xml:space="preserve"> Den Werten der Nummer 2.1 liegen folgende oder gleichwertige Analyseverfahren zugrunde:</w:t>
      </w:r>
    </w:p>
    <w:p>
      <w:pPr>
        <w:pStyle w:val="GesAbsatz"/>
      </w:pPr>
      <w:r>
        <w:t xml:space="preserve">2.2.1 Absetzbare Stoffe: DEV H 2.2 </w:t>
      </w:r>
      <w:r>
        <w:rPr>
          <w:rStyle w:val="Funotenzeichen"/>
        </w:rPr>
        <w:footnoteReference w:id="1"/>
      </w:r>
    </w:p>
    <w:p>
      <w:pPr>
        <w:pStyle w:val="GesAbsatz"/>
        <w:jc w:val="left"/>
      </w:pPr>
      <w:r>
        <w:t>2.2.2 Chemischer Sauerstoffbedarf CSB von abgesetzten Proben:</w:t>
      </w:r>
      <w:r>
        <w:br/>
        <w:t>Anlage zur 2. Abwasser VwV vom 10.01.1980 (GMBl. S. 111)</w:t>
      </w:r>
    </w:p>
    <w:p>
      <w:pPr>
        <w:pStyle w:val="GesAbsatz"/>
      </w:pPr>
      <w:r>
        <w:t>2.2.3 Extrahierbare Stoffe: DEV H 17/18-1</w:t>
      </w:r>
      <w:r>
        <w:rPr>
          <w:b/>
          <w:vertAlign w:val="superscript"/>
        </w:rPr>
        <w:t>1</w:t>
      </w:r>
    </w:p>
    <w:p>
      <w:pPr>
        <w:pStyle w:val="GesAbsatz"/>
      </w:pPr>
      <w:r>
        <w:rPr>
          <w:b/>
        </w:rPr>
        <w:t>2.3</w:t>
      </w:r>
      <w:r>
        <w:t xml:space="preserve"> Ein in Nummer 2.1 bestimmter Wert ist einzuhalten. Es gilt auch als eingehalten, wenn das arithmetische Mittel der Ergebnisse aus den letzten fünf im Rahmen der staatlichen Gewässeraufsicht durchgeführten Untersuchungen diesen Wert nicht überschreitet. Untersuchungen, die länger als drei Jahre zurückliegen, bleiben dabei unberücksichtigt.</w:t>
      </w:r>
    </w:p>
    <w:p>
      <w:pPr>
        <w:pStyle w:val="GesAbsatz"/>
      </w:pPr>
      <w:r>
        <w:t>Wird in einer Einzelprobe der für die absetzbaren Stoffe der Nummer 2.1 festgelegte Wert überschritten, so kann für die Bildung des arithmetischen Mittels 0,3 ml/l eingesetzt werden, wenn die Trockenmasse der abfiltrierbaren Stoffe 30 mg/l nicht übersteigt</w:t>
      </w:r>
      <w:r>
        <w:rPr>
          <w:rStyle w:val="Funotenzeichen"/>
        </w:rPr>
        <w:footnoteReference w:id="2"/>
      </w:r>
      <w:r>
        <w:t>.</w:t>
      </w:r>
    </w:p>
    <w:sectPr>
      <w:headerReference w:type="default" r:id="rId7"/>
      <w:footerReference w:type="even" r:id="rId8"/>
      <w:footerReference w:type="default" r:id="rId9"/>
      <w:pgSz w:w="11907" w:h="16840" w:code="9"/>
      <w:pgMar w:top="1134" w:right="851"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17.03.1981 (GMBl. S. 139)</w:t>
    </w:r>
    <w:r>
      <w:tab/>
      <w:t xml:space="preserve">Seite </w:t>
    </w:r>
    <w:r>
      <w:fldChar w:fldCharType="begin"/>
    </w:r>
    <w:r>
      <w:instrText xml:space="preserve"> PAGE  \* MERGEFORMAT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 w:id="1">
    <w:p>
      <w:pPr>
        <w:pStyle w:val="Funotentext"/>
        <w:jc w:val="left"/>
      </w:pPr>
      <w:r>
        <w:rPr>
          <w:rStyle w:val="Funotenzeichen"/>
        </w:rPr>
        <w:footnoteRef/>
      </w:r>
      <w:r>
        <w:t xml:space="preserve"> Deutsche Einheitsverfahren zur wasser-, Abwasser- und Schlammuntersuchung. Herausgeber: Fachgruppe Wasserchemie der Gesellschaft Deutscher Chemiker, Verlag-Chemie, Weinheim (Bergstraße), 8. Lieferung 1979</w:t>
      </w:r>
    </w:p>
  </w:footnote>
  <w:footnote w:id="2">
    <w:p>
      <w:pPr>
        <w:pStyle w:val="Funotentext"/>
      </w:pPr>
      <w:r>
        <w:rPr>
          <w:rStyle w:val="Funotenzeichen"/>
        </w:rPr>
        <w:footnoteRef/>
      </w:r>
      <w:r>
        <w:t xml:space="preserve"> Unter Zugrundelegung des Verfahrens nach DEV H 2.1; siehe hierzu Fußnote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Archiv7.3.04</w:t>
    </w:r>
  </w:p>
  <w:p>
    <w:pPr>
      <w:pStyle w:val="Kopfzeile"/>
    </w:pPr>
    <w:r>
      <w:t>4. Abwasser VwV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99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6AF067-8FA8-4A87-87BA-840548B7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292</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Vierte Allgemeine Verwaltungsvorschrift über Mindestanforderungen an das Einleiten von Abwasser in Gewässer</vt:lpstr>
    </vt:vector>
  </TitlesOfParts>
  <Company>LUA</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Vierte Allgemeine Verwaltungsvorschrift über Mindestanforderungen an das Einleiten von Abwasser in Gewässer</dc:title>
  <dc:creator>Olaf Vetter</dc:creator>
  <cp:lastModifiedBy>Rüter, Dr., Ingo</cp:lastModifiedBy>
  <cp:revision>6</cp:revision>
  <cp:lastPrinted>1900-12-31T22:00:00Z</cp:lastPrinted>
  <dcterms:created xsi:type="dcterms:W3CDTF">2016-09-22T11:50:00Z</dcterms:created>
  <dcterms:modified xsi:type="dcterms:W3CDTF">2024-07-19T12:12:00Z</dcterms:modified>
</cp:coreProperties>
</file>