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1E" w:rsidRDefault="0038031E" w:rsidP="00EC5CB0">
      <w:pPr>
        <w:pStyle w:val="berschrift1"/>
      </w:pPr>
      <w:bookmarkStart w:id="0" w:name="_Toc401645570"/>
      <w:r>
        <w:t>Verordnung</w:t>
      </w:r>
      <w:r w:rsidR="00EC5CB0">
        <w:t xml:space="preserve"> </w:t>
      </w:r>
      <w:r>
        <w:t>über die Zuteilung von</w:t>
      </w:r>
      <w:r w:rsidR="00EC5CB0">
        <w:t xml:space="preserve"> </w:t>
      </w:r>
      <w:r>
        <w:t>Treibhausgas-Emissionsberechtig</w:t>
      </w:r>
      <w:bookmarkStart w:id="1" w:name="_GoBack"/>
      <w:bookmarkEnd w:id="1"/>
      <w:r>
        <w:t>ungen in der Zuteilungsperiode 2008 bis 2012</w:t>
      </w:r>
      <w:r w:rsidR="00EC5CB0">
        <w:br/>
        <w:t xml:space="preserve">- </w:t>
      </w:r>
      <w:r>
        <w:t>Zutei</w:t>
      </w:r>
      <w:r w:rsidR="00EC5CB0">
        <w:t>lungsverordnung 2012 - ZuV 2012</w:t>
      </w:r>
      <w:bookmarkEnd w:id="0"/>
    </w:p>
    <w:p w:rsidR="0038031E" w:rsidRDefault="00EC5CB0" w:rsidP="00EC5CB0">
      <w:pPr>
        <w:pStyle w:val="GesAbsatz"/>
        <w:jc w:val="center"/>
      </w:pPr>
      <w:r>
        <w:t>v</w:t>
      </w:r>
      <w:r w:rsidR="0038031E">
        <w:t>om 13. August 2007</w:t>
      </w:r>
    </w:p>
    <w:p w:rsidR="00357CE5" w:rsidRPr="00357CE5" w:rsidRDefault="00357CE5" w:rsidP="00357CE5">
      <w:pPr>
        <w:pStyle w:val="GesAbsatz"/>
      </w:pPr>
    </w:p>
    <w:p w:rsidR="00177B5B" w:rsidRDefault="00357CE5" w:rsidP="00177B5B">
      <w:pPr>
        <w:pStyle w:val="GesAbsatz"/>
        <w:rPr>
          <w:rFonts w:cs="Arial"/>
        </w:rPr>
      </w:pPr>
      <w:hyperlink w:anchor="Historie" w:history="1">
        <w:r w:rsidR="00177B5B" w:rsidRPr="00AB46EE">
          <w:rPr>
            <w:rStyle w:val="Hyperlink"/>
            <w:rFonts w:cs="Arial"/>
          </w:rPr>
          <w:t>Gesetzeshistor</w:t>
        </w:r>
        <w:r w:rsidR="00177B5B" w:rsidRPr="00AB46EE">
          <w:rPr>
            <w:rStyle w:val="Hyperlink"/>
            <w:rFonts w:cs="Arial"/>
          </w:rPr>
          <w:t>i</w:t>
        </w:r>
        <w:r w:rsidR="00177B5B" w:rsidRPr="00AB46EE">
          <w:rPr>
            <w:rStyle w:val="Hyperlink"/>
            <w:rFonts w:cs="Arial"/>
          </w:rPr>
          <w:t>e</w:t>
        </w:r>
      </w:hyperlink>
    </w:p>
    <w:p w:rsidR="00E11B3A" w:rsidRDefault="00EC5CB0" w:rsidP="00EC5CB0">
      <w:pPr>
        <w:pStyle w:val="GesAbsatz"/>
        <w:jc w:val="center"/>
        <w:rPr>
          <w:b/>
          <w:sz w:val="22"/>
          <w:szCs w:val="22"/>
        </w:rPr>
      </w:pPr>
      <w:r w:rsidRPr="00EC5CB0">
        <w:rPr>
          <w:b/>
          <w:sz w:val="22"/>
          <w:szCs w:val="22"/>
        </w:rPr>
        <w:t>Inhalt:</w:t>
      </w:r>
    </w:p>
    <w:p w:rsidR="00E11B3A" w:rsidRPr="00E96F53" w:rsidRDefault="00E11B3A">
      <w:pPr>
        <w:pStyle w:val="Verzeichnis1"/>
        <w:tabs>
          <w:tab w:val="clear" w:pos="9638"/>
          <w:tab w:val="right" w:leader="dot" w:pos="9628"/>
        </w:tabs>
        <w:rPr>
          <w:rFonts w:ascii="Calibri" w:hAnsi="Calibri"/>
          <w:b w:val="0"/>
          <w:bCs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401645570" w:history="1">
        <w:r w:rsidRPr="001B33E4">
          <w:rPr>
            <w:rStyle w:val="Hyperlink"/>
            <w:noProof/>
          </w:rPr>
          <w:t>Zuteilungsverordnung 2012 - ZuV 2012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_Toc401645570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1645571" w:history="1">
        <w:r w:rsidR="00E11B3A" w:rsidRPr="001B33E4">
          <w:rPr>
            <w:rStyle w:val="Hyperlink"/>
            <w:noProof/>
          </w:rPr>
          <w:t>Abschnitt 1 Allgemeine Vorschriften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_Toc401645571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2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72" w:history="1">
        <w:r w:rsidR="00E11B3A" w:rsidRPr="001B33E4">
          <w:rPr>
            <w:rStyle w:val="Hyperlink"/>
            <w:noProof/>
          </w:rPr>
          <w:t>§ 1 Anwendungsbereich und Zweck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_Toc401645572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2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73" w:history="1">
        <w:r w:rsidR="00E11B3A" w:rsidRPr="001B33E4">
          <w:rPr>
            <w:rStyle w:val="Hyperlink"/>
            <w:noProof/>
          </w:rPr>
          <w:t>§ 2 Begriffsbestimmungen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_Toc401645573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2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74" w:history="1">
        <w:r w:rsidR="00E11B3A" w:rsidRPr="001B33E4">
          <w:rPr>
            <w:rStyle w:val="Hyperlink"/>
            <w:noProof/>
          </w:rPr>
          <w:t>§ 3 Allgemeine Anforderungen an die Zuteilungsanträge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_Toc401645574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2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1645575" w:history="1">
        <w:r w:rsidR="00E11B3A" w:rsidRPr="001B33E4">
          <w:rPr>
            <w:rStyle w:val="Hyperlink"/>
            <w:noProof/>
          </w:rPr>
          <w:t>Abschnitt 2 Allgemeine Regeln zur Bestimmung der Kohlendioxid-Emissionen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_Toc401645575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3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76" w:history="1">
        <w:r w:rsidR="00E11B3A" w:rsidRPr="001B33E4">
          <w:rPr>
            <w:rStyle w:val="Hyperlink"/>
            <w:noProof/>
          </w:rPr>
          <w:t>§ 4 Nutzung einheitlicher Stoffwerte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_Toc401645576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3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77" w:history="1">
        <w:r w:rsidR="00E11B3A" w:rsidRPr="001B33E4">
          <w:rPr>
            <w:rStyle w:val="Hyperlink"/>
            <w:noProof/>
          </w:rPr>
          <w:t>§ 5 Bestimmung von Emissionsfaktoren, unteren Heizwerten und Kohlenstoffgehalten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_Toc401645577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3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78" w:history="1">
        <w:r w:rsidR="00E11B3A" w:rsidRPr="001B33E4">
          <w:rPr>
            <w:rStyle w:val="Hyperlink"/>
            <w:noProof/>
          </w:rPr>
          <w:t>§ 6 Bestimmung der Kohlendioxid-Emissionen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_Toc401645578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3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79" w:history="1">
        <w:r w:rsidR="00E11B3A" w:rsidRPr="001B33E4">
          <w:rPr>
            <w:rStyle w:val="Hyperlink"/>
            <w:noProof/>
          </w:rPr>
          <w:t>§ 7 Emissionsberechnung auf der Grundlage einer Bilanzierung des Kohlenstoffgehalts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_Toc401645579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4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0" w:history="1">
        <w:r w:rsidR="00E11B3A" w:rsidRPr="001B33E4">
          <w:rPr>
            <w:rStyle w:val="Hyperlink"/>
            <w:noProof/>
          </w:rPr>
          <w:t>§ 8 Messung der Kohlendioxid-Emissionen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_Toc401645580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5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1645581" w:history="1">
        <w:r w:rsidR="00E11B3A" w:rsidRPr="001B33E4">
          <w:rPr>
            <w:rStyle w:val="Hyperlink"/>
            <w:noProof/>
          </w:rPr>
          <w:t>Abschnitt 3 Besondere Antragserfordernisse und Regel der Berechnung der Kohlendioxid-Emissionen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_Toc401645581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5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2" w:history="1">
        <w:r w:rsidR="00E11B3A" w:rsidRPr="001B33E4">
          <w:rPr>
            <w:rStyle w:val="Hyperlink"/>
            <w:noProof/>
          </w:rPr>
          <w:t>§ 9 Kohlendioxid-Emissionen aus der Regeneration von Katalysatoren und aus der Kalzinierung von Petrolkoks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_Toc401645582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5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3" w:history="1">
        <w:r w:rsidR="00E11B3A" w:rsidRPr="001B33E4">
          <w:rPr>
            <w:rStyle w:val="Hyperlink"/>
            <w:noProof/>
          </w:rPr>
          <w:t>§ 10 Ermittlung der Produktionsmenge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_Toc401645583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6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4" w:history="1">
        <w:r w:rsidR="00E11B3A" w:rsidRPr="001B33E4">
          <w:rPr>
            <w:rStyle w:val="Hyperlink"/>
            <w:noProof/>
          </w:rPr>
          <w:t>§ 11 Bestimmung des Emissionswertes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_Toc401645584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6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5" w:history="1">
        <w:r w:rsidR="00E11B3A" w:rsidRPr="001B33E4">
          <w:rPr>
            <w:rStyle w:val="Hyperlink"/>
            <w:noProof/>
          </w:rPr>
          <w:t>§ 12 Zuteilung für Industrieanlagen mit Inbetriebnahme bis 31. Dezember 2002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_Toc401645585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7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6" w:history="1">
        <w:r w:rsidR="00E11B3A" w:rsidRPr="001B33E4">
          <w:rPr>
            <w:rStyle w:val="Hyperlink"/>
            <w:noProof/>
          </w:rPr>
          <w:t>§ 13 Zuteilung für Anlagen der Energiewirtschaft mit Inbetriebnahme bis 31. Dezember 2002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_Toc401645586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7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7" w:history="1">
        <w:r w:rsidR="00E11B3A" w:rsidRPr="001B33E4">
          <w:rPr>
            <w:rStyle w:val="Hyperlink"/>
            <w:noProof/>
          </w:rPr>
          <w:t>§ 14 Zuteilung für Anlagen mit Inbetriebnahme in den Jahren 2003 bis 2007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_Toc401645587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7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8" w:history="1">
        <w:r w:rsidR="00E11B3A" w:rsidRPr="001B33E4">
          <w:rPr>
            <w:rStyle w:val="Hyperlink"/>
            <w:noProof/>
          </w:rPr>
          <w:t>§ 15 Zuteilungen für Neuanlagen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_Toc401645588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8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89" w:history="1">
        <w:r w:rsidR="00E11B3A" w:rsidRPr="001B33E4">
          <w:rPr>
            <w:rStyle w:val="Hyperlink"/>
            <w:noProof/>
          </w:rPr>
          <w:t>§ 16 Zuteilung nach § 10 Abs. 6 des Zuteilungsgesetzes 2012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_Toc401645589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9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90" w:history="1">
        <w:r w:rsidR="00E11B3A" w:rsidRPr="001B33E4">
          <w:rPr>
            <w:rStyle w:val="Hyperlink"/>
            <w:noProof/>
          </w:rPr>
          <w:t>§ 17 Bestimmung des Effizienzstandards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_Toc401645590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10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91" w:history="1">
        <w:r w:rsidR="00E11B3A" w:rsidRPr="001B33E4">
          <w:rPr>
            <w:rStyle w:val="Hyperlink"/>
            <w:noProof/>
          </w:rPr>
          <w:t>§ 18 Frühzeitige Emissionsminderungen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_Toc401645591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10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92" w:history="1">
        <w:r w:rsidR="00E11B3A" w:rsidRPr="001B33E4">
          <w:rPr>
            <w:rStyle w:val="Hyperlink"/>
            <w:noProof/>
          </w:rPr>
          <w:t>§ 19 Kuppelgas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_Toc401645592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10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1645593" w:history="1">
        <w:r w:rsidR="00E11B3A" w:rsidRPr="001B33E4">
          <w:rPr>
            <w:rStyle w:val="Hyperlink"/>
            <w:noProof/>
          </w:rPr>
          <w:t>Abschnitt 4 Gemeinsame Vorschriften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_Toc401645593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10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94" w:history="1">
        <w:r w:rsidR="00E11B3A" w:rsidRPr="001B33E4">
          <w:rPr>
            <w:rStyle w:val="Hyperlink"/>
            <w:noProof/>
          </w:rPr>
          <w:t>§ 20 Anforderungen an die Verifizierung der Zuteilungsanträge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_Toc401645594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10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95" w:history="1">
        <w:r w:rsidR="00E11B3A" w:rsidRPr="001B33E4">
          <w:rPr>
            <w:rStyle w:val="Hyperlink"/>
            <w:noProof/>
          </w:rPr>
          <w:t>§ 21 Ordnungswidrigkeiten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_Toc401645595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11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1645596" w:history="1">
        <w:r w:rsidR="00E11B3A" w:rsidRPr="001B33E4">
          <w:rPr>
            <w:rStyle w:val="Hyperlink"/>
            <w:noProof/>
          </w:rPr>
          <w:t>§ 22 Inkrafttreten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_Toc401645596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11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1645597" w:history="1">
        <w:r w:rsidR="00E11B3A" w:rsidRPr="001B33E4">
          <w:rPr>
            <w:rStyle w:val="Hyperlink"/>
            <w:noProof/>
          </w:rPr>
          <w:t>Anhang 1 (zu den §§ 4 und 5)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_Toc401645597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12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1645598" w:history="1">
        <w:r w:rsidR="00E11B3A" w:rsidRPr="001B33E4">
          <w:rPr>
            <w:rStyle w:val="Hyperlink"/>
            <w:noProof/>
          </w:rPr>
          <w:t>Anhang 2 (zu § 5 Abs. 3)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_Toc401645598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14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1645599" w:history="1">
        <w:r w:rsidR="00E11B3A" w:rsidRPr="001B33E4">
          <w:rPr>
            <w:rStyle w:val="Hyperlink"/>
            <w:noProof/>
          </w:rPr>
          <w:t>Anhang 3 (zu § 9)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_Toc401645599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14</w:t>
        </w:r>
        <w:r w:rsidR="00E11B3A">
          <w:rPr>
            <w:noProof/>
            <w:webHidden/>
          </w:rPr>
          <w:fldChar w:fldCharType="end"/>
        </w:r>
      </w:hyperlink>
    </w:p>
    <w:p w:rsidR="00E11B3A" w:rsidRPr="00E96F53" w:rsidRDefault="00357CE5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1645600" w:history="1">
        <w:r w:rsidR="00E11B3A" w:rsidRPr="001B33E4">
          <w:rPr>
            <w:rStyle w:val="Hyperlink"/>
            <w:noProof/>
          </w:rPr>
          <w:t>Anhang 4 (zu § 19)</w:t>
        </w:r>
        <w:r w:rsidR="00E11B3A">
          <w:rPr>
            <w:noProof/>
            <w:webHidden/>
          </w:rPr>
          <w:tab/>
        </w:r>
        <w:r w:rsidR="00E11B3A">
          <w:rPr>
            <w:noProof/>
            <w:webHidden/>
          </w:rPr>
          <w:fldChar w:fldCharType="begin"/>
        </w:r>
        <w:r w:rsidR="00E11B3A">
          <w:rPr>
            <w:noProof/>
            <w:webHidden/>
          </w:rPr>
          <w:instrText xml:space="preserve"> PAGEREF _Toc401645600 \h </w:instrText>
        </w:r>
        <w:r w:rsidR="00E11B3A">
          <w:rPr>
            <w:noProof/>
            <w:webHidden/>
          </w:rPr>
        </w:r>
        <w:r w:rsidR="00E11B3A">
          <w:rPr>
            <w:noProof/>
            <w:webHidden/>
          </w:rPr>
          <w:fldChar w:fldCharType="separate"/>
        </w:r>
        <w:r w:rsidR="00E11B3A">
          <w:rPr>
            <w:noProof/>
            <w:webHidden/>
          </w:rPr>
          <w:t>15</w:t>
        </w:r>
        <w:r w:rsidR="00E11B3A">
          <w:rPr>
            <w:noProof/>
            <w:webHidden/>
          </w:rPr>
          <w:fldChar w:fldCharType="end"/>
        </w:r>
      </w:hyperlink>
    </w:p>
    <w:p w:rsidR="00EC5CB0" w:rsidRPr="0056324D" w:rsidRDefault="00E11B3A" w:rsidP="0056324D">
      <w:pPr>
        <w:pStyle w:val="GesAbsatz"/>
      </w:pPr>
      <w:r>
        <w:fldChar w:fldCharType="end"/>
      </w:r>
    </w:p>
    <w:p w:rsidR="0038031E" w:rsidRDefault="0038031E" w:rsidP="0038031E">
      <w:pPr>
        <w:pStyle w:val="GesAbsatz"/>
      </w:pPr>
      <w:r>
        <w:t>Auf Grund</w:t>
      </w:r>
    </w:p>
    <w:p w:rsidR="0038031E" w:rsidRDefault="00EC5CB0" w:rsidP="00EC5CB0">
      <w:pPr>
        <w:pStyle w:val="GesAbsatz"/>
        <w:ind w:left="426" w:hanging="426"/>
      </w:pPr>
      <w:r>
        <w:t>-</w:t>
      </w:r>
      <w:r>
        <w:tab/>
      </w:r>
      <w:r w:rsidR="0038031E">
        <w:t>des § 6 Abs. 1 Satz 2 und 3, § 7 Abs. 1 Satz 1, 3</w:t>
      </w:r>
      <w:r>
        <w:t xml:space="preserve"> </w:t>
      </w:r>
      <w:r w:rsidR="0038031E">
        <w:t>und 4, § 9 Abs. 2 Satz 2, Abs. 3 Satz 3, § 10 Abs. 6</w:t>
      </w:r>
      <w:r>
        <w:t xml:space="preserve"> </w:t>
      </w:r>
      <w:r w:rsidR="0038031E">
        <w:t>Satz 3, § 11 Abs. 6 Satz 1, jeweils in Verbindung mit</w:t>
      </w:r>
      <w:r>
        <w:t xml:space="preserve"> </w:t>
      </w:r>
      <w:r w:rsidR="0038031E">
        <w:t>§ 13 des Zuteilungsgesetzes 2012 vom 7. A</w:t>
      </w:r>
      <w:r w:rsidR="0038031E">
        <w:t>u</w:t>
      </w:r>
      <w:r w:rsidR="0038031E">
        <w:t>gust</w:t>
      </w:r>
      <w:r w:rsidR="00C46A01">
        <w:t> </w:t>
      </w:r>
      <w:r w:rsidR="0038031E">
        <w:t>2007 (BGBl. I S. 1788), und</w:t>
      </w:r>
    </w:p>
    <w:p w:rsidR="0038031E" w:rsidRDefault="00EC5CB0" w:rsidP="00EC5CB0">
      <w:pPr>
        <w:pStyle w:val="GesAbsatz"/>
        <w:ind w:left="426" w:hanging="426"/>
      </w:pPr>
      <w:r>
        <w:t>-</w:t>
      </w:r>
      <w:r>
        <w:tab/>
      </w:r>
      <w:r w:rsidR="0038031E">
        <w:t>des § 10 Abs. 5 Nr. 1 und 2 des Treibhausgas-Emissionshandelsgesetzes</w:t>
      </w:r>
      <w:r>
        <w:t xml:space="preserve"> </w:t>
      </w:r>
      <w:r w:rsidR="0038031E">
        <w:t>vom 8. Juli 2004 (BGBl. I</w:t>
      </w:r>
      <w:r>
        <w:t xml:space="preserve"> </w:t>
      </w:r>
      <w:r w:rsidR="0038031E">
        <w:t>S.</w:t>
      </w:r>
      <w:r>
        <w:t> </w:t>
      </w:r>
      <w:r w:rsidR="0038031E">
        <w:t>1578)</w:t>
      </w:r>
    </w:p>
    <w:p w:rsidR="0038031E" w:rsidRDefault="0038031E" w:rsidP="0038031E">
      <w:pPr>
        <w:pStyle w:val="GesAbsatz"/>
      </w:pPr>
      <w:r>
        <w:t>verordnet die Bundesregierung:</w:t>
      </w:r>
    </w:p>
    <w:p w:rsidR="0038031E" w:rsidRDefault="0038031E" w:rsidP="00EC5CB0">
      <w:pPr>
        <w:pStyle w:val="berschrift2"/>
      </w:pPr>
      <w:bookmarkStart w:id="2" w:name="_Toc401645571"/>
      <w:r>
        <w:t>Abschnitt 1</w:t>
      </w:r>
      <w:r w:rsidR="00EC5CB0">
        <w:br/>
      </w:r>
      <w:r>
        <w:t>Allgemeine Vorschriften</w:t>
      </w:r>
      <w:bookmarkEnd w:id="2"/>
    </w:p>
    <w:p w:rsidR="0038031E" w:rsidRDefault="0038031E" w:rsidP="00EC5CB0">
      <w:pPr>
        <w:pStyle w:val="berschrift3"/>
      </w:pPr>
      <w:bookmarkStart w:id="3" w:name="_Toc401645572"/>
      <w:r>
        <w:t>§ 1</w:t>
      </w:r>
      <w:r w:rsidR="00EC5CB0">
        <w:br/>
      </w:r>
      <w:r>
        <w:t>Anwendungsbereich und Zweck</w:t>
      </w:r>
      <w:bookmarkEnd w:id="3"/>
    </w:p>
    <w:p w:rsidR="0038031E" w:rsidRDefault="0038031E" w:rsidP="00F35A4C">
      <w:pPr>
        <w:pStyle w:val="GesAbsatz"/>
      </w:pPr>
      <w:r>
        <w:t>Diese Verordnung gilt innerhalb des Anwendungsbereichs</w:t>
      </w:r>
      <w:r w:rsidR="0086373D">
        <w:t xml:space="preserve"> </w:t>
      </w:r>
      <w:r>
        <w:t>des Treibhausgas-Emissionshandelsgesetzes</w:t>
      </w:r>
      <w:r w:rsidR="00F35A4C" w:rsidRPr="00F35A4C">
        <w:t xml:space="preserve"> </w:t>
      </w:r>
      <w:r w:rsidR="00F35A4C">
        <w:t xml:space="preserve">vom 8. Juli 2004 (BGBl. I S. 1578), das zuletzt durch Artikel 9 des Gesetzes vom 11. August 2010 (BGBl. I </w:t>
      </w:r>
      <w:r w:rsidR="00F35A4C">
        <w:lastRenderedPageBreak/>
        <w:t>S. 1163) geändert worden ist,</w:t>
      </w:r>
      <w:r>
        <w:t xml:space="preserve"> für</w:t>
      </w:r>
      <w:r w:rsidR="0086373D">
        <w:t xml:space="preserve"> </w:t>
      </w:r>
      <w:r>
        <w:t>die Zuteilungsperiode 2008 bis 2012. Sie dient der näheren</w:t>
      </w:r>
      <w:r w:rsidR="0086373D">
        <w:t xml:space="preserve"> </w:t>
      </w:r>
      <w:r>
        <w:t>Bestimmung der Berechnung der Zuteilung von</w:t>
      </w:r>
      <w:r w:rsidR="0086373D">
        <w:t xml:space="preserve"> </w:t>
      </w:r>
      <w:r>
        <w:t>Berechtigungen zur Emission von Treibhausgasen, der</w:t>
      </w:r>
      <w:r w:rsidR="0086373D">
        <w:t xml:space="preserve"> </w:t>
      </w:r>
      <w:r>
        <w:t>im</w:t>
      </w:r>
      <w:r w:rsidR="0086373D">
        <w:t xml:space="preserve"> </w:t>
      </w:r>
      <w:r>
        <w:t>Zuteilungsve</w:t>
      </w:r>
      <w:r>
        <w:t>r</w:t>
      </w:r>
      <w:r>
        <w:t>fahren nach § 10 Abs. 1 des Treibhausgas-Emissionshandelsgesetzes</w:t>
      </w:r>
      <w:r w:rsidR="00F35A4C" w:rsidRPr="00F35A4C">
        <w:t xml:space="preserve"> </w:t>
      </w:r>
      <w:r w:rsidR="00F35A4C">
        <w:t>vom 8. Juli 2004 (BGBl. I S. 1578), das zuletzt durch Artikel 9 des Gesetzes vom 11. August 2010 (BGBl. I S. 1163) geändert worden ist,</w:t>
      </w:r>
      <w:r>
        <w:t xml:space="preserve"> zu fordernden Angaben</w:t>
      </w:r>
      <w:r w:rsidR="0086373D">
        <w:t xml:space="preserve"> </w:t>
      </w:r>
      <w:r>
        <w:t>und der Art der beizubringenden Nachweise sowie</w:t>
      </w:r>
      <w:r w:rsidR="0086373D">
        <w:t xml:space="preserve"> </w:t>
      </w:r>
      <w:r>
        <w:t>deren Überprüfung. Soweit nichts anderes bestimmt</w:t>
      </w:r>
      <w:r w:rsidR="0086373D">
        <w:t xml:space="preserve"> </w:t>
      </w:r>
      <w:r>
        <w:t>ist, findet die Zuteilungsverordnung 2007 keine Anwendung.</w:t>
      </w:r>
    </w:p>
    <w:p w:rsidR="0038031E" w:rsidRDefault="0038031E" w:rsidP="0086373D">
      <w:pPr>
        <w:pStyle w:val="berschrift3"/>
      </w:pPr>
      <w:bookmarkStart w:id="4" w:name="_Toc401645573"/>
      <w:r>
        <w:t>§ 2</w:t>
      </w:r>
      <w:r w:rsidR="0086373D">
        <w:br/>
      </w:r>
      <w:r>
        <w:t>Begriffsbestimmungen</w:t>
      </w:r>
      <w:bookmarkEnd w:id="4"/>
    </w:p>
    <w:p w:rsidR="0038031E" w:rsidRDefault="0038031E" w:rsidP="0038031E">
      <w:pPr>
        <w:pStyle w:val="GesAbsatz"/>
      </w:pPr>
      <w:r>
        <w:t>Im Sinne dieser Verordnung sind:</w:t>
      </w:r>
    </w:p>
    <w:p w:rsidR="0038031E" w:rsidRDefault="0038031E" w:rsidP="0086373D">
      <w:pPr>
        <w:pStyle w:val="GesAbsatz"/>
        <w:ind w:left="426" w:hanging="426"/>
      </w:pPr>
      <w:r>
        <w:t>1.</w:t>
      </w:r>
      <w:r w:rsidR="0086373D">
        <w:tab/>
      </w:r>
      <w:r>
        <w:t>Produktionsmenge: die Menge der je Jahr in einer</w:t>
      </w:r>
      <w:r w:rsidR="0086373D">
        <w:t xml:space="preserve"> </w:t>
      </w:r>
      <w:r>
        <w:t>Anlage erzeugten Produkteinheiten, bezogen auf</w:t>
      </w:r>
      <w:r w:rsidR="0086373D">
        <w:t xml:space="preserve"> </w:t>
      </w:r>
      <w:r>
        <w:t>die jährliche Nettomenge verkaufsfertiger Produkte;</w:t>
      </w:r>
    </w:p>
    <w:p w:rsidR="0038031E" w:rsidRDefault="0038031E" w:rsidP="0038031E">
      <w:pPr>
        <w:pStyle w:val="GesAbsatz"/>
      </w:pPr>
      <w:r>
        <w:t>2.</w:t>
      </w:r>
      <w:r w:rsidR="0086373D">
        <w:tab/>
      </w:r>
      <w:r>
        <w:t>Aktivitätsrate: die eingesetzte Menge eines Stoffs</w:t>
      </w:r>
      <w:r w:rsidR="0086373D">
        <w:t xml:space="preserve"> </w:t>
      </w:r>
      <w:r>
        <w:t>pro Kalenderjahr;</w:t>
      </w:r>
    </w:p>
    <w:p w:rsidR="0038031E" w:rsidRDefault="0038031E" w:rsidP="0086373D">
      <w:pPr>
        <w:pStyle w:val="GesAbsatz"/>
        <w:ind w:left="426" w:hanging="426"/>
      </w:pPr>
      <w:r>
        <w:t>3.</w:t>
      </w:r>
      <w:r w:rsidR="0086373D">
        <w:tab/>
      </w:r>
      <w:r>
        <w:t>unterer Heizwert: die Wärmemenge, die bei vollständiger</w:t>
      </w:r>
      <w:r w:rsidR="0086373D">
        <w:t xml:space="preserve"> </w:t>
      </w:r>
      <w:r>
        <w:t>Verbrennung einer definierten Menge</w:t>
      </w:r>
      <w:r w:rsidR="0086373D">
        <w:t xml:space="preserve"> </w:t>
      </w:r>
      <w:r>
        <w:t>Bren</w:t>
      </w:r>
      <w:r>
        <w:t>n</w:t>
      </w:r>
      <w:r>
        <w:t>stoffs entsteht, sofern der Wassergehalt des</w:t>
      </w:r>
      <w:r w:rsidR="0086373D">
        <w:t xml:space="preserve"> </w:t>
      </w:r>
      <w:r>
        <w:t>Brennstoffs und das Wasser, das bei der Verbrennung</w:t>
      </w:r>
      <w:r w:rsidR="0086373D">
        <w:t xml:space="preserve"> </w:t>
      </w:r>
      <w:r>
        <w:t>entsteht, sich in gasförmigem Zustand</w:t>
      </w:r>
      <w:r w:rsidR="0086373D">
        <w:t xml:space="preserve"> </w:t>
      </w:r>
      <w:r>
        <w:t>befinden, wobei die Wärmerückgewinnung durch</w:t>
      </w:r>
      <w:r w:rsidR="0086373D">
        <w:t xml:space="preserve"> </w:t>
      </w:r>
      <w:r>
        <w:t>die Kondensi</w:t>
      </w:r>
      <w:r>
        <w:t>e</w:t>
      </w:r>
      <w:r>
        <w:t>rung des Wasserdampfes im Abgas</w:t>
      </w:r>
      <w:r w:rsidR="0086373D">
        <w:t xml:space="preserve"> </w:t>
      </w:r>
      <w:r>
        <w:t>nicht mitgerechnet wird;</w:t>
      </w:r>
    </w:p>
    <w:p w:rsidR="0038031E" w:rsidRDefault="0038031E" w:rsidP="0086373D">
      <w:pPr>
        <w:pStyle w:val="GesAbsatz"/>
        <w:ind w:left="426" w:hanging="426"/>
      </w:pPr>
      <w:r>
        <w:t>4.</w:t>
      </w:r>
      <w:r w:rsidR="0086373D">
        <w:tab/>
      </w:r>
      <w:r>
        <w:t>Emissionsfaktor: Quotient aus der bei der Handhabung</w:t>
      </w:r>
      <w:r w:rsidR="0086373D">
        <w:t xml:space="preserve"> </w:t>
      </w:r>
      <w:r>
        <w:t>eines Stoffs freigesetzten Menge nicht biogenen</w:t>
      </w:r>
      <w:r w:rsidR="0086373D">
        <w:t xml:space="preserve"> </w:t>
      </w:r>
      <w:r>
        <w:t>Kohlendioxids und der eingesetzten Menge</w:t>
      </w:r>
      <w:r w:rsidR="0086373D">
        <w:t xml:space="preserve"> </w:t>
      </w:r>
      <w:r>
        <w:t>dieses Stoffs. Dabei bezieht sich der Emissionsfaktor</w:t>
      </w:r>
      <w:r w:rsidR="0086373D">
        <w:t xml:space="preserve"> </w:t>
      </w:r>
      <w:r>
        <w:t>eines Brennstoffs auf den unteren Heizwert des</w:t>
      </w:r>
      <w:r w:rsidR="0086373D">
        <w:t xml:space="preserve"> </w:t>
      </w:r>
      <w:r>
        <w:t>Brennstoffs;</w:t>
      </w:r>
    </w:p>
    <w:p w:rsidR="0038031E" w:rsidRDefault="0038031E" w:rsidP="0086373D">
      <w:pPr>
        <w:pStyle w:val="GesAbsatz"/>
        <w:ind w:left="426" w:hanging="426"/>
      </w:pPr>
      <w:r>
        <w:t>5.</w:t>
      </w:r>
      <w:r w:rsidR="0086373D">
        <w:tab/>
      </w:r>
      <w:r>
        <w:t>biogene Kohlendioxid-Emissionen: Emissionen aus</w:t>
      </w:r>
      <w:r w:rsidR="0086373D">
        <w:t xml:space="preserve"> </w:t>
      </w:r>
      <w:r>
        <w:t>der Oxidation von nicht fossilem Kohlenstoff zu</w:t>
      </w:r>
      <w:r w:rsidR="0086373D">
        <w:t xml:space="preserve"> </w:t>
      </w:r>
      <w:r>
        <w:t>Kohlendioxid;</w:t>
      </w:r>
    </w:p>
    <w:p w:rsidR="0038031E" w:rsidRDefault="0038031E" w:rsidP="0038031E">
      <w:pPr>
        <w:pStyle w:val="GesAbsatz"/>
      </w:pPr>
      <w:r>
        <w:t>6.</w:t>
      </w:r>
      <w:r w:rsidR="0086373D">
        <w:tab/>
      </w:r>
      <w:r>
        <w:t>Brennstoff: Stoff, der vorrangig zum Zweck der</w:t>
      </w:r>
      <w:r w:rsidR="0086373D">
        <w:t xml:space="preserve"> </w:t>
      </w:r>
      <w:r>
        <w:t>Energiewandlung eingesetzt wird;</w:t>
      </w:r>
    </w:p>
    <w:p w:rsidR="0038031E" w:rsidRDefault="0038031E" w:rsidP="0038031E">
      <w:pPr>
        <w:pStyle w:val="GesAbsatz"/>
      </w:pPr>
      <w:r>
        <w:t>7.</w:t>
      </w:r>
      <w:r w:rsidR="0086373D">
        <w:tab/>
      </w:r>
      <w:r>
        <w:t>Rohstoff: in einer Anlage eingesetzter Stoff, der</w:t>
      </w:r>
      <w:r w:rsidR="0086373D">
        <w:t xml:space="preserve"> </w:t>
      </w:r>
      <w:r>
        <w:t>kein Brennstoff ist;</w:t>
      </w:r>
    </w:p>
    <w:p w:rsidR="0038031E" w:rsidRDefault="0038031E" w:rsidP="0086373D">
      <w:pPr>
        <w:pStyle w:val="GesAbsatz"/>
        <w:ind w:left="426" w:hanging="426"/>
      </w:pPr>
      <w:r>
        <w:t>8.</w:t>
      </w:r>
      <w:r w:rsidR="0086373D">
        <w:tab/>
      </w:r>
      <w:r>
        <w:t>Konversionsfaktor: Koeffizient, der den Grad der</w:t>
      </w:r>
      <w:r w:rsidR="0086373D">
        <w:t xml:space="preserve"> </w:t>
      </w:r>
      <w:r>
        <w:t>Umwandlung des in den Brennstoffen oder Rohstoffen</w:t>
      </w:r>
      <w:r w:rsidR="0086373D">
        <w:t xml:space="preserve"> </w:t>
      </w:r>
      <w:r>
        <w:t>enthaltenen Kohlenstoffs zu Kohlendioxid</w:t>
      </w:r>
      <w:r w:rsidR="0086373D">
        <w:t xml:space="preserve"> </w:t>
      </w:r>
      <w:r>
        <w:t>angibt. Bei vollständiger Umwandlung ist der Konversionsfa</w:t>
      </w:r>
      <w:r>
        <w:t>k</w:t>
      </w:r>
      <w:r>
        <w:t>tor</w:t>
      </w:r>
      <w:r w:rsidR="0086373D">
        <w:t xml:space="preserve"> </w:t>
      </w:r>
      <w:r>
        <w:t>eins. Bei Verbrennungsprozessen</w:t>
      </w:r>
      <w:r w:rsidR="0086373D">
        <w:t xml:space="preserve"> </w:t>
      </w:r>
      <w:r>
        <w:t>entspricht der Konversionsfaktor dem Oxidationsfaktor;</w:t>
      </w:r>
      <w:r w:rsidR="0086373D">
        <w:t xml:space="preserve"> </w:t>
      </w:r>
      <w:r>
        <w:t>bei Nicht-Verbrennungsprozessen entspricht</w:t>
      </w:r>
      <w:r w:rsidR="0086373D">
        <w:t xml:space="preserve"> </w:t>
      </w:r>
      <w:r>
        <w:t>der Konversionsfaktor dem Umsetzungsfaktor;</w:t>
      </w:r>
    </w:p>
    <w:p w:rsidR="0038031E" w:rsidRDefault="0038031E" w:rsidP="0086373D">
      <w:pPr>
        <w:pStyle w:val="GesAbsatz"/>
        <w:ind w:left="426" w:hanging="426"/>
      </w:pPr>
      <w:r>
        <w:t>9.</w:t>
      </w:r>
      <w:r w:rsidR="0086373D">
        <w:tab/>
      </w:r>
      <w:r>
        <w:t>Gichtgas: das bei der Roheisenerzeugung aus dem</w:t>
      </w:r>
      <w:r w:rsidR="0086373D">
        <w:t xml:space="preserve"> </w:t>
      </w:r>
      <w:r>
        <w:t>Hochofen an der Gicht (oberer Abschluss des</w:t>
      </w:r>
      <w:r w:rsidR="0086373D">
        <w:t xml:space="preserve"> </w:t>
      </w:r>
      <w:r>
        <w:t>Hochofens) austretende Gasgemisch;</w:t>
      </w:r>
    </w:p>
    <w:p w:rsidR="0038031E" w:rsidRDefault="0038031E" w:rsidP="0086373D">
      <w:pPr>
        <w:pStyle w:val="GesAbsatz"/>
        <w:ind w:left="426" w:hanging="426"/>
      </w:pPr>
      <w:r>
        <w:t>10.</w:t>
      </w:r>
      <w:r w:rsidR="0086373D">
        <w:tab/>
      </w:r>
      <w:r>
        <w:t>Konvertergas: das bei der Rohstahlerzeugung nach</w:t>
      </w:r>
      <w:r w:rsidR="0086373D">
        <w:t xml:space="preserve"> </w:t>
      </w:r>
      <w:r>
        <w:t>dem Sauerstoffblasverfahren aus dem Konverter</w:t>
      </w:r>
      <w:r w:rsidR="0086373D">
        <w:t xml:space="preserve"> </w:t>
      </w:r>
      <w:r>
        <w:t>austretende Gasgemisch;</w:t>
      </w:r>
    </w:p>
    <w:p w:rsidR="0038031E" w:rsidRDefault="0038031E" w:rsidP="0086373D">
      <w:pPr>
        <w:pStyle w:val="GesAbsatz"/>
        <w:ind w:left="426" w:hanging="426"/>
      </w:pPr>
      <w:r>
        <w:t>11.</w:t>
      </w:r>
      <w:r w:rsidR="0086373D">
        <w:tab/>
      </w:r>
      <w:r>
        <w:t>Kokereigas: das bei der Trockendestillation insbesondere</w:t>
      </w:r>
      <w:r w:rsidR="0086373D">
        <w:t xml:space="preserve"> </w:t>
      </w:r>
      <w:r>
        <w:t>von Braunkohle oder Steinkohle aus der</w:t>
      </w:r>
      <w:r w:rsidR="0086373D">
        <w:t xml:space="preserve"> </w:t>
      </w:r>
      <w:r>
        <w:t>Koksofenkammer austretende Gasgemisch.</w:t>
      </w:r>
    </w:p>
    <w:p w:rsidR="0038031E" w:rsidRDefault="0038031E" w:rsidP="0086373D">
      <w:pPr>
        <w:pStyle w:val="berschrift3"/>
      </w:pPr>
      <w:bookmarkStart w:id="5" w:name="_Toc401645574"/>
      <w:r>
        <w:t>§ 3</w:t>
      </w:r>
      <w:r w:rsidR="0086373D">
        <w:br/>
      </w:r>
      <w:r>
        <w:t>Allgemeine</w:t>
      </w:r>
      <w:r w:rsidR="0086373D">
        <w:t xml:space="preserve"> </w:t>
      </w:r>
      <w:r>
        <w:t>Anforderungen an die Zuteilungsanträge</w:t>
      </w:r>
      <w:bookmarkEnd w:id="5"/>
    </w:p>
    <w:p w:rsidR="0038031E" w:rsidRDefault="0038031E" w:rsidP="0023109A">
      <w:pPr>
        <w:pStyle w:val="GesAbsatz"/>
      </w:pPr>
      <w:r>
        <w:t>(1) Soweit die Vorschriften der Abschnitte 2 und 3</w:t>
      </w:r>
      <w:r w:rsidR="0086373D">
        <w:t xml:space="preserve"> </w:t>
      </w:r>
      <w:r>
        <w:t>keine abweichenden Regelungen enthalten, sind die</w:t>
      </w:r>
      <w:r w:rsidR="0086373D">
        <w:t xml:space="preserve"> </w:t>
      </w:r>
      <w:r>
        <w:t>für die Zuteilung von Emissionsberechtigungen im Zuteilungsantrag</w:t>
      </w:r>
      <w:r w:rsidR="0086373D">
        <w:t xml:space="preserve"> </w:t>
      </w:r>
      <w:r>
        <w:t>nach § 10 Abs. 1 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>
        <w:t xml:space="preserve"> anzugebenden Daten und</w:t>
      </w:r>
      <w:r w:rsidR="0086373D">
        <w:t xml:space="preserve"> </w:t>
      </w:r>
      <w:r>
        <w:t>Informationen, im Ei</w:t>
      </w:r>
      <w:r>
        <w:t>n</w:t>
      </w:r>
      <w:r>
        <w:t>klang mit der Entscheidung</w:t>
      </w:r>
      <w:r w:rsidR="00C46A01">
        <w:t> </w:t>
      </w:r>
      <w:r>
        <w:t>2004/156/EG der Kommission vom 29. Januar 2004</w:t>
      </w:r>
      <w:r w:rsidR="0086373D">
        <w:t xml:space="preserve"> </w:t>
      </w:r>
      <w:r>
        <w:t>zur Festlegung von Leitl</w:t>
      </w:r>
      <w:r>
        <w:t>i</w:t>
      </w:r>
      <w:r>
        <w:t>nien für Überwachung und Berichterstattung</w:t>
      </w:r>
      <w:r w:rsidR="0086373D">
        <w:t xml:space="preserve"> </w:t>
      </w:r>
      <w:r>
        <w:t>betreffend Treibhausgasemissionen gemäß</w:t>
      </w:r>
      <w:r w:rsidR="0086373D">
        <w:t xml:space="preserve"> </w:t>
      </w:r>
      <w:r>
        <w:t>der Richtlinie 2003/87/EG des Europäischen Parlaments</w:t>
      </w:r>
      <w:r w:rsidR="0086373D">
        <w:t xml:space="preserve"> </w:t>
      </w:r>
      <w:r>
        <w:t>und des Rates (ABl. EU Nr. L 59 S. 1, Nr. L 177</w:t>
      </w:r>
      <w:r w:rsidR="0086373D">
        <w:t xml:space="preserve"> </w:t>
      </w:r>
      <w:r>
        <w:t>S. 4) zu erheben und anzugeben. Soweit die Anforderungen</w:t>
      </w:r>
      <w:r w:rsidR="0086373D">
        <w:t xml:space="preserve"> </w:t>
      </w:r>
      <w:r>
        <w:t>der in Satz 1 genannten Leitlinien nicht eingehalten</w:t>
      </w:r>
      <w:r w:rsidR="0086373D">
        <w:t xml:space="preserve"> </w:t>
      </w:r>
      <w:r>
        <w:t>werden kö</w:t>
      </w:r>
      <w:r>
        <w:t>n</w:t>
      </w:r>
      <w:r>
        <w:t>nen, sind die Daten und Informationen</w:t>
      </w:r>
      <w:r w:rsidR="0086373D">
        <w:t xml:space="preserve"> </w:t>
      </w:r>
      <w:r>
        <w:t>mit dem im Einzelfall höchsten erreichbaren Grad</w:t>
      </w:r>
      <w:r w:rsidR="0086373D">
        <w:t xml:space="preserve"> </w:t>
      </w:r>
      <w:r>
        <w:t>an Genauigkeit und Vollständigkeit zu erheben und anzugeben.</w:t>
      </w:r>
    </w:p>
    <w:p w:rsidR="0038031E" w:rsidRDefault="0038031E" w:rsidP="0038031E">
      <w:pPr>
        <w:pStyle w:val="GesAbsatz"/>
      </w:pPr>
      <w:r>
        <w:t>(2) Der Antragsteller ist verpflichtet, die nach § 6</w:t>
      </w:r>
      <w:r w:rsidR="0086373D">
        <w:t xml:space="preserve"> </w:t>
      </w:r>
      <w:r>
        <w:t>Abs. 5 Satz 2, § 7 Abs. 2, § 8 Abs. 3, § 9 Abs. 2, § 11</w:t>
      </w:r>
      <w:r w:rsidR="0086373D">
        <w:t xml:space="preserve"> </w:t>
      </w:r>
      <w:r>
        <w:t>Abs. 2 bis 4, § 12 Abs. 1 und 2, § 13, § 14, § 15, § 16</w:t>
      </w:r>
      <w:r w:rsidR="0086373D">
        <w:t xml:space="preserve"> </w:t>
      </w:r>
      <w:r>
        <w:t>Abs. 2 und 3, § 17 und § 19 Abs. 1 erforderlichen Angaben</w:t>
      </w:r>
      <w:r w:rsidR="0086373D">
        <w:t xml:space="preserve"> </w:t>
      </w:r>
      <w:r>
        <w:t>in den Zuteilungsanträgen zu machen. Soweit</w:t>
      </w:r>
      <w:r w:rsidR="0086373D">
        <w:t xml:space="preserve"> </w:t>
      </w:r>
      <w:r>
        <w:t>diese Angaben die vorherige Durchführung von Berechnu</w:t>
      </w:r>
      <w:r>
        <w:t>n</w:t>
      </w:r>
      <w:r>
        <w:t>gen</w:t>
      </w:r>
      <w:r w:rsidR="0086373D">
        <w:t xml:space="preserve"> </w:t>
      </w:r>
      <w:r>
        <w:t>voraussetzen, ist neben den geforderten Angaben</w:t>
      </w:r>
      <w:r w:rsidR="0086373D">
        <w:t xml:space="preserve"> </w:t>
      </w:r>
      <w:r>
        <w:t>jeweils auch die angewandte Berechnungsmethode</w:t>
      </w:r>
      <w:r w:rsidR="0086373D">
        <w:t xml:space="preserve"> </w:t>
      </w:r>
      <w:r>
        <w:t>zu erläutern und die Ableitung der Angaben</w:t>
      </w:r>
      <w:r w:rsidR="0086373D">
        <w:t xml:space="preserve"> </w:t>
      </w:r>
      <w:r>
        <w:t>nachvollziehbar darzustellen. Der Betreiber ist verpflichtet,</w:t>
      </w:r>
      <w:r w:rsidR="0086373D">
        <w:t xml:space="preserve"> </w:t>
      </w:r>
      <w:r>
        <w:t>die den Angaben zugrunde liegenden Einzelnachweise</w:t>
      </w:r>
      <w:r w:rsidR="0086373D">
        <w:t xml:space="preserve"> </w:t>
      </w:r>
      <w:r>
        <w:t>auf Verlangen der zuständigen Behörde vorzuweisen.</w:t>
      </w:r>
    </w:p>
    <w:p w:rsidR="0038031E" w:rsidRDefault="0038031E" w:rsidP="0086373D">
      <w:pPr>
        <w:pStyle w:val="berschrift2"/>
      </w:pPr>
      <w:bookmarkStart w:id="6" w:name="_Toc401645575"/>
      <w:r>
        <w:lastRenderedPageBreak/>
        <w:t>Abschnitt 2</w:t>
      </w:r>
      <w:r w:rsidR="0086373D">
        <w:br/>
      </w:r>
      <w:r>
        <w:t>Allgemeine Regeln zur</w:t>
      </w:r>
      <w:r w:rsidR="0086373D">
        <w:t xml:space="preserve"> </w:t>
      </w:r>
      <w:r>
        <w:t>Bestimmung der Kohlendioxid-Emissionen</w:t>
      </w:r>
      <w:bookmarkEnd w:id="6"/>
    </w:p>
    <w:p w:rsidR="0038031E" w:rsidRDefault="0038031E" w:rsidP="0086373D">
      <w:pPr>
        <w:pStyle w:val="berschrift3"/>
      </w:pPr>
      <w:bookmarkStart w:id="7" w:name="_Toc401645576"/>
      <w:r>
        <w:t>§ 4</w:t>
      </w:r>
      <w:r w:rsidR="0086373D">
        <w:br/>
      </w:r>
      <w:r>
        <w:t>Nutzung einheitlicher Stoffwerte</w:t>
      </w:r>
      <w:bookmarkEnd w:id="7"/>
    </w:p>
    <w:p w:rsidR="0038031E" w:rsidRDefault="0038031E" w:rsidP="0038031E">
      <w:pPr>
        <w:pStyle w:val="GesAbsatz"/>
      </w:pPr>
      <w:r>
        <w:t>(1) Bei Anlagen, die eine Zuteilung nach § 6 des Zuteilungsgesetzes</w:t>
      </w:r>
      <w:r w:rsidR="0086373D">
        <w:t xml:space="preserve"> </w:t>
      </w:r>
      <w:r>
        <w:t>2012 erhalten, erfolgt die Ermittlung</w:t>
      </w:r>
      <w:r w:rsidR="0086373D">
        <w:t xml:space="preserve"> </w:t>
      </w:r>
      <w:r>
        <w:t>der Zuteilungsmenge für diejenigen Brennstoffe, Rohstoffe</w:t>
      </w:r>
      <w:r w:rsidR="0086373D">
        <w:t xml:space="preserve"> </w:t>
      </w:r>
      <w:r>
        <w:t>und Produkte, für die in Anhang 1 einheitliche</w:t>
      </w:r>
      <w:r w:rsidR="0086373D">
        <w:t xml:space="preserve"> </w:t>
      </w:r>
      <w:r>
        <w:t>Emi</w:t>
      </w:r>
      <w:r>
        <w:t>s</w:t>
      </w:r>
      <w:r>
        <w:t>sionsfaktoren, untere Heizwerte und Kohlenstoffgehalte</w:t>
      </w:r>
      <w:r w:rsidR="0086373D">
        <w:t xml:space="preserve"> </w:t>
      </w:r>
      <w:r>
        <w:t>festgelegt sind, auf Grundlage dieser Werte.</w:t>
      </w:r>
    </w:p>
    <w:p w:rsidR="0038031E" w:rsidRDefault="0038031E" w:rsidP="0038031E">
      <w:pPr>
        <w:pStyle w:val="GesAbsatz"/>
      </w:pPr>
      <w:r>
        <w:t>(2) Bei Verbrennungsprozessen ist ein Oxidationsfaktor</w:t>
      </w:r>
      <w:r w:rsidR="0086373D">
        <w:t xml:space="preserve"> </w:t>
      </w:r>
      <w:r>
        <w:t>von eins zugrunde zu legen.</w:t>
      </w:r>
    </w:p>
    <w:p w:rsidR="0038031E" w:rsidRDefault="0038031E" w:rsidP="0086373D">
      <w:pPr>
        <w:pStyle w:val="berschrift3"/>
      </w:pPr>
      <w:bookmarkStart w:id="8" w:name="_Toc401645577"/>
      <w:r>
        <w:t>§ 5</w:t>
      </w:r>
      <w:r w:rsidR="0086373D">
        <w:br/>
      </w:r>
      <w:r>
        <w:t>Bestimmung von Emissionsfaktoren,</w:t>
      </w:r>
      <w:r w:rsidR="0086373D">
        <w:t xml:space="preserve"> </w:t>
      </w:r>
      <w:r>
        <w:t>unteren Heizwerten und Kohlenstoffgehalten</w:t>
      </w:r>
      <w:bookmarkEnd w:id="8"/>
    </w:p>
    <w:p w:rsidR="0038031E" w:rsidRDefault="0038031E" w:rsidP="0038031E">
      <w:pPr>
        <w:pStyle w:val="GesAbsatz"/>
      </w:pPr>
      <w:r>
        <w:t>(1) Soweit nach § 4 keine einheitlichen Stoffwerte</w:t>
      </w:r>
      <w:r w:rsidR="0086373D">
        <w:t xml:space="preserve"> </w:t>
      </w:r>
      <w:r>
        <w:t>gelten, erfolgt die Angabe dieser Stoffwerte auf der</w:t>
      </w:r>
      <w:r w:rsidR="0086373D">
        <w:t xml:space="preserve"> </w:t>
      </w:r>
      <w:r>
        <w:t>Grun</w:t>
      </w:r>
      <w:r>
        <w:t>d</w:t>
      </w:r>
      <w:r>
        <w:t>lage der spezifischen Eigenschaften der eingesetzten</w:t>
      </w:r>
      <w:r w:rsidR="0086373D">
        <w:t xml:space="preserve"> </w:t>
      </w:r>
      <w:r>
        <w:t>Stoffe. Dabei sind die Genauigkeitsgrade nach</w:t>
      </w:r>
      <w:r w:rsidR="0086373D">
        <w:t xml:space="preserve"> </w:t>
      </w:r>
      <w:r>
        <w:t>dem Ebenenkonzept der Entscheidung 2004/156/EG zu</w:t>
      </w:r>
      <w:r w:rsidR="0086373D">
        <w:t xml:space="preserve"> </w:t>
      </w:r>
      <w:r>
        <w:t>wählen. Soweit die Anforderungen dieser Leitlinien aus</w:t>
      </w:r>
      <w:r w:rsidR="0086373D">
        <w:t xml:space="preserve"> </w:t>
      </w:r>
      <w:r>
        <w:t>technischen Gründen nicht eingehalten werden können</w:t>
      </w:r>
      <w:r w:rsidR="0086373D">
        <w:t xml:space="preserve"> </w:t>
      </w:r>
      <w:r>
        <w:t>oder der erforderliche Mehraufwand wirtschaftlich nicht</w:t>
      </w:r>
      <w:r w:rsidR="0086373D">
        <w:t xml:space="preserve"> </w:t>
      </w:r>
      <w:r>
        <w:t>vertretbar ist, können die in Anhang 1 genannten einheitlichen</w:t>
      </w:r>
      <w:r w:rsidR="0086373D">
        <w:t xml:space="preserve"> </w:t>
      </w:r>
      <w:r>
        <w:t>Stoffwerte verwendet werden. Der ei</w:t>
      </w:r>
      <w:r>
        <w:t>n</w:t>
      </w:r>
      <w:r>
        <w:t>heitliche</w:t>
      </w:r>
      <w:r w:rsidR="0086373D">
        <w:t xml:space="preserve"> </w:t>
      </w:r>
      <w:r>
        <w:t>Emissionsfaktor und untere Heizwert nach Anhang</w:t>
      </w:r>
      <w:r w:rsidR="0086373D">
        <w:t xml:space="preserve"> </w:t>
      </w:r>
      <w:r>
        <w:t>1 sind für einen Brennstoff immer gemeinsam anzuwenden.</w:t>
      </w:r>
    </w:p>
    <w:p w:rsidR="0038031E" w:rsidRDefault="0038031E" w:rsidP="0038031E">
      <w:pPr>
        <w:pStyle w:val="GesAbsatz"/>
      </w:pPr>
      <w:r>
        <w:t>(2) Die Emissionsfaktoren von Brennstoffen berechnen</w:t>
      </w:r>
      <w:r w:rsidR="0086373D">
        <w:t xml:space="preserve"> </w:t>
      </w:r>
      <w:r>
        <w:t>sich als Quotient aus dem Kohlenstoffgehalt und</w:t>
      </w:r>
      <w:r w:rsidR="0086373D">
        <w:t xml:space="preserve"> </w:t>
      </w:r>
      <w:r>
        <w:t>dem unteren Heizwert des Brennstoffs sowie der anschließenden</w:t>
      </w:r>
      <w:r w:rsidR="0086373D">
        <w:t xml:space="preserve"> </w:t>
      </w:r>
      <w:r>
        <w:t>Umrechnung in Kohlendioxid durch die</w:t>
      </w:r>
      <w:r w:rsidR="0086373D">
        <w:t xml:space="preserve"> </w:t>
      </w:r>
      <w:r>
        <w:t>Multiplikation mit dem Quotienten aus 44 und zwölf.</w:t>
      </w:r>
      <w:r w:rsidR="0086373D">
        <w:t xml:space="preserve"> </w:t>
      </w:r>
      <w:r>
        <w:t>Dabei sind der Kohlenstoffgehalt und der untere Hei</w:t>
      </w:r>
      <w:r>
        <w:t>z</w:t>
      </w:r>
      <w:r>
        <w:t>wert</w:t>
      </w:r>
      <w:r w:rsidR="0086373D">
        <w:t xml:space="preserve"> </w:t>
      </w:r>
      <w:r>
        <w:t>nach den allgemein anerkannten Regeln der Technik</w:t>
      </w:r>
      <w:r w:rsidR="0086373D">
        <w:t xml:space="preserve"> </w:t>
      </w:r>
      <w:r>
        <w:t>zu bestimmen. Eine unvollständige Verbrennung</w:t>
      </w:r>
      <w:r w:rsidR="0086373D">
        <w:t xml:space="preserve"> </w:t>
      </w:r>
      <w:r>
        <w:t>bleibt bei der Bestimmung des Emissionsfaktors unberücksichtigt.</w:t>
      </w:r>
    </w:p>
    <w:p w:rsidR="0038031E" w:rsidRDefault="0038031E" w:rsidP="0023109A">
      <w:pPr>
        <w:pStyle w:val="GesAbsatz"/>
      </w:pPr>
      <w:r>
        <w:t>(3) Eine Berechnung des Kohlenstoffgehalts aus</w:t>
      </w:r>
      <w:r w:rsidR="0086373D">
        <w:t xml:space="preserve"> </w:t>
      </w:r>
      <w:r>
        <w:t>dem unteren Heizwert der Brennstoffe über statistische</w:t>
      </w:r>
      <w:r w:rsidR="0086373D">
        <w:t xml:space="preserve"> </w:t>
      </w:r>
      <w:r>
        <w:t>Methoden ist grundsätzlich nicht zulässig. Soweit bei</w:t>
      </w:r>
      <w:r w:rsidR="0086373D">
        <w:t xml:space="preserve"> </w:t>
      </w:r>
      <w:r>
        <w:t>dem Brennstoff Vollwert-Steinkohle keine Angaben</w:t>
      </w:r>
      <w:r w:rsidR="0086373D">
        <w:t xml:space="preserve"> </w:t>
      </w:r>
      <w:r>
        <w:t>über den Kohlenstoffgehalt des Brennstoffs vorliegen</w:t>
      </w:r>
      <w:r w:rsidR="0086373D">
        <w:t xml:space="preserve"> </w:t>
      </w:r>
      <w:r>
        <w:t>und das Gemisch der Brennstoffchargen wegen spez</w:t>
      </w:r>
      <w:r>
        <w:t>i</w:t>
      </w:r>
      <w:r>
        <w:t>fischer</w:t>
      </w:r>
      <w:r w:rsidR="0086373D">
        <w:t xml:space="preserve"> </w:t>
      </w:r>
      <w:r>
        <w:t>örtlicher Umstände nicht bekannt ist, kann ausnahmsweise</w:t>
      </w:r>
      <w:r w:rsidR="0086373D">
        <w:t xml:space="preserve"> </w:t>
      </w:r>
      <w:r>
        <w:t>eine statistische Methode nach der Fo</w:t>
      </w:r>
      <w:r>
        <w:t>r</w:t>
      </w:r>
      <w:r>
        <w:t>mel</w:t>
      </w:r>
      <w:r w:rsidR="0086373D">
        <w:t xml:space="preserve"> </w:t>
      </w:r>
      <w:r>
        <w:t>in Anhang 2 angewandt werden, wenn die Methodenkonsistenz</w:t>
      </w:r>
      <w:r w:rsidR="0086373D">
        <w:t xml:space="preserve"> </w:t>
      </w:r>
      <w:r>
        <w:t>zwischen der Ermittlung der Emission</w:t>
      </w:r>
      <w:r>
        <w:t>s</w:t>
      </w:r>
      <w:r>
        <w:t>faktoren</w:t>
      </w:r>
      <w:r w:rsidR="0086373D">
        <w:t xml:space="preserve"> </w:t>
      </w:r>
      <w:r>
        <w:t>für den Zuteilungsantrag und für die Berichterstattung</w:t>
      </w:r>
      <w:r w:rsidR="0086373D">
        <w:t xml:space="preserve"> </w:t>
      </w:r>
      <w:r>
        <w:t>nach § 5 des Treibhausgas-Emissionshandels</w:t>
      </w:r>
      <w:r w:rsidR="00C46A01">
        <w:softHyphen/>
      </w:r>
      <w:r>
        <w:t>gesetzes</w:t>
      </w:r>
      <w:r w:rsidR="0023109A">
        <w:t xml:space="preserve"> vom 8. Juli 2004 (BGBl. I S. 1578), das zuletzt durch Artikel 9 des Gesetzes vom 11. August 2010 (BGBl. I S. 1163) geändert worden ist,</w:t>
      </w:r>
      <w:r w:rsidR="0086373D">
        <w:t xml:space="preserve"> </w:t>
      </w:r>
      <w:r>
        <w:t>sichergestellt ist. Satz 2 gilt nicht für Anthrazit.</w:t>
      </w:r>
    </w:p>
    <w:p w:rsidR="0038031E" w:rsidRDefault="0038031E" w:rsidP="0038031E">
      <w:pPr>
        <w:pStyle w:val="GesAbsatz"/>
      </w:pPr>
      <w:r>
        <w:t>(4) Die Emissionsfaktoren von Rohstoffen ermitteln</w:t>
      </w:r>
      <w:r w:rsidR="0086373D">
        <w:t xml:space="preserve"> </w:t>
      </w:r>
      <w:r>
        <w:t>sich aus dem Kohlenstoffgehalt und der anschließenden</w:t>
      </w:r>
      <w:r w:rsidR="0086373D">
        <w:t xml:space="preserve"> </w:t>
      </w:r>
      <w:r>
        <w:t>Umrechnung in Kohlendioxid durch Multiplikation</w:t>
      </w:r>
      <w:r w:rsidR="0086373D">
        <w:t xml:space="preserve"> </w:t>
      </w:r>
      <w:r>
        <w:t>mit dem Quotienten aus 44 und zwölf. Dabei ist der</w:t>
      </w:r>
      <w:r w:rsidR="0086373D">
        <w:t xml:space="preserve"> </w:t>
      </w:r>
      <w:r>
        <w:t>Ko</w:t>
      </w:r>
      <w:r>
        <w:t>h</w:t>
      </w:r>
      <w:r>
        <w:t>lenstoffgehalt na</w:t>
      </w:r>
      <w:r w:rsidR="0086373D">
        <w:t>ch den allgemein anerkannten Re</w:t>
      </w:r>
      <w:r>
        <w:t>geln der Technik zu bestimmen. Eine unvollständige</w:t>
      </w:r>
      <w:r w:rsidR="0086373D">
        <w:t xml:space="preserve"> </w:t>
      </w:r>
      <w:r>
        <w:t>U</w:t>
      </w:r>
      <w:r>
        <w:t>m</w:t>
      </w:r>
      <w:r>
        <w:t>setzung bleibt bei der Bestimmung des Emissionsfaktors</w:t>
      </w:r>
      <w:r w:rsidR="0086373D">
        <w:t xml:space="preserve"> </w:t>
      </w:r>
      <w:r>
        <w:t>unberücksichtigt.</w:t>
      </w:r>
    </w:p>
    <w:p w:rsidR="0038031E" w:rsidRDefault="0038031E" w:rsidP="0086373D">
      <w:pPr>
        <w:pStyle w:val="berschrift3"/>
      </w:pPr>
      <w:bookmarkStart w:id="9" w:name="_Toc401645578"/>
      <w:r>
        <w:t>§ 6</w:t>
      </w:r>
      <w:r w:rsidR="0086373D">
        <w:br/>
      </w:r>
      <w:r>
        <w:t>Bestimmung der Kohlendioxid-Emissionen</w:t>
      </w:r>
      <w:bookmarkEnd w:id="9"/>
    </w:p>
    <w:p w:rsidR="0038031E" w:rsidRDefault="0038031E" w:rsidP="0023109A">
      <w:pPr>
        <w:pStyle w:val="GesAbsatz"/>
      </w:pPr>
      <w:r>
        <w:t>(1) Die Kohlendioxid-Emissionen einer Anlage pro</w:t>
      </w:r>
      <w:r w:rsidR="0086373D">
        <w:t xml:space="preserve"> </w:t>
      </w:r>
      <w:r>
        <w:t>Jahr entsprechen der Summe der Kohlendioxid-Emissionen</w:t>
      </w:r>
      <w:r w:rsidR="0086373D">
        <w:t xml:space="preserve"> </w:t>
      </w:r>
      <w:r>
        <w:t>aus dem Einsatz von Brenn- und Rohstoffen. Die</w:t>
      </w:r>
      <w:r w:rsidR="0086373D">
        <w:t xml:space="preserve"> </w:t>
      </w:r>
      <w:r>
        <w:t>Emissionen einer einheitlichen Anlage im Si</w:t>
      </w:r>
      <w:r>
        <w:t>n</w:t>
      </w:r>
      <w:r>
        <w:t>ne von</w:t>
      </w:r>
      <w:r w:rsidR="0086373D">
        <w:t xml:space="preserve"> </w:t>
      </w:r>
      <w:r>
        <w:t>§ 25 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>
        <w:t xml:space="preserve"> werden</w:t>
      </w:r>
      <w:r w:rsidR="0086373D">
        <w:t xml:space="preserve"> </w:t>
      </w:r>
      <w:r>
        <w:t>im Ra</w:t>
      </w:r>
      <w:r>
        <w:t>h</w:t>
      </w:r>
      <w:r>
        <w:t>men des Zuteilungsantrags gemeinsam ermittelt.</w:t>
      </w:r>
    </w:p>
    <w:p w:rsidR="0038031E" w:rsidRDefault="0038031E" w:rsidP="0038031E">
      <w:pPr>
        <w:pStyle w:val="GesAbsatz"/>
      </w:pPr>
      <w:r>
        <w:t>(2) Die Kohlendioxid-Emissionen aus dem Einsatz</w:t>
      </w:r>
      <w:r w:rsidR="0086373D">
        <w:t xml:space="preserve"> </w:t>
      </w:r>
      <w:r>
        <w:t>von Brennstoffen entsprechen dem rechnerischen Pr</w:t>
      </w:r>
      <w:r>
        <w:t>o</w:t>
      </w:r>
      <w:r>
        <w:t>dukt</w:t>
      </w:r>
      <w:r w:rsidR="0086373D">
        <w:t xml:space="preserve"> </w:t>
      </w:r>
      <w:r>
        <w:t>aus der Aktivitätsrate des Brennstoffs, dem unteren</w:t>
      </w:r>
      <w:r w:rsidR="0086373D">
        <w:t xml:space="preserve"> </w:t>
      </w:r>
      <w:r>
        <w:t>Heizwert, dem heizwertbezogenen Emissionsfaktor</w:t>
      </w:r>
      <w:r w:rsidR="0086373D">
        <w:t xml:space="preserve"> </w:t>
      </w:r>
      <w:r>
        <w:t>und dem Oxidationsfaktor des Brennstoffs. Wird mehr</w:t>
      </w:r>
      <w:r w:rsidR="0086373D">
        <w:t xml:space="preserve"> </w:t>
      </w:r>
      <w:r>
        <w:t>als ein Brennstoff in der Anlage eingesetzt, so sind die</w:t>
      </w:r>
      <w:r w:rsidR="0086373D">
        <w:t xml:space="preserve"> </w:t>
      </w:r>
      <w:r>
        <w:t>jährlichen Kohlendioxid-Emissionen je Brennstoff zu ermitteln</w:t>
      </w:r>
      <w:r w:rsidR="0086373D">
        <w:t xml:space="preserve"> </w:t>
      </w:r>
      <w:r>
        <w:t>und zu addieren.</w:t>
      </w:r>
    </w:p>
    <w:p w:rsidR="0038031E" w:rsidRDefault="0038031E" w:rsidP="0038031E">
      <w:pPr>
        <w:pStyle w:val="GesAbsatz"/>
      </w:pPr>
      <w:r>
        <w:t>(3) In die Berechnung der Emissionen aus dem Einsatz</w:t>
      </w:r>
      <w:r w:rsidR="0086373D">
        <w:t xml:space="preserve"> </w:t>
      </w:r>
      <w:r>
        <w:t>von Rohstoffen sind alle Freisetzungen von Kohle</w:t>
      </w:r>
      <w:r>
        <w:t>n</w:t>
      </w:r>
      <w:r>
        <w:t>dioxid</w:t>
      </w:r>
      <w:r w:rsidR="0086373D">
        <w:t xml:space="preserve"> </w:t>
      </w:r>
      <w:r>
        <w:t>in die Atmosphäre einzubeziehen, bei denen</w:t>
      </w:r>
      <w:r w:rsidR="0086373D">
        <w:t xml:space="preserve"> </w:t>
      </w:r>
      <w:r>
        <w:t>das Kohlendioxid als unmittelbares Produkt einer chem</w:t>
      </w:r>
      <w:r>
        <w:t>i</w:t>
      </w:r>
      <w:r>
        <w:t>schen</w:t>
      </w:r>
      <w:r w:rsidR="0086373D">
        <w:t xml:space="preserve"> </w:t>
      </w:r>
      <w:r>
        <w:t>Reaktion entsteht, die keine Verbrennung ist,</w:t>
      </w:r>
      <w:r w:rsidR="0086373D">
        <w:t xml:space="preserve"> </w:t>
      </w:r>
      <w:r>
        <w:t>oder im direkten technologischen Verbund mittelbar</w:t>
      </w:r>
      <w:r w:rsidR="0086373D">
        <w:t xml:space="preserve"> </w:t>
      </w:r>
      <w:r>
        <w:t>und unvermeidbar aus dieser chemischen Reaktion resultiert.</w:t>
      </w:r>
      <w:r w:rsidR="0086373D">
        <w:t xml:space="preserve"> </w:t>
      </w:r>
      <w:r>
        <w:t>Die Ermittlung dieser Kohlendioxid-Emissionen</w:t>
      </w:r>
      <w:r w:rsidR="0086373D">
        <w:t xml:space="preserve"> </w:t>
      </w:r>
      <w:r>
        <w:t>erfolgt in der Regel über den für die Emission von Kohlendioxid</w:t>
      </w:r>
      <w:r w:rsidR="0086373D">
        <w:t xml:space="preserve"> </w:t>
      </w:r>
      <w:r>
        <w:t>relevanten Rohstoffeinsatz. Die Kohlend</w:t>
      </w:r>
      <w:r>
        <w:t>i</w:t>
      </w:r>
      <w:r>
        <w:t>oxid-Emissionen entsprechen dem rechnerischen Produkt</w:t>
      </w:r>
      <w:r w:rsidR="0086373D">
        <w:t xml:space="preserve"> </w:t>
      </w:r>
      <w:r>
        <w:t>aus der Aktivitätsrate des Rohstoffs, dem Emiss</w:t>
      </w:r>
      <w:r>
        <w:t>i</w:t>
      </w:r>
      <w:r>
        <w:t>onsfaktor</w:t>
      </w:r>
      <w:r w:rsidR="0086373D">
        <w:t xml:space="preserve"> </w:t>
      </w:r>
      <w:r>
        <w:t>und dem Umsetzungsfaktor des Rohstoffs. Wird</w:t>
      </w:r>
      <w:r w:rsidR="0086373D">
        <w:t xml:space="preserve"> </w:t>
      </w:r>
      <w:r>
        <w:t>mehr als ein emissionsrelevanter Rohstoff in der Anlage</w:t>
      </w:r>
      <w:r w:rsidR="0086373D">
        <w:t xml:space="preserve"> </w:t>
      </w:r>
      <w:r>
        <w:t>eingesetzt, so sind die jährlichen Kohlendioxid-Emissionen</w:t>
      </w:r>
      <w:r w:rsidR="0086373D">
        <w:t xml:space="preserve"> </w:t>
      </w:r>
      <w:r>
        <w:t>je Rohstoff zu ermitteln und zu addieren.</w:t>
      </w:r>
    </w:p>
    <w:p w:rsidR="0038031E" w:rsidRDefault="0038031E" w:rsidP="0038031E">
      <w:pPr>
        <w:pStyle w:val="GesAbsatz"/>
      </w:pPr>
      <w:r>
        <w:lastRenderedPageBreak/>
        <w:t>(4) Die Ermittlung der Kohlendioxid-Emissionen aus</w:t>
      </w:r>
      <w:r w:rsidR="0086373D">
        <w:t xml:space="preserve"> </w:t>
      </w:r>
      <w:r>
        <w:t>dem Einsatz von Rohstoffen bei der Produktion von Zementklinker,</w:t>
      </w:r>
      <w:r w:rsidR="0086373D">
        <w:t xml:space="preserve"> </w:t>
      </w:r>
      <w:r>
        <w:t>Branntkalk und Dolomit und bei der Herstellung</w:t>
      </w:r>
      <w:r w:rsidR="0086373D">
        <w:t xml:space="preserve"> </w:t>
      </w:r>
      <w:r>
        <w:t>von Keramik kann abweichend von Absatz 3</w:t>
      </w:r>
      <w:r w:rsidR="0086373D">
        <w:t xml:space="preserve"> </w:t>
      </w:r>
      <w:r>
        <w:t>über die Produktionsmenge erfolgen. Die Emissionen</w:t>
      </w:r>
      <w:r w:rsidR="0086373D">
        <w:t xml:space="preserve"> </w:t>
      </w:r>
      <w:r>
        <w:t>entsprechen dem rechnerischen Produkt aus der he</w:t>
      </w:r>
      <w:r>
        <w:t>r</w:t>
      </w:r>
      <w:r>
        <w:t>gestellten</w:t>
      </w:r>
      <w:r w:rsidR="0086373D">
        <w:t xml:space="preserve"> </w:t>
      </w:r>
      <w:r>
        <w:t>Menge des emissionsrelevanten Produktes</w:t>
      </w:r>
      <w:r w:rsidR="0086373D">
        <w:t xml:space="preserve"> </w:t>
      </w:r>
      <w:r>
        <w:t>pro Jahr und folgenden Emissionswerten:</w:t>
      </w:r>
    </w:p>
    <w:p w:rsidR="0038031E" w:rsidRDefault="0038031E" w:rsidP="0038031E">
      <w:pPr>
        <w:pStyle w:val="GesAbsatz"/>
      </w:pPr>
      <w:r>
        <w:t>1.</w:t>
      </w:r>
      <w:r w:rsidR="0086373D">
        <w:tab/>
      </w:r>
      <w:r>
        <w:t>0,525 Tonnen Kohlendioxid je Tonne Zementklinker,</w:t>
      </w:r>
    </w:p>
    <w:p w:rsidR="0038031E" w:rsidRDefault="0038031E" w:rsidP="0038031E">
      <w:pPr>
        <w:pStyle w:val="GesAbsatz"/>
      </w:pPr>
      <w:r>
        <w:t>2.</w:t>
      </w:r>
      <w:r w:rsidR="0086373D">
        <w:tab/>
      </w:r>
      <w:r>
        <w:t>1,092 Tonnen Kohlendioxid je Tonne Magnesiumoxid,</w:t>
      </w:r>
    </w:p>
    <w:p w:rsidR="0038031E" w:rsidRDefault="0038031E" w:rsidP="0038031E">
      <w:pPr>
        <w:pStyle w:val="GesAbsatz"/>
      </w:pPr>
      <w:r>
        <w:t>3.</w:t>
      </w:r>
      <w:r w:rsidR="0086373D">
        <w:tab/>
      </w:r>
      <w:r>
        <w:t>0,785 Tonnen Kohlendioxid je Tonne Branntkalk oder</w:t>
      </w:r>
    </w:p>
    <w:p w:rsidR="0038031E" w:rsidRDefault="0038031E" w:rsidP="0038031E">
      <w:pPr>
        <w:pStyle w:val="GesAbsatz"/>
      </w:pPr>
      <w:r>
        <w:t>4.</w:t>
      </w:r>
      <w:r w:rsidR="0086373D">
        <w:tab/>
      </w:r>
      <w:r>
        <w:t>0,913 Tonnen Kohlendioxid je Tonne Dolomit.</w:t>
      </w:r>
    </w:p>
    <w:p w:rsidR="0038031E" w:rsidRDefault="0038031E" w:rsidP="0038031E">
      <w:pPr>
        <w:pStyle w:val="GesAbsatz"/>
      </w:pPr>
      <w:r>
        <w:t>Bei Keramikprodukten erfolgt die Berechnung auf Basis</w:t>
      </w:r>
      <w:r w:rsidR="0086373D">
        <w:t xml:space="preserve"> </w:t>
      </w:r>
      <w:r>
        <w:t>der Gehalte der emissionsrelevanten Metalloxide im</w:t>
      </w:r>
      <w:r w:rsidR="0086373D">
        <w:t xml:space="preserve"> </w:t>
      </w:r>
      <w:r>
        <w:t>Produkt.</w:t>
      </w:r>
    </w:p>
    <w:p w:rsidR="0038031E" w:rsidRDefault="0038031E" w:rsidP="0038031E">
      <w:pPr>
        <w:pStyle w:val="GesAbsatz"/>
      </w:pPr>
      <w:r>
        <w:t>(5) Die Ermittlung der Kohlendioxid-Emissionen erfolgt</w:t>
      </w:r>
      <w:r w:rsidR="0086373D">
        <w:t xml:space="preserve"> </w:t>
      </w:r>
      <w:r>
        <w:t>auf Basis der vorliegenden Daten nach § 6 Abs. 5</w:t>
      </w:r>
      <w:r w:rsidR="0086373D">
        <w:t xml:space="preserve"> </w:t>
      </w:r>
      <w:r>
        <w:t>Satz 1 Nr. 1 bis 3 des Zuteilungsgesetzes 2012 und der</w:t>
      </w:r>
      <w:r w:rsidR="0086373D">
        <w:t xml:space="preserve"> </w:t>
      </w:r>
      <w:r>
        <w:t>Anwendung von § 4. Im Übrigen muss der Zute</w:t>
      </w:r>
      <w:r>
        <w:t>i</w:t>
      </w:r>
      <w:r>
        <w:t>lungsantrag</w:t>
      </w:r>
      <w:r w:rsidR="0086373D">
        <w:t xml:space="preserve"> </w:t>
      </w:r>
      <w:r>
        <w:t>die nach den vorstehenden Absätzen erforderlichen</w:t>
      </w:r>
      <w:r w:rsidR="0086373D">
        <w:t xml:space="preserve"> </w:t>
      </w:r>
      <w:r>
        <w:t>Angaben enthalten über:</w:t>
      </w:r>
    </w:p>
    <w:p w:rsidR="0038031E" w:rsidRDefault="0038031E" w:rsidP="0038031E">
      <w:pPr>
        <w:pStyle w:val="GesAbsatz"/>
      </w:pPr>
      <w:r>
        <w:t>1.</w:t>
      </w:r>
      <w:r w:rsidR="0086373D">
        <w:tab/>
      </w:r>
      <w:r>
        <w:t>die Aktivitätsraten der Brennstoffe einschließlich</w:t>
      </w:r>
      <w:r w:rsidR="0086373D">
        <w:t xml:space="preserve"> </w:t>
      </w:r>
      <w:r>
        <w:t>kohlenstofffreier Brennstoffe,</w:t>
      </w:r>
    </w:p>
    <w:p w:rsidR="0038031E" w:rsidRDefault="0038031E" w:rsidP="0086373D">
      <w:pPr>
        <w:pStyle w:val="GesAbsatz"/>
        <w:ind w:left="426" w:hanging="426"/>
      </w:pPr>
      <w:r>
        <w:t>2.</w:t>
      </w:r>
      <w:r w:rsidR="0086373D">
        <w:tab/>
      </w:r>
      <w:r>
        <w:t>die Aktivitätsraten der emissionsrelevanten Rohstoffe</w:t>
      </w:r>
      <w:r w:rsidR="0086373D">
        <w:t xml:space="preserve"> </w:t>
      </w:r>
      <w:r>
        <w:t>oder in Fällen von Absatz 4 die Produktionsme</w:t>
      </w:r>
      <w:r>
        <w:t>n</w:t>
      </w:r>
      <w:r>
        <w:t>ge,</w:t>
      </w:r>
    </w:p>
    <w:p w:rsidR="0038031E" w:rsidRDefault="0038031E" w:rsidP="0038031E">
      <w:pPr>
        <w:pStyle w:val="GesAbsatz"/>
      </w:pPr>
      <w:r>
        <w:t>3.</w:t>
      </w:r>
      <w:r w:rsidR="0086373D">
        <w:tab/>
      </w:r>
      <w:r>
        <w:t>die heizwertbezogenen Emissionsfaktoren der</w:t>
      </w:r>
      <w:r w:rsidR="0086373D">
        <w:t xml:space="preserve"> </w:t>
      </w:r>
      <w:r>
        <w:t>Brennstoffe,</w:t>
      </w:r>
    </w:p>
    <w:p w:rsidR="0038031E" w:rsidRDefault="0038031E" w:rsidP="0038031E">
      <w:pPr>
        <w:pStyle w:val="GesAbsatz"/>
      </w:pPr>
      <w:r>
        <w:t>4.</w:t>
      </w:r>
      <w:r w:rsidR="0086373D">
        <w:tab/>
      </w:r>
      <w:r>
        <w:t>die Emissionsfaktoren der Rohstoffe mit Ausnahme</w:t>
      </w:r>
      <w:r w:rsidR="0086373D">
        <w:t xml:space="preserve"> </w:t>
      </w:r>
      <w:r>
        <w:t>der Fälle von Absatz 4,</w:t>
      </w:r>
    </w:p>
    <w:p w:rsidR="0038031E" w:rsidRDefault="0038031E" w:rsidP="0038031E">
      <w:pPr>
        <w:pStyle w:val="GesAbsatz"/>
      </w:pPr>
      <w:r>
        <w:t>5.</w:t>
      </w:r>
      <w:r w:rsidR="0086373D">
        <w:tab/>
      </w:r>
      <w:r>
        <w:t>die Umsetzungsfaktoren der Rohstoffe mit Ausnahme</w:t>
      </w:r>
      <w:r w:rsidR="0086373D">
        <w:t xml:space="preserve"> </w:t>
      </w:r>
      <w:r>
        <w:t>der Fälle von Absatz 4,</w:t>
      </w:r>
    </w:p>
    <w:p w:rsidR="0038031E" w:rsidRDefault="0038031E" w:rsidP="0038031E">
      <w:pPr>
        <w:pStyle w:val="GesAbsatz"/>
      </w:pPr>
      <w:r>
        <w:t>6.</w:t>
      </w:r>
      <w:r w:rsidR="0086373D">
        <w:tab/>
      </w:r>
      <w:r>
        <w:t>die unteren Heizwerte der Brennstoffe und</w:t>
      </w:r>
    </w:p>
    <w:p w:rsidR="0038031E" w:rsidRDefault="0038031E" w:rsidP="0038031E">
      <w:pPr>
        <w:pStyle w:val="GesAbsatz"/>
      </w:pPr>
      <w:r>
        <w:t>7.</w:t>
      </w:r>
      <w:r w:rsidR="0086373D">
        <w:tab/>
      </w:r>
      <w:r>
        <w:t>die Anteile des biogenen Kohlenstoffs am Gesamtkohlenstoffgehalt</w:t>
      </w:r>
      <w:r w:rsidR="0086373D">
        <w:t xml:space="preserve"> </w:t>
      </w:r>
      <w:r>
        <w:t>der Brenn- und Rohstoffe.</w:t>
      </w:r>
    </w:p>
    <w:p w:rsidR="0038031E" w:rsidRDefault="0038031E" w:rsidP="0086373D">
      <w:pPr>
        <w:pStyle w:val="berschrift3"/>
      </w:pPr>
      <w:bookmarkStart w:id="10" w:name="_Toc401645579"/>
      <w:r>
        <w:t>§ 7</w:t>
      </w:r>
      <w:r w:rsidR="0086373D">
        <w:br/>
      </w:r>
      <w:r>
        <w:t>Emissionsberechnung auf der Grundlage</w:t>
      </w:r>
      <w:r w:rsidR="0086373D">
        <w:t xml:space="preserve"> </w:t>
      </w:r>
      <w:r>
        <w:t>einer Bilanzierung des Kohlenstoffgehalts</w:t>
      </w:r>
      <w:bookmarkEnd w:id="10"/>
    </w:p>
    <w:p w:rsidR="0038031E" w:rsidRDefault="0038031E" w:rsidP="0038031E">
      <w:pPr>
        <w:pStyle w:val="GesAbsatz"/>
      </w:pPr>
      <w:r>
        <w:t>(1) Abweichend von § 6 kann die Ermittlung der</w:t>
      </w:r>
      <w:r w:rsidR="0086373D">
        <w:t xml:space="preserve"> </w:t>
      </w:r>
      <w:r>
        <w:t>Kohlendioxid-Emissionen auf Basis einer Bilanzierung</w:t>
      </w:r>
      <w:r w:rsidR="0086373D">
        <w:t xml:space="preserve"> </w:t>
      </w:r>
      <w:r>
        <w:t>des Kohlenstoffgehalts des Brenn- und Rohstoffeinsatzes</w:t>
      </w:r>
      <w:r w:rsidR="0086373D">
        <w:t xml:space="preserve"> </w:t>
      </w:r>
      <w:r>
        <w:t>sowie des aus den Brenn- und Rohstoffen</w:t>
      </w:r>
      <w:r w:rsidR="0086373D">
        <w:t xml:space="preserve"> </w:t>
      </w:r>
      <w:r>
        <w:t>stamme</w:t>
      </w:r>
      <w:r>
        <w:t>n</w:t>
      </w:r>
      <w:r>
        <w:t>den Kohlenstoffs in den Produkten erfolgen.</w:t>
      </w:r>
      <w:r w:rsidR="0086373D">
        <w:t xml:space="preserve"> </w:t>
      </w:r>
      <w:r>
        <w:t>Produkte umfassen hierbei auch Nebenprodukte und</w:t>
      </w:r>
      <w:r w:rsidR="0086373D">
        <w:t xml:space="preserve"> </w:t>
      </w:r>
      <w:r>
        <w:t>Abfälle. Die jährlichen durchschnittlichen Emissionen</w:t>
      </w:r>
      <w:r w:rsidR="0086373D">
        <w:t xml:space="preserve"> </w:t>
      </w:r>
      <w:r>
        <w:t>ergeben sich aus der Differenz zwischen dem Gesamtkohle</w:t>
      </w:r>
      <w:r>
        <w:t>n</w:t>
      </w:r>
      <w:r>
        <w:t>stoffgehalt</w:t>
      </w:r>
      <w:r w:rsidR="0086373D">
        <w:t xml:space="preserve"> </w:t>
      </w:r>
      <w:r>
        <w:t>des jährlichen Brenn- und Rohstoffeinsatzes</w:t>
      </w:r>
      <w:r w:rsidR="0086373D">
        <w:t xml:space="preserve"> </w:t>
      </w:r>
      <w:r>
        <w:t>und dem Gesamtkohlenstoffgehalt in den in</w:t>
      </w:r>
      <w:r w:rsidR="0086373D">
        <w:t xml:space="preserve"> </w:t>
      </w:r>
      <w:r>
        <w:t>der Anlage hergestellten Produkten sowie der anschließenden</w:t>
      </w:r>
      <w:r w:rsidR="0086373D">
        <w:t xml:space="preserve"> </w:t>
      </w:r>
      <w:r>
        <w:t>Umrechnung des in Kohlendioxid überführten</w:t>
      </w:r>
      <w:r w:rsidR="0086373D">
        <w:t xml:space="preserve"> </w:t>
      </w:r>
      <w:r>
        <w:t>Kohlenstoffs mit dem Quotienten aus 44 und</w:t>
      </w:r>
      <w:r w:rsidR="0086373D">
        <w:t xml:space="preserve"> </w:t>
      </w:r>
      <w:r>
        <w:t>zwölf.</w:t>
      </w:r>
    </w:p>
    <w:p w:rsidR="0038031E" w:rsidRDefault="0038031E" w:rsidP="0038031E">
      <w:pPr>
        <w:pStyle w:val="GesAbsatz"/>
      </w:pPr>
      <w:r>
        <w:t>(2) Für die Ermittlung der Kohlendioxid-Emissionen</w:t>
      </w:r>
      <w:r w:rsidR="0086373D">
        <w:t xml:space="preserve"> </w:t>
      </w:r>
      <w:r>
        <w:t>nach Absatz 1 muss der Zuteilungsantrag Angaben</w:t>
      </w:r>
      <w:r w:rsidR="0086373D">
        <w:t xml:space="preserve"> </w:t>
      </w:r>
      <w:r>
        <w:t>en</w:t>
      </w:r>
      <w:r>
        <w:t>t</w:t>
      </w:r>
      <w:r>
        <w:t>halten über:</w:t>
      </w:r>
    </w:p>
    <w:p w:rsidR="0038031E" w:rsidRDefault="0038031E" w:rsidP="0038031E">
      <w:pPr>
        <w:pStyle w:val="GesAbsatz"/>
      </w:pPr>
      <w:r>
        <w:t>1.</w:t>
      </w:r>
      <w:r w:rsidR="0086373D">
        <w:tab/>
      </w:r>
      <w:r>
        <w:t>die Aktivitätsraten der Brenn- und Rohstoffe sowie</w:t>
      </w:r>
      <w:r w:rsidR="0086373D">
        <w:t xml:space="preserve"> </w:t>
      </w:r>
      <w:r>
        <w:t>die Produktionsmengen,</w:t>
      </w:r>
    </w:p>
    <w:p w:rsidR="0038031E" w:rsidRDefault="0038031E" w:rsidP="0038031E">
      <w:pPr>
        <w:pStyle w:val="GesAbsatz"/>
      </w:pPr>
      <w:r>
        <w:t>2.</w:t>
      </w:r>
      <w:r w:rsidR="0086373D">
        <w:tab/>
      </w:r>
      <w:r>
        <w:t>die Kohlenstoffgehalte der Brenn- und Rohstoffe</w:t>
      </w:r>
      <w:r w:rsidR="0086373D">
        <w:t xml:space="preserve"> </w:t>
      </w:r>
      <w:r>
        <w:t>und der Produkte,</w:t>
      </w:r>
    </w:p>
    <w:p w:rsidR="0038031E" w:rsidRDefault="0038031E" w:rsidP="0038031E">
      <w:pPr>
        <w:pStyle w:val="GesAbsatz"/>
      </w:pPr>
      <w:r>
        <w:t>3.</w:t>
      </w:r>
      <w:r w:rsidR="0086373D">
        <w:tab/>
      </w:r>
      <w:r>
        <w:t>die unteren Heizwerte der Brennstoffe und</w:t>
      </w:r>
    </w:p>
    <w:p w:rsidR="0038031E" w:rsidRDefault="0038031E" w:rsidP="0086373D">
      <w:pPr>
        <w:pStyle w:val="GesAbsatz"/>
        <w:ind w:left="426" w:hanging="426"/>
      </w:pPr>
      <w:r>
        <w:t>4.</w:t>
      </w:r>
      <w:r w:rsidR="0086373D">
        <w:tab/>
      </w:r>
      <w:r>
        <w:t>die Anteile des biogenen Kohlenstoffs am Gesamtkohlenstoffgehalt</w:t>
      </w:r>
      <w:r w:rsidR="0086373D">
        <w:t xml:space="preserve"> </w:t>
      </w:r>
      <w:r>
        <w:t>der Brenn- und Rohstoffe und der</w:t>
      </w:r>
      <w:r w:rsidR="0086373D">
        <w:t xml:space="preserve"> </w:t>
      </w:r>
      <w:r>
        <w:t>Produkte.</w:t>
      </w:r>
    </w:p>
    <w:p w:rsidR="0038031E" w:rsidRDefault="0038031E" w:rsidP="0086373D">
      <w:pPr>
        <w:pStyle w:val="berschrift3"/>
      </w:pPr>
      <w:bookmarkStart w:id="11" w:name="_Toc401645580"/>
      <w:r>
        <w:t>§ 8</w:t>
      </w:r>
      <w:r w:rsidR="0086373D">
        <w:br/>
      </w:r>
      <w:r>
        <w:t>Messung der Kohlendioxid-Emissionen</w:t>
      </w:r>
      <w:bookmarkEnd w:id="11"/>
    </w:p>
    <w:p w:rsidR="0038031E" w:rsidRDefault="0038031E" w:rsidP="0023109A">
      <w:pPr>
        <w:pStyle w:val="GesAbsatz"/>
      </w:pPr>
      <w:r>
        <w:t>(1) Abweichend von den §§ 6 und 7 können Kohlendioxid-Emissionen durch Messung direkt ermittelt we</w:t>
      </w:r>
      <w:r>
        <w:t>r</w:t>
      </w:r>
      <w:r>
        <w:t>den,</w:t>
      </w:r>
      <w:r w:rsidR="0086373D">
        <w:t xml:space="preserve"> </w:t>
      </w:r>
      <w:r>
        <w:t>wenn diese Messung nachweislich ein genaueres</w:t>
      </w:r>
      <w:r w:rsidR="0086373D">
        <w:t xml:space="preserve"> </w:t>
      </w:r>
      <w:r>
        <w:t>Ergebnis bringt als die Emissionsermittlung über Aktivitätsraten,</w:t>
      </w:r>
      <w:r w:rsidR="0086373D">
        <w:t xml:space="preserve"> </w:t>
      </w:r>
      <w:r>
        <w:t>untere Heizwerte sowie Emissions- und Konversionsfaktoren</w:t>
      </w:r>
      <w:r w:rsidR="0086373D">
        <w:t xml:space="preserve"> </w:t>
      </w:r>
      <w:r>
        <w:t>oder über eine Bilanzierung des Kohlenstoffgehalts.</w:t>
      </w:r>
      <w:r w:rsidR="0086373D">
        <w:t xml:space="preserve"> </w:t>
      </w:r>
      <w:r>
        <w:t>Die Messung ist auch zulässig, soweit</w:t>
      </w:r>
      <w:r w:rsidR="0086373D">
        <w:t xml:space="preserve"> </w:t>
      </w:r>
      <w:r>
        <w:t>die Bestimmung der Kohlendioxid-Emissionen nach</w:t>
      </w:r>
      <w:r w:rsidR="0086373D">
        <w:t xml:space="preserve"> </w:t>
      </w:r>
      <w:r>
        <w:t>den Verfahren der §§ 6 und 7 aus technischen Gründen</w:t>
      </w:r>
      <w:r w:rsidR="0086373D">
        <w:t xml:space="preserve"> </w:t>
      </w:r>
      <w:r>
        <w:t>nicht erfolgen kann oder zu einem unverhäl</w:t>
      </w:r>
      <w:r>
        <w:t>t</w:t>
      </w:r>
      <w:r>
        <w:t>nismäßigen</w:t>
      </w:r>
      <w:r w:rsidR="0086373D">
        <w:t xml:space="preserve"> </w:t>
      </w:r>
      <w:r>
        <w:t>Mehraufwand führen würde, wenn gewährleistet ist,</w:t>
      </w:r>
      <w:r w:rsidR="0086373D">
        <w:t xml:space="preserve"> </w:t>
      </w:r>
      <w:r>
        <w:t>dass die Messung ein hinreichend genaues Ergebnis</w:t>
      </w:r>
      <w:r w:rsidR="0086373D">
        <w:t xml:space="preserve"> </w:t>
      </w:r>
      <w:r>
        <w:t>bringt. Dabei müssen die direkt bestimmten Emissionen</w:t>
      </w:r>
      <w:r w:rsidR="00FC115C">
        <w:t xml:space="preserve"> </w:t>
      </w:r>
      <w:r>
        <w:t>unmittelbar einer in den Anwendungsb</w:t>
      </w:r>
      <w:r>
        <w:t>e</w:t>
      </w:r>
      <w:r>
        <w:t>reich des</w:t>
      </w:r>
      <w:r w:rsidR="00FC115C">
        <w:t xml:space="preserve"> </w:t>
      </w:r>
      <w:r>
        <w:t>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>
        <w:t xml:space="preserve"> fallenden Anlage</w:t>
      </w:r>
      <w:r w:rsidR="00FC115C">
        <w:t xml:space="preserve"> </w:t>
      </w:r>
      <w:r>
        <w:t>zug</w:t>
      </w:r>
      <w:r>
        <w:t>e</w:t>
      </w:r>
      <w:r>
        <w:t>ordnet werden können. Der Betreiber muss</w:t>
      </w:r>
      <w:r w:rsidR="00FC115C">
        <w:t xml:space="preserve"> </w:t>
      </w:r>
      <w:r>
        <w:t>die Messungen anhand flankierender Emissionsberechnungen</w:t>
      </w:r>
      <w:r w:rsidR="00FC115C">
        <w:t xml:space="preserve"> </w:t>
      </w:r>
      <w:r>
        <w:t>bestätigen.</w:t>
      </w:r>
    </w:p>
    <w:p w:rsidR="0038031E" w:rsidRDefault="0038031E" w:rsidP="0038031E">
      <w:pPr>
        <w:pStyle w:val="GesAbsatz"/>
      </w:pPr>
      <w:r>
        <w:lastRenderedPageBreak/>
        <w:t>(2) Im Hinblick auf die für die direkte Ermittlung der</w:t>
      </w:r>
      <w:r w:rsidR="00FC115C">
        <w:t xml:space="preserve"> </w:t>
      </w:r>
      <w:r>
        <w:t>Emissionen anzuwendenden Messverfahren gilt § 3</w:t>
      </w:r>
      <w:r w:rsidR="00FC115C">
        <w:t xml:space="preserve"> </w:t>
      </w:r>
      <w:r>
        <w:t>en</w:t>
      </w:r>
      <w:r>
        <w:t>t</w:t>
      </w:r>
      <w:r>
        <w:t>sprechend.</w:t>
      </w:r>
    </w:p>
    <w:p w:rsidR="0038031E" w:rsidRDefault="0038031E" w:rsidP="0038031E">
      <w:pPr>
        <w:pStyle w:val="GesAbsatz"/>
      </w:pPr>
      <w:r>
        <w:t>(3) Für die Emissionsermittlung nach Absatz 1 muss</w:t>
      </w:r>
      <w:r w:rsidR="00FC115C">
        <w:t xml:space="preserve"> </w:t>
      </w:r>
      <w:r>
        <w:t>der Zuteilungsantrag die nach Absatz 1 erforderlichen</w:t>
      </w:r>
      <w:r w:rsidR="00FC115C">
        <w:t xml:space="preserve"> </w:t>
      </w:r>
      <w:r>
        <w:t>Angaben enthalten über:</w:t>
      </w:r>
    </w:p>
    <w:p w:rsidR="0038031E" w:rsidRDefault="0038031E" w:rsidP="0038031E">
      <w:pPr>
        <w:pStyle w:val="GesAbsatz"/>
      </w:pPr>
      <w:r>
        <w:t>1.</w:t>
      </w:r>
      <w:r w:rsidR="00FC115C">
        <w:tab/>
      </w:r>
      <w:r>
        <w:t>die Gründe für die bessere Eignung der Messung</w:t>
      </w:r>
      <w:r w:rsidR="00FC115C">
        <w:t xml:space="preserve"> </w:t>
      </w:r>
      <w:r>
        <w:t>gegenüber den Verfahren der §§ 6 und 7,</w:t>
      </w:r>
    </w:p>
    <w:p w:rsidR="0038031E" w:rsidRDefault="0038031E" w:rsidP="0038031E">
      <w:pPr>
        <w:pStyle w:val="GesAbsatz"/>
      </w:pPr>
      <w:r>
        <w:t>2.</w:t>
      </w:r>
      <w:r w:rsidR="00FC115C">
        <w:tab/>
      </w:r>
      <w:r>
        <w:t>die Methode und die hinreichende Genauigkeit des</w:t>
      </w:r>
      <w:r w:rsidR="00FC115C">
        <w:t xml:space="preserve"> </w:t>
      </w:r>
      <w:r>
        <w:t>Messverfahrens,</w:t>
      </w:r>
    </w:p>
    <w:p w:rsidR="0038031E" w:rsidRDefault="0038031E" w:rsidP="0038031E">
      <w:pPr>
        <w:pStyle w:val="GesAbsatz"/>
      </w:pPr>
      <w:r>
        <w:t>3.</w:t>
      </w:r>
      <w:r w:rsidR="00FC115C">
        <w:tab/>
      </w:r>
      <w:r>
        <w:t>die gesamten direkt ermittelten jährlichen Kohlendioxid-Emissionen in Tonnen,</w:t>
      </w:r>
    </w:p>
    <w:p w:rsidR="0038031E" w:rsidRDefault="0038031E" w:rsidP="0038031E">
      <w:pPr>
        <w:pStyle w:val="GesAbsatz"/>
      </w:pPr>
      <w:r>
        <w:t>4.</w:t>
      </w:r>
      <w:r w:rsidR="00FC115C">
        <w:tab/>
      </w:r>
      <w:r>
        <w:t>die flankierende Berechnung im Sinne von Absatz 1</w:t>
      </w:r>
      <w:r w:rsidR="00FC115C">
        <w:t xml:space="preserve"> </w:t>
      </w:r>
      <w:r>
        <w:t>Satz 4 nach Maßgabe der §§ 6 und 7 und</w:t>
      </w:r>
    </w:p>
    <w:p w:rsidR="0038031E" w:rsidRDefault="0038031E" w:rsidP="006B0620">
      <w:pPr>
        <w:pStyle w:val="GesAbsatz"/>
        <w:ind w:left="426" w:hanging="426"/>
      </w:pPr>
      <w:r>
        <w:t>5.</w:t>
      </w:r>
      <w:r w:rsidR="00FC115C">
        <w:tab/>
      </w:r>
      <w:r>
        <w:t>im Fall des Absatzes 1 Satz 2 die technische Unmöglichkeit</w:t>
      </w:r>
      <w:r w:rsidR="006B0620">
        <w:t xml:space="preserve"> </w:t>
      </w:r>
      <w:r>
        <w:t>oder den unverhältnismäßigen Mehrau</w:t>
      </w:r>
      <w:r>
        <w:t>f</w:t>
      </w:r>
      <w:r>
        <w:t>wand</w:t>
      </w:r>
      <w:r w:rsidR="006B0620">
        <w:t xml:space="preserve"> </w:t>
      </w:r>
      <w:r>
        <w:t>einer Bestimmung nach den §§ 6 und 7.</w:t>
      </w:r>
    </w:p>
    <w:p w:rsidR="0038031E" w:rsidRDefault="0038031E" w:rsidP="006B0620">
      <w:pPr>
        <w:pStyle w:val="berschrift2"/>
      </w:pPr>
      <w:bookmarkStart w:id="12" w:name="_Toc401645581"/>
      <w:r>
        <w:t>Abschnitt 3</w:t>
      </w:r>
      <w:r w:rsidR="006B0620">
        <w:br/>
      </w:r>
      <w:r>
        <w:t>Besondere Antragserfordernisse und</w:t>
      </w:r>
      <w:r w:rsidR="006B0620">
        <w:t xml:space="preserve"> </w:t>
      </w:r>
      <w:r>
        <w:t>Regel der Berechnung</w:t>
      </w:r>
      <w:r w:rsidR="006B0620">
        <w:br/>
      </w:r>
      <w:r>
        <w:t>der Kohlendioxid-Emissionen</w:t>
      </w:r>
      <w:bookmarkEnd w:id="12"/>
    </w:p>
    <w:p w:rsidR="0038031E" w:rsidRDefault="0038031E" w:rsidP="006B0620">
      <w:pPr>
        <w:pStyle w:val="berschrift3"/>
      </w:pPr>
      <w:bookmarkStart w:id="13" w:name="_Toc401645582"/>
      <w:r>
        <w:t>§ 9</w:t>
      </w:r>
      <w:r w:rsidR="006B0620">
        <w:br/>
      </w:r>
      <w:r>
        <w:t>Kohlendioxid-Emissionen</w:t>
      </w:r>
      <w:r w:rsidR="006B0620">
        <w:t xml:space="preserve"> </w:t>
      </w:r>
      <w:r>
        <w:t>aus der Regeneration von Katalysatoren</w:t>
      </w:r>
      <w:r w:rsidR="006B0620">
        <w:br/>
      </w:r>
      <w:r>
        <w:t>und aus der Kalzinierung von Petrolkoks</w:t>
      </w:r>
      <w:bookmarkEnd w:id="13"/>
    </w:p>
    <w:p w:rsidR="0038031E" w:rsidRDefault="0038031E" w:rsidP="0038031E">
      <w:pPr>
        <w:pStyle w:val="GesAbsatz"/>
      </w:pPr>
      <w:r>
        <w:t>(1) Für die Regeneration von Katalysatoren und die</w:t>
      </w:r>
      <w:r w:rsidR="006B0620">
        <w:t xml:space="preserve"> </w:t>
      </w:r>
      <w:r>
        <w:t>Kalzinierung von Petrolkoks werden die Kohlendioxid-Emissionen pro Jahr bestimmt durch:</w:t>
      </w:r>
    </w:p>
    <w:p w:rsidR="0038031E" w:rsidRDefault="0038031E" w:rsidP="006B0620">
      <w:pPr>
        <w:pStyle w:val="GesAbsatz"/>
        <w:ind w:left="426" w:hanging="426"/>
      </w:pPr>
      <w:r>
        <w:t>1.</w:t>
      </w:r>
      <w:r w:rsidR="006B0620">
        <w:tab/>
      </w:r>
      <w:r>
        <w:t>Messung des Kohlenstoffgehalts des Katalysators</w:t>
      </w:r>
      <w:r w:rsidR="006B0620">
        <w:t xml:space="preserve"> </w:t>
      </w:r>
      <w:r>
        <w:t>vor und nach dem Regenerationsprozess und stöc</w:t>
      </w:r>
      <w:r>
        <w:t>h</w:t>
      </w:r>
      <w:r>
        <w:t>iometrische</w:t>
      </w:r>
      <w:r w:rsidR="006B0620">
        <w:t xml:space="preserve"> </w:t>
      </w:r>
      <w:r>
        <w:t>Berechnung der Kohlendioxid-Emissionen</w:t>
      </w:r>
      <w:r w:rsidR="006B0620">
        <w:t xml:space="preserve"> </w:t>
      </w:r>
      <w:r>
        <w:t>nach Formel 1 des Anhangs 3; im Fall der</w:t>
      </w:r>
      <w:r w:rsidR="006B0620">
        <w:t xml:space="preserve"> </w:t>
      </w:r>
      <w:r>
        <w:t>Kalz</w:t>
      </w:r>
      <w:r>
        <w:t>i</w:t>
      </w:r>
      <w:r>
        <w:t>nierung von Petrolkoks Messung des Kohlenstoffgehalts</w:t>
      </w:r>
      <w:r w:rsidR="006B0620">
        <w:t xml:space="preserve"> </w:t>
      </w:r>
      <w:r>
        <w:t>des Kokses vor und nach der Kalzinierung,</w:t>
      </w:r>
    </w:p>
    <w:p w:rsidR="0038031E" w:rsidRDefault="0038031E" w:rsidP="006B0620">
      <w:pPr>
        <w:pStyle w:val="GesAbsatz"/>
        <w:ind w:left="426" w:hanging="426"/>
      </w:pPr>
      <w:r>
        <w:t>2.</w:t>
      </w:r>
      <w:r w:rsidR="006B0620">
        <w:tab/>
      </w:r>
      <w:r>
        <w:t>rechnerische Bestimmung des bei der Kalzinierung</w:t>
      </w:r>
      <w:r w:rsidR="006B0620">
        <w:t xml:space="preserve"> </w:t>
      </w:r>
      <w:r>
        <w:t>oder im Regenerationsprozess oxidierten Kohle</w:t>
      </w:r>
      <w:r>
        <w:t>n</w:t>
      </w:r>
      <w:r>
        <w:t>stoffs</w:t>
      </w:r>
      <w:r w:rsidR="006B0620">
        <w:t xml:space="preserve"> </w:t>
      </w:r>
      <w:r>
        <w:t>über eine Energie- und Massenbilanz und die</w:t>
      </w:r>
      <w:r w:rsidR="006B0620">
        <w:t xml:space="preserve"> </w:t>
      </w:r>
      <w:r>
        <w:t>stöchiometrische Berechnung der Kohlendioxid-Emissionen nach Formel 2 des Anhangs 3 oder</w:t>
      </w:r>
    </w:p>
    <w:p w:rsidR="0038031E" w:rsidRDefault="0038031E" w:rsidP="006B0620">
      <w:pPr>
        <w:pStyle w:val="GesAbsatz"/>
        <w:ind w:left="426" w:hanging="426"/>
      </w:pPr>
      <w:r>
        <w:t>3.</w:t>
      </w:r>
      <w:r w:rsidR="006B0620">
        <w:tab/>
      </w:r>
      <w:r>
        <w:t>Bestimmung der Kohlendioxid-Emissionen durch</w:t>
      </w:r>
      <w:r w:rsidR="006B0620">
        <w:t xml:space="preserve"> </w:t>
      </w:r>
      <w:r>
        <w:t>Messung der Konzentration im Abgasstrom und die</w:t>
      </w:r>
      <w:r w:rsidR="006B0620">
        <w:t xml:space="preserve"> </w:t>
      </w:r>
      <w:r>
        <w:t>Bestimmung der Gesamtmenge des Abgasstroms</w:t>
      </w:r>
      <w:r w:rsidR="006B0620">
        <w:t xml:space="preserve"> </w:t>
      </w:r>
      <w:r>
        <w:t>nach der Formel 3 des Anhangs 3.</w:t>
      </w:r>
    </w:p>
    <w:p w:rsidR="0038031E" w:rsidRDefault="0038031E" w:rsidP="0038031E">
      <w:pPr>
        <w:pStyle w:val="GesAbsatz"/>
      </w:pPr>
      <w:r>
        <w:t>Die Berechnung der trockenen Abgasmenge kann alternativ</w:t>
      </w:r>
      <w:r w:rsidR="006B0620">
        <w:t xml:space="preserve"> </w:t>
      </w:r>
      <w:r>
        <w:t>auch aus der zugeführten Luftmenge erfolgen.</w:t>
      </w:r>
      <w:r w:rsidR="006B0620">
        <w:t xml:space="preserve"> </w:t>
      </w:r>
      <w:r>
        <w:t>Dabei beträgt der Anteil der Inertgase in der zugeführten</w:t>
      </w:r>
      <w:r w:rsidR="006B0620">
        <w:t xml:space="preserve"> </w:t>
      </w:r>
      <w:r>
        <w:t>Luft konstant 79,07 Volumenprozent. Die Berec</w:t>
      </w:r>
      <w:r>
        <w:t>h</w:t>
      </w:r>
      <w:r>
        <w:t>nung</w:t>
      </w:r>
      <w:r w:rsidR="006B0620">
        <w:t xml:space="preserve"> </w:t>
      </w:r>
      <w:r>
        <w:t>der trockenen Abgasmenge bestimmt sich nach</w:t>
      </w:r>
      <w:r w:rsidR="006B0620">
        <w:t xml:space="preserve"> </w:t>
      </w:r>
      <w:r>
        <w:t>Formel 4 des Anhangs 3.</w:t>
      </w:r>
    </w:p>
    <w:p w:rsidR="0038031E" w:rsidRDefault="0038031E" w:rsidP="0038031E">
      <w:pPr>
        <w:pStyle w:val="GesAbsatz"/>
      </w:pPr>
      <w:r>
        <w:t>(2) Für die Ermittlung der Kohlendioxid-Emissionen</w:t>
      </w:r>
      <w:r w:rsidR="006B0620">
        <w:t xml:space="preserve"> </w:t>
      </w:r>
      <w:r>
        <w:t>nach Absatz 1 Satz 1 Nr. 1 und 2 muss der Zuteilung</w:t>
      </w:r>
      <w:r>
        <w:t>s</w:t>
      </w:r>
      <w:r>
        <w:t>antrag</w:t>
      </w:r>
      <w:r w:rsidR="006B0620">
        <w:t xml:space="preserve"> </w:t>
      </w:r>
      <w:r>
        <w:t>die nach Absatz 1 erforderlichen Angaben enthalten</w:t>
      </w:r>
      <w:r w:rsidR="006B0620">
        <w:t xml:space="preserve"> </w:t>
      </w:r>
      <w:r>
        <w:t>über</w:t>
      </w:r>
    </w:p>
    <w:p w:rsidR="0038031E" w:rsidRDefault="0038031E" w:rsidP="006B0620">
      <w:pPr>
        <w:pStyle w:val="GesAbsatz"/>
        <w:ind w:left="426" w:hanging="426"/>
      </w:pPr>
      <w:r>
        <w:t>1.</w:t>
      </w:r>
      <w:r w:rsidR="006B0620">
        <w:tab/>
      </w:r>
      <w:r>
        <w:t>die Aktivitätsraten der Koksmengen auf dem Katalysator</w:t>
      </w:r>
      <w:r w:rsidR="006B0620">
        <w:t xml:space="preserve"> </w:t>
      </w:r>
      <w:r>
        <w:t>vor und nach dem Regenerationsprozess in</w:t>
      </w:r>
      <w:r w:rsidR="006B0620">
        <w:t xml:space="preserve"> </w:t>
      </w:r>
      <w:r>
        <w:t>Tonnen; im Fall der Kalzinierung von Petrolkoks die</w:t>
      </w:r>
      <w:r w:rsidR="006B0620">
        <w:t xml:space="preserve"> </w:t>
      </w:r>
      <w:r>
        <w:t>Aktivitätsraten der Koksmengen vor und nach der</w:t>
      </w:r>
      <w:r w:rsidR="006B0620">
        <w:t xml:space="preserve"> </w:t>
      </w:r>
      <w:r>
        <w:t>Kalzinierung in Tonnen, und</w:t>
      </w:r>
    </w:p>
    <w:p w:rsidR="0038031E" w:rsidRDefault="0038031E" w:rsidP="0038031E">
      <w:pPr>
        <w:pStyle w:val="GesAbsatz"/>
      </w:pPr>
      <w:r>
        <w:t>2.</w:t>
      </w:r>
      <w:r w:rsidR="006B0620">
        <w:tab/>
      </w:r>
      <w:r>
        <w:t>den Kohlenstoffgehalt des Kokses.</w:t>
      </w:r>
    </w:p>
    <w:p w:rsidR="0038031E" w:rsidRDefault="0038031E" w:rsidP="0038031E">
      <w:pPr>
        <w:pStyle w:val="GesAbsatz"/>
      </w:pPr>
      <w:r>
        <w:t>Für die Ermittlung der Kohlendioxid-Emissionen nach</w:t>
      </w:r>
      <w:r w:rsidR="006B0620">
        <w:t xml:space="preserve"> </w:t>
      </w:r>
      <w:r>
        <w:t>Absatz 1 Satz 1 Nr. 3 muss der Zuteilungsantrag A</w:t>
      </w:r>
      <w:r>
        <w:t>n</w:t>
      </w:r>
      <w:r>
        <w:t>gaben</w:t>
      </w:r>
      <w:r w:rsidR="006B0620">
        <w:t xml:space="preserve"> </w:t>
      </w:r>
      <w:r>
        <w:t>enthalten über die gesamten direkt ermittelten jährlichen</w:t>
      </w:r>
      <w:r w:rsidR="006B0620">
        <w:t xml:space="preserve"> </w:t>
      </w:r>
      <w:r>
        <w:t>Kohlendioxid-Emissionen in Tonnen.</w:t>
      </w:r>
    </w:p>
    <w:p w:rsidR="0038031E" w:rsidRDefault="0038031E" w:rsidP="006B0620">
      <w:pPr>
        <w:pStyle w:val="berschrift3"/>
      </w:pPr>
      <w:bookmarkStart w:id="14" w:name="_Toc401645583"/>
      <w:r>
        <w:t>§ 10</w:t>
      </w:r>
      <w:r w:rsidR="006B0620">
        <w:br/>
      </w:r>
      <w:r>
        <w:t>Ermittlung der Produktionsmenge</w:t>
      </w:r>
      <w:bookmarkEnd w:id="14"/>
    </w:p>
    <w:p w:rsidR="0038031E" w:rsidRDefault="0038031E" w:rsidP="0038031E">
      <w:pPr>
        <w:pStyle w:val="GesAbsatz"/>
      </w:pPr>
      <w:r>
        <w:t>(1) Produktionsmengen sind nach den anerkannten</w:t>
      </w:r>
      <w:r w:rsidR="006B0620">
        <w:t xml:space="preserve"> </w:t>
      </w:r>
      <w:r>
        <w:t>Regeln der Technik mit dem höchsten erreichbaren</w:t>
      </w:r>
      <w:r w:rsidR="006B0620">
        <w:t xml:space="preserve"> </w:t>
      </w:r>
      <w:r>
        <w:t>Grad an Genauigkeit zu erheben und anzugeben. Ungenauigkeiten</w:t>
      </w:r>
      <w:r w:rsidR="006B0620">
        <w:t xml:space="preserve"> </w:t>
      </w:r>
      <w:r>
        <w:t>sind zu beziffern und zu belegen.</w:t>
      </w:r>
    </w:p>
    <w:p w:rsidR="0038031E" w:rsidRDefault="0038031E" w:rsidP="0038031E">
      <w:pPr>
        <w:pStyle w:val="GesAbsatz"/>
      </w:pPr>
      <w:r>
        <w:t>(2) Soweit die Angaben nach Absatz 1 die vorherige</w:t>
      </w:r>
      <w:r w:rsidR="006B0620">
        <w:t xml:space="preserve"> </w:t>
      </w:r>
      <w:r>
        <w:t>Durchführung von Berechnungen voraussetzen, ist neben</w:t>
      </w:r>
      <w:r w:rsidR="006B0620">
        <w:t xml:space="preserve"> </w:t>
      </w:r>
      <w:r>
        <w:t>den geforderten Angaben im Zuteilungsantrag jeweils</w:t>
      </w:r>
      <w:r w:rsidR="006B0620">
        <w:t xml:space="preserve"> </w:t>
      </w:r>
      <w:r>
        <w:t>auch die angewandte Berechnungsmethode zu</w:t>
      </w:r>
      <w:r w:rsidR="006B0620">
        <w:t xml:space="preserve"> </w:t>
      </w:r>
      <w:r>
        <w:t>erläutern und die Ableitung der Angaben nachvollziehbar</w:t>
      </w:r>
      <w:r w:rsidR="006B0620">
        <w:t xml:space="preserve"> </w:t>
      </w:r>
      <w:r>
        <w:t>darzustellen.</w:t>
      </w:r>
    </w:p>
    <w:p w:rsidR="0038031E" w:rsidRDefault="0038031E" w:rsidP="0038031E">
      <w:pPr>
        <w:pStyle w:val="GesAbsatz"/>
      </w:pPr>
      <w:r>
        <w:t>(3) Bei der Ermittlung der Produktionsmenge sind</w:t>
      </w:r>
      <w:r w:rsidR="006B0620">
        <w:t xml:space="preserve"> </w:t>
      </w:r>
      <w:r>
        <w:t>nur diejenigen Produktionsmengen zu berücksichtigen,</w:t>
      </w:r>
      <w:r w:rsidR="006B0620">
        <w:t xml:space="preserve"> </w:t>
      </w:r>
      <w:r>
        <w:t>die auf eine Oxidation eines Brennstoffs oder eine Umsetzung</w:t>
      </w:r>
      <w:r w:rsidR="006B0620">
        <w:t xml:space="preserve"> </w:t>
      </w:r>
      <w:r>
        <w:t>eines Rohstoffs in der Anlage zurückzuführen</w:t>
      </w:r>
      <w:r w:rsidR="006B0620">
        <w:t xml:space="preserve"> </w:t>
      </w:r>
      <w:r>
        <w:t>sind.</w:t>
      </w:r>
    </w:p>
    <w:p w:rsidR="0038031E" w:rsidRDefault="0038031E" w:rsidP="0023109A">
      <w:pPr>
        <w:pStyle w:val="GesAbsatz"/>
      </w:pPr>
      <w:r>
        <w:t>(4) Bei Anlagen nach Anhang 1 Nr. VI des Treibhausgas-Emissionshandelsgesetzes</w:t>
      </w:r>
      <w:r w:rsidR="0023109A">
        <w:t xml:space="preserve"> vom 8. Juli 2004 (BGBl. I S. 1578), das zuletzt durch Artikel 9 des Gesetzes vom 11. August 2010 (BGBl. I S. 1163) geändert worden </w:t>
      </w:r>
      <w:r w:rsidR="0023109A">
        <w:lastRenderedPageBreak/>
        <w:t>ist,</w:t>
      </w:r>
      <w:r>
        <w:t xml:space="preserve"> kann zur Ermittlung der</w:t>
      </w:r>
      <w:r w:rsidR="006B0620">
        <w:t xml:space="preserve"> </w:t>
      </w:r>
      <w:r>
        <w:t>Produktionsmenge abweichend von Absatz 1 und § 2</w:t>
      </w:r>
      <w:r w:rsidR="006B0620">
        <w:t xml:space="preserve"> </w:t>
      </w:r>
      <w:r>
        <w:t>Nr. 1 auf die eingesetzte Rohstoffmenge abgestellt werden.</w:t>
      </w:r>
    </w:p>
    <w:p w:rsidR="0038031E" w:rsidRDefault="0038031E" w:rsidP="006B0620">
      <w:pPr>
        <w:pStyle w:val="berschrift3"/>
      </w:pPr>
      <w:bookmarkStart w:id="15" w:name="_Toc401645584"/>
      <w:r>
        <w:t>§ 11</w:t>
      </w:r>
      <w:r w:rsidR="006B0620">
        <w:br/>
      </w:r>
      <w:r>
        <w:t>Bestimmung des Emissionswertes</w:t>
      </w:r>
      <w:bookmarkEnd w:id="15"/>
    </w:p>
    <w:p w:rsidR="0038031E" w:rsidRDefault="0038031E" w:rsidP="0038031E">
      <w:pPr>
        <w:pStyle w:val="GesAbsatz"/>
      </w:pPr>
      <w:r>
        <w:t>(1) Bei einer Zuteilung nach § 7 des Zuteilungsgesetzes</w:t>
      </w:r>
      <w:r w:rsidR="006B0620">
        <w:t xml:space="preserve"> </w:t>
      </w:r>
      <w:r>
        <w:t>2012 gelten die Emissionswerte für gasförmige</w:t>
      </w:r>
      <w:r w:rsidR="006B0620">
        <w:t xml:space="preserve"> </w:t>
      </w:r>
      <w:r>
        <w:t>Brennstoffe nach Anhang 3 Teil A Nr. I des Zuteilungsgesetzes</w:t>
      </w:r>
      <w:r w:rsidR="006B0620">
        <w:t xml:space="preserve"> </w:t>
      </w:r>
      <w:r>
        <w:t>2012 nicht für die Verwendung von Synth</w:t>
      </w:r>
      <w:r>
        <w:t>e</w:t>
      </w:r>
      <w:r>
        <w:t>segas</w:t>
      </w:r>
      <w:r w:rsidR="006B0620">
        <w:t xml:space="preserve"> </w:t>
      </w:r>
      <w:r>
        <w:t>aus Kohlevergasung.</w:t>
      </w:r>
    </w:p>
    <w:p w:rsidR="0038031E" w:rsidRDefault="0038031E" w:rsidP="0038031E">
      <w:pPr>
        <w:pStyle w:val="GesAbsatz"/>
      </w:pPr>
      <w:r>
        <w:t>(2) Bei einer Anlage, für deren Produkt kein Emissionswert</w:t>
      </w:r>
      <w:r w:rsidR="006B0620">
        <w:t xml:space="preserve"> </w:t>
      </w:r>
      <w:r>
        <w:t>in Anhang 3 des Zuteilungsgesetzes 2012 fes</w:t>
      </w:r>
      <w:r>
        <w:t>t</w:t>
      </w:r>
      <w:r>
        <w:t>gelegt</w:t>
      </w:r>
      <w:r w:rsidR="006B0620">
        <w:t xml:space="preserve"> </w:t>
      </w:r>
      <w:r>
        <w:t>ist, gibt der Betreiber den Emissionswert je Produkteinheit</w:t>
      </w:r>
      <w:r w:rsidR="006B0620">
        <w:t xml:space="preserve"> </w:t>
      </w:r>
      <w:r>
        <w:t>an, der bei Anwendung der besten verfü</w:t>
      </w:r>
      <w:r>
        <w:t>g</w:t>
      </w:r>
      <w:r>
        <w:t>baren</w:t>
      </w:r>
      <w:r w:rsidR="006B0620">
        <w:t xml:space="preserve"> </w:t>
      </w:r>
      <w:r>
        <w:t>Techniken zur Herstellung einer Produkteinheit in</w:t>
      </w:r>
      <w:r w:rsidR="006B0620">
        <w:t xml:space="preserve"> </w:t>
      </w:r>
      <w:r>
        <w:t>den nach Maßgabe von Anhang 2 des Zuteilung</w:t>
      </w:r>
      <w:r>
        <w:t>s</w:t>
      </w:r>
      <w:r>
        <w:t>gesetzes</w:t>
      </w:r>
      <w:r w:rsidR="006B0620">
        <w:t xml:space="preserve"> </w:t>
      </w:r>
      <w:r>
        <w:t>2012 vergleichbaren Anlagen erreichbar ist. Der</w:t>
      </w:r>
      <w:r w:rsidR="006B0620">
        <w:t xml:space="preserve"> </w:t>
      </w:r>
      <w:r>
        <w:t>Emissionswert je Produkteinheit entspricht dabei dem</w:t>
      </w:r>
      <w:r w:rsidR="006B0620">
        <w:t xml:space="preserve"> </w:t>
      </w:r>
      <w:r>
        <w:t>Quotienten aus den Kohlendioxid-Emissionen und der</w:t>
      </w:r>
      <w:r w:rsidR="006B0620">
        <w:t xml:space="preserve"> </w:t>
      </w:r>
      <w:r>
        <w:t>Produktionsmenge eines Jahres. Unwesentliche Abweichungen</w:t>
      </w:r>
      <w:r w:rsidR="006B0620">
        <w:t xml:space="preserve"> </w:t>
      </w:r>
      <w:r>
        <w:t>der Produktspezifikation gegenüber den</w:t>
      </w:r>
      <w:r w:rsidR="006B0620">
        <w:t xml:space="preserve"> </w:t>
      </w:r>
      <w:r>
        <w:t>in vergleichbaren Anlagen hergestellten Produkten sind</w:t>
      </w:r>
      <w:r w:rsidR="006B0620">
        <w:t xml:space="preserve"> </w:t>
      </w:r>
      <w:r>
        <w:t>unbeachtlich. Der Betreiber hat darzulegen, dass der in</w:t>
      </w:r>
      <w:r w:rsidR="006B0620">
        <w:t xml:space="preserve"> </w:t>
      </w:r>
      <w:r>
        <w:t>Ansatz gebrachte Emissionswert für Kohlend</w:t>
      </w:r>
      <w:r>
        <w:t>i</w:t>
      </w:r>
      <w:r>
        <w:t>oxid der</w:t>
      </w:r>
      <w:r w:rsidR="006B0620">
        <w:t xml:space="preserve"> </w:t>
      </w:r>
      <w:r>
        <w:t>Wert ist, der bei Anwendung der besten verfügbaren</w:t>
      </w:r>
      <w:r w:rsidR="006B0620">
        <w:t xml:space="preserve"> </w:t>
      </w:r>
      <w:r>
        <w:t>Techniken erreichbar ist. Die Begründung muss hinreichend</w:t>
      </w:r>
      <w:r w:rsidR="006B0620">
        <w:t xml:space="preserve"> </w:t>
      </w:r>
      <w:r>
        <w:t>genaue Angaben enthalten über:</w:t>
      </w:r>
    </w:p>
    <w:p w:rsidR="0038031E" w:rsidRDefault="0038031E" w:rsidP="006B0620">
      <w:pPr>
        <w:pStyle w:val="GesAbsatz"/>
        <w:ind w:left="426" w:hanging="426"/>
      </w:pPr>
      <w:r>
        <w:t>1.</w:t>
      </w:r>
      <w:r w:rsidR="006B0620">
        <w:tab/>
      </w:r>
      <w:r>
        <w:t>die nach Anhang 2 des Zuteilungsgesetzes 2012</w:t>
      </w:r>
      <w:r w:rsidR="006B0620">
        <w:t xml:space="preserve"> </w:t>
      </w:r>
      <w:r>
        <w:t>vergleichbaren Anlagen, die das Produkt herstellen,</w:t>
      </w:r>
      <w:r w:rsidR="006B0620">
        <w:t xml:space="preserve"> </w:t>
      </w:r>
      <w:r>
        <w:t>sowie die für diese Gruppe von Anlagen besten verfügbaren</w:t>
      </w:r>
      <w:r w:rsidR="006B0620">
        <w:t xml:space="preserve"> </w:t>
      </w:r>
      <w:r>
        <w:t>Produktionsverfahren und -techniken,</w:t>
      </w:r>
    </w:p>
    <w:p w:rsidR="0038031E" w:rsidRDefault="0038031E" w:rsidP="0038031E">
      <w:pPr>
        <w:pStyle w:val="GesAbsatz"/>
      </w:pPr>
      <w:r>
        <w:t>2.</w:t>
      </w:r>
      <w:r w:rsidR="006B0620">
        <w:tab/>
      </w:r>
      <w:r>
        <w:t>die Möglichkeiten weiterer Effizienzverbesserungen</w:t>
      </w:r>
      <w:r w:rsidR="006B0620">
        <w:t xml:space="preserve"> </w:t>
      </w:r>
      <w:r>
        <w:t>und</w:t>
      </w:r>
    </w:p>
    <w:p w:rsidR="0038031E" w:rsidRDefault="0038031E" w:rsidP="0038031E">
      <w:pPr>
        <w:pStyle w:val="GesAbsatz"/>
      </w:pPr>
      <w:r>
        <w:t>3.</w:t>
      </w:r>
      <w:r w:rsidR="006B0620">
        <w:tab/>
      </w:r>
      <w:r>
        <w:t>die Informationsquellen, nach denen der Emissionswert</w:t>
      </w:r>
      <w:r w:rsidR="006B0620">
        <w:t xml:space="preserve"> </w:t>
      </w:r>
      <w:r>
        <w:t>ermittelt wurde.</w:t>
      </w:r>
    </w:p>
    <w:p w:rsidR="0038031E" w:rsidRDefault="0038031E" w:rsidP="0038031E">
      <w:pPr>
        <w:pStyle w:val="GesAbsatz"/>
      </w:pPr>
      <w:r>
        <w:t>(3) Bei der Herstellung mehrerer Produkte in einer</w:t>
      </w:r>
      <w:r w:rsidR="006B0620">
        <w:t xml:space="preserve"> </w:t>
      </w:r>
      <w:r>
        <w:t>Anlage sind mehrere Emissionswerte zu bilden, sofern</w:t>
      </w:r>
      <w:r w:rsidR="006B0620">
        <w:t xml:space="preserve"> </w:t>
      </w:r>
      <w:r>
        <w:t>eine hinreichend genaue Zuordnung der Kohlendioxid-Emissionen zu den Produkteinheiten möglich ist. Mehrere</w:t>
      </w:r>
      <w:r w:rsidR="006B0620">
        <w:t xml:space="preserve"> </w:t>
      </w:r>
      <w:r>
        <w:t>in einer Anlage erzeugte vergleichbare Produkte</w:t>
      </w:r>
      <w:r w:rsidR="006B0620">
        <w:t xml:space="preserve"> </w:t>
      </w:r>
      <w:r>
        <w:t>können zu Produktgruppen zusammengefasst werden,</w:t>
      </w:r>
      <w:r w:rsidR="006B0620">
        <w:t xml:space="preserve"> </w:t>
      </w:r>
      <w:r>
        <w:t>sofern die Emissionswerte der einzelnen Produkte innerhalb</w:t>
      </w:r>
      <w:r w:rsidR="006B0620">
        <w:t xml:space="preserve"> </w:t>
      </w:r>
      <w:r>
        <w:t>einer Produktgruppe nicht mehr als 10 Prozent</w:t>
      </w:r>
      <w:r w:rsidR="006B0620">
        <w:t xml:space="preserve"> </w:t>
      </w:r>
      <w:r>
        <w:t>voneinander abweichen. Dabei ist der Emissionswert</w:t>
      </w:r>
      <w:r w:rsidR="006B0620">
        <w:t xml:space="preserve"> </w:t>
      </w:r>
      <w:r>
        <w:t>für die Produktgruppen gewichtet nach dem jeweiligen</w:t>
      </w:r>
      <w:r w:rsidR="006B0620">
        <w:t xml:space="preserve"> </w:t>
      </w:r>
      <w:r>
        <w:t>Anteil der Produkte in der Produktgruppe zu ermitteln.</w:t>
      </w:r>
      <w:r w:rsidR="006B0620">
        <w:t xml:space="preserve"> </w:t>
      </w:r>
      <w:r>
        <w:t>Die Berechnung des Emissionswertes ist im Zuteilungsantrag</w:t>
      </w:r>
      <w:r w:rsidR="006B0620">
        <w:t xml:space="preserve"> </w:t>
      </w:r>
      <w:r>
        <w:t>zu erläutern und die Ableitung der Angaben</w:t>
      </w:r>
      <w:r w:rsidR="006B0620">
        <w:t xml:space="preserve"> </w:t>
      </w:r>
      <w:r>
        <w:t>nachvollziehbar darzustellen.</w:t>
      </w:r>
    </w:p>
    <w:p w:rsidR="0038031E" w:rsidRDefault="0038031E" w:rsidP="0038031E">
      <w:pPr>
        <w:pStyle w:val="GesAbsatz"/>
      </w:pPr>
      <w:r>
        <w:t>(4) Werden in einer Anlage unterschiedliche Produkte</w:t>
      </w:r>
      <w:r w:rsidR="006B0620">
        <w:t xml:space="preserve"> </w:t>
      </w:r>
      <w:r>
        <w:t>hergestellt und ist die Bildung eines Emissionswertes</w:t>
      </w:r>
      <w:r w:rsidR="006B0620">
        <w:t xml:space="preserve"> </w:t>
      </w:r>
      <w:r>
        <w:t>je Produkteinheit nach Absatz 3 nicht möglich,</w:t>
      </w:r>
      <w:r w:rsidR="006B0620">
        <w:t xml:space="preserve"> </w:t>
      </w:r>
      <w:r>
        <w:t>so können die durchschnittlich jährlichen Emissionen</w:t>
      </w:r>
      <w:r w:rsidR="006B0620">
        <w:t xml:space="preserve"> </w:t>
      </w:r>
      <w:r>
        <w:t>auf eine andere Bezugsgröße bezogen werden. Dabei</w:t>
      </w:r>
      <w:r w:rsidR="006B0620">
        <w:t xml:space="preserve"> </w:t>
      </w:r>
      <w:r>
        <w:t>ist Voraussetzung, dass die Bezugsgröße in einem festen</w:t>
      </w:r>
      <w:r w:rsidR="006B0620">
        <w:t xml:space="preserve"> </w:t>
      </w:r>
      <w:r>
        <w:t>Verhältnis zur Produktionsmenge steht und somit</w:t>
      </w:r>
      <w:r w:rsidR="006B0620">
        <w:t xml:space="preserve"> </w:t>
      </w:r>
      <w:r>
        <w:t>Veränderungen der Produktionsmenge aufgrund gering</w:t>
      </w:r>
      <w:r>
        <w:t>e</w:t>
      </w:r>
      <w:r>
        <w:t>rer</w:t>
      </w:r>
      <w:r w:rsidR="006B0620">
        <w:t xml:space="preserve"> </w:t>
      </w:r>
      <w:r>
        <w:t>oder höherer Kapazitätsauslastungen der Anlage</w:t>
      </w:r>
      <w:r w:rsidR="006B0620">
        <w:t xml:space="preserve"> </w:t>
      </w:r>
      <w:r>
        <w:t>und dadurch bedingten Veränderungen der durc</w:t>
      </w:r>
      <w:r>
        <w:t>h</w:t>
      </w:r>
      <w:r>
        <w:t>schnittlichen</w:t>
      </w:r>
      <w:r w:rsidR="006B0620">
        <w:t xml:space="preserve"> </w:t>
      </w:r>
      <w:r>
        <w:t>jährlichen Kohlendioxid-Emissionen hinreichend</w:t>
      </w:r>
      <w:r w:rsidR="006B0620">
        <w:t xml:space="preserve"> </w:t>
      </w:r>
      <w:r>
        <w:t>genau abgebildet werden. Als Bezugsgröße</w:t>
      </w:r>
      <w:r w:rsidR="006B0620">
        <w:t xml:space="preserve"> </w:t>
      </w:r>
      <w:r>
        <w:t>kommt vor allem die Menge der vorgesehenen Rohstoffe</w:t>
      </w:r>
      <w:r w:rsidR="006B0620">
        <w:t xml:space="preserve"> </w:t>
      </w:r>
      <w:r>
        <w:t>in Betracht. Das Verhältnis der Bezugsgröße zur</w:t>
      </w:r>
      <w:r w:rsidR="006B0620">
        <w:t xml:space="preserve"> </w:t>
      </w:r>
      <w:r>
        <w:t>gesamten masse- oder volumenbezogenen Produktionsmenge</w:t>
      </w:r>
      <w:r w:rsidR="006B0620">
        <w:t xml:space="preserve"> </w:t>
      </w:r>
      <w:r>
        <w:t>ist anzugeben. Die fehlende Möglichkeit</w:t>
      </w:r>
      <w:r w:rsidR="006B0620">
        <w:t xml:space="preserve"> </w:t>
      </w:r>
      <w:r>
        <w:t>der Bildung eines Emissionswertes je Produkteinheit</w:t>
      </w:r>
      <w:r w:rsidR="006B0620">
        <w:t xml:space="preserve"> </w:t>
      </w:r>
      <w:r>
        <w:t>ist hinreichend genau zu begründen.</w:t>
      </w:r>
    </w:p>
    <w:p w:rsidR="0038031E" w:rsidRDefault="0038031E" w:rsidP="0023109A">
      <w:pPr>
        <w:pStyle w:val="GesAbsatz"/>
      </w:pPr>
      <w:r>
        <w:t>(5) Werden in einer Anlage nach Anhang 1 Nr. VI</w:t>
      </w:r>
      <w:r w:rsidR="006B0620">
        <w:t xml:space="preserve"> </w:t>
      </w:r>
      <w:r>
        <w:t>bis XVIII des Treibhausgas-Emissionshandelsgesetzes</w:t>
      </w:r>
      <w:r w:rsidR="0023109A">
        <w:t xml:space="preserve"> vom 8. Juli 2004 (BGBl. I S. 1578), das zuletzt durch Artikel 9 des Gesetzes vom 11. August 2010 (BGBl. I S. 1163) geändert worden ist,</w:t>
      </w:r>
      <w:r w:rsidR="006B0620">
        <w:t xml:space="preserve"> </w:t>
      </w:r>
      <w:r>
        <w:t>neben dem die Haupttätigkeit bestimmenden Produkt</w:t>
      </w:r>
      <w:r w:rsidR="006B0620">
        <w:t xml:space="preserve"> </w:t>
      </w:r>
      <w:r>
        <w:t>auch Produkte anderer Tätigkeiten hergestellt, bleibt</w:t>
      </w:r>
      <w:r w:rsidR="006B0620">
        <w:t xml:space="preserve"> </w:t>
      </w:r>
      <w:r>
        <w:t>bei der Zuteilung für die Produkte anderer Tätigkeiten</w:t>
      </w:r>
      <w:r w:rsidR="006B0620">
        <w:t xml:space="preserve"> </w:t>
      </w:r>
      <w:r>
        <w:t>die Produktionsmenge außer Betracht, die zur Herstellung</w:t>
      </w:r>
      <w:r w:rsidR="006B0620">
        <w:t xml:space="preserve"> </w:t>
      </w:r>
      <w:r>
        <w:t>des Produktes der Haupttätigkeit verwendet wird.</w:t>
      </w:r>
    </w:p>
    <w:p w:rsidR="0038031E" w:rsidRDefault="0038031E" w:rsidP="006B0620">
      <w:pPr>
        <w:pStyle w:val="berschrift3"/>
      </w:pPr>
      <w:bookmarkStart w:id="16" w:name="_Toc401645585"/>
      <w:r>
        <w:t>§ 12</w:t>
      </w:r>
      <w:r w:rsidR="006B0620">
        <w:br/>
      </w:r>
      <w:r>
        <w:t>Zuteilung für Industrieanlagen</w:t>
      </w:r>
      <w:r w:rsidR="006B0620">
        <w:t xml:space="preserve"> </w:t>
      </w:r>
      <w:r>
        <w:t>mit Inbetriebnahme bis 31. Dezember 2002</w:t>
      </w:r>
      <w:bookmarkEnd w:id="16"/>
    </w:p>
    <w:p w:rsidR="0038031E" w:rsidRDefault="0038031E" w:rsidP="0038031E">
      <w:pPr>
        <w:pStyle w:val="GesAbsatz"/>
      </w:pPr>
      <w:r>
        <w:t>(1) Für die Zuteilung von Berechtigungen nach § 6</w:t>
      </w:r>
      <w:r w:rsidR="006B0620">
        <w:t xml:space="preserve"> </w:t>
      </w:r>
      <w:r>
        <w:t>Abs. 1 des Zuteilungsgesetzes 2012 muss der Zute</w:t>
      </w:r>
      <w:r>
        <w:t>i</w:t>
      </w:r>
      <w:r>
        <w:t>lungsantrag</w:t>
      </w:r>
      <w:r w:rsidR="006B0620">
        <w:t xml:space="preserve"> </w:t>
      </w:r>
      <w:r>
        <w:t>Angaben enthalten über</w:t>
      </w:r>
    </w:p>
    <w:p w:rsidR="0038031E" w:rsidRDefault="0038031E" w:rsidP="0038031E">
      <w:pPr>
        <w:pStyle w:val="GesAbsatz"/>
      </w:pPr>
      <w:r>
        <w:t>1.</w:t>
      </w:r>
      <w:r w:rsidR="006B0620">
        <w:tab/>
      </w:r>
      <w:r>
        <w:t>das Datum der Inbetriebnahme und</w:t>
      </w:r>
    </w:p>
    <w:p w:rsidR="0038031E" w:rsidRDefault="0038031E" w:rsidP="006B0620">
      <w:pPr>
        <w:pStyle w:val="GesAbsatz"/>
        <w:ind w:left="426" w:hanging="426"/>
      </w:pPr>
      <w:r>
        <w:t>2.</w:t>
      </w:r>
      <w:r w:rsidR="006B0620">
        <w:tab/>
      </w:r>
      <w:r>
        <w:t>im Fall von § 6 Abs. 4 des Zuteilungsgesetzes 2012</w:t>
      </w:r>
      <w:r w:rsidR="006B0620">
        <w:t xml:space="preserve"> </w:t>
      </w:r>
      <w:r>
        <w:t>das Datum der letztmaligen Erweiterung oder Ve</w:t>
      </w:r>
      <w:r>
        <w:t>r</w:t>
      </w:r>
      <w:r>
        <w:t>ringerung</w:t>
      </w:r>
      <w:r w:rsidR="006B0620">
        <w:t xml:space="preserve"> </w:t>
      </w:r>
      <w:r>
        <w:t>von Kapazitäten der Anlage nach ihrer Inbetriebnahme.</w:t>
      </w:r>
    </w:p>
    <w:p w:rsidR="0038031E" w:rsidRDefault="0038031E" w:rsidP="0038031E">
      <w:pPr>
        <w:pStyle w:val="GesAbsatz"/>
      </w:pPr>
      <w:r>
        <w:t>(2) Für Anlagen im Sinne von § 6 Abs. 10 des Zuteilungsgesetzes</w:t>
      </w:r>
      <w:r w:rsidR="006B0620">
        <w:t xml:space="preserve"> </w:t>
      </w:r>
      <w:r>
        <w:t>2012, bei denen eine Datenmitteilung</w:t>
      </w:r>
      <w:r w:rsidR="006B0620">
        <w:t xml:space="preserve"> </w:t>
      </w:r>
      <w:r>
        <w:t>nach § 2 Abs. 2 Nr. 2 der Datenerhebungsverordnung</w:t>
      </w:r>
      <w:r w:rsidR="006B0620">
        <w:t xml:space="preserve"> </w:t>
      </w:r>
      <w:r>
        <w:t>2012 vom 11. Juli 2006 (BGBl. I S. 1572) vorliegt, gilt</w:t>
      </w:r>
      <w:r w:rsidR="006B0620">
        <w:t xml:space="preserve"> </w:t>
      </w:r>
      <w:r>
        <w:t>Absatz 1 entsprechend, sofern der Antragsteller im Zuteilungsantrag</w:t>
      </w:r>
      <w:r w:rsidR="006B0620">
        <w:t xml:space="preserve"> </w:t>
      </w:r>
      <w:r>
        <w:t>auf diese Datenmitteilung abstellt. S</w:t>
      </w:r>
      <w:r>
        <w:t>o</w:t>
      </w:r>
      <w:r>
        <w:t>fern</w:t>
      </w:r>
      <w:r w:rsidR="006B0620">
        <w:t xml:space="preserve"> </w:t>
      </w:r>
      <w:r>
        <w:t>die Kohlendioxid-Emissionen des Jahres 2005 weniger</w:t>
      </w:r>
      <w:r w:rsidR="006B0620">
        <w:t xml:space="preserve"> </w:t>
      </w:r>
      <w:r>
        <w:t>als 50 Prozent der durchschnittlichen Kohlend</w:t>
      </w:r>
      <w:r>
        <w:t>i</w:t>
      </w:r>
      <w:r>
        <w:t>oxid-Emissionen der Jahre 2000 bis 2004 betrugen,</w:t>
      </w:r>
      <w:r w:rsidR="006B0620">
        <w:t xml:space="preserve"> </w:t>
      </w:r>
      <w:r>
        <w:t>muss der Zuteilungsantrag zusätzlich die nach Maßg</w:t>
      </w:r>
      <w:r>
        <w:t>a</w:t>
      </w:r>
      <w:r>
        <w:t>be</w:t>
      </w:r>
      <w:r w:rsidR="006B0620">
        <w:t xml:space="preserve"> </w:t>
      </w:r>
      <w:r>
        <w:t>des Abschnitts 2 ermittelten Kohlendioxid-Emissionen</w:t>
      </w:r>
      <w:r w:rsidR="006B0620">
        <w:t xml:space="preserve"> </w:t>
      </w:r>
      <w:r>
        <w:t>des Jahres 2006 enthalten.</w:t>
      </w:r>
    </w:p>
    <w:p w:rsidR="0038031E" w:rsidRDefault="0038031E" w:rsidP="0038031E">
      <w:pPr>
        <w:pStyle w:val="GesAbsatz"/>
      </w:pPr>
      <w:r>
        <w:lastRenderedPageBreak/>
        <w:t>(3) Bei Anlagen im Sinne von § 6 Abs. 10 des Zuteilungsgesetzes</w:t>
      </w:r>
      <w:r w:rsidR="006B0620">
        <w:t xml:space="preserve"> </w:t>
      </w:r>
      <w:r>
        <w:t>2012, bei denen der Antragsteller nicht</w:t>
      </w:r>
      <w:r w:rsidR="006B0620">
        <w:t xml:space="preserve"> </w:t>
      </w:r>
      <w:r>
        <w:t>auf eine Datenmitteilung nach § 2 Abs. 2 Nr. 2 der Datenerhebungsverordnung</w:t>
      </w:r>
      <w:r w:rsidR="006B0620">
        <w:t xml:space="preserve"> </w:t>
      </w:r>
      <w:r>
        <w:t>2012 abstellt, berechnen sich</w:t>
      </w:r>
      <w:r w:rsidR="006B0620">
        <w:t xml:space="preserve"> </w:t>
      </w:r>
      <w:r>
        <w:t>die Kohlendioxid-Emissionen pro Jahr nach den Vorschriften</w:t>
      </w:r>
      <w:r w:rsidR="006B0620">
        <w:t xml:space="preserve"> </w:t>
      </w:r>
      <w:r>
        <w:t>des Abschnitts 2 unter Zugrundelegung der</w:t>
      </w:r>
      <w:r w:rsidR="006B0620">
        <w:t xml:space="preserve"> </w:t>
      </w:r>
      <w:r>
        <w:t>jeweiligen Basisperiode nach § 6 des Zuteilungsgesetzes</w:t>
      </w:r>
      <w:r w:rsidR="006B0620">
        <w:t xml:space="preserve"> </w:t>
      </w:r>
      <w:r>
        <w:t>2012. Dabei werden die durchschnittlichen jährlichen</w:t>
      </w:r>
      <w:r w:rsidR="006B0620">
        <w:t xml:space="preserve"> </w:t>
      </w:r>
      <w:r>
        <w:t>Kohlendioxid-Emissionen aus dem rechnerischen</w:t>
      </w:r>
      <w:r w:rsidR="006B0620">
        <w:t xml:space="preserve"> </w:t>
      </w:r>
      <w:r>
        <w:t>Mittel der Kohlendioxid-Emissionen pro Jahr in den in</w:t>
      </w:r>
      <w:r w:rsidR="006B0620">
        <w:t xml:space="preserve"> </w:t>
      </w:r>
      <w:r>
        <w:t>Ansatz zu bringenden Jahren errechnet. Absatz 2 Satz 2</w:t>
      </w:r>
      <w:r w:rsidR="006B0620">
        <w:t xml:space="preserve"> </w:t>
      </w:r>
      <w:r>
        <w:t>gilt entsprechend.</w:t>
      </w:r>
    </w:p>
    <w:p w:rsidR="0038031E" w:rsidRDefault="0038031E" w:rsidP="006B0620">
      <w:pPr>
        <w:pStyle w:val="berschrift3"/>
      </w:pPr>
      <w:bookmarkStart w:id="17" w:name="_Toc401645586"/>
      <w:r>
        <w:t>§ 13</w:t>
      </w:r>
      <w:r w:rsidR="006B0620">
        <w:br/>
      </w:r>
      <w:r>
        <w:t>Zuteilung für Anlagen der Energiewirtschaft</w:t>
      </w:r>
      <w:r w:rsidR="006B0620">
        <w:t xml:space="preserve"> </w:t>
      </w:r>
      <w:r>
        <w:t>mit Inbetriebnahme bis 31. Dezember 2002</w:t>
      </w:r>
      <w:bookmarkEnd w:id="17"/>
    </w:p>
    <w:p w:rsidR="0038031E" w:rsidRDefault="0038031E" w:rsidP="0038031E">
      <w:pPr>
        <w:pStyle w:val="GesAbsatz"/>
      </w:pPr>
      <w:r>
        <w:t>(1) Für die Zuteilung von Berechtigungen nach § 7</w:t>
      </w:r>
      <w:r w:rsidR="00E73F7A">
        <w:t xml:space="preserve"> </w:t>
      </w:r>
      <w:r>
        <w:t>Abs. 1 des Zuteilungsgesetzes 2012 muss der Zute</w:t>
      </w:r>
      <w:r>
        <w:t>i</w:t>
      </w:r>
      <w:r>
        <w:t>lungsantrag</w:t>
      </w:r>
      <w:r w:rsidR="00E73F7A">
        <w:t xml:space="preserve"> </w:t>
      </w:r>
      <w:r>
        <w:t>Angaben enthalten über:</w:t>
      </w:r>
    </w:p>
    <w:p w:rsidR="0038031E" w:rsidRDefault="0038031E" w:rsidP="00E73F7A">
      <w:pPr>
        <w:pStyle w:val="GesAbsatz"/>
        <w:ind w:left="426" w:hanging="426"/>
      </w:pPr>
      <w:r>
        <w:t>1.</w:t>
      </w:r>
      <w:r w:rsidR="00E73F7A">
        <w:tab/>
      </w:r>
      <w:r>
        <w:t>die jährlichen Produktionsmengen der Anlage in der</w:t>
      </w:r>
      <w:r w:rsidR="00E73F7A">
        <w:t xml:space="preserve"> </w:t>
      </w:r>
      <w:r>
        <w:t>nach § 6 Abs. 2 bis 4 des Zuteilungsgesetzes 2012</w:t>
      </w:r>
      <w:r w:rsidR="00E73F7A">
        <w:t xml:space="preserve"> </w:t>
      </w:r>
      <w:r>
        <w:t>jeweils geltenden Basisperiode,</w:t>
      </w:r>
    </w:p>
    <w:p w:rsidR="0038031E" w:rsidRDefault="0038031E" w:rsidP="00E73F7A">
      <w:pPr>
        <w:pStyle w:val="GesAbsatz"/>
        <w:ind w:left="426" w:hanging="426"/>
      </w:pPr>
      <w:r>
        <w:t>2.</w:t>
      </w:r>
      <w:r w:rsidR="00E73F7A">
        <w:tab/>
      </w:r>
      <w:r>
        <w:t>die in der Anlage mit Inbetriebnahme bis zum 31. Dezember</w:t>
      </w:r>
      <w:r w:rsidR="00E73F7A">
        <w:t xml:space="preserve"> </w:t>
      </w:r>
      <w:r>
        <w:t>2002 in den Jahren 2005 und 2006 eing</w:t>
      </w:r>
      <w:r>
        <w:t>e</w:t>
      </w:r>
      <w:r>
        <w:t>setzten</w:t>
      </w:r>
      <w:r w:rsidR="00E73F7A">
        <w:t xml:space="preserve"> </w:t>
      </w:r>
      <w:r>
        <w:t>Brennstoffe, deren Aktivitätsraten, Emissionsfaktoren,</w:t>
      </w:r>
      <w:r w:rsidR="00E73F7A">
        <w:t xml:space="preserve"> </w:t>
      </w:r>
      <w:r>
        <w:t>untere Heizwerte und die Anteile des</w:t>
      </w:r>
      <w:r w:rsidR="00E73F7A">
        <w:t xml:space="preserve"> </w:t>
      </w:r>
      <w:r>
        <w:t>b</w:t>
      </w:r>
      <w:r>
        <w:t>i</w:t>
      </w:r>
      <w:r>
        <w:t>ogenen Kohlenstoffs am Gesamtkohlenstoffgehalt,</w:t>
      </w:r>
      <w:r w:rsidR="00E73F7A">
        <w:t xml:space="preserve"> </w:t>
      </w:r>
      <w:r>
        <w:t>soweit diese der zuständigen Behörde nicht vorli</w:t>
      </w:r>
      <w:r>
        <w:t>e</w:t>
      </w:r>
      <w:r>
        <w:t>gen,</w:t>
      </w:r>
    </w:p>
    <w:p w:rsidR="0038031E" w:rsidRDefault="0038031E" w:rsidP="0038031E">
      <w:pPr>
        <w:pStyle w:val="GesAbsatz"/>
      </w:pPr>
      <w:r>
        <w:t>3.</w:t>
      </w:r>
      <w:r w:rsidR="00E73F7A">
        <w:tab/>
      </w:r>
      <w:r>
        <w:t>das Datum der Inbetriebnahme,</w:t>
      </w:r>
    </w:p>
    <w:p w:rsidR="0038031E" w:rsidRDefault="0038031E" w:rsidP="00E73F7A">
      <w:pPr>
        <w:pStyle w:val="GesAbsatz"/>
        <w:ind w:left="426" w:hanging="426"/>
      </w:pPr>
      <w:r>
        <w:t>4.</w:t>
      </w:r>
      <w:r w:rsidR="00E73F7A">
        <w:tab/>
      </w:r>
      <w:r>
        <w:t>im Fall von § 7 Abs. 1 des Zuteilungsgesetzes 2012</w:t>
      </w:r>
      <w:r w:rsidR="00E73F7A">
        <w:t xml:space="preserve"> </w:t>
      </w:r>
      <w:r>
        <w:t>in Verbindung mit § 6 Abs. 4 des Zuteilungsgese</w:t>
      </w:r>
      <w:r>
        <w:t>t</w:t>
      </w:r>
      <w:r>
        <w:t>zes</w:t>
      </w:r>
      <w:r w:rsidR="00E73F7A">
        <w:t xml:space="preserve"> </w:t>
      </w:r>
      <w:r>
        <w:t>2012 das Datum der letztmaligen Erweiterung oder</w:t>
      </w:r>
      <w:r w:rsidR="00E73F7A">
        <w:t xml:space="preserve"> </w:t>
      </w:r>
      <w:r>
        <w:t>Verringerung von Kapazitäten der Anlage nach ihrer</w:t>
      </w:r>
      <w:r w:rsidR="00E73F7A">
        <w:t xml:space="preserve"> </w:t>
      </w:r>
      <w:r>
        <w:t>Inbetriebnahme und</w:t>
      </w:r>
    </w:p>
    <w:p w:rsidR="0038031E" w:rsidRDefault="0038031E" w:rsidP="0038031E">
      <w:pPr>
        <w:pStyle w:val="GesAbsatz"/>
      </w:pPr>
      <w:r>
        <w:t>5.</w:t>
      </w:r>
      <w:r w:rsidR="00E73F7A">
        <w:tab/>
      </w:r>
      <w:r>
        <w:t>die Kapazität der Anlage mit Inbetriebnahme bis zum</w:t>
      </w:r>
      <w:r w:rsidR="00E73F7A">
        <w:t xml:space="preserve"> </w:t>
      </w:r>
      <w:r>
        <w:t>31. Dezember 2002.</w:t>
      </w:r>
    </w:p>
    <w:p w:rsidR="0038031E" w:rsidRDefault="0038031E" w:rsidP="0038031E">
      <w:pPr>
        <w:pStyle w:val="GesAbsatz"/>
      </w:pPr>
      <w:r>
        <w:t>(2) Bei Anlagen nach § 7 Abs. 4 des Zuteilungsgesetzes</w:t>
      </w:r>
      <w:r w:rsidR="00E73F7A">
        <w:t xml:space="preserve"> </w:t>
      </w:r>
      <w:r>
        <w:t>2012 gilt § 12 Abs. 1 entsprechend.</w:t>
      </w:r>
    </w:p>
    <w:p w:rsidR="0038031E" w:rsidRDefault="0038031E" w:rsidP="00E73F7A">
      <w:pPr>
        <w:pStyle w:val="berschrift3"/>
      </w:pPr>
      <w:bookmarkStart w:id="18" w:name="_Toc401645587"/>
      <w:r>
        <w:t>§ 14</w:t>
      </w:r>
      <w:r w:rsidR="00E73F7A">
        <w:br/>
      </w:r>
      <w:r>
        <w:t>Zuteilung für Anlagen mit</w:t>
      </w:r>
      <w:r w:rsidR="00E73F7A">
        <w:t xml:space="preserve"> </w:t>
      </w:r>
      <w:r>
        <w:t>Inbetriebnahme in den Jahren 2003 bis 2007</w:t>
      </w:r>
      <w:bookmarkEnd w:id="18"/>
    </w:p>
    <w:p w:rsidR="0038031E" w:rsidRDefault="0038031E" w:rsidP="0038031E">
      <w:pPr>
        <w:pStyle w:val="GesAbsatz"/>
      </w:pPr>
      <w:r>
        <w:t>(1) Für die Zuteilung von Berechtigungen nach § 8</w:t>
      </w:r>
      <w:r w:rsidR="00E73F7A">
        <w:t xml:space="preserve"> </w:t>
      </w:r>
      <w:r>
        <w:t>Abs. 1 des Zuteilungsgesetzes 2012 muss der Zute</w:t>
      </w:r>
      <w:r>
        <w:t>i</w:t>
      </w:r>
      <w:r>
        <w:t>lungsantrag</w:t>
      </w:r>
      <w:r w:rsidR="00E73F7A">
        <w:t xml:space="preserve"> </w:t>
      </w:r>
      <w:r>
        <w:t>Angaben enthalten über:</w:t>
      </w:r>
    </w:p>
    <w:p w:rsidR="0038031E" w:rsidRDefault="0038031E" w:rsidP="0038031E">
      <w:pPr>
        <w:pStyle w:val="GesAbsatz"/>
      </w:pPr>
      <w:r>
        <w:t>1.</w:t>
      </w:r>
      <w:r w:rsidR="00E73F7A">
        <w:tab/>
      </w:r>
      <w:r>
        <w:t>die Kapazität der Anlage,</w:t>
      </w:r>
    </w:p>
    <w:p w:rsidR="0038031E" w:rsidRDefault="0038031E" w:rsidP="0038031E">
      <w:pPr>
        <w:pStyle w:val="GesAbsatz"/>
      </w:pPr>
      <w:r>
        <w:t>2.</w:t>
      </w:r>
      <w:r w:rsidR="00E73F7A">
        <w:tab/>
      </w:r>
      <w:r>
        <w:t>den Emissionswert je Produkteinheit,</w:t>
      </w:r>
    </w:p>
    <w:p w:rsidR="0038031E" w:rsidRDefault="0038031E" w:rsidP="0023109A">
      <w:pPr>
        <w:pStyle w:val="GesAbsatz"/>
        <w:ind w:left="426" w:hanging="426"/>
      </w:pPr>
      <w:r>
        <w:t>3.</w:t>
      </w:r>
      <w:r w:rsidR="00E73F7A">
        <w:tab/>
      </w:r>
      <w:r>
        <w:t>bei Anlagen nach Anhang 1 Nr. I bis V des Treibhausgas-Emissionshandelsgesetzes</w:t>
      </w:r>
      <w:r w:rsidR="0023109A">
        <w:t xml:space="preserve"> vom 8. Juli 2004 (BGBl. I S. 1578), das zuletzt durch Artikel 9 des Gesetzes vom 11. August 2010 (BGBl. I S. 1163) g</w:t>
      </w:r>
      <w:r w:rsidR="0023109A">
        <w:t>e</w:t>
      </w:r>
      <w:r w:rsidR="0023109A">
        <w:t>ändert worden ist,</w:t>
      </w:r>
      <w:r>
        <w:t xml:space="preserve"> die eingesetzten</w:t>
      </w:r>
      <w:r w:rsidR="00E73F7A">
        <w:t xml:space="preserve"> </w:t>
      </w:r>
      <w:r>
        <w:t>Brennstoffe und deren Aktivitätsraten seit Inbetriebnahme</w:t>
      </w:r>
      <w:r w:rsidR="00E73F7A">
        <w:t xml:space="preserve"> </w:t>
      </w:r>
      <w:r>
        <w:t>sowie die nach der immissionsschutzrechtlichen</w:t>
      </w:r>
      <w:r w:rsidR="00E73F7A">
        <w:t xml:space="preserve"> </w:t>
      </w:r>
      <w:r>
        <w:t>Genehmigung einsetzbaren Brennstoffe,</w:t>
      </w:r>
    </w:p>
    <w:p w:rsidR="0038031E" w:rsidRDefault="0038031E" w:rsidP="0023109A">
      <w:pPr>
        <w:pStyle w:val="GesAbsatz"/>
        <w:ind w:left="426" w:hanging="426"/>
      </w:pPr>
      <w:r>
        <w:t>4.</w:t>
      </w:r>
      <w:r w:rsidR="00E73F7A">
        <w:tab/>
      </w:r>
      <w:r>
        <w:t>bei Anlagen nach Anhang 1 Nr. VI bis XVIII des</w:t>
      </w:r>
      <w:r w:rsidR="00E73F7A">
        <w:t xml:space="preserve"> </w:t>
      </w:r>
      <w:r>
        <w:t>Treibhausgas-Emissionshandelsgesetzes</w:t>
      </w:r>
      <w:r w:rsidR="0023109A">
        <w:t xml:space="preserve"> vom 8. Juli 2004 (BGBl. I S. 1578), das zuletzt durch Artikel 9 des Gesetzes vom 11. August 2010 (BGBl. I S. 1163) geändert worden ist,</w:t>
      </w:r>
      <w:r>
        <w:t xml:space="preserve"> soweit</w:t>
      </w:r>
      <w:r w:rsidR="00E73F7A">
        <w:t xml:space="preserve"> </w:t>
      </w:r>
      <w:r>
        <w:t>für deren Produkte in Anhang 3 des Zuteilungsgesetzes</w:t>
      </w:r>
      <w:r w:rsidR="00E73F7A">
        <w:t xml:space="preserve"> </w:t>
      </w:r>
      <w:r>
        <w:t>2012 ke</w:t>
      </w:r>
      <w:r>
        <w:t>i</w:t>
      </w:r>
      <w:r>
        <w:t>ne Emissionswerte festgelegt sind,</w:t>
      </w:r>
      <w:r w:rsidR="00E73F7A">
        <w:t xml:space="preserve"> </w:t>
      </w:r>
      <w:r>
        <w:t>die Angaben nach Nummer 3 sowie die in der Anlage</w:t>
      </w:r>
      <w:r w:rsidR="00E73F7A">
        <w:t xml:space="preserve"> </w:t>
      </w:r>
      <w:r>
        <w:t>eingesetzten Rohstoffe und deren Aktivitätsraten,</w:t>
      </w:r>
    </w:p>
    <w:p w:rsidR="0038031E" w:rsidRDefault="0038031E" w:rsidP="0038031E">
      <w:pPr>
        <w:pStyle w:val="GesAbsatz"/>
      </w:pPr>
      <w:r>
        <w:t>5.</w:t>
      </w:r>
      <w:r w:rsidR="00E73F7A">
        <w:tab/>
      </w:r>
      <w:r>
        <w:t>die maßgebliche Tätigkeit nach Anhang 4 Abschnitt</w:t>
      </w:r>
      <w:r w:rsidR="00E73F7A">
        <w:t xml:space="preserve"> </w:t>
      </w:r>
      <w:r>
        <w:t>I des Zuteilungsgesetzes 2012,</w:t>
      </w:r>
    </w:p>
    <w:p w:rsidR="0038031E" w:rsidRDefault="0038031E" w:rsidP="00E73F7A">
      <w:pPr>
        <w:pStyle w:val="GesAbsatz"/>
        <w:ind w:left="426" w:hanging="426"/>
      </w:pPr>
      <w:r>
        <w:t>6.</w:t>
      </w:r>
      <w:r w:rsidR="00E73F7A">
        <w:tab/>
      </w:r>
      <w:r>
        <w:t>im Fall einer Beschränkung der immissionsschutzrechtlich</w:t>
      </w:r>
      <w:r w:rsidR="00E73F7A">
        <w:t xml:space="preserve"> </w:t>
      </w:r>
      <w:r>
        <w:t>genehmigten maximalen Vollbenutzung</w:t>
      </w:r>
      <w:r>
        <w:t>s</w:t>
      </w:r>
      <w:r>
        <w:t>stunden</w:t>
      </w:r>
      <w:r w:rsidR="00E73F7A">
        <w:t xml:space="preserve"> </w:t>
      </w:r>
      <w:r>
        <w:t>oder einer produktionsbezogenen Beschränkung</w:t>
      </w:r>
      <w:r w:rsidR="00E73F7A">
        <w:t xml:space="preserve"> </w:t>
      </w:r>
      <w:r>
        <w:t>der genehmigten Kapazität die sich</w:t>
      </w:r>
      <w:r w:rsidR="00E73F7A">
        <w:t xml:space="preserve"> </w:t>
      </w:r>
      <w:r>
        <w:t>aus di</w:t>
      </w:r>
      <w:r>
        <w:t>e</w:t>
      </w:r>
      <w:r>
        <w:t>ser Beschränkung ergebenden maximalen</w:t>
      </w:r>
      <w:r w:rsidR="00E73F7A">
        <w:t xml:space="preserve"> </w:t>
      </w:r>
      <w:r>
        <w:t>Vollbenutzungsstunden,</w:t>
      </w:r>
    </w:p>
    <w:p w:rsidR="0038031E" w:rsidRDefault="0038031E" w:rsidP="00E73F7A">
      <w:pPr>
        <w:pStyle w:val="GesAbsatz"/>
        <w:ind w:left="426" w:hanging="426"/>
      </w:pPr>
      <w:r>
        <w:t>7.</w:t>
      </w:r>
      <w:r w:rsidR="00E73F7A">
        <w:tab/>
      </w:r>
      <w:r>
        <w:t>den Umfang etwaiger Beschränkungen im Sinne</w:t>
      </w:r>
      <w:r w:rsidR="00E73F7A">
        <w:t xml:space="preserve"> </w:t>
      </w:r>
      <w:r>
        <w:t>von Anhang 4 Abschnitt II Nr. 3 des Zuteilungsgese</w:t>
      </w:r>
      <w:r>
        <w:t>t</w:t>
      </w:r>
      <w:r>
        <w:t>zes</w:t>
      </w:r>
      <w:r w:rsidR="00E73F7A">
        <w:t xml:space="preserve"> </w:t>
      </w:r>
      <w:r>
        <w:t>2012 sowie die sich daraus ergebenden tatsächlichen</w:t>
      </w:r>
      <w:r w:rsidR="00E73F7A">
        <w:t xml:space="preserve"> </w:t>
      </w:r>
      <w:r>
        <w:t>Vollbenutzungsstunden,</w:t>
      </w:r>
    </w:p>
    <w:p w:rsidR="0038031E" w:rsidRDefault="0038031E" w:rsidP="0038031E">
      <w:pPr>
        <w:pStyle w:val="GesAbsatz"/>
      </w:pPr>
      <w:r>
        <w:t>8.</w:t>
      </w:r>
      <w:r w:rsidR="00E73F7A">
        <w:tab/>
      </w:r>
      <w:r>
        <w:t>den Einsatz von Kuppelgasen,</w:t>
      </w:r>
    </w:p>
    <w:p w:rsidR="0038031E" w:rsidRDefault="0038031E" w:rsidP="0038031E">
      <w:pPr>
        <w:pStyle w:val="GesAbsatz"/>
      </w:pPr>
      <w:r>
        <w:t>9.</w:t>
      </w:r>
      <w:r w:rsidR="00E73F7A">
        <w:tab/>
      </w:r>
      <w:r>
        <w:t>das Datum der Inbetriebnahme und</w:t>
      </w:r>
    </w:p>
    <w:p w:rsidR="0038031E" w:rsidRDefault="0038031E" w:rsidP="00E73F7A">
      <w:pPr>
        <w:pStyle w:val="GesAbsatz"/>
        <w:ind w:left="426" w:hanging="426"/>
      </w:pPr>
      <w:r>
        <w:t>10.</w:t>
      </w:r>
      <w:r w:rsidR="00E73F7A">
        <w:tab/>
      </w:r>
      <w:r>
        <w:t>im Fall von § 11 Abs. 5 die Produktionsmengen anderer</w:t>
      </w:r>
      <w:r w:rsidR="00E73F7A">
        <w:t xml:space="preserve"> </w:t>
      </w:r>
      <w:r>
        <w:t>Tätigkeiten, die nicht für die Herstellung der</w:t>
      </w:r>
      <w:r w:rsidR="00E73F7A">
        <w:t xml:space="preserve"> </w:t>
      </w:r>
      <w:r>
        <w:t>Produkte der Haupttätigkeit verwendet werden.</w:t>
      </w:r>
    </w:p>
    <w:p w:rsidR="0038031E" w:rsidRDefault="0038031E" w:rsidP="0023109A">
      <w:pPr>
        <w:pStyle w:val="GesAbsatz"/>
      </w:pPr>
      <w:r>
        <w:t>(2) Bei Kapazitätserweiterungen bestehender Anlagen</w:t>
      </w:r>
      <w:r w:rsidR="00E73F7A">
        <w:t xml:space="preserve"> </w:t>
      </w:r>
      <w:r>
        <w:t>nach Anhang 1 Nr. I bis V 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 w:rsidR="00E73F7A">
        <w:t xml:space="preserve"> </w:t>
      </w:r>
      <w:r>
        <w:t>in den Jahren 2003 bis 2007</w:t>
      </w:r>
      <w:r w:rsidR="00E73F7A">
        <w:t xml:space="preserve"> </w:t>
      </w:r>
      <w:r>
        <w:t>muss der Zuteilungsa</w:t>
      </w:r>
      <w:r>
        <w:t>n</w:t>
      </w:r>
      <w:r>
        <w:lastRenderedPageBreak/>
        <w:t>trag für die Zuteilung von Berechtigungen</w:t>
      </w:r>
      <w:r w:rsidR="00E73F7A">
        <w:t xml:space="preserve"> </w:t>
      </w:r>
      <w:r>
        <w:t>nach § 8 Abs. 2 des Zuteilungsgesetzes</w:t>
      </w:r>
      <w:r w:rsidR="00E73F7A">
        <w:t xml:space="preserve"> </w:t>
      </w:r>
      <w:r>
        <w:t>2012 Angaben enthalten über:</w:t>
      </w:r>
    </w:p>
    <w:p w:rsidR="0038031E" w:rsidRDefault="0038031E" w:rsidP="00E73F7A">
      <w:pPr>
        <w:pStyle w:val="GesAbsatz"/>
        <w:ind w:left="426" w:hanging="426"/>
      </w:pPr>
      <w:r>
        <w:t>1.</w:t>
      </w:r>
      <w:r w:rsidR="00E73F7A">
        <w:tab/>
      </w:r>
      <w:r>
        <w:t>die Produktionsmengen der Anlage einschließlich aller</w:t>
      </w:r>
      <w:r w:rsidR="00E73F7A">
        <w:t xml:space="preserve"> </w:t>
      </w:r>
      <w:r>
        <w:t>nach dem 31. Dezember 2002 erfolgten Kapaz</w:t>
      </w:r>
      <w:r>
        <w:t>i</w:t>
      </w:r>
      <w:r>
        <w:t>tätserweiterungen</w:t>
      </w:r>
      <w:r w:rsidR="00E73F7A">
        <w:t xml:space="preserve"> </w:t>
      </w:r>
      <w:r>
        <w:t>in der nach § 6 Abs. 2 bis 4 des</w:t>
      </w:r>
      <w:r w:rsidR="00E73F7A">
        <w:t xml:space="preserve"> </w:t>
      </w:r>
      <w:r>
        <w:t>Zuteilungsgesetzes 2012 jeweils geltenden Basisp</w:t>
      </w:r>
      <w:r>
        <w:t>e</w:t>
      </w:r>
      <w:r>
        <w:t>riode,</w:t>
      </w:r>
    </w:p>
    <w:p w:rsidR="0038031E" w:rsidRDefault="0038031E" w:rsidP="00E73F7A">
      <w:pPr>
        <w:pStyle w:val="GesAbsatz"/>
        <w:ind w:left="426" w:hanging="426"/>
      </w:pPr>
      <w:r>
        <w:t>2.</w:t>
      </w:r>
      <w:r w:rsidR="00E73F7A">
        <w:tab/>
      </w:r>
      <w:r>
        <w:t>im Fall einer Kapazitätserweiterung zwischen dem</w:t>
      </w:r>
      <w:r w:rsidR="00E73F7A">
        <w:t xml:space="preserve"> </w:t>
      </w:r>
      <w:r>
        <w:t>1. Januar 2003 und 31. Dezember 2005 die Produ</w:t>
      </w:r>
      <w:r>
        <w:t>k</w:t>
      </w:r>
      <w:r>
        <w:t>tionsmengen</w:t>
      </w:r>
      <w:r w:rsidR="00E73F7A">
        <w:t xml:space="preserve"> </w:t>
      </w:r>
      <w:r>
        <w:t>für den Zeitraum des Probebetriebes.</w:t>
      </w:r>
    </w:p>
    <w:p w:rsidR="0038031E" w:rsidRDefault="0038031E" w:rsidP="0038031E">
      <w:pPr>
        <w:pStyle w:val="GesAbsatz"/>
      </w:pPr>
      <w:r>
        <w:t>Im Übrigen gilt für die Kapazitätserweiterung Absatz 1</w:t>
      </w:r>
      <w:r w:rsidR="00E73F7A">
        <w:t xml:space="preserve"> </w:t>
      </w:r>
      <w:r>
        <w:t>und für den vor dem Jahr 2003 in Betrieb genomm</w:t>
      </w:r>
      <w:r>
        <w:t>e</w:t>
      </w:r>
      <w:r>
        <w:t>nen</w:t>
      </w:r>
      <w:r w:rsidR="00E73F7A">
        <w:t xml:space="preserve"> </w:t>
      </w:r>
      <w:r>
        <w:t>Teil der Anlage § 13 entsprechend.</w:t>
      </w:r>
    </w:p>
    <w:p w:rsidR="0038031E" w:rsidRDefault="0038031E" w:rsidP="0023109A">
      <w:pPr>
        <w:pStyle w:val="GesAbsatz"/>
      </w:pPr>
      <w:r>
        <w:t>(3) Bei Kapazitätserweiterungen bestehender Anlagen</w:t>
      </w:r>
      <w:r w:rsidR="00E73F7A">
        <w:t xml:space="preserve"> </w:t>
      </w:r>
      <w:r>
        <w:t>nach Anhang 1 Nr. VI bis XVIII 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>
        <w:t xml:space="preserve"> in den Jahren 2003 bis</w:t>
      </w:r>
      <w:r w:rsidR="00E73F7A">
        <w:t xml:space="preserve"> </w:t>
      </w:r>
      <w:r>
        <w:t>2007 muss der Zuteilungsa</w:t>
      </w:r>
      <w:r>
        <w:t>n</w:t>
      </w:r>
      <w:r>
        <w:t>trag für die Zuteilung von</w:t>
      </w:r>
      <w:r w:rsidR="00E73F7A">
        <w:t xml:space="preserve"> </w:t>
      </w:r>
      <w:r>
        <w:t>Berechtigungen nach § 8 Abs. 2 des Zuteilungsgesetzes</w:t>
      </w:r>
      <w:r w:rsidR="00E73F7A">
        <w:t xml:space="preserve"> </w:t>
      </w:r>
      <w:r>
        <w:t>2012 Angaben enthalten über:</w:t>
      </w:r>
    </w:p>
    <w:p w:rsidR="0038031E" w:rsidRDefault="0038031E" w:rsidP="00E73F7A">
      <w:pPr>
        <w:pStyle w:val="GesAbsatz"/>
        <w:ind w:left="426" w:hanging="426"/>
      </w:pPr>
      <w:r>
        <w:t>1.</w:t>
      </w:r>
      <w:r w:rsidR="00E73F7A">
        <w:tab/>
      </w:r>
      <w:r>
        <w:t>die jährlichen Emissionsmengen der Anlage einschließlich</w:t>
      </w:r>
      <w:r w:rsidR="00E73F7A">
        <w:t xml:space="preserve"> </w:t>
      </w:r>
      <w:r>
        <w:t>aller nach dem 31. Dezember 2002 erfolgten</w:t>
      </w:r>
      <w:r w:rsidR="00E73F7A">
        <w:t xml:space="preserve"> </w:t>
      </w:r>
      <w:r>
        <w:t>Kapazitätserweiterungen in der nach § 6</w:t>
      </w:r>
      <w:r w:rsidR="00E73F7A">
        <w:t xml:space="preserve"> </w:t>
      </w:r>
      <w:r>
        <w:t>Abs. 2 bis 4 des Zuteilungsgesetzes 2012 jeweils</w:t>
      </w:r>
      <w:r w:rsidR="00E73F7A">
        <w:t xml:space="preserve"> </w:t>
      </w:r>
      <w:r>
        <w:t>geltenden Basisperiode,</w:t>
      </w:r>
    </w:p>
    <w:p w:rsidR="0038031E" w:rsidRDefault="0038031E" w:rsidP="00E73F7A">
      <w:pPr>
        <w:pStyle w:val="GesAbsatz"/>
        <w:ind w:left="426" w:hanging="426"/>
      </w:pPr>
      <w:r>
        <w:t>2.</w:t>
      </w:r>
      <w:r w:rsidR="00E73F7A">
        <w:tab/>
      </w:r>
      <w:r>
        <w:t>im Fall einer Kapazitätserweiterung zwischen dem</w:t>
      </w:r>
      <w:r w:rsidR="00E73F7A">
        <w:t xml:space="preserve"> </w:t>
      </w:r>
      <w:r>
        <w:t>1. Januar 2003 und 31. Dezember 2005 die jährl</w:t>
      </w:r>
      <w:r>
        <w:t>i</w:t>
      </w:r>
      <w:r>
        <w:t>chen</w:t>
      </w:r>
      <w:r w:rsidR="00E73F7A">
        <w:t xml:space="preserve"> </w:t>
      </w:r>
      <w:r>
        <w:t>Emissionsmengen für den Zeitraum des Probebetriebes,</w:t>
      </w:r>
    </w:p>
    <w:p w:rsidR="0038031E" w:rsidRDefault="0038031E" w:rsidP="00E73F7A">
      <w:pPr>
        <w:pStyle w:val="GesAbsatz"/>
        <w:ind w:left="426" w:hanging="426"/>
      </w:pPr>
      <w:r>
        <w:t>3.</w:t>
      </w:r>
      <w:r w:rsidR="00E73F7A">
        <w:tab/>
      </w:r>
      <w:r>
        <w:t>bei Herstellung unterschiedlicher Produkte in der</w:t>
      </w:r>
      <w:r w:rsidR="00E73F7A">
        <w:t xml:space="preserve"> </w:t>
      </w:r>
      <w:r>
        <w:t>Anlage den Anteil der Einzelprodukte an der Gesam</w:t>
      </w:r>
      <w:r>
        <w:t>t</w:t>
      </w:r>
      <w:r>
        <w:t>produktionsmenge.</w:t>
      </w:r>
    </w:p>
    <w:p w:rsidR="0038031E" w:rsidRDefault="0038031E" w:rsidP="0038031E">
      <w:pPr>
        <w:pStyle w:val="GesAbsatz"/>
      </w:pPr>
      <w:r>
        <w:t>Im Übrigen gilt für die Kapazitätserweiterung Absatz 1</w:t>
      </w:r>
      <w:r w:rsidR="000F6465">
        <w:t xml:space="preserve"> </w:t>
      </w:r>
      <w:r>
        <w:t>und für den vor dem Jahr 2003 in Betrieb genomm</w:t>
      </w:r>
      <w:r>
        <w:t>e</w:t>
      </w:r>
      <w:r>
        <w:t>nen</w:t>
      </w:r>
      <w:r w:rsidR="000F6465">
        <w:t xml:space="preserve"> </w:t>
      </w:r>
      <w:r>
        <w:t>Teil der Anlage § 12 entsprechend.</w:t>
      </w:r>
    </w:p>
    <w:p w:rsidR="0038031E" w:rsidRDefault="0038031E" w:rsidP="0038031E">
      <w:pPr>
        <w:pStyle w:val="GesAbsatz"/>
      </w:pPr>
      <w:r>
        <w:t>(4) Besteht die Anlage nach § 8 des Zuteilungsgesetzes</w:t>
      </w:r>
      <w:r w:rsidR="000F6465">
        <w:t xml:space="preserve"> </w:t>
      </w:r>
      <w:r>
        <w:t>2012 oder die Kapazitätserweiterung aus mehreren,</w:t>
      </w:r>
      <w:r w:rsidR="000F6465">
        <w:t xml:space="preserve"> </w:t>
      </w:r>
      <w:r>
        <w:t>selbständig genehmigungsbedürftigen Teilanlagen</w:t>
      </w:r>
      <w:r w:rsidR="000F6465">
        <w:t xml:space="preserve"> </w:t>
      </w:r>
      <w:r>
        <w:t>einer gemeinsamen Anlage, so sind die Angaben</w:t>
      </w:r>
      <w:r w:rsidR="000F6465">
        <w:t xml:space="preserve"> </w:t>
      </w:r>
      <w:r>
        <w:t>nach Absatz 1, Absatz 2 Satz 1 Nr. 2 und Absatz 3</w:t>
      </w:r>
      <w:r w:rsidR="000F6465">
        <w:t xml:space="preserve"> </w:t>
      </w:r>
      <w:r>
        <w:t>Satz 1 Nr. 2 für jede Teilanlage gesondert zu machen,</w:t>
      </w:r>
      <w:r w:rsidR="000F6465">
        <w:t xml:space="preserve"> </w:t>
      </w:r>
      <w:r>
        <w:t>sofern den Teilanlagen unterschiedliche Emissionswerte</w:t>
      </w:r>
      <w:r w:rsidR="000F6465">
        <w:t xml:space="preserve"> </w:t>
      </w:r>
      <w:r>
        <w:t>nach Anhang 3 des Zuteilungsgesetz 2012 oder</w:t>
      </w:r>
      <w:r w:rsidR="000F6465">
        <w:t xml:space="preserve"> </w:t>
      </w:r>
      <w:r>
        <w:t>unte</w:t>
      </w:r>
      <w:r>
        <w:t>r</w:t>
      </w:r>
      <w:r>
        <w:t>schiedliche Vollbenutzungsstunden nach Anhang 4</w:t>
      </w:r>
      <w:r w:rsidR="000F6465">
        <w:t xml:space="preserve"> </w:t>
      </w:r>
      <w:r>
        <w:t>des Zuteilungsgesetzes 2012 zuzuordnen sind.</w:t>
      </w:r>
    </w:p>
    <w:p w:rsidR="0038031E" w:rsidRDefault="0038031E" w:rsidP="000F6465">
      <w:pPr>
        <w:pStyle w:val="berschrift3"/>
      </w:pPr>
      <w:bookmarkStart w:id="19" w:name="_Toc401645588"/>
      <w:r>
        <w:t>§ 15</w:t>
      </w:r>
      <w:r w:rsidR="000F6465">
        <w:br/>
      </w:r>
      <w:r>
        <w:t>Zuteilungen für Neuanlagen</w:t>
      </w:r>
      <w:bookmarkEnd w:id="19"/>
    </w:p>
    <w:p w:rsidR="0038031E" w:rsidRDefault="0038031E" w:rsidP="0038031E">
      <w:pPr>
        <w:pStyle w:val="GesAbsatz"/>
      </w:pPr>
      <w:r>
        <w:t>(1) Für die Zuteilung von Berechtigungen nach § 9</w:t>
      </w:r>
      <w:r w:rsidR="000F6465">
        <w:t xml:space="preserve"> </w:t>
      </w:r>
      <w:r>
        <w:t>Abs. 1 des Zuteilungsgesetzes 2012 muss der Zute</w:t>
      </w:r>
      <w:r>
        <w:t>i</w:t>
      </w:r>
      <w:r>
        <w:t>lungsantrag</w:t>
      </w:r>
      <w:r w:rsidR="000F6465">
        <w:t xml:space="preserve"> </w:t>
      </w:r>
      <w:r>
        <w:t>Angaben enthalten über:</w:t>
      </w:r>
    </w:p>
    <w:p w:rsidR="0038031E" w:rsidRDefault="0038031E" w:rsidP="000F6465">
      <w:pPr>
        <w:pStyle w:val="GesAbsatz"/>
        <w:ind w:left="426" w:hanging="426"/>
      </w:pPr>
      <w:r>
        <w:t>1.</w:t>
      </w:r>
      <w:r w:rsidR="000F6465">
        <w:tab/>
      </w:r>
      <w:r>
        <w:t>die Kapazität der Anlage oder im Fall von § 9 Abs. 5</w:t>
      </w:r>
      <w:r w:rsidR="000F6465">
        <w:t xml:space="preserve"> </w:t>
      </w:r>
      <w:r>
        <w:t>des Zuteilungsgesetzes 2012 der Kapazitätserwe</w:t>
      </w:r>
      <w:r>
        <w:t>i</w:t>
      </w:r>
      <w:r>
        <w:t>terung,</w:t>
      </w:r>
    </w:p>
    <w:p w:rsidR="0038031E" w:rsidRDefault="0038031E" w:rsidP="0038031E">
      <w:pPr>
        <w:pStyle w:val="GesAbsatz"/>
      </w:pPr>
      <w:r>
        <w:t>2.</w:t>
      </w:r>
      <w:r w:rsidR="000F6465">
        <w:tab/>
      </w:r>
      <w:r>
        <w:t>den Emissionswert je Produkteinheit,</w:t>
      </w:r>
    </w:p>
    <w:p w:rsidR="0038031E" w:rsidRDefault="0038031E" w:rsidP="0023109A">
      <w:pPr>
        <w:pStyle w:val="GesAbsatz"/>
        <w:ind w:left="426" w:hanging="426"/>
      </w:pPr>
      <w:r>
        <w:t>3.</w:t>
      </w:r>
      <w:r w:rsidR="000F6465">
        <w:tab/>
      </w:r>
      <w:r>
        <w:t>bei Anlagen nach Anhang 1 Nr. I bis V des Treibhausgas-Emissionshandelsgesetzes</w:t>
      </w:r>
      <w:r w:rsidR="0023109A">
        <w:t xml:space="preserve"> vom 8. Juli 2004 (BGBl. I S. 1578), das zuletzt durch Artikel 9 des Gesetzes vom 11. August 2010 (BGBl. I S. 1163) g</w:t>
      </w:r>
      <w:r w:rsidR="0023109A">
        <w:t>e</w:t>
      </w:r>
      <w:r w:rsidR="0023109A">
        <w:t>ändert worden ist,</w:t>
      </w:r>
      <w:r>
        <w:t xml:space="preserve"> die nach der</w:t>
      </w:r>
      <w:r w:rsidR="000F6465">
        <w:t xml:space="preserve"> </w:t>
      </w:r>
      <w:r>
        <w:t>immissionsschutzrechtlichen Genehmigung einsetzbaren</w:t>
      </w:r>
      <w:r w:rsidR="000F6465">
        <w:t xml:space="preserve"> </w:t>
      </w:r>
      <w:r>
        <w:t>Brennstoffe sowie deren maximal mögliche</w:t>
      </w:r>
      <w:r w:rsidR="000F6465">
        <w:t xml:space="preserve"> </w:t>
      </w:r>
      <w:r>
        <w:t>Aktivitätsraten,</w:t>
      </w:r>
    </w:p>
    <w:p w:rsidR="0038031E" w:rsidRDefault="0038031E" w:rsidP="0023109A">
      <w:pPr>
        <w:pStyle w:val="GesAbsatz"/>
        <w:ind w:left="426" w:hanging="426"/>
      </w:pPr>
      <w:r>
        <w:t>4.</w:t>
      </w:r>
      <w:r w:rsidR="000F6465">
        <w:tab/>
      </w:r>
      <w:r>
        <w:t>bei Anlagen nach Anhang 1 Nr. VI bis XVIII des</w:t>
      </w:r>
      <w:r w:rsidR="000F6465">
        <w:t xml:space="preserve"> </w:t>
      </w:r>
      <w:r>
        <w:t>Treibhausgas-Emissionshandelsgesetzes</w:t>
      </w:r>
      <w:r w:rsidR="0023109A">
        <w:t xml:space="preserve"> vom 8. Juli 2004 (BGBl. I S. 1578), das zuletzt durch Artikel 9 des Gesetzes vom 11. August 2010 (BGBl. I S. 1163) geändert worden ist,</w:t>
      </w:r>
      <w:r>
        <w:t xml:space="preserve"> soweit</w:t>
      </w:r>
      <w:r w:rsidR="000F6465">
        <w:t xml:space="preserve"> </w:t>
      </w:r>
      <w:r>
        <w:t>für deren Produkte in Anhang 3 des Zuteilungsgesetzes</w:t>
      </w:r>
      <w:r w:rsidR="000F6465">
        <w:t xml:space="preserve"> </w:t>
      </w:r>
      <w:r>
        <w:t>2012 ke</w:t>
      </w:r>
      <w:r>
        <w:t>i</w:t>
      </w:r>
      <w:r>
        <w:t>ne Emissionswerte festgelegt sind,</w:t>
      </w:r>
      <w:r w:rsidR="000F6465">
        <w:t xml:space="preserve"> </w:t>
      </w:r>
      <w:r>
        <w:t>die nach der immissionsschutzrechtlichen Genehmigung</w:t>
      </w:r>
      <w:r w:rsidR="000F6465">
        <w:t xml:space="preserve"> </w:t>
      </w:r>
      <w:r>
        <w:t>einsetzb</w:t>
      </w:r>
      <w:r>
        <w:t>a</w:t>
      </w:r>
      <w:r>
        <w:t>ren Brennstoffe und deren maximal</w:t>
      </w:r>
      <w:r w:rsidR="000F6465">
        <w:t xml:space="preserve"> </w:t>
      </w:r>
      <w:r>
        <w:t>mögliche Aktivitätsraten sowie die einsetzbaren</w:t>
      </w:r>
      <w:r w:rsidR="000F6465">
        <w:t xml:space="preserve"> </w:t>
      </w:r>
      <w:r>
        <w:t>Rohstoffe und d</w:t>
      </w:r>
      <w:r>
        <w:t>e</w:t>
      </w:r>
      <w:r>
        <w:t>ren maximal mögliche Aktivitätsraten,</w:t>
      </w:r>
    </w:p>
    <w:p w:rsidR="0038031E" w:rsidRDefault="0038031E" w:rsidP="0038031E">
      <w:pPr>
        <w:pStyle w:val="GesAbsatz"/>
      </w:pPr>
      <w:r>
        <w:t>5.</w:t>
      </w:r>
      <w:r w:rsidR="000F6465">
        <w:tab/>
      </w:r>
      <w:r>
        <w:t>die maßgebliche Tätigkeit nach Anhang 4 Abschnitt</w:t>
      </w:r>
      <w:r w:rsidR="000F6465">
        <w:t xml:space="preserve"> </w:t>
      </w:r>
      <w:r>
        <w:t>I des Zuteilungsgesetzes 2012,</w:t>
      </w:r>
    </w:p>
    <w:p w:rsidR="0038031E" w:rsidRDefault="0038031E" w:rsidP="000F6465">
      <w:pPr>
        <w:pStyle w:val="GesAbsatz"/>
        <w:ind w:left="426" w:hanging="426"/>
      </w:pPr>
      <w:r>
        <w:t>6.</w:t>
      </w:r>
      <w:r w:rsidR="000F6465">
        <w:tab/>
      </w:r>
      <w:r>
        <w:t>im Fall einer Beschränkung der immissionsschutzrechtlich</w:t>
      </w:r>
      <w:r w:rsidR="000F6465">
        <w:t xml:space="preserve"> </w:t>
      </w:r>
      <w:r>
        <w:t>genehmigten maximalen Vollbenutzung</w:t>
      </w:r>
      <w:r>
        <w:t>s</w:t>
      </w:r>
      <w:r>
        <w:t>stunden</w:t>
      </w:r>
      <w:r w:rsidR="000F6465">
        <w:t xml:space="preserve"> </w:t>
      </w:r>
      <w:r>
        <w:t>oder einer produktionsbezogenen Beschränkung</w:t>
      </w:r>
      <w:r w:rsidR="000F6465">
        <w:t xml:space="preserve"> </w:t>
      </w:r>
      <w:r>
        <w:t>der genehmigten Kapazität die sich</w:t>
      </w:r>
      <w:r w:rsidR="000F6465">
        <w:t xml:space="preserve"> </w:t>
      </w:r>
      <w:r>
        <w:t>aus di</w:t>
      </w:r>
      <w:r>
        <w:t>e</w:t>
      </w:r>
      <w:r>
        <w:t>ser Beschränkung ergebenden maximalen</w:t>
      </w:r>
      <w:r w:rsidR="000F6465">
        <w:t xml:space="preserve"> </w:t>
      </w:r>
      <w:r>
        <w:t>Vollbenutzungsstunden,</w:t>
      </w:r>
    </w:p>
    <w:p w:rsidR="0038031E" w:rsidRDefault="0038031E" w:rsidP="000F6465">
      <w:pPr>
        <w:pStyle w:val="GesAbsatz"/>
        <w:ind w:left="426" w:hanging="426"/>
      </w:pPr>
      <w:r>
        <w:t>7.</w:t>
      </w:r>
      <w:r w:rsidR="000F6465">
        <w:tab/>
      </w:r>
      <w:r>
        <w:t>den Umfang etwaiger Beschränkungen im Sinne</w:t>
      </w:r>
      <w:r w:rsidR="000F6465">
        <w:t xml:space="preserve"> </w:t>
      </w:r>
      <w:r>
        <w:t>von Anhang 4 Abschnitt II Nr. 3 des Zuteilungsgese</w:t>
      </w:r>
      <w:r>
        <w:t>t</w:t>
      </w:r>
      <w:r>
        <w:t>zes</w:t>
      </w:r>
      <w:r w:rsidR="000F6465">
        <w:t xml:space="preserve"> </w:t>
      </w:r>
      <w:r>
        <w:t>2012 sowie die sich daraus ergebenden tatsächlichen</w:t>
      </w:r>
      <w:r w:rsidR="000F6465">
        <w:t xml:space="preserve"> </w:t>
      </w:r>
      <w:r>
        <w:t>Vollbenutzungsstunden,</w:t>
      </w:r>
    </w:p>
    <w:p w:rsidR="0038031E" w:rsidRDefault="0038031E" w:rsidP="0038031E">
      <w:pPr>
        <w:pStyle w:val="GesAbsatz"/>
      </w:pPr>
      <w:r>
        <w:t>8.</w:t>
      </w:r>
      <w:r w:rsidR="000F6465">
        <w:tab/>
      </w:r>
      <w:r>
        <w:t>den Einsatz von Kuppelgasen,</w:t>
      </w:r>
    </w:p>
    <w:p w:rsidR="0038031E" w:rsidRDefault="0038031E" w:rsidP="0038031E">
      <w:pPr>
        <w:pStyle w:val="GesAbsatz"/>
      </w:pPr>
      <w:r>
        <w:t>9.</w:t>
      </w:r>
      <w:r w:rsidR="000F6465">
        <w:tab/>
      </w:r>
      <w:r>
        <w:t>das Datum der Aufnahme des Probebetriebes und</w:t>
      </w:r>
      <w:r w:rsidR="000F6465">
        <w:t xml:space="preserve"> </w:t>
      </w:r>
      <w:r>
        <w:t>das Datum der Inbetriebnahme,</w:t>
      </w:r>
    </w:p>
    <w:p w:rsidR="0038031E" w:rsidRDefault="0038031E" w:rsidP="0038031E">
      <w:pPr>
        <w:pStyle w:val="GesAbsatz"/>
      </w:pPr>
      <w:r>
        <w:lastRenderedPageBreak/>
        <w:t>10.</w:t>
      </w:r>
      <w:r w:rsidR="000F6465">
        <w:tab/>
      </w:r>
      <w:r>
        <w:t>die während des Probebetriebes hergestellten Produkteinheiten</w:t>
      </w:r>
      <w:r w:rsidR="000F6465">
        <w:t xml:space="preserve"> </w:t>
      </w:r>
      <w:r>
        <w:t>und</w:t>
      </w:r>
    </w:p>
    <w:p w:rsidR="0038031E" w:rsidRDefault="0038031E" w:rsidP="000F6465">
      <w:pPr>
        <w:pStyle w:val="GesAbsatz"/>
        <w:ind w:left="426" w:hanging="426"/>
      </w:pPr>
      <w:r>
        <w:t>11.</w:t>
      </w:r>
      <w:r w:rsidR="000F6465">
        <w:tab/>
      </w:r>
      <w:r>
        <w:t>im Fall von § 11 Abs. 5 die Produktionsmengen anderer</w:t>
      </w:r>
      <w:r w:rsidR="000F6465">
        <w:t xml:space="preserve"> </w:t>
      </w:r>
      <w:r>
        <w:t>Tätigkeiten, die nicht für die Herstellung der</w:t>
      </w:r>
      <w:r w:rsidR="000F6465">
        <w:t xml:space="preserve"> </w:t>
      </w:r>
      <w:r>
        <w:t>Produkte der Haupttätigkeit verwendet werden.</w:t>
      </w:r>
    </w:p>
    <w:p w:rsidR="0038031E" w:rsidRDefault="0038031E" w:rsidP="0023109A">
      <w:pPr>
        <w:pStyle w:val="GesAbsatz"/>
      </w:pPr>
      <w:r>
        <w:t>(2) Für die Zuteilung von Berechtigungen nach § 9</w:t>
      </w:r>
      <w:r w:rsidR="00C95F53">
        <w:t xml:space="preserve"> </w:t>
      </w:r>
      <w:r>
        <w:t>Abs. 1 des Zuteilungsgesetzes 2012 muss der Zute</w:t>
      </w:r>
      <w:r>
        <w:t>i</w:t>
      </w:r>
      <w:r>
        <w:t>lungsantrag</w:t>
      </w:r>
      <w:r w:rsidR="00C95F53">
        <w:t xml:space="preserve"> </w:t>
      </w:r>
      <w:r>
        <w:t>für Anlagen nach Anhang 1 Nr. VI bis XVIII</w:t>
      </w:r>
      <w:r w:rsidR="00C95F53">
        <w:t xml:space="preserve"> </w:t>
      </w:r>
      <w:r>
        <w:t>des Treibhausgas-Emissionshandelsgesetzes</w:t>
      </w:r>
      <w:r w:rsidR="0023109A">
        <w:t xml:space="preserve"> vom 8. Juli 2004 (BGBl. I S. 1578), das zuletzt durch Artikel 9 des Gesetzes vom 11. August 2010 (BGBl. I S. 1163) geändert worden ist,</w:t>
      </w:r>
      <w:r>
        <w:t xml:space="preserve"> bei Herstellung</w:t>
      </w:r>
      <w:r w:rsidR="00C95F53">
        <w:t xml:space="preserve"> </w:t>
      </w:r>
      <w:r>
        <w:t>unterschiedlicher Produkte in der Anlage Angaben</w:t>
      </w:r>
      <w:r w:rsidR="00C95F53">
        <w:t xml:space="preserve"> </w:t>
      </w:r>
      <w:r>
        <w:t>enthalten über den Anteil der Einzelprodukte an</w:t>
      </w:r>
      <w:r w:rsidR="00C95F53">
        <w:t xml:space="preserve"> </w:t>
      </w:r>
      <w:r>
        <w:t>der Gesamtproduktionsmenge.</w:t>
      </w:r>
    </w:p>
    <w:p w:rsidR="0038031E" w:rsidRDefault="0038031E" w:rsidP="0038031E">
      <w:pPr>
        <w:pStyle w:val="GesAbsatz"/>
      </w:pPr>
      <w:r>
        <w:t>(3) Besteht die Neuanlage oder die Kapazitätserweiterung</w:t>
      </w:r>
      <w:r w:rsidR="00C95F53">
        <w:t xml:space="preserve"> </w:t>
      </w:r>
      <w:r>
        <w:t>aus mehreren, selbständig genehmigungsbedür</w:t>
      </w:r>
      <w:r>
        <w:t>f</w:t>
      </w:r>
      <w:r>
        <w:t>tigen</w:t>
      </w:r>
      <w:r w:rsidR="00C95F53">
        <w:t xml:space="preserve"> </w:t>
      </w:r>
      <w:r>
        <w:t>Teilanlagen einer gemeinsamen Anlage, so</w:t>
      </w:r>
      <w:r w:rsidR="00C95F53">
        <w:t xml:space="preserve"> </w:t>
      </w:r>
      <w:r>
        <w:t>sind die Angaben nach den vorstehenden Absätzen</w:t>
      </w:r>
      <w:r w:rsidR="00C95F53">
        <w:t xml:space="preserve"> </w:t>
      </w:r>
      <w:r>
        <w:t>für jede Teilanlage gesondert zu machen, sofern den</w:t>
      </w:r>
      <w:r w:rsidR="00C95F53">
        <w:t xml:space="preserve"> </w:t>
      </w:r>
      <w:r>
        <w:t>Teilanlagen unterschiedliche Emissionswerte nach A</w:t>
      </w:r>
      <w:r>
        <w:t>n</w:t>
      </w:r>
      <w:r>
        <w:t>hang</w:t>
      </w:r>
      <w:r w:rsidR="00C95F53">
        <w:t> </w:t>
      </w:r>
      <w:r>
        <w:t>3 des Zuteilung</w:t>
      </w:r>
      <w:r w:rsidR="00C95F53">
        <w:t>sgesetzes 2012 oder unterschied</w:t>
      </w:r>
      <w:r>
        <w:t>liche Vollbenutzungsstunden nach Anhang 4 des Z</w:t>
      </w:r>
      <w:r>
        <w:t>u</w:t>
      </w:r>
      <w:r>
        <w:t>teilungsgesetzes</w:t>
      </w:r>
      <w:r w:rsidR="00C95F53">
        <w:t xml:space="preserve"> </w:t>
      </w:r>
      <w:r>
        <w:t>2012 zuzuordnen sind.</w:t>
      </w:r>
    </w:p>
    <w:p w:rsidR="0038031E" w:rsidRDefault="0038031E" w:rsidP="00C95F53">
      <w:pPr>
        <w:pStyle w:val="berschrift3"/>
      </w:pPr>
      <w:bookmarkStart w:id="20" w:name="_Toc401645589"/>
      <w:r>
        <w:t>§ 16</w:t>
      </w:r>
      <w:r w:rsidR="00C95F53">
        <w:br/>
      </w:r>
      <w:r>
        <w:t>Zuteilung nach § 10 Abs. 6</w:t>
      </w:r>
      <w:r w:rsidR="00C95F53">
        <w:t xml:space="preserve"> </w:t>
      </w:r>
      <w:r>
        <w:t>des Zuteilungsgesetzes 2012</w:t>
      </w:r>
      <w:bookmarkEnd w:id="20"/>
    </w:p>
    <w:p w:rsidR="0038031E" w:rsidRDefault="0038031E" w:rsidP="0038031E">
      <w:pPr>
        <w:pStyle w:val="GesAbsatz"/>
      </w:pPr>
      <w:r>
        <w:t>(1) Die Mehrproduktion errechnet sich aus der Differenz</w:t>
      </w:r>
      <w:r w:rsidR="00C95F53">
        <w:t xml:space="preserve"> </w:t>
      </w:r>
      <w:r>
        <w:t>der Produktionsmengen der übernehmenden Anl</w:t>
      </w:r>
      <w:r>
        <w:t>a</w:t>
      </w:r>
      <w:r>
        <w:t>ge</w:t>
      </w:r>
      <w:r w:rsidR="00C95F53">
        <w:t xml:space="preserve"> </w:t>
      </w:r>
      <w:r>
        <w:t>für das Betriebsjahr ab Produktionsübernahme</w:t>
      </w:r>
      <w:r w:rsidR="00C95F53">
        <w:t xml:space="preserve"> </w:t>
      </w:r>
      <w:r>
        <w:t>nach § 9 Abs. 4 des Zuteilungsgesetzes 2007 und der</w:t>
      </w:r>
      <w:r w:rsidR="00C95F53">
        <w:t xml:space="preserve"> </w:t>
      </w:r>
      <w:r>
        <w:t>Produktionsmenge der übernehmenden Anlage aus</w:t>
      </w:r>
      <w:r w:rsidR="00C95F53">
        <w:t xml:space="preserve"> </w:t>
      </w:r>
      <w:r>
        <w:t>dem letzten Kalenderjahr vor einer Produktionsübe</w:t>
      </w:r>
      <w:r>
        <w:t>r</w:t>
      </w:r>
      <w:r>
        <w:t>nahme.</w:t>
      </w:r>
      <w:r w:rsidR="00C95F53">
        <w:t xml:space="preserve"> </w:t>
      </w:r>
      <w:r>
        <w:t>Die Mehrproduktion ist beschränkt auf die Produktionsmenge</w:t>
      </w:r>
      <w:r w:rsidR="00C95F53">
        <w:t xml:space="preserve"> </w:t>
      </w:r>
      <w:r>
        <w:t>der stillgelegten Anlage im Kalende</w:t>
      </w:r>
      <w:r>
        <w:t>r</w:t>
      </w:r>
      <w:r>
        <w:t>jahr</w:t>
      </w:r>
      <w:r w:rsidR="00C95F53">
        <w:t xml:space="preserve"> </w:t>
      </w:r>
      <w:r>
        <w:t>vor der Produktionsübernahme.</w:t>
      </w:r>
    </w:p>
    <w:p w:rsidR="0038031E" w:rsidRDefault="0038031E" w:rsidP="0038031E">
      <w:pPr>
        <w:pStyle w:val="GesAbsatz"/>
      </w:pPr>
      <w:r>
        <w:t>(2) Erfolgt die Produktionsübernahme weniger als</w:t>
      </w:r>
      <w:r w:rsidR="00C95F53">
        <w:t xml:space="preserve"> </w:t>
      </w:r>
      <w:r>
        <w:t>ein Betriebsjahr vor Ablauf der Frist nach § 14 Abs. 1</w:t>
      </w:r>
      <w:r w:rsidR="00C95F53">
        <w:t xml:space="preserve"> </w:t>
      </w:r>
      <w:r>
        <w:t>des Zuteilungsgesetzes 2012, hat der Betreiber zur Ermittlung</w:t>
      </w:r>
      <w:r w:rsidR="00C95F53">
        <w:t xml:space="preserve"> </w:t>
      </w:r>
      <w:r>
        <w:t>der Differenz der Produktionsmengen die Produ</w:t>
      </w:r>
      <w:r>
        <w:t>k</w:t>
      </w:r>
      <w:r>
        <w:t>tion</w:t>
      </w:r>
      <w:r w:rsidR="00C95F53">
        <w:t xml:space="preserve"> </w:t>
      </w:r>
      <w:r>
        <w:t>seit dem Zeitpunkt der Produktionsübernahme</w:t>
      </w:r>
      <w:r w:rsidR="00C95F53">
        <w:t xml:space="preserve"> </w:t>
      </w:r>
      <w:r>
        <w:t>nach Anhang 8 der Zuteilungsverordnung 2007 auf ein</w:t>
      </w:r>
      <w:r w:rsidR="00C95F53">
        <w:t xml:space="preserve"> </w:t>
      </w:r>
      <w:r>
        <w:t>volles Betriebsjahr hochzurechnen.</w:t>
      </w:r>
    </w:p>
    <w:p w:rsidR="0038031E" w:rsidRDefault="0038031E" w:rsidP="0038031E">
      <w:pPr>
        <w:pStyle w:val="GesAbsatz"/>
      </w:pPr>
      <w:r>
        <w:t>(3) Der Zuteilungsantrag für die übernehmende Anlage</w:t>
      </w:r>
      <w:r w:rsidR="00C95F53">
        <w:t xml:space="preserve"> </w:t>
      </w:r>
      <w:r>
        <w:t>muss Angaben enthalten über</w:t>
      </w:r>
    </w:p>
    <w:p w:rsidR="0038031E" w:rsidRDefault="0038031E" w:rsidP="0038031E">
      <w:pPr>
        <w:pStyle w:val="GesAbsatz"/>
      </w:pPr>
      <w:r>
        <w:t>1.</w:t>
      </w:r>
      <w:r w:rsidR="00C95F53">
        <w:tab/>
      </w:r>
      <w:r>
        <w:t>den Emissionswert je Produkteinheit für jedes übernommene</w:t>
      </w:r>
      <w:r w:rsidR="00C95F53">
        <w:t xml:space="preserve"> </w:t>
      </w:r>
      <w:r>
        <w:t>Produkt,</w:t>
      </w:r>
    </w:p>
    <w:p w:rsidR="0038031E" w:rsidRDefault="0038031E" w:rsidP="0038031E">
      <w:pPr>
        <w:pStyle w:val="GesAbsatz"/>
      </w:pPr>
      <w:r>
        <w:t>2.</w:t>
      </w:r>
      <w:r w:rsidR="00C95F53">
        <w:tab/>
      </w:r>
      <w:r>
        <w:t>das Datum der Produktionsübernahme,</w:t>
      </w:r>
    </w:p>
    <w:p w:rsidR="0038031E" w:rsidRDefault="0038031E" w:rsidP="0038031E">
      <w:pPr>
        <w:pStyle w:val="GesAbsatz"/>
      </w:pPr>
      <w:r>
        <w:t>3.</w:t>
      </w:r>
      <w:r w:rsidR="00C95F53">
        <w:tab/>
      </w:r>
      <w:r>
        <w:t>das Aktenzeichen der zuständigen Behörde für die</w:t>
      </w:r>
      <w:r w:rsidR="00C95F53">
        <w:t xml:space="preserve"> </w:t>
      </w:r>
      <w:r>
        <w:t>Anlage, deren Betrieb eingestellt worden ist,</w:t>
      </w:r>
    </w:p>
    <w:p w:rsidR="0038031E" w:rsidRDefault="0038031E" w:rsidP="0038031E">
      <w:pPr>
        <w:pStyle w:val="GesAbsatz"/>
      </w:pPr>
      <w:r>
        <w:t>4.</w:t>
      </w:r>
      <w:r w:rsidR="00C95F53">
        <w:tab/>
      </w:r>
      <w:r>
        <w:t>die Produktionsmengen für das letzte Kalenderjahr</w:t>
      </w:r>
      <w:r w:rsidR="00C95F53">
        <w:t xml:space="preserve"> </w:t>
      </w:r>
      <w:r>
        <w:t>vor dem Jahr der Produktionsübernahme,</w:t>
      </w:r>
    </w:p>
    <w:p w:rsidR="0038031E" w:rsidRDefault="0038031E" w:rsidP="0038031E">
      <w:pPr>
        <w:pStyle w:val="GesAbsatz"/>
      </w:pPr>
      <w:r>
        <w:t>5.</w:t>
      </w:r>
      <w:r w:rsidR="00C95F53">
        <w:tab/>
      </w:r>
      <w:r>
        <w:t>die Produktionsmengen für das Betriebsjahr nach</w:t>
      </w:r>
      <w:r w:rsidR="00C95F53">
        <w:t xml:space="preserve"> </w:t>
      </w:r>
      <w:r>
        <w:t>Produktionsübernahme und</w:t>
      </w:r>
    </w:p>
    <w:p w:rsidR="0038031E" w:rsidRDefault="0038031E" w:rsidP="00C95F53">
      <w:pPr>
        <w:pStyle w:val="GesAbsatz"/>
        <w:ind w:left="426" w:hanging="426"/>
      </w:pPr>
      <w:r>
        <w:t>6.</w:t>
      </w:r>
      <w:r w:rsidR="00C95F53">
        <w:tab/>
      </w:r>
      <w:r>
        <w:t>die Produktionsmengen aller von dem Betreiber betriebenen,</w:t>
      </w:r>
      <w:r w:rsidR="00C95F53">
        <w:t xml:space="preserve"> </w:t>
      </w:r>
      <w:r>
        <w:t>der übernehmenden Anlage vergleichb</w:t>
      </w:r>
      <w:r>
        <w:t>a</w:t>
      </w:r>
      <w:r>
        <w:t>ren</w:t>
      </w:r>
      <w:r w:rsidR="00C95F53">
        <w:t xml:space="preserve"> </w:t>
      </w:r>
      <w:r>
        <w:t>Anlagen im Sinne von Anhang 2 des Zuteilungsgesetzes</w:t>
      </w:r>
      <w:r w:rsidR="00C95F53">
        <w:t xml:space="preserve"> </w:t>
      </w:r>
      <w:r>
        <w:t>2012 für das nach Nummer 5 maßgebliche</w:t>
      </w:r>
      <w:r w:rsidR="00C95F53">
        <w:t xml:space="preserve"> </w:t>
      </w:r>
      <w:r>
        <w:t>Betriebsjahr und</w:t>
      </w:r>
    </w:p>
    <w:p w:rsidR="0038031E" w:rsidRDefault="0038031E" w:rsidP="0038031E">
      <w:pPr>
        <w:pStyle w:val="GesAbsatz"/>
      </w:pPr>
      <w:r>
        <w:t>7.</w:t>
      </w:r>
      <w:r w:rsidR="00C95F53">
        <w:tab/>
      </w:r>
      <w:r>
        <w:t>die Mehrproduktion je Betriebsjahr.</w:t>
      </w:r>
    </w:p>
    <w:p w:rsidR="0038031E" w:rsidRDefault="0038031E" w:rsidP="00C95F53">
      <w:pPr>
        <w:pStyle w:val="berschrift3"/>
      </w:pPr>
      <w:bookmarkStart w:id="21" w:name="_Toc401645590"/>
      <w:r>
        <w:t>§ 17</w:t>
      </w:r>
      <w:r w:rsidR="00C95F53">
        <w:br/>
      </w:r>
      <w:r>
        <w:t>Bestimmung des Effizienzstandards</w:t>
      </w:r>
      <w:bookmarkEnd w:id="21"/>
    </w:p>
    <w:p w:rsidR="0038031E" w:rsidRDefault="0038031E" w:rsidP="0023109A">
      <w:pPr>
        <w:pStyle w:val="GesAbsatz"/>
      </w:pPr>
      <w:r>
        <w:t>(1) Der Zuteilungsantrag muss bei Anlagen nach Anhang</w:t>
      </w:r>
      <w:r w:rsidR="00C95F53">
        <w:t xml:space="preserve"> </w:t>
      </w:r>
      <w:r>
        <w:t>1 Nr. I bis V des Treibhausgas-Emissions</w:t>
      </w:r>
      <w:r w:rsidR="00C95F53">
        <w:softHyphen/>
      </w:r>
      <w:r>
        <w:t>handelsgesetzes</w:t>
      </w:r>
      <w:r w:rsidR="0023109A">
        <w:t xml:space="preserve"> vom 8. Juli 2004 (BGBl. I S. 1578), das zuletzt durch Artikel 9 des Gesetzes vom 11. A</w:t>
      </w:r>
      <w:r w:rsidR="0023109A">
        <w:t>u</w:t>
      </w:r>
      <w:r w:rsidR="0023109A">
        <w:t>gust 2010 (BGBl. I S. 1163) geändert worden ist,</w:t>
      </w:r>
      <w:r w:rsidR="00C95F53">
        <w:t xml:space="preserve"> </w:t>
      </w:r>
      <w:r>
        <w:t>im Fall der Inbetriebnahme im Jahr 2005 Angaben</w:t>
      </w:r>
      <w:r w:rsidR="00C95F53">
        <w:t xml:space="preserve"> </w:t>
      </w:r>
      <w:r>
        <w:t>entha</w:t>
      </w:r>
      <w:r>
        <w:t>l</w:t>
      </w:r>
      <w:r>
        <w:t>ten über die Produktionsmenge des Jahres</w:t>
      </w:r>
      <w:r w:rsidR="00C95F53">
        <w:t xml:space="preserve"> </w:t>
      </w:r>
      <w:r>
        <w:t>2006 sowie für Anlagen mit Inbetriebnahme ab dem</w:t>
      </w:r>
      <w:r w:rsidR="00C95F53">
        <w:t xml:space="preserve"> </w:t>
      </w:r>
      <w:r>
        <w:t>1.</w:t>
      </w:r>
      <w:r w:rsidR="00C95F53">
        <w:t xml:space="preserve"> </w:t>
      </w:r>
      <w:r>
        <w:t>Januar 2006 Angaben über die prognostizierten Produktionsmengen</w:t>
      </w:r>
      <w:r w:rsidR="00C95F53">
        <w:t xml:space="preserve"> </w:t>
      </w:r>
      <w:r>
        <w:t>und Emissionen für das nach Anhang</w:t>
      </w:r>
      <w:r w:rsidR="00C95F53">
        <w:t xml:space="preserve"> </w:t>
      </w:r>
      <w:r>
        <w:t>5 Nr. 3 des Zuteilungsgesetzes 2012 maßgebliche</w:t>
      </w:r>
      <w:r w:rsidR="00C95F53">
        <w:t xml:space="preserve"> </w:t>
      </w:r>
      <w:r>
        <w:t>Referenzjahr.</w:t>
      </w:r>
    </w:p>
    <w:p w:rsidR="0038031E" w:rsidRDefault="0038031E" w:rsidP="0038031E">
      <w:pPr>
        <w:pStyle w:val="GesAbsatz"/>
      </w:pPr>
      <w:r>
        <w:t>(2) Die Produktstandards für gasförmige Brennstoffe</w:t>
      </w:r>
      <w:r w:rsidR="00C95F53">
        <w:t xml:space="preserve"> </w:t>
      </w:r>
      <w:r>
        <w:t>nach Anhang 5 Nr. 2 des Zuteilungsgesetzes 2012 gelten</w:t>
      </w:r>
      <w:r w:rsidR="00C95F53">
        <w:t xml:space="preserve"> </w:t>
      </w:r>
      <w:r>
        <w:t>nicht für die Verwendung von Synthesegas aus</w:t>
      </w:r>
      <w:r w:rsidR="00C95F53">
        <w:t xml:space="preserve"> </w:t>
      </w:r>
      <w:r>
        <w:t>Kohlevergasung.</w:t>
      </w:r>
    </w:p>
    <w:p w:rsidR="0038031E" w:rsidRDefault="0038031E" w:rsidP="00C95F53">
      <w:pPr>
        <w:pStyle w:val="berschrift3"/>
      </w:pPr>
      <w:bookmarkStart w:id="22" w:name="_Toc401645591"/>
      <w:r>
        <w:t>§ 18</w:t>
      </w:r>
      <w:r w:rsidR="00C95F53">
        <w:br/>
      </w:r>
      <w:r>
        <w:t>Frühzeitige Emissionsminderungen</w:t>
      </w:r>
      <w:bookmarkEnd w:id="22"/>
    </w:p>
    <w:p w:rsidR="0038031E" w:rsidRDefault="0038031E" w:rsidP="0038031E">
      <w:pPr>
        <w:pStyle w:val="GesAbsatz"/>
      </w:pPr>
      <w:r>
        <w:t>Für die Berechnung frühzeitiger Emissionsminderungen</w:t>
      </w:r>
      <w:r w:rsidR="00C95F53">
        <w:t xml:space="preserve"> </w:t>
      </w:r>
      <w:r>
        <w:t>bei Anlagen im Sinne von § 6 Abs. 10 des Zute</w:t>
      </w:r>
      <w:r>
        <w:t>i</w:t>
      </w:r>
      <w:r>
        <w:t>lungsgesetzes</w:t>
      </w:r>
      <w:r w:rsidR="00C95F53">
        <w:t xml:space="preserve"> </w:t>
      </w:r>
      <w:r>
        <w:t>2012 gilt § 13 Abs. 1 bis 5 der Zuteilungsverordnung</w:t>
      </w:r>
      <w:r w:rsidR="00C95F53">
        <w:t xml:space="preserve"> </w:t>
      </w:r>
      <w:r>
        <w:t>2007 mit Ausnahme von § 13 Abs. 2</w:t>
      </w:r>
      <w:r w:rsidR="00C95F53">
        <w:t xml:space="preserve"> </w:t>
      </w:r>
      <w:r>
        <w:t>Satz 2 bis 4 und § 13 Abs. 6 Satz 4 der Zuteilungsverordnung</w:t>
      </w:r>
      <w:r w:rsidR="00C95F53">
        <w:t xml:space="preserve"> </w:t>
      </w:r>
      <w:r>
        <w:t>2007 entsprechend.</w:t>
      </w:r>
    </w:p>
    <w:p w:rsidR="0038031E" w:rsidRDefault="0038031E" w:rsidP="00C95F53">
      <w:pPr>
        <w:pStyle w:val="berschrift3"/>
      </w:pPr>
      <w:bookmarkStart w:id="23" w:name="_Toc401645592"/>
      <w:r>
        <w:lastRenderedPageBreak/>
        <w:t>§ 19</w:t>
      </w:r>
      <w:r w:rsidR="00C95F53">
        <w:br/>
      </w:r>
      <w:r>
        <w:t>Kuppelgas</w:t>
      </w:r>
      <w:bookmarkEnd w:id="23"/>
    </w:p>
    <w:p w:rsidR="0038031E" w:rsidRDefault="0038031E" w:rsidP="0023109A">
      <w:pPr>
        <w:pStyle w:val="GesAbsatz"/>
      </w:pPr>
      <w:r>
        <w:t>(1) Für die Zuteilung von Berechtigungen an Kuppelgas</w:t>
      </w:r>
      <w:r w:rsidR="00C95F53">
        <w:t xml:space="preserve"> </w:t>
      </w:r>
      <w:r>
        <w:t>erzeugende Anlagen im Sinne von § 11 Abs. 2 des</w:t>
      </w:r>
      <w:r w:rsidR="00C95F53">
        <w:t xml:space="preserve"> </w:t>
      </w:r>
      <w:r>
        <w:t>Zuteilungsgesetzes 2012 muss der Zuteilungsantrag</w:t>
      </w:r>
      <w:r w:rsidR="00C95F53">
        <w:t xml:space="preserve"> </w:t>
      </w:r>
      <w:r>
        <w:t>ergänzend zu den Angaben nach Abschnitt 2 Angaben</w:t>
      </w:r>
      <w:r w:rsidR="00C95F53">
        <w:t xml:space="preserve"> </w:t>
      </w:r>
      <w:r>
        <w:t>enthalten über die durchschnittlichen jährlichen Kohlendioxid-Emissionen aus den Kuppelgasmengen, die</w:t>
      </w:r>
      <w:r w:rsidR="00C95F53">
        <w:t xml:space="preserve"> </w:t>
      </w:r>
      <w:r>
        <w:t>an Anlagen weitergeleitet wurden, die nicht dem Anwendungsbereich</w:t>
      </w:r>
      <w:r w:rsidR="00C95F53">
        <w:t xml:space="preserve"> </w:t>
      </w:r>
      <w:r>
        <w:t>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 w:rsidR="00C95F53">
        <w:t xml:space="preserve"> </w:t>
      </w:r>
      <w:r>
        <w:t>unterliegen.</w:t>
      </w:r>
    </w:p>
    <w:p w:rsidR="0038031E" w:rsidRDefault="0038031E" w:rsidP="0038031E">
      <w:pPr>
        <w:pStyle w:val="GesAbsatz"/>
      </w:pPr>
      <w:r>
        <w:t>(2) Die Emissionsmenge von Anlagen im Sinne von</w:t>
      </w:r>
      <w:r w:rsidR="00C95F53">
        <w:t xml:space="preserve"> </w:t>
      </w:r>
      <w:r>
        <w:t>§ 11 Abs. 2 des Zuteilungsgesetzes 2012, für die B</w:t>
      </w:r>
      <w:r>
        <w:t>e</w:t>
      </w:r>
      <w:r>
        <w:t>rechtigungen</w:t>
      </w:r>
      <w:r w:rsidR="00C95F53">
        <w:t xml:space="preserve"> </w:t>
      </w:r>
      <w:r>
        <w:t>zuzuteilen sind, errechnet sich nach den</w:t>
      </w:r>
      <w:r w:rsidR="00C95F53">
        <w:t xml:space="preserve"> </w:t>
      </w:r>
      <w:r>
        <w:t>Formeln 1 und 2 des Anhangs 4.</w:t>
      </w:r>
    </w:p>
    <w:p w:rsidR="0038031E" w:rsidRDefault="0038031E" w:rsidP="0038031E">
      <w:pPr>
        <w:pStyle w:val="GesAbsatz"/>
      </w:pPr>
      <w:r>
        <w:t>(3) Die für die Zuteilung von Berechtigungen maßgebliche</w:t>
      </w:r>
      <w:r w:rsidR="00C95F53">
        <w:t xml:space="preserve"> </w:t>
      </w:r>
      <w:r>
        <w:t>Produktionsmenge von Anlagen im Sinne von</w:t>
      </w:r>
      <w:r w:rsidR="00C95F53">
        <w:t xml:space="preserve"> </w:t>
      </w:r>
      <w:r>
        <w:t>§ 11 Abs. 3 des Zuteilungsgesetzes 2012 berechnet</w:t>
      </w:r>
      <w:r w:rsidR="00C95F53">
        <w:t xml:space="preserve"> </w:t>
      </w:r>
      <w:r>
        <w:t>sich nach Formel 3 des Anhangs 4.</w:t>
      </w:r>
    </w:p>
    <w:p w:rsidR="0038031E" w:rsidRDefault="0038031E" w:rsidP="0023109A">
      <w:pPr>
        <w:pStyle w:val="GesAbsatz"/>
      </w:pPr>
      <w:r>
        <w:t>(4) Bei der Bestimmung des Emissionswertes für die</w:t>
      </w:r>
      <w:r w:rsidR="00C95F53">
        <w:t xml:space="preserve"> </w:t>
      </w:r>
      <w:r>
        <w:t>Zuteilung von Berechtigungen an Anlagen im Sinne von</w:t>
      </w:r>
      <w:r w:rsidR="00C95F53">
        <w:t xml:space="preserve"> </w:t>
      </w:r>
      <w:r>
        <w:t>§ 11 Abs. 4 des Zuteilungsgesetzes 2012 bleiben die</w:t>
      </w:r>
      <w:r w:rsidR="00C95F53">
        <w:t xml:space="preserve"> </w:t>
      </w:r>
      <w:r>
        <w:t>Kohlendioxid-Emissionen aus Kuppelgasen unb</w:t>
      </w:r>
      <w:r>
        <w:t>e</w:t>
      </w:r>
      <w:r>
        <w:t>rücksichtigt,</w:t>
      </w:r>
      <w:r w:rsidR="00C95F53">
        <w:t xml:space="preserve"> </w:t>
      </w:r>
      <w:r>
        <w:t>die an Anlagen weitergeleitet wurden, die nicht</w:t>
      </w:r>
      <w:r w:rsidR="00C95F53">
        <w:t xml:space="preserve"> </w:t>
      </w:r>
      <w:r>
        <w:t>dem Anwendungsbereich 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 w:rsidR="00C95F53">
        <w:t xml:space="preserve"> </w:t>
      </w:r>
      <w:r>
        <w:t>unterliegen.</w:t>
      </w:r>
    </w:p>
    <w:p w:rsidR="0038031E" w:rsidRDefault="0038031E" w:rsidP="00C95F53">
      <w:pPr>
        <w:pStyle w:val="berschrift2"/>
      </w:pPr>
      <w:bookmarkStart w:id="24" w:name="_Toc401645593"/>
      <w:r>
        <w:t>Abschnitt 4</w:t>
      </w:r>
      <w:r w:rsidR="00C95F53">
        <w:br/>
      </w:r>
      <w:r>
        <w:t>Gemeinsame Vorschriften</w:t>
      </w:r>
      <w:bookmarkEnd w:id="24"/>
    </w:p>
    <w:p w:rsidR="0038031E" w:rsidRDefault="0038031E" w:rsidP="00C95F53">
      <w:pPr>
        <w:pStyle w:val="berschrift3"/>
      </w:pPr>
      <w:bookmarkStart w:id="25" w:name="_Toc401645594"/>
      <w:r>
        <w:t>§ 20</w:t>
      </w:r>
      <w:r w:rsidR="00C95F53">
        <w:br/>
      </w:r>
      <w:r>
        <w:t>Anforderungen</w:t>
      </w:r>
      <w:r w:rsidR="00C95F53">
        <w:t xml:space="preserve"> </w:t>
      </w:r>
      <w:r>
        <w:t>an die Verifizierung der Zuteilungsanträge</w:t>
      </w:r>
      <w:bookmarkEnd w:id="25"/>
    </w:p>
    <w:p w:rsidR="0038031E" w:rsidRDefault="0038031E" w:rsidP="0038031E">
      <w:pPr>
        <w:pStyle w:val="GesAbsatz"/>
      </w:pPr>
      <w:r>
        <w:t>(1) Der Sachverständige hat im Rahmen der Verifizierung</w:t>
      </w:r>
      <w:r w:rsidR="00C95F53">
        <w:t xml:space="preserve"> </w:t>
      </w:r>
      <w:r>
        <w:t>der Zuteilungsanträge nach § 10 Abs. 1 Satz 3</w:t>
      </w:r>
      <w:r w:rsidR="00C95F53">
        <w:t xml:space="preserve"> </w:t>
      </w:r>
      <w:r>
        <w:t>des Treibhausgas-Emissionshandelsgesetzes</w:t>
      </w:r>
      <w:r w:rsidR="00427FFC" w:rsidRPr="00427FFC">
        <w:t xml:space="preserve"> </w:t>
      </w:r>
      <w:r w:rsidR="00427FFC">
        <w:t>vom 8. Juli 2004 (BGBl. I S. 1578), das zuletzt durch Artikel 9 des Gesetzes vom 11. August 2010 (BGBl. I S. 1163) geändert worden ist,</w:t>
      </w:r>
      <w:r>
        <w:t xml:space="preserve"> die tatsachenbezogenen</w:t>
      </w:r>
      <w:r w:rsidR="00C95F53">
        <w:t xml:space="preserve"> </w:t>
      </w:r>
      <w:r>
        <w:t>Ang</w:t>
      </w:r>
      <w:r>
        <w:t>a</w:t>
      </w:r>
      <w:r>
        <w:t>ben im Zuteilungsantrag auf</w:t>
      </w:r>
      <w:r w:rsidR="00C95F53">
        <w:t xml:space="preserve"> </w:t>
      </w:r>
      <w:r>
        <w:t>ihre Richtigkeit hin zu überprüfen. Abweichend von</w:t>
      </w:r>
      <w:r w:rsidR="00C95F53">
        <w:t xml:space="preserve"> </w:t>
      </w:r>
      <w:r>
        <w:t>Satz 1 bedürfen Zuteilung</w:t>
      </w:r>
      <w:r>
        <w:t>s</w:t>
      </w:r>
      <w:r>
        <w:t>anträge, für die ausschließlich</w:t>
      </w:r>
      <w:r w:rsidR="00C95F53">
        <w:t xml:space="preserve"> </w:t>
      </w:r>
      <w:r>
        <w:t>die Angaben nach § 12 Abs. 1 erforderlich sind,</w:t>
      </w:r>
      <w:r w:rsidR="00C95F53">
        <w:t xml:space="preserve"> </w:t>
      </w:r>
      <w:r>
        <w:t>keiner Verifizierung.</w:t>
      </w:r>
    </w:p>
    <w:p w:rsidR="0038031E" w:rsidRDefault="0038031E" w:rsidP="0038031E">
      <w:pPr>
        <w:pStyle w:val="GesAbsatz"/>
      </w:pPr>
      <w:r>
        <w:t>(2) Der Sachverständige hat die Prüfungsrichtlinie</w:t>
      </w:r>
      <w:r w:rsidR="00C95F53">
        <w:t xml:space="preserve"> </w:t>
      </w:r>
      <w:r>
        <w:t>zur Verifizierung von Datenmitteilungen nach der Date</w:t>
      </w:r>
      <w:r>
        <w:t>n</w:t>
      </w:r>
      <w:r>
        <w:t>erhebungsverordnung</w:t>
      </w:r>
      <w:r w:rsidR="00C95F53">
        <w:t xml:space="preserve"> </w:t>
      </w:r>
      <w:r>
        <w:t>2012 (BAnz. vom 23. August</w:t>
      </w:r>
      <w:r w:rsidR="00C95F53">
        <w:t xml:space="preserve"> </w:t>
      </w:r>
      <w:r>
        <w:t>2006 S. 5848) zu beachten. Die dort genannten Anfo</w:t>
      </w:r>
      <w:r>
        <w:t>r</w:t>
      </w:r>
      <w:r>
        <w:t>derungen</w:t>
      </w:r>
      <w:r w:rsidR="00C95F53">
        <w:t xml:space="preserve"> </w:t>
      </w:r>
      <w:r>
        <w:t>gelten für die Verifizierung von Zuteilungsanträgen</w:t>
      </w:r>
      <w:r w:rsidR="00C95F53">
        <w:t xml:space="preserve"> </w:t>
      </w:r>
      <w:r>
        <w:t>entsprechend.</w:t>
      </w:r>
    </w:p>
    <w:p w:rsidR="0038031E" w:rsidRDefault="0038031E" w:rsidP="0038031E">
      <w:pPr>
        <w:pStyle w:val="GesAbsatz"/>
      </w:pPr>
      <w:r>
        <w:t>(3) Von der Verifizierung ausgenommen sind Bewertungen</w:t>
      </w:r>
      <w:r w:rsidR="00C95F53">
        <w:t xml:space="preserve"> </w:t>
      </w:r>
      <w:r>
        <w:t>mit erheblichem Beurteilungsspielraum; der</w:t>
      </w:r>
      <w:r w:rsidR="00C95F53">
        <w:t xml:space="preserve"> </w:t>
      </w:r>
      <w:r>
        <w:t>Sachverständige überprüft dabei nur die tatsachenbezogenen</w:t>
      </w:r>
      <w:r w:rsidR="00C95F53">
        <w:t xml:space="preserve"> </w:t>
      </w:r>
      <w:r>
        <w:t>Angaben, auf die der Betreiber in seiner j</w:t>
      </w:r>
      <w:r>
        <w:t>e</w:t>
      </w:r>
      <w:r>
        <w:t>weiligen</w:t>
      </w:r>
      <w:r w:rsidR="00C95F53">
        <w:t xml:space="preserve"> </w:t>
      </w:r>
      <w:r>
        <w:t>Herleitung verweist. Im Fall des § 11 Abs. 2 hat</w:t>
      </w:r>
      <w:r w:rsidR="00C95F53">
        <w:t xml:space="preserve"> </w:t>
      </w:r>
      <w:r>
        <w:t>der Sachverständige zu bestätigen, dass nach se</w:t>
      </w:r>
      <w:r>
        <w:t>i</w:t>
      </w:r>
      <w:r>
        <w:t>ner</w:t>
      </w:r>
      <w:r w:rsidR="00C95F53">
        <w:t xml:space="preserve"> </w:t>
      </w:r>
      <w:r>
        <w:t>Einschätzung der im Zuteilungsantrag ausgewiesene</w:t>
      </w:r>
      <w:r w:rsidR="00C95F53">
        <w:t xml:space="preserve"> </w:t>
      </w:r>
      <w:r>
        <w:t>Emissionswert für Kohlendioxid der Wert ist, der bei Zugrundelegung</w:t>
      </w:r>
      <w:r w:rsidR="00C95F53">
        <w:t xml:space="preserve"> </w:t>
      </w:r>
      <w:r>
        <w:t>der besten verfügbaren Techniken erreichbar</w:t>
      </w:r>
      <w:r w:rsidR="00C95F53">
        <w:t xml:space="preserve"> </w:t>
      </w:r>
      <w:r>
        <w:t>ist.</w:t>
      </w:r>
    </w:p>
    <w:p w:rsidR="0038031E" w:rsidRDefault="0038031E" w:rsidP="0038031E">
      <w:pPr>
        <w:pStyle w:val="GesAbsatz"/>
      </w:pPr>
      <w:r>
        <w:t>(4) Für die Überprüfung der Richtigkeit hat der Sachverständige</w:t>
      </w:r>
      <w:r w:rsidR="00C95F53">
        <w:t xml:space="preserve"> </w:t>
      </w:r>
      <w:r>
        <w:t>die im Zuteilungsantrag gemachten Ang</w:t>
      </w:r>
      <w:r>
        <w:t>a</w:t>
      </w:r>
      <w:r>
        <w:t>ben</w:t>
      </w:r>
      <w:r w:rsidR="00C95F53">
        <w:t xml:space="preserve"> </w:t>
      </w:r>
      <w:r>
        <w:t>und deren Herleitung mit den vom Betreiber vorzulegenden</w:t>
      </w:r>
      <w:r w:rsidR="00C95F53">
        <w:t xml:space="preserve"> </w:t>
      </w:r>
      <w:r>
        <w:t>Nachweisen sowie der Genehmigung nach</w:t>
      </w:r>
      <w:r w:rsidR="00C95F53">
        <w:t xml:space="preserve"> </w:t>
      </w:r>
      <w:r>
        <w:t>§ 4 des Bundes-Immissionsschutzgesetzes und nach</w:t>
      </w:r>
      <w:r w:rsidR="00C95F53">
        <w:t xml:space="preserve"> </w:t>
      </w:r>
      <w:r>
        <w:t>§ 4 des Treibhausgas-Emissionshandelsgesetzes</w:t>
      </w:r>
      <w:r w:rsidR="00427FFC" w:rsidRPr="00427FFC">
        <w:t xml:space="preserve"> </w:t>
      </w:r>
      <w:r w:rsidR="00427FFC">
        <w:t>vom 8. Juli 2004 (BGBl. I S. 1578), das zuletzt durch Artikel 9 des Gesetzes vom 11. August 2010 (BGBl. I S. 1163) geändert worden ist,</w:t>
      </w:r>
      <w:r>
        <w:t xml:space="preserve"> abzugleichen.</w:t>
      </w:r>
      <w:r w:rsidR="00C95F53">
        <w:t xml:space="preserve"> </w:t>
      </w:r>
      <w:r>
        <w:t>Der Sachverständige hat über die Prüfung der</w:t>
      </w:r>
      <w:r w:rsidR="00C95F53">
        <w:t xml:space="preserve"> </w:t>
      </w:r>
      <w:r>
        <w:t>tatsachenbezog</w:t>
      </w:r>
      <w:r>
        <w:t>e</w:t>
      </w:r>
      <w:r>
        <w:t>nen Angaben hinaus den Zuteilungsantrag</w:t>
      </w:r>
      <w:r w:rsidR="00C95F53">
        <w:t xml:space="preserve"> </w:t>
      </w:r>
      <w:r>
        <w:t>als Ganzes sowie die ihm vorgelegten Nachweise</w:t>
      </w:r>
      <w:r w:rsidR="00C95F53">
        <w:t xml:space="preserve"> </w:t>
      </w:r>
      <w:r>
        <w:t>jeweils auf ihre innere Schlüssigkeit und Glaubhaftigkeit</w:t>
      </w:r>
      <w:r w:rsidR="00C95F53">
        <w:t xml:space="preserve"> </w:t>
      </w:r>
      <w:r>
        <w:t>zu überprüfen.</w:t>
      </w:r>
    </w:p>
    <w:p w:rsidR="0038031E" w:rsidRDefault="0038031E" w:rsidP="0038031E">
      <w:pPr>
        <w:pStyle w:val="GesAbsatz"/>
      </w:pPr>
      <w:r>
        <w:t>(5) Der Sachverständige hat wesentliche Prüftätigkeiten</w:t>
      </w:r>
      <w:r w:rsidR="00C95F53">
        <w:t xml:space="preserve"> </w:t>
      </w:r>
      <w:r>
        <w:t>selbst auszuführen. Soweit er Hilfstätigkeiten del</w:t>
      </w:r>
      <w:r>
        <w:t>e</w:t>
      </w:r>
      <w:r>
        <w:t>giert,</w:t>
      </w:r>
      <w:r w:rsidR="00C95F53">
        <w:t xml:space="preserve"> </w:t>
      </w:r>
      <w:r>
        <w:t>hat er dies in seinem Prüfbericht anzuzeigen.</w:t>
      </w:r>
    </w:p>
    <w:p w:rsidR="0038031E" w:rsidRDefault="0038031E" w:rsidP="0038031E">
      <w:pPr>
        <w:pStyle w:val="GesAbsatz"/>
      </w:pPr>
      <w:r>
        <w:t>(6) Der Prüfbericht muss in nachvollziehbarer Weise</w:t>
      </w:r>
      <w:r w:rsidR="00C95F53">
        <w:t xml:space="preserve"> </w:t>
      </w:r>
      <w:r>
        <w:t>Inhalt und Ergebnis der Prüfung erkennen lassen. Er</w:t>
      </w:r>
      <w:r w:rsidR="00C95F53">
        <w:t xml:space="preserve"> </w:t>
      </w:r>
      <w:r>
        <w:t>muss Angaben zu sämtlichen im elektronischen Format</w:t>
      </w:r>
      <w:r w:rsidR="00C95F53">
        <w:t xml:space="preserve"> </w:t>
      </w:r>
      <w:r>
        <w:t>zur Ausfüllung durch den Sachverständigen vorg</w:t>
      </w:r>
      <w:r>
        <w:t>e</w:t>
      </w:r>
      <w:r>
        <w:t>sehenen</w:t>
      </w:r>
      <w:r w:rsidR="00C95F53">
        <w:t xml:space="preserve"> </w:t>
      </w:r>
      <w:r>
        <w:t>Feldern enthalten. Im elektronischen Format sind</w:t>
      </w:r>
      <w:r w:rsidR="00C95F53">
        <w:t xml:space="preserve"> </w:t>
      </w:r>
      <w:r>
        <w:t>die jeweils zutreffenden Prüfvermerke auszuwä</w:t>
      </w:r>
      <w:r>
        <w:t>h</w:t>
      </w:r>
      <w:r>
        <w:t>len.</w:t>
      </w:r>
      <w:r w:rsidR="00C95F53">
        <w:t xml:space="preserve"> </w:t>
      </w:r>
      <w:r>
        <w:t>Hat der Sachverständige in den Antragsangaben Fehler</w:t>
      </w:r>
      <w:r w:rsidR="00C95F53">
        <w:t xml:space="preserve"> </w:t>
      </w:r>
      <w:r>
        <w:t>oder Abweichungen von den rechtlichen Anfo</w:t>
      </w:r>
      <w:r>
        <w:t>r</w:t>
      </w:r>
      <w:r>
        <w:t>derungen</w:t>
      </w:r>
      <w:r w:rsidR="00C95F53">
        <w:t xml:space="preserve"> </w:t>
      </w:r>
      <w:r>
        <w:t>festgestellt, muss er im Prüfbericht darauf</w:t>
      </w:r>
      <w:r w:rsidR="00C95F53">
        <w:t xml:space="preserve"> </w:t>
      </w:r>
      <w:r>
        <w:t>hinweisen und erläutern, warum er das Testat trotzdem</w:t>
      </w:r>
      <w:r w:rsidR="00C95F53">
        <w:t xml:space="preserve"> </w:t>
      </w:r>
      <w:r>
        <w:t>erteilen konnte. Soweit dem Sachverständigen eine</w:t>
      </w:r>
      <w:r w:rsidR="00C95F53">
        <w:t xml:space="preserve"> </w:t>
      </w:r>
      <w:r>
        <w:t>Überprüfung nicht oder nur bedingt möglich ist, hat er</w:t>
      </w:r>
      <w:r w:rsidR="00C95F53">
        <w:t xml:space="preserve"> </w:t>
      </w:r>
      <w:r>
        <w:t>in seinem Prüfbericht zu vermerken, inwieweit ein</w:t>
      </w:r>
      <w:r w:rsidR="00C95F53">
        <w:t xml:space="preserve"> </w:t>
      </w:r>
      <w:r>
        <w:t>Nachweis geführt wurde, und zu begründen, warum</w:t>
      </w:r>
      <w:r w:rsidR="00C95F53">
        <w:t xml:space="preserve"> </w:t>
      </w:r>
      <w:r>
        <w:t>die ei</w:t>
      </w:r>
      <w:r>
        <w:t>n</w:t>
      </w:r>
      <w:r>
        <w:t>geschränkte Prüfbarkeit der Erteilung des Testats</w:t>
      </w:r>
      <w:r w:rsidR="00C95F53">
        <w:t xml:space="preserve"> </w:t>
      </w:r>
      <w:r>
        <w:t>nicht entgegenstand.</w:t>
      </w:r>
    </w:p>
    <w:p w:rsidR="0038031E" w:rsidRDefault="0038031E" w:rsidP="0038031E">
      <w:pPr>
        <w:pStyle w:val="GesAbsatz"/>
      </w:pPr>
      <w:r>
        <w:t>(7) Der Sachverständige hat in seinem Prüfbericht an</w:t>
      </w:r>
      <w:r w:rsidR="00C95F53">
        <w:t xml:space="preserve"> </w:t>
      </w:r>
      <w:r>
        <w:t>Eides statt zu versichern, dass bei der Verifizierung des</w:t>
      </w:r>
      <w:r w:rsidR="00C95F53">
        <w:t xml:space="preserve"> </w:t>
      </w:r>
      <w:r>
        <w:t>Zuteilungsantrags die Unabhängigkeit seiner Tätigkeit</w:t>
      </w:r>
      <w:r w:rsidR="00C95F53">
        <w:t xml:space="preserve"> </w:t>
      </w:r>
      <w:r>
        <w:t>nach den jeweiligen Regelungen seiner Zula</w:t>
      </w:r>
      <w:r>
        <w:t>s</w:t>
      </w:r>
      <w:r>
        <w:lastRenderedPageBreak/>
        <w:t>sung als</w:t>
      </w:r>
      <w:r w:rsidR="00C95F53">
        <w:t xml:space="preserve"> </w:t>
      </w:r>
      <w:r>
        <w:t>Umweltgutachter oder seiner Bestellung als Sachverständiger</w:t>
      </w:r>
      <w:r w:rsidR="00C95F53">
        <w:t xml:space="preserve"> </w:t>
      </w:r>
      <w:r>
        <w:t>gemäß § 36 der Gewerbeordnung gewahrt</w:t>
      </w:r>
      <w:r w:rsidR="00C95F53">
        <w:t xml:space="preserve"> </w:t>
      </w:r>
      <w:r>
        <w:t>war und er bei der Erstellung des Zuteilungsantrags</w:t>
      </w:r>
      <w:r w:rsidR="00C95F53">
        <w:t xml:space="preserve"> </w:t>
      </w:r>
      <w:r>
        <w:t>nicht mitgewirkt hat.</w:t>
      </w:r>
    </w:p>
    <w:p w:rsidR="0038031E" w:rsidRDefault="0038031E" w:rsidP="0038031E">
      <w:pPr>
        <w:pStyle w:val="GesAbsatz"/>
      </w:pPr>
      <w:r>
        <w:t>(8) Bei der Prüfung von Angaben zur Produktionsmenge</w:t>
      </w:r>
      <w:r w:rsidR="00C95F53">
        <w:t xml:space="preserve"> </w:t>
      </w:r>
      <w:r>
        <w:t>einer Anlage nach § 10 hat der Sachverständige</w:t>
      </w:r>
      <w:r w:rsidR="00C95F53">
        <w:t xml:space="preserve"> </w:t>
      </w:r>
      <w:r>
        <w:t>darüber hinaus in seinem Prüfbericht zu bestätigen,</w:t>
      </w:r>
      <w:r w:rsidR="00C95F53">
        <w:t xml:space="preserve"> </w:t>
      </w:r>
      <w:r>
        <w:t>dass die Angaben entsprechend dem höchsterreichb</w:t>
      </w:r>
      <w:r>
        <w:t>a</w:t>
      </w:r>
      <w:r>
        <w:t>ren</w:t>
      </w:r>
      <w:r w:rsidR="00C95F53">
        <w:t xml:space="preserve"> </w:t>
      </w:r>
      <w:r>
        <w:t>Grad an Genauigkeit ermittelt wurden und diese auf</w:t>
      </w:r>
      <w:r w:rsidR="00C95F53">
        <w:t xml:space="preserve"> </w:t>
      </w:r>
      <w:r>
        <w:t>eine Oxidation eines Brennstoffs oder einer Umse</w:t>
      </w:r>
      <w:r>
        <w:t>t</w:t>
      </w:r>
      <w:r>
        <w:t>zung</w:t>
      </w:r>
      <w:r w:rsidR="00C95F53">
        <w:t xml:space="preserve"> </w:t>
      </w:r>
      <w:r>
        <w:t>eines Rohstoffs in der Anlage zurückzuführen sind. Ferner</w:t>
      </w:r>
      <w:r w:rsidR="00C95F53">
        <w:t xml:space="preserve"> </w:t>
      </w:r>
      <w:r>
        <w:t>ist die angegebene Ungenauigkeit der B</w:t>
      </w:r>
      <w:r>
        <w:t>e</w:t>
      </w:r>
      <w:r>
        <w:t>stimmungsmethode</w:t>
      </w:r>
      <w:r w:rsidR="00C95F53">
        <w:t xml:space="preserve"> </w:t>
      </w:r>
      <w:r>
        <w:t>zu bestätigen.</w:t>
      </w:r>
    </w:p>
    <w:p w:rsidR="0038031E" w:rsidRDefault="0038031E" w:rsidP="00C95F53">
      <w:pPr>
        <w:pStyle w:val="berschrift3"/>
      </w:pPr>
      <w:bookmarkStart w:id="26" w:name="_Toc401645595"/>
      <w:r>
        <w:t>§ 21</w:t>
      </w:r>
      <w:r w:rsidR="00C95F53">
        <w:br/>
      </w:r>
      <w:r>
        <w:t>Ordnungswidrigkeiten</w:t>
      </w:r>
      <w:bookmarkEnd w:id="26"/>
    </w:p>
    <w:p w:rsidR="0038031E" w:rsidRDefault="0038031E" w:rsidP="0023109A">
      <w:pPr>
        <w:pStyle w:val="GesAbsatz"/>
      </w:pPr>
      <w:r>
        <w:t>Ordnungswidrig im Sinne des § 19 Abs. 1 Nr. 4 des</w:t>
      </w:r>
      <w:r w:rsidR="00C95F53">
        <w:t xml:space="preserve"> </w:t>
      </w:r>
      <w:r>
        <w:t>Treibhausgas-Emissionshandelsgesetzes</w:t>
      </w:r>
      <w:r w:rsidR="0023109A">
        <w:t xml:space="preserve"> vom 8. Juli 2004 (BGBl. I S. 1578), das zuletzt durch Artikel 9 des Gesetzes vom 11. August 2010 (BGBl. I S. 1163) geändert worden ist,</w:t>
      </w:r>
      <w:r>
        <w:t xml:space="preserve"> handelt, wer</w:t>
      </w:r>
      <w:r w:rsidR="00C95F53">
        <w:t xml:space="preserve"> </w:t>
      </w:r>
      <w:r>
        <w:t>vorsätzlich oder fahrlässig entgegen § 3 Abs. 2 Satz 1</w:t>
      </w:r>
      <w:r w:rsidR="00C95F53">
        <w:t xml:space="preserve"> </w:t>
      </w:r>
      <w:r>
        <w:t>eine A</w:t>
      </w:r>
      <w:r>
        <w:t>n</w:t>
      </w:r>
      <w:r>
        <w:t>gabe nicht richtig macht.</w:t>
      </w:r>
    </w:p>
    <w:p w:rsidR="0038031E" w:rsidRDefault="0038031E" w:rsidP="00C95F53">
      <w:pPr>
        <w:pStyle w:val="berschrift3"/>
      </w:pPr>
      <w:bookmarkStart w:id="27" w:name="_Toc401645596"/>
      <w:r>
        <w:t>§ 22</w:t>
      </w:r>
      <w:r w:rsidR="00C95F53">
        <w:br/>
      </w:r>
      <w:r>
        <w:t>Inkrafttreten</w:t>
      </w:r>
      <w:bookmarkEnd w:id="27"/>
    </w:p>
    <w:p w:rsidR="0038031E" w:rsidRDefault="00C95F53" w:rsidP="00C95F53">
      <w:pPr>
        <w:pStyle w:val="berschrift2"/>
        <w:jc w:val="left"/>
      </w:pPr>
      <w:r>
        <w:br w:type="page"/>
      </w:r>
      <w:bookmarkStart w:id="28" w:name="_Toc401645597"/>
      <w:r w:rsidR="0038031E">
        <w:lastRenderedPageBreak/>
        <w:t>Anhang 1</w:t>
      </w:r>
      <w:r>
        <w:br/>
      </w:r>
      <w:r w:rsidR="0038031E">
        <w:t>(zu den §§ 4 und 5)</w:t>
      </w:r>
      <w:bookmarkEnd w:id="28"/>
    </w:p>
    <w:p w:rsidR="0038031E" w:rsidRPr="00634186" w:rsidRDefault="0038031E" w:rsidP="00634186">
      <w:pPr>
        <w:pStyle w:val="GesAbsatz"/>
        <w:jc w:val="center"/>
        <w:rPr>
          <w:b/>
        </w:rPr>
      </w:pPr>
      <w:r w:rsidRPr="00634186">
        <w:rPr>
          <w:b/>
        </w:rPr>
        <w:t>Einheitliche Stoffwerte für Emissionsfaktoren,</w:t>
      </w:r>
      <w:r w:rsidR="00634186" w:rsidRPr="00634186">
        <w:rPr>
          <w:b/>
        </w:rPr>
        <w:t xml:space="preserve"> </w:t>
      </w:r>
      <w:r w:rsidRPr="00634186">
        <w:rPr>
          <w:b/>
        </w:rPr>
        <w:t>Heizwerte und Kohlenstoffgehalte</w:t>
      </w:r>
      <w:r w:rsidR="00634186" w:rsidRPr="00634186">
        <w:rPr>
          <w:b/>
        </w:rPr>
        <w:br/>
      </w:r>
      <w:r w:rsidRPr="00634186">
        <w:rPr>
          <w:b/>
        </w:rPr>
        <w:t>für Brennstoffe, Rohstoffe und Produkte</w:t>
      </w:r>
    </w:p>
    <w:p w:rsidR="00634186" w:rsidRDefault="00634186" w:rsidP="00634186">
      <w:pPr>
        <w:pStyle w:val="GesAbsatz"/>
      </w:pPr>
    </w:p>
    <w:tbl>
      <w:tblPr>
        <w:tblW w:w="8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56"/>
        <w:gridCol w:w="1773"/>
        <w:gridCol w:w="1539"/>
        <w:gridCol w:w="1687"/>
      </w:tblGrid>
      <w:tr w:rsidR="00634186" w:rsidRPr="00634186" w:rsidTr="001624F3">
        <w:trPr>
          <w:trHeight w:val="251"/>
        </w:trPr>
        <w:tc>
          <w:tcPr>
            <w:tcW w:w="3794" w:type="dxa"/>
            <w:vMerge w:val="restart"/>
            <w:vAlign w:val="center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Brennstoff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34186" w:rsidRPr="001624F3" w:rsidRDefault="00634186" w:rsidP="00634186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Emissionsfaktor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634186" w:rsidRPr="001624F3" w:rsidRDefault="00634186" w:rsidP="00634186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Heizwert</w:t>
            </w:r>
          </w:p>
        </w:tc>
      </w:tr>
      <w:tr w:rsidR="00634186" w:rsidRPr="00634186" w:rsidTr="001624F3">
        <w:trPr>
          <w:trHeight w:val="156"/>
        </w:trPr>
        <w:tc>
          <w:tcPr>
            <w:tcW w:w="3794" w:type="dxa"/>
            <w:vMerge/>
          </w:tcPr>
          <w:p w:rsidR="00634186" w:rsidRPr="001624F3" w:rsidRDefault="00634186" w:rsidP="00634186">
            <w:pPr>
              <w:pStyle w:val="GesAbsatz"/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634186" w:rsidRPr="001624F3" w:rsidRDefault="00634186" w:rsidP="00634186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t CO</w:t>
            </w:r>
            <w:r w:rsidRPr="001624F3">
              <w:rPr>
                <w:rFonts w:cs="Arial"/>
                <w:b/>
                <w:vertAlign w:val="subscript"/>
              </w:rPr>
              <w:t>2</w:t>
            </w:r>
            <w:r w:rsidRPr="001624F3">
              <w:rPr>
                <w:rFonts w:cs="Arial"/>
                <w:b/>
              </w:rPr>
              <w:t>/GJ</w:t>
            </w:r>
          </w:p>
        </w:tc>
        <w:tc>
          <w:tcPr>
            <w:tcW w:w="1559" w:type="dxa"/>
            <w:tcBorders>
              <w:top w:val="nil"/>
            </w:tcBorders>
          </w:tcPr>
          <w:p w:rsidR="00634186" w:rsidRPr="001624F3" w:rsidRDefault="00634186" w:rsidP="00634186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GJ/t</w:t>
            </w:r>
          </w:p>
        </w:tc>
        <w:tc>
          <w:tcPr>
            <w:tcW w:w="1701" w:type="dxa"/>
            <w:tcBorders>
              <w:top w:val="nil"/>
            </w:tcBorders>
          </w:tcPr>
          <w:p w:rsidR="00634186" w:rsidRPr="001624F3" w:rsidRDefault="00634186" w:rsidP="00634186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GJ/1 000 Nm³</w:t>
            </w:r>
          </w:p>
        </w:tc>
      </w:tr>
      <w:tr w:rsidR="00634186" w:rsidRPr="00634186" w:rsidTr="00634186">
        <w:trPr>
          <w:trHeight w:val="176"/>
        </w:trPr>
        <w:tc>
          <w:tcPr>
            <w:tcW w:w="3794" w:type="dxa"/>
          </w:tcPr>
          <w:p w:rsidR="00634186" w:rsidRPr="00634186" w:rsidRDefault="001624F3" w:rsidP="00634186"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Anthrazit (Wärmeerzeugung)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0,098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31,5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634186">
        <w:trPr>
          <w:trHeight w:val="239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Braunkohlenbrikett Lausitz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0,101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19,4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634186">
        <w:trPr>
          <w:trHeight w:val="158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Braunkohlenbrikett Rheinland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0,099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19,7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634186">
        <w:trPr>
          <w:trHeight w:val="235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Braunkohlenstaub Lausitz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0,099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21,6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634186">
        <w:trPr>
          <w:trHeight w:val="141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Braunkohlenstaub Mitteldeutschland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0,098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19,1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634186">
        <w:trPr>
          <w:trHeight w:val="202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Braunkohlenstaub Rheinland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0,098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22,0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65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Erdgas Altmark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0,056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11,7</w:t>
            </w:r>
          </w:p>
        </w:tc>
      </w:tr>
      <w:tr w:rsidR="00634186" w:rsidRPr="00634186" w:rsidTr="001624F3">
        <w:trPr>
          <w:trHeight w:val="185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Erdgas H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0,056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36,0</w:t>
            </w:r>
          </w:p>
        </w:tc>
      </w:tr>
      <w:tr w:rsidR="00634186" w:rsidRPr="00634186" w:rsidTr="001624F3">
        <w:trPr>
          <w:trHeight w:val="260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Erdgas L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0,056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33,0</w:t>
            </w:r>
          </w:p>
        </w:tc>
      </w:tr>
      <w:tr w:rsidR="00634186" w:rsidRPr="00634186" w:rsidTr="001624F3">
        <w:trPr>
          <w:trHeight w:val="153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Flüssiggas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0,064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45,6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87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Grubengas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0,055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17,8</w:t>
            </w:r>
          </w:p>
        </w:tc>
      </w:tr>
      <w:tr w:rsidR="00634186" w:rsidRPr="00634186" w:rsidTr="00634186">
        <w:trPr>
          <w:trHeight w:val="378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>Heizöl EL nach DIN 51603, Teil 1</w:t>
            </w:r>
            <w:r w:rsidR="00981843">
              <w:rPr>
                <w:rStyle w:val="Funotenzeichen"/>
                <w:rFonts w:cs="Arial"/>
              </w:rPr>
              <w:footnoteReference w:customMarkFollows="1" w:id="1"/>
              <w:t>*)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0,074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42,6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83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>Heizöl S</w:t>
            </w:r>
            <w:r w:rsidR="00C46A01">
              <w:rPr>
                <w:rFonts w:cs="Arial"/>
              </w:rPr>
              <w:t xml:space="preserve"> nach DIN 51603, Teil 3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0,078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39,5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17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Rohbraunkohle Helmstedt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0,099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10,2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78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Rohbraunkohle Lausitz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0,113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8,8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41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Rohbraunkohle Mitteldeutschland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0,104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10,7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88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Rohbraunkohle Rheinland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0,114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8,9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23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Steinkohlenkoks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0,105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27,6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43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Deutschland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0,093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28,3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04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Australien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0,095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25,4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67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China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0,095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25,5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87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Indonesien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0,095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25,3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48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Kanada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0,095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26,1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69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Kolumbien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0,094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25,2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31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Polen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0,094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27,5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50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Russland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0,095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25,6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27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Norwegen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0,094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28,6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46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lastRenderedPageBreak/>
              <w:t xml:space="preserve">Vollwertkohle Import Südafrika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0,096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25,2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94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USA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0,094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27,8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57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Vollwertkohle Import Venezuela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0,093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27,8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190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Wirbelschicht-Braunkohle Lausitz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0,101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19,4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  <w:tr w:rsidR="00634186" w:rsidRPr="00634186" w:rsidTr="001624F3">
        <w:trPr>
          <w:trHeight w:val="253"/>
        </w:trPr>
        <w:tc>
          <w:tcPr>
            <w:tcW w:w="3794" w:type="dxa"/>
          </w:tcPr>
          <w:p w:rsidR="00634186" w:rsidRPr="00634186" w:rsidRDefault="00634186" w:rsidP="00634186">
            <w:pPr>
              <w:pStyle w:val="GesAbsatz"/>
              <w:jc w:val="left"/>
              <w:rPr>
                <w:rFonts w:cs="Arial"/>
              </w:rPr>
            </w:pPr>
            <w:r w:rsidRPr="00634186">
              <w:rPr>
                <w:rFonts w:cs="Arial"/>
              </w:rPr>
              <w:t xml:space="preserve">Wirbelschicht-Braunkohle Rheinland 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0,098</w:t>
            </w:r>
          </w:p>
        </w:tc>
        <w:tc>
          <w:tcPr>
            <w:tcW w:w="1559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</w:rPr>
            </w:pPr>
            <w:r w:rsidRPr="00634186">
              <w:rPr>
                <w:rFonts w:cs="Arial"/>
              </w:rPr>
              <w:t>21,6</w:t>
            </w:r>
          </w:p>
        </w:tc>
        <w:tc>
          <w:tcPr>
            <w:tcW w:w="1701" w:type="dxa"/>
          </w:tcPr>
          <w:p w:rsidR="00634186" w:rsidRPr="00634186" w:rsidRDefault="00634186" w:rsidP="00634186">
            <w:pPr>
              <w:pStyle w:val="GesAbsatz"/>
              <w:jc w:val="center"/>
              <w:rPr>
                <w:rFonts w:cs="Arial"/>
                <w:color w:val="auto"/>
              </w:rPr>
            </w:pPr>
          </w:p>
        </w:tc>
      </w:tr>
    </w:tbl>
    <w:p w:rsidR="00634186" w:rsidRDefault="00634186" w:rsidP="001624F3">
      <w:pPr>
        <w:pStyle w:val="GesAbsatz"/>
      </w:pPr>
    </w:p>
    <w:tbl>
      <w:tblPr>
        <w:tblW w:w="8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27"/>
        <w:gridCol w:w="1783"/>
      </w:tblGrid>
      <w:tr w:rsidR="001624F3" w:rsidRPr="001624F3" w:rsidTr="001624F3">
        <w:trPr>
          <w:trHeight w:val="260"/>
        </w:trPr>
        <w:tc>
          <w:tcPr>
            <w:tcW w:w="6927" w:type="dxa"/>
            <w:vMerge w:val="restart"/>
            <w:vAlign w:val="center"/>
          </w:tcPr>
          <w:p w:rsidR="001624F3" w:rsidRPr="001624F3" w:rsidRDefault="001624F3" w:rsidP="001624F3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Stoff – Rohstoff</w:t>
            </w:r>
          </w:p>
        </w:tc>
        <w:tc>
          <w:tcPr>
            <w:tcW w:w="1783" w:type="dxa"/>
            <w:tcBorders>
              <w:bottom w:val="nil"/>
            </w:tcBorders>
          </w:tcPr>
          <w:p w:rsidR="001624F3" w:rsidRPr="001624F3" w:rsidRDefault="001624F3" w:rsidP="001624F3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Emissionsfaktor</w:t>
            </w:r>
          </w:p>
        </w:tc>
      </w:tr>
      <w:tr w:rsidR="001624F3" w:rsidRPr="001624F3" w:rsidTr="001624F3">
        <w:trPr>
          <w:trHeight w:val="365"/>
        </w:trPr>
        <w:tc>
          <w:tcPr>
            <w:tcW w:w="6927" w:type="dxa"/>
            <w:vMerge/>
          </w:tcPr>
          <w:p w:rsidR="001624F3" w:rsidRPr="001624F3" w:rsidRDefault="001624F3" w:rsidP="001624F3">
            <w:pPr>
              <w:pStyle w:val="GesAbsatz"/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1624F3" w:rsidRPr="001624F3" w:rsidRDefault="001624F3" w:rsidP="001624F3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tCO</w:t>
            </w:r>
            <w:r w:rsidRPr="001624F3">
              <w:rPr>
                <w:rFonts w:cs="Arial"/>
                <w:b/>
                <w:vertAlign w:val="subscript"/>
              </w:rPr>
              <w:t>2</w:t>
            </w:r>
            <w:r w:rsidRPr="001624F3">
              <w:rPr>
                <w:rFonts w:cs="Arial"/>
                <w:b/>
              </w:rPr>
              <w:t>/t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BaCO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0,223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CaCO</w:t>
            </w:r>
            <w:r w:rsidR="001624F3"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0,440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Dolomit (50 % CaCO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>, 50 % MgCO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0,477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Elektrodenabbrand (98 % C-Gehalt)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3,591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K</w:t>
            </w:r>
            <w:r w:rsidRPr="001624F3">
              <w:rPr>
                <w:rFonts w:cs="Arial"/>
                <w:vertAlign w:val="subscript"/>
              </w:rPr>
              <w:t>2</w:t>
            </w:r>
            <w:r w:rsidRPr="001624F3">
              <w:rPr>
                <w:rFonts w:cs="Arial"/>
              </w:rPr>
              <w:t>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0,318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MgCO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0,522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Na</w:t>
            </w:r>
            <w:r w:rsidRPr="001624F3">
              <w:rPr>
                <w:rFonts w:cs="Arial"/>
                <w:vertAlign w:val="subscript"/>
              </w:rPr>
              <w:t>2</w:t>
            </w:r>
            <w:r w:rsidRPr="001624F3">
              <w:rPr>
                <w:rFonts w:cs="Arial"/>
              </w:rPr>
              <w:t>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0,415</w:t>
            </w:r>
          </w:p>
        </w:tc>
      </w:tr>
      <w:tr w:rsidR="00634186" w:rsidRPr="001624F3" w:rsidTr="001624F3">
        <w:trPr>
          <w:trHeight w:val="343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NaHCO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0,524</w:t>
            </w:r>
          </w:p>
        </w:tc>
      </w:tr>
      <w:tr w:rsidR="00634186" w:rsidRPr="001624F3" w:rsidTr="001624F3">
        <w:trPr>
          <w:trHeight w:val="348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SrCO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0,298</w:t>
            </w:r>
          </w:p>
        </w:tc>
      </w:tr>
      <w:tr w:rsidR="00634186" w:rsidRPr="001624F3" w:rsidTr="001624F3">
        <w:trPr>
          <w:trHeight w:val="343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Li</w:t>
            </w:r>
            <w:r w:rsidRPr="001624F3">
              <w:rPr>
                <w:rFonts w:cs="Arial"/>
                <w:vertAlign w:val="subscript"/>
              </w:rPr>
              <w:t>2</w:t>
            </w:r>
            <w:r w:rsidRPr="001624F3">
              <w:rPr>
                <w:rFonts w:cs="Arial"/>
              </w:rPr>
              <w:t>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0,596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TC, TIC, TOC im Materialstrom (bezogen auf C)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3,664</w:t>
            </w:r>
          </w:p>
        </w:tc>
      </w:tr>
    </w:tbl>
    <w:p w:rsidR="001624F3" w:rsidRDefault="001624F3"/>
    <w:tbl>
      <w:tblPr>
        <w:tblW w:w="8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27"/>
        <w:gridCol w:w="1783"/>
      </w:tblGrid>
      <w:tr w:rsidR="001624F3" w:rsidRPr="001624F3" w:rsidTr="001624F3">
        <w:trPr>
          <w:trHeight w:val="365"/>
        </w:trPr>
        <w:tc>
          <w:tcPr>
            <w:tcW w:w="6927" w:type="dxa"/>
            <w:vMerge w:val="restart"/>
            <w:vAlign w:val="center"/>
          </w:tcPr>
          <w:p w:rsidR="001624F3" w:rsidRPr="001624F3" w:rsidRDefault="001624F3" w:rsidP="001624F3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Stoff – Produkt</w:t>
            </w:r>
          </w:p>
        </w:tc>
        <w:tc>
          <w:tcPr>
            <w:tcW w:w="1783" w:type="dxa"/>
            <w:tcBorders>
              <w:bottom w:val="nil"/>
            </w:tcBorders>
          </w:tcPr>
          <w:p w:rsidR="001624F3" w:rsidRPr="001624F3" w:rsidRDefault="001624F3" w:rsidP="001624F3">
            <w:pPr>
              <w:pStyle w:val="GesAbsatz"/>
              <w:jc w:val="left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 xml:space="preserve">Emissionsfaktor </w:t>
            </w:r>
          </w:p>
        </w:tc>
      </w:tr>
      <w:tr w:rsidR="001624F3" w:rsidRPr="001624F3" w:rsidTr="001624F3">
        <w:trPr>
          <w:trHeight w:val="368"/>
        </w:trPr>
        <w:tc>
          <w:tcPr>
            <w:tcW w:w="6927" w:type="dxa"/>
            <w:vMerge/>
          </w:tcPr>
          <w:p w:rsidR="001624F3" w:rsidRPr="001624F3" w:rsidRDefault="001624F3" w:rsidP="001624F3">
            <w:pPr>
              <w:pStyle w:val="GesAbsatz"/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1624F3" w:rsidRPr="001624F3" w:rsidRDefault="001624F3" w:rsidP="001624F3">
            <w:pPr>
              <w:pStyle w:val="GesAbsatz"/>
              <w:jc w:val="center"/>
              <w:rPr>
                <w:rFonts w:cs="Arial"/>
                <w:b/>
              </w:rPr>
            </w:pPr>
            <w:r w:rsidRPr="001624F3">
              <w:rPr>
                <w:rFonts w:cs="Arial"/>
                <w:b/>
              </w:rPr>
              <w:t>tCO</w:t>
            </w:r>
            <w:r w:rsidRPr="001624F3">
              <w:rPr>
                <w:rFonts w:cs="Arial"/>
                <w:b/>
                <w:vertAlign w:val="subscript"/>
              </w:rPr>
              <w:t>2</w:t>
            </w:r>
            <w:r w:rsidRPr="001624F3">
              <w:rPr>
                <w:rFonts w:cs="Arial"/>
                <w:b/>
              </w:rPr>
              <w:t>/t</w:t>
            </w:r>
          </w:p>
        </w:tc>
      </w:tr>
      <w:tr w:rsidR="00634186" w:rsidRPr="001624F3" w:rsidTr="001624F3">
        <w:trPr>
          <w:trHeight w:val="343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Produktion von Branntkalk (bezogen auf CaO)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0,785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Produktion von Dolomitkalk (bezogen auf 50 % CaO und 50 % MgO)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0,913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Produktion von Magnesiumoxid (aus MgCO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 xml:space="preserve"> bezogen auf MgO)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1,092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Produktion von Zementklinker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0,525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>Gips aus REA-Anlagen (bezogen auf CaCO</w:t>
            </w:r>
            <w:r w:rsidRPr="001624F3">
              <w:rPr>
                <w:rFonts w:cs="Arial"/>
                <w:vertAlign w:val="subscript"/>
              </w:rPr>
              <w:t>3</w:t>
            </w:r>
            <w:r w:rsidRPr="001624F3">
              <w:rPr>
                <w:rFonts w:cs="Arial"/>
              </w:rPr>
              <w:t>-Einsatz) CaSO</w:t>
            </w:r>
            <w:r w:rsidRPr="001624F3">
              <w:rPr>
                <w:rFonts w:cs="Arial"/>
                <w:vertAlign w:val="subscript"/>
              </w:rPr>
              <w:t>4</w:t>
            </w:r>
            <w:r w:rsidR="003E6AC2">
              <w:rPr>
                <w:rFonts w:cs="Arial"/>
              </w:rPr>
              <w:t xml:space="preserve"> </w:t>
            </w:r>
            <w:r w:rsidR="001624F3">
              <w:rPr>
                <w:rFonts w:cs="Arial"/>
              </w:rPr>
              <w:sym w:font="Symbol" w:char="F0D7"/>
            </w:r>
            <w:r w:rsidR="003E6AC2">
              <w:rPr>
                <w:rFonts w:cs="Arial"/>
              </w:rPr>
              <w:t xml:space="preserve"> </w:t>
            </w:r>
            <w:r w:rsidRPr="001624F3">
              <w:rPr>
                <w:rFonts w:cs="Arial"/>
              </w:rPr>
              <w:t>2 H</w:t>
            </w:r>
            <w:r w:rsidRPr="001624F3">
              <w:rPr>
                <w:rFonts w:cs="Arial"/>
                <w:vertAlign w:val="subscript"/>
              </w:rPr>
              <w:t>2</w:t>
            </w:r>
            <w:r w:rsidRPr="001624F3">
              <w:rPr>
                <w:rFonts w:cs="Arial"/>
              </w:rPr>
              <w:t xml:space="preserve">O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center"/>
              <w:rPr>
                <w:rFonts w:cs="Arial"/>
              </w:rPr>
            </w:pPr>
            <w:r w:rsidRPr="001624F3">
              <w:rPr>
                <w:rFonts w:cs="Arial"/>
              </w:rPr>
              <w:t>0,256</w:t>
            </w:r>
          </w:p>
        </w:tc>
      </w:tr>
    </w:tbl>
    <w:p w:rsidR="003E6AC2" w:rsidRDefault="003E6AC2"/>
    <w:tbl>
      <w:tblPr>
        <w:tblW w:w="8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94"/>
        <w:gridCol w:w="1916"/>
      </w:tblGrid>
      <w:tr w:rsidR="003E6AC2" w:rsidRPr="001624F3" w:rsidTr="003E6AC2">
        <w:trPr>
          <w:trHeight w:val="365"/>
        </w:trPr>
        <w:tc>
          <w:tcPr>
            <w:tcW w:w="6927" w:type="dxa"/>
            <w:vMerge w:val="restart"/>
            <w:vAlign w:val="center"/>
          </w:tcPr>
          <w:p w:rsidR="003E6AC2" w:rsidRPr="003E6AC2" w:rsidRDefault="003E6AC2" w:rsidP="003E6AC2">
            <w:pPr>
              <w:pStyle w:val="GesAbsatz"/>
              <w:jc w:val="center"/>
              <w:rPr>
                <w:rFonts w:cs="Arial"/>
                <w:b/>
              </w:rPr>
            </w:pPr>
            <w:r w:rsidRPr="003E6AC2">
              <w:rPr>
                <w:rFonts w:cs="Arial"/>
                <w:b/>
              </w:rPr>
              <w:t>Stoff – Kohlenstoffbilanz</w:t>
            </w:r>
          </w:p>
        </w:tc>
        <w:tc>
          <w:tcPr>
            <w:tcW w:w="1783" w:type="dxa"/>
            <w:tcBorders>
              <w:bottom w:val="nil"/>
            </w:tcBorders>
          </w:tcPr>
          <w:p w:rsidR="003E6AC2" w:rsidRPr="003E6AC2" w:rsidRDefault="003E6AC2" w:rsidP="001624F3">
            <w:pPr>
              <w:pStyle w:val="GesAbsatz"/>
              <w:jc w:val="left"/>
              <w:rPr>
                <w:rFonts w:cs="Arial"/>
                <w:b/>
              </w:rPr>
            </w:pPr>
            <w:r w:rsidRPr="003E6AC2">
              <w:rPr>
                <w:rFonts w:cs="Arial"/>
                <w:b/>
              </w:rPr>
              <w:t xml:space="preserve">Kohlenstoffgehalt </w:t>
            </w:r>
          </w:p>
        </w:tc>
      </w:tr>
      <w:tr w:rsidR="003E6AC2" w:rsidRPr="001624F3" w:rsidTr="003E6AC2">
        <w:trPr>
          <w:trHeight w:val="365"/>
        </w:trPr>
        <w:tc>
          <w:tcPr>
            <w:tcW w:w="6927" w:type="dxa"/>
            <w:vMerge/>
          </w:tcPr>
          <w:p w:rsidR="003E6AC2" w:rsidRPr="003E6AC2" w:rsidRDefault="003E6AC2" w:rsidP="001624F3">
            <w:pPr>
              <w:pStyle w:val="GesAbsatz"/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3E6AC2" w:rsidRPr="003E6AC2" w:rsidRDefault="003E6AC2" w:rsidP="003E6AC2">
            <w:pPr>
              <w:pStyle w:val="GesAbsatz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tC</w:t>
            </w:r>
            <w:proofErr w:type="spellEnd"/>
            <w:r w:rsidRPr="003E6AC2">
              <w:rPr>
                <w:rFonts w:cs="Arial"/>
                <w:b/>
              </w:rPr>
              <w:t>/t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Benzol (100 % Reinheit)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0,923 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Dieselkraftstoff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0,868 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Eisenschwamm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0,020 </w:t>
            </w:r>
          </w:p>
        </w:tc>
      </w:tr>
      <w:tr w:rsidR="00634186" w:rsidRPr="001624F3" w:rsidTr="001624F3">
        <w:trPr>
          <w:trHeight w:val="343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Elektrodenabbrand (98 % C-Gehalt)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0,980 </w:t>
            </w:r>
          </w:p>
        </w:tc>
      </w:tr>
      <w:tr w:rsidR="00634186" w:rsidRPr="001624F3" w:rsidTr="001624F3">
        <w:trPr>
          <w:trHeight w:val="348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Flüssiggas (Butan 100 % Reinheit)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0,828 </w:t>
            </w:r>
          </w:p>
        </w:tc>
      </w:tr>
      <w:tr w:rsidR="00634186" w:rsidRPr="001624F3" w:rsidTr="001624F3">
        <w:trPr>
          <w:trHeight w:val="343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lastRenderedPageBreak/>
              <w:t xml:space="preserve">Flüssiggas (Propan 100 % Reinheit)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0,818 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Heizöl, leicht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0,862 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Heizöl, schwer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0,872 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Methanol (100 % Reinheit)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0,375 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Roheisen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0,047 </w:t>
            </w:r>
          </w:p>
        </w:tc>
      </w:tr>
      <w:tr w:rsidR="00634186" w:rsidRPr="001624F3" w:rsidTr="001624F3">
        <w:trPr>
          <w:trHeight w:val="345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Rohöl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0,932 </w:t>
            </w:r>
          </w:p>
        </w:tc>
      </w:tr>
      <w:tr w:rsidR="00634186" w:rsidRPr="001624F3" w:rsidTr="001624F3">
        <w:trPr>
          <w:trHeight w:val="343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Stahl (auch Stahlschrott)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0,0015 </w:t>
            </w:r>
          </w:p>
        </w:tc>
      </w:tr>
      <w:tr w:rsidR="00634186" w:rsidRPr="001624F3" w:rsidTr="001624F3">
        <w:trPr>
          <w:trHeight w:val="348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Teer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0,883 </w:t>
            </w:r>
          </w:p>
        </w:tc>
      </w:tr>
      <w:tr w:rsidR="00634186" w:rsidRPr="001624F3" w:rsidTr="001624F3">
        <w:trPr>
          <w:trHeight w:val="250"/>
        </w:trPr>
        <w:tc>
          <w:tcPr>
            <w:tcW w:w="6927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Polystyrol (geschäumt) </w:t>
            </w:r>
          </w:p>
        </w:tc>
        <w:tc>
          <w:tcPr>
            <w:tcW w:w="1783" w:type="dxa"/>
          </w:tcPr>
          <w:p w:rsidR="00634186" w:rsidRPr="001624F3" w:rsidRDefault="00634186" w:rsidP="001624F3">
            <w:pPr>
              <w:pStyle w:val="GesAbsatz"/>
              <w:jc w:val="left"/>
              <w:rPr>
                <w:rFonts w:cs="Arial"/>
              </w:rPr>
            </w:pPr>
            <w:r w:rsidRPr="001624F3">
              <w:rPr>
                <w:rFonts w:cs="Arial"/>
              </w:rPr>
              <w:t xml:space="preserve">0,923 </w:t>
            </w:r>
          </w:p>
        </w:tc>
      </w:tr>
    </w:tbl>
    <w:p w:rsidR="00C95F53" w:rsidRDefault="00C95F53" w:rsidP="0038031E">
      <w:pPr>
        <w:pStyle w:val="GesAbsatz"/>
      </w:pPr>
    </w:p>
    <w:p w:rsidR="0038031E" w:rsidRDefault="0038031E" w:rsidP="00981843">
      <w:pPr>
        <w:pStyle w:val="berschrift2"/>
        <w:jc w:val="left"/>
      </w:pPr>
      <w:bookmarkStart w:id="29" w:name="_Toc401645598"/>
      <w:r>
        <w:t>Anhang 2</w:t>
      </w:r>
      <w:r w:rsidR="00981843">
        <w:br/>
      </w:r>
      <w:r>
        <w:t>(zu § 5 Abs. 3)</w:t>
      </w:r>
      <w:bookmarkEnd w:id="29"/>
    </w:p>
    <w:p w:rsidR="0038031E" w:rsidRPr="00981843" w:rsidRDefault="0038031E" w:rsidP="00981843">
      <w:pPr>
        <w:pStyle w:val="GesAbsatz"/>
        <w:jc w:val="center"/>
        <w:rPr>
          <w:b/>
        </w:rPr>
      </w:pPr>
      <w:r w:rsidRPr="00981843">
        <w:rPr>
          <w:b/>
        </w:rPr>
        <w:t>Bestimmung des spezifischen</w:t>
      </w:r>
      <w:r w:rsidR="00981843" w:rsidRPr="00981843">
        <w:rPr>
          <w:b/>
        </w:rPr>
        <w:t xml:space="preserve"> </w:t>
      </w:r>
      <w:r w:rsidRPr="00981843">
        <w:rPr>
          <w:b/>
        </w:rPr>
        <w:t>Ko</w:t>
      </w:r>
      <w:r w:rsidR="00981843">
        <w:rPr>
          <w:b/>
        </w:rPr>
        <w:t>hlendioxid-Emissionsfaktors für</w:t>
      </w:r>
      <w:r w:rsidR="00981843">
        <w:rPr>
          <w:b/>
        </w:rPr>
        <w:br/>
      </w:r>
      <w:r w:rsidRPr="00981843">
        <w:rPr>
          <w:b/>
        </w:rPr>
        <w:t>Vollwert-Steinkohle über den unteren Heizwert</w:t>
      </w:r>
    </w:p>
    <w:p w:rsidR="0038031E" w:rsidRPr="00981843" w:rsidRDefault="0038031E" w:rsidP="0038031E">
      <w:pPr>
        <w:pStyle w:val="GesAbsatz"/>
        <w:rPr>
          <w:b/>
        </w:rPr>
      </w:pPr>
      <w:r w:rsidRPr="00981843">
        <w:rPr>
          <w:b/>
        </w:rPr>
        <w:t>Formel</w:t>
      </w:r>
    </w:p>
    <w:p w:rsidR="00981843" w:rsidRDefault="00981843" w:rsidP="00981843">
      <w:pPr>
        <w:pStyle w:val="GesAbsatz"/>
        <w:jc w:val="center"/>
      </w:pPr>
      <w:r w:rsidRPr="00981843">
        <w:rPr>
          <w:position w:val="-32"/>
        </w:rPr>
        <w:object w:dxaOrig="36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8pt;height:37.8pt" o:ole="">
            <v:imagedata r:id="rId8" o:title=""/>
          </v:shape>
          <o:OLEObject Type="Embed" ProgID="Equation.3" ShapeID="_x0000_i1025" DrawAspect="Content" ObjectID="_1593415460" r:id="rId9"/>
        </w:object>
      </w:r>
    </w:p>
    <w:p w:rsidR="0038031E" w:rsidRDefault="0038031E" w:rsidP="0038031E">
      <w:pPr>
        <w:pStyle w:val="GesAbsatz"/>
      </w:pPr>
      <w:r>
        <w:t>EF</w:t>
      </w:r>
      <w:r w:rsidR="00981843">
        <w:tab/>
      </w:r>
      <w:r>
        <w:t>Heizwertbezogener CO</w:t>
      </w:r>
      <w:r w:rsidRPr="00981843">
        <w:rPr>
          <w:vertAlign w:val="subscript"/>
        </w:rPr>
        <w:t>2</w:t>
      </w:r>
      <w:r>
        <w:t>-Emissionsfaktor in t CO</w:t>
      </w:r>
      <w:r w:rsidRPr="00981843">
        <w:rPr>
          <w:vertAlign w:val="subscript"/>
        </w:rPr>
        <w:t>2</w:t>
      </w:r>
      <w:r>
        <w:t>/GJ</w:t>
      </w:r>
    </w:p>
    <w:p w:rsidR="0038031E" w:rsidRDefault="0038031E" w:rsidP="0038031E">
      <w:pPr>
        <w:pStyle w:val="GesAbsatz"/>
      </w:pPr>
      <w:r>
        <w:t>H</w:t>
      </w:r>
      <w:r w:rsidRPr="002E29CA">
        <w:rPr>
          <w:vertAlign w:val="subscript"/>
        </w:rPr>
        <w:t>u</w:t>
      </w:r>
      <w:r w:rsidR="00981843">
        <w:tab/>
      </w:r>
      <w:r>
        <w:t>Unterer Heizwert des Brennstoffs in GJ/t</w:t>
      </w:r>
    </w:p>
    <w:p w:rsidR="0038031E" w:rsidRDefault="0038031E" w:rsidP="00981843">
      <w:pPr>
        <w:pStyle w:val="berschrift2"/>
        <w:jc w:val="left"/>
      </w:pPr>
      <w:bookmarkStart w:id="30" w:name="_Toc401645599"/>
      <w:r>
        <w:t>Anhang 3</w:t>
      </w:r>
      <w:r w:rsidR="00981843">
        <w:br/>
      </w:r>
      <w:r>
        <w:t>(zu § 9)</w:t>
      </w:r>
      <w:bookmarkEnd w:id="30"/>
    </w:p>
    <w:p w:rsidR="0038031E" w:rsidRPr="00981843" w:rsidRDefault="0038031E" w:rsidP="00981843">
      <w:pPr>
        <w:pStyle w:val="GesAbsatz"/>
        <w:jc w:val="center"/>
        <w:rPr>
          <w:b/>
        </w:rPr>
      </w:pPr>
      <w:r w:rsidRPr="00981843">
        <w:rPr>
          <w:b/>
        </w:rPr>
        <w:t>Ermittlung der Kohlendioxid-Emissionen</w:t>
      </w:r>
      <w:r w:rsidR="00981843">
        <w:rPr>
          <w:b/>
        </w:rPr>
        <w:br/>
      </w:r>
      <w:r w:rsidRPr="00981843">
        <w:rPr>
          <w:b/>
        </w:rPr>
        <w:t>aus der Regeneration von Katalysatoren und aus der Kalzinierung von Petrolkoks</w:t>
      </w:r>
    </w:p>
    <w:p w:rsidR="0038031E" w:rsidRPr="00981843" w:rsidRDefault="0038031E" w:rsidP="0038031E">
      <w:pPr>
        <w:pStyle w:val="GesAbsatz"/>
        <w:rPr>
          <w:b/>
        </w:rPr>
      </w:pPr>
      <w:r w:rsidRPr="00981843">
        <w:rPr>
          <w:b/>
        </w:rPr>
        <w:t>Formel 1</w:t>
      </w:r>
    </w:p>
    <w:p w:rsidR="00981843" w:rsidRDefault="006A5C92" w:rsidP="00981843">
      <w:pPr>
        <w:pStyle w:val="GesAbsatz"/>
        <w:jc w:val="center"/>
      </w:pPr>
      <w:r w:rsidRPr="00981843">
        <w:rPr>
          <w:position w:val="-24"/>
        </w:rPr>
        <w:object w:dxaOrig="2860" w:dyaOrig="620">
          <v:shape id="_x0000_i1026" type="#_x0000_t75" style="width:142.8pt;height:31.2pt" o:ole="">
            <v:imagedata r:id="rId10" o:title=""/>
          </v:shape>
          <o:OLEObject Type="Embed" ProgID="Equation.3" ShapeID="_x0000_i1026" DrawAspect="Content" ObjectID="_1593415461" r:id="rId11"/>
        </w:object>
      </w:r>
    </w:p>
    <w:p w:rsidR="0038031E" w:rsidRDefault="0038031E" w:rsidP="00981843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E</w:t>
      </w:r>
      <w:r w:rsidRPr="00981843">
        <w:rPr>
          <w:vertAlign w:val="subscript"/>
        </w:rPr>
        <w:t>ges</w:t>
      </w:r>
      <w:proofErr w:type="spellEnd"/>
      <w:r w:rsidRPr="00981843">
        <w:rPr>
          <w:vertAlign w:val="subscript"/>
        </w:rPr>
        <w:t>.</w:t>
      </w:r>
      <w:r w:rsidR="00981843">
        <w:tab/>
      </w:r>
      <w:r>
        <w:t>Gesamte Kohlendioxid-Emissionen in t CO</w:t>
      </w:r>
      <w:r w:rsidRPr="00981843">
        <w:rPr>
          <w:vertAlign w:val="subscript"/>
        </w:rPr>
        <w:t>2</w:t>
      </w:r>
    </w:p>
    <w:p w:rsidR="0038031E" w:rsidRDefault="0038031E" w:rsidP="00981843">
      <w:pPr>
        <w:pStyle w:val="GesAbsatz"/>
        <w:tabs>
          <w:tab w:val="clear" w:pos="425"/>
          <w:tab w:val="left" w:pos="709"/>
        </w:tabs>
        <w:ind w:left="709" w:hanging="709"/>
      </w:pPr>
      <w:r>
        <w:t>C</w:t>
      </w:r>
      <w:r w:rsidRPr="00981843">
        <w:rPr>
          <w:vertAlign w:val="subscript"/>
        </w:rPr>
        <w:t>gem;t0</w:t>
      </w:r>
      <w:r w:rsidR="00981843">
        <w:tab/>
      </w:r>
      <w:r>
        <w:t>Gemessener Kohlenstoffgehalt des Katalysators unmittelbar vor dem Regenerationsprozess in t; im Fall der</w:t>
      </w:r>
      <w:r w:rsidR="00981843">
        <w:t xml:space="preserve"> </w:t>
      </w:r>
      <w:r>
        <w:t>Kalzinierung gemessener Kohlenstoffgehalt des Kokses vor der Kalzinierung in t</w:t>
      </w:r>
    </w:p>
    <w:p w:rsidR="0038031E" w:rsidRDefault="0038031E" w:rsidP="00981843">
      <w:pPr>
        <w:pStyle w:val="GesAbsatz"/>
        <w:tabs>
          <w:tab w:val="clear" w:pos="425"/>
          <w:tab w:val="left" w:pos="709"/>
        </w:tabs>
        <w:ind w:left="709" w:hanging="709"/>
      </w:pPr>
      <w:r>
        <w:t>C</w:t>
      </w:r>
      <w:r w:rsidRPr="00981843">
        <w:rPr>
          <w:vertAlign w:val="subscript"/>
        </w:rPr>
        <w:t>gem;t1</w:t>
      </w:r>
      <w:r w:rsidR="00981843">
        <w:tab/>
      </w:r>
      <w:r>
        <w:t>Gemessener Kohlenstoffgehalt des Katalysators unmittelbar nach dem Regenerationsprozess in t; im Fall der</w:t>
      </w:r>
      <w:r w:rsidR="00981843">
        <w:t xml:space="preserve"> </w:t>
      </w:r>
      <w:r>
        <w:t>Kalzinierung gemessener Kohlenstoffgehalt des Kokses nach der Kalzinierung in t</w:t>
      </w:r>
    </w:p>
    <w:p w:rsidR="0038031E" w:rsidRPr="00981843" w:rsidRDefault="0038031E" w:rsidP="0038031E">
      <w:pPr>
        <w:pStyle w:val="GesAbsatz"/>
        <w:rPr>
          <w:b/>
        </w:rPr>
      </w:pPr>
      <w:r w:rsidRPr="00981843">
        <w:rPr>
          <w:b/>
        </w:rPr>
        <w:t>Formel 2</w:t>
      </w:r>
    </w:p>
    <w:p w:rsidR="00981843" w:rsidRDefault="00F32A1B" w:rsidP="008F1BE2">
      <w:pPr>
        <w:pStyle w:val="GesAbsatz"/>
        <w:jc w:val="center"/>
      </w:pPr>
      <w:r w:rsidRPr="00981843">
        <w:rPr>
          <w:position w:val="-24"/>
        </w:rPr>
        <w:object w:dxaOrig="2760" w:dyaOrig="620">
          <v:shape id="_x0000_i1027" type="#_x0000_t75" style="width:138pt;height:31.2pt" o:ole="">
            <v:imagedata r:id="rId12" o:title=""/>
          </v:shape>
          <o:OLEObject Type="Embed" ProgID="Equation.3" ShapeID="_x0000_i1027" DrawAspect="Content" ObjectID="_1593415462" r:id="rId13"/>
        </w:object>
      </w:r>
    </w:p>
    <w:p w:rsidR="0038031E" w:rsidRDefault="0038031E" w:rsidP="00F32A1B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E</w:t>
      </w:r>
      <w:r w:rsidRPr="00F32A1B">
        <w:rPr>
          <w:vertAlign w:val="subscript"/>
        </w:rPr>
        <w:t>ges</w:t>
      </w:r>
      <w:proofErr w:type="spellEnd"/>
      <w:r w:rsidRPr="00F32A1B">
        <w:rPr>
          <w:vertAlign w:val="subscript"/>
        </w:rPr>
        <w:t>.</w:t>
      </w:r>
      <w:r w:rsidR="00F32A1B">
        <w:tab/>
      </w:r>
      <w:r>
        <w:t>Gesamte Kohlendioxid-Emissionen in t CO</w:t>
      </w:r>
      <w:r w:rsidRPr="00F32A1B">
        <w:rPr>
          <w:vertAlign w:val="subscript"/>
        </w:rPr>
        <w:t>2</w:t>
      </w:r>
    </w:p>
    <w:p w:rsidR="0038031E" w:rsidRDefault="0038031E" w:rsidP="00F32A1B">
      <w:pPr>
        <w:pStyle w:val="GesAbsatz"/>
        <w:tabs>
          <w:tab w:val="clear" w:pos="425"/>
          <w:tab w:val="left" w:pos="709"/>
        </w:tabs>
        <w:ind w:left="709" w:hanging="709"/>
      </w:pPr>
      <w:r>
        <w:t>C</w:t>
      </w:r>
      <w:r w:rsidRPr="00F32A1B">
        <w:rPr>
          <w:vertAlign w:val="subscript"/>
        </w:rPr>
        <w:t>ber;t0</w:t>
      </w:r>
      <w:r w:rsidR="00F32A1B">
        <w:tab/>
      </w:r>
      <w:r>
        <w:t>Berechneter Kohlenstoffgehalt des Katalysators unmittelbar vor dem Regenerationsprozess in t; im Fall der Kalzinierung</w:t>
      </w:r>
      <w:r w:rsidR="00F32A1B">
        <w:t xml:space="preserve"> </w:t>
      </w:r>
      <w:r>
        <w:t>berechneter Kohlenstoffgehalt des Kokses vor der Kalzinierung in t</w:t>
      </w:r>
    </w:p>
    <w:p w:rsidR="0038031E" w:rsidRDefault="0038031E" w:rsidP="00F32A1B">
      <w:pPr>
        <w:pStyle w:val="GesAbsatz"/>
        <w:tabs>
          <w:tab w:val="clear" w:pos="425"/>
          <w:tab w:val="left" w:pos="709"/>
        </w:tabs>
        <w:ind w:left="709" w:hanging="709"/>
      </w:pPr>
      <w:r>
        <w:t>C</w:t>
      </w:r>
      <w:r w:rsidRPr="00F32A1B">
        <w:rPr>
          <w:vertAlign w:val="subscript"/>
        </w:rPr>
        <w:t>ber;t1</w:t>
      </w:r>
      <w:r w:rsidR="00F32A1B">
        <w:tab/>
      </w:r>
      <w:r>
        <w:t>Berechneter Kohlenstoffgehalt des Katalysators unmittelbar nach dem Regenerationsprozess in t; im Fall der</w:t>
      </w:r>
      <w:r w:rsidR="00F32A1B">
        <w:t xml:space="preserve"> </w:t>
      </w:r>
      <w:r>
        <w:t>Kalzinierung berechneter Kohlenstoffgehalt des Kokses nach der Kalzinierung in t</w:t>
      </w:r>
    </w:p>
    <w:p w:rsidR="0038031E" w:rsidRPr="00981843" w:rsidRDefault="0038031E" w:rsidP="0038031E">
      <w:pPr>
        <w:pStyle w:val="GesAbsatz"/>
        <w:rPr>
          <w:b/>
        </w:rPr>
      </w:pPr>
      <w:r w:rsidRPr="00981843">
        <w:rPr>
          <w:b/>
        </w:rPr>
        <w:t>Formel 3</w:t>
      </w:r>
    </w:p>
    <w:p w:rsidR="00981843" w:rsidRDefault="006A5C92" w:rsidP="006A5C92">
      <w:pPr>
        <w:pStyle w:val="GesAbsatz"/>
        <w:jc w:val="center"/>
      </w:pPr>
      <w:r w:rsidRPr="006A5C92">
        <w:rPr>
          <w:position w:val="-28"/>
        </w:rPr>
        <w:object w:dxaOrig="3220" w:dyaOrig="660">
          <v:shape id="_x0000_i1028" type="#_x0000_t75" style="width:160.8pt;height:33pt" o:ole="">
            <v:imagedata r:id="rId14" o:title=""/>
          </v:shape>
          <o:OLEObject Type="Embed" ProgID="Equation.3" ShapeID="_x0000_i1028" DrawAspect="Content" ObjectID="_1593415463" r:id="rId15"/>
        </w:object>
      </w:r>
    </w:p>
    <w:p w:rsidR="0038031E" w:rsidRDefault="0038031E" w:rsidP="006A5C92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E</w:t>
      </w:r>
      <w:r w:rsidRPr="006A5C92">
        <w:rPr>
          <w:vertAlign w:val="subscript"/>
        </w:rPr>
        <w:t>ges</w:t>
      </w:r>
      <w:proofErr w:type="spellEnd"/>
      <w:r w:rsidRPr="006A5C92">
        <w:rPr>
          <w:vertAlign w:val="subscript"/>
        </w:rPr>
        <w:t>.</w:t>
      </w:r>
      <w:r w:rsidR="006A5C92">
        <w:tab/>
      </w:r>
      <w:r>
        <w:t>Gesamte Kohlendioxid-Emissionen in t CO</w:t>
      </w:r>
      <w:r w:rsidRPr="006A5C92">
        <w:rPr>
          <w:vertAlign w:val="subscript"/>
        </w:rPr>
        <w:t>2</w:t>
      </w:r>
    </w:p>
    <w:p w:rsidR="0038031E" w:rsidRDefault="0038031E" w:rsidP="006A5C92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V</w:t>
      </w:r>
      <w:r w:rsidRPr="006A5C92">
        <w:rPr>
          <w:vertAlign w:val="subscript"/>
        </w:rPr>
        <w:t>ber</w:t>
      </w:r>
      <w:proofErr w:type="spellEnd"/>
      <w:r w:rsidR="002E29CA">
        <w:tab/>
      </w:r>
      <w:r>
        <w:t>Aus der Mengenmessung des Gasstroms bestimmter Jahresvolumenstrom des Abgases (umg</w:t>
      </w:r>
      <w:r>
        <w:t>e</w:t>
      </w:r>
      <w:r>
        <w:t>rechnet in trockenes</w:t>
      </w:r>
      <w:r w:rsidR="006A5C92">
        <w:t xml:space="preserve"> </w:t>
      </w:r>
      <w:r>
        <w:t>Abgas) in Nm</w:t>
      </w:r>
      <w:r w:rsidR="006A5C92">
        <w:t>³</w:t>
      </w:r>
    </w:p>
    <w:p w:rsidR="0038031E" w:rsidRDefault="0038031E" w:rsidP="006A5C92">
      <w:pPr>
        <w:pStyle w:val="GesAbsatz"/>
        <w:tabs>
          <w:tab w:val="clear" w:pos="425"/>
          <w:tab w:val="left" w:pos="709"/>
        </w:tabs>
        <w:ind w:left="709" w:hanging="709"/>
      </w:pPr>
      <w:r>
        <w:t>a</w:t>
      </w:r>
      <w:r w:rsidRPr="006A5C92">
        <w:rPr>
          <w:vertAlign w:val="subscript"/>
        </w:rPr>
        <w:t>CO2</w:t>
      </w:r>
      <w:r w:rsidR="006A5C92">
        <w:tab/>
      </w:r>
      <w:r>
        <w:t>Gemessener Kohlendioxidgehalt des trockenen Abgases in Vol-%</w:t>
      </w:r>
    </w:p>
    <w:p w:rsidR="0038031E" w:rsidRDefault="0038031E" w:rsidP="0038031E">
      <w:pPr>
        <w:pStyle w:val="GesAbsatz"/>
      </w:pPr>
      <w:r>
        <w:t>Wenn eine Messung des Kohlenmonoxids vor der Umwandlung in Kohlendioxid erfolgt, ist das Kohlenmon</w:t>
      </w:r>
      <w:r>
        <w:t>o</w:t>
      </w:r>
      <w:r>
        <w:t>xid in die Rechnung</w:t>
      </w:r>
      <w:r w:rsidR="006A5C92">
        <w:t xml:space="preserve"> </w:t>
      </w:r>
      <w:r>
        <w:t>einzubeziehen. Dabei wird unterstellt, dass das Kohlenmonoxid vollständig zu Kohle</w:t>
      </w:r>
      <w:r>
        <w:t>n</w:t>
      </w:r>
      <w:r>
        <w:t>dioxid umgesetzt wird.</w:t>
      </w:r>
    </w:p>
    <w:p w:rsidR="0038031E" w:rsidRDefault="0038031E" w:rsidP="0038031E">
      <w:pPr>
        <w:pStyle w:val="GesAbsatz"/>
        <w:rPr>
          <w:b/>
        </w:rPr>
      </w:pPr>
      <w:r w:rsidRPr="006A5C92">
        <w:rPr>
          <w:b/>
        </w:rPr>
        <w:t>Formel 4</w:t>
      </w:r>
    </w:p>
    <w:p w:rsidR="005639E1" w:rsidRDefault="005639E1" w:rsidP="005639E1">
      <w:pPr>
        <w:pStyle w:val="GesAbsatz"/>
      </w:pPr>
      <w:r>
        <w:t>Berechnung der trockenen Abgasmenge aus der zugeführten Luftmenge bei konstantem Inertgasanteil von 79,07 Volumenprozent.</w:t>
      </w:r>
    </w:p>
    <w:p w:rsidR="006A5C92" w:rsidRDefault="005639E1" w:rsidP="005639E1">
      <w:pPr>
        <w:pStyle w:val="GesAbsatz"/>
        <w:jc w:val="center"/>
      </w:pPr>
      <w:r w:rsidRPr="005639E1">
        <w:rPr>
          <w:position w:val="-34"/>
        </w:rPr>
        <w:object w:dxaOrig="2980" w:dyaOrig="820">
          <v:shape id="_x0000_i1029" type="#_x0000_t75" style="width:148.8pt;height:40.8pt" o:ole="">
            <v:imagedata r:id="rId16" o:title=""/>
          </v:shape>
          <o:OLEObject Type="Embed" ProgID="Equation.3" ShapeID="_x0000_i1029" DrawAspect="Content" ObjectID="_1593415464" r:id="rId17"/>
        </w:object>
      </w:r>
    </w:p>
    <w:p w:rsidR="0038031E" w:rsidRDefault="0038031E" w:rsidP="005639E1">
      <w:pPr>
        <w:pStyle w:val="GesAbsatz"/>
        <w:tabs>
          <w:tab w:val="clear" w:pos="425"/>
          <w:tab w:val="left" w:pos="709"/>
        </w:tabs>
      </w:pPr>
      <w:proofErr w:type="spellStart"/>
      <w:r>
        <w:t>V</w:t>
      </w:r>
      <w:r w:rsidRPr="005639E1">
        <w:rPr>
          <w:vertAlign w:val="subscript"/>
        </w:rPr>
        <w:t>luft,tr</w:t>
      </w:r>
      <w:proofErr w:type="spellEnd"/>
      <w:r w:rsidR="005639E1">
        <w:tab/>
      </w:r>
      <w:r>
        <w:t>Volumenstrom der zugeführten Luft (umgerechnet in getrocknete Luft) in Nm</w:t>
      </w:r>
      <w:r w:rsidR="005639E1">
        <w:t>³</w:t>
      </w:r>
      <w:r>
        <w:t xml:space="preserve"> pro Zeiteinheit</w:t>
      </w:r>
    </w:p>
    <w:p w:rsidR="0038031E" w:rsidRDefault="0038031E" w:rsidP="005639E1">
      <w:pPr>
        <w:pStyle w:val="GesAbsatz"/>
        <w:tabs>
          <w:tab w:val="clear" w:pos="425"/>
          <w:tab w:val="left" w:pos="709"/>
        </w:tabs>
        <w:ind w:left="709" w:hanging="709"/>
      </w:pPr>
      <w:r>
        <w:t>a</w:t>
      </w:r>
      <w:r w:rsidRPr="005639E1">
        <w:rPr>
          <w:vertAlign w:val="subscript"/>
        </w:rPr>
        <w:t>CO2</w:t>
      </w:r>
      <w:r w:rsidR="005639E1">
        <w:tab/>
      </w:r>
      <w:r>
        <w:t>Gemessener Kohlendioxidgehalt des trockenen Abgases in Vol-%</w:t>
      </w:r>
    </w:p>
    <w:p w:rsidR="0038031E" w:rsidRDefault="0038031E" w:rsidP="005639E1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b</w:t>
      </w:r>
      <w:r w:rsidRPr="005639E1">
        <w:rPr>
          <w:vertAlign w:val="subscript"/>
        </w:rPr>
        <w:t>CO</w:t>
      </w:r>
      <w:proofErr w:type="spellEnd"/>
      <w:r w:rsidR="005639E1">
        <w:tab/>
      </w:r>
      <w:r>
        <w:t xml:space="preserve">Gemessener </w:t>
      </w:r>
      <w:proofErr w:type="spellStart"/>
      <w:r>
        <w:t>Kohlenmonoxidgehalt</w:t>
      </w:r>
      <w:proofErr w:type="spellEnd"/>
      <w:r>
        <w:t xml:space="preserve"> des trockenen Abgases in Vol-%</w:t>
      </w:r>
    </w:p>
    <w:p w:rsidR="0038031E" w:rsidRDefault="0038031E" w:rsidP="005639E1">
      <w:pPr>
        <w:pStyle w:val="GesAbsatz"/>
        <w:tabs>
          <w:tab w:val="clear" w:pos="425"/>
          <w:tab w:val="left" w:pos="709"/>
        </w:tabs>
        <w:ind w:left="709" w:hanging="709"/>
      </w:pPr>
      <w:r>
        <w:t>c</w:t>
      </w:r>
      <w:r w:rsidRPr="005639E1">
        <w:rPr>
          <w:vertAlign w:val="subscript"/>
        </w:rPr>
        <w:t>O2</w:t>
      </w:r>
      <w:r w:rsidR="005639E1">
        <w:tab/>
      </w:r>
      <w:r>
        <w:t>Gemessener Sauerstoffgehalt des trockenen Abgases in Vol-%</w:t>
      </w:r>
    </w:p>
    <w:p w:rsidR="0038031E" w:rsidRDefault="0038031E" w:rsidP="005639E1">
      <w:pPr>
        <w:pStyle w:val="berschrift2"/>
        <w:jc w:val="left"/>
      </w:pPr>
      <w:bookmarkStart w:id="31" w:name="_Toc401645600"/>
      <w:r>
        <w:t>Anhang 4</w:t>
      </w:r>
      <w:r w:rsidR="005639E1">
        <w:br/>
      </w:r>
      <w:r>
        <w:t>(zu § 19)</w:t>
      </w:r>
      <w:bookmarkEnd w:id="31"/>
    </w:p>
    <w:p w:rsidR="0038031E" w:rsidRPr="005639E1" w:rsidRDefault="0038031E" w:rsidP="005639E1">
      <w:pPr>
        <w:pStyle w:val="GesAbsatz"/>
        <w:jc w:val="center"/>
        <w:rPr>
          <w:b/>
        </w:rPr>
      </w:pPr>
      <w:r w:rsidRPr="005639E1">
        <w:rPr>
          <w:b/>
        </w:rPr>
        <w:t>Berechnungsvorschriften für Abzug und Hinzurechnung der Kuppelgasemissionen</w:t>
      </w:r>
    </w:p>
    <w:p w:rsidR="0038031E" w:rsidRPr="00EF7943" w:rsidRDefault="0038031E" w:rsidP="0038031E">
      <w:pPr>
        <w:pStyle w:val="GesAbsatz"/>
        <w:rPr>
          <w:b/>
        </w:rPr>
      </w:pPr>
      <w:r w:rsidRPr="00EF7943">
        <w:rPr>
          <w:b/>
        </w:rPr>
        <w:t>Formel 1</w:t>
      </w:r>
    </w:p>
    <w:p w:rsidR="0038031E" w:rsidRDefault="0038031E" w:rsidP="0023109A">
      <w:pPr>
        <w:pStyle w:val="GesAbsatz"/>
      </w:pPr>
      <w:r>
        <w:t xml:space="preserve">Zuteilung für Kuppelgas erzeugende Anlagen nach Anhang 1 Nr. VII bis </w:t>
      </w:r>
      <w:proofErr w:type="spellStart"/>
      <w:r>
        <w:t>IXb</w:t>
      </w:r>
      <w:proofErr w:type="spellEnd"/>
      <w:r>
        <w:t xml:space="preserve"> 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 w:rsidR="00EF7943">
        <w:t xml:space="preserve"> </w:t>
      </w:r>
      <w:r>
        <w:t>die bis zum 31. Dezember 2002 in Betrieb gegangen sind.</w:t>
      </w:r>
    </w:p>
    <w:p w:rsidR="00EF7943" w:rsidRDefault="00C07389" w:rsidP="00C07389">
      <w:pPr>
        <w:pStyle w:val="GesAbsatz"/>
        <w:jc w:val="center"/>
      </w:pPr>
      <w:r w:rsidRPr="00EF7943">
        <w:rPr>
          <w:position w:val="-18"/>
        </w:rPr>
        <w:object w:dxaOrig="3320" w:dyaOrig="440">
          <v:shape id="_x0000_i1030" type="#_x0000_t75" style="width:166.2pt;height:22.2pt" o:ole="">
            <v:imagedata r:id="rId18" o:title=""/>
          </v:shape>
          <o:OLEObject Type="Embed" ProgID="Equation.3" ShapeID="_x0000_i1030" DrawAspect="Content" ObjectID="_1593415465" r:id="rId19"/>
        </w:object>
      </w:r>
    </w:p>
    <w:p w:rsidR="0038031E" w:rsidRPr="00C07389" w:rsidRDefault="0038031E" w:rsidP="0038031E">
      <w:pPr>
        <w:pStyle w:val="GesAbsatz"/>
        <w:rPr>
          <w:b/>
        </w:rPr>
      </w:pPr>
      <w:r w:rsidRPr="00C07389">
        <w:rPr>
          <w:b/>
        </w:rPr>
        <w:t>Formel 2</w:t>
      </w:r>
    </w:p>
    <w:p w:rsidR="0038031E" w:rsidRDefault="0038031E" w:rsidP="0023109A">
      <w:pPr>
        <w:pStyle w:val="GesAbsatz"/>
      </w:pPr>
      <w:r>
        <w:t>Zuteilung für Kuppelgas verwertende Anlagen nach Anhang 1 Nr. VI bis XVIII 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 w:rsidR="00C07389">
        <w:t xml:space="preserve"> </w:t>
      </w:r>
      <w:r>
        <w:t>die bis zum 31. Dezember 2002 in Betrieb gegangen sind.</w:t>
      </w:r>
    </w:p>
    <w:p w:rsidR="00C07389" w:rsidRDefault="004C0A04" w:rsidP="00C07389">
      <w:pPr>
        <w:pStyle w:val="GesAbsatz"/>
        <w:jc w:val="center"/>
      </w:pPr>
      <w:r w:rsidRPr="00EF7943">
        <w:rPr>
          <w:position w:val="-18"/>
        </w:rPr>
        <w:object w:dxaOrig="3340" w:dyaOrig="440">
          <v:shape id="_x0000_i1031" type="#_x0000_t75" style="width:166.8pt;height:22.2pt" o:ole="">
            <v:imagedata r:id="rId20" o:title=""/>
          </v:shape>
          <o:OLEObject Type="Embed" ProgID="Equation.3" ShapeID="_x0000_i1031" DrawAspect="Content" ObjectID="_1593415466" r:id="rId21"/>
        </w:object>
      </w:r>
    </w:p>
    <w:p w:rsidR="0038031E" w:rsidRPr="00C07389" w:rsidRDefault="0038031E" w:rsidP="0038031E">
      <w:pPr>
        <w:pStyle w:val="GesAbsatz"/>
        <w:rPr>
          <w:b/>
        </w:rPr>
      </w:pPr>
      <w:r w:rsidRPr="00C07389">
        <w:rPr>
          <w:b/>
        </w:rPr>
        <w:t>Formel 3</w:t>
      </w:r>
    </w:p>
    <w:p w:rsidR="0038031E" w:rsidRDefault="0038031E" w:rsidP="0023109A">
      <w:pPr>
        <w:pStyle w:val="GesAbsatz"/>
      </w:pPr>
      <w:r>
        <w:t>Produktionsmenge von Kuppelgas verwertenden Anlagen nach Anhang 1 Nr. I bis V des Treibhausgas-Emissionshandelsgesetzes</w:t>
      </w:r>
      <w:r w:rsidR="0023109A">
        <w:t xml:space="preserve"> vom 8. Juli 2004 (BGBl. I S. 1578), das zuletzt durch Artikel 9 des Gesetzes vom 11. August 2010 (BGBl. I S. 1163) geändert worden ist,</w:t>
      </w:r>
      <w:r w:rsidR="00C07389">
        <w:t xml:space="preserve"> </w:t>
      </w:r>
      <w:r>
        <w:t>die bis zum 31. Dezember 2002 in Betrieb gegangen sind.</w:t>
      </w:r>
    </w:p>
    <w:p w:rsidR="00C07389" w:rsidRDefault="004C0A04" w:rsidP="004C0A04">
      <w:pPr>
        <w:pStyle w:val="GesAbsatz"/>
        <w:jc w:val="center"/>
      </w:pPr>
      <w:r w:rsidRPr="004C0A04">
        <w:rPr>
          <w:position w:val="-36"/>
        </w:rPr>
        <w:object w:dxaOrig="4080" w:dyaOrig="820">
          <v:shape id="_x0000_i1032" type="#_x0000_t75" style="width:204pt;height:40.8pt" o:ole="">
            <v:imagedata r:id="rId22" o:title=""/>
          </v:shape>
          <o:OLEObject Type="Embed" ProgID="Equation.3" ShapeID="_x0000_i1032" DrawAspect="Content" ObjectID="_1593415467" r:id="rId23"/>
        </w:object>
      </w:r>
    </w:p>
    <w:p w:rsidR="0038031E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r>
        <w:t>EB</w:t>
      </w:r>
      <w:r w:rsidR="004C0A04">
        <w:tab/>
      </w:r>
      <w:r>
        <w:t>Menge der Emissionsberechtigungen für die Zuteilungsperiode nach Anwendung der für die Anlage maßgeblichen</w:t>
      </w:r>
      <w:r w:rsidR="004C0A04">
        <w:t xml:space="preserve"> </w:t>
      </w:r>
      <w:r>
        <w:t>Zuteilungsregel (in t CO</w:t>
      </w:r>
      <w:r w:rsidRPr="004C0A04">
        <w:rPr>
          <w:vertAlign w:val="subscript"/>
        </w:rPr>
        <w:t>2</w:t>
      </w:r>
      <w:r>
        <w:t>-Äquiv.)</w:t>
      </w:r>
    </w:p>
    <w:p w:rsidR="0038031E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r>
        <w:t>EF</w:t>
      </w:r>
      <w:r w:rsidR="004C0A04">
        <w:tab/>
      </w:r>
      <w:r>
        <w:t>Erfüllungsfaktor für die Zuteilungsperiode für Anlagen nach Anhang 1 Nr. VI bis XVIII des Trei</w:t>
      </w:r>
      <w:r>
        <w:t>b</w:t>
      </w:r>
      <w:r>
        <w:t>hausgas-Emissionshandelsgesetzes</w:t>
      </w:r>
    </w:p>
    <w:p w:rsidR="0038031E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r>
        <w:t>EM</w:t>
      </w:r>
      <w:r w:rsidRPr="004C0A04">
        <w:rPr>
          <w:vertAlign w:val="subscript"/>
        </w:rPr>
        <w:t>BP</w:t>
      </w:r>
      <w:r w:rsidR="004C0A04">
        <w:tab/>
      </w:r>
      <w:r>
        <w:t>Durchschnittliche jährliche Kohlendioxid-Emissionen der Anlage in der Basisperiode</w:t>
      </w:r>
    </w:p>
    <w:p w:rsidR="0038031E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r>
        <w:lastRenderedPageBreak/>
        <w:t>EM</w:t>
      </w:r>
      <w:r w:rsidRPr="004C0A04">
        <w:rPr>
          <w:vertAlign w:val="subscript"/>
        </w:rPr>
        <w:t>KG</w:t>
      </w:r>
      <w:r w:rsidR="004C0A04">
        <w:tab/>
      </w:r>
      <w:r>
        <w:t>Durchschnittliche jährliche Emissionen in der Basisperiode aus der Verwertung von Kuppelg</w:t>
      </w:r>
      <w:r>
        <w:t>a</w:t>
      </w:r>
      <w:r>
        <w:t>sen</w:t>
      </w:r>
    </w:p>
    <w:p w:rsidR="0038031E" w:rsidRDefault="0038031E" w:rsidP="0023109A">
      <w:pPr>
        <w:pStyle w:val="GesAbsatz"/>
        <w:tabs>
          <w:tab w:val="clear" w:pos="425"/>
          <w:tab w:val="left" w:pos="1134"/>
        </w:tabs>
        <w:ind w:left="1134" w:hanging="1134"/>
      </w:pPr>
      <w:r>
        <w:t>EM</w:t>
      </w:r>
      <w:r w:rsidRPr="004C0A04">
        <w:rPr>
          <w:vertAlign w:val="subscript"/>
        </w:rPr>
        <w:t>WL</w:t>
      </w:r>
      <w:r w:rsidR="004C0A04">
        <w:tab/>
      </w:r>
      <w:r>
        <w:t>Durchschnittliche jährliche Emissionen in der Basisperiode aus Kuppelgasen, die an Anlagen weitergeleitet wurden, die</w:t>
      </w:r>
      <w:r w:rsidR="004C0A04">
        <w:t xml:space="preserve"> </w:t>
      </w:r>
      <w:r>
        <w:t xml:space="preserve">dem Anwendungsbereich des </w:t>
      </w:r>
      <w:proofErr w:type="spellStart"/>
      <w:r>
        <w:t>Treibhausgas-Emissionshandels</w:t>
      </w:r>
      <w:r w:rsidR="0056324D">
        <w:softHyphen/>
      </w:r>
      <w:r>
        <w:t>gesetzes</w:t>
      </w:r>
      <w:proofErr w:type="spellEnd"/>
      <w:r w:rsidR="0023109A">
        <w:t xml:space="preserve"> vom 8. Juli 2004 (BGBl. I S. 1578), das zuletzt durch Artikel 9 des Gesetzes vom 11. August 2010 (BGBl. I S. 1163) geändert worden ist,</w:t>
      </w:r>
      <w:r>
        <w:t xml:space="preserve"> unterliegen</w:t>
      </w:r>
    </w:p>
    <w:p w:rsidR="0038031E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r>
        <w:t>P</w:t>
      </w:r>
      <w:r w:rsidRPr="004C0A04">
        <w:rPr>
          <w:vertAlign w:val="subscript"/>
        </w:rPr>
        <w:t>BP</w:t>
      </w:r>
      <w:r w:rsidR="004C0A04">
        <w:tab/>
      </w:r>
      <w:r>
        <w:t>Durchschnittliche jährliche Produktion der Anlage in der Basisperiode (in MWh pro Jahr)</w:t>
      </w:r>
    </w:p>
    <w:p w:rsidR="0038031E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r>
        <w:t>P</w:t>
      </w:r>
      <w:r w:rsidRPr="004C0A04">
        <w:rPr>
          <w:vertAlign w:val="subscript"/>
        </w:rPr>
        <w:t>BP(KGKW)</w:t>
      </w:r>
      <w:r w:rsidR="004C0A04">
        <w:tab/>
      </w:r>
      <w:r>
        <w:t>Produktionsmenge von Kuppelgas verwertenden Anlagen nach Anhang 1 Nr. I bis V des Trei</w:t>
      </w:r>
      <w:r>
        <w:t>b</w:t>
      </w:r>
      <w:r>
        <w:t>hausgas-Emissionshandelsgesetzes</w:t>
      </w:r>
    </w:p>
    <w:p w:rsidR="0038031E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proofErr w:type="spellStart"/>
      <w:r>
        <w:t>t</w:t>
      </w:r>
      <w:r w:rsidRPr="004C0A04">
        <w:rPr>
          <w:vertAlign w:val="subscript"/>
        </w:rPr>
        <w:t>p</w:t>
      </w:r>
      <w:proofErr w:type="spellEnd"/>
      <w:r w:rsidR="004C0A04">
        <w:tab/>
      </w:r>
      <w:r>
        <w:t>Anzahl der Jahre der Zuteilungsperiode</w:t>
      </w:r>
    </w:p>
    <w:p w:rsidR="0038031E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r>
        <w:t>W</w:t>
      </w:r>
      <w:r w:rsidRPr="004C0A04">
        <w:rPr>
          <w:vertAlign w:val="subscript"/>
        </w:rPr>
        <w:t>BP(KG)</w:t>
      </w:r>
      <w:r w:rsidR="004C0A04">
        <w:tab/>
      </w:r>
      <w:r>
        <w:t>Brennstoffenergie der eingesetzten Kuppelgase in der Basisperiode</w:t>
      </w:r>
    </w:p>
    <w:p w:rsidR="00406F32" w:rsidRDefault="0038031E" w:rsidP="004C0A04">
      <w:pPr>
        <w:pStyle w:val="GesAbsatz"/>
        <w:tabs>
          <w:tab w:val="clear" w:pos="425"/>
          <w:tab w:val="left" w:pos="1134"/>
        </w:tabs>
        <w:ind w:left="1134" w:hanging="1134"/>
      </w:pPr>
      <w:r>
        <w:t>W</w:t>
      </w:r>
      <w:r w:rsidRPr="004C0A04">
        <w:rPr>
          <w:vertAlign w:val="subscript"/>
        </w:rPr>
        <w:t>BP(gesamt)</w:t>
      </w:r>
      <w:r w:rsidR="004C0A04">
        <w:tab/>
      </w:r>
      <w:r>
        <w:t>Brennstoffenergie aller eingesetzten Brennstoffe in der Basisperiode</w:t>
      </w:r>
    </w:p>
    <w:p w:rsidR="00177B5B" w:rsidRDefault="00177B5B" w:rsidP="004C0A04">
      <w:pPr>
        <w:pStyle w:val="GesAbsatz"/>
        <w:tabs>
          <w:tab w:val="clear" w:pos="425"/>
          <w:tab w:val="left" w:pos="1134"/>
        </w:tabs>
        <w:ind w:left="1134" w:hanging="1134"/>
      </w:pPr>
    </w:p>
    <w:p w:rsidR="00177B5B" w:rsidRDefault="00177B5B" w:rsidP="004C0A04">
      <w:pPr>
        <w:pStyle w:val="GesAbsatz"/>
        <w:tabs>
          <w:tab w:val="clear" w:pos="425"/>
          <w:tab w:val="left" w:pos="1134"/>
        </w:tabs>
        <w:ind w:left="1134" w:hanging="1134"/>
      </w:pPr>
    </w:p>
    <w:p w:rsidR="00177B5B" w:rsidRDefault="00177B5B" w:rsidP="004C0A04">
      <w:pPr>
        <w:pStyle w:val="GesAbsatz"/>
        <w:tabs>
          <w:tab w:val="clear" w:pos="425"/>
          <w:tab w:val="left" w:pos="1134"/>
        </w:tabs>
        <w:ind w:left="1134" w:hanging="1134"/>
      </w:pPr>
    </w:p>
    <w:p w:rsidR="00177B5B" w:rsidRDefault="00177B5B" w:rsidP="004C0A04">
      <w:pPr>
        <w:pStyle w:val="GesAbsatz"/>
        <w:tabs>
          <w:tab w:val="clear" w:pos="425"/>
          <w:tab w:val="left" w:pos="1134"/>
        </w:tabs>
        <w:ind w:left="1134" w:hanging="1134"/>
      </w:pPr>
    </w:p>
    <w:p w:rsidR="00177B5B" w:rsidRDefault="00177B5B" w:rsidP="004C0A04">
      <w:pPr>
        <w:pStyle w:val="GesAbsatz"/>
        <w:tabs>
          <w:tab w:val="clear" w:pos="425"/>
          <w:tab w:val="left" w:pos="1134"/>
        </w:tabs>
        <w:ind w:left="1134" w:hanging="1134"/>
      </w:pPr>
    </w:p>
    <w:p w:rsidR="00177B5B" w:rsidRDefault="00177B5B" w:rsidP="004C0A04">
      <w:pPr>
        <w:pStyle w:val="GesAbsatz"/>
        <w:tabs>
          <w:tab w:val="clear" w:pos="425"/>
          <w:tab w:val="left" w:pos="1134"/>
        </w:tabs>
        <w:ind w:left="1134" w:hanging="1134"/>
      </w:pPr>
    </w:p>
    <w:p w:rsidR="00177B5B" w:rsidRDefault="00177B5B" w:rsidP="004C0A04">
      <w:pPr>
        <w:pStyle w:val="GesAbsatz"/>
        <w:tabs>
          <w:tab w:val="clear" w:pos="425"/>
          <w:tab w:val="left" w:pos="1134"/>
        </w:tabs>
        <w:ind w:left="1134" w:hanging="1134"/>
      </w:pPr>
    </w:p>
    <w:p w:rsidR="00177B5B" w:rsidRPr="00AB0873" w:rsidRDefault="00177B5B" w:rsidP="00177B5B">
      <w:pPr>
        <w:pStyle w:val="GesAbsatz"/>
        <w:tabs>
          <w:tab w:val="clear" w:pos="425"/>
        </w:tabs>
        <w:ind w:left="1418" w:hanging="1418"/>
        <w:rPr>
          <w:rFonts w:cs="Arial"/>
          <w:sz w:val="22"/>
          <w:szCs w:val="22"/>
        </w:rPr>
      </w:pPr>
      <w:bookmarkStart w:id="32" w:name="Historie"/>
      <w:bookmarkEnd w:id="32"/>
      <w:r w:rsidRPr="00AB0873">
        <w:rPr>
          <w:rFonts w:cs="Arial"/>
          <w:b/>
          <w:sz w:val="22"/>
          <w:szCs w:val="22"/>
        </w:rPr>
        <w:t>Änderungen:</w:t>
      </w:r>
    </w:p>
    <w:p w:rsidR="00177B5B" w:rsidRPr="00AB46EE" w:rsidRDefault="00177B5B" w:rsidP="00177B5B">
      <w:pPr>
        <w:pStyle w:val="GesAbsatz"/>
        <w:tabs>
          <w:tab w:val="clear" w:pos="425"/>
          <w:tab w:val="left" w:pos="2835"/>
        </w:tabs>
        <w:rPr>
          <w:rFonts w:cs="Arial"/>
        </w:rPr>
      </w:pPr>
      <w:r>
        <w:rPr>
          <w:rFonts w:cs="Arial"/>
        </w:rPr>
        <w:t>21.07.2011</w:t>
      </w:r>
      <w:r>
        <w:rPr>
          <w:rFonts w:cs="Arial"/>
        </w:rPr>
        <w:tab/>
      </w:r>
      <w:hyperlink r:id="rId24" w:history="1">
        <w:r w:rsidRPr="004B3724">
          <w:rPr>
            <w:rStyle w:val="Hyperlink"/>
            <w:rFonts w:cs="Arial"/>
          </w:rPr>
          <w:t>BGBl. I Nr. 38 S. 1475, 150</w:t>
        </w:r>
        <w:r>
          <w:rPr>
            <w:rStyle w:val="Hyperlink"/>
            <w:rFonts w:cs="Arial"/>
          </w:rPr>
          <w:t>1</w:t>
        </w:r>
      </w:hyperlink>
      <w:r>
        <w:rPr>
          <w:rFonts w:cs="Arial"/>
        </w:rPr>
        <w:t xml:space="preserve"> Inkrafttreten 28.07.2011</w:t>
      </w:r>
    </w:p>
    <w:p w:rsidR="00177B5B" w:rsidRPr="0063668C" w:rsidRDefault="00177B5B" w:rsidP="004C0A04">
      <w:pPr>
        <w:pStyle w:val="GesAbsatz"/>
        <w:tabs>
          <w:tab w:val="clear" w:pos="425"/>
          <w:tab w:val="left" w:pos="1134"/>
        </w:tabs>
        <w:ind w:left="1134" w:hanging="1134"/>
      </w:pPr>
    </w:p>
    <w:sectPr w:rsidR="00177B5B" w:rsidRPr="0063668C">
      <w:headerReference w:type="default" r:id="rId25"/>
      <w:footerReference w:type="even" r:id="rId26"/>
      <w:footerReference w:type="default" r:id="rId27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53" w:rsidRDefault="00E96F53">
      <w:r>
        <w:separator/>
      </w:r>
    </w:p>
  </w:endnote>
  <w:endnote w:type="continuationSeparator" w:id="0">
    <w:p w:rsidR="00E96F53" w:rsidRDefault="00E9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LTe5025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FC" w:rsidRDefault="00427F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27FFC" w:rsidRDefault="00427FF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FC" w:rsidRPr="0056324D" w:rsidRDefault="00427FFC" w:rsidP="0056324D">
    <w:pPr>
      <w:pStyle w:val="Fuzeile"/>
    </w:pPr>
    <w:r>
      <w:tab/>
      <w:t>13.08.</w:t>
    </w:r>
    <w:r w:rsidRPr="0056324D">
      <w:t>2007 (BGBl. I S. 1941)</w:t>
    </w:r>
    <w:r w:rsidRPr="0056324D">
      <w:tab/>
      <w:t xml:space="preserve">Seite </w:t>
    </w:r>
    <w:r w:rsidRPr="0056324D">
      <w:fldChar w:fldCharType="begin"/>
    </w:r>
    <w:r w:rsidRPr="0056324D">
      <w:instrText xml:space="preserve"> PAGE  \* MERGEFORMAT </w:instrText>
    </w:r>
    <w:r w:rsidRPr="0056324D">
      <w:fldChar w:fldCharType="separate"/>
    </w:r>
    <w:r w:rsidR="00357CE5">
      <w:rPr>
        <w:noProof/>
      </w:rPr>
      <w:t>1</w:t>
    </w:r>
    <w:r w:rsidRPr="0056324D">
      <w:fldChar w:fldCharType="end"/>
    </w:r>
  </w:p>
  <w:p w:rsidR="00427FFC" w:rsidRDefault="00427FFC" w:rsidP="0056324D">
    <w:pPr>
      <w:pStyle w:val="Fuzeile"/>
    </w:pPr>
    <w:r w:rsidRPr="0056324D">
      <w:tab/>
      <w:t>Stand 21.07.2011 (BGBl</w:t>
    </w:r>
    <w:r>
      <w:t>. I S. 1475, 1501)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53" w:rsidRDefault="00E96F53">
      <w:r>
        <w:separator/>
      </w:r>
    </w:p>
  </w:footnote>
  <w:footnote w:type="continuationSeparator" w:id="0">
    <w:p w:rsidR="00E96F53" w:rsidRDefault="00E96F53">
      <w:r>
        <w:continuationSeparator/>
      </w:r>
    </w:p>
  </w:footnote>
  <w:footnote w:id="1">
    <w:p w:rsidR="00427FFC" w:rsidRDefault="00427FFC" w:rsidP="00981843">
      <w:pPr>
        <w:tabs>
          <w:tab w:val="clear" w:pos="425"/>
        </w:tabs>
        <w:overflowPunct/>
        <w:spacing w:before="0" w:after="0"/>
        <w:jc w:val="left"/>
        <w:textAlignment w:val="auto"/>
        <w:rPr>
          <w:rFonts w:ascii="AdvLTe50259" w:hAnsi="AdvLTe50259" w:cs="AdvLTe50259"/>
          <w:sz w:val="14"/>
          <w:szCs w:val="14"/>
        </w:rPr>
      </w:pPr>
      <w:r>
        <w:rPr>
          <w:rStyle w:val="Funotenzeichen"/>
        </w:rPr>
        <w:t>*)</w:t>
      </w:r>
      <w:r>
        <w:t xml:space="preserve"> </w:t>
      </w:r>
      <w:r>
        <w:rPr>
          <w:rFonts w:ascii="AdvLTe50259" w:hAnsi="AdvLTe50259" w:cs="AdvLTe50259"/>
          <w:sz w:val="14"/>
          <w:szCs w:val="14"/>
        </w:rPr>
        <w:t>Amtlicher Hinweis: Die aufgeführten DIN-Normen sind im Beuth-Verlag, Berlin, erschienen und beim Deutschen Patent- und Markenamt in München</w:t>
      </w:r>
    </w:p>
    <w:p w:rsidR="00427FFC" w:rsidRDefault="00427FFC" w:rsidP="00981843">
      <w:pPr>
        <w:pStyle w:val="Funotentext"/>
      </w:pPr>
      <w:r>
        <w:rPr>
          <w:rFonts w:ascii="AdvLTe50259" w:hAnsi="AdvLTe50259" w:cs="AdvLTe50259"/>
          <w:sz w:val="14"/>
          <w:szCs w:val="14"/>
        </w:rPr>
        <w:t>archivmäßig gesichert und niedergelegt.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FC" w:rsidRDefault="0028394A" w:rsidP="0056324D">
    <w:pPr>
      <w:pStyle w:val="Kopfzeile0"/>
    </w:pPr>
    <w:r>
      <w:t>Archiv6.97</w:t>
    </w:r>
  </w:p>
  <w:p w:rsidR="00427FFC" w:rsidRDefault="00427FFC">
    <w:pPr>
      <w:pStyle w:val="Kopfzeile"/>
    </w:pPr>
    <w:r>
      <w:t>ZuV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1E"/>
    <w:rsid w:val="0001451A"/>
    <w:rsid w:val="00077EF0"/>
    <w:rsid w:val="00093D90"/>
    <w:rsid w:val="000A094F"/>
    <w:rsid w:val="000B208E"/>
    <w:rsid w:val="000F6465"/>
    <w:rsid w:val="00150B0A"/>
    <w:rsid w:val="001624F3"/>
    <w:rsid w:val="00171447"/>
    <w:rsid w:val="001715DF"/>
    <w:rsid w:val="00177B5B"/>
    <w:rsid w:val="001C1083"/>
    <w:rsid w:val="001E46A3"/>
    <w:rsid w:val="00203FEB"/>
    <w:rsid w:val="0023109A"/>
    <w:rsid w:val="00243AFC"/>
    <w:rsid w:val="0028394A"/>
    <w:rsid w:val="002B3267"/>
    <w:rsid w:val="002D5542"/>
    <w:rsid w:val="002E29CA"/>
    <w:rsid w:val="00313F0C"/>
    <w:rsid w:val="00357CE5"/>
    <w:rsid w:val="0038031E"/>
    <w:rsid w:val="003A6E25"/>
    <w:rsid w:val="003B24A9"/>
    <w:rsid w:val="003E6AC2"/>
    <w:rsid w:val="00404262"/>
    <w:rsid w:val="00406F32"/>
    <w:rsid w:val="00412824"/>
    <w:rsid w:val="00427FFC"/>
    <w:rsid w:val="00463F31"/>
    <w:rsid w:val="00487F19"/>
    <w:rsid w:val="004964D0"/>
    <w:rsid w:val="004C0A04"/>
    <w:rsid w:val="004F2A9F"/>
    <w:rsid w:val="00557465"/>
    <w:rsid w:val="0056324D"/>
    <w:rsid w:val="005639E1"/>
    <w:rsid w:val="006242A7"/>
    <w:rsid w:val="00634186"/>
    <w:rsid w:val="0063668C"/>
    <w:rsid w:val="00666321"/>
    <w:rsid w:val="00697151"/>
    <w:rsid w:val="006A5C92"/>
    <w:rsid w:val="006B0620"/>
    <w:rsid w:val="006D0AB0"/>
    <w:rsid w:val="006F7DCB"/>
    <w:rsid w:val="00737806"/>
    <w:rsid w:val="007918BA"/>
    <w:rsid w:val="007F5C17"/>
    <w:rsid w:val="0086373D"/>
    <w:rsid w:val="008B789C"/>
    <w:rsid w:val="008D6200"/>
    <w:rsid w:val="008F1BE2"/>
    <w:rsid w:val="008F4349"/>
    <w:rsid w:val="00912FCE"/>
    <w:rsid w:val="00963345"/>
    <w:rsid w:val="00981843"/>
    <w:rsid w:val="0098598C"/>
    <w:rsid w:val="00A95D02"/>
    <w:rsid w:val="00AB20F7"/>
    <w:rsid w:val="00B466D3"/>
    <w:rsid w:val="00C07389"/>
    <w:rsid w:val="00C46A01"/>
    <w:rsid w:val="00C95F53"/>
    <w:rsid w:val="00CE1DDC"/>
    <w:rsid w:val="00D750EF"/>
    <w:rsid w:val="00D86C52"/>
    <w:rsid w:val="00DB2935"/>
    <w:rsid w:val="00DB67DD"/>
    <w:rsid w:val="00DC1020"/>
    <w:rsid w:val="00E11B3A"/>
    <w:rsid w:val="00E46AAE"/>
    <w:rsid w:val="00E73F7A"/>
    <w:rsid w:val="00E751D6"/>
    <w:rsid w:val="00E96F53"/>
    <w:rsid w:val="00EB5006"/>
    <w:rsid w:val="00EC5CB0"/>
    <w:rsid w:val="00EF7943"/>
    <w:rsid w:val="00F32A1B"/>
    <w:rsid w:val="00F35A4C"/>
    <w:rsid w:val="00F61E0B"/>
    <w:rsid w:val="00F72B14"/>
    <w:rsid w:val="00F762F4"/>
    <w:rsid w:val="00FC115C"/>
    <w:rsid w:val="00FE3A0A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324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56324D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56324D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56324D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56324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56324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56324D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56324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56324D"/>
    <w:rPr>
      <w:rFonts w:ascii="Arial" w:hAnsi="Arial"/>
      <w:sz w:val="16"/>
    </w:rPr>
  </w:style>
  <w:style w:type="paragraph" w:styleId="Verzeichnis2">
    <w:name w:val="toc 2"/>
    <w:basedOn w:val="Standard"/>
    <w:next w:val="Standard"/>
    <w:rsid w:val="0056324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rsid w:val="0056324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56324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rsid w:val="0056324D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56324D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56324D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56324D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56324D"/>
    <w:pPr>
      <w:spacing w:before="0" w:after="0"/>
      <w:jc w:val="right"/>
    </w:pPr>
    <w:rPr>
      <w:b/>
      <w:sz w:val="24"/>
    </w:rPr>
  </w:style>
  <w:style w:type="character" w:styleId="BesuchterHyperlink">
    <w:name w:val="FollowedHyperlink"/>
    <w:rsid w:val="00177B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324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56324D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56324D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56324D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56324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56324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56324D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56324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56324D"/>
    <w:rPr>
      <w:rFonts w:ascii="Arial" w:hAnsi="Arial"/>
      <w:sz w:val="16"/>
    </w:rPr>
  </w:style>
  <w:style w:type="paragraph" w:styleId="Verzeichnis2">
    <w:name w:val="toc 2"/>
    <w:basedOn w:val="Standard"/>
    <w:next w:val="Standard"/>
    <w:rsid w:val="0056324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rsid w:val="0056324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56324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rsid w:val="0056324D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56324D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56324D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56324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56324D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56324D"/>
    <w:pPr>
      <w:spacing w:before="0" w:after="0"/>
      <w:jc w:val="right"/>
    </w:pPr>
    <w:rPr>
      <w:b/>
      <w:sz w:val="24"/>
    </w:rPr>
  </w:style>
  <w:style w:type="character" w:styleId="BesuchterHyperlink">
    <w:name w:val="FollowedHyperlink"/>
    <w:rsid w:val="00177B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bgbl.de/xaver/bgbl/start.xav?startbk=Bundesanzeiger_BGBl&amp;jumpTo=bgbl111s1475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D4DC-8E2D-4E08-81AD-76BE7617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16</Pages>
  <Words>6540</Words>
  <Characters>43230</Characters>
  <Application>Microsoft Office Word</Application>
  <DocSecurity>0</DocSecurity>
  <Lines>360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über die Zuteilung von Treibhausgas-Emissionsberechtigungen in der Zuteilungsperiode 2008 bis 2012</vt:lpstr>
    </vt:vector>
  </TitlesOfParts>
  <Company>LANUV NRW</Company>
  <LinksUpToDate>false</LinksUpToDate>
  <CharactersWithSpaces>49671</CharactersWithSpaces>
  <SharedDoc>false</SharedDoc>
  <HLinks>
    <vt:vector size="198" baseType="variant">
      <vt:variant>
        <vt:i4>4784239</vt:i4>
      </vt:variant>
      <vt:variant>
        <vt:i4>216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http://www.bgbl.de/Xaver/start.xav?startbk=Bundesanzeiger_BGBl&amp;start=//*%5b@attr_id='bgbl111s1475.pdf'%5d</vt:lpwstr>
      </vt:variant>
      <vt:variant>
        <vt:lpwstr/>
      </vt:variant>
      <vt:variant>
        <vt:i4>1310775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_Toc401645600</vt:lpwstr>
      </vt:variant>
      <vt:variant>
        <vt:i4>1900596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_Toc401645599</vt:lpwstr>
      </vt:variant>
      <vt:variant>
        <vt:i4>1900596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_Toc401645598</vt:lpwstr>
      </vt:variant>
      <vt:variant>
        <vt:i4>1900596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_Toc401645597</vt:lpwstr>
      </vt:variant>
      <vt:variant>
        <vt:i4>1900596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_Toc401645596</vt:lpwstr>
      </vt:variant>
      <vt:variant>
        <vt:i4>1900596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_Toc401645595</vt:lpwstr>
      </vt:variant>
      <vt:variant>
        <vt:i4>1900596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_Toc401645594</vt:lpwstr>
      </vt:variant>
      <vt:variant>
        <vt:i4>1900596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_Toc401645593</vt:lpwstr>
      </vt:variant>
      <vt:variant>
        <vt:i4>1900596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_Toc401645592</vt:lpwstr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_Toc401645591</vt:lpwstr>
      </vt:variant>
      <vt:variant>
        <vt:i4>1900596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_Toc401645590</vt:lpwstr>
      </vt:variant>
      <vt:variant>
        <vt:i4>1835060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_Toc401645589</vt:lpwstr>
      </vt:variant>
      <vt:variant>
        <vt:i4>1835060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_Toc401645588</vt:lpwstr>
      </vt:variant>
      <vt:variant>
        <vt:i4>1835060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_Toc401645587</vt:lpwstr>
      </vt:variant>
      <vt:variant>
        <vt:i4>1835060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_Toc401645586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_Toc401645585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_Toc401645584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_Toc401645583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_Toc401645582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_Toc401645581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_Toc401645580</vt:lpwstr>
      </vt:variant>
      <vt:variant>
        <vt:i4>1245236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_Toc401645579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_Toc401645578</vt:lpwstr>
      </vt:variant>
      <vt:variant>
        <vt:i4>1245236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_Toc401645577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_Toc401645576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_Toc401645575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_Toc401645574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_Toc401645573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_Toc401645572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_Toc401645571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_Toc401645570</vt:lpwstr>
      </vt:variant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Historie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über die Zuteilung von Treibhausgas-Emissionsberechtigungen in der Zuteilungsperiode 2008 bis 2012</dc:title>
  <dc:subject>Zuteilungsverordnung 2012 – ZuV 2012</dc:subject>
  <dc:creator>Natrop</dc:creator>
  <cp:lastModifiedBy>rueter</cp:lastModifiedBy>
  <cp:revision>3</cp:revision>
  <cp:lastPrinted>2004-12-14T11:08:00Z</cp:lastPrinted>
  <dcterms:created xsi:type="dcterms:W3CDTF">2018-07-18T08:37:00Z</dcterms:created>
  <dcterms:modified xsi:type="dcterms:W3CDTF">2018-07-18T08:38:00Z</dcterms:modified>
</cp:coreProperties>
</file>