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C7" w:rsidRPr="008E52CD" w:rsidRDefault="001469C7" w:rsidP="008E52CD">
      <w:pPr>
        <w:pStyle w:val="berschrift1"/>
      </w:pPr>
      <w:bookmarkStart w:id="0" w:name="_Toc462324044"/>
      <w:r w:rsidRPr="008E52CD">
        <w:t>Siebzehnte Vero</w:t>
      </w:r>
      <w:bookmarkStart w:id="1" w:name="_GoBack"/>
      <w:bookmarkEnd w:id="1"/>
      <w:r w:rsidRPr="008E52CD">
        <w:t>rdnung zur Durchführung des Bundes-Immissionsschutzgesetzes</w:t>
      </w:r>
      <w:r w:rsidR="008C1657" w:rsidRPr="008E52CD">
        <w:br/>
      </w:r>
      <w:r w:rsidRPr="008E52CD">
        <w:t>Verordnung über die Ver</w:t>
      </w:r>
      <w:r w:rsidR="008C1657" w:rsidRPr="008E52CD">
        <w:t>brennung und die Mitverbrennung</w:t>
      </w:r>
      <w:r w:rsidR="008C1657" w:rsidRPr="008E52CD">
        <w:br/>
      </w:r>
      <w:r w:rsidRPr="008E52CD">
        <w:t xml:space="preserve">von Abfällen </w:t>
      </w:r>
      <w:r w:rsidR="00FB02AF" w:rsidRPr="008E52CD">
        <w:t>-</w:t>
      </w:r>
      <w:r w:rsidR="008C1657" w:rsidRPr="008E52CD">
        <w:t xml:space="preserve"> </w:t>
      </w:r>
      <w:r w:rsidRPr="008E52CD">
        <w:t>17. BImSchV</w:t>
      </w:r>
      <w:r w:rsidR="00A1572A" w:rsidRPr="008E52CD">
        <w:rPr>
          <w:rStyle w:val="Funotenzeichen"/>
          <w:sz w:val="28"/>
        </w:rPr>
        <w:footnoteReference w:customMarkFollows="1" w:id="1"/>
        <w:t>*)</w:t>
      </w:r>
      <w:bookmarkEnd w:id="0"/>
    </w:p>
    <w:p w:rsidR="001469C7" w:rsidRPr="008E52CD" w:rsidRDefault="008C1657" w:rsidP="008E52CD">
      <w:pPr>
        <w:pStyle w:val="GesAbsatz"/>
        <w:jc w:val="center"/>
      </w:pPr>
      <w:r w:rsidRPr="008E52CD">
        <w:t>v</w:t>
      </w:r>
      <w:r w:rsidR="001469C7" w:rsidRPr="008E52CD">
        <w:t>om 14.</w:t>
      </w:r>
      <w:r w:rsidR="007E173B" w:rsidRPr="008E52CD">
        <w:t xml:space="preserve"> August </w:t>
      </w:r>
      <w:r w:rsidR="001469C7" w:rsidRPr="008E52CD">
        <w:t>2003</w:t>
      </w:r>
    </w:p>
    <w:p w:rsidR="0028528A" w:rsidRDefault="0028528A" w:rsidP="0028528A"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Gültig bis 01.05.2013</w:t>
      </w:r>
    </w:p>
    <w:p w:rsidR="000D6145" w:rsidRDefault="007E1079" w:rsidP="004C2F22">
      <w:pPr>
        <w:pStyle w:val="GesAbsatz"/>
        <w:jc w:val="left"/>
        <w:rPr>
          <w:rFonts w:cs="Arial"/>
        </w:rPr>
      </w:pPr>
      <w:hyperlink w:anchor="Änderungen" w:history="1">
        <w:r w:rsidRPr="007E1079">
          <w:rPr>
            <w:rStyle w:val="Hyperlink"/>
            <w:rFonts w:cs="Arial"/>
          </w:rPr>
          <w:t>Geset</w:t>
        </w:r>
        <w:r w:rsidRPr="007E1079">
          <w:rPr>
            <w:rStyle w:val="Hyperlink"/>
            <w:rFonts w:cs="Arial"/>
          </w:rPr>
          <w:t>z</w:t>
        </w:r>
        <w:r w:rsidRPr="007E1079">
          <w:rPr>
            <w:rStyle w:val="Hyperlink"/>
            <w:rFonts w:cs="Arial"/>
          </w:rPr>
          <w:t>e</w:t>
        </w:r>
        <w:r w:rsidRPr="007E1079">
          <w:rPr>
            <w:rStyle w:val="Hyperlink"/>
            <w:rFonts w:cs="Arial"/>
          </w:rPr>
          <w:t>sh</w:t>
        </w:r>
        <w:r w:rsidRPr="007E1079">
          <w:rPr>
            <w:rStyle w:val="Hyperlink"/>
            <w:rFonts w:cs="Arial"/>
          </w:rPr>
          <w:t>i</w:t>
        </w:r>
        <w:r w:rsidRPr="007E1079">
          <w:rPr>
            <w:rStyle w:val="Hyperlink"/>
            <w:rFonts w:cs="Arial"/>
          </w:rPr>
          <w:t>storie</w:t>
        </w:r>
      </w:hyperlink>
      <w:r w:rsidR="00BC6172">
        <w:rPr>
          <w:rFonts w:cs="Arial"/>
        </w:rPr>
        <w:t xml:space="preserve"> </w:t>
      </w:r>
    </w:p>
    <w:p w:rsidR="00BE148C" w:rsidRDefault="008C1657" w:rsidP="008C1657">
      <w:pPr>
        <w:pStyle w:val="GesAbsatz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Inhalt:</w:t>
      </w:r>
    </w:p>
    <w:p w:rsidR="00BE148C" w:rsidRDefault="00BE148C">
      <w:pPr>
        <w:pStyle w:val="Verzeichnis1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b w:val="0"/>
          <w:bCs/>
          <w:caps w:val="0"/>
          <w:noProof/>
          <w:sz w:val="22"/>
          <w:szCs w:val="22"/>
        </w:rPr>
      </w:pPr>
      <w:r>
        <w:rPr>
          <w:rFonts w:cs="Arial"/>
          <w:b w:val="0"/>
          <w:sz w:val="22"/>
          <w:szCs w:val="22"/>
        </w:rPr>
        <w:fldChar w:fldCharType="begin"/>
      </w:r>
      <w:r>
        <w:rPr>
          <w:rFonts w:cs="Arial"/>
          <w:b w:val="0"/>
          <w:sz w:val="22"/>
          <w:szCs w:val="22"/>
        </w:rPr>
        <w:instrText xml:space="preserve"> TOC \o "1-3" \h \z \u </w:instrText>
      </w:r>
      <w:r>
        <w:rPr>
          <w:rFonts w:cs="Arial"/>
          <w:b w:val="0"/>
          <w:sz w:val="22"/>
          <w:szCs w:val="22"/>
        </w:rPr>
        <w:fldChar w:fldCharType="separate"/>
      </w:r>
      <w:hyperlink w:anchor="_Toc462324044" w:history="1">
        <w:r w:rsidRPr="006D597E">
          <w:rPr>
            <w:rStyle w:val="Hyperlink"/>
            <w:noProof/>
          </w:rPr>
          <w:t>Verordnung über die Verbrennung und die Mitverbrennung von Abfällen - 17. BImSchV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45" w:history="1">
        <w:r w:rsidRPr="006D597E">
          <w:rPr>
            <w:rStyle w:val="Hyperlink"/>
            <w:noProof/>
          </w:rPr>
          <w:t>Erster Teil Allgemeine Vorschriften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46" w:history="1">
        <w:r w:rsidRPr="006D597E">
          <w:rPr>
            <w:rStyle w:val="Hyperlink"/>
            <w:noProof/>
          </w:rPr>
          <w:t>§ 1 Anwendungsbereich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47" w:history="1">
        <w:r w:rsidRPr="006D597E">
          <w:rPr>
            <w:rStyle w:val="Hyperlink"/>
            <w:noProof/>
          </w:rPr>
          <w:t>§ 2 Begriffsbestimmungen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48" w:history="1">
        <w:r w:rsidRPr="006D597E">
          <w:rPr>
            <w:rStyle w:val="Hyperlink"/>
            <w:noProof/>
          </w:rPr>
          <w:t>Zweiter Teil Anforderungen an die Errichtung, die Beschaffenheit und den Betrieb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49" w:history="1">
        <w:r w:rsidRPr="006D597E">
          <w:rPr>
            <w:rStyle w:val="Hyperlink"/>
            <w:noProof/>
          </w:rPr>
          <w:t>§ 3 Emissionsbezogene Anforderungen an Anlieferung und Zwischenlagerung der Einsatzstoffe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50" w:history="1">
        <w:r w:rsidRPr="006D597E">
          <w:rPr>
            <w:rStyle w:val="Hyperlink"/>
            <w:noProof/>
          </w:rPr>
          <w:t>§ 4 Feuerung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51" w:history="1">
        <w:r w:rsidRPr="006D597E">
          <w:rPr>
            <w:rStyle w:val="Hyperlink"/>
            <w:noProof/>
          </w:rPr>
          <w:t>§ 5 Anforderungen an Verbrennungsanlagen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52" w:history="1">
        <w:r w:rsidRPr="006D597E">
          <w:rPr>
            <w:rStyle w:val="Hyperlink"/>
            <w:noProof/>
          </w:rPr>
          <w:t>§ 5a Anforderungen an Mitverbrennungsanlagen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53" w:history="1">
        <w:r w:rsidRPr="006D597E">
          <w:rPr>
            <w:rStyle w:val="Hyperlink"/>
            <w:noProof/>
          </w:rPr>
          <w:t>§ 6 Ableitungsbedingungen für Abgase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54" w:history="1">
        <w:r w:rsidRPr="006D597E">
          <w:rPr>
            <w:rStyle w:val="Hyperlink"/>
            <w:noProof/>
          </w:rPr>
          <w:t>§ 7 Behandlung der bei der Verbrennung und Mitverbrennung entstehenden Abfälle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55" w:history="1">
        <w:r w:rsidRPr="006D597E">
          <w:rPr>
            <w:rStyle w:val="Hyperlink"/>
            <w:noProof/>
          </w:rPr>
          <w:t>§ 8 Wärmenutzung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56" w:history="1">
        <w:r w:rsidRPr="006D597E">
          <w:rPr>
            <w:rStyle w:val="Hyperlink"/>
            <w:noProof/>
          </w:rPr>
          <w:t>Dritter Teil Messung und Überwachung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57" w:history="1">
        <w:r w:rsidRPr="006D597E">
          <w:rPr>
            <w:rStyle w:val="Hyperlink"/>
            <w:noProof/>
          </w:rPr>
          <w:t>§ 9 Messplätze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58" w:history="1">
        <w:r w:rsidRPr="006D597E">
          <w:rPr>
            <w:rStyle w:val="Hyperlink"/>
            <w:noProof/>
          </w:rPr>
          <w:t>§ 10 Messverfahren und Messeinrichtungen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59" w:history="1">
        <w:r w:rsidRPr="006D597E">
          <w:rPr>
            <w:rStyle w:val="Hyperlink"/>
            <w:noProof/>
          </w:rPr>
          <w:t>§ 11 Kontinuierliche Messungen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60" w:history="1">
        <w:r w:rsidRPr="006D597E">
          <w:rPr>
            <w:rStyle w:val="Hyperlink"/>
            <w:noProof/>
          </w:rPr>
          <w:t>§ 12 Auswertung und Beurteilung von kontinuierlichen Messungen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61" w:history="1">
        <w:r w:rsidRPr="006D597E">
          <w:rPr>
            <w:rStyle w:val="Hyperlink"/>
            <w:noProof/>
          </w:rPr>
          <w:t>§ 13 Einzelmessungen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62" w:history="1">
        <w:r w:rsidRPr="006D597E">
          <w:rPr>
            <w:rStyle w:val="Hyperlink"/>
            <w:noProof/>
          </w:rPr>
          <w:t>§ 14 Berichte und Beurteilung von Einzelmessungen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63" w:history="1">
        <w:r w:rsidRPr="006D597E">
          <w:rPr>
            <w:rStyle w:val="Hyperlink"/>
            <w:noProof/>
          </w:rPr>
          <w:t>§ 14a Ermittlung der Jahresmittelwerte, Überwachung und Berichterstattung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64" w:history="1">
        <w:r w:rsidRPr="006D597E">
          <w:rPr>
            <w:rStyle w:val="Hyperlink"/>
            <w:noProof/>
          </w:rPr>
          <w:t>§ 15 Besondere Überwachung der Emissionen an Schwermetallen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65" w:history="1">
        <w:r w:rsidRPr="006D597E">
          <w:rPr>
            <w:rStyle w:val="Hyperlink"/>
            <w:noProof/>
          </w:rPr>
          <w:t>§ 16 Störungen des Betriebs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66" w:history="1">
        <w:r w:rsidRPr="006D597E">
          <w:rPr>
            <w:rStyle w:val="Hyperlink"/>
            <w:noProof/>
          </w:rPr>
          <w:t>Vierter Teil Anforderungen an Altanlagen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67" w:history="1">
        <w:r w:rsidRPr="006D597E">
          <w:rPr>
            <w:rStyle w:val="Hyperlink"/>
            <w:noProof/>
          </w:rPr>
          <w:t>§ 17 Übergangsregelungen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68" w:history="1">
        <w:r w:rsidRPr="006D597E">
          <w:rPr>
            <w:rStyle w:val="Hyperlink"/>
            <w:noProof/>
          </w:rPr>
          <w:t>§ 17a Übergangsregelungen für die Einhaltung von Jahresmittelwerten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69" w:history="1">
        <w:r w:rsidRPr="006D597E">
          <w:rPr>
            <w:rStyle w:val="Hyperlink"/>
            <w:noProof/>
          </w:rPr>
          <w:t>Fünfter Teil Gemeinsame Vorschriften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70" w:history="1">
        <w:r w:rsidRPr="006D597E">
          <w:rPr>
            <w:rStyle w:val="Hyperlink"/>
            <w:noProof/>
          </w:rPr>
          <w:t>§ 18 Unterrichtung der Öffentlichkeit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71" w:history="1">
        <w:r w:rsidRPr="006D597E">
          <w:rPr>
            <w:rStyle w:val="Hyperlink"/>
            <w:noProof/>
          </w:rPr>
          <w:t>§ 19 Zulassung von Ausnahmen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72" w:history="1">
        <w:r w:rsidRPr="006D597E">
          <w:rPr>
            <w:rStyle w:val="Hyperlink"/>
            <w:noProof/>
          </w:rPr>
          <w:t>§ 20 Weitergehende Anforderungen und wesentliche Änderungen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73" w:history="1">
        <w:r w:rsidRPr="006D597E">
          <w:rPr>
            <w:rStyle w:val="Hyperlink"/>
            <w:noProof/>
          </w:rPr>
          <w:t>§ 20a Anforderungen an die Eignung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74" w:history="1">
        <w:r w:rsidRPr="006D597E">
          <w:rPr>
            <w:rStyle w:val="Hyperlink"/>
            <w:noProof/>
          </w:rPr>
          <w:t>§ 21 Ordnungswidrigkeiten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75" w:history="1">
        <w:r w:rsidRPr="006D597E">
          <w:rPr>
            <w:rStyle w:val="Hyperlink"/>
            <w:noProof/>
          </w:rPr>
          <w:t>Sechster Teil Schlussvorschriften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3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i w:val="0"/>
          <w:iCs/>
          <w:noProof/>
          <w:sz w:val="22"/>
          <w:szCs w:val="22"/>
        </w:rPr>
      </w:pPr>
      <w:hyperlink w:anchor="_Toc462324076" w:history="1">
        <w:r w:rsidRPr="006D597E">
          <w:rPr>
            <w:rStyle w:val="Hyperlink"/>
            <w:noProof/>
          </w:rPr>
          <w:t>§ 22 (Inkrafttreten)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77" w:history="1">
        <w:r w:rsidRPr="006D597E">
          <w:rPr>
            <w:rStyle w:val="Hyperlink"/>
            <w:noProof/>
          </w:rPr>
          <w:t>Anhang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78" w:history="1">
        <w:r w:rsidRPr="006D597E">
          <w:rPr>
            <w:rStyle w:val="Hyperlink"/>
            <w:noProof/>
          </w:rPr>
          <w:t>Anhang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79" w:history="1">
        <w:r w:rsidRPr="006D597E">
          <w:rPr>
            <w:rStyle w:val="Hyperlink"/>
            <w:noProof/>
          </w:rPr>
          <w:t>Anhang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E148C" w:rsidRDefault="00BE148C">
      <w:pPr>
        <w:pStyle w:val="Verzeichnis2"/>
        <w:tabs>
          <w:tab w:val="clear" w:pos="9638"/>
          <w:tab w:val="right" w:leader="dot" w:pos="962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2324080" w:history="1">
        <w:r w:rsidRPr="006D597E">
          <w:rPr>
            <w:rStyle w:val="Hyperlink"/>
            <w:noProof/>
          </w:rPr>
          <w:t>Anhang 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_Toc462324080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C1657" w:rsidRPr="008E52CD" w:rsidRDefault="00BE148C" w:rsidP="008E52CD">
      <w:pPr>
        <w:pStyle w:val="GesAbsatz"/>
      </w:pPr>
      <w:r>
        <w:fldChar w:fldCharType="end"/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Auf Grund des Artikels 5 der Verordnung zur Änderung der Verordnung über Verbrennungsanlagen für A</w:t>
      </w:r>
      <w:r w:rsidRPr="008F2F31">
        <w:rPr>
          <w:rFonts w:cs="Arial"/>
        </w:rPr>
        <w:t>b</w:t>
      </w:r>
      <w:r w:rsidRPr="008F2F31">
        <w:rPr>
          <w:rFonts w:cs="Arial"/>
        </w:rPr>
        <w:t>fälle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und ähnliche brennbare Stoffe und weiterer Verordnungen zur Durchführung des Bundes-Immissions</w:t>
      </w:r>
      <w:r w:rsidR="007E173B">
        <w:rPr>
          <w:rFonts w:cs="Arial"/>
        </w:rPr>
        <w:softHyphen/>
      </w:r>
      <w:r w:rsidRPr="008F2F31">
        <w:rPr>
          <w:rFonts w:cs="Arial"/>
        </w:rPr>
        <w:t>schutzgesetzes vom 14. August 2003 (BGBl. I S. 1614) wird nachstehend der Wortlaut der Sie</w:t>
      </w:r>
      <w:r w:rsidRPr="008F2F31">
        <w:rPr>
          <w:rFonts w:cs="Arial"/>
        </w:rPr>
        <w:t>b</w:t>
      </w:r>
      <w:r w:rsidRPr="008F2F31">
        <w:rPr>
          <w:rFonts w:cs="Arial"/>
        </w:rPr>
        <w:t>zehnten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Verordnung zur Durchführung des Bundes-Immissionsschutzgesetzes (Verordnung über Verbrennungsanl</w:t>
      </w:r>
      <w:r w:rsidRPr="008F2F31">
        <w:rPr>
          <w:rFonts w:cs="Arial"/>
        </w:rPr>
        <w:t>a</w:t>
      </w:r>
      <w:r w:rsidRPr="008F2F31">
        <w:rPr>
          <w:rFonts w:cs="Arial"/>
        </w:rPr>
        <w:t>gen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 xml:space="preserve">für Abfälle und ähnliche brennbare Stoffe </w:t>
      </w:r>
      <w:r w:rsidR="00CB5976">
        <w:rPr>
          <w:rFonts w:cs="Arial"/>
        </w:rPr>
        <w:t>-</w:t>
      </w:r>
      <w:r w:rsidRPr="008F2F31">
        <w:rPr>
          <w:rFonts w:cs="Arial"/>
        </w:rPr>
        <w:t xml:space="preserve"> 17. BImSchV) unter ihrer neuen Überschrift in der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ab dem 20. August 2003 geltenden Fa</w:t>
      </w:r>
      <w:r w:rsidRPr="008F2F31">
        <w:rPr>
          <w:rFonts w:cs="Arial"/>
        </w:rPr>
        <w:t>s</w:t>
      </w:r>
      <w:r w:rsidRPr="008F2F31">
        <w:rPr>
          <w:rFonts w:cs="Arial"/>
        </w:rPr>
        <w:t>sung bekannt gemacht. Die Neufassung berücksichtigt: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lastRenderedPageBreak/>
        <w:t>1.</w:t>
      </w:r>
      <w:r w:rsidR="008C1657">
        <w:rPr>
          <w:rFonts w:cs="Arial"/>
        </w:rPr>
        <w:tab/>
      </w:r>
      <w:r w:rsidRPr="008F2F31">
        <w:rPr>
          <w:rFonts w:cs="Arial"/>
        </w:rPr>
        <w:t>die am 1. Dezember 1990 in Kraft getretene Verordnung vom 23. November 1990 (BGBl. I S. 2545,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2832),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2.</w:t>
      </w:r>
      <w:r w:rsidR="008C1657">
        <w:rPr>
          <w:rFonts w:cs="Arial"/>
        </w:rPr>
        <w:tab/>
      </w:r>
      <w:r w:rsidRPr="008F2F31">
        <w:rPr>
          <w:rFonts w:cs="Arial"/>
        </w:rPr>
        <w:t>den am 1. April 1999 in Kraft getretenen Artikel 1 der Verordnung vom 23. Februar 1999 (BGBl. I S.</w:t>
      </w:r>
      <w:r w:rsidR="008C1657">
        <w:rPr>
          <w:rFonts w:cs="Arial"/>
        </w:rPr>
        <w:t> </w:t>
      </w:r>
      <w:r w:rsidRPr="008F2F31">
        <w:rPr>
          <w:rFonts w:cs="Arial"/>
        </w:rPr>
        <w:t>186),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8C1657">
        <w:rPr>
          <w:rFonts w:cs="Arial"/>
        </w:rPr>
        <w:tab/>
      </w:r>
      <w:r w:rsidRPr="008F2F31">
        <w:rPr>
          <w:rFonts w:cs="Arial"/>
        </w:rPr>
        <w:t>den am 11. Mai 2000 in Kraft getretenen Artikel 8 des Gesetzes vom 3. Mai 2000 (BGBl. I S. 632),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8C1657">
        <w:rPr>
          <w:rFonts w:cs="Arial"/>
        </w:rPr>
        <w:tab/>
      </w:r>
      <w:r w:rsidRPr="008F2F31">
        <w:rPr>
          <w:rFonts w:cs="Arial"/>
        </w:rPr>
        <w:t>den am 3. August 2001 in Kraft getretenen Artikel 6 des Gesetzes vom 27. Juli 2001 (BGBl. I S.</w:t>
      </w:r>
      <w:r w:rsidR="008C1657">
        <w:rPr>
          <w:rFonts w:cs="Arial"/>
        </w:rPr>
        <w:t xml:space="preserve"> </w:t>
      </w:r>
      <w:r w:rsidRPr="008F2F31">
        <w:rPr>
          <w:rFonts w:cs="Arial"/>
        </w:rPr>
        <w:t>1950),</w:t>
      </w:r>
    </w:p>
    <w:p w:rsidR="001469C7" w:rsidRPr="008F2F31" w:rsidRDefault="001469C7" w:rsidP="008C1657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5.</w:t>
      </w:r>
      <w:r w:rsidR="008C1657">
        <w:rPr>
          <w:rFonts w:cs="Arial"/>
        </w:rPr>
        <w:tab/>
      </w:r>
      <w:r w:rsidRPr="008F2F31">
        <w:rPr>
          <w:rFonts w:cs="Arial"/>
        </w:rPr>
        <w:t>den am 20. August 2003 in Kraft tretenden Artikel 1 der Verordnung vom 14. August 2003 (BGBl. I S.</w:t>
      </w:r>
      <w:r w:rsidR="008C1657">
        <w:rPr>
          <w:rFonts w:cs="Arial"/>
        </w:rPr>
        <w:t> </w:t>
      </w:r>
      <w:r w:rsidRPr="008F2F31">
        <w:rPr>
          <w:rFonts w:cs="Arial"/>
        </w:rPr>
        <w:t>1614).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Die Rechtsvorschriften wurden erlassen auf Grund</w:t>
      </w:r>
    </w:p>
    <w:p w:rsidR="001469C7" w:rsidRPr="008F2F31" w:rsidRDefault="001469C7" w:rsidP="00A1572A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8F2F31">
        <w:rPr>
          <w:rFonts w:cs="Arial"/>
        </w:rPr>
        <w:t>zu 1.</w:t>
      </w:r>
      <w:r w:rsidR="00A1572A">
        <w:rPr>
          <w:rFonts w:cs="Arial"/>
        </w:rPr>
        <w:tab/>
      </w:r>
      <w:r w:rsidRPr="008F2F31">
        <w:rPr>
          <w:rFonts w:cs="Arial"/>
        </w:rPr>
        <w:t>des § 5 Abs. 2 und des § 7 Abs. 1 und 4 des Bundes-Immissionsschutzgesetzes in der Fassung der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Bekanntmachung vom 14. Mai 1990 (BGBl. I S. 880),</w:t>
      </w:r>
    </w:p>
    <w:p w:rsidR="001469C7" w:rsidRPr="008F2F31" w:rsidRDefault="001469C7" w:rsidP="00A1572A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8F2F31">
        <w:rPr>
          <w:rFonts w:cs="Arial"/>
        </w:rPr>
        <w:t>zu 2.</w:t>
      </w:r>
      <w:r w:rsidR="00A1572A">
        <w:rPr>
          <w:rFonts w:cs="Arial"/>
        </w:rPr>
        <w:tab/>
      </w:r>
      <w:r w:rsidRPr="008F2F31">
        <w:rPr>
          <w:rFonts w:cs="Arial"/>
        </w:rPr>
        <w:t>des § 7 Abs. 1 und 4 des Bundes-Immissionsschutzgesetzes in der Fassung der Bekanntmachung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vom 14. Mai 1990 (BGBl. I S. 880), von denen § 7 Abs. 1 zuletzt durch Artikel 1 des Gesetzes vom 9.</w:t>
      </w:r>
      <w:r w:rsidR="00A1572A">
        <w:rPr>
          <w:rFonts w:cs="Arial"/>
        </w:rPr>
        <w:t> </w:t>
      </w:r>
      <w:r w:rsidRPr="008F2F31">
        <w:rPr>
          <w:rFonts w:cs="Arial"/>
        </w:rPr>
        <w:t>Oktober 1996 (BGBl. I S. 1498) geändert worden ist,</w:t>
      </w:r>
    </w:p>
    <w:p w:rsidR="001469C7" w:rsidRPr="008F2F31" w:rsidRDefault="001469C7" w:rsidP="00A1572A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 w:rsidRPr="008F2F31">
        <w:rPr>
          <w:rFonts w:cs="Arial"/>
        </w:rPr>
        <w:t>zu 5.</w:t>
      </w:r>
      <w:r w:rsidR="00A1572A">
        <w:rPr>
          <w:rFonts w:cs="Arial"/>
        </w:rPr>
        <w:tab/>
      </w:r>
      <w:r w:rsidRPr="008F2F31">
        <w:rPr>
          <w:rFonts w:cs="Arial"/>
        </w:rPr>
        <w:t>des § 7 Abs. 1 bis 4 des Bundes-Immissionsschutzgesetzes in der Fassung der Bekanntmachung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vom 26. September 2002 (BGBl. I S. 3830) sowie des § 48a Abs. 1 und 3 des Bundes-Immissionsschutzgesetzes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unter Wahrung der Rechte des Bu</w:t>
      </w:r>
      <w:r w:rsidRPr="008F2F31">
        <w:rPr>
          <w:rFonts w:cs="Arial"/>
        </w:rPr>
        <w:t>n</w:t>
      </w:r>
      <w:r w:rsidRPr="008F2F31">
        <w:rPr>
          <w:rFonts w:cs="Arial"/>
        </w:rPr>
        <w:t>destages gemäß § 48b des Bundes-Immissionsschutzgesetzes.</w:t>
      </w:r>
    </w:p>
    <w:p w:rsidR="001469C7" w:rsidRPr="008F2F31" w:rsidRDefault="001469C7" w:rsidP="00A1572A">
      <w:pPr>
        <w:pStyle w:val="berschrift2"/>
      </w:pPr>
      <w:bookmarkStart w:id="2" w:name="_Toc462324045"/>
      <w:r w:rsidRPr="008F2F31">
        <w:t>Erster Teil</w:t>
      </w:r>
      <w:r w:rsidR="00A1572A">
        <w:br/>
      </w:r>
      <w:r w:rsidRPr="008F2F31">
        <w:t>Allgemeine Vorschriften</w:t>
      </w:r>
      <w:bookmarkEnd w:id="2"/>
    </w:p>
    <w:p w:rsidR="001469C7" w:rsidRPr="008F2F31" w:rsidRDefault="001469C7" w:rsidP="00A1572A">
      <w:pPr>
        <w:pStyle w:val="berschrift3"/>
      </w:pPr>
      <w:bookmarkStart w:id="3" w:name="_Toc462324046"/>
      <w:r w:rsidRPr="008F2F31">
        <w:t>§ 1</w:t>
      </w:r>
      <w:r w:rsidR="00A1572A">
        <w:br/>
      </w:r>
      <w:r w:rsidRPr="008F2F31">
        <w:t>Anwendungsbereich</w:t>
      </w:r>
      <w:bookmarkEnd w:id="3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Diese Verordnung gilt für die Errichtung, die Beschaffenheit und den Betrieb von Verbrennungs- oder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Mi</w:t>
      </w:r>
      <w:r w:rsidRPr="008F2F31">
        <w:rPr>
          <w:rFonts w:cs="Arial"/>
        </w:rPr>
        <w:t>t</w:t>
      </w:r>
      <w:r w:rsidRPr="008F2F31">
        <w:rPr>
          <w:rFonts w:cs="Arial"/>
        </w:rPr>
        <w:t>verbrennungsanlagen, in denen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A1572A">
        <w:rPr>
          <w:rFonts w:cs="Arial"/>
        </w:rPr>
        <w:tab/>
      </w:r>
      <w:r w:rsidRPr="008F2F31">
        <w:rPr>
          <w:rFonts w:cs="Arial"/>
        </w:rPr>
        <w:t>feste, flüssige oder in Behältern gefasste gasförmige Abfälle oder</w:t>
      </w:r>
    </w:p>
    <w:p w:rsidR="001469C7" w:rsidRPr="008F2F31" w:rsidRDefault="001469C7" w:rsidP="00A1572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2.</w:t>
      </w:r>
      <w:r w:rsidR="00A1572A">
        <w:rPr>
          <w:rFonts w:cs="Arial"/>
        </w:rPr>
        <w:tab/>
      </w:r>
      <w:r w:rsidRPr="008F2F31">
        <w:rPr>
          <w:rFonts w:cs="Arial"/>
        </w:rPr>
        <w:t>ähnliche feste oder flüssige brennbare Stoffe, die nicht in Nummer 1.2 des Anhangs der Verordnung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über genehmigungsbedürftige Anlagen aufgeführt sind, ausgenommen ähnliche flüssige brennbare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Stoffe, soweit bei ihrer Verbrennung keine anderen oder höheren Emissionen als bei der Verbrennung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von Heizöl EL auftreten können, oder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3.</w:t>
      </w:r>
      <w:r w:rsidR="00A1572A">
        <w:rPr>
          <w:rFonts w:cs="Arial"/>
        </w:rPr>
        <w:tab/>
      </w:r>
      <w:r w:rsidRPr="008F2F31">
        <w:rPr>
          <w:rFonts w:cs="Arial"/>
        </w:rPr>
        <w:t>feste, flüssige oder gasförmige Stoffe, die bei der Pyrolyse oder Ve</w:t>
      </w:r>
      <w:r w:rsidRPr="008F2F31">
        <w:rPr>
          <w:rFonts w:cs="Arial"/>
        </w:rPr>
        <w:t>r</w:t>
      </w:r>
      <w:r w:rsidRPr="008F2F31">
        <w:rPr>
          <w:rFonts w:cs="Arial"/>
        </w:rPr>
        <w:t>gasung von Abfällen entstehen,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eingesetzt werden, soweit sie nach § 4 des Bundes-Immissionsschutzgesetzes in Verbindung mit der g</w:t>
      </w:r>
      <w:r w:rsidRPr="008F2F31">
        <w:rPr>
          <w:rFonts w:cs="Arial"/>
        </w:rPr>
        <w:t>e</w:t>
      </w:r>
      <w:r w:rsidRPr="008F2F31">
        <w:rPr>
          <w:rFonts w:cs="Arial"/>
        </w:rPr>
        <w:t>nannten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Verordnung genehmigungsbedürftig sind.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Beträgt bei Mitverbrennungsanlagen der zulässige Anteil der Abfälle oder Stoffe gemäß § 1 Abs. 1 an der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jeweils gefahrenen Feuerungswärmeleistung einer Verbrennungslinie einschließlich des für die Verbre</w:t>
      </w:r>
      <w:r w:rsidRPr="008F2F31">
        <w:rPr>
          <w:rFonts w:cs="Arial"/>
        </w:rPr>
        <w:t>n</w:t>
      </w:r>
      <w:r w:rsidRPr="008F2F31">
        <w:rPr>
          <w:rFonts w:cs="Arial"/>
        </w:rPr>
        <w:t>nung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benötigten Brennstoffs nicht mehr als 25 vom Hundert und werden nur im Sinne von § 5a Abs. 7 aufb</w:t>
      </w:r>
      <w:r w:rsidRPr="008F2F31">
        <w:rPr>
          <w:rFonts w:cs="Arial"/>
        </w:rPr>
        <w:t>e</w:t>
      </w:r>
      <w:r w:rsidRPr="008F2F31">
        <w:rPr>
          <w:rFonts w:cs="Arial"/>
        </w:rPr>
        <w:t>reitete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gemischte Siedlungsabfälle eingesetzt, so gelten für Mitverbrennungsanlagen die Anforderungen für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brennungsanlagen gemäß § 4 Abs. 4 nicht. Die Emissionsgrenzwerte sind gemäß § 5a festzulegen.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Sonst</w:t>
      </w:r>
      <w:r w:rsidRPr="008F2F31">
        <w:rPr>
          <w:rFonts w:cs="Arial"/>
        </w:rPr>
        <w:t>i</w:t>
      </w:r>
      <w:r w:rsidRPr="008F2F31">
        <w:rPr>
          <w:rFonts w:cs="Arial"/>
        </w:rPr>
        <w:t>ge Anforderungen, die sich aus der Verordnung über Großfeuerungsanlagen oder aus § 5 Abs. 1 Nr. 2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des Bundes- Immissionsschutzgesetzes unter Beachtung der Technischen Anleitung zur Reinhaltung de</w:t>
      </w:r>
      <w:r w:rsidRPr="008F2F31">
        <w:rPr>
          <w:rFonts w:cs="Arial"/>
        </w:rPr>
        <w:t>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Luft – TA Luft – in der jeweils geltenden Fassung ergeben, bleiben unberührt.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Diese Verordnung gilt nicht für Verbrennungs- oder Mitverbrennungsanlagen sowie für einzelne 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nungs-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oder Mitverbrennungslinien, die – abgesehen vom Einsatz der in Nummer 1.2 des Anhangs der Ve</w:t>
      </w:r>
      <w:r w:rsidRPr="008F2F31">
        <w:rPr>
          <w:rFonts w:cs="Arial"/>
        </w:rPr>
        <w:t>r</w:t>
      </w:r>
      <w:r w:rsidRPr="008F2F31">
        <w:rPr>
          <w:rFonts w:cs="Arial"/>
        </w:rPr>
        <w:t>ordnung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über genehmigungsbedürftige Anlagen aufgeführten Stoffe – au</w:t>
      </w:r>
      <w:r w:rsidRPr="008F2F31">
        <w:rPr>
          <w:rFonts w:cs="Arial"/>
        </w:rPr>
        <w:t>s</w:t>
      </w:r>
      <w:r w:rsidRPr="008F2F31">
        <w:rPr>
          <w:rFonts w:cs="Arial"/>
        </w:rPr>
        <w:t>schließlich für den Einsatz von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A1572A">
        <w:rPr>
          <w:rFonts w:cs="Arial"/>
        </w:rPr>
        <w:tab/>
      </w:r>
      <w:r w:rsidRPr="008F2F31">
        <w:rPr>
          <w:rFonts w:cs="Arial"/>
        </w:rPr>
        <w:t>pflanzlichen Abfällen aus der Land- und Forstwirtschaft,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2.</w:t>
      </w:r>
      <w:r w:rsidR="00A1572A">
        <w:rPr>
          <w:rFonts w:cs="Arial"/>
        </w:rPr>
        <w:tab/>
      </w:r>
      <w:r w:rsidRPr="008F2F31">
        <w:rPr>
          <w:rFonts w:cs="Arial"/>
        </w:rPr>
        <w:t>pflanzlichen Abfällen aus der Nahrungsmittelindustrie, falls die e</w:t>
      </w:r>
      <w:r w:rsidRPr="008F2F31">
        <w:rPr>
          <w:rFonts w:cs="Arial"/>
        </w:rPr>
        <w:t>r</w:t>
      </w:r>
      <w:r w:rsidRPr="008F2F31">
        <w:rPr>
          <w:rFonts w:cs="Arial"/>
        </w:rPr>
        <w:t>zeugte Wärme genutzt wird,</w:t>
      </w:r>
    </w:p>
    <w:p w:rsidR="001469C7" w:rsidRPr="008F2F31" w:rsidRDefault="001469C7" w:rsidP="00A1572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A1572A">
        <w:rPr>
          <w:rFonts w:cs="Arial"/>
        </w:rPr>
        <w:tab/>
      </w:r>
      <w:r w:rsidRPr="008F2F31">
        <w:rPr>
          <w:rFonts w:cs="Arial"/>
        </w:rPr>
        <w:t>faserhaltigen pflanzlichen Abfällen einschließlich der Ablaugen aus der Herstellung von natürliche</w:t>
      </w:r>
      <w:r w:rsidRPr="008F2F31">
        <w:rPr>
          <w:rFonts w:cs="Arial"/>
        </w:rPr>
        <w:t>m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Zellstoff und aus der Herstellung von Papier aus Zellstoff, falls sie am Herstellungsort der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</w:t>
      </w:r>
      <w:r w:rsidRPr="008F2F31">
        <w:rPr>
          <w:rFonts w:cs="Arial"/>
        </w:rPr>
        <w:t>g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zugeführt werden und die erzeugte Wärme genutzt wird,</w:t>
      </w:r>
    </w:p>
    <w:p w:rsidR="001469C7" w:rsidRPr="008F2F31" w:rsidRDefault="001469C7" w:rsidP="00A1572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A1572A">
        <w:rPr>
          <w:rFonts w:cs="Arial"/>
        </w:rPr>
        <w:tab/>
      </w:r>
      <w:r w:rsidRPr="008F2F31">
        <w:rPr>
          <w:rFonts w:cs="Arial"/>
        </w:rPr>
        <w:t>Holzabfällen nach Nummer 8.2 Buchstabe a und b des Anhangs der Verordnung über genehmigung</w:t>
      </w:r>
      <w:r w:rsidRPr="008F2F31">
        <w:rPr>
          <w:rFonts w:cs="Arial"/>
        </w:rPr>
        <w:t>s</w:t>
      </w:r>
      <w:r w:rsidRPr="008F2F31">
        <w:rPr>
          <w:rFonts w:cs="Arial"/>
        </w:rPr>
        <w:t>bedürftige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Anlagen mit Ausnahme von Holzabfällen, die halogenorganische Verbindungen oder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lastRenderedPageBreak/>
        <w:t>Schwermetalle infolge einer Behandlung mit Holzschutzmitteln oder infolge einer Beschichtung entha</w:t>
      </w:r>
      <w:r w:rsidRPr="008F2F31">
        <w:rPr>
          <w:rFonts w:cs="Arial"/>
        </w:rPr>
        <w:t>l</w:t>
      </w:r>
      <w:r w:rsidRPr="008F2F31">
        <w:rPr>
          <w:rFonts w:cs="Arial"/>
        </w:rPr>
        <w:t>ten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können und zu denen insb</w:t>
      </w:r>
      <w:r w:rsidRPr="008F2F31">
        <w:rPr>
          <w:rFonts w:cs="Arial"/>
        </w:rPr>
        <w:t>e</w:t>
      </w:r>
      <w:r w:rsidRPr="008F2F31">
        <w:rPr>
          <w:rFonts w:cs="Arial"/>
        </w:rPr>
        <w:t>sondere Holzabfälle aus Bau- und Abbruchabfällen gehören,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5.</w:t>
      </w:r>
      <w:r w:rsidR="00A1572A">
        <w:rPr>
          <w:rFonts w:cs="Arial"/>
        </w:rPr>
        <w:tab/>
      </w:r>
      <w:r w:rsidRPr="008F2F31">
        <w:rPr>
          <w:rFonts w:cs="Arial"/>
        </w:rPr>
        <w:t>Korkabfällen,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6.</w:t>
      </w:r>
      <w:r w:rsidR="00A1572A">
        <w:rPr>
          <w:rFonts w:cs="Arial"/>
        </w:rPr>
        <w:tab/>
      </w:r>
      <w:r w:rsidRPr="008F2F31">
        <w:rPr>
          <w:rFonts w:cs="Arial"/>
        </w:rPr>
        <w:t>Tierkörpern oder</w:t>
      </w:r>
    </w:p>
    <w:p w:rsidR="001469C7" w:rsidRPr="008F2F31" w:rsidRDefault="001469C7" w:rsidP="00A1572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7.</w:t>
      </w:r>
      <w:r w:rsidR="00A1572A">
        <w:rPr>
          <w:rFonts w:cs="Arial"/>
        </w:rPr>
        <w:tab/>
      </w:r>
      <w:r w:rsidRPr="008F2F31">
        <w:rPr>
          <w:rFonts w:cs="Arial"/>
        </w:rPr>
        <w:t>Abfällen, die beim Aufsuchen von Erdöl- und Erdgasvorkommen und deren Förderung auf Bohrinsel</w:t>
      </w:r>
      <w:r w:rsidRPr="008F2F31">
        <w:rPr>
          <w:rFonts w:cs="Arial"/>
        </w:rPr>
        <w:t>n</w:t>
      </w:r>
      <w:r w:rsidR="00A1572A">
        <w:rPr>
          <w:rFonts w:cs="Arial"/>
        </w:rPr>
        <w:t xml:space="preserve"> </w:t>
      </w:r>
      <w:r w:rsidRPr="008F2F31">
        <w:rPr>
          <w:rFonts w:cs="Arial"/>
        </w:rPr>
        <w:t>entstehen und dort verbrannt werden,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bestimmt sind.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Die Verordnung findet keine Anwendung für Verbrennungs- oder Mitverbrennungslinien, die für Fo</w:t>
      </w:r>
      <w:r w:rsidRPr="008F2F31">
        <w:rPr>
          <w:rFonts w:cs="Arial"/>
        </w:rPr>
        <w:t>r</w:t>
      </w:r>
      <w:r w:rsidRPr="008F2F31">
        <w:rPr>
          <w:rFonts w:cs="Arial"/>
        </w:rPr>
        <w:t>schungs-,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Entwicklungs- und Prüfzwecke zur Verbesserung des Verbrennungsprozesses weniger als 50</w:t>
      </w:r>
      <w:r w:rsidR="00285C37">
        <w:rPr>
          <w:rFonts w:cs="Arial"/>
        </w:rPr>
        <w:t> </w:t>
      </w:r>
      <w:r w:rsidRPr="008F2F31">
        <w:rPr>
          <w:rFonts w:cs="Arial"/>
        </w:rPr>
        <w:t>Tonnen Abfälle im Jahr behandeln. Sie findet ferner keine Anwendung auf gasförmige Stoffe nach A</w:t>
      </w:r>
      <w:r w:rsidRPr="008F2F31">
        <w:rPr>
          <w:rFonts w:cs="Arial"/>
        </w:rPr>
        <w:t>b</w:t>
      </w:r>
      <w:r w:rsidRPr="008F2F31">
        <w:rPr>
          <w:rFonts w:cs="Arial"/>
        </w:rPr>
        <w:t>satz</w:t>
      </w:r>
      <w:r w:rsidR="00285C37">
        <w:rPr>
          <w:rFonts w:cs="Arial"/>
        </w:rPr>
        <w:t> </w:t>
      </w:r>
      <w:r w:rsidRPr="008F2F31">
        <w:rPr>
          <w:rFonts w:cs="Arial"/>
        </w:rPr>
        <w:t>1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Satz 1 Nr. 3, die in Mitverbrennungsanlagen eingesetzt werden, wenn diese auf Grund ihrer Zusa</w:t>
      </w:r>
      <w:r w:rsidRPr="008F2F31">
        <w:rPr>
          <w:rFonts w:cs="Arial"/>
        </w:rPr>
        <w:t>m</w:t>
      </w:r>
      <w:r w:rsidRPr="008F2F31">
        <w:rPr>
          <w:rFonts w:cs="Arial"/>
        </w:rPr>
        <w:t>mensetzung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keine anderen oder höheren Emissionen verursachen als die Verbrennung von Gasen der ö</w:t>
      </w:r>
      <w:r w:rsidRPr="008F2F31">
        <w:rPr>
          <w:rFonts w:cs="Arial"/>
        </w:rPr>
        <w:t>f</w:t>
      </w:r>
      <w:r w:rsidRPr="008F2F31">
        <w:rPr>
          <w:rFonts w:cs="Arial"/>
        </w:rPr>
        <w:t>fentlichen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Gasversorgung.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Diese Verordnung enthält Anforderungen, die nach § 5 Abs. 1 Nr. 1 bis 4 des Bundes-Immissionsschutzgesetzes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bei der Errichtung und beim Betrieb der Anlagen zur</w:t>
      </w:r>
    </w:p>
    <w:p w:rsidR="001469C7" w:rsidRPr="008F2F31" w:rsidRDefault="00285C37" w:rsidP="008F2F31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Vorsorge gegen schädliche Umwelteinwirkungen durch Luftverunre</w:t>
      </w:r>
      <w:r w:rsidR="001469C7" w:rsidRPr="008F2F31">
        <w:rPr>
          <w:rFonts w:cs="Arial"/>
        </w:rPr>
        <w:t>i</w:t>
      </w:r>
      <w:r w:rsidR="001469C7" w:rsidRPr="008F2F31">
        <w:rPr>
          <w:rFonts w:cs="Arial"/>
        </w:rPr>
        <w:t>nigungen,</w:t>
      </w:r>
    </w:p>
    <w:p w:rsidR="001469C7" w:rsidRPr="008F2F31" w:rsidRDefault="00285C37" w:rsidP="008F2F31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Bekämpfung von Brandgefahren,</w:t>
      </w:r>
    </w:p>
    <w:p w:rsidR="001469C7" w:rsidRPr="008F2F31" w:rsidRDefault="00285C37" w:rsidP="008F2F31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Behandlung von Abfällen und</w:t>
      </w:r>
    </w:p>
    <w:p w:rsidR="001469C7" w:rsidRPr="008F2F31" w:rsidRDefault="00285C37" w:rsidP="008F2F31">
      <w:pPr>
        <w:pStyle w:val="GesAbsatz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Nutzung der entstehenden Wärme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zu erfüllen sind.</w:t>
      </w:r>
    </w:p>
    <w:p w:rsidR="001469C7" w:rsidRPr="008F2F31" w:rsidRDefault="001469C7" w:rsidP="00285C37">
      <w:pPr>
        <w:pStyle w:val="berschrift3"/>
      </w:pPr>
      <w:bookmarkStart w:id="4" w:name="_Toc462324047"/>
      <w:r w:rsidRPr="008F2F31">
        <w:t>§ 2</w:t>
      </w:r>
      <w:r w:rsidR="00285C37">
        <w:br/>
      </w:r>
      <w:r w:rsidRPr="008F2F31">
        <w:t>Begriffsbestimmungen</w:t>
      </w:r>
      <w:bookmarkEnd w:id="4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Im Sinne dieser Verordnung sind: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285C37">
        <w:rPr>
          <w:rFonts w:cs="Arial"/>
        </w:rPr>
        <w:tab/>
      </w:r>
      <w:r w:rsidRPr="008F2F31">
        <w:rPr>
          <w:rFonts w:cs="Arial"/>
        </w:rPr>
        <w:t>Abgase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die Trägergase mit den festen, flüssigen oder gasförmigen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Emissi</w:t>
      </w:r>
      <w:r w:rsidRPr="008F2F31">
        <w:rPr>
          <w:rFonts w:cs="Arial"/>
        </w:rPr>
        <w:t>o</w:t>
      </w:r>
      <w:r w:rsidRPr="008F2F31">
        <w:rPr>
          <w:rFonts w:cs="Arial"/>
        </w:rPr>
        <w:t>nen;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2.</w:t>
      </w:r>
      <w:r w:rsidR="00285C37">
        <w:rPr>
          <w:rFonts w:cs="Arial"/>
        </w:rPr>
        <w:tab/>
      </w:r>
      <w:r w:rsidRPr="008F2F31">
        <w:rPr>
          <w:rFonts w:cs="Arial"/>
        </w:rPr>
        <w:t>Altanlagen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Verbrennungs- oder Mitverbrennungsanlagen,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a)</w:t>
      </w:r>
      <w:r w:rsidR="00285C37">
        <w:rPr>
          <w:rFonts w:cs="Arial"/>
        </w:rPr>
        <w:tab/>
      </w:r>
      <w:r w:rsidRPr="008F2F31">
        <w:rPr>
          <w:rFonts w:cs="Arial"/>
        </w:rPr>
        <w:t>die in Betrieb sind und für die der Planfeststellungsbeschluss nach § 7 Abs. 1 des Abfallgesetzes</w:t>
      </w:r>
      <w:r w:rsidR="00285C37">
        <w:rPr>
          <w:rFonts w:cs="Arial"/>
        </w:rPr>
        <w:t xml:space="preserve"> </w:t>
      </w:r>
      <w:r w:rsidRPr="008F2F31">
        <w:rPr>
          <w:rFonts w:cs="Arial"/>
        </w:rPr>
        <w:t>vom 27. August 1986 (BGBl. I S. 1410) zur Errichtung und zum Betrieb vor dem 28. Deze</w:t>
      </w:r>
      <w:r w:rsidRPr="008F2F31">
        <w:rPr>
          <w:rFonts w:cs="Arial"/>
        </w:rPr>
        <w:t>m</w:t>
      </w:r>
      <w:r w:rsidRPr="008F2F31">
        <w:rPr>
          <w:rFonts w:cs="Arial"/>
        </w:rPr>
        <w:t>ber</w:t>
      </w:r>
      <w:r w:rsidR="00A00130">
        <w:rPr>
          <w:rFonts w:cs="Arial"/>
        </w:rPr>
        <w:t> </w:t>
      </w:r>
      <w:r w:rsidRPr="008F2F31">
        <w:rPr>
          <w:rFonts w:cs="Arial"/>
        </w:rPr>
        <w:t>2002 ergangen ist;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b)</w:t>
      </w:r>
      <w:r w:rsidR="00285C37">
        <w:rPr>
          <w:rFonts w:cs="Arial"/>
        </w:rPr>
        <w:tab/>
      </w:r>
      <w:r w:rsidRPr="008F2F31">
        <w:rPr>
          <w:rFonts w:cs="Arial"/>
        </w:rPr>
        <w:t>die in Betrieb sind und für die eine Genehmigung nach § 6 oder § 16 des Bundes-Immissionsschutzgesetzes zur Errichtung und zum Betrieb vor dem 28. Dezember 2002 erteilt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worden ist;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c)</w:t>
      </w:r>
      <w:r w:rsidR="00A00130">
        <w:rPr>
          <w:rFonts w:cs="Arial"/>
        </w:rPr>
        <w:tab/>
      </w:r>
      <w:r w:rsidRPr="008F2F31">
        <w:rPr>
          <w:rFonts w:cs="Arial"/>
        </w:rPr>
        <w:t>für die eine Genehmigung zur Errichtung und zum Betrieb nach § 6 oder § 16 des Bundes-Immissionsschutzgesetzes vor dem 28. Dezember 2002 erteilt worden ist und die vor dem 28. D</w:t>
      </w:r>
      <w:r w:rsidRPr="008F2F31">
        <w:rPr>
          <w:rFonts w:cs="Arial"/>
        </w:rPr>
        <w:t>e</w:t>
      </w:r>
      <w:r w:rsidRPr="008F2F31">
        <w:rPr>
          <w:rFonts w:cs="Arial"/>
        </w:rPr>
        <w:t>zember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2003 in Betrieb gegangen sind oder in Betrieb gehen werden;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d)</w:t>
      </w:r>
      <w:r w:rsidR="00A00130">
        <w:rPr>
          <w:rFonts w:cs="Arial"/>
        </w:rPr>
        <w:tab/>
      </w:r>
      <w:r w:rsidRPr="008F2F31">
        <w:rPr>
          <w:rFonts w:cs="Arial"/>
        </w:rPr>
        <w:t>für die bis zum 27. Dezember 2002 ein vollständiger Genehmigungsantrag zur Errichtung und zum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Betrieb nach § 6 oder § 16 des Bundes-Immissionsschutzgesetzes gestellt worden ist und die vor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dem 28. Dezember 2004 in Betrieb gegangen sind oder in Betrieb gehen werden oder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e)</w:t>
      </w:r>
      <w:r w:rsidR="00A00130">
        <w:rPr>
          <w:rFonts w:cs="Arial"/>
        </w:rPr>
        <w:tab/>
      </w:r>
      <w:r w:rsidRPr="008F2F31">
        <w:rPr>
          <w:rFonts w:cs="Arial"/>
        </w:rPr>
        <w:t>die nach § 67 Abs. 2 und 7 und § 67a des Bundes-Immissionsschutzgesetzes oder vor Inkrafttr</w:t>
      </w:r>
      <w:r w:rsidRPr="008F2F31">
        <w:rPr>
          <w:rFonts w:cs="Arial"/>
        </w:rPr>
        <w:t>e</w:t>
      </w:r>
      <w:r w:rsidRPr="008F2F31">
        <w:rPr>
          <w:rFonts w:cs="Arial"/>
        </w:rPr>
        <w:t>ten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des Bundes-Immissionsschutzgesetzes nach § 16 Abs. 4 der Gewerbeordnung anzuzeigen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waren;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A00130">
        <w:rPr>
          <w:rFonts w:cs="Arial"/>
        </w:rPr>
        <w:tab/>
      </w:r>
      <w:r w:rsidRPr="008F2F31">
        <w:rPr>
          <w:rFonts w:cs="Arial"/>
        </w:rPr>
        <w:t>Emissionen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die von Anlagen ausgehenden Luftverunreinigungen; sie werden angegeben als Massenkonzentration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in der Einheit Nanogramm je Kubikmeter (ng/m</w:t>
      </w:r>
      <w:r w:rsidR="00A00130">
        <w:rPr>
          <w:rFonts w:cs="Arial"/>
        </w:rPr>
        <w:t>³</w:t>
      </w:r>
      <w:r w:rsidRPr="008F2F31">
        <w:rPr>
          <w:rFonts w:cs="Arial"/>
        </w:rPr>
        <w:t>), Milligramm je Kubikmeter (mg/m</w:t>
      </w:r>
      <w:r w:rsidR="00A00130">
        <w:rPr>
          <w:rFonts w:cs="Arial"/>
        </w:rPr>
        <w:t>³</w:t>
      </w:r>
      <w:r w:rsidRPr="008F2F31">
        <w:rPr>
          <w:rFonts w:cs="Arial"/>
        </w:rPr>
        <w:t>) oder Gramm je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Kubikmeter (g/m</w:t>
      </w:r>
      <w:r w:rsidR="00A00130">
        <w:rPr>
          <w:rFonts w:cs="Arial"/>
        </w:rPr>
        <w:t>³</w:t>
      </w:r>
      <w:r w:rsidRPr="008F2F31">
        <w:rPr>
          <w:rFonts w:cs="Arial"/>
        </w:rPr>
        <w:t>), bezogen auf das Abgasvolumen im Normzustand (273 K, 1013 hPa) nach Abzug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des Feuchtegehaltes an Wasse</w:t>
      </w:r>
      <w:r w:rsidRPr="008F2F31">
        <w:rPr>
          <w:rFonts w:cs="Arial"/>
        </w:rPr>
        <w:t>r</w:t>
      </w:r>
      <w:r w:rsidRPr="008F2F31">
        <w:rPr>
          <w:rFonts w:cs="Arial"/>
        </w:rPr>
        <w:t>dampf;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A00130">
        <w:rPr>
          <w:rFonts w:cs="Arial"/>
        </w:rPr>
        <w:tab/>
      </w:r>
      <w:r w:rsidRPr="008F2F31">
        <w:rPr>
          <w:rFonts w:cs="Arial"/>
        </w:rPr>
        <w:t>Emissionsgrenzwerte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lastRenderedPageBreak/>
        <w:t>die in § 5 Abs. 1 oder in Anhang II fest vorgegebenen oder gemäß den Vorgaben des Anhangs II zu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</w:t>
      </w:r>
      <w:r w:rsidRPr="008F2F31">
        <w:rPr>
          <w:rFonts w:cs="Arial"/>
        </w:rPr>
        <w:t>e</w:t>
      </w:r>
      <w:r w:rsidRPr="008F2F31">
        <w:rPr>
          <w:rFonts w:cs="Arial"/>
        </w:rPr>
        <w:t>rechnenden Massenkonzentrationen von Luftverunreinigungen im Abgas, die in dem jeweils festgele</w:t>
      </w:r>
      <w:r w:rsidRPr="008F2F31">
        <w:rPr>
          <w:rFonts w:cs="Arial"/>
        </w:rPr>
        <w:t>g</w:t>
      </w:r>
      <w:r w:rsidRPr="008F2F31">
        <w:rPr>
          <w:rFonts w:cs="Arial"/>
        </w:rPr>
        <w:t>ten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Beurteilungszeitraum nicht überschritten werden dürfen;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5.</w:t>
      </w:r>
      <w:r w:rsidR="00A00130">
        <w:rPr>
          <w:rFonts w:cs="Arial"/>
        </w:rPr>
        <w:tab/>
      </w:r>
      <w:r w:rsidRPr="008F2F31">
        <w:rPr>
          <w:rFonts w:cs="Arial"/>
        </w:rPr>
        <w:t>Bezugssauerstoffgehalte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die in § 5 Abs. 2 oder in Anhang II fest vorgegebenen oder gemäß den Vorgaben des Anhangs II zu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</w:t>
      </w:r>
      <w:r w:rsidRPr="008F2F31">
        <w:rPr>
          <w:rFonts w:cs="Arial"/>
        </w:rPr>
        <w:t>e</w:t>
      </w:r>
      <w:r w:rsidRPr="008F2F31">
        <w:rPr>
          <w:rFonts w:cs="Arial"/>
        </w:rPr>
        <w:t>rechnenden Volumengehalte an Sauerstoff im Abgas, auf die die jeweiligen Emissionsgrenzwerte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u</w:t>
      </w:r>
      <w:r w:rsidRPr="008F2F31">
        <w:rPr>
          <w:rFonts w:cs="Arial"/>
        </w:rPr>
        <w:t>n</w:t>
      </w:r>
      <w:r w:rsidRPr="008F2F31">
        <w:rPr>
          <w:rFonts w:cs="Arial"/>
        </w:rPr>
        <w:t>ter Berücksichtigung von Anhang IV zu beziehen sind;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6</w:t>
      </w:r>
      <w:r w:rsidR="00A00130">
        <w:rPr>
          <w:rFonts w:cs="Arial"/>
        </w:rPr>
        <w:t>.</w:t>
      </w:r>
      <w:r w:rsidR="00A00130">
        <w:rPr>
          <w:rFonts w:cs="Arial"/>
        </w:rPr>
        <w:tab/>
      </w:r>
      <w:r w:rsidRPr="008F2F31">
        <w:rPr>
          <w:rFonts w:cs="Arial"/>
        </w:rPr>
        <w:t>Verbrennungsanlagen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Anlagen, die dazu bestimmt sind, thermische Verfahren zur Behandlung von Abfällen oder Stoffen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nach § 1 Abs. 1 zu verwenden. Diese Verfahren umfassen die Verbrennung durch Oxidation der oben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g</w:t>
      </w:r>
      <w:r w:rsidRPr="008F2F31">
        <w:rPr>
          <w:rFonts w:cs="Arial"/>
        </w:rPr>
        <w:t>e</w:t>
      </w:r>
      <w:r w:rsidRPr="008F2F31">
        <w:rPr>
          <w:rFonts w:cs="Arial"/>
        </w:rPr>
        <w:t>nannten Stoffe und andere vergleichbare thermische Verfahren wie Pyrolyse, Vergasung oder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Plasm</w:t>
      </w:r>
      <w:r w:rsidRPr="008F2F31">
        <w:rPr>
          <w:rFonts w:cs="Arial"/>
        </w:rPr>
        <w:t>a</w:t>
      </w:r>
      <w:r w:rsidRPr="008F2F31">
        <w:rPr>
          <w:rFonts w:cs="Arial"/>
        </w:rPr>
        <w:t>verfahren, soweit die bei den vorgenannten thermischen Verfahren aus Abfällen entstehenden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festen, flüssigen oder gasförmigen Stoffe verbrannt werden. Diese Begriffsbestimmung erstreckt sich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auf die gesamte Verbrennungsanlage einschließlich aller Verbrennungslinien, die Annahme und Lagerung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der Abfälle und Stoffe nach § 1 Abs. 1, die auf dem Gelände befindlichen Vorbehandlungsanlagen,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das Z</w:t>
      </w:r>
      <w:r w:rsidRPr="008F2F31">
        <w:rPr>
          <w:rFonts w:cs="Arial"/>
        </w:rPr>
        <w:t>u</w:t>
      </w:r>
      <w:r w:rsidRPr="008F2F31">
        <w:rPr>
          <w:rFonts w:cs="Arial"/>
        </w:rPr>
        <w:t>fuhrsystem für Abfälle und Stoffe nach § 1 Abs. 1, Brennstoffe und Luft, den Kessel, die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Abgasbehan</w:t>
      </w:r>
      <w:r w:rsidRPr="008F2F31">
        <w:rPr>
          <w:rFonts w:cs="Arial"/>
        </w:rPr>
        <w:t>d</w:t>
      </w:r>
      <w:r w:rsidRPr="008F2F31">
        <w:rPr>
          <w:rFonts w:cs="Arial"/>
        </w:rPr>
        <w:t>lungsanlagen, die auf dem Gelände befindlichen Anlagen zur Behandlung und Lagerung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von bei der Verbrennung entstehenden Abfällen und Abwasser, den Schornstein, die Vorrichtungen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und Systeme zur Kontrolle der Verbrennungsvorgänge, zur Aufzeichnung und Überwachung der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Verbrennungsbedi</w:t>
      </w:r>
      <w:r w:rsidRPr="008F2F31">
        <w:rPr>
          <w:rFonts w:cs="Arial"/>
        </w:rPr>
        <w:t>n</w:t>
      </w:r>
      <w:r w:rsidRPr="008F2F31">
        <w:rPr>
          <w:rFonts w:cs="Arial"/>
        </w:rPr>
        <w:t>gungen;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7.</w:t>
      </w:r>
      <w:r w:rsidR="00A00130">
        <w:rPr>
          <w:rFonts w:cs="Arial"/>
        </w:rPr>
        <w:tab/>
      </w:r>
      <w:r w:rsidRPr="008F2F31">
        <w:rPr>
          <w:rFonts w:cs="Arial"/>
        </w:rPr>
        <w:t>Mitverbrennungsanlagen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Anlagen, deren Hauptzweck in der Energiebereitstellung oder der Produktion stofflicher Erzeugnisse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besteht und</w:t>
      </w:r>
    </w:p>
    <w:p w:rsidR="001469C7" w:rsidRPr="008F2F31" w:rsidRDefault="00A00130" w:rsidP="00551A5B">
      <w:pPr>
        <w:pStyle w:val="GesAbsatz"/>
        <w:ind w:left="851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in denen Abfälle oder Stoffe nach § 1 Abs. 1 als regelmäßiger oder zusätzlicher Brennstoff ve</w:t>
      </w:r>
      <w:r w:rsidR="001469C7" w:rsidRPr="008F2F31">
        <w:rPr>
          <w:rFonts w:cs="Arial"/>
        </w:rPr>
        <w:t>r</w:t>
      </w:r>
      <w:r w:rsidR="001469C7" w:rsidRPr="008F2F31">
        <w:rPr>
          <w:rFonts w:cs="Arial"/>
        </w:rPr>
        <w:t>wendet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werden oder</w:t>
      </w:r>
    </w:p>
    <w:p w:rsidR="001469C7" w:rsidRPr="008F2F31" w:rsidRDefault="00A00130" w:rsidP="00551A5B">
      <w:pPr>
        <w:pStyle w:val="GesAbsatz"/>
        <w:ind w:left="851" w:hanging="425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1469C7" w:rsidRPr="008F2F31">
        <w:rPr>
          <w:rFonts w:cs="Arial"/>
        </w:rPr>
        <w:t>in denen Abfälle oder Stoffe nach § 1 Abs. 1 mit dem Ziel der Beseitigung thermisch behandelt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werden.</w:t>
      </w:r>
    </w:p>
    <w:p w:rsidR="001469C7" w:rsidRPr="008F2F31" w:rsidRDefault="00A00130" w:rsidP="00A00130">
      <w:pPr>
        <w:pStyle w:val="GesAbsatz"/>
        <w:ind w:left="426" w:hanging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Falls die Mitverbrennung in solch einer Weise erfolgt, dass der Hauptzweck der Anlage nicht in der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Energiebereitstellung oder der Produktion stofflicher Erzeugnisse, sondern in der thermischen Behan</w:t>
      </w:r>
      <w:r w:rsidR="001469C7" w:rsidRPr="008F2F31">
        <w:rPr>
          <w:rFonts w:cs="Arial"/>
        </w:rPr>
        <w:t>d</w:t>
      </w:r>
      <w:r w:rsidR="001469C7" w:rsidRPr="008F2F31">
        <w:rPr>
          <w:rFonts w:cs="Arial"/>
        </w:rPr>
        <w:t>lung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von Abfällen besteht, gilt die Anlage als Verbrennungsanlage im Sinne der Nummer 6. Diese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B</w:t>
      </w:r>
      <w:r w:rsidR="001469C7" w:rsidRPr="008F2F31">
        <w:rPr>
          <w:rFonts w:cs="Arial"/>
        </w:rPr>
        <w:t>e</w:t>
      </w:r>
      <w:r w:rsidR="001469C7" w:rsidRPr="008F2F31">
        <w:rPr>
          <w:rFonts w:cs="Arial"/>
        </w:rPr>
        <w:t>griffsbestimmung erstreckt sich auf die gesamte Mitverbrennungsanlage einschließlich aller Mitverbre</w:t>
      </w:r>
      <w:r w:rsidR="001469C7" w:rsidRPr="008F2F31">
        <w:rPr>
          <w:rFonts w:cs="Arial"/>
        </w:rPr>
        <w:t>n</w:t>
      </w:r>
      <w:r w:rsidR="001469C7" w:rsidRPr="008F2F31">
        <w:rPr>
          <w:rFonts w:cs="Arial"/>
        </w:rPr>
        <w:t>nungslinien,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die Annahme und Lagerung der Abfälle und Stoffe nach § 1 Abs. 1, die auf dem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Gelände befindlichen Vorbehandlungsanlagen, das Zufuhrsystem für Abfälle und Stoffe nach § 1 Abs.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1, Bren</w:t>
      </w:r>
      <w:r w:rsidR="001469C7" w:rsidRPr="008F2F31">
        <w:rPr>
          <w:rFonts w:cs="Arial"/>
        </w:rPr>
        <w:t>n</w:t>
      </w:r>
      <w:r w:rsidR="001469C7" w:rsidRPr="008F2F31">
        <w:rPr>
          <w:rFonts w:cs="Arial"/>
        </w:rPr>
        <w:t>stoffe und Luft, den Kessel, die Abgasbehandlungsanlagen, die auf dem Gelände befindlichen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Anlagen zur Behandlung und Lagerung von bei der Mitverbrennung entstehenden Abfällen und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Abwasser, den Schornstein, die Vorrichtungen und Systeme zur Kontrolle der Verbrennungsvorgänge,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zur Aufzeic</w:t>
      </w:r>
      <w:r w:rsidR="001469C7" w:rsidRPr="008F2F31">
        <w:rPr>
          <w:rFonts w:cs="Arial"/>
        </w:rPr>
        <w:t>h</w:t>
      </w:r>
      <w:r w:rsidR="001469C7" w:rsidRPr="008F2F31">
        <w:rPr>
          <w:rFonts w:cs="Arial"/>
        </w:rPr>
        <w:t>nung und Überwachung der Verbrennungsbedingungen;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8.</w:t>
      </w:r>
      <w:r w:rsidR="00A00130">
        <w:rPr>
          <w:rFonts w:cs="Arial"/>
        </w:rPr>
        <w:tab/>
      </w:r>
      <w:r w:rsidRPr="008F2F31">
        <w:rPr>
          <w:rFonts w:cs="Arial"/>
        </w:rPr>
        <w:t>Verbrennungslinie oder Mitverbrennungslinie die jeweilige technische Einrichtung bestehend aus dem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Brennraum und gegebenenfalls Brenner und hierzu gehöriger Steuerungseinheit, Abgasreinigungsei</w:t>
      </w:r>
      <w:r w:rsidRPr="008F2F31">
        <w:rPr>
          <w:rFonts w:cs="Arial"/>
        </w:rPr>
        <w:t>n</w:t>
      </w:r>
      <w:r w:rsidRPr="008F2F31">
        <w:rPr>
          <w:rFonts w:cs="Arial"/>
        </w:rPr>
        <w:t>richtung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und sonstige Nebeneinrichtungen entsprechend § 1 Abs. 2 Nr. 2 der Verordnung über gene</w:t>
      </w:r>
      <w:r w:rsidRPr="008F2F31">
        <w:rPr>
          <w:rFonts w:cs="Arial"/>
        </w:rPr>
        <w:t>h</w:t>
      </w:r>
      <w:r w:rsidRPr="008F2F31">
        <w:rPr>
          <w:rFonts w:cs="Arial"/>
        </w:rPr>
        <w:t>migungsbedür</w:t>
      </w:r>
      <w:r w:rsidRPr="008F2F31">
        <w:rPr>
          <w:rFonts w:cs="Arial"/>
        </w:rPr>
        <w:t>f</w:t>
      </w:r>
      <w:r w:rsidRPr="008F2F31">
        <w:rPr>
          <w:rFonts w:cs="Arial"/>
        </w:rPr>
        <w:t>tige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Anlagen;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9.</w:t>
      </w:r>
      <w:r w:rsidR="00A00130">
        <w:rPr>
          <w:rFonts w:cs="Arial"/>
        </w:rPr>
        <w:tab/>
      </w:r>
      <w:r w:rsidRPr="008F2F31">
        <w:rPr>
          <w:rFonts w:cs="Arial"/>
        </w:rPr>
        <w:t>Gemischte Siedlungsabfälle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Abfälle aus Haushaltungen sowie gewerbliche, industrielle Abfälle und Abfälle aus Einrichtungen, die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auf Grund ihrer Beschaffenheit oder Zusammensetzung den Abfällen aus Haushaltungen ähnlich sind.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Zu den gemischten Siedlungsabfällen im Sinne dieser Verordnung gehören nicht die unter der Abfal</w:t>
      </w:r>
      <w:r w:rsidRPr="008F2F31">
        <w:rPr>
          <w:rFonts w:cs="Arial"/>
        </w:rPr>
        <w:t>l</w:t>
      </w:r>
      <w:r w:rsidRPr="008F2F31">
        <w:rPr>
          <w:rFonts w:cs="Arial"/>
        </w:rPr>
        <w:t>gruppe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20 01 der Abfallverzeichnis-Verordnung vom 10. Dezember 2001 (BGBl. I S. 3379), zuletzt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g</w:t>
      </w:r>
      <w:r w:rsidRPr="008F2F31">
        <w:rPr>
          <w:rFonts w:cs="Arial"/>
        </w:rPr>
        <w:t>e</w:t>
      </w:r>
      <w:r w:rsidRPr="008F2F31">
        <w:rPr>
          <w:rFonts w:cs="Arial"/>
        </w:rPr>
        <w:t>ändert durch Artikel 2 der Verordnung vom 24. Juli 2002 (BGBl. I S. 2833), genannten Abfallfrakti</w:t>
      </w:r>
      <w:r w:rsidRPr="008F2F31">
        <w:rPr>
          <w:rFonts w:cs="Arial"/>
        </w:rPr>
        <w:t>o</w:t>
      </w:r>
      <w:r w:rsidRPr="008F2F31">
        <w:rPr>
          <w:rFonts w:cs="Arial"/>
        </w:rPr>
        <w:t>nen,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die am Entstehungsort getrennt eingesammelt werden, und die anderen, unter der Abfallgruppe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20 02 genannten Abfälle;</w:t>
      </w:r>
    </w:p>
    <w:p w:rsidR="001469C7" w:rsidRPr="008F2F31" w:rsidRDefault="001469C7" w:rsidP="00A00130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10.</w:t>
      </w:r>
      <w:r w:rsidR="00A00130">
        <w:rPr>
          <w:rFonts w:cs="Arial"/>
        </w:rPr>
        <w:tab/>
      </w:r>
      <w:r w:rsidRPr="008F2F31">
        <w:rPr>
          <w:rFonts w:cs="Arial"/>
        </w:rPr>
        <w:t>Feuerungswärmeleistungen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die auf den unteren Heizwert bezogenen Wärmeinhalte der Brenn- oder Einsatzstoffe, die einer Feu</w:t>
      </w:r>
      <w:r w:rsidRPr="008F2F31">
        <w:rPr>
          <w:rFonts w:cs="Arial"/>
        </w:rPr>
        <w:t>e</w:t>
      </w:r>
      <w:r w:rsidRPr="008F2F31">
        <w:rPr>
          <w:rFonts w:cs="Arial"/>
        </w:rPr>
        <w:t>rungs-</w:t>
      </w:r>
      <w:r w:rsidR="00A00130">
        <w:rPr>
          <w:rFonts w:cs="Arial"/>
        </w:rPr>
        <w:t xml:space="preserve"> </w:t>
      </w:r>
      <w:r w:rsidRPr="008F2F31">
        <w:rPr>
          <w:rFonts w:cs="Arial"/>
        </w:rPr>
        <w:t>oder Produktionsanlage im Dauerbetrieb je Zeiteinheit zugeführt werden (angegeben in MW</w:t>
      </w:r>
      <w:r w:rsidRPr="00A00130">
        <w:rPr>
          <w:rFonts w:cs="Arial"/>
          <w:vertAlign w:val="subscript"/>
        </w:rPr>
        <w:t>th</w:t>
      </w:r>
      <w:r w:rsidRPr="008F2F31">
        <w:rPr>
          <w:rFonts w:cs="Arial"/>
        </w:rPr>
        <w:t>).</w:t>
      </w:r>
    </w:p>
    <w:p w:rsidR="001469C7" w:rsidRPr="008F2F31" w:rsidRDefault="001469C7" w:rsidP="00713FAA">
      <w:pPr>
        <w:pStyle w:val="berschrift2"/>
      </w:pPr>
      <w:bookmarkStart w:id="5" w:name="_Toc462324048"/>
      <w:r w:rsidRPr="008F2F31">
        <w:lastRenderedPageBreak/>
        <w:t>Zweiter Teil</w:t>
      </w:r>
      <w:r w:rsidR="00713FAA">
        <w:br/>
      </w:r>
      <w:r w:rsidRPr="008F2F31">
        <w:t>Anforderungen an die Errichtung, die Beschaffenheit und den Betrieb</w:t>
      </w:r>
      <w:bookmarkEnd w:id="5"/>
    </w:p>
    <w:p w:rsidR="001469C7" w:rsidRPr="008F2F31" w:rsidRDefault="001469C7" w:rsidP="00713FAA">
      <w:pPr>
        <w:pStyle w:val="berschrift3"/>
      </w:pPr>
      <w:bookmarkStart w:id="6" w:name="_Toc462324049"/>
      <w:r w:rsidRPr="008F2F31">
        <w:t>§ 3</w:t>
      </w:r>
      <w:r w:rsidR="00713FAA">
        <w:br/>
      </w:r>
      <w:r w:rsidRPr="008F2F31">
        <w:t>Emissionsbezogene Anforderungen an Anlieferung</w:t>
      </w:r>
      <w:r w:rsidR="00713FAA">
        <w:br/>
      </w:r>
      <w:r w:rsidRPr="008F2F31">
        <w:t>und Zwischenlagerung der Einsatzstoffe</w:t>
      </w:r>
      <w:bookmarkEnd w:id="6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Verbrennungsanlagen für feste Abfälle oder feste Stoffe nach § 1 Abs. 1 sind mit einem Bunker ausz</w:t>
      </w:r>
      <w:r w:rsidRPr="008F2F31">
        <w:rPr>
          <w:rFonts w:cs="Arial"/>
        </w:rPr>
        <w:t>u</w:t>
      </w:r>
      <w:r w:rsidRPr="008F2F31">
        <w:rPr>
          <w:rFonts w:cs="Arial"/>
        </w:rPr>
        <w:t>rüsten,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der mit einer Absaugung auszurüsten ist und dessen abgesaugte Luft der Feuerung zuzuführen ist.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Für den Fall, dass die Feuerung nicht in Betrieb ist, sind Maßnahmen zur Reinigung und Ableitung der a</w:t>
      </w:r>
      <w:r w:rsidRPr="008F2F31">
        <w:rPr>
          <w:rFonts w:cs="Arial"/>
        </w:rPr>
        <w:t>b</w:t>
      </w:r>
      <w:r w:rsidRPr="008F2F31">
        <w:rPr>
          <w:rFonts w:cs="Arial"/>
        </w:rPr>
        <w:t>gesaugten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Luft vorzusehen. Mitverbrennungsanlagen für feste Abfälle oder feste Stoffe nach § 1 Abs. 1 sind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mit geschlossenen Lagereinrichtungen für diese Stoffe auszurüsten und die bei der Lagerung entstehe</w:t>
      </w:r>
      <w:r w:rsidRPr="008F2F31">
        <w:rPr>
          <w:rFonts w:cs="Arial"/>
        </w:rPr>
        <w:t>n</w:t>
      </w:r>
      <w:r w:rsidRPr="008F2F31">
        <w:rPr>
          <w:rFonts w:cs="Arial"/>
        </w:rPr>
        <w:t>de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Abluft ist zu fassen.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Für Verbrennungs- oder Mitverbrennungsanlagen sind Maßnahmen und Einrichtungen zur Erkennu</w:t>
      </w:r>
      <w:r w:rsidRPr="008F2F31">
        <w:rPr>
          <w:rFonts w:cs="Arial"/>
        </w:rPr>
        <w:t>n</w:t>
      </w:r>
      <w:r w:rsidRPr="008F2F31">
        <w:rPr>
          <w:rFonts w:cs="Arial"/>
        </w:rPr>
        <w:t>g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und Bekämpfung von Bränden vorzusehen. Die Brandschutzeinrichtungen und -maßnahmen sind so ausz</w:t>
      </w:r>
      <w:r w:rsidRPr="008F2F31">
        <w:rPr>
          <w:rFonts w:cs="Arial"/>
        </w:rPr>
        <w:t>u</w:t>
      </w:r>
      <w:r w:rsidRPr="008F2F31">
        <w:rPr>
          <w:rFonts w:cs="Arial"/>
        </w:rPr>
        <w:t>legen,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dass im Abfallbunker oder in der Lagereinrichtung entstehende oder eingetragene Brände erkannt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und bekämpft werden können.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Absatz 1 gilt nicht für Verbrennungs- oder Mitverbrennungsanlagen, soweit die Abfälle oder Stoffe nach §</w:t>
      </w:r>
      <w:r w:rsidR="00713FAA">
        <w:rPr>
          <w:rFonts w:cs="Arial"/>
        </w:rPr>
        <w:t> </w:t>
      </w:r>
      <w:r w:rsidRPr="008F2F31">
        <w:rPr>
          <w:rFonts w:cs="Arial"/>
        </w:rPr>
        <w:t>1 Abs. 1 der Verbrennung oder Mitverbrennung ausschließlich in geschlossenen Einwegbehältnissen od</w:t>
      </w:r>
      <w:r w:rsidRPr="008F2F31">
        <w:rPr>
          <w:rFonts w:cs="Arial"/>
        </w:rPr>
        <w:t>e</w:t>
      </w:r>
      <w:r w:rsidRPr="008F2F31">
        <w:rPr>
          <w:rFonts w:cs="Arial"/>
        </w:rPr>
        <w:t>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aus Mehrwegbehältnissen zugeführt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Sind auf Grund der Zusammensetzung der Abfälle oder Stoffe nach § 1 Abs. 1 Explosionen im Lagerb</w:t>
      </w:r>
      <w:r w:rsidRPr="008F2F31">
        <w:rPr>
          <w:rFonts w:cs="Arial"/>
        </w:rPr>
        <w:t>e</w:t>
      </w:r>
      <w:r w:rsidRPr="008F2F31">
        <w:rPr>
          <w:rFonts w:cs="Arial"/>
        </w:rPr>
        <w:t>reich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nicht auszuschließen, sind abweichend von Absatz 1 andere geeignete Maßnahmen nach näherer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B</w:t>
      </w:r>
      <w:r w:rsidRPr="008F2F31">
        <w:rPr>
          <w:rFonts w:cs="Arial"/>
        </w:rPr>
        <w:t>e</w:t>
      </w:r>
      <w:r w:rsidRPr="008F2F31">
        <w:rPr>
          <w:rFonts w:cs="Arial"/>
        </w:rPr>
        <w:t>stimmung der zuständigen Behörde durchzuführen.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Flüssige Abfälle oder Stoffe nach § 1 Abs. 1 sind in geschlossenen, gegen Überdruck gesicherten Behä</w:t>
      </w:r>
      <w:r w:rsidRPr="008F2F31">
        <w:rPr>
          <w:rFonts w:cs="Arial"/>
        </w:rPr>
        <w:t>l</w:t>
      </w:r>
      <w:r w:rsidRPr="008F2F31">
        <w:rPr>
          <w:rFonts w:cs="Arial"/>
        </w:rPr>
        <w:t>tern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zu lagern; bei der Befüllung ist das Gaspendelverfahren anzuwenden oder die Verdrängungsluft zu e</w:t>
      </w:r>
      <w:r w:rsidRPr="008F2F31">
        <w:rPr>
          <w:rFonts w:cs="Arial"/>
        </w:rPr>
        <w:t>r</w:t>
      </w:r>
      <w:r w:rsidRPr="008F2F31">
        <w:rPr>
          <w:rFonts w:cs="Arial"/>
        </w:rPr>
        <w:t>fassen.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Offene Übergabestellen sind mit einer Luftabsaugung auszurüsten. Die Verdrängungsluft aus de</w:t>
      </w:r>
      <w:r w:rsidRPr="008F2F31">
        <w:rPr>
          <w:rFonts w:cs="Arial"/>
        </w:rPr>
        <w:t>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Behältern sowie die abgesaugte Luft sind der Feuerung zuzuführen; bei Stillstand der Feuerung ist eine A</w:t>
      </w:r>
      <w:r w:rsidRPr="008F2F31">
        <w:rPr>
          <w:rFonts w:cs="Arial"/>
        </w:rPr>
        <w:t>n</w:t>
      </w:r>
      <w:r w:rsidRPr="008F2F31">
        <w:rPr>
          <w:rFonts w:cs="Arial"/>
        </w:rPr>
        <w:t>nahme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an offenen Übergabestellen oder ein Füllen von Lagertanks nur zulässig, wenn emissionsminder</w:t>
      </w:r>
      <w:r w:rsidRPr="008F2F31">
        <w:rPr>
          <w:rFonts w:cs="Arial"/>
        </w:rPr>
        <w:t>n</w:t>
      </w:r>
      <w:r w:rsidRPr="008F2F31">
        <w:rPr>
          <w:rFonts w:cs="Arial"/>
        </w:rPr>
        <w:t>de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Maßnahmen, insbesondere die Gaspendelung oder eine Abgasreinigung, angewandt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(6) Verbrennungs- oder Mitverbrennungsanlagen sind so auszulegen, zu errichten und zu betreiben, dass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ein unerlaubtes und unbeabsichtigtes Freisetzen von Schadstoffen in den Boden, in das Oberflächenwass</w:t>
      </w:r>
      <w:r w:rsidRPr="008F2F31">
        <w:rPr>
          <w:rFonts w:cs="Arial"/>
        </w:rPr>
        <w:t>e</w:t>
      </w:r>
      <w:r w:rsidRPr="008F2F31">
        <w:rPr>
          <w:rFonts w:cs="Arial"/>
        </w:rPr>
        <w:t>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oder das Grundwasser vermieden wird. Außerdem muss für das auf dem Gelände der Verbrennungs- ode</w:t>
      </w:r>
      <w:r w:rsidRPr="008F2F31">
        <w:rPr>
          <w:rFonts w:cs="Arial"/>
        </w:rPr>
        <w:t>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Mitverbrennungsanlage anfallende verunreinigte Regenwasser und für verunreinigtes Wasser, das bei St</w:t>
      </w:r>
      <w:r w:rsidRPr="008F2F31">
        <w:rPr>
          <w:rFonts w:cs="Arial"/>
        </w:rPr>
        <w:t>ö</w:t>
      </w:r>
      <w:r w:rsidRPr="008F2F31">
        <w:rPr>
          <w:rFonts w:cs="Arial"/>
        </w:rPr>
        <w:t>rungen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oder der Brandbekämpfung anfällt, eine ausreichende Speicherkapazität vorgesehen werden. Sie ist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ausreichend, wenn das anfallende Wasser geprüft und erforderlichenfalls vor der Ableitung behandelt we</w:t>
      </w:r>
      <w:r w:rsidRPr="008F2F31">
        <w:rPr>
          <w:rFonts w:cs="Arial"/>
        </w:rPr>
        <w:t>r</w:t>
      </w:r>
      <w:r w:rsidRPr="008F2F31">
        <w:rPr>
          <w:rFonts w:cs="Arial"/>
        </w:rPr>
        <w:t>den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kann.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(7) Der Betreiber der Anlage hat bei der Annahme des Abfalls in der Verbrennungs- oder Mitverbrennung</w:t>
      </w:r>
      <w:r w:rsidRPr="008F2F31">
        <w:rPr>
          <w:rFonts w:cs="Arial"/>
        </w:rPr>
        <w:t>s</w:t>
      </w:r>
      <w:r w:rsidRPr="008F2F31">
        <w:rPr>
          <w:rFonts w:cs="Arial"/>
        </w:rPr>
        <w:t>anlage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die Masse einer jeden Abfallart, gemäß der Abfallverzeichnis- Verordnung in der jeweils geltende</w:t>
      </w:r>
      <w:r w:rsidRPr="008F2F31">
        <w:rPr>
          <w:rFonts w:cs="Arial"/>
        </w:rPr>
        <w:t>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Fassung, zu bestimmen.</w:t>
      </w:r>
    </w:p>
    <w:p w:rsidR="001469C7" w:rsidRPr="008F2F31" w:rsidRDefault="001469C7" w:rsidP="00713FAA">
      <w:pPr>
        <w:pStyle w:val="berschrift3"/>
      </w:pPr>
      <w:bookmarkStart w:id="7" w:name="_Toc462324050"/>
      <w:r w:rsidRPr="008F2F31">
        <w:t>§ 4</w:t>
      </w:r>
      <w:r w:rsidR="00713FAA">
        <w:br/>
      </w:r>
      <w:r w:rsidRPr="008F2F31">
        <w:t>Feuerung</w:t>
      </w:r>
      <w:bookmarkEnd w:id="7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 Verbrennungsanlagen sind so zu errichten und zu betreiben, dass ein weitgehender Ausbrand d</w:t>
      </w:r>
      <w:r w:rsidRPr="008F2F31">
        <w:rPr>
          <w:rFonts w:cs="Arial"/>
        </w:rPr>
        <w:t>e</w:t>
      </w:r>
      <w:r w:rsidRPr="008F2F31">
        <w:rPr>
          <w:rFonts w:cs="Arial"/>
        </w:rPr>
        <w:t>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Abfälle oder Stoffe nach § 1 Abs. 1 erreicht wird und in der Schlacke und Rostasche ein Gehalt an org</w:t>
      </w:r>
      <w:r w:rsidRPr="008F2F31">
        <w:rPr>
          <w:rFonts w:cs="Arial"/>
        </w:rPr>
        <w:t>a</w:t>
      </w:r>
      <w:r w:rsidRPr="008F2F31">
        <w:rPr>
          <w:rFonts w:cs="Arial"/>
        </w:rPr>
        <w:t>nisch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gebundenem Gesamtkohlenstoff (TOC) von weniger als 3 vom Hundert oder ein Glühverlust von wen</w:t>
      </w:r>
      <w:r w:rsidRPr="008F2F31">
        <w:rPr>
          <w:rFonts w:cs="Arial"/>
        </w:rPr>
        <w:t>i</w:t>
      </w:r>
      <w:r w:rsidRPr="008F2F31">
        <w:rPr>
          <w:rFonts w:cs="Arial"/>
        </w:rPr>
        <w:t>ger als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5 vom Hundert des Trockengewichts eingehalten wird. Soweit es zur Erfüllung der Anforderungen nach Satz</w:t>
      </w:r>
      <w:r w:rsidR="000D43A8">
        <w:rPr>
          <w:rFonts w:cs="Arial"/>
        </w:rPr>
        <w:t> </w:t>
      </w:r>
      <w:r w:rsidRPr="008F2F31">
        <w:rPr>
          <w:rFonts w:cs="Arial"/>
        </w:rPr>
        <w:t>1 erforderlich ist, sind die Abfälle oder Stoffe nach § 1 Abs. 1 vorzubehandeln, in der Regel durch Ze</w:t>
      </w:r>
      <w:r w:rsidRPr="008F2F31">
        <w:rPr>
          <w:rFonts w:cs="Arial"/>
        </w:rPr>
        <w:t>r</w:t>
      </w:r>
      <w:r w:rsidRPr="008F2F31">
        <w:rPr>
          <w:rFonts w:cs="Arial"/>
        </w:rPr>
        <w:t>kleinern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oder Mischen sowie das Öffnen von Einwegbehältnissen. Entgegen den Anforderungen nach Satz 2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sollen infektiöse krankenhausspezifische Abfälle ohne vorherige Vermischung mit anderen Abfallarten u</w:t>
      </w:r>
      <w:r w:rsidRPr="008F2F31">
        <w:rPr>
          <w:rFonts w:cs="Arial"/>
        </w:rPr>
        <w:t>n</w:t>
      </w:r>
      <w:r w:rsidRPr="008F2F31">
        <w:rPr>
          <w:rFonts w:cs="Arial"/>
        </w:rPr>
        <w:t>d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ohne direkte Handhabung in die Feuerung gebracht werden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Verbrennungsanlagen sind so zu errichten und zu betreiben, dass die Temperatur der Verbrennungsg</w:t>
      </w:r>
      <w:r w:rsidRPr="008F2F31">
        <w:rPr>
          <w:rFonts w:cs="Arial"/>
        </w:rPr>
        <w:t>a</w:t>
      </w:r>
      <w:r w:rsidRPr="008F2F31">
        <w:rPr>
          <w:rFonts w:cs="Arial"/>
        </w:rPr>
        <w:t>se,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die in Verbrennungsanlagen bei der Verbrennung von Abfällen oder Stoffen nach § 1 Abs. 1 entst</w:t>
      </w:r>
      <w:r w:rsidRPr="008F2F31">
        <w:rPr>
          <w:rFonts w:cs="Arial"/>
        </w:rPr>
        <w:t>e</w:t>
      </w:r>
      <w:r w:rsidRPr="008F2F31">
        <w:rPr>
          <w:rFonts w:cs="Arial"/>
        </w:rPr>
        <w:t>hen,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nach der letzten Verbrennungsluftzuführung mindestens 850 °C (Mindesttemperatur) beträgt. Bei de</w:t>
      </w:r>
      <w:r w:rsidRPr="008F2F31">
        <w:rPr>
          <w:rFonts w:cs="Arial"/>
        </w:rPr>
        <w:t>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Ver</w:t>
      </w:r>
      <w:r w:rsidR="000D43A8">
        <w:rPr>
          <w:rFonts w:cs="Arial"/>
        </w:rPr>
        <w:softHyphen/>
      </w:r>
      <w:r w:rsidRPr="008F2F31">
        <w:rPr>
          <w:rFonts w:cs="Arial"/>
        </w:rPr>
        <w:t>brennung von besonders überwachungsbedürftigen Abfällen mit einem Halogengehalt aus halogenorgan</w:t>
      </w:r>
      <w:r w:rsidRPr="008F2F31">
        <w:rPr>
          <w:rFonts w:cs="Arial"/>
        </w:rPr>
        <w:t>i</w:t>
      </w:r>
      <w:r w:rsidRPr="008F2F31">
        <w:rPr>
          <w:rFonts w:cs="Arial"/>
        </w:rPr>
        <w:t>schen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Stoffen von mehr als 1 vom Hundert des Gewichts, berechnet als Chlor, hat der Betreiber dafür zu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sorgen, dass eine Mindesttemperatur von 1</w:t>
      </w:r>
      <w:r w:rsidR="000D43A8">
        <w:rPr>
          <w:rFonts w:cs="Arial"/>
        </w:rPr>
        <w:t>.</w:t>
      </w:r>
      <w:r w:rsidRPr="008F2F31">
        <w:rPr>
          <w:rFonts w:cs="Arial"/>
        </w:rPr>
        <w:t>100 °C eingehalten wird. Die Mindesttemperatur muss auch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unter ungünstigsten Bedingungen bei gleichmäßiger Durchmischung der Verbrennungsgase mit 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brennungsluft für eine Verweilzeit von mindestens zwei Sekunden eingehalten werden. Die Messung 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lastRenderedPageBreak/>
        <w:t>Mindesttemperatur muss an einer nach näherer Bestimmung durch die zuständige Behörde in der Genehm</w:t>
      </w:r>
      <w:r w:rsidRPr="008F2F31">
        <w:rPr>
          <w:rFonts w:cs="Arial"/>
        </w:rPr>
        <w:t>i</w:t>
      </w:r>
      <w:r w:rsidRPr="008F2F31">
        <w:rPr>
          <w:rFonts w:cs="Arial"/>
        </w:rPr>
        <w:t>gung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festgelegten repräsentativen Stelle des Brennraums oder Nachverbrennungsraums erfolgen. Die Überprüfung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und gegebenenfalls Anpassung der repräsentativen Stelle erfolgt mit Zustimmung der zustä</w:t>
      </w:r>
      <w:r w:rsidRPr="008F2F31">
        <w:rPr>
          <w:rFonts w:cs="Arial"/>
        </w:rPr>
        <w:t>n</w:t>
      </w:r>
      <w:r w:rsidRPr="008F2F31">
        <w:rPr>
          <w:rFonts w:cs="Arial"/>
        </w:rPr>
        <w:t>digen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Behörde im Rahmen der Inbetriebnahme der Anlage. Die Einhaltung der festgelegten Mindesttemp</w:t>
      </w:r>
      <w:r w:rsidRPr="008F2F31">
        <w:rPr>
          <w:rFonts w:cs="Arial"/>
        </w:rPr>
        <w:t>e</w:t>
      </w:r>
      <w:r w:rsidRPr="008F2F31">
        <w:rPr>
          <w:rFonts w:cs="Arial"/>
        </w:rPr>
        <w:t>ratur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und der Mindestverweilzeit ist zumindest einmal bei Inbetriebnahme der Anlage durch Messungen ode</w:t>
      </w:r>
      <w:r w:rsidRPr="008F2F31">
        <w:rPr>
          <w:rFonts w:cs="Arial"/>
        </w:rPr>
        <w:t>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durch ein durch die zuständige Behörde anerkanntes Gutachten nachzuweisen.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Abweichend von Absatz 2 können die zuständigen Behörden andere Mindesttemperaturen oder Mindes</w:t>
      </w:r>
      <w:r w:rsidRPr="008F2F31">
        <w:rPr>
          <w:rFonts w:cs="Arial"/>
        </w:rPr>
        <w:t>t</w:t>
      </w:r>
      <w:r w:rsidRPr="008F2F31">
        <w:rPr>
          <w:rFonts w:cs="Arial"/>
        </w:rPr>
        <w:t>verweilzeiten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(Verbrennungsbedingungen) zulassen, sofern die sonstigen Anforderungen dieser Verordnu</w:t>
      </w:r>
      <w:r w:rsidRPr="008F2F31">
        <w:rPr>
          <w:rFonts w:cs="Arial"/>
        </w:rPr>
        <w:t>n</w:t>
      </w:r>
      <w:r w:rsidRPr="008F2F31">
        <w:rPr>
          <w:rFonts w:cs="Arial"/>
        </w:rPr>
        <w:t>g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eingehalten werden und zumindest einmal bei der Inbetriebnahme der Verbrennungsanlage unter den geä</w:t>
      </w:r>
      <w:r w:rsidRPr="008F2F31">
        <w:rPr>
          <w:rFonts w:cs="Arial"/>
        </w:rPr>
        <w:t>n</w:t>
      </w:r>
      <w:r w:rsidRPr="008F2F31">
        <w:rPr>
          <w:rFonts w:cs="Arial"/>
        </w:rPr>
        <w:t>derten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Verbrennungsbedingungen durch Messungen oder ein durch die zuständige Behörde anerkanntes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Gutachten nachgewiesen wird, dass die Änderung der Verbrennungsbedingungen nicht dazu führt, dass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größere Abfallmengen oder Abfälle mit einem höheren Gehalt an organischen Schadstoffen, insbesond</w:t>
      </w:r>
      <w:r w:rsidRPr="008F2F31">
        <w:rPr>
          <w:rFonts w:cs="Arial"/>
        </w:rPr>
        <w:t>e</w:t>
      </w:r>
      <w:r w:rsidRPr="008F2F31">
        <w:rPr>
          <w:rFonts w:cs="Arial"/>
        </w:rPr>
        <w:t>re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an polyzyklischen aromatischen Kohlenwasserstoffen, polyhalogenierten Dibenzodioxinen, polyhalogenie</w:t>
      </w:r>
      <w:r w:rsidRPr="008F2F31">
        <w:rPr>
          <w:rFonts w:cs="Arial"/>
        </w:rPr>
        <w:t>r</w:t>
      </w:r>
      <w:r w:rsidRPr="008F2F31">
        <w:rPr>
          <w:rFonts w:cs="Arial"/>
        </w:rPr>
        <w:t>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Dibenzofuranen oder polyhalogenierten Biphenylen, im Vergleich zu den Abfallmengen oder Abfällen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entstehen, die unter den in Absatz 2 festgelegten Bedingungen zu erwarten wären. Für Altanlagen gilt de</w:t>
      </w:r>
      <w:r w:rsidRPr="008F2F31">
        <w:rPr>
          <w:rFonts w:cs="Arial"/>
        </w:rPr>
        <w:t>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Nachweis für ausreichende Verbrennungsbedingungen auch als erbracht, sofern zumindest einmal nach der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Inbetriebnahme der Anlage durch Messungen nachgewiesen wird, dass keine höheren Emissionen, insb</w:t>
      </w:r>
      <w:r w:rsidRPr="008F2F31">
        <w:rPr>
          <w:rFonts w:cs="Arial"/>
        </w:rPr>
        <w:t>e</w:t>
      </w:r>
      <w:r w:rsidRPr="008F2F31">
        <w:rPr>
          <w:rFonts w:cs="Arial"/>
        </w:rPr>
        <w:t>sondere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an polyzyklischen aromatischen Kohlenwasserstoffen, polyhalogenierten Dibenzodioxinen, polyh</w:t>
      </w:r>
      <w:r w:rsidRPr="008F2F31">
        <w:rPr>
          <w:rFonts w:cs="Arial"/>
        </w:rPr>
        <w:t>a</w:t>
      </w:r>
      <w:r w:rsidRPr="008F2F31">
        <w:rPr>
          <w:rFonts w:cs="Arial"/>
        </w:rPr>
        <w:t>logenie</w:t>
      </w:r>
      <w:r w:rsidRPr="008F2F31">
        <w:rPr>
          <w:rFonts w:cs="Arial"/>
        </w:rPr>
        <w:t>r</w:t>
      </w:r>
      <w:r w:rsidRPr="008F2F31">
        <w:rPr>
          <w:rFonts w:cs="Arial"/>
        </w:rPr>
        <w:t>ten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Dibenzofuranen oder polyhalogenierten Biphenylen, entstehen als bei den jeweils nach Absatz 2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festgelegten Verbrennungsbedingungen. Die zuständigen Behörden haben Ausnahmen nach Satz 1 den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zuständigen obersten Immissionsschutzbehörden der Länder zur Weiterleitung an die Kommission der E</w:t>
      </w:r>
      <w:r w:rsidRPr="008F2F31">
        <w:rPr>
          <w:rFonts w:cs="Arial"/>
        </w:rPr>
        <w:t>u</w:t>
      </w:r>
      <w:r w:rsidRPr="008F2F31">
        <w:rPr>
          <w:rFonts w:cs="Arial"/>
        </w:rPr>
        <w:t>ropäischen</w:t>
      </w:r>
      <w:r w:rsidR="00713FAA">
        <w:rPr>
          <w:rFonts w:cs="Arial"/>
        </w:rPr>
        <w:t xml:space="preserve"> </w:t>
      </w:r>
      <w:r w:rsidRPr="008F2F31">
        <w:rPr>
          <w:rFonts w:cs="Arial"/>
        </w:rPr>
        <w:t>Gemeinschaften vorzulegen.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Jede Verbrennungslinie einer Verbrennungsanlage ist mit einem oder mehreren Brennern auszurü</w:t>
      </w:r>
      <w:r w:rsidRPr="008F2F31">
        <w:rPr>
          <w:rFonts w:cs="Arial"/>
        </w:rPr>
        <w:t>s</w:t>
      </w:r>
      <w:r w:rsidRPr="008F2F31">
        <w:rPr>
          <w:rFonts w:cs="Arial"/>
        </w:rPr>
        <w:t>ten.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Die Brenner müssen während des Anfahrens und bei drohender Unterschreitung der Mindesttemperatur mit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Erdgas, Flüssiggas, Wasserstoff, gasförmigen Brennstoffen nach Nummer 1.2 Buchstabe b des Anhangs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der Verordnung über genehmigungsbedürftige Anlagen, Heizöl EL oder sonstigen flüssigen Stoffen nach § 1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Abs. 1, soweit auf Grund ihrer Zusammensetzung keine anderen oder höheren Emissionen als bei der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Ve</w:t>
      </w:r>
      <w:r w:rsidRPr="008F2F31">
        <w:rPr>
          <w:rFonts w:cs="Arial"/>
        </w:rPr>
        <w:t>r</w:t>
      </w:r>
      <w:r w:rsidRPr="008F2F31">
        <w:rPr>
          <w:rFonts w:cs="Arial"/>
        </w:rPr>
        <w:t>brennung von Heizöl EL auftreten können, betrieben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Durch automatische Vorrichtungen ist bei Verbrennungs- oder Mitverbrennungsanlagen sicherzustellen,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dass</w:t>
      </w:r>
    </w:p>
    <w:p w:rsidR="001469C7" w:rsidRPr="008F2F31" w:rsidRDefault="001469C7" w:rsidP="009552B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1.</w:t>
      </w:r>
      <w:r w:rsidR="009552BA">
        <w:rPr>
          <w:rFonts w:cs="Arial"/>
        </w:rPr>
        <w:tab/>
      </w:r>
      <w:r w:rsidRPr="008F2F31">
        <w:rPr>
          <w:rFonts w:cs="Arial"/>
        </w:rPr>
        <w:t>eine Beschickung der Anlagen mit Abfällen oder Stoffen nach § 1 Abs. 1 erst möglich ist, wenn beim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A</w:t>
      </w:r>
      <w:r w:rsidRPr="008F2F31">
        <w:rPr>
          <w:rFonts w:cs="Arial"/>
        </w:rPr>
        <w:t>n</w:t>
      </w:r>
      <w:r w:rsidRPr="008F2F31">
        <w:rPr>
          <w:rFonts w:cs="Arial"/>
        </w:rPr>
        <w:t>fahren die Mindesttemperatur erreicht ist,</w:t>
      </w:r>
    </w:p>
    <w:p w:rsidR="001469C7" w:rsidRPr="008F2F31" w:rsidRDefault="001469C7" w:rsidP="009552B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2.</w:t>
      </w:r>
      <w:r w:rsidR="009552BA">
        <w:rPr>
          <w:rFonts w:cs="Arial"/>
        </w:rPr>
        <w:tab/>
      </w:r>
      <w:r w:rsidRPr="008F2F31">
        <w:rPr>
          <w:rFonts w:cs="Arial"/>
        </w:rPr>
        <w:t>eine Beschickung der Anlagen mit Abfällen oder Stoffen nach § 1 Abs. 1 nur so lange erfolgen kann,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wie die Mindesttemperatur aufrechterhalten wird,</w:t>
      </w:r>
    </w:p>
    <w:p w:rsidR="001469C7" w:rsidRPr="008F2F31" w:rsidRDefault="001469C7" w:rsidP="009552BA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9552BA">
        <w:rPr>
          <w:rFonts w:cs="Arial"/>
        </w:rPr>
        <w:tab/>
      </w:r>
      <w:r w:rsidRPr="008F2F31">
        <w:rPr>
          <w:rFonts w:cs="Arial"/>
        </w:rPr>
        <w:t>eine Beschickung der Anlagen mit Abfällen oder Stoffen nach § 1 Abs. 1 unterbrochen wird, wenn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info</w:t>
      </w:r>
      <w:r w:rsidRPr="008F2F31">
        <w:rPr>
          <w:rFonts w:cs="Arial"/>
        </w:rPr>
        <w:t>l</w:t>
      </w:r>
      <w:r w:rsidRPr="008F2F31">
        <w:rPr>
          <w:rFonts w:cs="Arial"/>
        </w:rPr>
        <w:t>ge eines Ausfalls oder einer Störung von Abgasreinigungseinrichtungen eine Überschreitung eines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ko</w:t>
      </w:r>
      <w:r w:rsidRPr="008F2F31">
        <w:rPr>
          <w:rFonts w:cs="Arial"/>
        </w:rPr>
        <w:t>n</w:t>
      </w:r>
      <w:r w:rsidRPr="008F2F31">
        <w:rPr>
          <w:rFonts w:cs="Arial"/>
        </w:rPr>
        <w:t>tin</w:t>
      </w:r>
      <w:r w:rsidRPr="008F2F31">
        <w:rPr>
          <w:rFonts w:cs="Arial"/>
        </w:rPr>
        <w:t>u</w:t>
      </w:r>
      <w:r w:rsidRPr="008F2F31">
        <w:rPr>
          <w:rFonts w:cs="Arial"/>
        </w:rPr>
        <w:t>ierlich überwachten Emissionsgrenzwertes eintreten kann, dabei sind sicherheitstechnische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Belange des Brand- und Explosionsschutzes zu beachten.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(6) Mitverbrennungsanlagen sind so zu errichten und zu betreiben, dass die Temperatur der bei der Mitve</w:t>
      </w:r>
      <w:r w:rsidRPr="008F2F31">
        <w:rPr>
          <w:rFonts w:cs="Arial"/>
        </w:rPr>
        <w:t>r</w:t>
      </w:r>
      <w:r w:rsidRPr="008F2F31">
        <w:rPr>
          <w:rFonts w:cs="Arial"/>
        </w:rPr>
        <w:t>brennung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entstehenden Verbrennungsgase mindestens 850 °C beträgt. Bei der Verbrennung von beso</w:t>
      </w:r>
      <w:r w:rsidRPr="008F2F31">
        <w:rPr>
          <w:rFonts w:cs="Arial"/>
        </w:rPr>
        <w:t>n</w:t>
      </w:r>
      <w:r w:rsidRPr="008F2F31">
        <w:rPr>
          <w:rFonts w:cs="Arial"/>
        </w:rPr>
        <w:t>ders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überwachungsbedürftigen Abfällen mit einem Halogengehalt aus halogenorganischen Stoffen von me</w:t>
      </w:r>
      <w:r w:rsidRPr="008F2F31">
        <w:rPr>
          <w:rFonts w:cs="Arial"/>
        </w:rPr>
        <w:t>h</w:t>
      </w:r>
      <w:r w:rsidRPr="008F2F31">
        <w:rPr>
          <w:rFonts w:cs="Arial"/>
        </w:rPr>
        <w:t>r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als 1 vom Hundert des Gewichts, berechnet als Chlor, hat der Betreiber dafür zu sorgen, dass eine Mindestte</w:t>
      </w:r>
      <w:r w:rsidRPr="008F2F31">
        <w:rPr>
          <w:rFonts w:cs="Arial"/>
        </w:rPr>
        <w:t>m</w:t>
      </w:r>
      <w:r w:rsidRPr="008F2F31">
        <w:rPr>
          <w:rFonts w:cs="Arial"/>
        </w:rPr>
        <w:t>peratur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von 1</w:t>
      </w:r>
      <w:r w:rsidR="009552BA">
        <w:rPr>
          <w:rFonts w:cs="Arial"/>
        </w:rPr>
        <w:t>.</w:t>
      </w:r>
      <w:r w:rsidRPr="008F2F31">
        <w:rPr>
          <w:rFonts w:cs="Arial"/>
        </w:rPr>
        <w:t>100 °C eingehalten wird. Die Mindesttemperatur muss auch unter ungünstigsten Bedi</w:t>
      </w:r>
      <w:r w:rsidRPr="008F2F31">
        <w:rPr>
          <w:rFonts w:cs="Arial"/>
        </w:rPr>
        <w:t>n</w:t>
      </w:r>
      <w:r w:rsidRPr="008F2F31">
        <w:rPr>
          <w:rFonts w:cs="Arial"/>
        </w:rPr>
        <w:t>gungen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für eine Verweilzeit von mindestens zwei Sekunden eingehalten werden. Die Messung der Mindesttemper</w:t>
      </w:r>
      <w:r w:rsidRPr="008F2F31">
        <w:rPr>
          <w:rFonts w:cs="Arial"/>
        </w:rPr>
        <w:t>a</w:t>
      </w:r>
      <w:r w:rsidRPr="008F2F31">
        <w:rPr>
          <w:rFonts w:cs="Arial"/>
        </w:rPr>
        <w:t>tur muss an einer nach näherer Bestimmung durch die zuständige Behörde in der Genehmigung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festgele</w:t>
      </w:r>
      <w:r w:rsidRPr="008F2F31">
        <w:rPr>
          <w:rFonts w:cs="Arial"/>
        </w:rPr>
        <w:t>g</w:t>
      </w:r>
      <w:r w:rsidRPr="008F2F31">
        <w:rPr>
          <w:rFonts w:cs="Arial"/>
        </w:rPr>
        <w:t>ten repräsentativen Stelle des Brennraums oder Nachverbrennungsraums erfolgen. Die Überpr</w:t>
      </w:r>
      <w:r w:rsidRPr="008F2F31">
        <w:rPr>
          <w:rFonts w:cs="Arial"/>
        </w:rPr>
        <w:t>ü</w:t>
      </w:r>
      <w:r w:rsidRPr="008F2F31">
        <w:rPr>
          <w:rFonts w:cs="Arial"/>
        </w:rPr>
        <w:t>fung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und gegebenenfalls Anpassung der repräsentativen Stelle erfolgt mit Zustimmung der zuständigen B</w:t>
      </w:r>
      <w:r w:rsidRPr="008F2F31">
        <w:rPr>
          <w:rFonts w:cs="Arial"/>
        </w:rPr>
        <w:t>e</w:t>
      </w:r>
      <w:r w:rsidRPr="008F2F31">
        <w:rPr>
          <w:rFonts w:cs="Arial"/>
        </w:rPr>
        <w:t>hörde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im Rahmen der Inbetriebnahme der Anlage. Die Einhaltung der festgelegten Mindesttemperatur und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der Mi</w:t>
      </w:r>
      <w:r w:rsidRPr="008F2F31">
        <w:rPr>
          <w:rFonts w:cs="Arial"/>
        </w:rPr>
        <w:t>n</w:t>
      </w:r>
      <w:r w:rsidRPr="008F2F31">
        <w:rPr>
          <w:rFonts w:cs="Arial"/>
        </w:rPr>
        <w:t>destverweilzeit ist zumindest einmal bei Inbetriebnahme der Anlage durch Messungen oder durch ein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von der zuständigen Behörde anerkanntes Gutachten nachzuweisen. Die Mitverbrennungsanlagen sind so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zu betreiben, dass eine möglichst vollständige Verbrennung von Abfällen oder Stoffen nach § 1 Abs. 1 e</w:t>
      </w:r>
      <w:r w:rsidRPr="008F2F31">
        <w:rPr>
          <w:rFonts w:cs="Arial"/>
        </w:rPr>
        <w:t>r</w:t>
      </w:r>
      <w:r w:rsidRPr="008F2F31">
        <w:rPr>
          <w:rFonts w:cs="Arial"/>
        </w:rPr>
        <w:t>reicht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wird.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(7) Abweichend von Absatz 6 können die zuständigen Behörden andere Mindesttemperaturen oder Mindes</w:t>
      </w:r>
      <w:r w:rsidRPr="008F2F31">
        <w:rPr>
          <w:rFonts w:cs="Arial"/>
        </w:rPr>
        <w:t>t</w:t>
      </w:r>
      <w:r w:rsidRPr="008F2F31">
        <w:rPr>
          <w:rFonts w:cs="Arial"/>
        </w:rPr>
        <w:t>verweilzeiten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(Verbrennungsbedingungen) zulassen, sofern die sonstigen Anforderungen der Verordnu</w:t>
      </w:r>
      <w:r w:rsidRPr="008F2F31">
        <w:rPr>
          <w:rFonts w:cs="Arial"/>
        </w:rPr>
        <w:t>n</w:t>
      </w:r>
      <w:r w:rsidRPr="008F2F31">
        <w:rPr>
          <w:rFonts w:cs="Arial"/>
        </w:rPr>
        <w:t>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eingehalten werden und die Emissionsgrenzwerte nach § 5 Abs. 1 für organische Stoffe, angegeben als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Gesamtkohlenstoff, und für Kohlenmonoxid eingehalten werden. Die zuständigen Behörden haben Ausna</w:t>
      </w:r>
      <w:r w:rsidRPr="008F2F31">
        <w:rPr>
          <w:rFonts w:cs="Arial"/>
        </w:rPr>
        <w:t>h</w:t>
      </w:r>
      <w:r w:rsidRPr="008F2F31">
        <w:rPr>
          <w:rFonts w:cs="Arial"/>
        </w:rPr>
        <w:t>men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nach Satz 1 den zuständigen obersten Immissionsschutzbehörden der Länder zur Weiterleitung an die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Kommission der Europäischen Gemeinschaften vorzulegen.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lastRenderedPageBreak/>
        <w:t>(8) Beim Abfahren von Verbrennungsanlagen oder einzelnen Verbrennungslinien müssen zur Aufrechterha</w:t>
      </w:r>
      <w:r w:rsidRPr="008F2F31">
        <w:rPr>
          <w:rFonts w:cs="Arial"/>
        </w:rPr>
        <w:t>l</w:t>
      </w:r>
      <w:r w:rsidRPr="008F2F31">
        <w:rPr>
          <w:rFonts w:cs="Arial"/>
        </w:rPr>
        <w:t>tung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der Verbrennungsbedingungen die Brenner so lange betrieben werden, bis sich keine Abfälle oder Sto</w:t>
      </w:r>
      <w:r w:rsidRPr="008F2F31">
        <w:rPr>
          <w:rFonts w:cs="Arial"/>
        </w:rPr>
        <w:t>f</w:t>
      </w:r>
      <w:r w:rsidRPr="008F2F31">
        <w:rPr>
          <w:rFonts w:cs="Arial"/>
        </w:rPr>
        <w:t>fe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nach § 1 Abs. 1 mehr im Feuerraum befinden. Satz 1 findet keine Anwendung auf die sonstigen flüssigen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Stoffe nach § 1 Abs. 1, soweit auf Grund ihrer Zusammensetzung keine anderen oder höheren Emission</w:t>
      </w:r>
      <w:r w:rsidRPr="008F2F31">
        <w:rPr>
          <w:rFonts w:cs="Arial"/>
        </w:rPr>
        <w:t>e</w:t>
      </w:r>
      <w:r w:rsidRPr="008F2F31">
        <w:rPr>
          <w:rFonts w:cs="Arial"/>
        </w:rPr>
        <w:t>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als bei der Verbrennung von Heizöl EL auftreten können und sie zur Aufrechterhaltung der Verbrennung</w:t>
      </w:r>
      <w:r w:rsidRPr="008F2F31">
        <w:rPr>
          <w:rFonts w:cs="Arial"/>
        </w:rPr>
        <w:t>s</w:t>
      </w:r>
      <w:r w:rsidRPr="008F2F31">
        <w:rPr>
          <w:rFonts w:cs="Arial"/>
        </w:rPr>
        <w:t>bedingungen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eingesetzt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(9) Flugascheablagerungen sind möglichst gering zu halten, insbesondere durch geeignete Abgasführun</w:t>
      </w:r>
      <w:r w:rsidRPr="008F2F31">
        <w:rPr>
          <w:rFonts w:cs="Arial"/>
        </w:rPr>
        <w:t>g</w:t>
      </w:r>
      <w:r w:rsidR="009552BA">
        <w:rPr>
          <w:rFonts w:cs="Arial"/>
        </w:rPr>
        <w:t xml:space="preserve"> </w:t>
      </w:r>
      <w:r w:rsidRPr="008F2F31">
        <w:rPr>
          <w:rFonts w:cs="Arial"/>
        </w:rPr>
        <w:t>sowie häufige Reinigung von Kesseln, Heizflächen, Kesselspeisewasser- Vorwärmern und Abgaszügen.</w:t>
      </w:r>
    </w:p>
    <w:p w:rsidR="001469C7" w:rsidRPr="008F2F31" w:rsidRDefault="001469C7" w:rsidP="009552BA">
      <w:pPr>
        <w:pStyle w:val="berschrift3"/>
      </w:pPr>
      <w:bookmarkStart w:id="8" w:name="_Toc462324051"/>
      <w:r w:rsidRPr="008F2F31">
        <w:t>§ 5</w:t>
      </w:r>
      <w:r w:rsidR="00906FF1">
        <w:br/>
      </w:r>
      <w:r w:rsidRPr="008F2F31">
        <w:t>Anforderungen an Verbrennungsanlagen</w:t>
      </w:r>
      <w:bookmarkEnd w:id="8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 Verbrennungsanlagen sind so zu errichten und zu betreiben, dass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906FF1">
        <w:rPr>
          <w:rFonts w:cs="Arial"/>
        </w:rPr>
        <w:tab/>
      </w:r>
      <w:r w:rsidRPr="008F2F31">
        <w:rPr>
          <w:rFonts w:cs="Arial"/>
        </w:rPr>
        <w:t>kein Tagesmittelwert die folgenden Emissionsgrenzwerte überschreitet: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a)</w:t>
      </w:r>
      <w:r w:rsidR="00906FF1">
        <w:rPr>
          <w:rFonts w:cs="Arial"/>
        </w:rPr>
        <w:tab/>
      </w:r>
      <w:r w:rsidRPr="008F2F31">
        <w:rPr>
          <w:rFonts w:cs="Arial"/>
        </w:rPr>
        <w:t>Gesamtstaub</w:t>
      </w:r>
      <w:r w:rsidR="00906FF1">
        <w:rPr>
          <w:rFonts w:cs="Arial"/>
        </w:rPr>
        <w:tab/>
      </w:r>
      <w:r w:rsidRPr="008F2F31">
        <w:rPr>
          <w:rFonts w:cs="Arial"/>
        </w:rPr>
        <w:t>10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b)</w:t>
      </w:r>
      <w:r w:rsidR="00906FF1">
        <w:rPr>
          <w:rFonts w:cs="Arial"/>
        </w:rPr>
        <w:tab/>
      </w:r>
      <w:r w:rsidRPr="008F2F31">
        <w:rPr>
          <w:rFonts w:cs="Arial"/>
        </w:rPr>
        <w:t>organische Stoffe, angegeben als Gesamtkohlenstoff,</w:t>
      </w:r>
      <w:r w:rsidR="00906FF1">
        <w:rPr>
          <w:rFonts w:cs="Arial"/>
        </w:rPr>
        <w:tab/>
      </w:r>
      <w:r w:rsidRPr="008F2F31">
        <w:rPr>
          <w:rFonts w:cs="Arial"/>
        </w:rPr>
        <w:t>10 mg/m</w:t>
      </w:r>
      <w:r w:rsidR="004111A6">
        <w:rPr>
          <w:rFonts w:cs="Arial"/>
        </w:rPr>
        <w:t>³</w:t>
      </w:r>
    </w:p>
    <w:p w:rsidR="001469C7" w:rsidRPr="004111A6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c)</w:t>
      </w:r>
      <w:r w:rsidR="00906FF1">
        <w:rPr>
          <w:rFonts w:cs="Arial"/>
        </w:rPr>
        <w:tab/>
      </w:r>
      <w:r w:rsidRPr="008F2F31">
        <w:rPr>
          <w:rFonts w:cs="Arial"/>
        </w:rPr>
        <w:t>gasförmige anorganische Chlorverbindungen, angegeben als Chlorwasserstoff,</w:t>
      </w:r>
      <w:r w:rsidR="00906FF1">
        <w:rPr>
          <w:rFonts w:cs="Arial"/>
        </w:rPr>
        <w:tab/>
      </w:r>
      <w:r w:rsidRPr="008F2F31">
        <w:rPr>
          <w:rFonts w:cs="Arial"/>
        </w:rPr>
        <w:t>10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d)</w:t>
      </w:r>
      <w:r w:rsidR="00906FF1">
        <w:rPr>
          <w:rFonts w:cs="Arial"/>
        </w:rPr>
        <w:tab/>
      </w:r>
      <w:r w:rsidRPr="008F2F31">
        <w:rPr>
          <w:rFonts w:cs="Arial"/>
        </w:rPr>
        <w:t>gasförmige anorganische Fluorverbindungen, angegeben als Fluorwasserstoff,</w:t>
      </w:r>
      <w:r w:rsidR="00906FF1">
        <w:rPr>
          <w:rFonts w:cs="Arial"/>
        </w:rPr>
        <w:tab/>
      </w:r>
      <w:r w:rsidRPr="008F2F31">
        <w:rPr>
          <w:rFonts w:cs="Arial"/>
        </w:rPr>
        <w:t>1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e)</w:t>
      </w:r>
      <w:r w:rsidR="00906FF1">
        <w:rPr>
          <w:rFonts w:cs="Arial"/>
        </w:rPr>
        <w:tab/>
      </w:r>
      <w:r w:rsidRPr="008F2F31">
        <w:rPr>
          <w:rFonts w:cs="Arial"/>
        </w:rPr>
        <w:t>Schwefeldioxid und Schwefeltrioxid, angegeben als Schwefeldioxid,</w:t>
      </w:r>
      <w:r w:rsidR="00906FF1">
        <w:rPr>
          <w:rFonts w:cs="Arial"/>
        </w:rPr>
        <w:tab/>
      </w:r>
      <w:r w:rsidRPr="008F2F31">
        <w:rPr>
          <w:rFonts w:cs="Arial"/>
        </w:rPr>
        <w:t>50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f)</w:t>
      </w:r>
      <w:r w:rsidR="00906FF1">
        <w:rPr>
          <w:rFonts w:cs="Arial"/>
        </w:rPr>
        <w:tab/>
      </w:r>
      <w:r w:rsidRPr="008F2F31">
        <w:rPr>
          <w:rFonts w:cs="Arial"/>
        </w:rPr>
        <w:t>Stickstoffmonoxid und Stickstoffdioxid, angegeben als Stickstoffdioxid,</w:t>
      </w:r>
      <w:r w:rsidR="00906FF1">
        <w:rPr>
          <w:rFonts w:cs="Arial"/>
        </w:rPr>
        <w:tab/>
      </w:r>
      <w:r w:rsidRPr="008F2F31">
        <w:rPr>
          <w:rFonts w:cs="Arial"/>
        </w:rPr>
        <w:t>200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g)</w:t>
      </w:r>
      <w:r w:rsidR="00906FF1">
        <w:rPr>
          <w:rFonts w:cs="Arial"/>
        </w:rPr>
        <w:tab/>
      </w:r>
      <w:r w:rsidRPr="008F2F31">
        <w:rPr>
          <w:rFonts w:cs="Arial"/>
        </w:rPr>
        <w:t>Quecksilber und seine Verbindungen, angegeben als Quecksilber,</w:t>
      </w:r>
      <w:r w:rsidR="00906FF1">
        <w:rPr>
          <w:rFonts w:cs="Arial"/>
        </w:rPr>
        <w:tab/>
      </w:r>
      <w:r w:rsidRPr="008F2F31">
        <w:rPr>
          <w:rFonts w:cs="Arial"/>
        </w:rPr>
        <w:t>0,03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h)</w:t>
      </w:r>
      <w:r w:rsidR="004111A6">
        <w:rPr>
          <w:rFonts w:cs="Arial"/>
        </w:rPr>
        <w:tab/>
      </w:r>
      <w:r w:rsidRPr="008F2F31">
        <w:rPr>
          <w:rFonts w:cs="Arial"/>
        </w:rPr>
        <w:t>Kohlenmonoxid</w:t>
      </w:r>
      <w:r w:rsidR="004111A6">
        <w:rPr>
          <w:rFonts w:cs="Arial"/>
        </w:rPr>
        <w:tab/>
      </w:r>
      <w:r w:rsidRPr="008F2F31">
        <w:rPr>
          <w:rFonts w:cs="Arial"/>
        </w:rPr>
        <w:t>50 mg/m</w:t>
      </w:r>
      <w:r w:rsidR="004111A6">
        <w:rPr>
          <w:rFonts w:cs="Arial"/>
        </w:rPr>
        <w:t>³</w:t>
      </w:r>
    </w:p>
    <w:p w:rsidR="001469C7" w:rsidRPr="008F2F31" w:rsidRDefault="001469C7" w:rsidP="004111A6">
      <w:pPr>
        <w:pStyle w:val="GesAbsatz"/>
        <w:tabs>
          <w:tab w:val="left" w:pos="851"/>
          <w:tab w:val="decimal" w:pos="8789"/>
        </w:tabs>
        <w:rPr>
          <w:rFonts w:cs="Arial"/>
        </w:rPr>
      </w:pPr>
      <w:r w:rsidRPr="008F2F31">
        <w:rPr>
          <w:rFonts w:cs="Arial"/>
        </w:rPr>
        <w:t>2.</w:t>
      </w:r>
      <w:r w:rsidR="004111A6">
        <w:rPr>
          <w:rFonts w:cs="Arial"/>
        </w:rPr>
        <w:tab/>
      </w:r>
      <w:r w:rsidRPr="008F2F31">
        <w:rPr>
          <w:rFonts w:cs="Arial"/>
        </w:rPr>
        <w:t>kein Halbstundenmittelwert die folgenden Emissionsgrenzwerte überschreitet: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a)</w:t>
      </w:r>
      <w:r w:rsidR="004111A6">
        <w:rPr>
          <w:rFonts w:cs="Arial"/>
        </w:rPr>
        <w:tab/>
      </w:r>
      <w:r w:rsidRPr="008F2F31">
        <w:rPr>
          <w:rFonts w:cs="Arial"/>
        </w:rPr>
        <w:t>Gesamtstaub</w:t>
      </w:r>
      <w:r w:rsidR="004111A6">
        <w:rPr>
          <w:rFonts w:cs="Arial"/>
        </w:rPr>
        <w:tab/>
      </w:r>
      <w:r w:rsidRPr="008F2F31">
        <w:rPr>
          <w:rFonts w:cs="Arial"/>
        </w:rPr>
        <w:t>30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b)</w:t>
      </w:r>
      <w:r w:rsidR="004111A6">
        <w:rPr>
          <w:rFonts w:cs="Arial"/>
        </w:rPr>
        <w:tab/>
      </w:r>
      <w:r w:rsidRPr="008F2F31">
        <w:rPr>
          <w:rFonts w:cs="Arial"/>
        </w:rPr>
        <w:t>organische Stoffe, angegeben als Gesamtkohlenstoff,</w:t>
      </w:r>
      <w:r w:rsidR="004111A6">
        <w:rPr>
          <w:rFonts w:cs="Arial"/>
        </w:rPr>
        <w:tab/>
      </w:r>
      <w:r w:rsidRPr="008F2F31">
        <w:rPr>
          <w:rFonts w:cs="Arial"/>
        </w:rPr>
        <w:t>20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c)</w:t>
      </w:r>
      <w:r w:rsidR="004111A6">
        <w:rPr>
          <w:rFonts w:cs="Arial"/>
        </w:rPr>
        <w:tab/>
      </w:r>
      <w:r w:rsidRPr="008F2F31">
        <w:rPr>
          <w:rFonts w:cs="Arial"/>
        </w:rPr>
        <w:t>gasförmige anorganische Chlorverbindungen, angegeben als Chlorwasserstoff,</w:t>
      </w:r>
      <w:r w:rsidR="004111A6">
        <w:rPr>
          <w:rFonts w:cs="Arial"/>
        </w:rPr>
        <w:tab/>
      </w:r>
      <w:r w:rsidRPr="008F2F31">
        <w:rPr>
          <w:rFonts w:cs="Arial"/>
        </w:rPr>
        <w:t>60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d)</w:t>
      </w:r>
      <w:r w:rsidR="004111A6">
        <w:rPr>
          <w:rFonts w:cs="Arial"/>
        </w:rPr>
        <w:tab/>
      </w:r>
      <w:r w:rsidRPr="008F2F31">
        <w:rPr>
          <w:rFonts w:cs="Arial"/>
        </w:rPr>
        <w:t>gasförmige, anorganische Fluorverbindungen, angegeben als Fluorwasserstoff,</w:t>
      </w:r>
      <w:r w:rsidR="004111A6">
        <w:rPr>
          <w:rFonts w:cs="Arial"/>
        </w:rPr>
        <w:tab/>
      </w:r>
      <w:r w:rsidRPr="008F2F31">
        <w:rPr>
          <w:rFonts w:cs="Arial"/>
        </w:rPr>
        <w:t>4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e)</w:t>
      </w:r>
      <w:r w:rsidR="004111A6">
        <w:rPr>
          <w:rFonts w:cs="Arial"/>
        </w:rPr>
        <w:tab/>
      </w:r>
      <w:r w:rsidRPr="008F2F31">
        <w:rPr>
          <w:rFonts w:cs="Arial"/>
        </w:rPr>
        <w:t>Schwefeldioxid und Schwefeltrioxid, angegeben als Schwefeldioxid,</w:t>
      </w:r>
      <w:r w:rsidR="004111A6">
        <w:rPr>
          <w:rFonts w:cs="Arial"/>
        </w:rPr>
        <w:tab/>
      </w:r>
      <w:r w:rsidRPr="008F2F31">
        <w:rPr>
          <w:rFonts w:cs="Arial"/>
        </w:rPr>
        <w:t>200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f)</w:t>
      </w:r>
      <w:r w:rsidR="004111A6">
        <w:rPr>
          <w:rFonts w:cs="Arial"/>
        </w:rPr>
        <w:tab/>
      </w:r>
      <w:r w:rsidRPr="008F2F31">
        <w:rPr>
          <w:rFonts w:cs="Arial"/>
        </w:rPr>
        <w:t>Stickstoffmonoxid und Stickstoffdioxid, angegeben als Stickstoffdioxid,</w:t>
      </w:r>
      <w:r w:rsidR="004111A6">
        <w:rPr>
          <w:rFonts w:cs="Arial"/>
        </w:rPr>
        <w:tab/>
      </w:r>
      <w:r w:rsidRPr="008F2F31">
        <w:rPr>
          <w:rFonts w:cs="Arial"/>
        </w:rPr>
        <w:t>400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g)</w:t>
      </w:r>
      <w:r w:rsidR="004111A6">
        <w:rPr>
          <w:rFonts w:cs="Arial"/>
        </w:rPr>
        <w:tab/>
      </w:r>
      <w:r w:rsidRPr="008F2F31">
        <w:rPr>
          <w:rFonts w:cs="Arial"/>
        </w:rPr>
        <w:t>Quecksilber und seine Verbindungen, angegeben als Quecksilber,</w:t>
      </w:r>
      <w:r w:rsidR="004111A6">
        <w:rPr>
          <w:rFonts w:cs="Arial"/>
        </w:rPr>
        <w:tab/>
      </w:r>
      <w:r w:rsidRPr="008F2F31">
        <w:rPr>
          <w:rFonts w:cs="Arial"/>
        </w:rPr>
        <w:t>0,05 mg/m</w:t>
      </w:r>
      <w:r w:rsidR="004111A6"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h)</w:t>
      </w:r>
      <w:r w:rsidR="004111A6">
        <w:rPr>
          <w:rFonts w:cs="Arial"/>
        </w:rPr>
        <w:tab/>
        <w:t>Kohlenmonoxid</w:t>
      </w:r>
      <w:r w:rsidR="004111A6">
        <w:rPr>
          <w:rFonts w:cs="Arial"/>
        </w:rPr>
        <w:tab/>
      </w:r>
      <w:r w:rsidRPr="008F2F31">
        <w:rPr>
          <w:rFonts w:cs="Arial"/>
        </w:rPr>
        <w:t>100 mg/m</w:t>
      </w:r>
      <w:r w:rsidR="004111A6">
        <w:rPr>
          <w:rFonts w:cs="Arial"/>
        </w:rPr>
        <w:t>³</w:t>
      </w:r>
      <w:r w:rsidRPr="008F2F31">
        <w:rPr>
          <w:rFonts w:cs="Arial"/>
        </w:rPr>
        <w:t>;</w:t>
      </w:r>
    </w:p>
    <w:p w:rsidR="001469C7" w:rsidRPr="008F2F31" w:rsidRDefault="001469C7" w:rsidP="004111A6">
      <w:pPr>
        <w:pStyle w:val="GesAbsatz"/>
        <w:tabs>
          <w:tab w:val="left" w:pos="851"/>
          <w:tab w:val="decimal" w:pos="8222"/>
        </w:tabs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4111A6">
        <w:rPr>
          <w:rFonts w:cs="Arial"/>
        </w:rPr>
        <w:tab/>
      </w:r>
      <w:r w:rsidRPr="008F2F31">
        <w:rPr>
          <w:rFonts w:cs="Arial"/>
        </w:rPr>
        <w:t>kein Mittelwert, der über die jeweilige Probenahmezeit gebildet ist, die folgenden Emissionsgrenzwert</w:t>
      </w:r>
      <w:r w:rsidRPr="008F2F31">
        <w:rPr>
          <w:rFonts w:cs="Arial"/>
        </w:rPr>
        <w:t>e</w:t>
      </w:r>
      <w:r w:rsidR="004111A6">
        <w:rPr>
          <w:rFonts w:cs="Arial"/>
        </w:rPr>
        <w:t xml:space="preserve"> </w:t>
      </w:r>
      <w:r w:rsidRPr="008F2F31">
        <w:rPr>
          <w:rFonts w:cs="Arial"/>
        </w:rPr>
        <w:t>überschreitet: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 w:rsidRPr="008F2F31">
        <w:rPr>
          <w:rFonts w:cs="Arial"/>
        </w:rPr>
        <w:t>a)</w:t>
      </w:r>
      <w:r w:rsidR="004111A6">
        <w:rPr>
          <w:rFonts w:cs="Arial"/>
        </w:rPr>
        <w:tab/>
      </w:r>
      <w:r w:rsidRPr="008F2F31">
        <w:rPr>
          <w:rFonts w:cs="Arial"/>
        </w:rPr>
        <w:t>Cadmium und seine Verbindungen, angegeben als Cd,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Thallium und seine Verbindungen, angegeben als TI,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1469C7" w:rsidRPr="008F2F31">
        <w:rPr>
          <w:rFonts w:cs="Arial"/>
        </w:rPr>
        <w:t>in</w:t>
      </w:r>
      <w:r w:rsidR="001469C7" w:rsidRPr="008F2F31">
        <w:rPr>
          <w:rFonts w:cs="Arial"/>
        </w:rPr>
        <w:t>s</w:t>
      </w:r>
      <w:r w:rsidR="001469C7" w:rsidRPr="008F2F31">
        <w:rPr>
          <w:rFonts w:cs="Arial"/>
        </w:rPr>
        <w:t>gesamt 0,05 mg/m</w:t>
      </w:r>
      <w:r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 w:rsidRPr="008F2F31">
        <w:rPr>
          <w:rFonts w:cs="Arial"/>
        </w:rPr>
        <w:t>b)</w:t>
      </w:r>
      <w:r w:rsidR="004111A6">
        <w:rPr>
          <w:rFonts w:cs="Arial"/>
        </w:rPr>
        <w:tab/>
      </w:r>
      <w:r w:rsidRPr="008F2F31">
        <w:rPr>
          <w:rFonts w:cs="Arial"/>
        </w:rPr>
        <w:t>Antimon und seine Verbindungen, angegeben als Sb,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Arsen und seine Verbindungen, angegeben als As,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Blei und seine Verbindungen, angegeben als Pb,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Chrom und seine Verbindungen, angegeben als Cr,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Cobalt und seine Verbindungen, angegeben als Co,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Kupfer und seine Verbindungen, angegeben als Cu,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Mangan und seine Verbindungen, angegeben als Mn,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Nickel und seine Verbindungen, angegeben als Ni,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Vanadium und seine Verbindungen, angegeben als V,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Zinn und seine Verbindungen, angegeben als Sn,</w:t>
      </w:r>
    </w:p>
    <w:p w:rsidR="001469C7" w:rsidRPr="008F2F31" w:rsidRDefault="004111A6" w:rsidP="004111A6">
      <w:pPr>
        <w:pStyle w:val="GesAbsatz"/>
        <w:tabs>
          <w:tab w:val="left" w:pos="851"/>
          <w:tab w:val="decimal" w:pos="8789"/>
        </w:tabs>
        <w:rPr>
          <w:rFonts w:cs="Arial"/>
        </w:rPr>
      </w:pPr>
      <w:r>
        <w:rPr>
          <w:rFonts w:cs="Arial"/>
        </w:rPr>
        <w:tab/>
      </w:r>
      <w:r w:rsidR="00551A5B">
        <w:rPr>
          <w:rFonts w:cs="Arial"/>
        </w:rPr>
        <w:tab/>
      </w:r>
      <w:r>
        <w:rPr>
          <w:rFonts w:cs="Arial"/>
        </w:rPr>
        <w:tab/>
      </w:r>
      <w:r w:rsidR="001469C7" w:rsidRPr="008F2F31">
        <w:rPr>
          <w:rFonts w:cs="Arial"/>
        </w:rPr>
        <w:t>insgesamt 0,5 mg/m</w:t>
      </w:r>
      <w:r>
        <w:rPr>
          <w:rFonts w:cs="Arial"/>
        </w:rPr>
        <w:t>³</w:t>
      </w:r>
    </w:p>
    <w:p w:rsidR="001469C7" w:rsidRPr="008F2F31" w:rsidRDefault="001469C7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 w:rsidRPr="008F2F31">
        <w:rPr>
          <w:rFonts w:cs="Arial"/>
        </w:rPr>
        <w:lastRenderedPageBreak/>
        <w:t>c)</w:t>
      </w:r>
      <w:r w:rsidR="004111A6">
        <w:rPr>
          <w:rFonts w:cs="Arial"/>
        </w:rPr>
        <w:tab/>
      </w:r>
      <w:r w:rsidRPr="008F2F31">
        <w:rPr>
          <w:rFonts w:cs="Arial"/>
        </w:rPr>
        <w:t>Arsen und seine Verbindungen (außer Arsenwasserstoff), angegeben als As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Benzo(a)pyren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Cadmium und seine Verbindungen, angegeben als Cd,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wasserlösliche Cobaltverbindungen, angegeben als Co,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Chrom(VI)verbindungen (außer Bariumchromat und Bleichromat),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222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angegeben als Cr,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1469C7" w:rsidRPr="008F2F31">
        <w:rPr>
          <w:rFonts w:cs="Arial"/>
        </w:rPr>
        <w:t>in</w:t>
      </w:r>
      <w:r w:rsidR="001469C7" w:rsidRPr="008F2F31">
        <w:rPr>
          <w:rFonts w:cs="Arial"/>
        </w:rPr>
        <w:t>s</w:t>
      </w:r>
      <w:r w:rsidR="001469C7" w:rsidRPr="008F2F31">
        <w:rPr>
          <w:rFonts w:cs="Arial"/>
        </w:rPr>
        <w:t>gesamt 0,05 mg/m</w:t>
      </w:r>
      <w:r>
        <w:rPr>
          <w:rFonts w:cs="Arial"/>
        </w:rPr>
        <w:t>³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oder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Arsen und seine Verbindungen, angegeben als As,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Benzo(a)pyren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Cadmium und seine Verbindungen, angegeben als Cd,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Cobalt und seine Verbindungen, angegeben als Co,</w:t>
      </w:r>
    </w:p>
    <w:p w:rsidR="001469C7" w:rsidRPr="008F2F31" w:rsidRDefault="004111A6" w:rsidP="00551A5B">
      <w:pPr>
        <w:pStyle w:val="GesAbsatz"/>
        <w:tabs>
          <w:tab w:val="left" w:pos="851"/>
          <w:tab w:val="decimal" w:pos="8789"/>
        </w:tabs>
        <w:ind w:left="426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Chrom und seine Verbindungen, angegeben als Cr,</w:t>
      </w:r>
    </w:p>
    <w:p w:rsidR="001469C7" w:rsidRPr="008F2F31" w:rsidRDefault="004111A6" w:rsidP="004111A6">
      <w:pPr>
        <w:pStyle w:val="GesAbsatz"/>
        <w:tabs>
          <w:tab w:val="left" w:pos="851"/>
          <w:tab w:val="decimal" w:pos="8789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469C7" w:rsidRPr="008F2F31">
        <w:rPr>
          <w:rFonts w:cs="Arial"/>
        </w:rPr>
        <w:t>insgesamt 0,05 mg/m</w:t>
      </w:r>
      <w:r>
        <w:rPr>
          <w:rFonts w:cs="Arial"/>
        </w:rPr>
        <w:t>³</w:t>
      </w:r>
      <w:r w:rsidR="00161DA4">
        <w:rPr>
          <w:rFonts w:cs="Arial"/>
        </w:rPr>
        <w:t>;</w:t>
      </w:r>
    </w:p>
    <w:p w:rsidR="001469C7" w:rsidRDefault="001469C7" w:rsidP="004111A6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4111A6">
        <w:rPr>
          <w:rFonts w:cs="Arial"/>
        </w:rPr>
        <w:tab/>
      </w:r>
      <w:r w:rsidRPr="008F2F31">
        <w:rPr>
          <w:rFonts w:cs="Arial"/>
        </w:rPr>
        <w:t xml:space="preserve">kein Mittelwert, der über die jeweilige Probenahmezeit gebildet ist, den Emissionsgrenzwert für die </w:t>
      </w:r>
      <w:r w:rsidRPr="008F2F31">
        <w:rPr>
          <w:rFonts w:cs="Arial"/>
        </w:rPr>
        <w:t>i</w:t>
      </w:r>
      <w:r w:rsidRPr="008F2F31">
        <w:rPr>
          <w:rFonts w:cs="Arial"/>
        </w:rPr>
        <w:t>n</w:t>
      </w:r>
      <w:r w:rsidR="004111A6">
        <w:rPr>
          <w:rFonts w:cs="Arial"/>
        </w:rPr>
        <w:t xml:space="preserve"> </w:t>
      </w:r>
      <w:r w:rsidRPr="008F2F31">
        <w:rPr>
          <w:rFonts w:cs="Arial"/>
        </w:rPr>
        <w:t>Anhang I genannten Dioxine und Furane – angegeben als Summenwert nach dem in Anhang I festg</w:t>
      </w:r>
      <w:r w:rsidRPr="008F2F31">
        <w:rPr>
          <w:rFonts w:cs="Arial"/>
        </w:rPr>
        <w:t>e</w:t>
      </w:r>
      <w:r w:rsidRPr="008F2F31">
        <w:rPr>
          <w:rFonts w:cs="Arial"/>
        </w:rPr>
        <w:t>legten</w:t>
      </w:r>
      <w:r w:rsidR="004111A6">
        <w:rPr>
          <w:rFonts w:cs="Arial"/>
        </w:rPr>
        <w:t xml:space="preserve"> </w:t>
      </w:r>
      <w:r w:rsidRPr="008F2F31">
        <w:rPr>
          <w:rFonts w:cs="Arial"/>
        </w:rPr>
        <w:t xml:space="preserve">Verfahren – von 0,1 </w:t>
      </w:r>
      <w:proofErr w:type="spellStart"/>
      <w:r w:rsidRPr="008F2F31">
        <w:rPr>
          <w:rFonts w:cs="Arial"/>
        </w:rPr>
        <w:t>ng</w:t>
      </w:r>
      <w:proofErr w:type="spellEnd"/>
      <w:r w:rsidRPr="008F2F31">
        <w:rPr>
          <w:rFonts w:cs="Arial"/>
        </w:rPr>
        <w:t>/m</w:t>
      </w:r>
      <w:r w:rsidR="004111A6">
        <w:rPr>
          <w:rFonts w:cs="Arial"/>
        </w:rPr>
        <w:t>³</w:t>
      </w:r>
      <w:r w:rsidRPr="008F2F31">
        <w:rPr>
          <w:rFonts w:cs="Arial"/>
        </w:rPr>
        <w:t xml:space="preserve"> überschreitet</w:t>
      </w:r>
      <w:r w:rsidR="00161DA4">
        <w:rPr>
          <w:rFonts w:cs="Arial"/>
        </w:rPr>
        <w:t xml:space="preserve"> und</w:t>
      </w:r>
    </w:p>
    <w:p w:rsidR="00161DA4" w:rsidRPr="00161DA4" w:rsidRDefault="00161DA4" w:rsidP="00161DA4">
      <w:pPr>
        <w:pStyle w:val="GesAbsatz"/>
        <w:ind w:left="426" w:hanging="426"/>
        <w:rPr>
          <w:rFonts w:cs="Arial"/>
        </w:rPr>
      </w:pPr>
      <w:r w:rsidRPr="00161DA4">
        <w:rPr>
          <w:rFonts w:cs="Arial"/>
        </w:rPr>
        <w:t>5.</w:t>
      </w:r>
      <w:r>
        <w:rPr>
          <w:rFonts w:cs="Arial"/>
        </w:rPr>
        <w:tab/>
      </w:r>
      <w:r w:rsidRPr="00161DA4">
        <w:rPr>
          <w:rFonts w:cs="Arial"/>
        </w:rPr>
        <w:t>kein Jahresmittelwert folgenden Emissionsgrenzwert</w:t>
      </w:r>
      <w:r>
        <w:rPr>
          <w:rFonts w:cs="Arial"/>
        </w:rPr>
        <w:t xml:space="preserve"> </w:t>
      </w:r>
      <w:r w:rsidRPr="00161DA4">
        <w:rPr>
          <w:rFonts w:cs="Arial"/>
        </w:rPr>
        <w:t>überschreitet:</w:t>
      </w:r>
    </w:p>
    <w:p w:rsidR="00161DA4" w:rsidRPr="00161DA4" w:rsidRDefault="00161DA4" w:rsidP="00161DA4">
      <w:pPr>
        <w:pStyle w:val="GesAbsatz"/>
        <w:ind w:left="426"/>
        <w:rPr>
          <w:rFonts w:cs="Arial"/>
        </w:rPr>
      </w:pPr>
      <w:r w:rsidRPr="00161DA4">
        <w:rPr>
          <w:rFonts w:cs="Arial"/>
        </w:rPr>
        <w:t>Stickstoffmonoxid und Stickstoffdioxid, angegeben</w:t>
      </w:r>
      <w:r>
        <w:rPr>
          <w:rFonts w:cs="Arial"/>
        </w:rPr>
        <w:t xml:space="preserve"> </w:t>
      </w:r>
      <w:r w:rsidRPr="00161DA4">
        <w:rPr>
          <w:rFonts w:cs="Arial"/>
        </w:rPr>
        <w:t>als Stickstoffdioxid, ab einer Feuerungswärmelei</w:t>
      </w:r>
      <w:r w:rsidRPr="00161DA4">
        <w:rPr>
          <w:rFonts w:cs="Arial"/>
        </w:rPr>
        <w:t>s</w:t>
      </w:r>
      <w:r w:rsidRPr="00161DA4">
        <w:rPr>
          <w:rFonts w:cs="Arial"/>
        </w:rPr>
        <w:t>tung</w:t>
      </w:r>
      <w:r>
        <w:rPr>
          <w:rFonts w:cs="Arial"/>
        </w:rPr>
        <w:t xml:space="preserve"> </w:t>
      </w:r>
      <w:r w:rsidRPr="00161DA4">
        <w:rPr>
          <w:rFonts w:cs="Arial"/>
        </w:rPr>
        <w:t>von</w:t>
      </w:r>
    </w:p>
    <w:p w:rsidR="00161DA4" w:rsidRPr="0091076C" w:rsidRDefault="00161DA4" w:rsidP="0091076C">
      <w:pPr>
        <w:pStyle w:val="GesAbsatz"/>
        <w:tabs>
          <w:tab w:val="left" w:pos="7655"/>
        </w:tabs>
        <w:ind w:left="426"/>
        <w:rPr>
          <w:rFonts w:cs="Arial"/>
        </w:rPr>
      </w:pPr>
      <w:r w:rsidRPr="00161DA4">
        <w:rPr>
          <w:rFonts w:cs="Arial"/>
        </w:rPr>
        <w:t>mehr als 50 MW</w:t>
      </w:r>
      <w:r>
        <w:rPr>
          <w:rFonts w:cs="Arial"/>
        </w:rPr>
        <w:tab/>
      </w:r>
      <w:r w:rsidRPr="00161DA4">
        <w:rPr>
          <w:rFonts w:cs="Arial"/>
        </w:rPr>
        <w:t>100 mg/m³.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Die Emissionsgrenzwerte nach Absatz 1 beziehen sich auf einen Volumengehalt an Sauerstoff im Abgas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von 11 vom Hundert (Bezugssauerstoffgehalt). Soweit ausschließlich gasförmige Stoffe, die bei der Pyrol</w:t>
      </w:r>
      <w:r w:rsidRPr="008F2F31">
        <w:rPr>
          <w:rFonts w:cs="Arial"/>
        </w:rPr>
        <w:t>y</w:t>
      </w:r>
      <w:r w:rsidRPr="008F2F31">
        <w:rPr>
          <w:rFonts w:cs="Arial"/>
        </w:rPr>
        <w:t>se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oder Vergasung von Abfällen entstehen oder Altöle im Sinne von § 1a Abs. 1 der Altölverordnung in der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Fassung der Bekanntmachung vom 16. April 2002 (BGBl. I S. 1368) eingesetzt werden, beträgt der Bezug</w:t>
      </w:r>
      <w:r w:rsidRPr="008F2F31">
        <w:rPr>
          <w:rFonts w:cs="Arial"/>
        </w:rPr>
        <w:t>s</w:t>
      </w:r>
      <w:r w:rsidRPr="008F2F31">
        <w:rPr>
          <w:rFonts w:cs="Arial"/>
        </w:rPr>
        <w:t>sa</w:t>
      </w:r>
      <w:r w:rsidRPr="008F2F31">
        <w:rPr>
          <w:rFonts w:cs="Arial"/>
        </w:rPr>
        <w:t>u</w:t>
      </w:r>
      <w:r w:rsidRPr="008F2F31">
        <w:rPr>
          <w:rFonts w:cs="Arial"/>
        </w:rPr>
        <w:t>erstoffgehalt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3 vom Hundert.</w:t>
      </w:r>
    </w:p>
    <w:p w:rsidR="001469C7" w:rsidRPr="008F2F31" w:rsidRDefault="001469C7" w:rsidP="00DB6C61">
      <w:pPr>
        <w:pStyle w:val="berschrift3"/>
      </w:pPr>
      <w:bookmarkStart w:id="9" w:name="_Toc462324052"/>
      <w:r w:rsidRPr="008F2F31">
        <w:t>§ 5a</w:t>
      </w:r>
      <w:r w:rsidR="00DB6C61">
        <w:br/>
      </w:r>
      <w:r w:rsidRPr="008F2F31">
        <w:t>Anforderungen an Mitverbrennungsanlagen</w:t>
      </w:r>
      <w:bookmarkEnd w:id="9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Mitverbrennungsanlagen, die nicht mehr als 25 vom Hundert der jeweils gefahrenen Feuerungswärm</w:t>
      </w:r>
      <w:r w:rsidRPr="008F2F31">
        <w:rPr>
          <w:rFonts w:cs="Arial"/>
        </w:rPr>
        <w:t>e</w:t>
      </w:r>
      <w:r w:rsidRPr="008F2F31">
        <w:rPr>
          <w:rFonts w:cs="Arial"/>
        </w:rPr>
        <w:t>leistung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einer Verbrennungslinie aus Mitverbrennungsstoffen erzeugen, sind so zu errichten und zu betre</w:t>
      </w:r>
      <w:r w:rsidRPr="008F2F31">
        <w:rPr>
          <w:rFonts w:cs="Arial"/>
        </w:rPr>
        <w:t>i</w:t>
      </w:r>
      <w:r w:rsidRPr="008F2F31">
        <w:rPr>
          <w:rFonts w:cs="Arial"/>
        </w:rPr>
        <w:t>ben,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dass die Emissionsgrenzwerte gemäß Anhang II in den Abgasen nicht überschritten werden. Mitve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brennungsstoffe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sind dabei die eingesetzten Abfälle und Stoffe nach § 1 Abs. 1 sowie die für ihre Mitve</w:t>
      </w:r>
      <w:r w:rsidRPr="008F2F31">
        <w:rPr>
          <w:rFonts w:cs="Arial"/>
        </w:rPr>
        <w:t>r</w:t>
      </w:r>
      <w:r w:rsidRPr="008F2F31">
        <w:rPr>
          <w:rFonts w:cs="Arial"/>
        </w:rPr>
        <w:t>brennung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zusätzlich benötigten Brennstoffe. Werden in einer Mitverbrennungsanlage mehr als 25 vom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Hu</w:t>
      </w:r>
      <w:r w:rsidRPr="008F2F31">
        <w:rPr>
          <w:rFonts w:cs="Arial"/>
        </w:rPr>
        <w:t>n</w:t>
      </w:r>
      <w:r w:rsidRPr="008F2F31">
        <w:rPr>
          <w:rFonts w:cs="Arial"/>
        </w:rPr>
        <w:t>dert der jeweils gefahrenen Feuerungswärmeleistung aus Mitverbrennungsstoffen erzeugt, so gelten die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in § 5 Abs. 1 festgelegten Emissionsgrenzwerte für Verbrennungsanlagen.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Für Anlagen zur Herstellung von Zementklinker oder Zementen oder für Anlagen zum Brennen von Kal</w:t>
      </w:r>
      <w:r w:rsidRPr="008F2F31">
        <w:rPr>
          <w:rFonts w:cs="Arial"/>
        </w:rPr>
        <w:t>k</w:t>
      </w:r>
      <w:r w:rsidRPr="008F2F31">
        <w:rPr>
          <w:rFonts w:cs="Arial"/>
        </w:rPr>
        <w:t>stein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(Nummer 2.3 oder 2.4 Spalte 1, Spalte 2 Buchstabe a des Anhangs der Verordnung über genehm</w:t>
      </w:r>
      <w:r w:rsidRPr="008F2F31">
        <w:rPr>
          <w:rFonts w:cs="Arial"/>
        </w:rPr>
        <w:t>i</w:t>
      </w:r>
      <w:r w:rsidRPr="008F2F31">
        <w:rPr>
          <w:rFonts w:cs="Arial"/>
        </w:rPr>
        <w:t>gungsbedürftige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Anlagen) gelten die Regelungen in Nummer II.1 des Anhangs II auch dann, wenn der A</w:t>
      </w:r>
      <w:r w:rsidRPr="008F2F31">
        <w:rPr>
          <w:rFonts w:cs="Arial"/>
        </w:rPr>
        <w:t>n</w:t>
      </w:r>
      <w:r w:rsidRPr="008F2F31">
        <w:rPr>
          <w:rFonts w:cs="Arial"/>
        </w:rPr>
        <w:t>teil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der Mitverbrennungsstoffe an der jeweils gefahrenen Feuerungswärmeleistung 25 vom Hundert übe</w:t>
      </w:r>
      <w:r w:rsidRPr="008F2F31">
        <w:rPr>
          <w:rFonts w:cs="Arial"/>
        </w:rPr>
        <w:t>r</w:t>
      </w:r>
      <w:r w:rsidRPr="008F2F31">
        <w:rPr>
          <w:rFonts w:cs="Arial"/>
        </w:rPr>
        <w:t>steigt.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Werden in einer Anlage nach Absatz 2 mehr als 60 vom Hundert der jeweils gefahrenen Feuerungswä</w:t>
      </w:r>
      <w:r w:rsidRPr="008F2F31">
        <w:rPr>
          <w:rFonts w:cs="Arial"/>
        </w:rPr>
        <w:t>r</w:t>
      </w:r>
      <w:r w:rsidRPr="008F2F31">
        <w:rPr>
          <w:rFonts w:cs="Arial"/>
        </w:rPr>
        <w:t>meleistung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aus Mitverbrennungsstoffen erzeugt, so gelten die in § 5 Abs. 1 festgelegten Emissionsgrenzwe</w:t>
      </w:r>
      <w:r w:rsidRPr="008F2F31">
        <w:rPr>
          <w:rFonts w:cs="Arial"/>
        </w:rPr>
        <w:t>r</w:t>
      </w:r>
      <w:r w:rsidRPr="008F2F31">
        <w:rPr>
          <w:rFonts w:cs="Arial"/>
        </w:rPr>
        <w:t>te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sowie die Ausnahmeregelungen in Anhang II Nr. II.1 entsprechend.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Für Stickstoffmonoxid und Stickstoffdioxid, angegeben als Stickstoffdioxid,</w:t>
      </w:r>
      <w:r w:rsidR="00ED35EB">
        <w:rPr>
          <w:rFonts w:cs="Arial"/>
        </w:rPr>
        <w:t xml:space="preserve"> als Tagesmittelwert</w:t>
      </w:r>
      <w:r w:rsidRPr="008F2F31">
        <w:rPr>
          <w:rFonts w:cs="Arial"/>
        </w:rPr>
        <w:t xml:space="preserve"> sowie für Gesamtstaub soll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die zuständige Behörde anstelle der Anforderungen nach Absatz 3 auf Antrag des Betre</w:t>
      </w:r>
      <w:r w:rsidRPr="008F2F31">
        <w:rPr>
          <w:rFonts w:cs="Arial"/>
        </w:rPr>
        <w:t>i</w:t>
      </w:r>
      <w:r w:rsidRPr="008F2F31">
        <w:rPr>
          <w:rFonts w:cs="Arial"/>
        </w:rPr>
        <w:t>bers einen anteili</w:t>
      </w:r>
      <w:r w:rsidRPr="008F2F31">
        <w:rPr>
          <w:rFonts w:cs="Arial"/>
        </w:rPr>
        <w:t>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berechneten Emissionsgrenzwert (Mischgrenzwert) festlegen. Der Rechnung sind zu Grunde zu legen der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jeweilige Emissionsgrenzwert nach § 5 Abs. 1 und der jeweilige Emissionsgrenzwert nach Anhang II Nr. II.1.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Als Emissionsgrenzwert ergibt sich dann der für den Anteil von 60 bis 100 vom Hu</w:t>
      </w:r>
      <w:r w:rsidRPr="008F2F31">
        <w:rPr>
          <w:rFonts w:cs="Arial"/>
        </w:rPr>
        <w:t>n</w:t>
      </w:r>
      <w:r w:rsidRPr="008F2F31">
        <w:rPr>
          <w:rFonts w:cs="Arial"/>
        </w:rPr>
        <w:t>dert aus der B</w:t>
      </w:r>
      <w:r w:rsidRPr="008F2F31">
        <w:rPr>
          <w:rFonts w:cs="Arial"/>
        </w:rPr>
        <w:t>e</w:t>
      </w:r>
      <w:r w:rsidRPr="008F2F31">
        <w:rPr>
          <w:rFonts w:cs="Arial"/>
        </w:rPr>
        <w:t>rechnungsformel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in Anhang II zu errechnende Wert.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Wird in Anlagen nach Absatz 2 mehr als 40 vom Hundert der jeweils gefahrenen Feuerungswärmelei</w:t>
      </w:r>
      <w:r w:rsidRPr="008F2F31">
        <w:rPr>
          <w:rFonts w:cs="Arial"/>
        </w:rPr>
        <w:t>s</w:t>
      </w:r>
      <w:r w:rsidRPr="008F2F31">
        <w:rPr>
          <w:rFonts w:cs="Arial"/>
        </w:rPr>
        <w:t>tung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aus besonders überwachungsbedürftigen Abfällen einschließlich des für deren Verbrennung zusät</w:t>
      </w:r>
      <w:r w:rsidRPr="008F2F31">
        <w:rPr>
          <w:rFonts w:cs="Arial"/>
        </w:rPr>
        <w:t>z</w:t>
      </w:r>
      <w:r w:rsidRPr="008F2F31">
        <w:rPr>
          <w:rFonts w:cs="Arial"/>
        </w:rPr>
        <w:t>lich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benötigten Brennstoffs erzeugt, gelten die Grenzwerte nach § 5 Abs. 1. Zu den besonders überwachung</w:t>
      </w:r>
      <w:r w:rsidRPr="008F2F31">
        <w:rPr>
          <w:rFonts w:cs="Arial"/>
        </w:rPr>
        <w:t>s</w:t>
      </w:r>
      <w:r w:rsidRPr="008F2F31">
        <w:rPr>
          <w:rFonts w:cs="Arial"/>
        </w:rPr>
        <w:lastRenderedPageBreak/>
        <w:t>bedürftigen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Abfällen nach Satz 1 gehören nicht die flüssigen brennbaren Abfälle und nicht die Stoffe nach §</w:t>
      </w:r>
      <w:r w:rsidR="00DB6C61">
        <w:rPr>
          <w:rFonts w:cs="Arial"/>
        </w:rPr>
        <w:t> </w:t>
      </w:r>
      <w:r w:rsidRPr="008F2F31">
        <w:rPr>
          <w:rFonts w:cs="Arial"/>
        </w:rPr>
        <w:t>1 Abs. 1, wenn deren Massengehalt an polychlorierten aromatischen Kohlenwasserstoffen, wie polychl</w:t>
      </w:r>
      <w:r w:rsidRPr="008F2F31">
        <w:rPr>
          <w:rFonts w:cs="Arial"/>
        </w:rPr>
        <w:t>o</w:t>
      </w:r>
      <w:r w:rsidRPr="008F2F31">
        <w:rPr>
          <w:rFonts w:cs="Arial"/>
        </w:rPr>
        <w:t>rierte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Biphenyle (PCB) oder Pentachlorphenol (PCP), bis 10 Milligramm je Kilogramm und der untere Hei</w:t>
      </w:r>
      <w:r w:rsidRPr="008F2F31">
        <w:rPr>
          <w:rFonts w:cs="Arial"/>
        </w:rPr>
        <w:t>z</w:t>
      </w:r>
      <w:r w:rsidRPr="008F2F31">
        <w:rPr>
          <w:rFonts w:cs="Arial"/>
        </w:rPr>
        <w:t>wert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des brennbaren Abfalls mindestens 30 Megajoule je Kilogramm beträgt, oder wenn auf Grund ihrer Zusammensetzung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keine anderen oder höheren Emissionen als bei der Verbrennung von Heizöl EL auftr</w:t>
      </w:r>
      <w:r w:rsidRPr="008F2F31">
        <w:rPr>
          <w:rFonts w:cs="Arial"/>
        </w:rPr>
        <w:t>e</w:t>
      </w:r>
      <w:r w:rsidRPr="008F2F31">
        <w:rPr>
          <w:rFonts w:cs="Arial"/>
        </w:rPr>
        <w:t>ten können.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(6) Die Emissionsgrenzwerte beziehen sich auf einen Volumengehalt an Sauerstoff im Abgas, wie er in A</w:t>
      </w:r>
      <w:r w:rsidRPr="008F2F31">
        <w:rPr>
          <w:rFonts w:cs="Arial"/>
        </w:rPr>
        <w:t>n</w:t>
      </w:r>
      <w:r w:rsidRPr="008F2F31">
        <w:rPr>
          <w:rFonts w:cs="Arial"/>
        </w:rPr>
        <w:t>hang</w:t>
      </w:r>
      <w:r w:rsidR="00DB6C61">
        <w:rPr>
          <w:rFonts w:cs="Arial"/>
        </w:rPr>
        <w:t xml:space="preserve"> </w:t>
      </w:r>
      <w:r w:rsidRPr="008F2F31">
        <w:rPr>
          <w:rFonts w:cs="Arial"/>
        </w:rPr>
        <w:t>II festgelegt oder nach dem in Anhang II vorgegebenen Verfahren ermittelt wurde.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(7) Werden gemischte Siedlungsabfälle mitverbrannt, gelten die Anforderungen der Absätze 1 bis 6, wen</w:t>
      </w:r>
      <w:r w:rsidRPr="008F2F31">
        <w:rPr>
          <w:rFonts w:cs="Arial"/>
        </w:rPr>
        <w:t>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die gemischten Siedlungsabfälle im erforderlichen Umfang dafür aufbereitet sind; für die Mitverbrennung von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unaufbereiteten gemischten Siedlungsabfällen gelten die Anforderungen nach § 5 Abs. 1. Eine Aufbereitu</w:t>
      </w:r>
      <w:r w:rsidRPr="008F2F31">
        <w:rPr>
          <w:rFonts w:cs="Arial"/>
        </w:rPr>
        <w:t>n</w:t>
      </w:r>
      <w:r w:rsidRPr="008F2F31">
        <w:rPr>
          <w:rFonts w:cs="Arial"/>
        </w:rPr>
        <w:t>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im erforderlichen Umfang liegt vor, wenn Maßnahmen ergriffen werden, die eine deutliche Reduzierung einer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Belastung mit anorganischen Schadstoffen, insbesondere mit Schwermetallen, bezwecken. Trocknen, Pre</w:t>
      </w:r>
      <w:r w:rsidRPr="008F2F31">
        <w:rPr>
          <w:rFonts w:cs="Arial"/>
        </w:rPr>
        <w:t>s</w:t>
      </w:r>
      <w:r w:rsidRPr="008F2F31">
        <w:rPr>
          <w:rFonts w:cs="Arial"/>
        </w:rPr>
        <w:t>sen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oder Mischen zählt dazu in der Regel nicht.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(8) Die zuständige Behörde hat die Emissionsgrenzwerte im Genehmigungsbescheid oder in einer nachträ</w:t>
      </w:r>
      <w:r w:rsidRPr="008F2F31">
        <w:rPr>
          <w:rFonts w:cs="Arial"/>
        </w:rPr>
        <w:t>g</w:t>
      </w:r>
      <w:r w:rsidRPr="008F2F31">
        <w:rPr>
          <w:rFonts w:cs="Arial"/>
        </w:rPr>
        <w:t>lichen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Anordnung festzusetzen.</w:t>
      </w:r>
    </w:p>
    <w:p w:rsidR="001469C7" w:rsidRPr="008F2F31" w:rsidRDefault="001469C7" w:rsidP="00520956">
      <w:pPr>
        <w:pStyle w:val="berschrift3"/>
      </w:pPr>
      <w:bookmarkStart w:id="10" w:name="_Toc462324053"/>
      <w:r w:rsidRPr="008F2F31">
        <w:t>§ 6</w:t>
      </w:r>
      <w:r w:rsidR="00520956">
        <w:br/>
      </w:r>
      <w:r w:rsidRPr="008F2F31">
        <w:t>Ableitungsbedingungen für Abgase</w:t>
      </w:r>
      <w:bookmarkEnd w:id="10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Die Abgase sind in kontrollierter Weise so abzuleiten, dass ein ungestörter Abtransport mit der freien Luf</w:t>
      </w:r>
      <w:r w:rsidRPr="008F2F31">
        <w:rPr>
          <w:rFonts w:cs="Arial"/>
        </w:rPr>
        <w:t>t</w:t>
      </w:r>
      <w:r w:rsidRPr="008F2F31">
        <w:rPr>
          <w:rFonts w:cs="Arial"/>
        </w:rPr>
        <w:t>strömung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ermöglicht wird. Zur Ermittlung der Ableitungshöhen sind die Anforderungen der TA Luft in der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jeweils geltenden Fassung zu berücksichtigen. Die näheren Bestimmungen sind in der Genehmigung festz</w:t>
      </w:r>
      <w:r w:rsidRPr="008F2F31">
        <w:rPr>
          <w:rFonts w:cs="Arial"/>
        </w:rPr>
        <w:t>u</w:t>
      </w:r>
      <w:r w:rsidRPr="008F2F31">
        <w:rPr>
          <w:rFonts w:cs="Arial"/>
        </w:rPr>
        <w:t>legen.</w:t>
      </w:r>
    </w:p>
    <w:p w:rsidR="001469C7" w:rsidRPr="008F2F31" w:rsidRDefault="001469C7" w:rsidP="00520956">
      <w:pPr>
        <w:pStyle w:val="berschrift3"/>
      </w:pPr>
      <w:bookmarkStart w:id="11" w:name="_Toc462324054"/>
      <w:r w:rsidRPr="008F2F31">
        <w:t>§ 7</w:t>
      </w:r>
      <w:r w:rsidR="00520956">
        <w:br/>
      </w:r>
      <w:r w:rsidRPr="008F2F31">
        <w:t>Behandlung der bei der Verbrennung und Mitverbrennung entstehenden Abfälle</w:t>
      </w:r>
      <w:bookmarkEnd w:id="11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Schlacken, Rostaschen, Filter- und Kesselstäube sowie Reaktionsprodukte und sonstige Abfälle der A</w:t>
      </w:r>
      <w:r w:rsidRPr="008F2F31">
        <w:rPr>
          <w:rFonts w:cs="Arial"/>
        </w:rPr>
        <w:t>b</w:t>
      </w:r>
      <w:r w:rsidRPr="008F2F31">
        <w:rPr>
          <w:rFonts w:cs="Arial"/>
        </w:rPr>
        <w:t>gasbehandlung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sind nach § 5 Abs. 1 Nr. 3 des Bundes-Immissionsschutzgesetzes in der Fassung der B</w:t>
      </w:r>
      <w:r w:rsidRPr="008F2F31">
        <w:rPr>
          <w:rFonts w:cs="Arial"/>
        </w:rPr>
        <w:t>e</w:t>
      </w:r>
      <w:r w:rsidRPr="008F2F31">
        <w:rPr>
          <w:rFonts w:cs="Arial"/>
        </w:rPr>
        <w:t>kanntmachung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vom 26. September 2002 (BGBl. I S. 3830) zu verwerten oder zu beseitigen. Soweit die Ve</w:t>
      </w:r>
      <w:r w:rsidRPr="008F2F31">
        <w:rPr>
          <w:rFonts w:cs="Arial"/>
        </w:rPr>
        <w:t>r</w:t>
      </w:r>
      <w:r w:rsidRPr="008F2F31">
        <w:rPr>
          <w:rFonts w:cs="Arial"/>
        </w:rPr>
        <w:t>wertung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technisch nicht möglich oder unzumutbar ist, sind sie ohne Beeinträchtigung des Wohls der Allg</w:t>
      </w:r>
      <w:r w:rsidRPr="008F2F31">
        <w:rPr>
          <w:rFonts w:cs="Arial"/>
        </w:rPr>
        <w:t>e</w:t>
      </w:r>
      <w:r w:rsidRPr="008F2F31">
        <w:rPr>
          <w:rFonts w:cs="Arial"/>
        </w:rPr>
        <w:t>meinheit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zu beseitigen.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Filter- und Kesselstäube, die bei der Abgasentstaubung sowie bei der Reinigung von Kesseln, Heizfl</w:t>
      </w:r>
      <w:r w:rsidRPr="008F2F31">
        <w:rPr>
          <w:rFonts w:cs="Arial"/>
        </w:rPr>
        <w:t>ä</w:t>
      </w:r>
      <w:r w:rsidRPr="008F2F31">
        <w:rPr>
          <w:rFonts w:cs="Arial"/>
        </w:rPr>
        <w:t>chen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und Abgaszügen anfallen, sind getrennt von anderen festen Abfällen zu erfassen. Satz 1 gilt nicht f</w:t>
      </w:r>
      <w:r w:rsidRPr="008F2F31">
        <w:rPr>
          <w:rFonts w:cs="Arial"/>
        </w:rPr>
        <w:t>ü</w:t>
      </w:r>
      <w:r w:rsidRPr="008F2F31">
        <w:rPr>
          <w:rFonts w:cs="Arial"/>
        </w:rPr>
        <w:t>r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Anlagen mit einer Wirbelschichtfeuerung.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Soweit es zur Erfüllung der Pflichten nach Absatz 1 erforderlich ist, sind die Bestandteile an organisch</w:t>
      </w:r>
      <w:r w:rsidRPr="008F2F31">
        <w:rPr>
          <w:rFonts w:cs="Arial"/>
        </w:rPr>
        <w:t>e</w:t>
      </w:r>
      <w:r w:rsidRPr="008F2F31">
        <w:rPr>
          <w:rFonts w:cs="Arial"/>
        </w:rPr>
        <w:t>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und löslichen Stoffen in den Abfällen und sonstigen Stoffen zu vermindern.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Die Förder- und Lagersysteme für schadstoffhaltige, staubförmige Abfälle sind so auszulegen und zu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betreiben, dass hiervon keine relevanten diffusen Emissionen ausgehen können. Dies gilt besonders hi</w:t>
      </w:r>
      <w:r w:rsidRPr="008F2F31">
        <w:rPr>
          <w:rFonts w:cs="Arial"/>
        </w:rPr>
        <w:t>n</w:t>
      </w:r>
      <w:r w:rsidRPr="008F2F31">
        <w:rPr>
          <w:rFonts w:cs="Arial"/>
        </w:rPr>
        <w:t>sichtlich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notwendiger Wartungs- und Reparaturarbeiten an verschleißanfälligen Anlagenteilen. Trockene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Filter- und Kesselstäube sowie Reaktionsprodukte der Abgasbehandlung und trocken abgezogene Schl</w:t>
      </w:r>
      <w:r w:rsidRPr="008F2F31">
        <w:rPr>
          <w:rFonts w:cs="Arial"/>
        </w:rPr>
        <w:t>a</w:t>
      </w:r>
      <w:r w:rsidRPr="008F2F31">
        <w:rPr>
          <w:rFonts w:cs="Arial"/>
        </w:rPr>
        <w:t>cken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sind in geschlossenen Behältnissen zu befördern oder zwischenzulagern.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Vor der Festlegung der Verfahren für die Verwertung oder Beseitigung der bei der Verbrennung oder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Mitverbrennung entstehenden Abfälle, insbesondere der Schlacken, Rostaschen und der Filter- und Kesse</w:t>
      </w:r>
      <w:r w:rsidRPr="008F2F31">
        <w:rPr>
          <w:rFonts w:cs="Arial"/>
        </w:rPr>
        <w:t>l</w:t>
      </w:r>
      <w:r w:rsidRPr="008F2F31">
        <w:rPr>
          <w:rFonts w:cs="Arial"/>
        </w:rPr>
        <w:t>stäube,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sind ihre physikalischen und chemischen Eigenschaften und deren Gehalt an schädlichen Verunre</w:t>
      </w:r>
      <w:r w:rsidRPr="008F2F31">
        <w:rPr>
          <w:rFonts w:cs="Arial"/>
        </w:rPr>
        <w:t>i</w:t>
      </w:r>
      <w:r w:rsidRPr="008F2F31">
        <w:rPr>
          <w:rFonts w:cs="Arial"/>
        </w:rPr>
        <w:t>nigungen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durch geeignete Analysen zu ermitteln. Die Analysen betreffen insbesondere den löslichen Teil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und die Schwermetalle im löslichen und unlöslichen Teil.</w:t>
      </w:r>
    </w:p>
    <w:p w:rsidR="001469C7" w:rsidRPr="008F2F31" w:rsidRDefault="001469C7" w:rsidP="00520956">
      <w:pPr>
        <w:pStyle w:val="berschrift3"/>
      </w:pPr>
      <w:bookmarkStart w:id="12" w:name="_Toc462324055"/>
      <w:r w:rsidRPr="008F2F31">
        <w:t>§ 8</w:t>
      </w:r>
      <w:r w:rsidR="00520956">
        <w:br/>
      </w:r>
      <w:r w:rsidRPr="008F2F31">
        <w:t>Wärmenutzung</w:t>
      </w:r>
      <w:bookmarkEnd w:id="12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In Verbrennungs- oder Mitverbrennungsanlagen ist entstehende Wärme, die nicht an Dritte abgegeben wird,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in Anlagen des Betreibers zu nutzen, soweit dies nach Art und Standort der Anlage technisch möglich un</w:t>
      </w:r>
      <w:r w:rsidRPr="008F2F31">
        <w:rPr>
          <w:rFonts w:cs="Arial"/>
        </w:rPr>
        <w:t>d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zumutbar ist. Soweit aus entstehender Wärme, die nicht an Dritte abgegeben wird oder die nicht in Anlage</w:t>
      </w:r>
      <w:r w:rsidRPr="008F2F31">
        <w:rPr>
          <w:rFonts w:cs="Arial"/>
        </w:rPr>
        <w:t>n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des Betreibers genutzt wird, eine elektrische Klemmenleistung von mehr als 0,5 Megawatt erzeugbar ist, ist</w:t>
      </w:r>
      <w:r w:rsidR="00520956">
        <w:rPr>
          <w:rFonts w:cs="Arial"/>
        </w:rPr>
        <w:t xml:space="preserve"> </w:t>
      </w:r>
      <w:r w:rsidRPr="008F2F31">
        <w:rPr>
          <w:rFonts w:cs="Arial"/>
        </w:rPr>
        <w:t>elektrische Energie zu erzeugen.</w:t>
      </w:r>
    </w:p>
    <w:p w:rsidR="001469C7" w:rsidRPr="008F2F31" w:rsidRDefault="001469C7" w:rsidP="00520956">
      <w:pPr>
        <w:pStyle w:val="berschrift2"/>
      </w:pPr>
      <w:bookmarkStart w:id="13" w:name="_Toc462324056"/>
      <w:r w:rsidRPr="008F2F31">
        <w:lastRenderedPageBreak/>
        <w:t>Dritter Teil</w:t>
      </w:r>
      <w:r w:rsidR="00520956">
        <w:br/>
      </w:r>
      <w:r w:rsidRPr="008F2F31">
        <w:t>Messung und Überwachung</w:t>
      </w:r>
      <w:bookmarkEnd w:id="13"/>
    </w:p>
    <w:p w:rsidR="001469C7" w:rsidRPr="008F2F31" w:rsidRDefault="001469C7" w:rsidP="00520956">
      <w:pPr>
        <w:pStyle w:val="berschrift3"/>
      </w:pPr>
      <w:bookmarkStart w:id="14" w:name="_Toc462324057"/>
      <w:r w:rsidRPr="008F2F31">
        <w:t>§ 9</w:t>
      </w:r>
      <w:r w:rsidR="00520956">
        <w:br/>
      </w:r>
      <w:r w:rsidRPr="008F2F31">
        <w:t>Messplätze</w:t>
      </w:r>
      <w:bookmarkEnd w:id="14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Für die Messung sind nach näherer Bestimmung der zuständigen Behörde Messplätze einzurichten; dies</w:t>
      </w:r>
      <w:r w:rsidRPr="008F2F31">
        <w:rPr>
          <w:rFonts w:cs="Arial"/>
        </w:rPr>
        <w:t>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sollen ausreichend groß, leicht begehbar und so beschaffen sein sowie so ausgewählt werden, dass repr</w:t>
      </w:r>
      <w:r w:rsidRPr="008F2F31">
        <w:rPr>
          <w:rFonts w:cs="Arial"/>
        </w:rPr>
        <w:t>ä</w:t>
      </w:r>
      <w:r w:rsidRPr="008F2F31">
        <w:rPr>
          <w:rFonts w:cs="Arial"/>
        </w:rPr>
        <w:t>sentative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und einwandfreie Messungen gewährleistet sind.</w:t>
      </w:r>
    </w:p>
    <w:p w:rsidR="001469C7" w:rsidRPr="008F2F31" w:rsidRDefault="001469C7" w:rsidP="00963591">
      <w:pPr>
        <w:pStyle w:val="berschrift3"/>
      </w:pPr>
      <w:bookmarkStart w:id="15" w:name="_Toc462324058"/>
      <w:r w:rsidRPr="008F2F31">
        <w:t>§ 10</w:t>
      </w:r>
      <w:r w:rsidR="00963591">
        <w:br/>
      </w:r>
      <w:r w:rsidRPr="008F2F31">
        <w:t>Messverfahren und Messeinrichtungen</w:t>
      </w:r>
      <w:bookmarkEnd w:id="15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Für Messungen zur Feststellung der Emissionen oder der Verbrennungsbedingungen sowie zur Ermit</w:t>
      </w:r>
      <w:r w:rsidRPr="008F2F31">
        <w:rPr>
          <w:rFonts w:cs="Arial"/>
        </w:rPr>
        <w:t>t</w:t>
      </w:r>
      <w:r w:rsidRPr="008F2F31">
        <w:rPr>
          <w:rFonts w:cs="Arial"/>
        </w:rPr>
        <w:t>lung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der Bezugs- oder Betriebsgrößen sind die dem Stand der Messtechnik entsprechenden Messverfahr</w:t>
      </w:r>
      <w:r w:rsidRPr="008F2F31">
        <w:rPr>
          <w:rFonts w:cs="Arial"/>
        </w:rPr>
        <w:t>e</w:t>
      </w:r>
      <w:r w:rsidRPr="008F2F31">
        <w:rPr>
          <w:rFonts w:cs="Arial"/>
        </w:rPr>
        <w:t>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und geeigneten Messeinrichtungen gemäß Anhang III Nr. 1 und 2 nach näherer Bestimmung der zuständ</w:t>
      </w:r>
      <w:r w:rsidRPr="008F2F31">
        <w:rPr>
          <w:rFonts w:cs="Arial"/>
        </w:rPr>
        <w:t>i</w:t>
      </w:r>
      <w:r w:rsidRPr="008F2F31">
        <w:rPr>
          <w:rFonts w:cs="Arial"/>
        </w:rPr>
        <w:t>gen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Behörde anzuwenden oder zu verwenden.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Über den ordnungsgemäßen Einbau von Messeinrichtungen zur kontinuierlichen Überwachung ist durch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den Betreiber vor der Inbetriebnahme der Verbrennungs- oder Mitverbrennungsanlage eine Bescheinigu</w:t>
      </w:r>
      <w:r w:rsidRPr="008F2F31">
        <w:rPr>
          <w:rFonts w:cs="Arial"/>
        </w:rPr>
        <w:t>n</w:t>
      </w:r>
      <w:r w:rsidRPr="008F2F31">
        <w:rPr>
          <w:rFonts w:cs="Arial"/>
        </w:rPr>
        <w:t>g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einer von der zuständigen obersten Landesbehörde oder der nach Landesrecht bestimmten Behörde für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K</w:t>
      </w:r>
      <w:r w:rsidRPr="008F2F31">
        <w:rPr>
          <w:rFonts w:cs="Arial"/>
        </w:rPr>
        <w:t>a</w:t>
      </w:r>
      <w:r w:rsidRPr="008F2F31">
        <w:rPr>
          <w:rFonts w:cs="Arial"/>
        </w:rPr>
        <w:t>librierungen bekannt gegebenen Stelle vorzulegen.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Der Betreiber hat Messeinrichtungen, die zur kontinuierlichen Feststellung der Emissionen eingesetz</w:t>
      </w:r>
      <w:r w:rsidRPr="008F2F31">
        <w:rPr>
          <w:rFonts w:cs="Arial"/>
        </w:rPr>
        <w:t>t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werden, durch eine von der zuständigen obersten Landesbehörde bekannt gegebene Stelle kalibrieren und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jährlich einmal auf Funktionsfähigkeit prüfen zu lassen; die Kalibrierung ist nach einer wesentlichen Änd</w:t>
      </w:r>
      <w:r w:rsidRPr="008F2F31">
        <w:rPr>
          <w:rFonts w:cs="Arial"/>
        </w:rPr>
        <w:t>e</w:t>
      </w:r>
      <w:r w:rsidRPr="008F2F31">
        <w:rPr>
          <w:rFonts w:cs="Arial"/>
        </w:rPr>
        <w:t>rung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der Anlage, im Übrigen im Abstand von drei Jahren zu wiederholen. Die Berichte über das Ergebnis der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Kalibrierung und der Prüfung der Funktionsfähigkeit sind der zuständigen Behörde innerhalb von zwölf W</w:t>
      </w:r>
      <w:r w:rsidRPr="008F2F31">
        <w:rPr>
          <w:rFonts w:cs="Arial"/>
        </w:rPr>
        <w:t>o</w:t>
      </w:r>
      <w:r w:rsidRPr="008F2F31">
        <w:rPr>
          <w:rFonts w:cs="Arial"/>
        </w:rPr>
        <w:t>chen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nach Kalibrierung und Prüfung vorzulegen.</w:t>
      </w:r>
    </w:p>
    <w:p w:rsidR="001469C7" w:rsidRPr="008F2F31" w:rsidRDefault="001469C7" w:rsidP="00963591">
      <w:pPr>
        <w:pStyle w:val="berschrift3"/>
      </w:pPr>
      <w:bookmarkStart w:id="16" w:name="_Toc462324059"/>
      <w:r w:rsidRPr="008F2F31">
        <w:t>§ 11</w:t>
      </w:r>
      <w:r w:rsidR="00963591">
        <w:br/>
      </w:r>
      <w:r w:rsidRPr="008F2F31">
        <w:t>Kontinuierliche Messungen</w:t>
      </w:r>
      <w:bookmarkEnd w:id="16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Der Betreiber hat unter Berücksichtigung der Anforderungen gemäß Anhang III</w:t>
      </w:r>
    </w:p>
    <w:p w:rsidR="001469C7" w:rsidRPr="008F2F31" w:rsidRDefault="001469C7" w:rsidP="00963591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1.</w:t>
      </w:r>
      <w:r w:rsidR="00963591">
        <w:rPr>
          <w:rFonts w:cs="Arial"/>
        </w:rPr>
        <w:tab/>
      </w:r>
      <w:r w:rsidRPr="008F2F31">
        <w:rPr>
          <w:rFonts w:cs="Arial"/>
        </w:rPr>
        <w:t>die Massenkonzentration der Emissionen nach § 5 Abs. 1 Nr. 1 und 2 sowie der Nummer II.1.1, II.1.2,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II.1.3, II.2.1 bis II.2.6 sowie II.3.1 und II.3.2 gemäß Anhang II,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2.</w:t>
      </w:r>
      <w:r w:rsidR="00963591">
        <w:rPr>
          <w:rFonts w:cs="Arial"/>
        </w:rPr>
        <w:tab/>
      </w:r>
      <w:r w:rsidRPr="008F2F31">
        <w:rPr>
          <w:rFonts w:cs="Arial"/>
        </w:rPr>
        <w:t>den Volumengehalt an Sauerstoff im Abgas,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3.</w:t>
      </w:r>
      <w:r w:rsidR="00963591">
        <w:rPr>
          <w:rFonts w:cs="Arial"/>
        </w:rPr>
        <w:tab/>
      </w:r>
      <w:r w:rsidRPr="008F2F31">
        <w:rPr>
          <w:rFonts w:cs="Arial"/>
        </w:rPr>
        <w:t>die Temperaturen nach § 4 Abs. 2 oder 3 sowie Abs. 6 oder 7 und</w:t>
      </w:r>
    </w:p>
    <w:p w:rsidR="001469C7" w:rsidRPr="008F2F31" w:rsidRDefault="001469C7" w:rsidP="00963591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4.</w:t>
      </w:r>
      <w:r w:rsidR="00963591">
        <w:rPr>
          <w:rFonts w:cs="Arial"/>
        </w:rPr>
        <w:tab/>
      </w:r>
      <w:r w:rsidRPr="008F2F31">
        <w:rPr>
          <w:rFonts w:cs="Arial"/>
        </w:rPr>
        <w:t>die zur Beurteilung des ordnungsgemäßen Betriebs erforderlichen Betriebsgrößen, insbesondere A</w:t>
      </w:r>
      <w:r w:rsidRPr="008F2F31">
        <w:rPr>
          <w:rFonts w:cs="Arial"/>
        </w:rPr>
        <w:t>b</w:t>
      </w:r>
      <w:r w:rsidRPr="008F2F31">
        <w:rPr>
          <w:rFonts w:cs="Arial"/>
        </w:rPr>
        <w:t>gastemperatur,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Abgasvolumen, Feuchtegehalt und Druck,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kontinuierlich zu ermitteln, zu registrieren und auszuwerten. Die Verbrennungs- oder Mitverbrennungsanl</w:t>
      </w:r>
      <w:r w:rsidRPr="008F2F31">
        <w:rPr>
          <w:rFonts w:cs="Arial"/>
        </w:rPr>
        <w:t>a</w:t>
      </w:r>
      <w:r w:rsidRPr="008F2F31">
        <w:rPr>
          <w:rFonts w:cs="Arial"/>
        </w:rPr>
        <w:t>gen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sind hierzu vor Inbetriebnahme mit geeigneten Messeinrichtungen und Messwertrechnern auszurü</w:t>
      </w:r>
      <w:r w:rsidRPr="008F2F31">
        <w:rPr>
          <w:rFonts w:cs="Arial"/>
        </w:rPr>
        <w:t>s</w:t>
      </w:r>
      <w:r w:rsidRPr="008F2F31">
        <w:rPr>
          <w:rFonts w:cs="Arial"/>
        </w:rPr>
        <w:t>ten.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Satz 1 Nr. 1 in Verbindung mit Satz 2 gilt nicht, soweit Emissionen einzelner Stoffe nach § 5 Abs. 1 Nr. 1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oder nach Nummer II.1.1, II.1.3, II.2.1 bis II.2.5 sowie II.3.1 nach Anhang II nachweislich auszuschließen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oder allenfalls in geringen Konzentrationen zu erwarten sind und insoweit Ausnahmen durch die zuständ</w:t>
      </w:r>
      <w:r w:rsidRPr="008F2F31">
        <w:rPr>
          <w:rFonts w:cs="Arial"/>
        </w:rPr>
        <w:t>i</w:t>
      </w:r>
      <w:r w:rsidRPr="008F2F31">
        <w:rPr>
          <w:rFonts w:cs="Arial"/>
        </w:rPr>
        <w:t>ge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Behörde erteilt wurden. Messeinrichtungen für den Feuchtegehalt sind nicht notwendig, soweit das Abgas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vor der Ermittlung der Massenkonzentration der Emissionen getrocknet wird.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Ergibt sich auf Grund der eingesetzten Abfälle oder Stoffe nach § 1 Abs. 1, der Bauart, der Betriebswe</w:t>
      </w:r>
      <w:r w:rsidRPr="008F2F31">
        <w:rPr>
          <w:rFonts w:cs="Arial"/>
        </w:rPr>
        <w:t>i</w:t>
      </w:r>
      <w:r w:rsidRPr="008F2F31">
        <w:rPr>
          <w:rFonts w:cs="Arial"/>
        </w:rPr>
        <w:t>se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oder von Einzelmessungen, dass der Anteil des Stickstoffdioxids an den Stickstoffoxidemissionen unter 10</w:t>
      </w:r>
      <w:r w:rsidR="00963591">
        <w:rPr>
          <w:rFonts w:cs="Arial"/>
        </w:rPr>
        <w:t> </w:t>
      </w:r>
      <w:r w:rsidRPr="008F2F31">
        <w:rPr>
          <w:rFonts w:cs="Arial"/>
        </w:rPr>
        <w:t>vom Hundert liegt, soll die zuständige Behörde auf die kontinuierliche Messung des Stickstoffdioxids ve</w:t>
      </w:r>
      <w:r w:rsidRPr="008F2F31">
        <w:rPr>
          <w:rFonts w:cs="Arial"/>
        </w:rPr>
        <w:t>r</w:t>
      </w:r>
      <w:r w:rsidRPr="008F2F31">
        <w:rPr>
          <w:rFonts w:cs="Arial"/>
        </w:rPr>
        <w:t>zichten und die Bestimmung des Anteils durch Berechnung zulassen. Das Vorliegen der vorgenannten V</w:t>
      </w:r>
      <w:r w:rsidRPr="008F2F31">
        <w:rPr>
          <w:rFonts w:cs="Arial"/>
        </w:rPr>
        <w:t>o</w:t>
      </w:r>
      <w:r w:rsidRPr="008F2F31">
        <w:rPr>
          <w:rFonts w:cs="Arial"/>
        </w:rPr>
        <w:t>raussetzung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ist jeweils bei der Kalibrierung nachzuweisen. Ergibt sich auf Grund der Bauart und Betrieb</w:t>
      </w:r>
      <w:r w:rsidRPr="008F2F31">
        <w:rPr>
          <w:rFonts w:cs="Arial"/>
        </w:rPr>
        <w:t>s</w:t>
      </w:r>
      <w:r w:rsidRPr="008F2F31">
        <w:rPr>
          <w:rFonts w:cs="Arial"/>
        </w:rPr>
        <w:t>weise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von Nass-Rauchgasentschwefelungsanlagen infolge des Sättigungszustandes des Rauchgases und der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konstanten Rauchgastemperatur, dass der Feuchtegehalt im Rauchgas an der Messstelle einen ko</w:t>
      </w:r>
      <w:r w:rsidRPr="008F2F31">
        <w:rPr>
          <w:rFonts w:cs="Arial"/>
        </w:rPr>
        <w:t>n</w:t>
      </w:r>
      <w:r w:rsidRPr="008F2F31">
        <w:rPr>
          <w:rFonts w:cs="Arial"/>
        </w:rPr>
        <w:t>stanten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Wert annimmt, soll die zuständige Behörde auf die kontinuierliche Messung des Feuchtegehalts verzicht</w:t>
      </w:r>
      <w:r w:rsidRPr="008F2F31">
        <w:rPr>
          <w:rFonts w:cs="Arial"/>
        </w:rPr>
        <w:t>e</w:t>
      </w:r>
      <w:r w:rsidRPr="008F2F31">
        <w:rPr>
          <w:rFonts w:cs="Arial"/>
        </w:rPr>
        <w:t>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und die Verwendung des in Einzelmessungen ermittelten Wertes zulassen. Das Vorliegen der vorgenan</w:t>
      </w:r>
      <w:r w:rsidRPr="008F2F31">
        <w:rPr>
          <w:rFonts w:cs="Arial"/>
        </w:rPr>
        <w:t>n</w:t>
      </w:r>
      <w:r w:rsidRPr="008F2F31">
        <w:rPr>
          <w:rFonts w:cs="Arial"/>
        </w:rPr>
        <w:t>ten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Voraussetzung ist zusammen mit den nach § 10 Abs. 3 stattfindenden Kalibrierungen vom Betreiber nachzuweisen.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Für Quecksilber und seine Verbindungen, angegeben als Quecksilber, soll die z</w:t>
      </w:r>
      <w:r w:rsidRPr="008F2F31">
        <w:rPr>
          <w:rFonts w:cs="Arial"/>
        </w:rPr>
        <w:t>u</w:t>
      </w:r>
      <w:r w:rsidRPr="008F2F31">
        <w:rPr>
          <w:rFonts w:cs="Arial"/>
        </w:rPr>
        <w:t>ständige Behö</w:t>
      </w:r>
      <w:r w:rsidRPr="008F2F31">
        <w:rPr>
          <w:rFonts w:cs="Arial"/>
        </w:rPr>
        <w:t>r</w:t>
      </w:r>
      <w:r w:rsidRPr="008F2F31">
        <w:rPr>
          <w:rFonts w:cs="Arial"/>
        </w:rPr>
        <w:t>de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auf Antrag auf die kontinuierliche Messung verzichten, wenn zuverlässig nachgewiesen ist, dass die Emissionsgrenzwerte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 xml:space="preserve">nach § 5 Abs. 1 Nr. 1 Buchstabe g und Nr. 2 Buchstabe g oder nach </w:t>
      </w:r>
      <w:r w:rsidRPr="008F2F31">
        <w:rPr>
          <w:rFonts w:cs="Arial"/>
        </w:rPr>
        <w:lastRenderedPageBreak/>
        <w:t>Nummer II.1.1,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II.1.2, II.2.5, II.2.6, II.3.1 und II.3.2 gemäß Anhang II nur zu weniger als 20 vom Hundert in Anspruch g</w:t>
      </w:r>
      <w:r w:rsidRPr="008F2F31">
        <w:rPr>
          <w:rFonts w:cs="Arial"/>
        </w:rPr>
        <w:t>e</w:t>
      </w:r>
      <w:r w:rsidRPr="008F2F31">
        <w:rPr>
          <w:rFonts w:cs="Arial"/>
        </w:rPr>
        <w:t>nommen</w:t>
      </w:r>
      <w:r w:rsidR="00963591">
        <w:rPr>
          <w:rFonts w:cs="Arial"/>
        </w:rPr>
        <w:t xml:space="preserve"> </w:t>
      </w:r>
      <w:r w:rsidRPr="008F2F31">
        <w:rPr>
          <w:rFonts w:cs="Arial"/>
        </w:rPr>
        <w:t>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Absatz 1 Satz 1 Nr. 1 findet auf gasförmige anorganische Fluorverbindungen keine Anwendung, wen</w:t>
      </w:r>
      <w:r w:rsidRPr="008F2F31">
        <w:rPr>
          <w:rFonts w:cs="Arial"/>
        </w:rPr>
        <w:t>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Reinigungsstufen für gasförmige anorganische Chlorverbindungen betrieben werden, die sicherstellen, dass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die Emissionsgrenzwerte nach § 5 Abs. 1 Nr. 1 Buchstabe c und Nr. 2 Buchstabe c oder nach Nummer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II.1.1, II.1.2, II.2.5, II.2.6, II.3.1 und II.3.2 gemäß Anhang II nicht überschritten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Die Verbrennungs- oder Mitverbrennungsanlagen sind mit Registriereinrichtungen auszurüsten, durch die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Verriegelungen oder Abschaltungen nach § 4 Abs. 5 registriert werden.</w:t>
      </w:r>
    </w:p>
    <w:p w:rsidR="00C94A69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(5) Der Betreiber hat auf Verlangen der zuständigen Behörde Massenkonzentrationen der Emissionen nach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§ 5 Abs. 1 Nr. 3 und 4 kontinuierlich zu messen, wenn geeignete Me</w:t>
      </w:r>
      <w:r w:rsidR="00C94A69">
        <w:rPr>
          <w:rFonts w:cs="Arial"/>
        </w:rPr>
        <w:t>sseinrichtungen verfügbar sind.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(6) Abweichend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von Absatz 1 Satz 1 Nr. 1 können die zuständigen Behörden auf Antrag des Betreibers Ei</w:t>
      </w:r>
      <w:r w:rsidRPr="008F2F31">
        <w:rPr>
          <w:rFonts w:cs="Arial"/>
        </w:rPr>
        <w:t>n</w:t>
      </w:r>
      <w:r w:rsidRPr="008F2F31">
        <w:rPr>
          <w:rFonts w:cs="Arial"/>
        </w:rPr>
        <w:t>zelmessungen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für HCl, HF, SO</w:t>
      </w:r>
      <w:r w:rsidRPr="00C94A69">
        <w:rPr>
          <w:rFonts w:cs="Arial"/>
          <w:vertAlign w:val="subscript"/>
        </w:rPr>
        <w:t>3</w:t>
      </w:r>
      <w:r w:rsidRPr="008F2F31">
        <w:rPr>
          <w:rFonts w:cs="Arial"/>
        </w:rPr>
        <w:t xml:space="preserve"> und SO</w:t>
      </w:r>
      <w:r w:rsidRPr="00C94A69">
        <w:rPr>
          <w:rFonts w:cs="Arial"/>
          <w:vertAlign w:val="subscript"/>
        </w:rPr>
        <w:t>2</w:t>
      </w:r>
      <w:r w:rsidRPr="008F2F31">
        <w:rPr>
          <w:rFonts w:cs="Arial"/>
        </w:rPr>
        <w:t xml:space="preserve"> zulassen, wenn durch den Betreiber sichergestellt ist, dass die Emissionen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dieser Schadstoffe nicht höher sind als die dafür festgelegten Emissionsgrenzwerte.</w:t>
      </w:r>
    </w:p>
    <w:p w:rsidR="001469C7" w:rsidRPr="008F2F31" w:rsidRDefault="001469C7" w:rsidP="00C94A69">
      <w:pPr>
        <w:pStyle w:val="berschrift3"/>
      </w:pPr>
      <w:bookmarkStart w:id="17" w:name="_Toc462324060"/>
      <w:r w:rsidRPr="008F2F31">
        <w:t>§ 12</w:t>
      </w:r>
      <w:r w:rsidR="00C94A69">
        <w:br/>
      </w:r>
      <w:r w:rsidRPr="008F2F31">
        <w:t>Auswertung und Beurteilung von kontinuierlichen Messungen</w:t>
      </w:r>
      <w:bookmarkEnd w:id="17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Während des Betriebs der Verbrennungs- oder Mitverbrennungsanlagen ist aus den Messwerten für jede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aufeinander folgende halbe Stunde der Halbstundenmittelwert zu bilden und auf den Bezugssauerstoffgeha</w:t>
      </w:r>
      <w:r w:rsidRPr="008F2F31">
        <w:rPr>
          <w:rFonts w:cs="Arial"/>
        </w:rPr>
        <w:t>l</w:t>
      </w:r>
      <w:r w:rsidRPr="008F2F31">
        <w:rPr>
          <w:rFonts w:cs="Arial"/>
        </w:rPr>
        <w:t>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umzurechnen. Für die Stoffe, deren Emissionen durch Abgasreinigungseinrichtungen gemindert und b</w:t>
      </w:r>
      <w:r w:rsidRPr="008F2F31">
        <w:rPr>
          <w:rFonts w:cs="Arial"/>
        </w:rPr>
        <w:t>e</w:t>
      </w:r>
      <w:r w:rsidRPr="008F2F31">
        <w:rPr>
          <w:rFonts w:cs="Arial"/>
        </w:rPr>
        <w:t>grenzt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werden, darf die Umrechnung der Messwerte nur für die Zeiten erfolgen, in denen der gemessen</w:t>
      </w:r>
      <w:r w:rsidRPr="008F2F31">
        <w:rPr>
          <w:rFonts w:cs="Arial"/>
        </w:rPr>
        <w:t>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Sauerstoffgehalt über dem Bezugssauerstoffgehalt liegt. Aus den Halbstundenmittelwerten ist für jeden Tag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der Tagesmittelwert, bezogen auf die tägliche Betriebszeit einschließlich der Anfahr- oder Abstellvorgä</w:t>
      </w:r>
      <w:r w:rsidRPr="008F2F31">
        <w:rPr>
          <w:rFonts w:cs="Arial"/>
        </w:rPr>
        <w:t>n</w:t>
      </w:r>
      <w:r w:rsidRPr="008F2F31">
        <w:rPr>
          <w:rFonts w:cs="Arial"/>
        </w:rPr>
        <w:t>ge,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zu bilden.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Über die Auswertung der kontinuierlichen Messungen hat der Betreiber einen Messbericht zu erstell</w:t>
      </w:r>
      <w:r w:rsidRPr="008F2F31">
        <w:rPr>
          <w:rFonts w:cs="Arial"/>
        </w:rPr>
        <w:t>e</w:t>
      </w:r>
      <w:r w:rsidRPr="008F2F31">
        <w:rPr>
          <w:rFonts w:cs="Arial"/>
        </w:rPr>
        <w:t>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und innerhalb von drei Monaten nach Ablauf eines jeden Kalenderjahres der zuständigen Behörde vorzul</w:t>
      </w:r>
      <w:r w:rsidRPr="008F2F31">
        <w:rPr>
          <w:rFonts w:cs="Arial"/>
        </w:rPr>
        <w:t>e</w:t>
      </w:r>
      <w:r w:rsidRPr="008F2F31">
        <w:rPr>
          <w:rFonts w:cs="Arial"/>
        </w:rPr>
        <w:t>gen.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Der Betreiber muss die Aufzeichnungen der Messgeräte fünf Jahre aufbewahren. Satz 1 gilt nicht, s</w:t>
      </w:r>
      <w:r w:rsidRPr="008F2F31">
        <w:rPr>
          <w:rFonts w:cs="Arial"/>
        </w:rPr>
        <w:t>o</w:t>
      </w:r>
      <w:r w:rsidRPr="008F2F31">
        <w:rPr>
          <w:rFonts w:cs="Arial"/>
        </w:rPr>
        <w:t>weit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die zuständige Behörde die telemetrische Übermittlung der Messergebnisse vorgeschrieben hat oder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der Betreiber sie eigenständig vornimmt.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Die Emissionsgrenzwerte sind eingehalten, wenn kein Tagesmittelwert nach § 5 Abs. 1 Nr. 1 oder nac</w:t>
      </w:r>
      <w:r w:rsidRPr="008F2F31">
        <w:rPr>
          <w:rFonts w:cs="Arial"/>
        </w:rPr>
        <w:t>h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Nummer II.1.1, II.1.3, II.2.1 bis II.2.5 sowie II.3.1 nach Anhang II und kein Halbstundenmittelwert nach § 5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Abs. 1 Nr. 2 oder nach Nummer II.1.2, II.1.3, II.2.4, II.2.6 sowie II.3.2 nach Anhang II überschritten wird.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Häufigkeit und Dauer einer Nichteinhaltung der Anforderungen nach § 4 Abs. 2 in Verbindung mit A</w:t>
      </w:r>
      <w:r w:rsidRPr="008F2F31">
        <w:rPr>
          <w:rFonts w:cs="Arial"/>
        </w:rPr>
        <w:t>b</w:t>
      </w:r>
      <w:r w:rsidRPr="008F2F31">
        <w:rPr>
          <w:rFonts w:cs="Arial"/>
        </w:rPr>
        <w:t>satz</w:t>
      </w:r>
      <w:r w:rsidR="00C94A69">
        <w:rPr>
          <w:rFonts w:cs="Arial"/>
        </w:rPr>
        <w:t> </w:t>
      </w:r>
      <w:r w:rsidRPr="008F2F31">
        <w:rPr>
          <w:rFonts w:cs="Arial"/>
        </w:rPr>
        <w:t>3 oder nach § 4 Abs. 6 in Verbindung mit Absatz 7 hat der Betreiber in den Messbericht nach Absatz 2 au</w:t>
      </w:r>
      <w:r w:rsidRPr="008F2F31">
        <w:rPr>
          <w:rFonts w:cs="Arial"/>
        </w:rPr>
        <w:t>f</w:t>
      </w:r>
      <w:r w:rsidRPr="008F2F31">
        <w:rPr>
          <w:rFonts w:cs="Arial"/>
        </w:rPr>
        <w:t>zunehmen.</w:t>
      </w:r>
    </w:p>
    <w:p w:rsidR="001469C7" w:rsidRPr="008F2F31" w:rsidRDefault="001469C7" w:rsidP="00C94A69">
      <w:pPr>
        <w:pStyle w:val="berschrift3"/>
      </w:pPr>
      <w:bookmarkStart w:id="18" w:name="_Toc462324061"/>
      <w:r w:rsidRPr="008F2F31">
        <w:t>§ 13</w:t>
      </w:r>
      <w:r w:rsidR="00C94A69">
        <w:br/>
      </w:r>
      <w:r w:rsidRPr="008F2F31">
        <w:t>Einzelmessungen</w:t>
      </w:r>
      <w:bookmarkEnd w:id="18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Der Betreiber hat nach Errichtung oder wesentlicher Änderung der Verbrennungs- oder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nungsanlagen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bei der Inbetriebnahme durch Messungen einer nach § 26 des Bundes-Immissionsschutzgesetzes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bekannt gegebenen Stelle überprüfen zu lassen, ob die Verbrennungsbedingu</w:t>
      </w:r>
      <w:r w:rsidRPr="008F2F31">
        <w:rPr>
          <w:rFonts w:cs="Arial"/>
        </w:rPr>
        <w:t>n</w:t>
      </w:r>
      <w:r w:rsidRPr="008F2F31">
        <w:rPr>
          <w:rFonts w:cs="Arial"/>
        </w:rPr>
        <w:t>gen nach § 4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Abs. 2 oder 3 oder nach § 4 Abs. 6 oder 7 erfüllt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Der Betreiber hat nach Errichtung oder wesentlicher Änderung der Verbrennungs- oder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nungsanlagen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Messungen einer nach § 26 des Bundes-Immissionsschutzgesetzes bekannt gegebenen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Stelle zur Feststellung, ob die Anforderungen nach § 5 Abs. 1 Nr. 3 und 4 oder – bei Vorliegen der Vorau</w:t>
      </w:r>
      <w:r w:rsidRPr="008F2F31">
        <w:rPr>
          <w:rFonts w:cs="Arial"/>
        </w:rPr>
        <w:t>s</w:t>
      </w:r>
      <w:r w:rsidRPr="008F2F31">
        <w:rPr>
          <w:rFonts w:cs="Arial"/>
        </w:rPr>
        <w:t>setzungen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nach § 11 Abs. 2 oder 6 – nach § 5 Abs. 1 Nr. 1 und 2 oder nach Nummer II.1.1, II.1.2, II.2.1 b</w:t>
      </w:r>
      <w:r w:rsidRPr="008F2F31">
        <w:rPr>
          <w:rFonts w:cs="Arial"/>
        </w:rPr>
        <w:t>i</w:t>
      </w:r>
      <w:r w:rsidRPr="008F2F31">
        <w:rPr>
          <w:rFonts w:cs="Arial"/>
        </w:rPr>
        <w:t>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II.2.6 sowie II.3.1 und II.3.2 nach Anhang II festgelegten Anforderungen erfüllt werden, durchführen zu la</w:t>
      </w:r>
      <w:r w:rsidRPr="008F2F31">
        <w:rPr>
          <w:rFonts w:cs="Arial"/>
        </w:rPr>
        <w:t>s</w:t>
      </w:r>
      <w:r w:rsidRPr="008F2F31">
        <w:rPr>
          <w:rFonts w:cs="Arial"/>
        </w:rPr>
        <w:t>sen.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Die Messungen sind im Zeitraum von zwölf Monaten nach Inbetriebnahme alle zwei Monate minde</w:t>
      </w:r>
      <w:r w:rsidRPr="008F2F31">
        <w:rPr>
          <w:rFonts w:cs="Arial"/>
        </w:rPr>
        <w:t>s</w:t>
      </w:r>
      <w:r w:rsidRPr="008F2F31">
        <w:rPr>
          <w:rFonts w:cs="Arial"/>
        </w:rPr>
        <w:t>tens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an einem Tag und anschließend wiederkehrend spätestens alle zwölf Monate mindestens an drei T</w:t>
      </w:r>
      <w:r w:rsidRPr="008F2F31">
        <w:rPr>
          <w:rFonts w:cs="Arial"/>
        </w:rPr>
        <w:t>a</w:t>
      </w:r>
      <w:r w:rsidRPr="008F2F31">
        <w:rPr>
          <w:rFonts w:cs="Arial"/>
        </w:rPr>
        <w:t>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durchführen zu lassen. Diese sollen vorgenommen werden, wenn die Anlagen mit der höchsten Lei</w:t>
      </w:r>
      <w:r w:rsidRPr="008F2F31">
        <w:rPr>
          <w:rFonts w:cs="Arial"/>
        </w:rPr>
        <w:t>s</w:t>
      </w:r>
      <w:r w:rsidRPr="008F2F31">
        <w:rPr>
          <w:rFonts w:cs="Arial"/>
        </w:rPr>
        <w:t>tung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betrieben werden, für die sie bei den während der Messung verwendeten Abfällen oder Stoffen nach §</w:t>
      </w:r>
      <w:r w:rsidR="00C94A69">
        <w:rPr>
          <w:rFonts w:cs="Arial"/>
        </w:rPr>
        <w:t> </w:t>
      </w:r>
      <w:r w:rsidRPr="008F2F31">
        <w:rPr>
          <w:rFonts w:cs="Arial"/>
        </w:rPr>
        <w:t>1 Abs. 1 für den Dauerbetrieb zugelassen sind.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(2a) Im Fall einer wesentlichen Änderung sind die Messungen gemäß der Absätze 1 und 2 nicht erforde</w:t>
      </w:r>
      <w:r w:rsidRPr="008F2F31">
        <w:rPr>
          <w:rFonts w:cs="Arial"/>
        </w:rPr>
        <w:t>r</w:t>
      </w:r>
      <w:r w:rsidRPr="008F2F31">
        <w:rPr>
          <w:rFonts w:cs="Arial"/>
        </w:rPr>
        <w:t>lich,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wenn der Betreiber einer bestehenden Verbrennungs- oder Mitverbrennungsanlage gegenüber der zustä</w:t>
      </w:r>
      <w:r w:rsidRPr="008F2F31">
        <w:rPr>
          <w:rFonts w:cs="Arial"/>
        </w:rPr>
        <w:t>n</w:t>
      </w:r>
      <w:r w:rsidRPr="008F2F31">
        <w:rPr>
          <w:rFonts w:cs="Arial"/>
        </w:rPr>
        <w:t>digen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Behörde belegt, dass die durchgeführten Maßnahmen keine oder offensichtlich geringe Auswirkung</w:t>
      </w:r>
      <w:r w:rsidRPr="008F2F31">
        <w:rPr>
          <w:rFonts w:cs="Arial"/>
        </w:rPr>
        <w:t>e</w:t>
      </w:r>
      <w:r w:rsidRPr="008F2F31">
        <w:rPr>
          <w:rFonts w:cs="Arial"/>
        </w:rPr>
        <w:t>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auf die Verbrennungsbedingungen und auf die Emissionen haben.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Für die Messungen zur Bestimmung der Stoffe nach § 5 Abs. 1</w:t>
      </w:r>
    </w:p>
    <w:p w:rsidR="001469C7" w:rsidRPr="008F2F31" w:rsidRDefault="001469C7" w:rsidP="00C94A69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lastRenderedPageBreak/>
        <w:t>1.</w:t>
      </w:r>
      <w:r w:rsidR="00C94A69">
        <w:rPr>
          <w:rFonts w:cs="Arial"/>
        </w:rPr>
        <w:tab/>
      </w:r>
      <w:r w:rsidRPr="008F2F31">
        <w:rPr>
          <w:rFonts w:cs="Arial"/>
        </w:rPr>
        <w:t>Nummer 3 mit Ausnahme von Benzo(a)pyren beträgt die Probenahmezeit mindestens eine halbe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Stu</w:t>
      </w:r>
      <w:r w:rsidRPr="008F2F31">
        <w:rPr>
          <w:rFonts w:cs="Arial"/>
        </w:rPr>
        <w:t>n</w:t>
      </w:r>
      <w:r w:rsidRPr="008F2F31">
        <w:rPr>
          <w:rFonts w:cs="Arial"/>
        </w:rPr>
        <w:t>de; sie soll zwei Stunden nicht überschreiten,</w:t>
      </w:r>
    </w:p>
    <w:p w:rsidR="001469C7" w:rsidRPr="008F2F31" w:rsidRDefault="001469C7" w:rsidP="00C94A69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2.</w:t>
      </w:r>
      <w:r w:rsidR="00C94A69">
        <w:rPr>
          <w:rFonts w:cs="Arial"/>
        </w:rPr>
        <w:tab/>
      </w:r>
      <w:r w:rsidRPr="008F2F31">
        <w:rPr>
          <w:rFonts w:cs="Arial"/>
        </w:rPr>
        <w:t>Nummer 4 einschließlich Benzo(a)pyren beträgt die Probenahmezeit mindestens sechs Stunden; sie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soll acht Stunden nicht überschreiten.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Für die im Anhang I genannten Stoffe soll die Nachweisgrenze des eingesetzten Analyseverfahrens nicht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ü</w:t>
      </w:r>
      <w:r w:rsidRPr="008F2F31">
        <w:rPr>
          <w:rFonts w:cs="Arial"/>
        </w:rPr>
        <w:t>ber 0,005 Nanogramm je Kubikmeter Abgas liegen.</w:t>
      </w:r>
    </w:p>
    <w:p w:rsidR="001469C7" w:rsidRPr="008F2F31" w:rsidRDefault="001469C7" w:rsidP="00C94A69">
      <w:pPr>
        <w:pStyle w:val="berschrift3"/>
      </w:pPr>
      <w:bookmarkStart w:id="19" w:name="_Toc462324062"/>
      <w:r w:rsidRPr="008F2F31">
        <w:t>§ 14</w:t>
      </w:r>
      <w:r w:rsidR="00C94A69">
        <w:br/>
      </w:r>
      <w:r w:rsidRPr="008F2F31">
        <w:t>Berichte und Beurteilung von Einzelmessungen</w:t>
      </w:r>
      <w:bookmarkEnd w:id="19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Über die Ergebnisse der Messungen nach § 13 ist ein Messbericht zu erstellen und vom Betreiber de</w:t>
      </w:r>
      <w:r w:rsidRPr="008F2F31">
        <w:rPr>
          <w:rFonts w:cs="Arial"/>
        </w:rPr>
        <w:t>r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zuständigen Behörde spätestens acht Wochen nach den Messungen vorzulegen. Der Messbericht muss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</w:t>
      </w:r>
      <w:r w:rsidRPr="008F2F31">
        <w:rPr>
          <w:rFonts w:cs="Arial"/>
        </w:rPr>
        <w:t>n</w:t>
      </w:r>
      <w:r w:rsidRPr="008F2F31">
        <w:rPr>
          <w:rFonts w:cs="Arial"/>
        </w:rPr>
        <w:t>gaben über die Messplanung, das Ergebnis jeder Einzelmessung, das verwendete Messverfahren und die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Betriebsbedingungen, die für die Beurteilung der Messergebnisse von Bedeutung sind, enthalten.</w:t>
      </w:r>
    </w:p>
    <w:p w:rsidR="001469C7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Die Emissionsgrenzwerte gelten als eingehalten, wenn kein Ergebnis einer Einzelmessung einen Mitte</w:t>
      </w:r>
      <w:r w:rsidRPr="008F2F31">
        <w:rPr>
          <w:rFonts w:cs="Arial"/>
        </w:rPr>
        <w:t>l</w:t>
      </w:r>
      <w:r w:rsidRPr="008F2F31">
        <w:rPr>
          <w:rFonts w:cs="Arial"/>
        </w:rPr>
        <w:t>wert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nach § 5 Abs. 1 oder gemäß Anhang II überschreitet.</w:t>
      </w:r>
    </w:p>
    <w:p w:rsidR="00ED35EB" w:rsidRPr="00ED35EB" w:rsidRDefault="00ED35EB" w:rsidP="0091076C">
      <w:pPr>
        <w:pStyle w:val="berschrift3"/>
      </w:pPr>
      <w:bookmarkStart w:id="20" w:name="_Toc462324063"/>
      <w:r w:rsidRPr="00ED35EB">
        <w:t>§ 14a</w:t>
      </w:r>
      <w:r>
        <w:br/>
      </w:r>
      <w:r w:rsidRPr="00ED35EB">
        <w:t>Ermittlung der Jahresmittelwerte,</w:t>
      </w:r>
      <w:r>
        <w:t xml:space="preserve"> </w:t>
      </w:r>
      <w:r w:rsidRPr="00ED35EB">
        <w:t>Überwachung und Berichterstattung</w:t>
      </w:r>
      <w:bookmarkEnd w:id="20"/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(1) Die Jahresmittelwerte werden auf der Grundlage</w:t>
      </w:r>
      <w:r>
        <w:rPr>
          <w:rFonts w:cs="Arial"/>
        </w:rPr>
        <w:t xml:space="preserve"> </w:t>
      </w:r>
      <w:r w:rsidRPr="00ED35EB">
        <w:rPr>
          <w:rFonts w:cs="Arial"/>
        </w:rPr>
        <w:t>der gemäß der Genehmigung der Anlage zu ermittel</w:t>
      </w:r>
      <w:r w:rsidRPr="00ED35EB">
        <w:rPr>
          <w:rFonts w:cs="Arial"/>
        </w:rPr>
        <w:t>n</w:t>
      </w:r>
      <w:r w:rsidRPr="00ED35EB">
        <w:rPr>
          <w:rFonts w:cs="Arial"/>
        </w:rPr>
        <w:t>den</w:t>
      </w:r>
      <w:r>
        <w:rPr>
          <w:rFonts w:cs="Arial"/>
        </w:rPr>
        <w:t xml:space="preserve"> </w:t>
      </w:r>
      <w:r w:rsidRPr="00ED35EB">
        <w:rPr>
          <w:rFonts w:cs="Arial"/>
        </w:rPr>
        <w:t>jeweiligen Tagesmittelwerte berechnet;</w:t>
      </w:r>
      <w:r>
        <w:rPr>
          <w:rFonts w:cs="Arial"/>
        </w:rPr>
        <w:t xml:space="preserve"> </w:t>
      </w:r>
      <w:r w:rsidRPr="00ED35EB">
        <w:rPr>
          <w:rFonts w:cs="Arial"/>
        </w:rPr>
        <w:t>hierzu sind die Tagesmittelwerte eines Kalenderjahres</w:t>
      </w:r>
      <w:r>
        <w:rPr>
          <w:rFonts w:cs="Arial"/>
        </w:rPr>
        <w:t xml:space="preserve"> </w:t>
      </w:r>
      <w:r w:rsidRPr="00ED35EB">
        <w:rPr>
          <w:rFonts w:cs="Arial"/>
        </w:rPr>
        <w:t>zusa</w:t>
      </w:r>
      <w:r w:rsidRPr="00ED35EB">
        <w:rPr>
          <w:rFonts w:cs="Arial"/>
        </w:rPr>
        <w:t>m</w:t>
      </w:r>
      <w:r w:rsidRPr="00ED35EB">
        <w:rPr>
          <w:rFonts w:cs="Arial"/>
        </w:rPr>
        <w:t>menzuzählen und durch die Anzahl der Tagesmittelwerte</w:t>
      </w:r>
      <w:r>
        <w:rPr>
          <w:rFonts w:cs="Arial"/>
        </w:rPr>
        <w:t xml:space="preserve"> </w:t>
      </w:r>
      <w:r w:rsidRPr="00ED35EB">
        <w:rPr>
          <w:rFonts w:cs="Arial"/>
        </w:rPr>
        <w:t>zu teilen. Der Betreiber hat für jedes</w:t>
      </w:r>
      <w:r>
        <w:rPr>
          <w:rFonts w:cs="Arial"/>
        </w:rPr>
        <w:t xml:space="preserve"> </w:t>
      </w:r>
      <w:r w:rsidRPr="00ED35EB">
        <w:rPr>
          <w:rFonts w:cs="Arial"/>
        </w:rPr>
        <w:t>Kalenderjahr einen Nachweis über die Jahresmittelwerte</w:t>
      </w:r>
      <w:r>
        <w:rPr>
          <w:rFonts w:cs="Arial"/>
        </w:rPr>
        <w:t xml:space="preserve"> </w:t>
      </w:r>
      <w:r w:rsidRPr="00ED35EB">
        <w:rPr>
          <w:rFonts w:cs="Arial"/>
        </w:rPr>
        <w:t>zu führen und der zuständigen Behörde auf</w:t>
      </w:r>
      <w:r>
        <w:rPr>
          <w:rFonts w:cs="Arial"/>
        </w:rPr>
        <w:t xml:space="preserve"> </w:t>
      </w:r>
      <w:r w:rsidRPr="00ED35EB">
        <w:rPr>
          <w:rFonts w:cs="Arial"/>
        </w:rPr>
        <w:t>Verlangen vorzul</w:t>
      </w:r>
      <w:r w:rsidRPr="00ED35EB">
        <w:rPr>
          <w:rFonts w:cs="Arial"/>
        </w:rPr>
        <w:t>e</w:t>
      </w:r>
      <w:r w:rsidRPr="00ED35EB">
        <w:rPr>
          <w:rFonts w:cs="Arial"/>
        </w:rPr>
        <w:t>gen. Die Nachweise sind fünf</w:t>
      </w:r>
      <w:r>
        <w:rPr>
          <w:rFonts w:cs="Arial"/>
        </w:rPr>
        <w:t xml:space="preserve"> </w:t>
      </w:r>
      <w:r w:rsidRPr="00ED35EB">
        <w:rPr>
          <w:rFonts w:cs="Arial"/>
        </w:rPr>
        <w:t>Jahre nach Ende des Nachweiszeitraums aufzubewahren.</w:t>
      </w:r>
    </w:p>
    <w:p w:rsidR="00ED35EB" w:rsidRPr="0091076C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(2) Die Emissionsgrenzwerte sind eingehalten,</w:t>
      </w:r>
      <w:r>
        <w:rPr>
          <w:rFonts w:cs="Arial"/>
        </w:rPr>
        <w:t xml:space="preserve"> </w:t>
      </w:r>
      <w:r w:rsidRPr="00ED35EB">
        <w:rPr>
          <w:rFonts w:cs="Arial"/>
        </w:rPr>
        <w:t>wenn kein Jahresmittelwert einen Emissionsgrenzwert</w:t>
      </w:r>
      <w:r>
        <w:rPr>
          <w:rFonts w:cs="Arial"/>
        </w:rPr>
        <w:t xml:space="preserve"> </w:t>
      </w:r>
      <w:r w:rsidRPr="00ED35EB">
        <w:rPr>
          <w:rFonts w:cs="Arial"/>
        </w:rPr>
        <w:t>nach § 5 Abs. 1 Nr. 5, Anhang II Nr. II.1.2a,</w:t>
      </w:r>
      <w:r>
        <w:rPr>
          <w:rFonts w:cs="Arial"/>
        </w:rPr>
        <w:t xml:space="preserve"> </w:t>
      </w:r>
      <w:r w:rsidRPr="00ED35EB">
        <w:rPr>
          <w:rFonts w:cs="Arial"/>
        </w:rPr>
        <w:t>Nr. II.2.4a und Nr. II.3.3 überschreitet.</w:t>
      </w:r>
    </w:p>
    <w:p w:rsidR="001469C7" w:rsidRPr="008F2F31" w:rsidRDefault="001469C7" w:rsidP="00C94A69">
      <w:pPr>
        <w:pStyle w:val="berschrift3"/>
      </w:pPr>
      <w:bookmarkStart w:id="21" w:name="_Toc462324064"/>
      <w:r w:rsidRPr="008F2F31">
        <w:t>§ 15</w:t>
      </w:r>
      <w:r w:rsidR="00C94A69">
        <w:br/>
      </w:r>
      <w:r w:rsidRPr="008F2F31">
        <w:t>Besondere Überwachung der Emissionen an Schwermetallen</w:t>
      </w:r>
      <w:bookmarkEnd w:id="21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Soweit auf Grund der Zusammensetzung der Abfälle oder Stoffe nach § 1 Abs. 1 oder anderer Erkenn</w:t>
      </w:r>
      <w:r w:rsidRPr="008F2F31">
        <w:rPr>
          <w:rFonts w:cs="Arial"/>
        </w:rPr>
        <w:t>t</w:t>
      </w:r>
      <w:r w:rsidRPr="008F2F31">
        <w:rPr>
          <w:rFonts w:cs="Arial"/>
        </w:rPr>
        <w:t>nisse,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insbesondere der Beurteilung von Einzelmessungen, Emissionskonzentrationen an Stoffen nach § 5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Abs. 1 Nr. 3 Buchstabe a und b zu erwarten sind, die 60 vom Hundert der Emissionsgrenzwerte überschre</w:t>
      </w:r>
      <w:r w:rsidRPr="008F2F31">
        <w:rPr>
          <w:rFonts w:cs="Arial"/>
        </w:rPr>
        <w:t>i</w:t>
      </w:r>
      <w:r w:rsidRPr="008F2F31">
        <w:rPr>
          <w:rFonts w:cs="Arial"/>
        </w:rPr>
        <w:t>ten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können, hat der Betreiber die Massenkonzentrationen dieser Stoffe einmal wöchentlich zu ermitteln un</w:t>
      </w:r>
      <w:r w:rsidRPr="008F2F31">
        <w:rPr>
          <w:rFonts w:cs="Arial"/>
        </w:rPr>
        <w:t>d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zu dokumentieren. § 13 Abs. 3 gilt entsprechend.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Auf die Ermittlung der Emissionen kann verzichtet werden, wenn durch andere Prüfungen, zum Beispie</w:t>
      </w:r>
      <w:r w:rsidRPr="008F2F31">
        <w:rPr>
          <w:rFonts w:cs="Arial"/>
        </w:rPr>
        <w:t>l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durch Funktionskontrolle der Abgasreinigungseinrichtungen, mit ausreichender Sicherheit festgestellt we</w:t>
      </w:r>
      <w:r w:rsidRPr="008F2F31">
        <w:rPr>
          <w:rFonts w:cs="Arial"/>
        </w:rPr>
        <w:t>r</w:t>
      </w:r>
      <w:r w:rsidRPr="008F2F31">
        <w:rPr>
          <w:rFonts w:cs="Arial"/>
        </w:rPr>
        <w:t>den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kann, dass die Emissionsbegrenzungen nicht überschritten werden.</w:t>
      </w:r>
    </w:p>
    <w:p w:rsidR="001469C7" w:rsidRPr="008F2F31" w:rsidRDefault="001469C7" w:rsidP="00C94A69">
      <w:pPr>
        <w:pStyle w:val="berschrift3"/>
      </w:pPr>
      <w:bookmarkStart w:id="22" w:name="_Toc462324065"/>
      <w:r w:rsidRPr="008F2F31">
        <w:t>§ 16</w:t>
      </w:r>
      <w:r w:rsidR="00C94A69">
        <w:br/>
      </w:r>
      <w:r w:rsidRPr="008F2F31">
        <w:t>Störungen des Betriebs</w:t>
      </w:r>
      <w:bookmarkEnd w:id="22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Ergibt sich aus Messungen, dass Anforderungen an den Betrieb der Verbrennungs- oder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nungsanlagen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oder zur Begrenzung von Emissionen nicht erfüllt werden, hat der Betreiber dies den zustä</w:t>
      </w:r>
      <w:r w:rsidRPr="008F2F31">
        <w:rPr>
          <w:rFonts w:cs="Arial"/>
        </w:rPr>
        <w:t>n</w:t>
      </w:r>
      <w:r w:rsidRPr="008F2F31">
        <w:rPr>
          <w:rFonts w:cs="Arial"/>
        </w:rPr>
        <w:t>digen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Behörden unverzüglich mitzuteilen. Er hat unverzüglich die erforderlichen Maßnahmen für einen or</w:t>
      </w:r>
      <w:r w:rsidRPr="008F2F31">
        <w:rPr>
          <w:rFonts w:cs="Arial"/>
        </w:rPr>
        <w:t>d</w:t>
      </w:r>
      <w:r w:rsidRPr="008F2F31">
        <w:rPr>
          <w:rFonts w:cs="Arial"/>
        </w:rPr>
        <w:t>nungsgemäßen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Betrieb zu treffen; § 4 Abs. 5 Nr. 2 und 3 bleiben unberührt. Die zuständige Behörde träg</w:t>
      </w:r>
      <w:r w:rsidRPr="008F2F31">
        <w:rPr>
          <w:rFonts w:cs="Arial"/>
        </w:rPr>
        <w:t>t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durch entsprechende Überwachungsmaßnahmen dafür Sorge, dass der Betreiber seinen rechtlichen Ve</w:t>
      </w:r>
      <w:r w:rsidRPr="008F2F31">
        <w:rPr>
          <w:rFonts w:cs="Arial"/>
        </w:rPr>
        <w:t>r</w:t>
      </w:r>
      <w:r w:rsidRPr="008F2F31">
        <w:rPr>
          <w:rFonts w:cs="Arial"/>
        </w:rPr>
        <w:t>pflichtungen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zu einem ordnungsgemäßen Betrieb nachkommt oder die Anlage außer Betrieb nimmt.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Bei Verbrennungs- oder Mitverbrennungsanlagen, die aus einer Verbrennungslinie oder aus mehrere</w:t>
      </w:r>
      <w:r w:rsidRPr="008F2F31">
        <w:rPr>
          <w:rFonts w:cs="Arial"/>
        </w:rPr>
        <w:t>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Verbrennungslinien mit gemeinsamen Abgaseinrichtungen bestehen, soll die Behörde für technisch unve</w:t>
      </w:r>
      <w:r w:rsidRPr="008F2F31">
        <w:rPr>
          <w:rFonts w:cs="Arial"/>
        </w:rPr>
        <w:t>r</w:t>
      </w:r>
      <w:r w:rsidRPr="008F2F31">
        <w:rPr>
          <w:rFonts w:cs="Arial"/>
        </w:rPr>
        <w:t>meidbare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Ausfälle der Abgasreinigungseinrichtungen den Zeitraum festlegen, währenddessen von den Emission</w:t>
      </w:r>
      <w:r w:rsidRPr="008F2F31">
        <w:rPr>
          <w:rFonts w:cs="Arial"/>
        </w:rPr>
        <w:t>s</w:t>
      </w:r>
      <w:r w:rsidRPr="008F2F31">
        <w:rPr>
          <w:rFonts w:cs="Arial"/>
        </w:rPr>
        <w:t>grenzwerten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nach § 5, ausgenommen § 5 Abs. 1 Nr. 1 Buchstabe b und h und Nr. 2 Buchstabe b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und h oder Emissionsgrenzwerten für Kohlenmonoxid und organische Stoffe, angegeben als Gesamtkohle</w:t>
      </w:r>
      <w:r w:rsidRPr="008F2F31">
        <w:rPr>
          <w:rFonts w:cs="Arial"/>
        </w:rPr>
        <w:t>n</w:t>
      </w:r>
      <w:r w:rsidRPr="008F2F31">
        <w:rPr>
          <w:rFonts w:cs="Arial"/>
        </w:rPr>
        <w:t>stoff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nach Anhang II, unter bestimmten Voraussetzungen abgewichen werden darf. Der Weiterbetrieb dar</w:t>
      </w:r>
      <w:r w:rsidRPr="008F2F31">
        <w:rPr>
          <w:rFonts w:cs="Arial"/>
        </w:rPr>
        <w:t>f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vier aufeinander folgende Stunden und innerhalb eines Kalenderjahres 60 Stunden nicht überschreiten. Di</w:t>
      </w:r>
      <w:r w:rsidRPr="008F2F31">
        <w:rPr>
          <w:rFonts w:cs="Arial"/>
        </w:rPr>
        <w:t>e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Emissionsbegrenzung für den Gesamtstaub darf eine Massenkonzentration von 150 Milligramm je Kubikm</w:t>
      </w:r>
      <w:r w:rsidRPr="008F2F31">
        <w:rPr>
          <w:rFonts w:cs="Arial"/>
        </w:rPr>
        <w:t>e</w:t>
      </w:r>
      <w:r w:rsidRPr="008F2F31">
        <w:rPr>
          <w:rFonts w:cs="Arial"/>
        </w:rPr>
        <w:t>ter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Abgas, gemessen als Halbstundenmittelwert, nicht überschreiten. § 4 Abs. 5, § 5 Abs. 2, § 5a Abs. 6</w:t>
      </w:r>
      <w:r w:rsidR="00C94A69">
        <w:rPr>
          <w:rFonts w:cs="Arial"/>
        </w:rPr>
        <w:t xml:space="preserve"> </w:t>
      </w:r>
      <w:r w:rsidRPr="008F2F31">
        <w:rPr>
          <w:rFonts w:cs="Arial"/>
        </w:rPr>
        <w:t>sowie § 11 Abs. 4 gelten entsprechend.</w:t>
      </w:r>
    </w:p>
    <w:p w:rsidR="001469C7" w:rsidRPr="008F2F31" w:rsidRDefault="001469C7" w:rsidP="00C94A69">
      <w:pPr>
        <w:pStyle w:val="berschrift2"/>
      </w:pPr>
      <w:bookmarkStart w:id="23" w:name="_Toc462324066"/>
      <w:r w:rsidRPr="008F2F31">
        <w:lastRenderedPageBreak/>
        <w:t>Vierter Teil</w:t>
      </w:r>
      <w:r w:rsidR="00C94A69">
        <w:br/>
      </w:r>
      <w:r w:rsidRPr="008F2F31">
        <w:t>Anforderungen an Altanlagen</w:t>
      </w:r>
      <w:bookmarkEnd w:id="23"/>
    </w:p>
    <w:p w:rsidR="001469C7" w:rsidRPr="008F2F31" w:rsidRDefault="001469C7" w:rsidP="00F63BCF">
      <w:pPr>
        <w:pStyle w:val="berschrift3"/>
      </w:pPr>
      <w:bookmarkStart w:id="24" w:name="_Toc462324067"/>
      <w:r w:rsidRPr="008F2F31">
        <w:t>§ 17</w:t>
      </w:r>
      <w:r w:rsidR="00F63BCF">
        <w:br/>
      </w:r>
      <w:r w:rsidRPr="008F2F31">
        <w:t>Übergangsregelungen</w:t>
      </w:r>
      <w:bookmarkEnd w:id="24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Für Altanlagen gelten bis zum 27. Dezember 2005 die Anforderungen dieser Verordnung in der am 19.</w:t>
      </w:r>
      <w:r w:rsidR="00F63BCF">
        <w:rPr>
          <w:rFonts w:cs="Arial"/>
        </w:rPr>
        <w:t> </w:t>
      </w:r>
      <w:r w:rsidRPr="008F2F31">
        <w:rPr>
          <w:rFonts w:cs="Arial"/>
        </w:rPr>
        <w:t>August 2003 geltenden Fassung.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Bei Altanlagen, bei denen die in § 4 Abs. 2 Satz 3 festgelegte Verweilzeit wegen besonderer techn</w:t>
      </w:r>
      <w:r w:rsidRPr="008F2F31">
        <w:rPr>
          <w:rFonts w:cs="Arial"/>
        </w:rPr>
        <w:t>i</w:t>
      </w:r>
      <w:r w:rsidRPr="008F2F31">
        <w:rPr>
          <w:rFonts w:cs="Arial"/>
        </w:rPr>
        <w:t>scher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Schwierigkeiten nicht erreicht werden kann, ist diese Anforderung spätestens bei einer Neuerrichtung de</w:t>
      </w:r>
      <w:r w:rsidRPr="008F2F31">
        <w:rPr>
          <w:rFonts w:cs="Arial"/>
        </w:rPr>
        <w:t>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Verbrennungslinie oder des Abhitzekessels zu erfüllen.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(3) Wird eine Verbrennungs- oder Mitverbrennungsanlage durch Zubau einer oder mehrerer weiterer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brennungs- oder Mitverbrennungslinien in der Weise erweitert, dass die vorhandenen und die neu zu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erric</w:t>
      </w:r>
      <w:r w:rsidRPr="008F2F31">
        <w:rPr>
          <w:rFonts w:cs="Arial"/>
        </w:rPr>
        <w:t>h</w:t>
      </w:r>
      <w:r w:rsidRPr="008F2F31">
        <w:rPr>
          <w:rFonts w:cs="Arial"/>
        </w:rPr>
        <w:t>tenden Linien eine gemeinsame Anlage bilden, so bestimmen sich die Anforderungen für die neu zu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erric</w:t>
      </w:r>
      <w:r w:rsidRPr="008F2F31">
        <w:rPr>
          <w:rFonts w:cs="Arial"/>
        </w:rPr>
        <w:t>h</w:t>
      </w:r>
      <w:r w:rsidRPr="008F2F31">
        <w:rPr>
          <w:rFonts w:cs="Arial"/>
        </w:rPr>
        <w:t>tenden Linien nach den Vorschriften des zweiten und dritten Teils und die Anforderungen für die vorhand</w:t>
      </w:r>
      <w:r w:rsidRPr="008F2F31">
        <w:rPr>
          <w:rFonts w:cs="Arial"/>
        </w:rPr>
        <w:t>e</w:t>
      </w:r>
      <w:r w:rsidRPr="008F2F31">
        <w:rPr>
          <w:rFonts w:cs="Arial"/>
        </w:rPr>
        <w:t>nen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Linien nach den Vorschriften des vierten Teils dieser Verordnung.</w:t>
      </w:r>
    </w:p>
    <w:p w:rsidR="001469C7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(4) In Betrieb befindliche Anlagen, deren Hauptzweck in der Energiebereitstellung oder der Produktion stof</w:t>
      </w:r>
      <w:r w:rsidRPr="008F2F31">
        <w:rPr>
          <w:rFonts w:cs="Arial"/>
        </w:rPr>
        <w:t>f</w:t>
      </w:r>
      <w:r w:rsidRPr="008F2F31">
        <w:rPr>
          <w:rFonts w:cs="Arial"/>
        </w:rPr>
        <w:t>licher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Erzeugnisse besteht, für die eine Genehmigung zur Errichtung und zum Betrieb nach § 6 oder § 16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des Bundes- Immissionsschutzgesetzes erteilt worden ist und die die Mitverbrennung von Abfällen oder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Sto</w:t>
      </w:r>
      <w:r w:rsidRPr="008F2F31">
        <w:rPr>
          <w:rFonts w:cs="Arial"/>
        </w:rPr>
        <w:t>f</w:t>
      </w:r>
      <w:r w:rsidRPr="008F2F31">
        <w:rPr>
          <w:rFonts w:cs="Arial"/>
        </w:rPr>
        <w:t>fen nach § 1 Abs. 1 spätestens am 28. Dezember 2004 aufnehmen, gelten als Altanlagen.</w:t>
      </w:r>
    </w:p>
    <w:p w:rsidR="00ED35EB" w:rsidRPr="00ED35EB" w:rsidRDefault="00ED35EB" w:rsidP="0091076C">
      <w:pPr>
        <w:pStyle w:val="berschrift3"/>
      </w:pPr>
      <w:bookmarkStart w:id="25" w:name="_Toc462324068"/>
      <w:r w:rsidRPr="00ED35EB">
        <w:t>§ 17a</w:t>
      </w:r>
      <w:r>
        <w:br/>
      </w:r>
      <w:r w:rsidRPr="00ED35EB">
        <w:t>Übergangsregelungen für</w:t>
      </w:r>
      <w:r>
        <w:t xml:space="preserve"> </w:t>
      </w:r>
      <w:r w:rsidRPr="00ED35EB">
        <w:t>die Einhaltung von Jahresmittelwerten</w:t>
      </w:r>
      <w:bookmarkEnd w:id="25"/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(1) Die Forderungen zur Einhaltung von Jahresmittelwerten</w:t>
      </w:r>
      <w:r>
        <w:rPr>
          <w:rFonts w:cs="Arial"/>
        </w:rPr>
        <w:t xml:space="preserve"> </w:t>
      </w:r>
      <w:r w:rsidRPr="00ED35EB">
        <w:rPr>
          <w:rFonts w:cs="Arial"/>
        </w:rPr>
        <w:t>für Stickstoffmonoxid und Stickstoffdioxid,</w:t>
      </w:r>
      <w:r>
        <w:rPr>
          <w:rFonts w:cs="Arial"/>
        </w:rPr>
        <w:t xml:space="preserve"> </w:t>
      </w:r>
      <w:r w:rsidRPr="00ED35EB">
        <w:rPr>
          <w:rFonts w:cs="Arial"/>
        </w:rPr>
        <w:t>ang</w:t>
      </w:r>
      <w:r w:rsidRPr="00ED35EB">
        <w:rPr>
          <w:rFonts w:cs="Arial"/>
        </w:rPr>
        <w:t>e</w:t>
      </w:r>
      <w:r w:rsidRPr="00ED35EB">
        <w:rPr>
          <w:rFonts w:cs="Arial"/>
        </w:rPr>
        <w:t>geben als Stickstoffdioxid, sowie die</w:t>
      </w:r>
      <w:r>
        <w:rPr>
          <w:rFonts w:cs="Arial"/>
        </w:rPr>
        <w:t xml:space="preserve"> </w:t>
      </w:r>
      <w:r w:rsidRPr="00ED35EB">
        <w:rPr>
          <w:rFonts w:cs="Arial"/>
        </w:rPr>
        <w:t>Anforderungen nach § 14a gelten für Anlagen, die</w:t>
      </w:r>
      <w:r>
        <w:rPr>
          <w:rFonts w:cs="Arial"/>
        </w:rPr>
        <w:t xml:space="preserve"> </w:t>
      </w:r>
      <w:r w:rsidRPr="00ED35EB">
        <w:rPr>
          <w:rFonts w:cs="Arial"/>
        </w:rPr>
        <w:t>nach dem 31. D</w:t>
      </w:r>
      <w:r w:rsidRPr="00ED35EB">
        <w:rPr>
          <w:rFonts w:cs="Arial"/>
        </w:rPr>
        <w:t>e</w:t>
      </w:r>
      <w:r w:rsidRPr="00ED35EB">
        <w:rPr>
          <w:rFonts w:cs="Arial"/>
        </w:rPr>
        <w:t>zember 2012 in Betrieb gehen.</w:t>
      </w:r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(2) Wird eine Anlage nach dem 31. Dezember</w:t>
      </w:r>
      <w:r>
        <w:rPr>
          <w:rFonts w:cs="Arial"/>
        </w:rPr>
        <w:t xml:space="preserve"> </w:t>
      </w:r>
      <w:r w:rsidRPr="00ED35EB">
        <w:rPr>
          <w:rFonts w:cs="Arial"/>
        </w:rPr>
        <w:t>2012 wesentlich geändert, gelten die Forderungen</w:t>
      </w:r>
      <w:r>
        <w:rPr>
          <w:rFonts w:cs="Arial"/>
        </w:rPr>
        <w:t xml:space="preserve"> </w:t>
      </w:r>
      <w:r w:rsidRPr="00ED35EB">
        <w:rPr>
          <w:rFonts w:cs="Arial"/>
        </w:rPr>
        <w:t>zur Einha</w:t>
      </w:r>
      <w:r w:rsidRPr="00ED35EB">
        <w:rPr>
          <w:rFonts w:cs="Arial"/>
        </w:rPr>
        <w:t>l</w:t>
      </w:r>
      <w:r w:rsidRPr="00ED35EB">
        <w:rPr>
          <w:rFonts w:cs="Arial"/>
        </w:rPr>
        <w:t>tung von Jahresmittelwerten für Stickstoffmonoxid</w:t>
      </w:r>
      <w:r>
        <w:rPr>
          <w:rFonts w:cs="Arial"/>
        </w:rPr>
        <w:t xml:space="preserve"> </w:t>
      </w:r>
      <w:r w:rsidRPr="00ED35EB">
        <w:rPr>
          <w:rFonts w:cs="Arial"/>
        </w:rPr>
        <w:t>und Stickstoffdioxid, angegeben als Stickstoffdioxid,</w:t>
      </w:r>
      <w:r>
        <w:rPr>
          <w:rFonts w:cs="Arial"/>
        </w:rPr>
        <w:t xml:space="preserve"> </w:t>
      </w:r>
      <w:r w:rsidRPr="00ED35EB">
        <w:rPr>
          <w:rFonts w:cs="Arial"/>
        </w:rPr>
        <w:t>sowie die Anforderungen nach § 14a</w:t>
      </w:r>
      <w:r>
        <w:rPr>
          <w:rFonts w:cs="Arial"/>
        </w:rPr>
        <w:t xml:space="preserve"> </w:t>
      </w:r>
      <w:r w:rsidRPr="00ED35EB">
        <w:rPr>
          <w:rFonts w:cs="Arial"/>
        </w:rPr>
        <w:t>entsprechend für die Anlagenteile und Verfahrensschritte,</w:t>
      </w:r>
      <w:r>
        <w:rPr>
          <w:rFonts w:cs="Arial"/>
        </w:rPr>
        <w:t xml:space="preserve"> </w:t>
      </w:r>
      <w:r w:rsidRPr="00ED35EB">
        <w:rPr>
          <w:rFonts w:cs="Arial"/>
        </w:rPr>
        <w:t>die geändert we</w:t>
      </w:r>
      <w:r w:rsidRPr="00ED35EB">
        <w:rPr>
          <w:rFonts w:cs="Arial"/>
        </w:rPr>
        <w:t>r</w:t>
      </w:r>
      <w:r w:rsidRPr="00ED35EB">
        <w:rPr>
          <w:rFonts w:cs="Arial"/>
        </w:rPr>
        <w:t>den sollen, sowie für die</w:t>
      </w:r>
      <w:r>
        <w:rPr>
          <w:rFonts w:cs="Arial"/>
        </w:rPr>
        <w:t xml:space="preserve"> </w:t>
      </w:r>
      <w:r w:rsidRPr="00ED35EB">
        <w:rPr>
          <w:rFonts w:cs="Arial"/>
        </w:rPr>
        <w:t>Anlagenteile und Verfahrensschritte, auf die sich die</w:t>
      </w:r>
      <w:r>
        <w:rPr>
          <w:rFonts w:cs="Arial"/>
        </w:rPr>
        <w:t xml:space="preserve"> </w:t>
      </w:r>
      <w:r w:rsidRPr="00ED35EB">
        <w:rPr>
          <w:rFonts w:cs="Arial"/>
        </w:rPr>
        <w:t>Änderung auswirken wird.</w:t>
      </w:r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(3) Abweichend von Absatz 1 gelten die Forderungen</w:t>
      </w:r>
      <w:r>
        <w:rPr>
          <w:rFonts w:cs="Arial"/>
        </w:rPr>
        <w:t xml:space="preserve"> </w:t>
      </w:r>
      <w:r w:rsidRPr="00ED35EB">
        <w:rPr>
          <w:rFonts w:cs="Arial"/>
        </w:rPr>
        <w:t>zur Einhaltung von Jahresmittelwerten für</w:t>
      </w:r>
      <w:r>
        <w:rPr>
          <w:rFonts w:cs="Arial"/>
        </w:rPr>
        <w:t xml:space="preserve"> </w:t>
      </w:r>
      <w:r w:rsidRPr="00ED35EB">
        <w:rPr>
          <w:rFonts w:cs="Arial"/>
        </w:rPr>
        <w:t>Stickstof</w:t>
      </w:r>
      <w:r w:rsidRPr="00ED35EB">
        <w:rPr>
          <w:rFonts w:cs="Arial"/>
        </w:rPr>
        <w:t>f</w:t>
      </w:r>
      <w:r w:rsidRPr="00ED35EB">
        <w:rPr>
          <w:rFonts w:cs="Arial"/>
        </w:rPr>
        <w:t>monoxid und Stickstoffdioxid, angegeben</w:t>
      </w:r>
      <w:r>
        <w:rPr>
          <w:rFonts w:cs="Arial"/>
        </w:rPr>
        <w:t xml:space="preserve"> </w:t>
      </w:r>
      <w:r w:rsidRPr="00ED35EB">
        <w:rPr>
          <w:rFonts w:cs="Arial"/>
        </w:rPr>
        <w:t>als Stickstoffdioxid, sowie die Anforderungen nach</w:t>
      </w:r>
      <w:r>
        <w:rPr>
          <w:rFonts w:cs="Arial"/>
        </w:rPr>
        <w:t xml:space="preserve"> </w:t>
      </w:r>
      <w:r w:rsidRPr="00ED35EB">
        <w:rPr>
          <w:rFonts w:cs="Arial"/>
        </w:rPr>
        <w:t>§ 14a nicht für Anlagen,</w:t>
      </w:r>
    </w:p>
    <w:p w:rsidR="00ED35EB" w:rsidRPr="00ED35EB" w:rsidRDefault="00ED35EB" w:rsidP="0091076C">
      <w:pPr>
        <w:pStyle w:val="GesAbsatz"/>
        <w:ind w:left="426" w:hanging="426"/>
        <w:rPr>
          <w:rFonts w:cs="Arial"/>
        </w:rPr>
      </w:pPr>
      <w:r w:rsidRPr="00ED35EB">
        <w:rPr>
          <w:rFonts w:cs="Arial"/>
        </w:rPr>
        <w:t>1.</w:t>
      </w:r>
      <w:r>
        <w:rPr>
          <w:rFonts w:cs="Arial"/>
        </w:rPr>
        <w:tab/>
      </w:r>
      <w:r w:rsidRPr="00ED35EB">
        <w:rPr>
          <w:rFonts w:cs="Arial"/>
        </w:rPr>
        <w:t>für die bis zum 31. Dezember 2010 ein vollständiger</w:t>
      </w:r>
      <w:r>
        <w:rPr>
          <w:rFonts w:cs="Arial"/>
        </w:rPr>
        <w:t xml:space="preserve"> </w:t>
      </w:r>
      <w:r w:rsidRPr="00ED35EB">
        <w:rPr>
          <w:rFonts w:cs="Arial"/>
        </w:rPr>
        <w:t>Genehmigungsantrag zur Errichtung und</w:t>
      </w:r>
      <w:r>
        <w:rPr>
          <w:rFonts w:cs="Arial"/>
        </w:rPr>
        <w:t xml:space="preserve"> </w:t>
      </w:r>
      <w:r w:rsidRPr="00ED35EB">
        <w:rPr>
          <w:rFonts w:cs="Arial"/>
        </w:rPr>
        <w:t>zum B</w:t>
      </w:r>
      <w:r w:rsidRPr="00ED35EB">
        <w:rPr>
          <w:rFonts w:cs="Arial"/>
        </w:rPr>
        <w:t>e</w:t>
      </w:r>
      <w:r w:rsidRPr="00ED35EB">
        <w:rPr>
          <w:rFonts w:cs="Arial"/>
        </w:rPr>
        <w:t>trieb nach § 4 oder § 16 des Bundes-Immissionsschutzgesetzes</w:t>
      </w:r>
      <w:r>
        <w:rPr>
          <w:rFonts w:cs="Arial"/>
        </w:rPr>
        <w:t xml:space="preserve"> </w:t>
      </w:r>
      <w:r w:rsidRPr="00ED35EB">
        <w:rPr>
          <w:rFonts w:cs="Arial"/>
        </w:rPr>
        <w:t>gestellt worden ist oder</w:t>
      </w:r>
      <w:r>
        <w:rPr>
          <w:rFonts w:cs="Arial"/>
        </w:rPr>
        <w:t xml:space="preserve"> </w:t>
      </w:r>
      <w:r w:rsidRPr="00ED35EB">
        <w:rPr>
          <w:rFonts w:cs="Arial"/>
        </w:rPr>
        <w:t>mit deren E</w:t>
      </w:r>
      <w:r w:rsidRPr="00ED35EB">
        <w:rPr>
          <w:rFonts w:cs="Arial"/>
        </w:rPr>
        <w:t>r</w:t>
      </w:r>
      <w:r w:rsidRPr="00ED35EB">
        <w:rPr>
          <w:rFonts w:cs="Arial"/>
        </w:rPr>
        <w:t>richtung vor dem 31. Dezember 2011</w:t>
      </w:r>
      <w:r>
        <w:rPr>
          <w:rFonts w:cs="Arial"/>
        </w:rPr>
        <w:t xml:space="preserve"> </w:t>
      </w:r>
      <w:r w:rsidRPr="00ED35EB">
        <w:rPr>
          <w:rFonts w:cs="Arial"/>
        </w:rPr>
        <w:t>begonnen worden ist, und</w:t>
      </w:r>
    </w:p>
    <w:p w:rsidR="00ED35EB" w:rsidRPr="0091076C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2.</w:t>
      </w:r>
      <w:r>
        <w:rPr>
          <w:rFonts w:cs="Arial"/>
        </w:rPr>
        <w:tab/>
      </w:r>
      <w:r w:rsidRPr="00ED35EB">
        <w:rPr>
          <w:rFonts w:cs="Arial"/>
        </w:rPr>
        <w:t>die den Betrieb vor dem 31. Dezember 2013 aufgenommen</w:t>
      </w:r>
      <w:r>
        <w:rPr>
          <w:rFonts w:cs="Arial"/>
        </w:rPr>
        <w:t xml:space="preserve"> </w:t>
      </w:r>
      <w:r w:rsidRPr="00ED35EB">
        <w:rPr>
          <w:rFonts w:cs="Arial"/>
        </w:rPr>
        <w:t>haben.</w:t>
      </w:r>
    </w:p>
    <w:p w:rsidR="001469C7" w:rsidRPr="008F2F31" w:rsidRDefault="001469C7" w:rsidP="00F63BCF">
      <w:pPr>
        <w:pStyle w:val="berschrift2"/>
      </w:pPr>
      <w:bookmarkStart w:id="26" w:name="_Toc462324069"/>
      <w:r w:rsidRPr="008F2F31">
        <w:t>Fünfter Teil</w:t>
      </w:r>
      <w:r w:rsidR="00F63BCF">
        <w:br/>
      </w:r>
      <w:r w:rsidRPr="008F2F31">
        <w:t>Gemeinsame Vorschriften</w:t>
      </w:r>
      <w:bookmarkEnd w:id="26"/>
    </w:p>
    <w:p w:rsidR="001469C7" w:rsidRPr="008F2F31" w:rsidRDefault="001469C7" w:rsidP="00F63BCF">
      <w:pPr>
        <w:pStyle w:val="berschrift3"/>
      </w:pPr>
      <w:bookmarkStart w:id="27" w:name="_Toc462324070"/>
      <w:r w:rsidRPr="008F2F31">
        <w:t>§ 18</w:t>
      </w:r>
      <w:r w:rsidR="00F63BCF">
        <w:br/>
      </w:r>
      <w:r w:rsidRPr="008F2F31">
        <w:t>Unterrichtung der Öffentlichkeit</w:t>
      </w:r>
      <w:bookmarkEnd w:id="27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Die Betreiber der Verbrennungs- oder Mitverbrennungsanlagen haben die Öffentlichkeit nach erstmaliger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Kalibrierung der Messeinrichtung zur kontinuierlichen Feststellung der Emissionen nach § 10 Abs. 3 u</w:t>
      </w:r>
      <w:r w:rsidRPr="008F2F31">
        <w:rPr>
          <w:rFonts w:cs="Arial"/>
        </w:rPr>
        <w:t>n</w:t>
      </w:r>
      <w:r w:rsidRPr="008F2F31">
        <w:rPr>
          <w:rFonts w:cs="Arial"/>
        </w:rPr>
        <w:t>d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erstmaligen Einzelmessungen nach § 13 Abs. 2 einmal jährlich in der von der zuständigen Behörde festg</w:t>
      </w:r>
      <w:r w:rsidRPr="008F2F31">
        <w:rPr>
          <w:rFonts w:cs="Arial"/>
        </w:rPr>
        <w:t>e</w:t>
      </w:r>
      <w:r w:rsidRPr="008F2F31">
        <w:rPr>
          <w:rFonts w:cs="Arial"/>
        </w:rPr>
        <w:t>legten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Weise und Form über die Beurteilung der Messungen von Emissionen und der Verbrennungsbedi</w:t>
      </w:r>
      <w:r w:rsidRPr="008F2F31">
        <w:rPr>
          <w:rFonts w:cs="Arial"/>
        </w:rPr>
        <w:t>n</w:t>
      </w:r>
      <w:r w:rsidRPr="008F2F31">
        <w:rPr>
          <w:rFonts w:cs="Arial"/>
        </w:rPr>
        <w:t>gungen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zu unterrichten. Satz 1 gilt nicht für solche Angaben, aus denen Rückschlüsse auf Betriebs- ode</w:t>
      </w:r>
      <w:r w:rsidRPr="008F2F31">
        <w:rPr>
          <w:rFonts w:cs="Arial"/>
        </w:rPr>
        <w:t>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Geschäftsgeheimnisse gezogen werden können.</w:t>
      </w:r>
    </w:p>
    <w:p w:rsidR="001469C7" w:rsidRPr="008F2F31" w:rsidRDefault="001469C7" w:rsidP="00F63BCF">
      <w:pPr>
        <w:pStyle w:val="berschrift3"/>
      </w:pPr>
      <w:bookmarkStart w:id="28" w:name="_Toc462324071"/>
      <w:r w:rsidRPr="008F2F31">
        <w:t>§ 19</w:t>
      </w:r>
      <w:r w:rsidR="00F63BCF">
        <w:br/>
      </w:r>
      <w:r w:rsidRPr="008F2F31">
        <w:t>Zulassung von Ausnahmen</w:t>
      </w:r>
      <w:bookmarkEnd w:id="28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 zuständige Behörde kann auf Antrag des Betreibers Ausnahmen von Vorschriften dieser Veror</w:t>
      </w:r>
      <w:r w:rsidRPr="008F2F31">
        <w:rPr>
          <w:rFonts w:cs="Arial"/>
        </w:rPr>
        <w:t>d</w:t>
      </w:r>
      <w:r w:rsidRPr="008F2F31">
        <w:rPr>
          <w:rFonts w:cs="Arial"/>
        </w:rPr>
        <w:t>nung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zulassen, soweit unter Berücksichtigung der besonderen Umstände des Einzelfalls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1.</w:t>
      </w:r>
      <w:r w:rsidR="00F63BCF">
        <w:rPr>
          <w:rFonts w:cs="Arial"/>
        </w:rPr>
        <w:tab/>
      </w:r>
      <w:r w:rsidRPr="008F2F31">
        <w:rPr>
          <w:rFonts w:cs="Arial"/>
        </w:rPr>
        <w:t>einzelne Anforderungen der Verordnung nicht oder nur mit unverhältnismäßig hohem Aufwandes erfül</w:t>
      </w:r>
      <w:r w:rsidRPr="008F2F31">
        <w:rPr>
          <w:rFonts w:cs="Arial"/>
        </w:rPr>
        <w:t>l</w:t>
      </w:r>
      <w:r w:rsidRPr="008F2F31">
        <w:rPr>
          <w:rFonts w:cs="Arial"/>
        </w:rPr>
        <w:t>bar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sind,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lastRenderedPageBreak/>
        <w:t>2.</w:t>
      </w:r>
      <w:r w:rsidR="00F63BCF">
        <w:rPr>
          <w:rFonts w:cs="Arial"/>
        </w:rPr>
        <w:tab/>
      </w:r>
      <w:r w:rsidRPr="008F2F31">
        <w:rPr>
          <w:rFonts w:cs="Arial"/>
        </w:rPr>
        <w:t>im Übrigen die dem Stand der Technik entsprechenden Maßnahmen zur Emissionsbegrenzung ang</w:t>
      </w:r>
      <w:r w:rsidRPr="008F2F31">
        <w:rPr>
          <w:rFonts w:cs="Arial"/>
        </w:rPr>
        <w:t>e</w:t>
      </w:r>
      <w:r w:rsidRPr="008F2F31">
        <w:rPr>
          <w:rFonts w:cs="Arial"/>
        </w:rPr>
        <w:t>wandt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werden,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F63BCF">
        <w:rPr>
          <w:rFonts w:cs="Arial"/>
        </w:rPr>
        <w:tab/>
      </w:r>
      <w:r w:rsidRPr="008F2F31">
        <w:rPr>
          <w:rFonts w:cs="Arial"/>
        </w:rPr>
        <w:t>die Ableitungshöhe nach der TA Luft in der jeweils geltenden Fassung auch für den als Ausnahme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</w:t>
      </w:r>
      <w:r w:rsidRPr="008F2F31">
        <w:rPr>
          <w:rFonts w:cs="Arial"/>
        </w:rPr>
        <w:t>u</w:t>
      </w:r>
      <w:r w:rsidRPr="008F2F31">
        <w:rPr>
          <w:rFonts w:cs="Arial"/>
        </w:rPr>
        <w:t>gelassenen Emissionsgrenzwert ausgelegt ist, es sei denn, auch insoweit liegen die Voraussetzungen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der Nummer 1 vor, und</w:t>
      </w:r>
    </w:p>
    <w:p w:rsidR="001469C7" w:rsidRPr="008F2F31" w:rsidRDefault="001469C7" w:rsidP="00F63BCF">
      <w:pPr>
        <w:pStyle w:val="GesAbsatz"/>
        <w:ind w:left="851" w:hanging="851"/>
        <w:rPr>
          <w:rFonts w:cs="Arial"/>
        </w:rPr>
      </w:pPr>
      <w:r w:rsidRPr="008F2F31">
        <w:rPr>
          <w:rFonts w:cs="Arial"/>
        </w:rPr>
        <w:t>4.</w:t>
      </w:r>
      <w:r w:rsidR="00F63BCF">
        <w:rPr>
          <w:rFonts w:cs="Arial"/>
        </w:rPr>
        <w:tab/>
      </w:r>
      <w:r w:rsidRPr="008F2F31">
        <w:rPr>
          <w:rFonts w:cs="Arial"/>
        </w:rPr>
        <w:t>die Anforderungen der Richtlinien des Rates der Europäischen Gemeinschaften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a)</w:t>
      </w:r>
      <w:r w:rsidR="00F63BCF">
        <w:rPr>
          <w:rFonts w:cs="Arial"/>
        </w:rPr>
        <w:tab/>
      </w:r>
      <w:r w:rsidRPr="008F2F31">
        <w:rPr>
          <w:rFonts w:cs="Arial"/>
        </w:rPr>
        <w:t>vom 25. Juli 1975 über die Altölbeseitigung (75/439/EWG) (ABl. EG Nr. L 194 S. 31), geändert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durch die Richtlinie vom 22. Dezember 1986 (87/101/EWG) (ABl. EG Nr. L 42 S. 43),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b)</w:t>
      </w:r>
      <w:r w:rsidR="00F63BCF">
        <w:rPr>
          <w:rFonts w:cs="Arial"/>
        </w:rPr>
        <w:tab/>
      </w:r>
      <w:r w:rsidRPr="008F2F31">
        <w:rPr>
          <w:rFonts w:cs="Arial"/>
        </w:rPr>
        <w:t>vom 16. September 1996 über die Beseitigung der polychlorierten Biphenyle und polychlorierten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Terphenyle (96/59/EG) (ABl. EG Nr. L 243 S. 31) und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c)</w:t>
      </w:r>
      <w:r w:rsidR="00F63BCF">
        <w:rPr>
          <w:rFonts w:cs="Arial"/>
        </w:rPr>
        <w:tab/>
      </w:r>
      <w:r w:rsidRPr="008F2F31">
        <w:rPr>
          <w:rFonts w:cs="Arial"/>
        </w:rPr>
        <w:t>der Richtlinie 2000/76/EG des Europäischen Parlaments und des Rates vom 4. Dezember 2000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über die Verbrennung von Abfällen (ABI. EG Nr. L 332 S. 91)</w:t>
      </w:r>
    </w:p>
    <w:p w:rsidR="001469C7" w:rsidRPr="008F2F31" w:rsidRDefault="001469C7" w:rsidP="00551A5B">
      <w:pPr>
        <w:pStyle w:val="GesAbsatz"/>
        <w:ind w:left="426"/>
        <w:rPr>
          <w:rFonts w:cs="Arial"/>
        </w:rPr>
      </w:pPr>
      <w:r w:rsidRPr="008F2F31">
        <w:rPr>
          <w:rFonts w:cs="Arial"/>
        </w:rPr>
        <w:t>eingehalten werden.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Abweichend von § 3 Abs. 1 kann die zuständige Behörde Verbrennungsanlagen ohne Abfallbunker od</w:t>
      </w:r>
      <w:r w:rsidRPr="008F2F31">
        <w:rPr>
          <w:rFonts w:cs="Arial"/>
        </w:rPr>
        <w:t>e</w:t>
      </w:r>
      <w:r w:rsidRPr="008F2F31">
        <w:rPr>
          <w:rFonts w:cs="Arial"/>
        </w:rPr>
        <w:t>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eine teilweise offene Bunkerbauweise in Verbindung mit einer gezielten Luftabsaugung zulassen, wenn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durch bauliche oder betriebliche Maßnahmen oder auf Grund der Beschaffenheit der Abfälle oder Stoffe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nach § 1 Abs. 1 die Entstehung von Staub- und Geruchsemissionen möglichst gering gehalten wird.</w:t>
      </w:r>
    </w:p>
    <w:p w:rsidR="001469C7" w:rsidRPr="008F2F31" w:rsidRDefault="001469C7" w:rsidP="00F63BCF">
      <w:pPr>
        <w:pStyle w:val="berschrift3"/>
      </w:pPr>
      <w:bookmarkStart w:id="29" w:name="_Toc462324072"/>
      <w:r w:rsidRPr="008F2F31">
        <w:t>§ 20</w:t>
      </w:r>
      <w:r w:rsidR="00F63BCF">
        <w:br/>
      </w:r>
      <w:r w:rsidRPr="008F2F31">
        <w:t>Weitergehende Anforderungen und wesentliche Änderungen</w:t>
      </w:r>
      <w:bookmarkEnd w:id="29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(1) Die Befugnis der zuständigen Behörde, andere oder weitergehende Anforderungen, insbesondere zu</w:t>
      </w:r>
      <w:r w:rsidRPr="008F2F31">
        <w:rPr>
          <w:rFonts w:cs="Arial"/>
        </w:rPr>
        <w:t>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Vermeidung schädlicher Umwelteinwirkungen nach § 5 Abs. 1 Nr. 1 des Bundes-Immissionsschutzgesetzes,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zu treffen, bleibt unberührt.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(2) Der Einsatz besonders überwachungsbedürftiger Abfälle in einer Anlage, die nur für den Einsatz nicht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besonders überwachungsbedürftiger Abfälle genehmigt ist, ist nach Maßgabe von § 16 Abs. 1 Satz 1 de</w:t>
      </w:r>
      <w:r w:rsidRPr="008F2F31">
        <w:rPr>
          <w:rFonts w:cs="Arial"/>
        </w:rPr>
        <w:t>s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Bundes- Immissionsschutzgesetzes als eine wesentliche Änderung der Anlage einzustufen.</w:t>
      </w:r>
    </w:p>
    <w:p w:rsidR="001469C7" w:rsidRPr="008F2F31" w:rsidRDefault="001469C7" w:rsidP="00F63BCF">
      <w:pPr>
        <w:pStyle w:val="berschrift3"/>
      </w:pPr>
      <w:bookmarkStart w:id="30" w:name="_Toc462324073"/>
      <w:r w:rsidRPr="008F2F31">
        <w:t>§ 20a</w:t>
      </w:r>
      <w:r w:rsidR="00F63BCF">
        <w:br/>
      </w:r>
      <w:r w:rsidRPr="008F2F31">
        <w:t>Anforderungen an die Eignung</w:t>
      </w:r>
      <w:bookmarkEnd w:id="30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Nach Maßgabe von § 20 Abs. 3 des Bundes-Immissionsschutzgesetzes kann die zuständige Behörde de</w:t>
      </w:r>
      <w:r w:rsidRPr="008F2F31">
        <w:rPr>
          <w:rFonts w:cs="Arial"/>
        </w:rPr>
        <w:t>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Betrieb einer Verbrennungs- oder Mitverbrennungsanlage untersagen, wenn nicht sichergestellt ist, dass die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mit der Leitung der Anlage betraute Person zur Leitung der Anlage geeignet ist und die Gewähr für den or</w:t>
      </w:r>
      <w:r w:rsidRPr="008F2F31">
        <w:rPr>
          <w:rFonts w:cs="Arial"/>
        </w:rPr>
        <w:t>d</w:t>
      </w:r>
      <w:r w:rsidRPr="008F2F31">
        <w:rPr>
          <w:rFonts w:cs="Arial"/>
        </w:rPr>
        <w:t>nungsgemäßen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Betrieb der Anlage bietet.</w:t>
      </w:r>
    </w:p>
    <w:p w:rsidR="001469C7" w:rsidRPr="008F2F31" w:rsidRDefault="001469C7" w:rsidP="00F63BCF">
      <w:pPr>
        <w:pStyle w:val="berschrift3"/>
      </w:pPr>
      <w:bookmarkStart w:id="31" w:name="_Toc462324074"/>
      <w:r w:rsidRPr="008F2F31">
        <w:t>§ 21</w:t>
      </w:r>
      <w:r w:rsidR="00F63BCF">
        <w:br/>
      </w:r>
      <w:r w:rsidRPr="008F2F31">
        <w:t>Ordnungswidrigkeiten</w:t>
      </w:r>
      <w:bookmarkEnd w:id="31"/>
    </w:p>
    <w:p w:rsidR="001469C7" w:rsidRPr="008F2F31" w:rsidRDefault="00ED35EB" w:rsidP="008F2F31">
      <w:pPr>
        <w:pStyle w:val="GesAbsatz"/>
        <w:rPr>
          <w:rFonts w:cs="Arial"/>
        </w:rPr>
      </w:pPr>
      <w:r>
        <w:rPr>
          <w:rFonts w:cs="Arial"/>
        </w:rPr>
        <w:t xml:space="preserve">(1) </w:t>
      </w:r>
      <w:r w:rsidR="001469C7" w:rsidRPr="008F2F31">
        <w:rPr>
          <w:rFonts w:cs="Arial"/>
        </w:rPr>
        <w:t>Ordnungswidrig im Sinne des § 62 Abs. 1 Nr. 2 des Bundes-Immissionsschutzgesetzes handelt, wer vo</w:t>
      </w:r>
      <w:r w:rsidR="001469C7" w:rsidRPr="008F2F31">
        <w:rPr>
          <w:rFonts w:cs="Arial"/>
        </w:rPr>
        <w:t>r</w:t>
      </w:r>
      <w:r w:rsidR="001469C7" w:rsidRPr="008F2F31">
        <w:rPr>
          <w:rFonts w:cs="Arial"/>
        </w:rPr>
        <w:t>sätzlich</w:t>
      </w:r>
      <w:r w:rsidR="00F63BCF">
        <w:rPr>
          <w:rFonts w:cs="Arial"/>
        </w:rPr>
        <w:t xml:space="preserve"> </w:t>
      </w:r>
      <w:r w:rsidR="001469C7" w:rsidRPr="008F2F31">
        <w:rPr>
          <w:rFonts w:cs="Arial"/>
        </w:rPr>
        <w:t>oder fahrlässig als Betreiber einer Verbrennungs- oder Mitverbrennungsanlage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1.</w:t>
      </w:r>
      <w:r w:rsidR="00F63BCF">
        <w:rPr>
          <w:rFonts w:cs="Arial"/>
        </w:rPr>
        <w:tab/>
      </w:r>
      <w:r w:rsidRPr="008F2F31">
        <w:rPr>
          <w:rFonts w:cs="Arial"/>
        </w:rPr>
        <w:t>einer Vorschrift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a)</w:t>
      </w:r>
      <w:r w:rsidR="00F63BCF">
        <w:rPr>
          <w:rFonts w:cs="Arial"/>
        </w:rPr>
        <w:tab/>
      </w:r>
      <w:r w:rsidRPr="008F2F31">
        <w:rPr>
          <w:rFonts w:cs="Arial"/>
        </w:rPr>
        <w:t>des § 4 Abs. 2 Satz 1 bis 4 oder Abs. 6 Satz 1 oder 2 über das Errichten oder den Betrieb dort g</w:t>
      </w:r>
      <w:r w:rsidRPr="008F2F31">
        <w:rPr>
          <w:rFonts w:cs="Arial"/>
        </w:rPr>
        <w:t>e</w:t>
      </w:r>
      <w:r w:rsidRPr="008F2F31">
        <w:rPr>
          <w:rFonts w:cs="Arial"/>
        </w:rPr>
        <w:t>nannter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Verbrennungs- oder Mitverbrennungsanlagen oder über das Einhalten oder Messen der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Mindesttemperatur,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b)</w:t>
      </w:r>
      <w:r w:rsidR="00F63BCF">
        <w:rPr>
          <w:rFonts w:cs="Arial"/>
        </w:rPr>
        <w:tab/>
      </w:r>
      <w:r w:rsidRPr="008F2F31">
        <w:rPr>
          <w:rFonts w:cs="Arial"/>
        </w:rPr>
        <w:t>des § 4 Abs. 4 Satz 2 oder Abs. 8 Satz 1 über den Betrieb von Brennern,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c)</w:t>
      </w:r>
      <w:r w:rsidR="00F63BCF">
        <w:rPr>
          <w:rFonts w:cs="Arial"/>
        </w:rPr>
        <w:tab/>
      </w:r>
      <w:r w:rsidRPr="008F2F31">
        <w:rPr>
          <w:rFonts w:cs="Arial"/>
        </w:rPr>
        <w:t>des § 4 Abs. 5 über die automatischen Vorrichtungen,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d)</w:t>
      </w:r>
      <w:r w:rsidR="00F63BCF">
        <w:rPr>
          <w:rFonts w:cs="Arial"/>
        </w:rPr>
        <w:tab/>
      </w:r>
      <w:r w:rsidRPr="008F2F31">
        <w:rPr>
          <w:rFonts w:cs="Arial"/>
        </w:rPr>
        <w:t>des § 5 Abs. 1 oder § 5a Abs. 1 Satz 1 über das Errichten oder den Betrieb von Verbrennungs</w:t>
      </w:r>
      <w:r w:rsidR="00F63BCF">
        <w:rPr>
          <w:rFonts w:cs="Arial"/>
        </w:rPr>
        <w:t xml:space="preserve">- </w:t>
      </w:r>
      <w:r w:rsidRPr="008F2F31">
        <w:rPr>
          <w:rFonts w:cs="Arial"/>
        </w:rPr>
        <w:t>oder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Mitverbrennungsanlagen,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e)</w:t>
      </w:r>
      <w:r w:rsidR="00F63BCF">
        <w:rPr>
          <w:rFonts w:cs="Arial"/>
        </w:rPr>
        <w:tab/>
      </w:r>
      <w:r w:rsidRPr="008F2F31">
        <w:rPr>
          <w:rFonts w:cs="Arial"/>
        </w:rPr>
        <w:t>des § 11 Abs. 1 Satz 1 über die Ermittlung, Registrierung oder Auswertung der Massenkonzentr</w:t>
      </w:r>
      <w:r w:rsidRPr="008F2F31">
        <w:rPr>
          <w:rFonts w:cs="Arial"/>
        </w:rPr>
        <w:t>a</w:t>
      </w:r>
      <w:r w:rsidRPr="008F2F31">
        <w:rPr>
          <w:rFonts w:cs="Arial"/>
        </w:rPr>
        <w:t>tion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der Emissionen, des Volumengehalts an Sauerstoff im Abgas, der dort genannten Temperat</w:t>
      </w:r>
      <w:r w:rsidRPr="008F2F31">
        <w:rPr>
          <w:rFonts w:cs="Arial"/>
        </w:rPr>
        <w:t>u</w:t>
      </w:r>
      <w:r w:rsidRPr="008F2F31">
        <w:rPr>
          <w:rFonts w:cs="Arial"/>
        </w:rPr>
        <w:t>ren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oder der Betriebsgrößen,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f)</w:t>
      </w:r>
      <w:r w:rsidR="00F63BCF">
        <w:rPr>
          <w:rFonts w:cs="Arial"/>
        </w:rPr>
        <w:tab/>
      </w:r>
      <w:r w:rsidRPr="008F2F31">
        <w:rPr>
          <w:rFonts w:cs="Arial"/>
        </w:rPr>
        <w:t>des § 11 Abs. 1 Satz 2 über die Ausrüstung einer Anlage oder</w:t>
      </w:r>
    </w:p>
    <w:p w:rsidR="001469C7" w:rsidRPr="008F2F31" w:rsidRDefault="001469C7" w:rsidP="00551A5B">
      <w:pPr>
        <w:pStyle w:val="GesAbsatz"/>
        <w:ind w:left="851" w:hanging="425"/>
        <w:rPr>
          <w:rFonts w:cs="Arial"/>
        </w:rPr>
      </w:pPr>
      <w:r w:rsidRPr="008F2F31">
        <w:rPr>
          <w:rFonts w:cs="Arial"/>
        </w:rPr>
        <w:t>g)</w:t>
      </w:r>
      <w:r w:rsidR="00F63BCF">
        <w:rPr>
          <w:rFonts w:cs="Arial"/>
        </w:rPr>
        <w:tab/>
      </w:r>
      <w:r w:rsidRPr="008F2F31">
        <w:rPr>
          <w:rFonts w:cs="Arial"/>
        </w:rPr>
        <w:t>des § 12 Abs. 1 über die Bildung dort genannter Mittelwerte oder die Umrechnung dort genannte</w:t>
      </w:r>
      <w:r w:rsidRPr="008F2F31">
        <w:rPr>
          <w:rFonts w:cs="Arial"/>
        </w:rPr>
        <w:t>r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Messwerte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zuwiderhandelt,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lastRenderedPageBreak/>
        <w:t>2.</w:t>
      </w:r>
      <w:r w:rsidR="00F63BCF">
        <w:rPr>
          <w:rFonts w:cs="Arial"/>
        </w:rPr>
        <w:tab/>
      </w:r>
      <w:r w:rsidRPr="008F2F31">
        <w:rPr>
          <w:rFonts w:cs="Arial"/>
        </w:rPr>
        <w:t>entgegen § 7 Abs. 2 Satz 1 oder Abs. 4 dort genannte Abfälle nicht getrennt erfasst oder nicht in g</w:t>
      </w:r>
      <w:r w:rsidRPr="008F2F31">
        <w:rPr>
          <w:rFonts w:cs="Arial"/>
        </w:rPr>
        <w:t>e</w:t>
      </w:r>
      <w:r w:rsidRPr="008F2F31">
        <w:rPr>
          <w:rFonts w:cs="Arial"/>
        </w:rPr>
        <w:t>schlossenen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Behältnissen befördert oder zwischenlagert,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F63BCF">
        <w:rPr>
          <w:rFonts w:cs="Arial"/>
        </w:rPr>
        <w:tab/>
      </w:r>
      <w:r w:rsidRPr="008F2F31">
        <w:rPr>
          <w:rFonts w:cs="Arial"/>
        </w:rPr>
        <w:t>entgegen § 10 Abs. 2 eine Bescheinigung nicht oder nicht rechtzeitig vorlegt,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4</w:t>
      </w:r>
      <w:r w:rsidR="00F63BCF">
        <w:rPr>
          <w:rFonts w:cs="Arial"/>
        </w:rPr>
        <w:t>.</w:t>
      </w:r>
      <w:r w:rsidR="00F63BCF">
        <w:rPr>
          <w:rFonts w:cs="Arial"/>
        </w:rPr>
        <w:tab/>
      </w:r>
      <w:r w:rsidRPr="008F2F31">
        <w:rPr>
          <w:rFonts w:cs="Arial"/>
        </w:rPr>
        <w:t>entgegen § 10 Abs. 3 Satz 1 Messeinrichtungen nicht kalibrieren, nicht prüfen oder die Kalibrierung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nicht oder nicht rechtzeitig wiederholen lässt,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5.</w:t>
      </w:r>
      <w:r w:rsidR="00F63BCF">
        <w:rPr>
          <w:rFonts w:cs="Arial"/>
        </w:rPr>
        <w:tab/>
      </w:r>
      <w:r w:rsidRPr="008F2F31">
        <w:rPr>
          <w:rFonts w:cs="Arial"/>
        </w:rPr>
        <w:t>entgegen § 10 Abs. 3 Satz 2 einen Bericht nicht oder nicht rechtzeitig vorlegt,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6.</w:t>
      </w:r>
      <w:r w:rsidR="00F63BCF">
        <w:rPr>
          <w:rFonts w:cs="Arial"/>
        </w:rPr>
        <w:tab/>
      </w:r>
      <w:r w:rsidRPr="008F2F31">
        <w:rPr>
          <w:rFonts w:cs="Arial"/>
        </w:rPr>
        <w:t>entgegen § 12 Abs. 2 Satz 1 oder § 14 Abs. 1 Satz 1 einen Messbericht nicht oder nicht rechtzeitig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vo</w:t>
      </w:r>
      <w:r w:rsidRPr="008F2F31">
        <w:rPr>
          <w:rFonts w:cs="Arial"/>
        </w:rPr>
        <w:t>r</w:t>
      </w:r>
      <w:r w:rsidRPr="008F2F31">
        <w:rPr>
          <w:rFonts w:cs="Arial"/>
        </w:rPr>
        <w:t>legt oder entgegen § 12 Abs. 2 Satz 2 die Aufzeichnungen nicht aufbewahrt,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7.</w:t>
      </w:r>
      <w:r w:rsidR="00F63BCF">
        <w:rPr>
          <w:rFonts w:cs="Arial"/>
        </w:rPr>
        <w:tab/>
      </w:r>
      <w:r w:rsidRPr="008F2F31">
        <w:rPr>
          <w:rFonts w:cs="Arial"/>
        </w:rPr>
        <w:t>entgegen § 13 Abs. 1 die Verbrennungsbedingungen nicht oder nicht rechtzeitig überprüfen lässt,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8.</w:t>
      </w:r>
      <w:r w:rsidR="00F63BCF">
        <w:rPr>
          <w:rFonts w:cs="Arial"/>
        </w:rPr>
        <w:tab/>
      </w:r>
      <w:r w:rsidRPr="008F2F31">
        <w:rPr>
          <w:rFonts w:cs="Arial"/>
        </w:rPr>
        <w:t>entgegen § 13 Abs. 2 Satz 1 oder 2 Messungen nicht, nicht in der vorgeschriebenen Weise oder nich</w:t>
      </w:r>
      <w:r w:rsidRPr="008F2F31">
        <w:rPr>
          <w:rFonts w:cs="Arial"/>
        </w:rPr>
        <w:t>t</w:t>
      </w:r>
      <w:r w:rsidR="00F63BCF">
        <w:rPr>
          <w:rFonts w:cs="Arial"/>
        </w:rPr>
        <w:t xml:space="preserve"> </w:t>
      </w:r>
      <w:r w:rsidRPr="008F2F31">
        <w:rPr>
          <w:rFonts w:cs="Arial"/>
        </w:rPr>
        <w:t>rechtzeitig durchführen lässt,</w:t>
      </w:r>
    </w:p>
    <w:p w:rsidR="001469C7" w:rsidRPr="008F2F31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9.</w:t>
      </w:r>
      <w:r w:rsidR="00F63BCF">
        <w:rPr>
          <w:rFonts w:cs="Arial"/>
        </w:rPr>
        <w:tab/>
      </w:r>
      <w:r w:rsidRPr="008F2F31">
        <w:rPr>
          <w:rFonts w:cs="Arial"/>
        </w:rPr>
        <w:t>entgegen § 16 Abs. 1 Satz 1 eine Mitteilung nicht, nicht richtig oder nicht rechtzeitig macht oder</w:t>
      </w:r>
    </w:p>
    <w:p w:rsidR="001469C7" w:rsidRDefault="001469C7" w:rsidP="00F63BCF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10.</w:t>
      </w:r>
      <w:r w:rsidR="00F63BCF">
        <w:rPr>
          <w:rFonts w:cs="Arial"/>
        </w:rPr>
        <w:tab/>
      </w:r>
      <w:r w:rsidRPr="008F2F31">
        <w:rPr>
          <w:rFonts w:cs="Arial"/>
        </w:rPr>
        <w:t>entgegen § 18 Satz 1 die Öffentlichkeit nicht, nicht richtig, nicht vollständig oder nicht rechtzeitig unte</w:t>
      </w:r>
      <w:r w:rsidRPr="008F2F31">
        <w:rPr>
          <w:rFonts w:cs="Arial"/>
        </w:rPr>
        <w:t>r</w:t>
      </w:r>
      <w:r w:rsidRPr="008F2F31">
        <w:rPr>
          <w:rFonts w:cs="Arial"/>
        </w:rPr>
        <w:t>richtet.</w:t>
      </w:r>
    </w:p>
    <w:p w:rsidR="00ED35EB" w:rsidRPr="00ED35EB" w:rsidRDefault="00ED35EB" w:rsidP="00ED35EB">
      <w:pPr>
        <w:pStyle w:val="GesAbsatz"/>
        <w:rPr>
          <w:rFonts w:cs="Arial"/>
        </w:rPr>
      </w:pPr>
      <w:r w:rsidRPr="00ED35EB">
        <w:rPr>
          <w:rFonts w:cs="Arial"/>
        </w:rPr>
        <w:t>(2) Ordnungswidrig im Sinne des § 62 Abs. 1</w:t>
      </w:r>
      <w:r>
        <w:rPr>
          <w:rFonts w:cs="Arial"/>
        </w:rPr>
        <w:t xml:space="preserve"> </w:t>
      </w:r>
      <w:r w:rsidRPr="00ED35EB">
        <w:rPr>
          <w:rFonts w:cs="Arial"/>
        </w:rPr>
        <w:t>Nr. 7 des Bundes-Immissionsschutzgesetzes</w:t>
      </w:r>
      <w:r>
        <w:rPr>
          <w:rFonts w:cs="Arial"/>
        </w:rPr>
        <w:t xml:space="preserve"> </w:t>
      </w:r>
      <w:r w:rsidRPr="00ED35EB">
        <w:rPr>
          <w:rFonts w:cs="Arial"/>
        </w:rPr>
        <w:t>handelt, wer vorsätzlich oder fahrlässig als Betreiber</w:t>
      </w:r>
      <w:r>
        <w:rPr>
          <w:rFonts w:cs="Arial"/>
        </w:rPr>
        <w:t xml:space="preserve"> </w:t>
      </w:r>
      <w:r w:rsidRPr="00ED35EB">
        <w:rPr>
          <w:rFonts w:cs="Arial"/>
        </w:rPr>
        <w:t>einer Verbrennungs- oder Mitverbrennungsanlage</w:t>
      </w:r>
      <w:r>
        <w:rPr>
          <w:rFonts w:cs="Arial"/>
        </w:rPr>
        <w:t xml:space="preserve"> </w:t>
      </w:r>
      <w:r w:rsidRPr="00ED35EB">
        <w:rPr>
          <w:rFonts w:cs="Arial"/>
        </w:rPr>
        <w:t>entgegen § 14a Abs. 1 Satz 2</w:t>
      </w:r>
      <w:r>
        <w:rPr>
          <w:rFonts w:cs="Arial"/>
        </w:rPr>
        <w:t xml:space="preserve"> </w:t>
      </w:r>
      <w:r w:rsidRPr="00ED35EB">
        <w:rPr>
          <w:rFonts w:cs="Arial"/>
        </w:rPr>
        <w:t>oder 3 einen Nachweis nicht, nicht richtig oder</w:t>
      </w:r>
      <w:r>
        <w:rPr>
          <w:rFonts w:cs="Arial"/>
        </w:rPr>
        <w:t xml:space="preserve"> </w:t>
      </w:r>
      <w:r w:rsidRPr="00ED35EB">
        <w:rPr>
          <w:rFonts w:cs="Arial"/>
        </w:rPr>
        <w:t>nicht vollständig führt, nicht oder nicht rechtze</w:t>
      </w:r>
      <w:r w:rsidRPr="00ED35EB">
        <w:rPr>
          <w:rFonts w:cs="Arial"/>
        </w:rPr>
        <w:t>i</w:t>
      </w:r>
      <w:r w:rsidRPr="00ED35EB">
        <w:rPr>
          <w:rFonts w:cs="Arial"/>
        </w:rPr>
        <w:t>tig</w:t>
      </w:r>
      <w:r>
        <w:rPr>
          <w:rFonts w:cs="Arial"/>
        </w:rPr>
        <w:t xml:space="preserve"> </w:t>
      </w:r>
      <w:r w:rsidRPr="00ED35EB">
        <w:rPr>
          <w:rFonts w:cs="Arial"/>
        </w:rPr>
        <w:t>vorlegt oder nicht oder nicht mindestens fünf</w:t>
      </w:r>
      <w:r>
        <w:rPr>
          <w:rFonts w:cs="Arial"/>
        </w:rPr>
        <w:t xml:space="preserve"> </w:t>
      </w:r>
      <w:r w:rsidRPr="00ED35EB">
        <w:rPr>
          <w:rFonts w:cs="Arial"/>
        </w:rPr>
        <w:t>Jahre aufbewahrt.</w:t>
      </w:r>
    </w:p>
    <w:p w:rsidR="001469C7" w:rsidRPr="008F2F31" w:rsidRDefault="001469C7" w:rsidP="00F63BCF">
      <w:pPr>
        <w:pStyle w:val="berschrift2"/>
      </w:pPr>
      <w:bookmarkStart w:id="32" w:name="_Toc462324075"/>
      <w:r w:rsidRPr="008F2F31">
        <w:t>Sechster Teil</w:t>
      </w:r>
      <w:r w:rsidR="00F63BCF">
        <w:br/>
      </w:r>
      <w:r w:rsidRPr="008F2F31">
        <w:t>Schlussvorschriften</w:t>
      </w:r>
      <w:bookmarkEnd w:id="32"/>
    </w:p>
    <w:p w:rsidR="001469C7" w:rsidRPr="008F2F31" w:rsidRDefault="001469C7" w:rsidP="00F63BCF">
      <w:pPr>
        <w:pStyle w:val="berschrift3"/>
      </w:pPr>
      <w:bookmarkStart w:id="33" w:name="_Toc462324076"/>
      <w:r w:rsidRPr="008F2F31">
        <w:t>§ 22</w:t>
      </w:r>
      <w:r w:rsidR="00F63BCF">
        <w:br/>
      </w:r>
      <w:r w:rsidRPr="008F2F31">
        <w:t>(Inkrafttreten)</w:t>
      </w:r>
      <w:bookmarkEnd w:id="33"/>
    </w:p>
    <w:p w:rsidR="001469C7" w:rsidRPr="008F2F31" w:rsidRDefault="003723DF" w:rsidP="003723DF">
      <w:pPr>
        <w:pStyle w:val="berschrift2"/>
        <w:jc w:val="left"/>
      </w:pPr>
      <w:r>
        <w:br w:type="page"/>
      </w:r>
      <w:bookmarkStart w:id="34" w:name="_Toc462324077"/>
      <w:r w:rsidR="001469C7" w:rsidRPr="008F2F31">
        <w:lastRenderedPageBreak/>
        <w:t>Anhang I</w:t>
      </w:r>
      <w:bookmarkEnd w:id="34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Für den nach § 5 Abs. 1 Nr. 4 oder Anhang II Nr. II.1, II.2, II.3 zu bildenden Summenwert für polychloriert</w:t>
      </w:r>
      <w:r w:rsidRPr="008F2F31">
        <w:rPr>
          <w:rFonts w:cs="Arial"/>
        </w:rPr>
        <w:t>e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Dibenzodioxine und Dibenzofurane sind die im Abgas ermittelten Konzentrationen der nachstehend genan</w:t>
      </w:r>
      <w:r w:rsidRPr="008F2F31">
        <w:rPr>
          <w:rFonts w:cs="Arial"/>
        </w:rPr>
        <w:t>n</w:t>
      </w:r>
      <w:r w:rsidRPr="008F2F31">
        <w:rPr>
          <w:rFonts w:cs="Arial"/>
        </w:rPr>
        <w:t>ten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Dioxine und Furane mit den angegebenen Äquivalenzfaktoren zu multiplizieren und zu summieren.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777"/>
      </w:tblGrid>
      <w:tr w:rsidR="003723DF" w:rsidRPr="006572B4" w:rsidTr="006572B4">
        <w:tc>
          <w:tcPr>
            <w:tcW w:w="9777" w:type="dxa"/>
            <w:shd w:val="clear" w:color="auto" w:fill="auto"/>
          </w:tcPr>
          <w:p w:rsidR="003723DF" w:rsidRPr="006572B4" w:rsidRDefault="003723DF" w:rsidP="006572B4">
            <w:pPr>
              <w:pStyle w:val="GesAbsatz"/>
              <w:jc w:val="right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Äquivalenzfaktor</w:t>
            </w:r>
          </w:p>
        </w:tc>
      </w:tr>
      <w:tr w:rsidR="003723DF" w:rsidRPr="006572B4" w:rsidTr="006572B4">
        <w:tc>
          <w:tcPr>
            <w:tcW w:w="9777" w:type="dxa"/>
            <w:shd w:val="clear" w:color="auto" w:fill="auto"/>
          </w:tcPr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2,3,7,8</w:t>
            </w:r>
            <w:r w:rsidRPr="006572B4">
              <w:rPr>
                <w:rFonts w:cs="Arial"/>
              </w:rPr>
              <w:tab/>
              <w:t>- Tetrachlordibenzodioxin (TCDD)</w:t>
            </w:r>
            <w:r w:rsidRPr="006572B4">
              <w:rPr>
                <w:rFonts w:cs="Arial"/>
              </w:rPr>
              <w:tab/>
              <w:t>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1,2,3,7,8</w:t>
            </w:r>
            <w:r w:rsidRPr="006572B4">
              <w:rPr>
                <w:rFonts w:cs="Arial"/>
              </w:rPr>
              <w:tab/>
              <w:t>- Pentachlordibenzodioxin (PeCDD)</w:t>
            </w:r>
            <w:r w:rsidRPr="006572B4">
              <w:rPr>
                <w:rFonts w:cs="Arial"/>
              </w:rPr>
              <w:tab/>
              <w:t>0,5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1,2,3,4,7,8</w:t>
            </w:r>
            <w:r w:rsidRPr="006572B4">
              <w:rPr>
                <w:rFonts w:cs="Arial"/>
              </w:rPr>
              <w:tab/>
              <w:t>- Hexachlordibenzodioxin (HxCDD)</w:t>
            </w:r>
            <w:r w:rsidRPr="006572B4">
              <w:rPr>
                <w:rFonts w:cs="Arial"/>
              </w:rPr>
              <w:tab/>
              <w:t>0,1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1,2,3,7,8,9</w:t>
            </w:r>
            <w:r w:rsidRPr="006572B4">
              <w:rPr>
                <w:rFonts w:cs="Arial"/>
              </w:rPr>
              <w:tab/>
              <w:t>- Hexachlordibenzodioxin (HxCDD)</w:t>
            </w:r>
            <w:r w:rsidRPr="006572B4">
              <w:rPr>
                <w:rFonts w:cs="Arial"/>
              </w:rPr>
              <w:tab/>
              <w:t>0,1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1,2,3,6,7,8</w:t>
            </w:r>
            <w:r w:rsidRPr="006572B4">
              <w:rPr>
                <w:rFonts w:cs="Arial"/>
              </w:rPr>
              <w:tab/>
              <w:t>- Hexachlordibenzodioxin (HxCDD)</w:t>
            </w:r>
            <w:r w:rsidRPr="006572B4">
              <w:rPr>
                <w:rFonts w:cs="Arial"/>
              </w:rPr>
              <w:tab/>
              <w:t>0,1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1,2,3,4,6,7,8</w:t>
            </w:r>
            <w:r w:rsidRPr="006572B4">
              <w:rPr>
                <w:rFonts w:cs="Arial"/>
              </w:rPr>
              <w:tab/>
              <w:t>- Heptachlordibenzodioxin (HpCDD)</w:t>
            </w:r>
            <w:r w:rsidRPr="006572B4">
              <w:rPr>
                <w:rFonts w:cs="Arial"/>
              </w:rPr>
              <w:tab/>
              <w:t>0,01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Octachlordibenzodioxin (OCDD)</w:t>
            </w:r>
            <w:r w:rsidRPr="006572B4">
              <w:rPr>
                <w:rFonts w:cs="Arial"/>
              </w:rPr>
              <w:tab/>
              <w:t>0,001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2,3,7,8</w:t>
            </w:r>
            <w:r w:rsidRPr="006572B4">
              <w:rPr>
                <w:rFonts w:cs="Arial"/>
              </w:rPr>
              <w:tab/>
              <w:t>- Tetrachlordibenzofuran (TCDF)</w:t>
            </w:r>
            <w:r w:rsidRPr="006572B4">
              <w:rPr>
                <w:rFonts w:cs="Arial"/>
              </w:rPr>
              <w:tab/>
              <w:t>0,1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2,3,4,7,8</w:t>
            </w:r>
            <w:r w:rsidRPr="006572B4">
              <w:rPr>
                <w:rFonts w:cs="Arial"/>
              </w:rPr>
              <w:tab/>
              <w:t>- Pentachlordibenzofuran (PeCDF)</w:t>
            </w:r>
            <w:r w:rsidRPr="006572B4">
              <w:rPr>
                <w:rFonts w:cs="Arial"/>
              </w:rPr>
              <w:tab/>
              <w:t>0,5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1,2,3,7,8</w:t>
            </w:r>
            <w:r w:rsidRPr="006572B4">
              <w:rPr>
                <w:rFonts w:cs="Arial"/>
              </w:rPr>
              <w:tab/>
              <w:t>- Pentachlordibenzofuran (PeCDF)</w:t>
            </w:r>
            <w:r w:rsidRPr="006572B4">
              <w:rPr>
                <w:rFonts w:cs="Arial"/>
              </w:rPr>
              <w:tab/>
              <w:t>0,05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1,2,3,4,7,8</w:t>
            </w:r>
            <w:r w:rsidRPr="006572B4">
              <w:rPr>
                <w:rFonts w:cs="Arial"/>
              </w:rPr>
              <w:tab/>
              <w:t>- Hexachlordibenzofuran (HxCDF)</w:t>
            </w:r>
            <w:r w:rsidRPr="006572B4">
              <w:rPr>
                <w:rFonts w:cs="Arial"/>
              </w:rPr>
              <w:tab/>
              <w:t>0,1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1,2,3,7,8,9</w:t>
            </w:r>
            <w:r w:rsidRPr="006572B4">
              <w:rPr>
                <w:rFonts w:cs="Arial"/>
              </w:rPr>
              <w:tab/>
              <w:t>- Hexachlordibenzofuran (HxCDF)</w:t>
            </w:r>
            <w:r w:rsidRPr="006572B4">
              <w:rPr>
                <w:rFonts w:cs="Arial"/>
              </w:rPr>
              <w:tab/>
              <w:t>0,1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1,2,3,6,7,8</w:t>
            </w:r>
            <w:r w:rsidRPr="006572B4">
              <w:rPr>
                <w:rFonts w:cs="Arial"/>
              </w:rPr>
              <w:tab/>
              <w:t>- Hexachlordibenzofuran (HxCDF)</w:t>
            </w:r>
            <w:r w:rsidRPr="006572B4">
              <w:rPr>
                <w:rFonts w:cs="Arial"/>
              </w:rPr>
              <w:tab/>
              <w:t>0,1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2,3,4,6,7,8</w:t>
            </w:r>
            <w:r w:rsidRPr="006572B4">
              <w:rPr>
                <w:rFonts w:cs="Arial"/>
              </w:rPr>
              <w:tab/>
              <w:t>- Hexachlordibenzofuran (HxCDF)</w:t>
            </w:r>
            <w:r w:rsidRPr="006572B4">
              <w:rPr>
                <w:rFonts w:cs="Arial"/>
              </w:rPr>
              <w:tab/>
              <w:t>0,1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1,2,3,4,6,7,8</w:t>
            </w:r>
            <w:r w:rsidRPr="006572B4">
              <w:rPr>
                <w:rFonts w:cs="Arial"/>
              </w:rPr>
              <w:tab/>
              <w:t>- Heptachlordibenzofuran (HpCDF)</w:t>
            </w:r>
            <w:r w:rsidRPr="006572B4">
              <w:rPr>
                <w:rFonts w:cs="Arial"/>
              </w:rPr>
              <w:tab/>
              <w:t>0,01</w:t>
            </w:r>
          </w:p>
          <w:p w:rsidR="003723DF" w:rsidRPr="006572B4" w:rsidRDefault="003723DF" w:rsidP="006572B4">
            <w:pPr>
              <w:pStyle w:val="GesAbsatz"/>
              <w:tabs>
                <w:tab w:val="left" w:pos="2268"/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1,2,3,4,7,8,9</w:t>
            </w:r>
            <w:r w:rsidRPr="006572B4">
              <w:rPr>
                <w:rFonts w:cs="Arial"/>
              </w:rPr>
              <w:tab/>
              <w:t>- Heptachlordibenzofuran (HpCDF)</w:t>
            </w:r>
            <w:r w:rsidRPr="006572B4">
              <w:rPr>
                <w:rFonts w:cs="Arial"/>
              </w:rPr>
              <w:tab/>
              <w:t>0,01</w:t>
            </w:r>
          </w:p>
          <w:p w:rsidR="003723DF" w:rsidRPr="006572B4" w:rsidRDefault="003723DF" w:rsidP="006572B4">
            <w:pPr>
              <w:pStyle w:val="GesAbsatz"/>
              <w:tabs>
                <w:tab w:val="decimal" w:pos="8505"/>
              </w:tabs>
              <w:rPr>
                <w:rFonts w:cs="Arial"/>
              </w:rPr>
            </w:pPr>
            <w:r w:rsidRPr="006572B4">
              <w:rPr>
                <w:rFonts w:cs="Arial"/>
              </w:rPr>
              <w:t>Octachlordibenzofuran (OCDF)</w:t>
            </w:r>
            <w:r w:rsidRPr="006572B4">
              <w:rPr>
                <w:rFonts w:cs="Arial"/>
              </w:rPr>
              <w:tab/>
              <w:t>0,001</w:t>
            </w:r>
          </w:p>
        </w:tc>
      </w:tr>
    </w:tbl>
    <w:p w:rsidR="003723DF" w:rsidRDefault="003723DF" w:rsidP="008F2F31">
      <w:pPr>
        <w:pStyle w:val="GesAbsatz"/>
        <w:rPr>
          <w:rFonts w:cs="Arial"/>
        </w:rPr>
      </w:pPr>
    </w:p>
    <w:p w:rsidR="001469C7" w:rsidRPr="008F2F31" w:rsidRDefault="001469C7" w:rsidP="003723DF">
      <w:pPr>
        <w:pStyle w:val="berschrift2"/>
        <w:jc w:val="left"/>
      </w:pPr>
      <w:bookmarkStart w:id="35" w:name="_Toc462324078"/>
      <w:r w:rsidRPr="008F2F31">
        <w:t>Anhang II</w:t>
      </w:r>
      <w:bookmarkEnd w:id="35"/>
    </w:p>
    <w:p w:rsidR="001469C7" w:rsidRPr="003723DF" w:rsidRDefault="001469C7" w:rsidP="003723DF">
      <w:pPr>
        <w:pStyle w:val="GesAbsatz"/>
        <w:jc w:val="center"/>
        <w:rPr>
          <w:rFonts w:cs="Arial"/>
          <w:b/>
        </w:rPr>
      </w:pPr>
      <w:r w:rsidRPr="003723DF">
        <w:rPr>
          <w:rFonts w:cs="Arial"/>
          <w:b/>
        </w:rPr>
        <w:t>Bestimmung der Emissionsgrenzwerte für Mitverbrennungsanlagen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Der Anhang II dient der Festlegung von Emissionsgrenzwerten für Anlagen, die Abfälle oder Stoffe nach § 1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Abs. 1 mitverbrennen.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Die in diesem Anhang vorgegebenen festen Emissionsgrenzwerte gelten für die jeweiligen Mitverbre</w:t>
      </w:r>
      <w:r w:rsidRPr="008F2F31">
        <w:rPr>
          <w:rFonts w:cs="Arial"/>
        </w:rPr>
        <w:t>n</w:t>
      </w:r>
      <w:r w:rsidRPr="008F2F31">
        <w:rPr>
          <w:rFonts w:cs="Arial"/>
        </w:rPr>
        <w:t>nungsanlagen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unter Berücksichtigung der dort genannten Ausnahmen.</w:t>
      </w:r>
    </w:p>
    <w:p w:rsidR="001469C7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Soweit keine festen Emissionsgrenzwerte oder feste Bezugssauerstoffgehalte in diesem Anhang vorgeg</w:t>
      </w:r>
      <w:r w:rsidRPr="008F2F31">
        <w:rPr>
          <w:rFonts w:cs="Arial"/>
        </w:rPr>
        <w:t>e</w:t>
      </w:r>
      <w:r w:rsidRPr="008F2F31">
        <w:rPr>
          <w:rFonts w:cs="Arial"/>
        </w:rPr>
        <w:t>ben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sind, kommt die Mischungsregel zur Anwendung. Die folgende Formel (Mischungsregel) ist zur Berec</w:t>
      </w:r>
      <w:r w:rsidRPr="008F2F31">
        <w:rPr>
          <w:rFonts w:cs="Arial"/>
        </w:rPr>
        <w:t>h</w:t>
      </w:r>
      <w:r w:rsidRPr="008F2F31">
        <w:rPr>
          <w:rFonts w:cs="Arial"/>
        </w:rPr>
        <w:t>nung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der Emissionsgrenzwerte für jeden unter § 5 Abs. 1 geregelten Emissionsparameter sowie zur Berec</w:t>
      </w:r>
      <w:r w:rsidRPr="008F2F31">
        <w:rPr>
          <w:rFonts w:cs="Arial"/>
        </w:rPr>
        <w:t>h</w:t>
      </w:r>
      <w:r w:rsidRPr="008F2F31">
        <w:rPr>
          <w:rFonts w:cs="Arial"/>
        </w:rPr>
        <w:t>nung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des Bezugssauerstoffgehalts anzuwenden. Emissionsparameter im Sinne dieses Anhangs sind die in §</w:t>
      </w:r>
      <w:r w:rsidR="003723DF">
        <w:rPr>
          <w:rFonts w:cs="Arial"/>
        </w:rPr>
        <w:t> </w:t>
      </w:r>
      <w:r w:rsidRPr="008F2F31">
        <w:rPr>
          <w:rFonts w:cs="Arial"/>
        </w:rPr>
        <w:t xml:space="preserve">5 Abs. 1 aufgeführten Schadstoffe, für die Tagesmittelwerte, Halbstundenmittelwerte oder Mittelwerte </w:t>
      </w:r>
      <w:r w:rsidRPr="008F2F31">
        <w:rPr>
          <w:rFonts w:cs="Arial"/>
        </w:rPr>
        <w:t>ü</w:t>
      </w:r>
      <w:r w:rsidRPr="008F2F31">
        <w:rPr>
          <w:rFonts w:cs="Arial"/>
        </w:rPr>
        <w:t>ber</w:t>
      </w:r>
      <w:r w:rsidR="003723DF">
        <w:rPr>
          <w:rFonts w:cs="Arial"/>
        </w:rPr>
        <w:t xml:space="preserve"> </w:t>
      </w:r>
      <w:r w:rsidRPr="008F2F31">
        <w:rPr>
          <w:rFonts w:cs="Arial"/>
        </w:rPr>
        <w:t>die jeweilige Probenahmezeit festgelegt sind.</w:t>
      </w:r>
    </w:p>
    <w:p w:rsidR="003723DF" w:rsidRPr="008F2F31" w:rsidRDefault="00840257" w:rsidP="003F078E">
      <w:pPr>
        <w:pStyle w:val="GesAbsatz"/>
        <w:jc w:val="center"/>
        <w:rPr>
          <w:rFonts w:cs="Arial"/>
        </w:rPr>
      </w:pPr>
      <w:r w:rsidRPr="003F078E">
        <w:rPr>
          <w:rFonts w:cs="Arial"/>
          <w:position w:val="-36"/>
        </w:rPr>
        <w:object w:dxaOrig="40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2pt" o:ole="">
            <v:imagedata r:id="rId8" o:title=""/>
          </v:shape>
          <o:OLEObject Type="Embed" ProgID="Equation.3" ShapeID="_x0000_i1025" DrawAspect="Content" ObjectID="_1536066018" r:id="rId9"/>
        </w:objec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proofErr w:type="spellStart"/>
      <w:r w:rsidRPr="008F2F31">
        <w:rPr>
          <w:rFonts w:cs="Arial"/>
        </w:rPr>
        <w:t>V</w:t>
      </w:r>
      <w:r w:rsidRPr="00840257">
        <w:rPr>
          <w:rFonts w:cs="Arial"/>
          <w:vertAlign w:val="subscript"/>
        </w:rPr>
        <w:t>Abfall</w:t>
      </w:r>
      <w:proofErr w:type="spellEnd"/>
      <w:r w:rsidRPr="008F2F31">
        <w:rPr>
          <w:rFonts w:cs="Arial"/>
        </w:rPr>
        <w:t>:</w:t>
      </w:r>
      <w:r w:rsidR="00840257">
        <w:rPr>
          <w:rFonts w:cs="Arial"/>
        </w:rPr>
        <w:tab/>
      </w:r>
      <w:r w:rsidRPr="008F2F31">
        <w:rPr>
          <w:rFonts w:cs="Arial"/>
        </w:rPr>
        <w:t>Abgasstrom, der bei der Verbrennung des höchstzulässigen Anteils der Abfälle oder Stoffe nach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§ 1 Abs. 1 einschließlich des für die Verbrennung dieser Stoffe zusätzlich benötigten Brennstoffs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entsteht. Beträgt der zulässige Anteil der Abfälle oder Stoffe nach § 1 Abs. 1 weniger als 10 vom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Hundert an der unverändert zugrunde gelegten Gesamtfeuerungswärmeleistung einer Mitve</w:t>
      </w:r>
      <w:r w:rsidRPr="008F2F31">
        <w:rPr>
          <w:rFonts w:cs="Arial"/>
        </w:rPr>
        <w:t>r</w:t>
      </w:r>
      <w:r w:rsidRPr="008F2F31">
        <w:rPr>
          <w:rFonts w:cs="Arial"/>
        </w:rPr>
        <w:t>brennungsanlage,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so ist der zugehörige Abgasstrom anhand einer angenommenen Menge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von 10 vom Hundert dieser Abfälle oder Stoffe nach § 1 Abs. 1 zu berechnen.</w: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proofErr w:type="spellStart"/>
      <w:r w:rsidRPr="008F2F31">
        <w:rPr>
          <w:rFonts w:cs="Arial"/>
        </w:rPr>
        <w:t>V</w:t>
      </w:r>
      <w:r w:rsidRPr="00840257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>:</w:t>
      </w:r>
      <w:r w:rsidR="00840257">
        <w:rPr>
          <w:rFonts w:cs="Arial"/>
        </w:rPr>
        <w:tab/>
      </w:r>
      <w:r w:rsidRPr="008F2F31">
        <w:rPr>
          <w:rFonts w:cs="Arial"/>
        </w:rPr>
        <w:t>Verbleibender Teil des normierten Abgasstroms.</w: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proofErr w:type="spellStart"/>
      <w:r w:rsidRPr="008F2F31">
        <w:rPr>
          <w:rFonts w:cs="Arial"/>
        </w:rPr>
        <w:t>C</w:t>
      </w:r>
      <w:r w:rsidRPr="00840257">
        <w:rPr>
          <w:rFonts w:cs="Arial"/>
          <w:vertAlign w:val="subscript"/>
        </w:rPr>
        <w:t>Abfall</w:t>
      </w:r>
      <w:proofErr w:type="spellEnd"/>
      <w:r w:rsidRPr="008F2F31">
        <w:rPr>
          <w:rFonts w:cs="Arial"/>
        </w:rPr>
        <w:t>:</w:t>
      </w:r>
      <w:r w:rsidR="00840257">
        <w:rPr>
          <w:rFonts w:cs="Arial"/>
        </w:rPr>
        <w:tab/>
      </w:r>
      <w:r w:rsidRPr="008F2F31">
        <w:rPr>
          <w:rFonts w:cs="Arial"/>
        </w:rPr>
        <w:t>Emissionsgrenzwert für die in § 5 Abs. 1 aufgeführten Emissionsparameter oder Bezugssaue</w:t>
      </w:r>
      <w:r w:rsidRPr="008F2F31">
        <w:rPr>
          <w:rFonts w:cs="Arial"/>
        </w:rPr>
        <w:t>r</w:t>
      </w:r>
      <w:r w:rsidRPr="008F2F31">
        <w:rPr>
          <w:rFonts w:cs="Arial"/>
        </w:rPr>
        <w:t>stoffgehalt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für die in § 5 Abs. 2 festgelegten Bezugssauerstoffgehalte.</w: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proofErr w:type="spellStart"/>
      <w:r w:rsidRPr="008F2F31">
        <w:rPr>
          <w:rFonts w:cs="Arial"/>
        </w:rPr>
        <w:lastRenderedPageBreak/>
        <w:t>C</w:t>
      </w:r>
      <w:r w:rsidRPr="00840257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>:</w:t>
      </w:r>
      <w:r w:rsidR="00840257">
        <w:rPr>
          <w:rFonts w:cs="Arial"/>
        </w:rPr>
        <w:tab/>
      </w:r>
      <w:r w:rsidRPr="008F2F31">
        <w:rPr>
          <w:rFonts w:cs="Arial"/>
        </w:rPr>
        <w:t>Emissionswerte und Bezugssauerstoffgehalte gemäß den Tabellen in diesem Anhang. Für alle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anderen Emissionsparameter, für die in diesem Anhang keine festen Emissionsgrenzwerte oder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festen Bezugssauerstoffgehalte vorgegeben werden, gelten die nach den einschlägigen Vo</w:t>
      </w:r>
      <w:r w:rsidRPr="008F2F31">
        <w:rPr>
          <w:rFonts w:cs="Arial"/>
        </w:rPr>
        <w:t>r</w:t>
      </w:r>
      <w:r w:rsidRPr="008F2F31">
        <w:rPr>
          <w:rFonts w:cs="Arial"/>
        </w:rPr>
        <w:t>schriften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– wie 13. BImSchV oder TA Luft – bei der Verbrennung der üblicherweise zugelassenen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Brennstoffe festgelegten Emissionswerte bzw. Bezugssauerstoffgehalte. Bestehen solche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Vorg</w:t>
      </w:r>
      <w:r w:rsidRPr="008F2F31">
        <w:rPr>
          <w:rFonts w:cs="Arial"/>
        </w:rPr>
        <w:t>a</w:t>
      </w:r>
      <w:r w:rsidRPr="008F2F31">
        <w:rPr>
          <w:rFonts w:cs="Arial"/>
        </w:rPr>
        <w:t>ben nicht, so sind die in der Genehmigung festgelegten Emissionsbegrenzungen bzw.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Bezug</w:t>
      </w:r>
      <w:r w:rsidRPr="008F2F31">
        <w:rPr>
          <w:rFonts w:cs="Arial"/>
        </w:rPr>
        <w:t>s</w:t>
      </w:r>
      <w:r w:rsidRPr="008F2F31">
        <w:rPr>
          <w:rFonts w:cs="Arial"/>
        </w:rPr>
        <w:t>sauerstoffgehalte zu verwenden. Fehlen derartige Festlegungen, sind die tatsächlichen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Emissi</w:t>
      </w:r>
      <w:r w:rsidRPr="008F2F31">
        <w:rPr>
          <w:rFonts w:cs="Arial"/>
        </w:rPr>
        <w:t>o</w:t>
      </w:r>
      <w:r w:rsidRPr="008F2F31">
        <w:rPr>
          <w:rFonts w:cs="Arial"/>
        </w:rPr>
        <w:t>nen oder Sauerstoffgehalte beim Betrieb der Anlage ohne Einsatz von Abfällen oder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Stoffen nach § 1 Abs. 1 zugrunde zu legen.</w:t>
      </w:r>
    </w:p>
    <w:p w:rsidR="001469C7" w:rsidRPr="008F2F31" w:rsidRDefault="001469C7" w:rsidP="00840257">
      <w:pPr>
        <w:pStyle w:val="GesAbsatz"/>
        <w:ind w:left="993" w:hanging="993"/>
        <w:rPr>
          <w:rFonts w:cs="Arial"/>
        </w:rPr>
      </w:pPr>
      <w:r w:rsidRPr="008F2F31">
        <w:rPr>
          <w:rFonts w:cs="Arial"/>
        </w:rPr>
        <w:t>C:</w:t>
      </w:r>
      <w:r w:rsidR="00840257">
        <w:rPr>
          <w:rFonts w:cs="Arial"/>
        </w:rPr>
        <w:tab/>
      </w:r>
      <w:r w:rsidR="00840257">
        <w:rPr>
          <w:rFonts w:cs="Arial"/>
        </w:rPr>
        <w:tab/>
      </w:r>
      <w:r w:rsidRPr="008F2F31">
        <w:rPr>
          <w:rFonts w:cs="Arial"/>
        </w:rPr>
        <w:t>Berechneter Emissionsgrenzwert oder berechneter Bezugssauerstoffgehalt für Mitverbrennung</w:t>
      </w:r>
      <w:r w:rsidRPr="008F2F31">
        <w:rPr>
          <w:rFonts w:cs="Arial"/>
        </w:rPr>
        <w:t>s</w:t>
      </w:r>
      <w:r w:rsidRPr="008F2F31">
        <w:rPr>
          <w:rFonts w:cs="Arial"/>
        </w:rPr>
        <w:t>anlagen,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die sich aus der Anwendung der oben aufgeführten Formel ergeben. Wenn in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diesem Anhang für bestimmte Emissionsparameter ein fester Emissionsgrenzwert oder ein fester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B</w:t>
      </w:r>
      <w:r w:rsidRPr="008F2F31">
        <w:rPr>
          <w:rFonts w:cs="Arial"/>
        </w:rPr>
        <w:t>e</w:t>
      </w:r>
      <w:r w:rsidRPr="008F2F31">
        <w:rPr>
          <w:rFonts w:cs="Arial"/>
        </w:rPr>
        <w:t>zugssauerstoffgehalt bereits vorgegeben wird, ersetzt dieser Emissionsgrenzwert oder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Bezug</w:t>
      </w:r>
      <w:r w:rsidRPr="008F2F31">
        <w:rPr>
          <w:rFonts w:cs="Arial"/>
        </w:rPr>
        <w:t>s</w:t>
      </w:r>
      <w:r w:rsidRPr="008F2F31">
        <w:rPr>
          <w:rFonts w:cs="Arial"/>
        </w:rPr>
        <w:t>sauerstoffgehalt die rechnerische Ermittlung des Emissionsgrenzwerts oder des Bezugssaue</w:t>
      </w:r>
      <w:r w:rsidRPr="008F2F31">
        <w:rPr>
          <w:rFonts w:cs="Arial"/>
        </w:rPr>
        <w:t>r</w:t>
      </w:r>
      <w:r w:rsidRPr="008F2F31">
        <w:rPr>
          <w:rFonts w:cs="Arial"/>
        </w:rPr>
        <w:t>stoffgehalts</w:t>
      </w:r>
      <w:r w:rsidR="00840257">
        <w:rPr>
          <w:rFonts w:cs="Arial"/>
        </w:rPr>
        <w:t xml:space="preserve"> </w:t>
      </w:r>
      <w:r w:rsidRPr="008F2F31">
        <w:rPr>
          <w:rFonts w:cs="Arial"/>
        </w:rPr>
        <w:t>für diesen Emissionsparameter</w:t>
      </w:r>
    </w:p>
    <w:p w:rsidR="001469C7" w:rsidRPr="00F63479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F63479">
        <w:rPr>
          <w:rFonts w:cs="Arial"/>
          <w:b/>
        </w:rPr>
        <w:t>II.1</w:t>
      </w:r>
      <w:r w:rsidR="00F63479">
        <w:rPr>
          <w:rFonts w:cs="Arial"/>
          <w:b/>
        </w:rPr>
        <w:tab/>
      </w:r>
      <w:r w:rsidRPr="00F63479">
        <w:rPr>
          <w:rFonts w:cs="Arial"/>
          <w:b/>
        </w:rPr>
        <w:t>Besondere Vorschriften für Anlagen zur Herstellung von Zementklinker oder Zementen sowie</w:t>
      </w:r>
      <w:r w:rsidR="00F63479" w:rsidRPr="00F63479">
        <w:rPr>
          <w:rFonts w:cs="Arial"/>
          <w:b/>
        </w:rPr>
        <w:t xml:space="preserve"> </w:t>
      </w:r>
      <w:r w:rsidRPr="00F63479">
        <w:rPr>
          <w:rFonts w:cs="Arial"/>
          <w:b/>
        </w:rPr>
        <w:t>für Anl</w:t>
      </w:r>
      <w:r w:rsidRPr="00F63479">
        <w:rPr>
          <w:rFonts w:cs="Arial"/>
          <w:b/>
        </w:rPr>
        <w:t>a</w:t>
      </w:r>
      <w:r w:rsidRPr="00F63479">
        <w:rPr>
          <w:rFonts w:cs="Arial"/>
          <w:b/>
        </w:rPr>
        <w:t>gen zum Brennen von Kalk, in denen Abfälle oder Stoffe nach § 1 Abs. 1 mitverbrannt</w:t>
      </w:r>
      <w:r w:rsidR="00F63479" w:rsidRPr="00F63479">
        <w:rPr>
          <w:rFonts w:cs="Arial"/>
          <w:b/>
        </w:rPr>
        <w:t xml:space="preserve"> </w:t>
      </w:r>
      <w:r w:rsidRPr="00F63479">
        <w:rPr>
          <w:rFonts w:cs="Arial"/>
          <w:b/>
        </w:rPr>
        <w:t>werden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Emissionen sind zur Überprüfung der Einhaltung der Emissionsgrenzwerte auf einen festen B</w:t>
      </w:r>
      <w:r w:rsidRPr="008F2F31">
        <w:rPr>
          <w:rFonts w:cs="Arial"/>
        </w:rPr>
        <w:t>e</w:t>
      </w:r>
      <w:r w:rsidRPr="008F2F31">
        <w:rPr>
          <w:rFonts w:cs="Arial"/>
        </w:rPr>
        <w:t>zugssauerstoffgehalt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von 10 vom Hundert zu beziehen. Die in § 5 Abs. 1 Nr. 3 und 4 festgelegten Emissionsgrenzwerte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für die zu Gruppen zusammengefassten Schadstoffe (Schwermetalle, Be</w:t>
      </w:r>
      <w:r w:rsidRPr="008F2F31">
        <w:rPr>
          <w:rFonts w:cs="Arial"/>
        </w:rPr>
        <w:t>n</w:t>
      </w:r>
      <w:r w:rsidRPr="008F2F31">
        <w:rPr>
          <w:rFonts w:cs="Arial"/>
        </w:rPr>
        <w:t>zo(a)pyren, polychlorierte Dibenzodioxine und Dibenzofurane) gelten unter Berücksichtigung des in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Satz 1 festgelegten Bezugssauerstoffgehalts.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Soweit in Nummer II.1.2 nicht anders festgelegt ist, dürfen die Halbstundenmittelwerte das Zweif</w:t>
      </w:r>
      <w:r w:rsidRPr="008F2F31">
        <w:rPr>
          <w:rFonts w:cs="Arial"/>
        </w:rPr>
        <w:t>a</w:t>
      </w:r>
      <w:r w:rsidRPr="008F2F31">
        <w:rPr>
          <w:rFonts w:cs="Arial"/>
        </w:rPr>
        <w:t>che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der unter Nummer II.1.1 festgelegten Tagesmittelwerte nicht überschreiten.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die Dauer der Probenahme und die sonstigen Messanforderungen gelten die in den §§ 9 bis 15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festgelegten Anforderungen.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Weitergehende Regelungen, die sich aus anderen Rechtsvorschriften oder aus diese Rechtsvorschri</w:t>
      </w:r>
      <w:r w:rsidRPr="008F2F31">
        <w:rPr>
          <w:rFonts w:cs="Arial"/>
        </w:rPr>
        <w:t>f</w:t>
      </w:r>
      <w:r w:rsidRPr="008F2F31">
        <w:rPr>
          <w:rFonts w:cs="Arial"/>
        </w:rPr>
        <w:t>ten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konkretisierenden Verwaltungsvorschriften ergeben, bleiben unberührt.</w:t>
      </w:r>
    </w:p>
    <w:p w:rsidR="001469C7" w:rsidRPr="00F63479" w:rsidRDefault="001469C7" w:rsidP="00F63479">
      <w:pPr>
        <w:pStyle w:val="GesAbsatz"/>
        <w:tabs>
          <w:tab w:val="clear" w:pos="425"/>
          <w:tab w:val="left" w:pos="567"/>
        </w:tabs>
        <w:rPr>
          <w:rFonts w:cs="Arial"/>
          <w:b/>
        </w:rPr>
      </w:pPr>
      <w:r w:rsidRPr="00F63479">
        <w:rPr>
          <w:rFonts w:cs="Arial"/>
          <w:b/>
        </w:rPr>
        <w:t>II.1.1</w:t>
      </w:r>
      <w:r w:rsidR="00F63479">
        <w:rPr>
          <w:rFonts w:cs="Arial"/>
          <w:b/>
        </w:rPr>
        <w:tab/>
      </w:r>
      <w:r w:rsidRPr="00F63479">
        <w:rPr>
          <w:rFonts w:cs="Arial"/>
          <w:b/>
        </w:rPr>
        <w:t>Feste Emissionsgrenzwerte (Tagesmittelwerte in mg/m</w:t>
      </w:r>
      <w:r w:rsidR="00F63479">
        <w:rPr>
          <w:rFonts w:cs="Arial"/>
          <w:b/>
        </w:rPr>
        <w:t>³</w:t>
      </w:r>
      <w:r w:rsidRPr="00F63479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338"/>
        <w:gridCol w:w="2439"/>
      </w:tblGrid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Emissionsparameter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C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Gesamtstaub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10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gasförmige anorganische Fluorverbindungen, angegeben als Fluorwasserstoff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Stickstoffmonoxid und Stickstoffdioxid, angegeben als Stickstoffdioxid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500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Schwefeldioxid und Schwefeltrioxid; angegeben als Schwefeldioxid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50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organische Stoffe, angegeben als Gesamtkohlenstoff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10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0,03</w:t>
            </w:r>
          </w:p>
        </w:tc>
      </w:tr>
    </w:tbl>
    <w:p w:rsidR="00F63479" w:rsidRDefault="00F63479" w:rsidP="008F2F31">
      <w:pPr>
        <w:pStyle w:val="GesAbsatz"/>
        <w:rPr>
          <w:rFonts w:cs="Arial"/>
        </w:rPr>
      </w:pP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zuständigen Behörden können auf Antrag des Betreibers Ausnahmen für Schwefeldioxid und G</w:t>
      </w:r>
      <w:r w:rsidRPr="008F2F31">
        <w:rPr>
          <w:rFonts w:cs="Arial"/>
        </w:rPr>
        <w:t>e</w:t>
      </w:r>
      <w:r w:rsidRPr="008F2F31">
        <w:rPr>
          <w:rFonts w:cs="Arial"/>
        </w:rPr>
        <w:t>samtkohlenstoff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genehmigen, sofern diese Ausnahmen auf Grund der Zusammensetzung der Ro</w:t>
      </w:r>
      <w:r w:rsidRPr="008F2F31">
        <w:rPr>
          <w:rFonts w:cs="Arial"/>
        </w:rPr>
        <w:t>h</w:t>
      </w:r>
      <w:r w:rsidRPr="008F2F31">
        <w:rPr>
          <w:rFonts w:cs="Arial"/>
        </w:rPr>
        <w:t>stoffe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erforderlich sind und ausgeschlossen werden kann, dass durch die Verbrennung von Abfällen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oder Stoffen nach § 1 Abs. 1 zusätzliche Emissionen an Gesamtkohlenstoff und Schwefeldioxid en</w:t>
      </w:r>
      <w:r w:rsidRPr="008F2F31">
        <w:rPr>
          <w:rFonts w:cs="Arial"/>
        </w:rPr>
        <w:t>t</w:t>
      </w:r>
      <w:r w:rsidRPr="008F2F31">
        <w:rPr>
          <w:rFonts w:cs="Arial"/>
        </w:rPr>
        <w:t>stehen.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Die zuständigen Behörden können auf Antrag des Betreibers für Quecksilber und seine Ve</w:t>
      </w:r>
      <w:r w:rsidRPr="008F2F31">
        <w:rPr>
          <w:rFonts w:cs="Arial"/>
        </w:rPr>
        <w:t>r</w:t>
      </w:r>
      <w:r w:rsidRPr="008F2F31">
        <w:rPr>
          <w:rFonts w:cs="Arial"/>
        </w:rPr>
        <w:t>bindungen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e</w:t>
      </w:r>
      <w:r w:rsidRPr="008F2F31">
        <w:rPr>
          <w:rFonts w:cs="Arial"/>
        </w:rPr>
        <w:t>i</w:t>
      </w:r>
      <w:r w:rsidRPr="008F2F31">
        <w:rPr>
          <w:rFonts w:cs="Arial"/>
        </w:rPr>
        <w:t>nen Tagesmittelwert von bis zu 0,05 mg/m</w:t>
      </w:r>
      <w:r w:rsidR="00F63479">
        <w:rPr>
          <w:rFonts w:cs="Arial"/>
        </w:rPr>
        <w:t>³</w:t>
      </w:r>
      <w:r w:rsidRPr="008F2F31">
        <w:rPr>
          <w:rFonts w:cs="Arial"/>
        </w:rPr>
        <w:t xml:space="preserve"> genehmigen, wenn eine Überschreitung des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Tagesmitte</w:t>
      </w:r>
      <w:r w:rsidRPr="008F2F31">
        <w:rPr>
          <w:rFonts w:cs="Arial"/>
        </w:rPr>
        <w:t>l</w:t>
      </w:r>
      <w:r w:rsidRPr="008F2F31">
        <w:rPr>
          <w:rFonts w:cs="Arial"/>
        </w:rPr>
        <w:t>wertes von 0,03 mg/m</w:t>
      </w:r>
      <w:r w:rsidR="00F63479">
        <w:rPr>
          <w:rFonts w:cs="Arial"/>
        </w:rPr>
        <w:t>³</w:t>
      </w:r>
      <w:r w:rsidRPr="008F2F31">
        <w:rPr>
          <w:rFonts w:cs="Arial"/>
        </w:rPr>
        <w:t xml:space="preserve"> auf den Quecksilbergehalt der Rohstoffe zurückzuführen ist.</w:t>
      </w:r>
    </w:p>
    <w:p w:rsidR="001469C7" w:rsidRPr="00F63479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F63479">
        <w:rPr>
          <w:rFonts w:cs="Arial"/>
          <w:b/>
        </w:rPr>
        <w:t>II.1.2</w:t>
      </w:r>
      <w:r w:rsidR="00F63479">
        <w:rPr>
          <w:rFonts w:cs="Arial"/>
          <w:b/>
        </w:rPr>
        <w:tab/>
      </w:r>
      <w:r w:rsidRPr="00F63479">
        <w:rPr>
          <w:rFonts w:cs="Arial"/>
          <w:b/>
        </w:rPr>
        <w:t>Feste Emissionsgrenzwerte (Halbstundenmittelwerte in mg/m</w:t>
      </w:r>
      <w:r w:rsidR="00F63479">
        <w:rPr>
          <w:rFonts w:cs="Arial"/>
          <w:b/>
        </w:rPr>
        <w:t>³</w:t>
      </w:r>
      <w:r w:rsidRPr="00F63479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338"/>
        <w:gridCol w:w="2439"/>
      </w:tblGrid>
      <w:tr w:rsidR="00F63479" w:rsidRPr="006572B4" w:rsidTr="006572B4">
        <w:trPr>
          <w:tblHeader/>
        </w:trPr>
        <w:tc>
          <w:tcPr>
            <w:tcW w:w="7338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Emissionsparameter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C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F63479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60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F63479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lastRenderedPageBreak/>
              <w:t>gasförmige anorganische Fluorverbindungen, angegeben als Fluo</w:t>
            </w:r>
            <w:r w:rsidRPr="006572B4">
              <w:rPr>
                <w:rFonts w:cs="Arial"/>
              </w:rPr>
              <w:t>r</w:t>
            </w:r>
            <w:r w:rsidRPr="006572B4">
              <w:rPr>
                <w:rFonts w:cs="Arial"/>
              </w:rPr>
              <w:t>wasserstoff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4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F63479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Schwefeldioxid und Schwefeltrioxid, angegeben als Schwefeldioxid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</w:tr>
      <w:tr w:rsidR="00F63479" w:rsidRPr="006572B4" w:rsidTr="006572B4">
        <w:tc>
          <w:tcPr>
            <w:tcW w:w="7338" w:type="dxa"/>
            <w:shd w:val="clear" w:color="auto" w:fill="auto"/>
          </w:tcPr>
          <w:p w:rsidR="00F63479" w:rsidRPr="006572B4" w:rsidRDefault="00F63479" w:rsidP="00F63479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439" w:type="dxa"/>
            <w:shd w:val="clear" w:color="auto" w:fill="auto"/>
          </w:tcPr>
          <w:p w:rsidR="00F63479" w:rsidRPr="006572B4" w:rsidRDefault="00F6347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0,05</w:t>
            </w:r>
          </w:p>
        </w:tc>
      </w:tr>
    </w:tbl>
    <w:p w:rsidR="001469C7" w:rsidRPr="008F2F31" w:rsidRDefault="001469C7" w:rsidP="008F2F31">
      <w:pPr>
        <w:pStyle w:val="GesAbsatz"/>
        <w:rPr>
          <w:rFonts w:cs="Arial"/>
        </w:rPr>
      </w:pPr>
    </w:p>
    <w:p w:rsidR="001469C7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zuständigen Behörden können auf Antrag des Betreibers Ausnahmen für Schwefeldioxid und G</w:t>
      </w:r>
      <w:r w:rsidRPr="008F2F31">
        <w:rPr>
          <w:rFonts w:cs="Arial"/>
        </w:rPr>
        <w:t>e</w:t>
      </w:r>
      <w:r w:rsidRPr="008F2F31">
        <w:rPr>
          <w:rFonts w:cs="Arial"/>
        </w:rPr>
        <w:t>samtkohlenstoff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genehmigen, sofern diese Ausnahmen auf Grund der Zusammensetzung der Ro</w:t>
      </w:r>
      <w:r w:rsidRPr="008F2F31">
        <w:rPr>
          <w:rFonts w:cs="Arial"/>
        </w:rPr>
        <w:t>h</w:t>
      </w:r>
      <w:r w:rsidRPr="008F2F31">
        <w:rPr>
          <w:rFonts w:cs="Arial"/>
        </w:rPr>
        <w:t>stoffe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erforderlich sind und ausgeschlossen werden kann, dass durch die Verbrennung von Abfällen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oder Stoffen nach § 1 Abs. 1 zusätzliche Emissionen an Gesamtkohlenstoff und Schwefeldioxid en</w:t>
      </w:r>
      <w:r w:rsidRPr="008F2F31">
        <w:rPr>
          <w:rFonts w:cs="Arial"/>
        </w:rPr>
        <w:t>t</w:t>
      </w:r>
      <w:r w:rsidRPr="008F2F31">
        <w:rPr>
          <w:rFonts w:cs="Arial"/>
        </w:rPr>
        <w:t>stehen.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Die zuständigen Behörden können auf Antrag des Betreibers für Quecksilber und seine Ve</w:t>
      </w:r>
      <w:r w:rsidRPr="008F2F31">
        <w:rPr>
          <w:rFonts w:cs="Arial"/>
        </w:rPr>
        <w:t>r</w:t>
      </w:r>
      <w:r w:rsidRPr="008F2F31">
        <w:rPr>
          <w:rFonts w:cs="Arial"/>
        </w:rPr>
        <w:t>bindungen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einen Halbstundenmittelwert von bis zu 0,1 mg/m</w:t>
      </w:r>
      <w:r w:rsidR="00F63479">
        <w:rPr>
          <w:rFonts w:cs="Arial"/>
        </w:rPr>
        <w:t>³</w:t>
      </w:r>
      <w:r w:rsidRPr="008F2F31">
        <w:rPr>
          <w:rFonts w:cs="Arial"/>
        </w:rPr>
        <w:t xml:space="preserve"> genehmigen, wenn eine Überschre</w:t>
      </w:r>
      <w:r w:rsidRPr="008F2F31">
        <w:rPr>
          <w:rFonts w:cs="Arial"/>
        </w:rPr>
        <w:t>i</w:t>
      </w:r>
      <w:r w:rsidRPr="008F2F31">
        <w:rPr>
          <w:rFonts w:cs="Arial"/>
        </w:rPr>
        <w:t>tung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des Halbstundenmittelwertes von 0,05 mg/m</w:t>
      </w:r>
      <w:r w:rsidR="00F63479">
        <w:rPr>
          <w:rFonts w:cs="Arial"/>
        </w:rPr>
        <w:t>³</w:t>
      </w:r>
      <w:r w:rsidRPr="008F2F31">
        <w:rPr>
          <w:rFonts w:cs="Arial"/>
        </w:rPr>
        <w:t xml:space="preserve"> auf den Quecksilbergehalt der Rohstoffe zurückzufü</w:t>
      </w:r>
      <w:r w:rsidRPr="008F2F31">
        <w:rPr>
          <w:rFonts w:cs="Arial"/>
        </w:rPr>
        <w:t>h</w:t>
      </w:r>
      <w:r w:rsidRPr="008F2F31">
        <w:rPr>
          <w:rFonts w:cs="Arial"/>
        </w:rPr>
        <w:t>ren</w:t>
      </w:r>
      <w:r w:rsidR="00F63479">
        <w:rPr>
          <w:rFonts w:cs="Arial"/>
        </w:rPr>
        <w:t xml:space="preserve"> </w:t>
      </w:r>
      <w:r w:rsidRPr="008F2F31">
        <w:rPr>
          <w:rFonts w:cs="Arial"/>
        </w:rPr>
        <w:t>ist.</w:t>
      </w:r>
    </w:p>
    <w:p w:rsidR="00ED35EB" w:rsidRDefault="00ED35EB" w:rsidP="0091076C">
      <w:pPr>
        <w:pStyle w:val="GesAbsatz"/>
        <w:tabs>
          <w:tab w:val="clear" w:pos="425"/>
          <w:tab w:val="left" w:pos="567"/>
        </w:tabs>
        <w:spacing w:after="120"/>
        <w:ind w:left="567" w:hanging="567"/>
        <w:rPr>
          <w:rFonts w:cs="Arial"/>
        </w:rPr>
      </w:pPr>
      <w:r w:rsidRPr="0091076C">
        <w:rPr>
          <w:rFonts w:cs="Arial"/>
          <w:b/>
        </w:rPr>
        <w:t>II.1.2a Feste Emissionsgrenzwerte (Jahresmittelwerte in mg/m³)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tblGridChange w:id="36">
          <w:tblGrid>
            <w:gridCol w:w="3652"/>
            <w:gridCol w:w="2410"/>
          </w:tblGrid>
        </w:tblGridChange>
      </w:tblGrid>
      <w:tr w:rsidR="00ED35EB" w:rsidRPr="006572B4" w:rsidTr="006572B4">
        <w:trPr>
          <w:jc w:val="center"/>
        </w:trPr>
        <w:tc>
          <w:tcPr>
            <w:tcW w:w="3652" w:type="dxa"/>
            <w:shd w:val="clear" w:color="auto" w:fill="auto"/>
          </w:tcPr>
          <w:p w:rsidR="00ED35EB" w:rsidRPr="006572B4" w:rsidRDefault="00ED35EB" w:rsidP="006572B4">
            <w:pPr>
              <w:pStyle w:val="GesAbsatz"/>
              <w:tabs>
                <w:tab w:val="clear" w:pos="425"/>
                <w:tab w:val="left" w:pos="567"/>
              </w:tabs>
              <w:spacing w:before="120"/>
              <w:rPr>
                <w:rFonts w:cs="Arial"/>
              </w:rPr>
            </w:pPr>
            <w:r w:rsidRPr="006572B4">
              <w:rPr>
                <w:rFonts w:cs="Arial"/>
              </w:rPr>
              <w:t>Emissionsparameter</w:t>
            </w:r>
          </w:p>
        </w:tc>
        <w:tc>
          <w:tcPr>
            <w:tcW w:w="2410" w:type="dxa"/>
            <w:shd w:val="clear" w:color="auto" w:fill="auto"/>
          </w:tcPr>
          <w:p w:rsidR="00ED35EB" w:rsidRPr="006572B4" w:rsidRDefault="00ED35EB" w:rsidP="006572B4">
            <w:pPr>
              <w:pStyle w:val="GesAbsatz"/>
              <w:tabs>
                <w:tab w:val="clear" w:pos="425"/>
                <w:tab w:val="left" w:pos="567"/>
              </w:tabs>
              <w:spacing w:before="120"/>
              <w:rPr>
                <w:rFonts w:cs="Arial"/>
              </w:rPr>
            </w:pPr>
            <w:r w:rsidRPr="006572B4">
              <w:rPr>
                <w:rFonts w:cs="Arial"/>
              </w:rPr>
              <w:t>C</w:t>
            </w:r>
          </w:p>
        </w:tc>
      </w:tr>
      <w:tr w:rsidR="00ED35EB" w:rsidRPr="006572B4" w:rsidTr="006572B4">
        <w:trPr>
          <w:jc w:val="center"/>
        </w:trPr>
        <w:tc>
          <w:tcPr>
            <w:tcW w:w="3652" w:type="dxa"/>
            <w:shd w:val="clear" w:color="auto" w:fill="auto"/>
          </w:tcPr>
          <w:p w:rsidR="00ED35EB" w:rsidRPr="006572B4" w:rsidRDefault="00ED35EB" w:rsidP="006572B4">
            <w:pPr>
              <w:pStyle w:val="GesAbsatz"/>
              <w:tabs>
                <w:tab w:val="clear" w:pos="425"/>
                <w:tab w:val="left" w:pos="567"/>
              </w:tabs>
              <w:spacing w:before="120"/>
              <w:rPr>
                <w:rFonts w:cs="Arial"/>
              </w:rPr>
            </w:pPr>
            <w:r w:rsidRPr="006572B4">
              <w:rPr>
                <w:rFonts w:cs="Arial"/>
              </w:rPr>
              <w:t>Stickstoffmonoxid und Stickstoffdioxid, angegeben als Stickstoffdioxid</w:t>
            </w:r>
          </w:p>
        </w:tc>
        <w:tc>
          <w:tcPr>
            <w:tcW w:w="2410" w:type="dxa"/>
            <w:shd w:val="clear" w:color="auto" w:fill="auto"/>
          </w:tcPr>
          <w:p w:rsidR="00ED35EB" w:rsidRPr="006572B4" w:rsidRDefault="00ED35EB" w:rsidP="006572B4">
            <w:pPr>
              <w:pStyle w:val="GesAbsatz"/>
              <w:tabs>
                <w:tab w:val="clear" w:pos="425"/>
                <w:tab w:val="left" w:pos="567"/>
              </w:tabs>
              <w:spacing w:before="120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</w:tr>
    </w:tbl>
    <w:p w:rsidR="00ED35EB" w:rsidRPr="0091076C" w:rsidRDefault="00ED35EB" w:rsidP="0091076C">
      <w:pPr>
        <w:pStyle w:val="GesAbsatz"/>
        <w:tabs>
          <w:tab w:val="clear" w:pos="425"/>
          <w:tab w:val="left" w:pos="567"/>
        </w:tabs>
        <w:spacing w:before="120"/>
        <w:ind w:left="567"/>
        <w:rPr>
          <w:rFonts w:cs="Arial"/>
        </w:rPr>
      </w:pPr>
      <w:r w:rsidRPr="00ED35EB">
        <w:rPr>
          <w:rFonts w:cs="Arial"/>
        </w:rPr>
        <w:t>Abweichend von dem Emissionsgrenzwert</w:t>
      </w:r>
      <w:r>
        <w:rPr>
          <w:rFonts w:cs="Arial"/>
        </w:rPr>
        <w:t xml:space="preserve"> </w:t>
      </w:r>
      <w:r w:rsidRPr="00ED35EB">
        <w:rPr>
          <w:rFonts w:cs="Arial"/>
        </w:rPr>
        <w:t>für Stickstoffmonoxid und Stickstoffdioxid,</w:t>
      </w:r>
      <w:r>
        <w:rPr>
          <w:rFonts w:cs="Arial"/>
        </w:rPr>
        <w:t xml:space="preserve"> </w:t>
      </w:r>
      <w:r w:rsidRPr="00ED35EB">
        <w:rPr>
          <w:rFonts w:cs="Arial"/>
        </w:rPr>
        <w:t>angegeben als Stickstoffdioxid, gilt für Anlagen</w:t>
      </w:r>
      <w:r>
        <w:rPr>
          <w:rFonts w:cs="Arial"/>
        </w:rPr>
        <w:t xml:space="preserve"> </w:t>
      </w:r>
      <w:r w:rsidRPr="00ED35EB">
        <w:rPr>
          <w:rFonts w:cs="Arial"/>
        </w:rPr>
        <w:t>zum Brennen von Kalk in Drehrohröfen</w:t>
      </w:r>
      <w:r>
        <w:rPr>
          <w:rFonts w:cs="Arial"/>
        </w:rPr>
        <w:t xml:space="preserve"> </w:t>
      </w:r>
      <w:r w:rsidRPr="00ED35EB">
        <w:rPr>
          <w:rFonts w:cs="Arial"/>
        </w:rPr>
        <w:t>mit Rostvorwärmer ein Emi</w:t>
      </w:r>
      <w:r w:rsidRPr="00ED35EB">
        <w:rPr>
          <w:rFonts w:cs="Arial"/>
        </w:rPr>
        <w:t>s</w:t>
      </w:r>
      <w:r w:rsidRPr="00ED35EB">
        <w:rPr>
          <w:rFonts w:cs="Arial"/>
        </w:rPr>
        <w:t>sionsgrenzwert</w:t>
      </w:r>
      <w:r>
        <w:rPr>
          <w:rFonts w:cs="Arial"/>
        </w:rPr>
        <w:t xml:space="preserve"> </w:t>
      </w:r>
      <w:r w:rsidRPr="00ED35EB">
        <w:rPr>
          <w:rFonts w:cs="Arial"/>
        </w:rPr>
        <w:t>von 350 mg/m³.</w:t>
      </w:r>
    </w:p>
    <w:p w:rsidR="001469C7" w:rsidRPr="00B11D21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B11D21">
        <w:rPr>
          <w:rFonts w:cs="Arial"/>
          <w:b/>
        </w:rPr>
        <w:t>II.1.3</w:t>
      </w:r>
      <w:r w:rsidR="00B11D21">
        <w:rPr>
          <w:rFonts w:cs="Arial"/>
          <w:b/>
        </w:rPr>
        <w:tab/>
      </w:r>
      <w:r w:rsidRPr="00B11D21">
        <w:rPr>
          <w:rFonts w:cs="Arial"/>
          <w:b/>
        </w:rPr>
        <w:t>Emissionsgrenzwert für Kohlenmonoxid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zuständige Behörde hat einen Emissionsgrenzwert für Kohlenmonoxid unter Berücksichtigung der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Anforderungen nach § 5 Abs. 1 festzulegen. Die zuständige Behörde kann auf Antrag des Betreibers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von dem in § 5 Abs. 1 für Kohlenmonoxid festgelegten Emissionsgrenzwert abweichen, sofern diese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Ausnahmen auf Grund der Zusammensetzung der Rohstoffe erforderlich sind und ausgeschlossen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werden kann, dass durch die Verbrennung von Abfällen oder sonstigen Stoffen nach § 1 Abs. 1 z</w:t>
      </w:r>
      <w:r w:rsidRPr="008F2F31">
        <w:rPr>
          <w:rFonts w:cs="Arial"/>
        </w:rPr>
        <w:t>u</w:t>
      </w:r>
      <w:r w:rsidRPr="008F2F31">
        <w:rPr>
          <w:rFonts w:cs="Arial"/>
        </w:rPr>
        <w:t>sätzliche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Emissionen an Kohlenmonoxid entstehen.</w:t>
      </w:r>
    </w:p>
    <w:p w:rsidR="001469C7" w:rsidRPr="00B11D21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B11D21">
        <w:rPr>
          <w:rFonts w:cs="Arial"/>
          <w:b/>
        </w:rPr>
        <w:t>II.1.4</w:t>
      </w:r>
      <w:r w:rsidR="00B11D21">
        <w:rPr>
          <w:rFonts w:cs="Arial"/>
          <w:b/>
        </w:rPr>
        <w:tab/>
      </w:r>
      <w:r w:rsidRPr="00B11D21">
        <w:rPr>
          <w:rFonts w:cs="Arial"/>
          <w:b/>
        </w:rPr>
        <w:t>Festlegung der Grenzwerte für NO</w:t>
      </w:r>
      <w:r w:rsidRPr="00B11D21">
        <w:rPr>
          <w:rFonts w:cs="Arial"/>
          <w:b/>
          <w:vertAlign w:val="subscript"/>
        </w:rPr>
        <w:t>x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der in § 5a Abs. 4 Satz 1 geregelten Festlegung eines Mischgrenzwertes für NO</w:t>
      </w:r>
      <w:r w:rsidRPr="00B11D21">
        <w:rPr>
          <w:rFonts w:cs="Arial"/>
          <w:vertAlign w:val="subscript"/>
        </w:rPr>
        <w:t>x</w:t>
      </w:r>
      <w:r w:rsidR="00B11D21">
        <w:rPr>
          <w:rFonts w:cs="Arial"/>
          <w:vertAlign w:val="subscript"/>
        </w:rPr>
        <w:t xml:space="preserve"> </w:t>
      </w:r>
      <w:r w:rsidRPr="008F2F31">
        <w:rPr>
          <w:rFonts w:cs="Arial"/>
        </w:rPr>
        <w:t>kann bis zum 30. Oktober 2007 von den zuständigen Behörden für Altanlagen ein Tagesmittelwert für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Stickstoffmonoxid und Stickstoffdioxid, angegeben als Stickstoffdioxid, von 500 mg/m</w:t>
      </w:r>
      <w:r w:rsidR="00B11D21">
        <w:rPr>
          <w:rFonts w:cs="Arial"/>
        </w:rPr>
        <w:t xml:space="preserve">³ </w:t>
      </w:r>
      <w:r w:rsidRPr="008F2F31">
        <w:rPr>
          <w:rFonts w:cs="Arial"/>
        </w:rPr>
        <w:t>zugelassen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werden. Die Möglichkeiten, die Emissionen durch feuerungstechnische und andere dem Stand der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Technik entsprechende Maßnahmen weiter zu vermindern, sind auszuschöpfen.</w:t>
      </w:r>
    </w:p>
    <w:p w:rsidR="001469C7" w:rsidRPr="00B11D21" w:rsidRDefault="001469C7" w:rsidP="00F6347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B11D21">
        <w:rPr>
          <w:rFonts w:cs="Arial"/>
          <w:b/>
        </w:rPr>
        <w:t>II.2</w:t>
      </w:r>
      <w:r w:rsidR="00B11D21">
        <w:rPr>
          <w:rFonts w:cs="Arial"/>
          <w:b/>
        </w:rPr>
        <w:tab/>
      </w:r>
      <w:r w:rsidRPr="00B11D21">
        <w:rPr>
          <w:rFonts w:cs="Arial"/>
          <w:b/>
        </w:rPr>
        <w:t>Besondere Vorschriften für Feuerungsanlagen, in denen Abfälle oder Stoffe gemäß § 1 Abs. 1</w:t>
      </w:r>
      <w:r w:rsidR="00B11D21">
        <w:rPr>
          <w:rFonts w:cs="Arial"/>
          <w:b/>
        </w:rPr>
        <w:t xml:space="preserve"> </w:t>
      </w:r>
      <w:r w:rsidRPr="00B11D21">
        <w:rPr>
          <w:rFonts w:cs="Arial"/>
          <w:b/>
        </w:rPr>
        <w:t>mitverbrannt werden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Emissionen sind zur Überprüfung der Einhaltung der Emissionsgrenzwerte auf einen festen B</w:t>
      </w:r>
      <w:r w:rsidRPr="008F2F31">
        <w:rPr>
          <w:rFonts w:cs="Arial"/>
        </w:rPr>
        <w:t>e</w:t>
      </w:r>
      <w:r w:rsidRPr="008F2F31">
        <w:rPr>
          <w:rFonts w:cs="Arial"/>
        </w:rPr>
        <w:t>zugssauerstoffgehalt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von 6 vom Hundert bei der Verwendung von festen fossilen Brennstoffen oder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Biomassen oder 3 vom Hundert bei der Verwendung von flüssigen oder gasförmigen Brennstoffen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oder für Emissionswerte nach Nummer II.2.1, II.2.2 und II.2.3 gemäß Anhang II zu berechnendem B</w:t>
      </w:r>
      <w:r w:rsidRPr="008F2F31">
        <w:rPr>
          <w:rFonts w:cs="Arial"/>
        </w:rPr>
        <w:t>e</w:t>
      </w:r>
      <w:r w:rsidRPr="008F2F31">
        <w:rPr>
          <w:rFonts w:cs="Arial"/>
        </w:rPr>
        <w:t>zug</w:t>
      </w:r>
      <w:r w:rsidRPr="008F2F31">
        <w:rPr>
          <w:rFonts w:cs="Arial"/>
        </w:rPr>
        <w:t>s</w:t>
      </w:r>
      <w:r w:rsidRPr="008F2F31">
        <w:rPr>
          <w:rFonts w:cs="Arial"/>
        </w:rPr>
        <w:t>sauerstoffgehalt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zu beziehen. Die in § 5 Abs. 1 Nr. 3 und 4 festgelegten Emissionsgrenzwerte für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die zu Gruppen zusammengefassten Schadstoffe (Schwermetalle, Benzo(a)pyren, polychlorierte D</w:t>
      </w:r>
      <w:r w:rsidRPr="008F2F31">
        <w:rPr>
          <w:rFonts w:cs="Arial"/>
        </w:rPr>
        <w:t>i</w:t>
      </w:r>
      <w:r w:rsidRPr="008F2F31">
        <w:rPr>
          <w:rFonts w:cs="Arial"/>
        </w:rPr>
        <w:t>benzodioxine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und Dibenzofurane) gelten unter Berücksichtigung der in Satz 1 für die jeweiligen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Brennstoffe festgelegten Bezugssauerstoffgehalte.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Soweit in Nummer II.2 nicht anders festgelegt ist, dürfen die Halbstundenmittelwerte das Zweifache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der unter Nummer II.2.1 bis II.2.5 festgelegten Tagesmittelwerte nicht überschreiten.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die Dauer der Probenahme und die sonstigen Messanforderungen gelten die in den §§ 9 bis 15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festgelegten Anforderungen.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Weitergehende Regelungen, die sich aus anderen Rechtsvorschriften oder aus diese Rechtsvorschri</w:t>
      </w:r>
      <w:r w:rsidRPr="008F2F31">
        <w:rPr>
          <w:rFonts w:cs="Arial"/>
        </w:rPr>
        <w:t>f</w:t>
      </w:r>
      <w:r w:rsidRPr="008F2F31">
        <w:rPr>
          <w:rFonts w:cs="Arial"/>
        </w:rPr>
        <w:t>ten</w:t>
      </w:r>
      <w:r w:rsidR="00B11D21">
        <w:rPr>
          <w:rFonts w:cs="Arial"/>
        </w:rPr>
        <w:t xml:space="preserve"> </w:t>
      </w:r>
      <w:r w:rsidRPr="008F2F31">
        <w:rPr>
          <w:rFonts w:cs="Arial"/>
        </w:rPr>
        <w:t>konkretisierenden Verwaltungsvorschriften ergeben, bleiben unberührt.</w:t>
      </w:r>
    </w:p>
    <w:p w:rsidR="001469C7" w:rsidRPr="00B11D21" w:rsidRDefault="00E7521D" w:rsidP="00B11D21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>
        <w:rPr>
          <w:rFonts w:cs="Arial"/>
          <w:b/>
        </w:rPr>
        <w:br w:type="page"/>
      </w:r>
      <w:r w:rsidR="001469C7" w:rsidRPr="00B11D21">
        <w:rPr>
          <w:rFonts w:cs="Arial"/>
          <w:b/>
        </w:rPr>
        <w:lastRenderedPageBreak/>
        <w:t>II.2.1</w:t>
      </w:r>
      <w:r w:rsidR="00B11D21">
        <w:rPr>
          <w:rFonts w:cs="Arial"/>
          <w:b/>
        </w:rPr>
        <w:tab/>
      </w:r>
      <w:r w:rsidR="001469C7" w:rsidRPr="00B11D21">
        <w:rPr>
          <w:rFonts w:cs="Arial"/>
          <w:b/>
        </w:rPr>
        <w:t>Emissionswerte (</w:t>
      </w:r>
      <w:proofErr w:type="spellStart"/>
      <w:r w:rsidR="001469C7" w:rsidRPr="00B11D21">
        <w:rPr>
          <w:rFonts w:cs="Arial"/>
          <w:b/>
        </w:rPr>
        <w:t>C</w:t>
      </w:r>
      <w:r w:rsidR="001469C7" w:rsidRPr="00B11D21">
        <w:rPr>
          <w:rFonts w:cs="Arial"/>
          <w:b/>
          <w:vertAlign w:val="subscript"/>
        </w:rPr>
        <w:t>Verfahren</w:t>
      </w:r>
      <w:proofErr w:type="spellEnd"/>
      <w:r w:rsidR="001469C7" w:rsidRPr="00B11D21">
        <w:rPr>
          <w:rFonts w:cs="Arial"/>
          <w:b/>
        </w:rPr>
        <w:t>) bei Verwendung von festen fossilen Brennstoffen (Tagesmitte</w:t>
      </w:r>
      <w:r w:rsidR="001469C7" w:rsidRPr="00B11D21">
        <w:rPr>
          <w:rFonts w:cs="Arial"/>
          <w:b/>
        </w:rPr>
        <w:t>l</w:t>
      </w:r>
      <w:r w:rsidR="001469C7" w:rsidRPr="00B11D21">
        <w:rPr>
          <w:rFonts w:cs="Arial"/>
          <w:b/>
        </w:rPr>
        <w:t>werte</w:t>
      </w:r>
      <w:r w:rsidR="00B11D21">
        <w:rPr>
          <w:rFonts w:cs="Arial"/>
          <w:b/>
        </w:rPr>
        <w:t xml:space="preserve"> </w:t>
      </w:r>
      <w:r w:rsidR="001469C7" w:rsidRPr="00B11D21">
        <w:rPr>
          <w:rFonts w:cs="Arial"/>
          <w:b/>
        </w:rPr>
        <w:t>in mg/m</w:t>
      </w:r>
      <w:r w:rsidR="00B11D21">
        <w:rPr>
          <w:rFonts w:cs="Arial"/>
          <w:b/>
        </w:rPr>
        <w:t>³</w:t>
      </w:r>
      <w:r w:rsidR="001469C7" w:rsidRPr="00B11D21">
        <w:rPr>
          <w:rFonts w:cs="Arial"/>
          <w:b/>
        </w:rPr>
        <w:t>) bei unterschiedlichen Feuerungswärmeleistungen (in MW</w:t>
      </w:r>
      <w:r w:rsidR="001469C7" w:rsidRPr="00B11D21">
        <w:rPr>
          <w:rFonts w:cs="Arial"/>
          <w:b/>
          <w:vertAlign w:val="subscript"/>
        </w:rPr>
        <w:t>th</w:t>
      </w:r>
      <w:r w:rsidR="001469C7" w:rsidRPr="00B11D21">
        <w:rPr>
          <w:rFonts w:cs="Arial"/>
          <w:b/>
        </w:rPr>
        <w:t>):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4"/>
        <w:gridCol w:w="1421"/>
        <w:gridCol w:w="1559"/>
        <w:gridCol w:w="1512"/>
        <w:gridCol w:w="1701"/>
        <w:gridCol w:w="1701"/>
        <w:gridCol w:w="1416"/>
      </w:tblGrid>
      <w:tr w:rsidR="00E7521D" w:rsidRPr="006572B4" w:rsidTr="006572B4">
        <w:tc>
          <w:tcPr>
            <w:tcW w:w="2235" w:type="dxa"/>
            <w:gridSpan w:val="2"/>
            <w:shd w:val="clear" w:color="auto" w:fill="auto"/>
          </w:tcPr>
          <w:p w:rsidR="00E7521D" w:rsidRPr="006572B4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Emissionspara</w:t>
            </w:r>
            <w:r w:rsidRPr="006572B4">
              <w:rPr>
                <w:rFonts w:cs="Arial"/>
                <w:lang w:val="en-GB"/>
              </w:rPr>
              <w:t>m</w:t>
            </w:r>
            <w:r w:rsidRPr="006572B4">
              <w:rPr>
                <w:rFonts w:cs="Arial"/>
                <w:lang w:val="en-GB"/>
              </w:rPr>
              <w:t>eter</w:t>
            </w:r>
          </w:p>
        </w:tc>
        <w:tc>
          <w:tcPr>
            <w:tcW w:w="1559" w:type="dxa"/>
            <w:shd w:val="clear" w:color="auto" w:fill="auto"/>
          </w:tcPr>
          <w:p w:rsidR="00E7521D" w:rsidRPr="006572B4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1-&lt;10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512" w:type="dxa"/>
            <w:shd w:val="clear" w:color="auto" w:fill="auto"/>
          </w:tcPr>
          <w:p w:rsidR="00E7521D" w:rsidRPr="006572B4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10</w:t>
            </w:r>
            <w:r w:rsidR="005B3493" w:rsidRPr="006572B4">
              <w:rPr>
                <w:rFonts w:cs="Arial"/>
                <w:lang w:val="en-GB"/>
              </w:rPr>
              <w:t xml:space="preserve"> </w:t>
            </w:r>
            <w:r w:rsidRPr="006572B4">
              <w:rPr>
                <w:rFonts w:cs="Arial"/>
                <w:lang w:val="en-GB"/>
              </w:rPr>
              <w:t>-</w:t>
            </w:r>
            <w:r w:rsidR="005B3493" w:rsidRPr="006572B4">
              <w:rPr>
                <w:rFonts w:cs="Arial"/>
                <w:lang w:val="en-GB"/>
              </w:rPr>
              <w:t xml:space="preserve"> </w:t>
            </w:r>
            <w:r w:rsidRPr="006572B4">
              <w:rPr>
                <w:rFonts w:cs="Arial"/>
                <w:lang w:val="en-GB"/>
              </w:rPr>
              <w:t>&lt;50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auto"/>
          </w:tcPr>
          <w:p w:rsidR="00E7521D" w:rsidRPr="006572B4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50</w:t>
            </w:r>
            <w:r w:rsidR="005B3493" w:rsidRPr="006572B4">
              <w:rPr>
                <w:rFonts w:cs="Arial"/>
                <w:lang w:val="en-GB"/>
              </w:rPr>
              <w:t xml:space="preserve"> </w:t>
            </w:r>
            <w:r w:rsidRPr="006572B4">
              <w:rPr>
                <w:rFonts w:cs="Arial"/>
                <w:lang w:val="en-GB"/>
              </w:rPr>
              <w:t>-</w:t>
            </w:r>
            <w:r w:rsidR="005B3493" w:rsidRPr="006572B4">
              <w:rPr>
                <w:rFonts w:cs="Arial"/>
                <w:lang w:val="en-GB"/>
              </w:rPr>
              <w:t xml:space="preserve"> </w:t>
            </w:r>
            <w:r w:rsidRPr="006572B4">
              <w:rPr>
                <w:rFonts w:cs="Arial"/>
                <w:lang w:val="en-GB"/>
              </w:rPr>
              <w:t>100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auto"/>
          </w:tcPr>
          <w:p w:rsidR="00E7521D" w:rsidRPr="006572B4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&gt;</w:t>
            </w:r>
            <w:r w:rsidR="005B3493" w:rsidRPr="006572B4">
              <w:rPr>
                <w:rFonts w:cs="Arial"/>
                <w:lang w:val="en-GB"/>
              </w:rPr>
              <w:t xml:space="preserve"> </w:t>
            </w:r>
            <w:r w:rsidRPr="006572B4">
              <w:rPr>
                <w:rFonts w:cs="Arial"/>
                <w:lang w:val="en-GB"/>
              </w:rPr>
              <w:t>100-300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416" w:type="dxa"/>
            <w:shd w:val="clear" w:color="auto" w:fill="auto"/>
          </w:tcPr>
          <w:p w:rsidR="00E7521D" w:rsidRPr="006572B4" w:rsidRDefault="00E7521D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&gt;300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</w:tr>
      <w:tr w:rsidR="003C467E" w:rsidRPr="006572B4" w:rsidTr="006572B4">
        <w:tc>
          <w:tcPr>
            <w:tcW w:w="814" w:type="dxa"/>
            <w:vMerge w:val="restart"/>
            <w:shd w:val="clear" w:color="auto" w:fill="auto"/>
          </w:tcPr>
          <w:p w:rsidR="003C467E" w:rsidRPr="006572B4" w:rsidRDefault="003C467E" w:rsidP="00E7521D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S</w:t>
            </w:r>
            <w:r w:rsidR="005168F8" w:rsidRPr="006572B4">
              <w:rPr>
                <w:rFonts w:cs="Arial"/>
              </w:rPr>
              <w:t>O</w:t>
            </w:r>
            <w:r w:rsidRPr="006572B4">
              <w:rPr>
                <w:rFonts w:cs="Arial"/>
                <w:vertAlign w:val="subscript"/>
              </w:rPr>
              <w:t>2</w:t>
            </w:r>
            <w:r w:rsidRPr="006572B4">
              <w:rPr>
                <w:rFonts w:cs="Arial"/>
              </w:rPr>
              <w:t xml:space="preserve"> und S</w:t>
            </w:r>
            <w:r w:rsidR="005168F8" w:rsidRPr="006572B4">
              <w:rPr>
                <w:rFonts w:cs="Arial"/>
              </w:rPr>
              <w:t>O</w:t>
            </w:r>
            <w:r w:rsidRPr="006572B4">
              <w:rPr>
                <w:rFonts w:cs="Arial"/>
                <w:vertAlign w:val="subscript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3C467E" w:rsidRPr="006572B4" w:rsidRDefault="003C467E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Stei</w:t>
            </w:r>
            <w:r w:rsidRPr="006572B4">
              <w:rPr>
                <w:rFonts w:cs="Arial"/>
              </w:rPr>
              <w:t>n</w:t>
            </w:r>
            <w:r w:rsidRPr="006572B4">
              <w:rPr>
                <w:rFonts w:cs="Arial"/>
              </w:rPr>
              <w:t>kohle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C467E" w:rsidRPr="006572B4" w:rsidRDefault="003C467E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1.300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467E" w:rsidRPr="006572B4" w:rsidRDefault="003C467E" w:rsidP="00E7521D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850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467E" w:rsidRPr="006572B4" w:rsidRDefault="003C467E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 und Schw</w:t>
            </w:r>
            <w:r w:rsidRPr="006572B4">
              <w:rPr>
                <w:rFonts w:cs="Arial"/>
              </w:rPr>
              <w:t>e</w:t>
            </w:r>
            <w:r w:rsidRPr="006572B4">
              <w:rPr>
                <w:rFonts w:cs="Arial"/>
              </w:rPr>
              <w:t>felminderung</w:t>
            </w:r>
            <w:r w:rsidRPr="006572B4">
              <w:rPr>
                <w:rFonts w:cs="Arial"/>
              </w:rPr>
              <w:t>s</w:t>
            </w:r>
            <w:r w:rsidRPr="006572B4">
              <w:rPr>
                <w:rFonts w:cs="Arial"/>
              </w:rPr>
              <w:t>grad</w:t>
            </w:r>
            <w:r w:rsidRPr="006572B4">
              <w:rPr>
                <w:rFonts w:cs="Arial"/>
              </w:rPr>
              <w:br/>
              <w:t>≥ 85 vom Hu</w:t>
            </w:r>
            <w:r w:rsidRPr="006572B4">
              <w:rPr>
                <w:rFonts w:cs="Arial"/>
              </w:rPr>
              <w:t>n</w:t>
            </w:r>
            <w:r w:rsidRPr="006572B4">
              <w:rPr>
                <w:rFonts w:cs="Arial"/>
              </w:rPr>
              <w:t>dert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C467E" w:rsidRPr="006572B4" w:rsidRDefault="003C467E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 und Schwefe</w:t>
            </w:r>
            <w:r w:rsidRPr="006572B4">
              <w:rPr>
                <w:rFonts w:cs="Arial"/>
              </w:rPr>
              <w:t>l</w:t>
            </w:r>
            <w:r w:rsidRPr="006572B4">
              <w:rPr>
                <w:rFonts w:cs="Arial"/>
              </w:rPr>
              <w:t>minderung</w:t>
            </w:r>
            <w:r w:rsidRPr="006572B4">
              <w:rPr>
                <w:rFonts w:cs="Arial"/>
              </w:rPr>
              <w:t>s</w:t>
            </w:r>
            <w:r w:rsidRPr="006572B4">
              <w:rPr>
                <w:rFonts w:cs="Arial"/>
              </w:rPr>
              <w:t>grad</w:t>
            </w:r>
            <w:r w:rsidRPr="006572B4">
              <w:rPr>
                <w:rFonts w:cs="Arial"/>
              </w:rPr>
              <w:br/>
              <w:t>≥ 85 vom Hundert</w:t>
            </w:r>
          </w:p>
        </w:tc>
      </w:tr>
      <w:tr w:rsidR="003C467E" w:rsidRPr="006572B4" w:rsidTr="006572B4">
        <w:tc>
          <w:tcPr>
            <w:tcW w:w="814" w:type="dxa"/>
            <w:vMerge/>
            <w:shd w:val="clear" w:color="auto" w:fill="auto"/>
          </w:tcPr>
          <w:p w:rsidR="003C467E" w:rsidRPr="006572B4" w:rsidRDefault="003C467E" w:rsidP="00E7521D">
            <w:pPr>
              <w:pStyle w:val="GesAbsatz"/>
              <w:rPr>
                <w:rFonts w:cs="Arial"/>
              </w:rPr>
            </w:pPr>
          </w:p>
        </w:tc>
        <w:tc>
          <w:tcPr>
            <w:tcW w:w="1421" w:type="dxa"/>
            <w:shd w:val="clear" w:color="auto" w:fill="auto"/>
          </w:tcPr>
          <w:p w:rsidR="003C467E" w:rsidRPr="006572B4" w:rsidRDefault="003C467E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Brau</w:t>
            </w:r>
            <w:r w:rsidRPr="006572B4">
              <w:rPr>
                <w:rFonts w:cs="Arial"/>
              </w:rPr>
              <w:t>n</w:t>
            </w:r>
            <w:r w:rsidRPr="006572B4">
              <w:rPr>
                <w:rFonts w:cs="Arial"/>
              </w:rPr>
              <w:t>kohle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C467E" w:rsidRPr="006572B4" w:rsidRDefault="003C467E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1.000</w:t>
            </w:r>
          </w:p>
        </w:tc>
        <w:tc>
          <w:tcPr>
            <w:tcW w:w="1701" w:type="dxa"/>
            <w:vMerge/>
            <w:shd w:val="clear" w:color="auto" w:fill="auto"/>
          </w:tcPr>
          <w:p w:rsidR="003C467E" w:rsidRPr="006572B4" w:rsidRDefault="003C467E" w:rsidP="008F2F31">
            <w:pPr>
              <w:pStyle w:val="GesAbsatz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467E" w:rsidRPr="006572B4" w:rsidRDefault="003C467E" w:rsidP="008F2F31">
            <w:pPr>
              <w:pStyle w:val="GesAbsatz"/>
              <w:rPr>
                <w:rFonts w:cs="Arial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C467E" w:rsidRPr="006572B4" w:rsidRDefault="003C467E" w:rsidP="008F2F31">
            <w:pPr>
              <w:pStyle w:val="GesAbsatz"/>
              <w:rPr>
                <w:rFonts w:cs="Arial"/>
              </w:rPr>
            </w:pPr>
          </w:p>
        </w:tc>
      </w:tr>
      <w:tr w:rsidR="003C467E" w:rsidRPr="006572B4" w:rsidTr="006572B4">
        <w:tc>
          <w:tcPr>
            <w:tcW w:w="814" w:type="dxa"/>
            <w:vMerge/>
            <w:shd w:val="clear" w:color="auto" w:fill="auto"/>
          </w:tcPr>
          <w:p w:rsidR="003C467E" w:rsidRPr="006572B4" w:rsidRDefault="003C467E" w:rsidP="00E7521D">
            <w:pPr>
              <w:pStyle w:val="GesAbsatz"/>
              <w:rPr>
                <w:rFonts w:cs="Arial"/>
              </w:rPr>
            </w:pPr>
          </w:p>
        </w:tc>
        <w:tc>
          <w:tcPr>
            <w:tcW w:w="1421" w:type="dxa"/>
            <w:shd w:val="clear" w:color="auto" w:fill="auto"/>
          </w:tcPr>
          <w:p w:rsidR="003C467E" w:rsidRPr="006572B4" w:rsidRDefault="003C467E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Wirbe</w:t>
            </w:r>
            <w:r w:rsidRPr="006572B4">
              <w:rPr>
                <w:rFonts w:cs="Arial"/>
              </w:rPr>
              <w:t>l</w:t>
            </w:r>
            <w:r w:rsidRPr="006572B4">
              <w:rPr>
                <w:rFonts w:cs="Arial"/>
              </w:rPr>
              <w:t>schicht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C467E" w:rsidRPr="006572B4" w:rsidRDefault="003C467E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350 oder Schwefelminderung</w:t>
            </w:r>
            <w:r w:rsidRPr="006572B4">
              <w:rPr>
                <w:rFonts w:cs="Arial"/>
              </w:rPr>
              <w:t>s</w:t>
            </w:r>
            <w:r w:rsidRPr="006572B4">
              <w:rPr>
                <w:rFonts w:cs="Arial"/>
              </w:rPr>
              <w:t>grad</w:t>
            </w:r>
            <w:r w:rsidRPr="006572B4">
              <w:rPr>
                <w:rFonts w:cs="Arial"/>
              </w:rPr>
              <w:br/>
              <w:t>≥ 75 vom Hu</w:t>
            </w:r>
            <w:r w:rsidRPr="006572B4">
              <w:rPr>
                <w:rFonts w:cs="Arial"/>
              </w:rPr>
              <w:t>n</w:t>
            </w:r>
            <w:r w:rsidRPr="006572B4">
              <w:rPr>
                <w:rFonts w:cs="Arial"/>
              </w:rPr>
              <w:t>dert</w:t>
            </w:r>
          </w:p>
        </w:tc>
        <w:tc>
          <w:tcPr>
            <w:tcW w:w="1701" w:type="dxa"/>
            <w:shd w:val="clear" w:color="auto" w:fill="auto"/>
          </w:tcPr>
          <w:p w:rsidR="003C467E" w:rsidRPr="006572B4" w:rsidRDefault="003C467E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350 oder 850 und Schwefe</w:t>
            </w:r>
            <w:r w:rsidRPr="006572B4">
              <w:rPr>
                <w:rFonts w:cs="Arial"/>
              </w:rPr>
              <w:t>l</w:t>
            </w:r>
            <w:r w:rsidRPr="006572B4">
              <w:rPr>
                <w:rFonts w:cs="Arial"/>
              </w:rPr>
              <w:t>minderung</w:t>
            </w:r>
            <w:r w:rsidRPr="006572B4">
              <w:rPr>
                <w:rFonts w:cs="Arial"/>
              </w:rPr>
              <w:t>s</w:t>
            </w:r>
            <w:r w:rsidRPr="006572B4">
              <w:rPr>
                <w:rFonts w:cs="Arial"/>
              </w:rPr>
              <w:t>grad</w:t>
            </w:r>
            <w:r w:rsidRPr="006572B4">
              <w:rPr>
                <w:rFonts w:cs="Arial"/>
              </w:rPr>
              <w:br/>
              <w:t>≥ 75 vom Hu</w:t>
            </w:r>
            <w:r w:rsidRPr="006572B4">
              <w:rPr>
                <w:rFonts w:cs="Arial"/>
              </w:rPr>
              <w:t>n</w:t>
            </w:r>
            <w:r w:rsidRPr="006572B4">
              <w:rPr>
                <w:rFonts w:cs="Arial"/>
              </w:rPr>
              <w:t>dert</w:t>
            </w:r>
          </w:p>
        </w:tc>
        <w:tc>
          <w:tcPr>
            <w:tcW w:w="1701" w:type="dxa"/>
            <w:vMerge/>
            <w:shd w:val="clear" w:color="auto" w:fill="auto"/>
          </w:tcPr>
          <w:p w:rsidR="003C467E" w:rsidRPr="006572B4" w:rsidRDefault="003C467E" w:rsidP="008F2F31">
            <w:pPr>
              <w:pStyle w:val="GesAbsatz"/>
              <w:rPr>
                <w:rFonts w:cs="Arial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C467E" w:rsidRPr="006572B4" w:rsidRDefault="003C467E" w:rsidP="008F2F31">
            <w:pPr>
              <w:pStyle w:val="GesAbsatz"/>
              <w:rPr>
                <w:rFonts w:cs="Arial"/>
              </w:rPr>
            </w:pPr>
          </w:p>
        </w:tc>
      </w:tr>
      <w:tr w:rsidR="00E7521D" w:rsidRPr="006572B4" w:rsidTr="006572B4">
        <w:tc>
          <w:tcPr>
            <w:tcW w:w="2235" w:type="dxa"/>
            <w:gridSpan w:val="2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NO</w:t>
            </w:r>
            <w:r w:rsidRPr="006572B4">
              <w:rPr>
                <w:rFonts w:cs="Arial"/>
                <w:vertAlign w:val="subscript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500 oder 300</w:t>
            </w:r>
            <w:r w:rsidR="003C467E" w:rsidRPr="006572B4">
              <w:rPr>
                <w:rFonts w:cs="Arial"/>
              </w:rPr>
              <w:t xml:space="preserve"> </w:t>
            </w:r>
            <w:r w:rsidRPr="006572B4">
              <w:rPr>
                <w:rFonts w:cs="Arial"/>
              </w:rPr>
              <w:t>bei Wirbe</w:t>
            </w:r>
            <w:r w:rsidRPr="006572B4">
              <w:rPr>
                <w:rFonts w:cs="Arial"/>
              </w:rPr>
              <w:t>l</w:t>
            </w:r>
            <w:r w:rsidRPr="006572B4">
              <w:rPr>
                <w:rFonts w:cs="Arial"/>
              </w:rPr>
              <w:t>schichtfeu</w:t>
            </w:r>
            <w:r w:rsidRPr="006572B4">
              <w:rPr>
                <w:rFonts w:cs="Arial"/>
              </w:rPr>
              <w:t>e</w:t>
            </w:r>
            <w:r w:rsidRPr="006572B4">
              <w:rPr>
                <w:rFonts w:cs="Arial"/>
              </w:rPr>
              <w:t>rung</w:t>
            </w:r>
          </w:p>
        </w:tc>
        <w:tc>
          <w:tcPr>
            <w:tcW w:w="1512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400 oder 300</w:t>
            </w:r>
            <w:r w:rsidR="003C467E" w:rsidRPr="006572B4">
              <w:rPr>
                <w:rFonts w:cs="Arial"/>
              </w:rPr>
              <w:t xml:space="preserve"> </w:t>
            </w:r>
            <w:r w:rsidRPr="006572B4">
              <w:rPr>
                <w:rFonts w:cs="Arial"/>
              </w:rPr>
              <w:t>bei Wirbe</w:t>
            </w:r>
            <w:r w:rsidRPr="006572B4">
              <w:rPr>
                <w:rFonts w:cs="Arial"/>
              </w:rPr>
              <w:t>l</w:t>
            </w:r>
            <w:r w:rsidRPr="006572B4">
              <w:rPr>
                <w:rFonts w:cs="Arial"/>
              </w:rPr>
              <w:t>schichtfeu</w:t>
            </w:r>
            <w:r w:rsidRPr="006572B4">
              <w:rPr>
                <w:rFonts w:cs="Arial"/>
              </w:rPr>
              <w:t>e</w:t>
            </w:r>
            <w:r w:rsidRPr="006572B4">
              <w:rPr>
                <w:rFonts w:cs="Arial"/>
              </w:rPr>
              <w:t>rung</w:t>
            </w:r>
          </w:p>
        </w:tc>
        <w:tc>
          <w:tcPr>
            <w:tcW w:w="1701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400 oder 300</w:t>
            </w:r>
            <w:r w:rsidR="003C467E" w:rsidRPr="006572B4">
              <w:rPr>
                <w:rFonts w:cs="Arial"/>
              </w:rPr>
              <w:t xml:space="preserve"> </w:t>
            </w:r>
            <w:r w:rsidRPr="006572B4">
              <w:rPr>
                <w:rFonts w:cs="Arial"/>
              </w:rPr>
              <w:t>bei Wirbe</w:t>
            </w:r>
            <w:r w:rsidRPr="006572B4">
              <w:rPr>
                <w:rFonts w:cs="Arial"/>
              </w:rPr>
              <w:t>l</w:t>
            </w:r>
            <w:r w:rsidRPr="006572B4">
              <w:rPr>
                <w:rFonts w:cs="Arial"/>
              </w:rPr>
              <w:t>schichtfeuerung</w:t>
            </w:r>
          </w:p>
        </w:tc>
        <w:tc>
          <w:tcPr>
            <w:tcW w:w="1701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  <w:tc>
          <w:tcPr>
            <w:tcW w:w="1416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200</w:t>
            </w:r>
          </w:p>
        </w:tc>
      </w:tr>
      <w:tr w:rsidR="00E7521D" w:rsidRPr="006572B4" w:rsidTr="006572B4">
        <w:tc>
          <w:tcPr>
            <w:tcW w:w="2235" w:type="dxa"/>
            <w:gridSpan w:val="2"/>
            <w:shd w:val="clear" w:color="auto" w:fill="auto"/>
          </w:tcPr>
          <w:p w:rsidR="00E7521D" w:rsidRPr="006572B4" w:rsidRDefault="00E7521D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Kohlenmonoxid</w:t>
            </w:r>
          </w:p>
        </w:tc>
        <w:tc>
          <w:tcPr>
            <w:tcW w:w="1559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150*)</w:t>
            </w:r>
          </w:p>
        </w:tc>
        <w:tc>
          <w:tcPr>
            <w:tcW w:w="1512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200</w:t>
            </w:r>
          </w:p>
        </w:tc>
        <w:tc>
          <w:tcPr>
            <w:tcW w:w="1416" w:type="dxa"/>
            <w:shd w:val="clear" w:color="auto" w:fill="auto"/>
          </w:tcPr>
          <w:p w:rsidR="00E7521D" w:rsidRPr="006572B4" w:rsidRDefault="00E7521D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200</w:t>
            </w:r>
          </w:p>
        </w:tc>
      </w:tr>
      <w:tr w:rsidR="003C467E" w:rsidRPr="006572B4" w:rsidTr="006572B4">
        <w:tc>
          <w:tcPr>
            <w:tcW w:w="10124" w:type="dxa"/>
            <w:gridSpan w:val="7"/>
            <w:shd w:val="clear" w:color="auto" w:fill="auto"/>
          </w:tcPr>
          <w:p w:rsidR="003C467E" w:rsidRPr="006572B4" w:rsidRDefault="003C467E" w:rsidP="003C467E">
            <w:pPr>
              <w:pStyle w:val="GesAbsatz"/>
              <w:rPr>
                <w:rFonts w:cs="Arial"/>
                <w:sz w:val="16"/>
                <w:szCs w:val="16"/>
              </w:rPr>
            </w:pPr>
            <w:r w:rsidRPr="006572B4">
              <w:rPr>
                <w:rFonts w:cs="Arial"/>
                <w:sz w:val="16"/>
                <w:szCs w:val="16"/>
              </w:rPr>
              <w:t>*) Bei Einzelfeuerungen mit einer Feuerungswärmeleistung von weniger als 2,5 MW</w:t>
            </w:r>
            <w:r w:rsidRPr="006572B4">
              <w:rPr>
                <w:rFonts w:cs="Arial"/>
                <w:sz w:val="16"/>
                <w:szCs w:val="16"/>
                <w:vertAlign w:val="subscript"/>
              </w:rPr>
              <w:t>th</w:t>
            </w:r>
            <w:r w:rsidRPr="006572B4">
              <w:rPr>
                <w:rFonts w:cs="Arial"/>
                <w:sz w:val="16"/>
                <w:szCs w:val="16"/>
              </w:rPr>
              <w:t xml:space="preserve"> gilt der Emissionswert nur im Betrieb mit Nennlast.</w:t>
            </w:r>
          </w:p>
        </w:tc>
      </w:tr>
    </w:tbl>
    <w:p w:rsidR="00E7521D" w:rsidRPr="003C467E" w:rsidRDefault="00E7521D" w:rsidP="008F2F31">
      <w:pPr>
        <w:pStyle w:val="GesAbsatz"/>
        <w:rPr>
          <w:rFonts w:cs="Arial"/>
        </w:rPr>
      </w:pPr>
    </w:p>
    <w:p w:rsidR="001469C7" w:rsidRPr="008F2F31" w:rsidRDefault="003C467E" w:rsidP="003C467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1469C7" w:rsidRPr="008F2F31">
        <w:rPr>
          <w:rFonts w:cs="Arial"/>
        </w:rPr>
        <w:t>Soweit auf Grund des erhöhten Schwefelgehalts der eingesetzten Brennstoffe die in der Tabelle au</w:t>
      </w:r>
      <w:r w:rsidR="001469C7" w:rsidRPr="008F2F31">
        <w:rPr>
          <w:rFonts w:cs="Arial"/>
        </w:rPr>
        <w:t>f</w:t>
      </w:r>
      <w:r w:rsidR="001469C7" w:rsidRPr="008F2F31">
        <w:rPr>
          <w:rFonts w:cs="Arial"/>
        </w:rPr>
        <w:t>geführten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Emissionswerte für Steinkohle, Braunkohle und Wirbelschicht mit einem verhältnismäß</w:t>
      </w:r>
      <w:r w:rsidR="001469C7" w:rsidRPr="008F2F31">
        <w:rPr>
          <w:rFonts w:cs="Arial"/>
        </w:rPr>
        <w:t>i</w:t>
      </w:r>
      <w:r w:rsidR="001469C7" w:rsidRPr="008F2F31">
        <w:rPr>
          <w:rFonts w:cs="Arial"/>
        </w:rPr>
        <w:t>gen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Aufwand nicht eingehalten werden können, kann die zuständige Behörde auf Antrag im Einzelfall h</w:t>
      </w:r>
      <w:r w:rsidR="001469C7" w:rsidRPr="008F2F31">
        <w:rPr>
          <w:rFonts w:cs="Arial"/>
        </w:rPr>
        <w:t>ö</w:t>
      </w:r>
      <w:r w:rsidR="001469C7" w:rsidRPr="008F2F31">
        <w:rPr>
          <w:rFonts w:cs="Arial"/>
        </w:rPr>
        <w:t>here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Emissionswerte als Berechnungsgrundlage verwenden, soweit bei einer Feuerungswärmelei</w:t>
      </w:r>
      <w:r w:rsidR="001469C7" w:rsidRPr="008F2F31">
        <w:rPr>
          <w:rFonts w:cs="Arial"/>
        </w:rPr>
        <w:t>s</w:t>
      </w:r>
      <w:r w:rsidR="001469C7" w:rsidRPr="008F2F31">
        <w:rPr>
          <w:rFonts w:cs="Arial"/>
        </w:rPr>
        <w:t>tung</w:t>
      </w:r>
      <w:r>
        <w:rPr>
          <w:rFonts w:cs="Arial"/>
        </w:rPr>
        <w:t xml:space="preserve"> </w:t>
      </w:r>
      <w:r w:rsidR="001469C7" w:rsidRPr="008F2F31">
        <w:rPr>
          <w:rFonts w:cs="Arial"/>
        </w:rPr>
        <w:t>von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993" w:hanging="426"/>
        <w:rPr>
          <w:rFonts w:cs="Arial"/>
        </w:rPr>
      </w:pPr>
      <w:r w:rsidRPr="008F2F31">
        <w:rPr>
          <w:rFonts w:cs="Arial"/>
        </w:rPr>
        <w:t>a)</w:t>
      </w:r>
      <w:r w:rsidR="003C467E">
        <w:rPr>
          <w:rFonts w:cs="Arial"/>
        </w:rPr>
        <w:tab/>
      </w:r>
      <w:r w:rsidRPr="008F2F31">
        <w:rPr>
          <w:rFonts w:cs="Arial"/>
        </w:rPr>
        <w:t>50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bis 100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alternativ ein Schwefelminderungsgrad von 92 vom Hundert nicht unte</w:t>
      </w:r>
      <w:r w:rsidRPr="008F2F31">
        <w:rPr>
          <w:rFonts w:cs="Arial"/>
        </w:rPr>
        <w:t>r</w:t>
      </w:r>
      <w:r w:rsidRPr="008F2F31">
        <w:rPr>
          <w:rFonts w:cs="Arial"/>
        </w:rPr>
        <w:t>schritten</w:t>
      </w:r>
      <w:r w:rsidR="003C467E">
        <w:rPr>
          <w:rFonts w:cs="Arial"/>
        </w:rPr>
        <w:t xml:space="preserve"> </w:t>
      </w:r>
      <w:r w:rsidRPr="008F2F31">
        <w:rPr>
          <w:rFonts w:cs="Arial"/>
        </w:rPr>
        <w:t>wird,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993" w:hanging="426"/>
        <w:rPr>
          <w:rFonts w:cs="Arial"/>
        </w:rPr>
      </w:pPr>
      <w:r w:rsidRPr="008F2F31">
        <w:rPr>
          <w:rFonts w:cs="Arial"/>
        </w:rPr>
        <w:t>b)</w:t>
      </w:r>
      <w:r w:rsidR="003C467E">
        <w:rPr>
          <w:rFonts w:cs="Arial"/>
        </w:rPr>
        <w:tab/>
      </w:r>
      <w:r w:rsidRPr="008F2F31">
        <w:rPr>
          <w:rFonts w:cs="Arial"/>
        </w:rPr>
        <w:t>mehr als 100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bis 300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ein Emissionsgrenzwert von 300 mg/m</w:t>
      </w:r>
      <w:r w:rsidR="003C467E">
        <w:rPr>
          <w:rFonts w:cs="Arial"/>
        </w:rPr>
        <w:t>³</w:t>
      </w:r>
      <w:r w:rsidRPr="008F2F31">
        <w:rPr>
          <w:rFonts w:cs="Arial"/>
        </w:rPr>
        <w:t xml:space="preserve"> nicht überschritten un</w:t>
      </w:r>
      <w:r w:rsidRPr="008F2F31">
        <w:rPr>
          <w:rFonts w:cs="Arial"/>
        </w:rPr>
        <w:t>d</w:t>
      </w:r>
      <w:r w:rsidR="003C467E">
        <w:rPr>
          <w:rFonts w:cs="Arial"/>
        </w:rPr>
        <w:t xml:space="preserve"> </w:t>
      </w:r>
      <w:r w:rsidRPr="008F2F31">
        <w:rPr>
          <w:rFonts w:cs="Arial"/>
        </w:rPr>
        <w:t>zusätzlich ein Schwefelminderungsgrad von mindestens 92 vom Hundert nicht unterschritten wird,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993" w:hanging="426"/>
        <w:rPr>
          <w:rFonts w:cs="Arial"/>
        </w:rPr>
      </w:pPr>
      <w:r w:rsidRPr="008F2F31">
        <w:rPr>
          <w:rFonts w:cs="Arial"/>
        </w:rPr>
        <w:t>c)</w:t>
      </w:r>
      <w:r w:rsidR="003C467E">
        <w:rPr>
          <w:rFonts w:cs="Arial"/>
        </w:rPr>
        <w:tab/>
      </w:r>
      <w:r w:rsidRPr="008F2F31">
        <w:rPr>
          <w:rFonts w:cs="Arial"/>
        </w:rPr>
        <w:t>mehr als 300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ein Emissionsgrenzwert von 400 mg/m</w:t>
      </w:r>
      <w:r w:rsidR="003C467E">
        <w:rPr>
          <w:rFonts w:cs="Arial"/>
        </w:rPr>
        <w:t>³</w:t>
      </w:r>
      <w:r w:rsidRPr="008F2F31">
        <w:rPr>
          <w:rFonts w:cs="Arial"/>
        </w:rPr>
        <w:t xml:space="preserve"> nicht überschritten und zusät</w:t>
      </w:r>
      <w:r w:rsidRPr="008F2F31">
        <w:rPr>
          <w:rFonts w:cs="Arial"/>
        </w:rPr>
        <w:t>z</w:t>
      </w:r>
      <w:r w:rsidRPr="008F2F31">
        <w:rPr>
          <w:rFonts w:cs="Arial"/>
        </w:rPr>
        <w:t>lich ein</w:t>
      </w:r>
      <w:r w:rsidR="003C467E">
        <w:rPr>
          <w:rFonts w:cs="Arial"/>
        </w:rPr>
        <w:t xml:space="preserve"> </w:t>
      </w:r>
      <w:r w:rsidRPr="008F2F31">
        <w:rPr>
          <w:rFonts w:cs="Arial"/>
        </w:rPr>
        <w:t>Schwefelminderungsgrad von mindestens 95 vom Hundert nicht unterschritten wird.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Bei Altanlagen mit einer Feuerungswärmeleistung &gt; 100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gilt ein Emissionswert für CO von 250</w:t>
      </w:r>
      <w:r w:rsidR="00AA18D6">
        <w:rPr>
          <w:rFonts w:cs="Arial"/>
        </w:rPr>
        <w:t> </w:t>
      </w:r>
      <w:r w:rsidRPr="008F2F31">
        <w:rPr>
          <w:rFonts w:cs="Arial"/>
        </w:rPr>
        <w:t>mg/m</w:t>
      </w:r>
      <w:r w:rsidR="003C467E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Altanlagen mit einer Feuerungswärmeleistung von &gt;100 bis 300 MW</w:t>
      </w:r>
      <w:r w:rsidRPr="003C467E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gilt bis zum 1. Januar 2008</w:t>
      </w:r>
      <w:r w:rsidR="003C467E">
        <w:rPr>
          <w:rFonts w:cs="Arial"/>
        </w:rPr>
        <w:t xml:space="preserve"> </w:t>
      </w:r>
      <w:r w:rsidRPr="008F2F31">
        <w:rPr>
          <w:rFonts w:cs="Arial"/>
        </w:rPr>
        <w:t>ein Emissionswert für NO</w:t>
      </w:r>
      <w:r w:rsidRPr="003C467E">
        <w:rPr>
          <w:rFonts w:cs="Arial"/>
          <w:vertAlign w:val="subscript"/>
        </w:rPr>
        <w:t>x</w:t>
      </w:r>
      <w:r w:rsidRPr="008F2F31">
        <w:rPr>
          <w:rFonts w:cs="Arial"/>
        </w:rPr>
        <w:t xml:space="preserve"> von 300 mg/m</w:t>
      </w:r>
      <w:r w:rsidR="003C467E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24420F" w:rsidRDefault="001469C7" w:rsidP="003C467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24420F">
        <w:rPr>
          <w:rFonts w:cs="Arial"/>
          <w:b/>
        </w:rPr>
        <w:t>II.2.2</w:t>
      </w:r>
      <w:r w:rsidR="00FE6D68" w:rsidRPr="0024420F">
        <w:rPr>
          <w:rFonts w:cs="Arial"/>
          <w:b/>
        </w:rPr>
        <w:tab/>
      </w:r>
      <w:r w:rsidRPr="0024420F">
        <w:rPr>
          <w:rFonts w:cs="Arial"/>
          <w:b/>
        </w:rPr>
        <w:t>Emissionswerte (</w:t>
      </w:r>
      <w:proofErr w:type="spellStart"/>
      <w:r w:rsidRPr="0024420F">
        <w:rPr>
          <w:rFonts w:cs="Arial"/>
          <w:b/>
        </w:rPr>
        <w:t>C</w:t>
      </w:r>
      <w:r w:rsidRPr="0024420F">
        <w:rPr>
          <w:rFonts w:cs="Arial"/>
          <w:b/>
          <w:vertAlign w:val="subscript"/>
        </w:rPr>
        <w:t>Verfahren</w:t>
      </w:r>
      <w:proofErr w:type="spellEnd"/>
      <w:r w:rsidRPr="0024420F">
        <w:rPr>
          <w:rFonts w:cs="Arial"/>
          <w:b/>
        </w:rPr>
        <w:t>) für bei Verwendung von Biobrennstoff (Tagesmittelwerte in</w:t>
      </w:r>
      <w:r w:rsidR="00FE6D68" w:rsidRPr="0024420F">
        <w:rPr>
          <w:rFonts w:cs="Arial"/>
          <w:b/>
        </w:rPr>
        <w:t xml:space="preserve"> </w:t>
      </w:r>
      <w:r w:rsidRPr="0024420F">
        <w:rPr>
          <w:rFonts w:cs="Arial"/>
          <w:b/>
        </w:rPr>
        <w:t>mg/m</w:t>
      </w:r>
      <w:r w:rsidR="00FE6D68" w:rsidRPr="0024420F">
        <w:rPr>
          <w:rFonts w:cs="Arial"/>
          <w:b/>
        </w:rPr>
        <w:t>³</w:t>
      </w:r>
      <w:r w:rsidRPr="0024420F">
        <w:rPr>
          <w:rFonts w:cs="Arial"/>
          <w:b/>
        </w:rPr>
        <w:t>) bei u</w:t>
      </w:r>
      <w:r w:rsidRPr="0024420F">
        <w:rPr>
          <w:rFonts w:cs="Arial"/>
          <w:b/>
        </w:rPr>
        <w:t>n</w:t>
      </w:r>
      <w:r w:rsidRPr="0024420F">
        <w:rPr>
          <w:rFonts w:cs="Arial"/>
          <w:b/>
        </w:rPr>
        <w:t>terschiedlichen Feuerungswärmeleistungen (in MW</w:t>
      </w:r>
      <w:r w:rsidRPr="0024420F">
        <w:rPr>
          <w:rFonts w:cs="Arial"/>
          <w:b/>
          <w:vertAlign w:val="subscript"/>
        </w:rPr>
        <w:t>th</w:t>
      </w:r>
      <w:r w:rsidRPr="0024420F">
        <w:rPr>
          <w:rFonts w:cs="Arial"/>
          <w:b/>
        </w:rPr>
        <w:t>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59"/>
        <w:gridCol w:w="2299"/>
        <w:gridCol w:w="1242"/>
        <w:gridCol w:w="1796"/>
        <w:gridCol w:w="1892"/>
        <w:gridCol w:w="1559"/>
      </w:tblGrid>
      <w:tr w:rsidR="0024420F" w:rsidRPr="006572B4" w:rsidTr="006572B4">
        <w:tc>
          <w:tcPr>
            <w:tcW w:w="3258" w:type="dxa"/>
            <w:gridSpan w:val="2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  <w:lang w:val="en-GB"/>
              </w:rPr>
              <w:t>Emissionsparameter</w:t>
            </w:r>
          </w:p>
        </w:tc>
        <w:tc>
          <w:tcPr>
            <w:tcW w:w="1242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  <w:lang w:val="en-GB"/>
              </w:rPr>
              <w:t>&lt; 50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796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  <w:lang w:val="en-GB"/>
              </w:rPr>
              <w:t>50 - 100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892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  <w:lang w:val="en-GB"/>
              </w:rPr>
              <w:t>&gt; 100-300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559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  <w:lang w:val="en-GB"/>
              </w:rPr>
              <w:t>&gt; 300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</w:tr>
      <w:tr w:rsidR="0024420F" w:rsidRPr="006572B4" w:rsidTr="006572B4">
        <w:tc>
          <w:tcPr>
            <w:tcW w:w="959" w:type="dxa"/>
            <w:vMerge w:val="restart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S</w:t>
            </w:r>
            <w:r w:rsidR="005168F8" w:rsidRPr="006572B4">
              <w:rPr>
                <w:rFonts w:cs="Arial"/>
              </w:rPr>
              <w:t>O</w:t>
            </w:r>
            <w:r w:rsidRPr="006572B4">
              <w:rPr>
                <w:rFonts w:cs="Arial"/>
                <w:vertAlign w:val="subscript"/>
              </w:rPr>
              <w:t>2</w:t>
            </w:r>
            <w:r w:rsidRPr="006572B4">
              <w:rPr>
                <w:rFonts w:cs="Arial"/>
              </w:rPr>
              <w:t xml:space="preserve"> und S</w:t>
            </w:r>
            <w:r w:rsidR="005168F8" w:rsidRPr="006572B4">
              <w:rPr>
                <w:rFonts w:cs="Arial"/>
              </w:rPr>
              <w:t>O</w:t>
            </w:r>
            <w:r w:rsidRPr="006572B4">
              <w:rPr>
                <w:rFonts w:cs="Arial"/>
                <w:vertAlign w:val="subscript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572B4">
              <w:rPr>
                <w:rFonts w:cs="Arial"/>
              </w:rPr>
              <w:t>naturbelassenes Holz</w:t>
            </w:r>
          </w:p>
        </w:tc>
        <w:tc>
          <w:tcPr>
            <w:tcW w:w="1242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</w:tr>
      <w:tr w:rsidR="0024420F" w:rsidRPr="006572B4" w:rsidTr="006572B4">
        <w:tc>
          <w:tcPr>
            <w:tcW w:w="959" w:type="dxa"/>
            <w:vMerge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</w:p>
        </w:tc>
        <w:tc>
          <w:tcPr>
            <w:tcW w:w="2299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572B4">
              <w:rPr>
                <w:rFonts w:cs="Arial"/>
              </w:rPr>
              <w:t>sonstiger Biobren</w:t>
            </w:r>
            <w:r w:rsidRPr="006572B4">
              <w:rPr>
                <w:rFonts w:cs="Arial"/>
              </w:rPr>
              <w:t>n</w:t>
            </w:r>
            <w:r w:rsidRPr="006572B4">
              <w:rPr>
                <w:rFonts w:cs="Arial"/>
              </w:rPr>
              <w:t>stoff</w:t>
            </w:r>
          </w:p>
        </w:tc>
        <w:tc>
          <w:tcPr>
            <w:tcW w:w="1242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350</w:t>
            </w:r>
          </w:p>
        </w:tc>
        <w:tc>
          <w:tcPr>
            <w:tcW w:w="1796" w:type="dxa"/>
            <w:vMerge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</w:p>
        </w:tc>
      </w:tr>
      <w:tr w:rsidR="004C2F22" w:rsidRPr="006572B4" w:rsidTr="006572B4">
        <w:tc>
          <w:tcPr>
            <w:tcW w:w="959" w:type="dxa"/>
            <w:vMerge w:val="restart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NO</w:t>
            </w:r>
            <w:r w:rsidRPr="006572B4">
              <w:rPr>
                <w:rFonts w:cs="Arial"/>
                <w:vertAlign w:val="subscript"/>
              </w:rPr>
              <w:t>X</w:t>
            </w:r>
          </w:p>
        </w:tc>
        <w:tc>
          <w:tcPr>
            <w:tcW w:w="2299" w:type="dxa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572B4">
              <w:rPr>
                <w:rFonts w:cs="Arial"/>
              </w:rPr>
              <w:t>naturbelassenes Holz</w:t>
            </w:r>
          </w:p>
        </w:tc>
        <w:tc>
          <w:tcPr>
            <w:tcW w:w="1242" w:type="dxa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250</w:t>
            </w:r>
          </w:p>
        </w:tc>
        <w:tc>
          <w:tcPr>
            <w:tcW w:w="1796" w:type="dxa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250</w:t>
            </w:r>
          </w:p>
        </w:tc>
        <w:tc>
          <w:tcPr>
            <w:tcW w:w="1892" w:type="dxa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left" w:pos="567"/>
              </w:tabs>
              <w:jc w:val="center"/>
              <w:rPr>
                <w:rFonts w:cs="Arial"/>
              </w:rPr>
            </w:pPr>
          </w:p>
          <w:p w:rsidR="004C2F22" w:rsidRPr="006572B4" w:rsidRDefault="004C2F22" w:rsidP="006572B4">
            <w:pPr>
              <w:pStyle w:val="GesAbsatz"/>
              <w:tabs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</w:tr>
      <w:tr w:rsidR="004C2F22" w:rsidRPr="006572B4" w:rsidTr="006572B4">
        <w:tc>
          <w:tcPr>
            <w:tcW w:w="959" w:type="dxa"/>
            <w:vMerge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</w:p>
        </w:tc>
        <w:tc>
          <w:tcPr>
            <w:tcW w:w="2299" w:type="dxa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572B4">
              <w:rPr>
                <w:rFonts w:cs="Arial"/>
              </w:rPr>
              <w:t>sonstiger Biobren</w:t>
            </w:r>
            <w:r w:rsidRPr="006572B4">
              <w:rPr>
                <w:rFonts w:cs="Arial"/>
              </w:rPr>
              <w:t>n</w:t>
            </w:r>
            <w:r w:rsidRPr="006572B4">
              <w:rPr>
                <w:rFonts w:cs="Arial"/>
              </w:rPr>
              <w:t>stoff</w:t>
            </w:r>
          </w:p>
        </w:tc>
        <w:tc>
          <w:tcPr>
            <w:tcW w:w="1242" w:type="dxa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400</w:t>
            </w:r>
          </w:p>
        </w:tc>
        <w:tc>
          <w:tcPr>
            <w:tcW w:w="1796" w:type="dxa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350 oder 300 bei Wirbelschichtfe</w:t>
            </w:r>
            <w:r w:rsidRPr="006572B4">
              <w:rPr>
                <w:rFonts w:cs="Arial"/>
              </w:rPr>
              <w:t>u</w:t>
            </w:r>
            <w:r w:rsidRPr="006572B4">
              <w:rPr>
                <w:rFonts w:cs="Arial"/>
              </w:rPr>
              <w:t>erung</w:t>
            </w:r>
          </w:p>
        </w:tc>
        <w:tc>
          <w:tcPr>
            <w:tcW w:w="1892" w:type="dxa"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300</w:t>
            </w:r>
          </w:p>
        </w:tc>
        <w:tc>
          <w:tcPr>
            <w:tcW w:w="1559" w:type="dxa"/>
            <w:vMerge/>
            <w:shd w:val="clear" w:color="auto" w:fill="auto"/>
          </w:tcPr>
          <w:p w:rsidR="004C2F22" w:rsidRPr="006572B4" w:rsidRDefault="004C2F22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</w:p>
        </w:tc>
      </w:tr>
      <w:tr w:rsidR="0024420F" w:rsidRPr="006572B4" w:rsidTr="006572B4">
        <w:tc>
          <w:tcPr>
            <w:tcW w:w="959" w:type="dxa"/>
            <w:vMerge w:val="restart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Ko</w:t>
            </w:r>
            <w:r w:rsidRPr="006572B4">
              <w:rPr>
                <w:rFonts w:cs="Arial"/>
              </w:rPr>
              <w:t>h</w:t>
            </w:r>
            <w:r w:rsidRPr="006572B4">
              <w:rPr>
                <w:rFonts w:cs="Arial"/>
              </w:rPr>
              <w:t>lenm</w:t>
            </w:r>
            <w:r w:rsidRPr="006572B4">
              <w:rPr>
                <w:rFonts w:cs="Arial"/>
              </w:rPr>
              <w:t>o</w:t>
            </w:r>
            <w:r w:rsidRPr="006572B4">
              <w:rPr>
                <w:rFonts w:cs="Arial"/>
              </w:rPr>
              <w:t>noxid</w:t>
            </w:r>
          </w:p>
        </w:tc>
        <w:tc>
          <w:tcPr>
            <w:tcW w:w="2299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572B4">
              <w:rPr>
                <w:rFonts w:cs="Arial"/>
              </w:rPr>
              <w:t>naturbelassenes Holz, Holzabfälle nach § 1 Abs. 3 Nr. 4</w:t>
            </w:r>
          </w:p>
        </w:tc>
        <w:tc>
          <w:tcPr>
            <w:tcW w:w="1242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150*)</w:t>
            </w:r>
          </w:p>
        </w:tc>
        <w:tc>
          <w:tcPr>
            <w:tcW w:w="1796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150</w:t>
            </w:r>
          </w:p>
        </w:tc>
        <w:tc>
          <w:tcPr>
            <w:tcW w:w="1892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</w:tr>
      <w:tr w:rsidR="0024420F" w:rsidRPr="006572B4" w:rsidTr="006572B4">
        <w:tc>
          <w:tcPr>
            <w:tcW w:w="959" w:type="dxa"/>
            <w:vMerge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</w:p>
        </w:tc>
        <w:tc>
          <w:tcPr>
            <w:tcW w:w="2299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left"/>
              <w:rPr>
                <w:rFonts w:cs="Arial"/>
              </w:rPr>
            </w:pPr>
            <w:r w:rsidRPr="006572B4">
              <w:rPr>
                <w:rFonts w:cs="Arial"/>
              </w:rPr>
              <w:t>sonstiger Biobrennstoff</w:t>
            </w:r>
          </w:p>
        </w:tc>
        <w:tc>
          <w:tcPr>
            <w:tcW w:w="1242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250*)</w:t>
            </w:r>
          </w:p>
        </w:tc>
        <w:tc>
          <w:tcPr>
            <w:tcW w:w="1796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250</w:t>
            </w:r>
          </w:p>
        </w:tc>
        <w:tc>
          <w:tcPr>
            <w:tcW w:w="1892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250</w:t>
            </w:r>
          </w:p>
        </w:tc>
        <w:tc>
          <w:tcPr>
            <w:tcW w:w="1559" w:type="dxa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250</w:t>
            </w:r>
          </w:p>
        </w:tc>
      </w:tr>
      <w:tr w:rsidR="0024420F" w:rsidRPr="006572B4" w:rsidTr="006572B4">
        <w:tc>
          <w:tcPr>
            <w:tcW w:w="9747" w:type="dxa"/>
            <w:gridSpan w:val="6"/>
            <w:shd w:val="clear" w:color="auto" w:fill="auto"/>
          </w:tcPr>
          <w:p w:rsidR="0024420F" w:rsidRPr="006572B4" w:rsidRDefault="0024420F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  <w:sz w:val="16"/>
                <w:szCs w:val="16"/>
              </w:rPr>
            </w:pPr>
            <w:r w:rsidRPr="006572B4">
              <w:rPr>
                <w:rFonts w:cs="Arial"/>
                <w:sz w:val="16"/>
                <w:szCs w:val="16"/>
              </w:rPr>
              <w:t>*) Bei Einzelfeuerungen mit einer Feuerungswärmeleistung von weniger als 2,5 MW</w:t>
            </w:r>
            <w:r w:rsidRPr="006572B4">
              <w:rPr>
                <w:rFonts w:cs="Arial"/>
                <w:sz w:val="16"/>
                <w:szCs w:val="16"/>
                <w:vertAlign w:val="subscript"/>
              </w:rPr>
              <w:t>th</w:t>
            </w:r>
            <w:r w:rsidRPr="006572B4">
              <w:rPr>
                <w:rFonts w:cs="Arial"/>
                <w:sz w:val="16"/>
                <w:szCs w:val="16"/>
              </w:rPr>
              <w:t xml:space="preserve"> gilt der Emissionswert nur im Betrieb mit Nen</w:t>
            </w:r>
            <w:r w:rsidRPr="006572B4">
              <w:rPr>
                <w:rFonts w:cs="Arial"/>
                <w:sz w:val="16"/>
                <w:szCs w:val="16"/>
              </w:rPr>
              <w:t>n</w:t>
            </w:r>
            <w:r w:rsidRPr="006572B4">
              <w:rPr>
                <w:rFonts w:cs="Arial"/>
                <w:sz w:val="16"/>
                <w:szCs w:val="16"/>
              </w:rPr>
              <w:lastRenderedPageBreak/>
              <w:t>last.</w:t>
            </w:r>
          </w:p>
        </w:tc>
      </w:tr>
    </w:tbl>
    <w:p w:rsidR="00450701" w:rsidRPr="00450701" w:rsidRDefault="00450701" w:rsidP="003C467E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Als Biobrennstoff werden Produkte land- oder forstwirtschaftlichen Ursprungs, aus pflanzlichem Mat</w:t>
      </w:r>
      <w:r w:rsidRPr="008F2F31">
        <w:rPr>
          <w:rFonts w:cs="Arial"/>
        </w:rPr>
        <w:t>e</w:t>
      </w:r>
      <w:r w:rsidRPr="008F2F31">
        <w:rPr>
          <w:rFonts w:cs="Arial"/>
        </w:rPr>
        <w:t>rial</w:t>
      </w:r>
      <w:r w:rsidR="009D645C">
        <w:rPr>
          <w:rFonts w:cs="Arial"/>
        </w:rPr>
        <w:t xml:space="preserve"> </w:t>
      </w:r>
      <w:r w:rsidRPr="008F2F31">
        <w:rPr>
          <w:rFonts w:cs="Arial"/>
        </w:rPr>
        <w:t>oder Teilen davon, die zur energetischen Verwertung verwendet werden, sowie die in § 1 Abs. 3</w:t>
      </w:r>
      <w:r w:rsidR="009D645C">
        <w:rPr>
          <w:rFonts w:cs="Arial"/>
        </w:rPr>
        <w:t xml:space="preserve"> </w:t>
      </w:r>
      <w:r w:rsidRPr="008F2F31">
        <w:rPr>
          <w:rFonts w:cs="Arial"/>
        </w:rPr>
        <w:t>Nr. 1 bis 5 genannten Abfälle bezeichnet.</w:t>
      </w:r>
    </w:p>
    <w:p w:rsidR="001469C7" w:rsidRPr="009D645C" w:rsidRDefault="001469C7" w:rsidP="009D645C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9D645C">
        <w:rPr>
          <w:rFonts w:cs="Arial"/>
          <w:b/>
        </w:rPr>
        <w:t>II.2.3</w:t>
      </w:r>
      <w:r w:rsidR="009D645C">
        <w:rPr>
          <w:rFonts w:cs="Arial"/>
          <w:b/>
        </w:rPr>
        <w:tab/>
      </w:r>
      <w:r w:rsidRPr="009D645C">
        <w:rPr>
          <w:rFonts w:cs="Arial"/>
          <w:b/>
        </w:rPr>
        <w:t>Emissionswerte (</w:t>
      </w:r>
      <w:proofErr w:type="spellStart"/>
      <w:r w:rsidRPr="009D645C">
        <w:rPr>
          <w:rFonts w:cs="Arial"/>
          <w:b/>
        </w:rPr>
        <w:t>C</w:t>
      </w:r>
      <w:r w:rsidRPr="009D645C">
        <w:rPr>
          <w:rFonts w:cs="Arial"/>
          <w:b/>
          <w:vertAlign w:val="subscript"/>
        </w:rPr>
        <w:t>Verfahren</w:t>
      </w:r>
      <w:proofErr w:type="spellEnd"/>
      <w:r w:rsidRPr="009D645C">
        <w:rPr>
          <w:rFonts w:cs="Arial"/>
          <w:b/>
        </w:rPr>
        <w:t>) bei Verwendung von flüssigen Brennstoffen (Tagesmittelwerte in</w:t>
      </w:r>
      <w:r w:rsidR="009D645C">
        <w:rPr>
          <w:rFonts w:cs="Arial"/>
          <w:b/>
        </w:rPr>
        <w:t xml:space="preserve"> </w:t>
      </w:r>
      <w:r w:rsidRPr="009D645C">
        <w:rPr>
          <w:rFonts w:cs="Arial"/>
          <w:b/>
        </w:rPr>
        <w:t>mg/m</w:t>
      </w:r>
      <w:r w:rsidR="009D645C">
        <w:rPr>
          <w:rFonts w:cs="Arial"/>
          <w:b/>
        </w:rPr>
        <w:t>³</w:t>
      </w:r>
      <w:r w:rsidRPr="009D645C">
        <w:rPr>
          <w:rFonts w:cs="Arial"/>
          <w:b/>
        </w:rPr>
        <w:t>) bei unterschiedlichen Feuerungswärmeleistungen (in MW</w:t>
      </w:r>
      <w:r w:rsidRPr="009D645C">
        <w:rPr>
          <w:rFonts w:cs="Arial"/>
          <w:b/>
          <w:vertAlign w:val="subscript"/>
        </w:rPr>
        <w:t>th</w:t>
      </w:r>
      <w:r w:rsidRPr="009D645C">
        <w:rPr>
          <w:rFonts w:cs="Arial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76"/>
        <w:gridCol w:w="1985"/>
        <w:gridCol w:w="1843"/>
        <w:gridCol w:w="1842"/>
        <w:gridCol w:w="1731"/>
      </w:tblGrid>
      <w:tr w:rsidR="005B3493" w:rsidRPr="006572B4" w:rsidTr="006572B4">
        <w:tc>
          <w:tcPr>
            <w:tcW w:w="2376" w:type="dxa"/>
            <w:shd w:val="clear" w:color="auto" w:fill="auto"/>
          </w:tcPr>
          <w:p w:rsidR="005B3493" w:rsidRPr="006572B4" w:rsidRDefault="005B3493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Emissionsparam</w:t>
            </w:r>
            <w:r w:rsidRPr="006572B4">
              <w:rPr>
                <w:rFonts w:cs="Arial"/>
                <w:lang w:val="en-GB"/>
              </w:rPr>
              <w:t>e</w:t>
            </w:r>
            <w:r w:rsidRPr="006572B4">
              <w:rPr>
                <w:rFonts w:cs="Arial"/>
                <w:lang w:val="en-GB"/>
              </w:rPr>
              <w:t>ter</w:t>
            </w:r>
          </w:p>
        </w:tc>
        <w:tc>
          <w:tcPr>
            <w:tcW w:w="1985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&lt; 50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843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50 - 100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842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&gt; 100 - 300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  <w:tc>
          <w:tcPr>
            <w:tcW w:w="1731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&gt; 300 MW</w:t>
            </w:r>
            <w:r w:rsidRPr="006572B4">
              <w:rPr>
                <w:rFonts w:cs="Arial"/>
                <w:vertAlign w:val="subscript"/>
                <w:lang w:val="en-GB"/>
              </w:rPr>
              <w:t>th</w:t>
            </w:r>
          </w:p>
        </w:tc>
      </w:tr>
      <w:tr w:rsidR="005B3493" w:rsidRPr="006572B4" w:rsidTr="006572B4">
        <w:tc>
          <w:tcPr>
            <w:tcW w:w="2376" w:type="dxa"/>
            <w:shd w:val="clear" w:color="auto" w:fill="auto"/>
          </w:tcPr>
          <w:p w:rsidR="005B3493" w:rsidRPr="006572B4" w:rsidRDefault="005B3493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S</w:t>
            </w:r>
            <w:r w:rsidR="005168F8" w:rsidRPr="006572B4">
              <w:rPr>
                <w:rFonts w:cs="Arial"/>
                <w:lang w:val="en-GB"/>
              </w:rPr>
              <w:t>O</w:t>
            </w:r>
            <w:r w:rsidRPr="006572B4">
              <w:rPr>
                <w:rFonts w:cs="Arial"/>
                <w:vertAlign w:val="subscript"/>
                <w:lang w:val="en-GB"/>
              </w:rPr>
              <w:t>2</w:t>
            </w:r>
            <w:r w:rsidRPr="006572B4">
              <w:rPr>
                <w:rFonts w:cs="Arial"/>
                <w:lang w:val="en-GB"/>
              </w:rPr>
              <w:t xml:space="preserve"> und S</w:t>
            </w:r>
            <w:r w:rsidR="005168F8" w:rsidRPr="006572B4">
              <w:rPr>
                <w:rFonts w:cs="Arial"/>
                <w:lang w:val="en-GB"/>
              </w:rPr>
              <w:t>O</w:t>
            </w:r>
            <w:r w:rsidRPr="006572B4">
              <w:rPr>
                <w:rFonts w:cs="Arial"/>
                <w:vertAlign w:val="subscript"/>
                <w:lang w:val="en-GB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  <w:lang w:val="en-GB"/>
              </w:rPr>
            </w:pPr>
            <w:r w:rsidRPr="006572B4">
              <w:rPr>
                <w:rFonts w:cs="Arial"/>
                <w:lang w:val="en-GB"/>
              </w:rPr>
              <w:t>850</w:t>
            </w:r>
          </w:p>
        </w:tc>
        <w:tc>
          <w:tcPr>
            <w:tcW w:w="1842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400 bis 200 (lin</w:t>
            </w:r>
            <w:r w:rsidRPr="006572B4">
              <w:rPr>
                <w:rFonts w:cs="Arial"/>
              </w:rPr>
              <w:t>e</w:t>
            </w:r>
            <w:r w:rsidRPr="006572B4">
              <w:rPr>
                <w:rFonts w:cs="Arial"/>
              </w:rPr>
              <w:t>are Abnahme von 100 bis 300 MW</w:t>
            </w:r>
            <w:r w:rsidRPr="006572B4">
              <w:rPr>
                <w:rFonts w:cs="Arial"/>
                <w:vertAlign w:val="subscript"/>
              </w:rPr>
              <w:t>th</w:t>
            </w:r>
            <w:r w:rsidRPr="006572B4">
              <w:rPr>
                <w:rFonts w:cs="Arial"/>
              </w:rPr>
              <w:t>) und Schwefe</w:t>
            </w:r>
            <w:r w:rsidRPr="006572B4">
              <w:rPr>
                <w:rFonts w:cs="Arial"/>
              </w:rPr>
              <w:t>l</w:t>
            </w:r>
            <w:r w:rsidRPr="006572B4">
              <w:rPr>
                <w:rFonts w:cs="Arial"/>
              </w:rPr>
              <w:t>minderung</w:t>
            </w:r>
            <w:r w:rsidRPr="006572B4">
              <w:rPr>
                <w:rFonts w:cs="Arial"/>
              </w:rPr>
              <w:t>s</w:t>
            </w:r>
            <w:r w:rsidRPr="006572B4">
              <w:rPr>
                <w:rFonts w:cs="Arial"/>
              </w:rPr>
              <w:t>grad ≥ 85 vom Hundert</w:t>
            </w:r>
          </w:p>
        </w:tc>
        <w:tc>
          <w:tcPr>
            <w:tcW w:w="1731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 und Schw</w:t>
            </w:r>
            <w:r w:rsidRPr="006572B4">
              <w:rPr>
                <w:rFonts w:cs="Arial"/>
              </w:rPr>
              <w:t>e</w:t>
            </w:r>
            <w:r w:rsidRPr="006572B4">
              <w:rPr>
                <w:rFonts w:cs="Arial"/>
              </w:rPr>
              <w:t>felminderung</w:t>
            </w:r>
            <w:r w:rsidRPr="006572B4">
              <w:rPr>
                <w:rFonts w:cs="Arial"/>
              </w:rPr>
              <w:t>s</w:t>
            </w:r>
            <w:r w:rsidRPr="006572B4">
              <w:rPr>
                <w:rFonts w:cs="Arial"/>
              </w:rPr>
              <w:t>grad ≥85 vom Hu</w:t>
            </w:r>
            <w:r w:rsidRPr="006572B4">
              <w:rPr>
                <w:rFonts w:cs="Arial"/>
              </w:rPr>
              <w:t>n</w:t>
            </w:r>
            <w:r w:rsidRPr="006572B4">
              <w:rPr>
                <w:rFonts w:cs="Arial"/>
              </w:rPr>
              <w:t>dert</w:t>
            </w:r>
          </w:p>
        </w:tc>
      </w:tr>
      <w:tr w:rsidR="005B3493" w:rsidRPr="006572B4" w:rsidTr="006572B4">
        <w:tc>
          <w:tcPr>
            <w:tcW w:w="2376" w:type="dxa"/>
            <w:shd w:val="clear" w:color="auto" w:fill="auto"/>
          </w:tcPr>
          <w:p w:rsidR="005B3493" w:rsidRPr="006572B4" w:rsidRDefault="005B3493" w:rsidP="008F2F31">
            <w:pPr>
              <w:pStyle w:val="GesAbsatz"/>
              <w:rPr>
                <w:rFonts w:cs="Arial"/>
                <w:lang w:val="en-GB"/>
              </w:rPr>
            </w:pPr>
            <w:r w:rsidRPr="006572B4">
              <w:rPr>
                <w:rFonts w:cs="Arial"/>
              </w:rPr>
              <w:t>NO</w:t>
            </w:r>
            <w:r w:rsidRPr="006572B4">
              <w:rPr>
                <w:rFonts w:cs="Arial"/>
                <w:vertAlign w:val="subscript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250 bei Heizöl EL 350 bei sonstige</w:t>
            </w:r>
            <w:r w:rsidRPr="006572B4">
              <w:rPr>
                <w:rFonts w:cs="Arial"/>
              </w:rPr>
              <w:t>n</w:t>
            </w:r>
            <w:r w:rsidRPr="006572B4">
              <w:rPr>
                <w:rFonts w:cs="Arial"/>
              </w:rPr>
              <w:t xml:space="preserve"> Brennstoffen</w:t>
            </w:r>
          </w:p>
        </w:tc>
        <w:tc>
          <w:tcPr>
            <w:tcW w:w="1843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 bei Heizöl EL 350 bei sonst</w:t>
            </w:r>
            <w:r w:rsidRPr="006572B4">
              <w:rPr>
                <w:rFonts w:cs="Arial"/>
              </w:rPr>
              <w:t>i</w:t>
            </w:r>
            <w:r w:rsidRPr="006572B4">
              <w:rPr>
                <w:rFonts w:cs="Arial"/>
              </w:rPr>
              <w:t>gen Brennstoffen</w:t>
            </w:r>
          </w:p>
        </w:tc>
        <w:tc>
          <w:tcPr>
            <w:tcW w:w="1842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200</w:t>
            </w:r>
          </w:p>
        </w:tc>
        <w:tc>
          <w:tcPr>
            <w:tcW w:w="1731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150</w:t>
            </w:r>
          </w:p>
        </w:tc>
      </w:tr>
      <w:tr w:rsidR="005B3493" w:rsidRPr="006572B4" w:rsidTr="006572B4">
        <w:tc>
          <w:tcPr>
            <w:tcW w:w="2376" w:type="dxa"/>
            <w:shd w:val="clear" w:color="auto" w:fill="auto"/>
          </w:tcPr>
          <w:p w:rsidR="005B3493" w:rsidRPr="006572B4" w:rsidRDefault="005B3493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Kohlenmonoxid</w:t>
            </w:r>
          </w:p>
        </w:tc>
        <w:tc>
          <w:tcPr>
            <w:tcW w:w="1985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80</w:t>
            </w:r>
          </w:p>
        </w:tc>
        <w:tc>
          <w:tcPr>
            <w:tcW w:w="1842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80</w:t>
            </w:r>
          </w:p>
        </w:tc>
        <w:tc>
          <w:tcPr>
            <w:tcW w:w="1731" w:type="dxa"/>
            <w:shd w:val="clear" w:color="auto" w:fill="auto"/>
          </w:tcPr>
          <w:p w:rsidR="005B3493" w:rsidRPr="006572B4" w:rsidRDefault="005B349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80</w:t>
            </w:r>
          </w:p>
        </w:tc>
      </w:tr>
    </w:tbl>
    <w:p w:rsidR="005B3493" w:rsidRPr="005B3493" w:rsidRDefault="005B3493" w:rsidP="008F2F31">
      <w:pPr>
        <w:pStyle w:val="GesAbsatz"/>
        <w:rPr>
          <w:rFonts w:cs="Arial"/>
        </w:rPr>
      </w:pP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Beim Einsatz von Heizöl EL gilt als Emissionswert (</w:t>
      </w:r>
      <w:proofErr w:type="spellStart"/>
      <w:r w:rsidRPr="008F2F31">
        <w:rPr>
          <w:rFonts w:cs="Arial"/>
        </w:rPr>
        <w:t>C</w:t>
      </w:r>
      <w:r w:rsidRPr="002C4C82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>) für SO</w:t>
      </w:r>
      <w:r w:rsidRPr="002C4C82">
        <w:rPr>
          <w:rFonts w:cs="Arial"/>
          <w:vertAlign w:val="subscript"/>
        </w:rPr>
        <w:t>2</w:t>
      </w:r>
      <w:r w:rsidRPr="008F2F31">
        <w:rPr>
          <w:rFonts w:cs="Arial"/>
        </w:rPr>
        <w:t xml:space="preserve"> und SO</w:t>
      </w:r>
      <w:r w:rsidRPr="002C4C82">
        <w:rPr>
          <w:rFonts w:cs="Arial"/>
          <w:vertAlign w:val="subscript"/>
        </w:rPr>
        <w:t>3</w:t>
      </w:r>
      <w:r w:rsidRPr="008F2F31">
        <w:rPr>
          <w:rFonts w:cs="Arial"/>
        </w:rPr>
        <w:t xml:space="preserve"> der jeweils für den B</w:t>
      </w:r>
      <w:r w:rsidRPr="008F2F31">
        <w:rPr>
          <w:rFonts w:cs="Arial"/>
        </w:rPr>
        <w:t>e</w:t>
      </w:r>
      <w:r w:rsidRPr="008F2F31">
        <w:rPr>
          <w:rFonts w:cs="Arial"/>
        </w:rPr>
        <w:t>trieb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ohne Einsatz von Abfällen oder Stoffen nach § 1 Abs. 1 gemessene Emissionswert, soweit dieser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den gemäß Tabelle II.2.3 zwischen &gt; 100 – 300 MW</w:t>
      </w:r>
      <w:r w:rsidRPr="002C4C82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bei linearer Abnahme ermittelten Emission</w:t>
      </w:r>
      <w:r w:rsidRPr="008F2F31">
        <w:rPr>
          <w:rFonts w:cs="Arial"/>
        </w:rPr>
        <w:t>s</w:t>
      </w:r>
      <w:r w:rsidRPr="008F2F31">
        <w:rPr>
          <w:rFonts w:cs="Arial"/>
        </w:rPr>
        <w:t>wert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nicht übersteigt. Bei Anlagen über 300 MW</w:t>
      </w:r>
      <w:r w:rsidRPr="002C4C82">
        <w:rPr>
          <w:rFonts w:cs="Arial"/>
          <w:vertAlign w:val="subscript"/>
        </w:rPr>
        <w:t>th</w:t>
      </w:r>
      <w:r w:rsidRPr="008F2F31">
        <w:rPr>
          <w:rFonts w:cs="Arial"/>
        </w:rPr>
        <w:t xml:space="preserve"> ist für SO</w:t>
      </w:r>
      <w:r w:rsidRPr="002C4C82">
        <w:rPr>
          <w:rFonts w:cs="Arial"/>
          <w:vertAlign w:val="subscript"/>
        </w:rPr>
        <w:t>2</w:t>
      </w:r>
      <w:r w:rsidRPr="008F2F31">
        <w:rPr>
          <w:rFonts w:cs="Arial"/>
        </w:rPr>
        <w:t xml:space="preserve"> und SO</w:t>
      </w:r>
      <w:r w:rsidRPr="002C4C82">
        <w:rPr>
          <w:rFonts w:cs="Arial"/>
          <w:vertAlign w:val="subscript"/>
        </w:rPr>
        <w:t>3</w:t>
      </w:r>
      <w:r w:rsidRPr="008F2F31">
        <w:rPr>
          <w:rFonts w:cs="Arial"/>
        </w:rPr>
        <w:t xml:space="preserve"> der Emissionswert (</w:t>
      </w:r>
      <w:proofErr w:type="spellStart"/>
      <w:r w:rsidRPr="008F2F31">
        <w:rPr>
          <w:rFonts w:cs="Arial"/>
        </w:rPr>
        <w:t>C</w:t>
      </w:r>
      <w:r w:rsidRPr="002C4C82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>) von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200</w:t>
      </w:r>
      <w:r w:rsidR="002C4C82">
        <w:rPr>
          <w:rFonts w:cs="Arial"/>
        </w:rPr>
        <w:t> </w:t>
      </w:r>
      <w:r w:rsidRPr="008F2F31">
        <w:rPr>
          <w:rFonts w:cs="Arial"/>
        </w:rPr>
        <w:t>mg/m</w:t>
      </w:r>
      <w:r w:rsidR="002C4C82">
        <w:rPr>
          <w:rFonts w:cs="Arial"/>
        </w:rPr>
        <w:t xml:space="preserve">³ </w:t>
      </w:r>
      <w:r w:rsidRPr="008F2F31">
        <w:rPr>
          <w:rFonts w:cs="Arial"/>
        </w:rPr>
        <w:t>anzuwenden. Die in Tabelle II.2.3 geforderten Schwefelminderungsgrade finden beim Ei</w:t>
      </w:r>
      <w:r w:rsidRPr="008F2F31">
        <w:rPr>
          <w:rFonts w:cs="Arial"/>
        </w:rPr>
        <w:t>n</w:t>
      </w:r>
      <w:r w:rsidRPr="008F2F31">
        <w:rPr>
          <w:rFonts w:cs="Arial"/>
        </w:rPr>
        <w:t>satz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von Heizöl EL keine Anwendung.</w:t>
      </w:r>
    </w:p>
    <w:p w:rsidR="001469C7" w:rsidRPr="002C4C82" w:rsidRDefault="001469C7" w:rsidP="002C4C8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2C4C82">
        <w:rPr>
          <w:rFonts w:cs="Arial"/>
          <w:b/>
        </w:rPr>
        <w:t>II.2.4</w:t>
      </w:r>
      <w:r w:rsidR="002C4C82">
        <w:rPr>
          <w:rFonts w:cs="Arial"/>
          <w:b/>
        </w:rPr>
        <w:tab/>
      </w:r>
      <w:r w:rsidRPr="002C4C82">
        <w:rPr>
          <w:rFonts w:cs="Arial"/>
          <w:b/>
        </w:rPr>
        <w:t>Feuerungsanlagen für gasförmige Brennstoffe</w:t>
      </w:r>
    </w:p>
    <w:p w:rsidR="001469C7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Beim Einsatz von gasförmigen Stoffen aus der Pyrolyse oder Vergasung von festen oder flüssigen A</w:t>
      </w:r>
      <w:r w:rsidRPr="008F2F31">
        <w:rPr>
          <w:rFonts w:cs="Arial"/>
        </w:rPr>
        <w:t>b</w:t>
      </w:r>
      <w:r w:rsidRPr="008F2F31">
        <w:rPr>
          <w:rFonts w:cs="Arial"/>
        </w:rPr>
        <w:t>fällen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in Feuerungsanlagen für gasförmige Brennstoffe hat die zuständige Behörde einen kontinuie</w:t>
      </w:r>
      <w:r w:rsidRPr="008F2F31">
        <w:rPr>
          <w:rFonts w:cs="Arial"/>
        </w:rPr>
        <w:t>r</w:t>
      </w:r>
      <w:r w:rsidRPr="008F2F31">
        <w:rPr>
          <w:rFonts w:cs="Arial"/>
        </w:rPr>
        <w:t>lich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zu überwachenden Emissionsgrenzwert (Tagesmittelwert und Halbstundenmittelwert) für SO</w:t>
      </w:r>
      <w:r w:rsidRPr="002C4C82">
        <w:rPr>
          <w:rFonts w:cs="Arial"/>
          <w:vertAlign w:val="subscript"/>
        </w:rPr>
        <w:t>2</w:t>
      </w:r>
      <w:r w:rsidRPr="008F2F31">
        <w:rPr>
          <w:rFonts w:cs="Arial"/>
        </w:rPr>
        <w:t xml:space="preserve"> und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SO</w:t>
      </w:r>
      <w:r w:rsidRPr="002C4C82">
        <w:rPr>
          <w:rFonts w:cs="Arial"/>
          <w:vertAlign w:val="subscript"/>
        </w:rPr>
        <w:t>3</w:t>
      </w:r>
      <w:r w:rsidRPr="008F2F31">
        <w:rPr>
          <w:rFonts w:cs="Arial"/>
        </w:rPr>
        <w:t xml:space="preserve"> sowie für NO</w:t>
      </w:r>
      <w:r w:rsidRPr="002C4C82">
        <w:rPr>
          <w:rFonts w:cs="Arial"/>
          <w:vertAlign w:val="subscript"/>
        </w:rPr>
        <w:t>x</w:t>
      </w:r>
      <w:r w:rsidRPr="008F2F31">
        <w:rPr>
          <w:rFonts w:cs="Arial"/>
        </w:rPr>
        <w:t xml:space="preserve"> unter Berücksichtigung der spezifischen Brennstoffe gemäß der 13. BImSchV s</w:t>
      </w:r>
      <w:r w:rsidRPr="008F2F31">
        <w:rPr>
          <w:rFonts w:cs="Arial"/>
        </w:rPr>
        <w:t>o</w:t>
      </w:r>
      <w:r w:rsidRPr="008F2F31">
        <w:rPr>
          <w:rFonts w:cs="Arial"/>
        </w:rPr>
        <w:t>wie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einen entsprechenden Bezugssauerstoffgehalt in der Genehmigung festzusetzen. Für alle weit</w:t>
      </w:r>
      <w:r w:rsidRPr="008F2F31">
        <w:rPr>
          <w:rFonts w:cs="Arial"/>
        </w:rPr>
        <w:t>e</w:t>
      </w:r>
      <w:r w:rsidRPr="008F2F31">
        <w:rPr>
          <w:rFonts w:cs="Arial"/>
        </w:rPr>
        <w:t xml:space="preserve">ren Emissionsparameter kommen die Nummer II.2.5 bis II.2.6 sowie als </w:t>
      </w:r>
      <w:proofErr w:type="spellStart"/>
      <w:r w:rsidRPr="008F2F31">
        <w:rPr>
          <w:rFonts w:cs="Arial"/>
        </w:rPr>
        <w:t>C</w:t>
      </w:r>
      <w:r w:rsidRPr="002C4C82">
        <w:rPr>
          <w:rFonts w:cs="Arial"/>
          <w:vertAlign w:val="subscript"/>
        </w:rPr>
        <w:t>Verfahren</w:t>
      </w:r>
      <w:proofErr w:type="spellEnd"/>
      <w:r w:rsidRPr="008F2F31">
        <w:rPr>
          <w:rFonts w:cs="Arial"/>
        </w:rPr>
        <w:t xml:space="preserve"> ein Emissionswert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für Kohlenmonoxid als Tagesmittelwert von 80 mg/m</w:t>
      </w:r>
      <w:r w:rsidR="002C4C82">
        <w:rPr>
          <w:rFonts w:cs="Arial"/>
        </w:rPr>
        <w:t xml:space="preserve">³ </w:t>
      </w:r>
      <w:r w:rsidRPr="008F2F31">
        <w:rPr>
          <w:rFonts w:cs="Arial"/>
        </w:rPr>
        <w:t>oder bei Einsatz von Gasen der öffentlichen</w:t>
      </w:r>
      <w:r w:rsidR="002C4C82">
        <w:rPr>
          <w:rFonts w:cs="Arial"/>
        </w:rPr>
        <w:t xml:space="preserve"> </w:t>
      </w:r>
      <w:r w:rsidRPr="008F2F31">
        <w:rPr>
          <w:rFonts w:cs="Arial"/>
        </w:rPr>
        <w:t>Ga</w:t>
      </w:r>
      <w:r w:rsidRPr="008F2F31">
        <w:rPr>
          <w:rFonts w:cs="Arial"/>
        </w:rPr>
        <w:t>s</w:t>
      </w:r>
      <w:r w:rsidRPr="008F2F31">
        <w:rPr>
          <w:rFonts w:cs="Arial"/>
        </w:rPr>
        <w:t>versorgung 50 mg/m</w:t>
      </w:r>
      <w:r w:rsidR="002C4C82">
        <w:rPr>
          <w:rFonts w:cs="Arial"/>
        </w:rPr>
        <w:t>³</w:t>
      </w:r>
      <w:r w:rsidRPr="008F2F31">
        <w:rPr>
          <w:rFonts w:cs="Arial"/>
        </w:rPr>
        <w:t xml:space="preserve"> jeweils bei einem Bezugssauerstoffgehalt von 3 vom Hundert zur Anwe</w:t>
      </w:r>
      <w:r w:rsidRPr="008F2F31">
        <w:rPr>
          <w:rFonts w:cs="Arial"/>
        </w:rPr>
        <w:t>n</w:t>
      </w:r>
      <w:r w:rsidRPr="008F2F31">
        <w:rPr>
          <w:rFonts w:cs="Arial"/>
        </w:rPr>
        <w:t>dung.</w:t>
      </w:r>
    </w:p>
    <w:p w:rsidR="005168F8" w:rsidRDefault="005168F8" w:rsidP="0091076C">
      <w:pPr>
        <w:pStyle w:val="GesAbsatz"/>
        <w:tabs>
          <w:tab w:val="clear" w:pos="425"/>
          <w:tab w:val="left" w:pos="567"/>
        </w:tabs>
        <w:spacing w:after="120"/>
        <w:ind w:left="567" w:hanging="567"/>
        <w:rPr>
          <w:rFonts w:cs="Arial"/>
        </w:rPr>
      </w:pPr>
      <w:r w:rsidRPr="00DE60AE">
        <w:rPr>
          <w:rFonts w:cs="Arial"/>
          <w:b/>
        </w:rPr>
        <w:t>II.2.4a</w:t>
      </w:r>
      <w:r>
        <w:rPr>
          <w:rFonts w:cs="Arial"/>
        </w:rPr>
        <w:tab/>
      </w:r>
      <w:r w:rsidRPr="005168F8">
        <w:rPr>
          <w:rFonts w:cs="Arial"/>
        </w:rPr>
        <w:t>Feste Emissionsgrenzwerte für feste (ausgenommen</w:t>
      </w:r>
      <w:r>
        <w:rPr>
          <w:rFonts w:cs="Arial"/>
        </w:rPr>
        <w:t xml:space="preserve"> </w:t>
      </w:r>
      <w:r w:rsidRPr="005168F8">
        <w:rPr>
          <w:rFonts w:cs="Arial"/>
        </w:rPr>
        <w:t>bei ausschließlichem Einsatz</w:t>
      </w:r>
      <w:r>
        <w:rPr>
          <w:rFonts w:cs="Arial"/>
        </w:rPr>
        <w:t xml:space="preserve"> </w:t>
      </w:r>
      <w:r w:rsidRPr="005168F8">
        <w:rPr>
          <w:rFonts w:cs="Arial"/>
        </w:rPr>
        <w:t>von Biobrennsto</w:t>
      </w:r>
      <w:r w:rsidRPr="005168F8">
        <w:rPr>
          <w:rFonts w:cs="Arial"/>
        </w:rPr>
        <w:t>f</w:t>
      </w:r>
      <w:r w:rsidRPr="005168F8">
        <w:rPr>
          <w:rFonts w:cs="Arial"/>
        </w:rPr>
        <w:t>fen) und flüssige Brennstoffe</w:t>
      </w:r>
      <w:r>
        <w:rPr>
          <w:rFonts w:cs="Arial"/>
        </w:rPr>
        <w:t xml:space="preserve"> </w:t>
      </w:r>
      <w:r w:rsidRPr="005168F8">
        <w:rPr>
          <w:rFonts w:cs="Arial"/>
        </w:rPr>
        <w:t>für Anlagen mit einer Feuerungswärmeleistung</w:t>
      </w:r>
      <w:r>
        <w:rPr>
          <w:rFonts w:cs="Arial"/>
        </w:rPr>
        <w:t xml:space="preserve"> </w:t>
      </w:r>
      <w:r w:rsidRPr="005168F8">
        <w:rPr>
          <w:rFonts w:cs="Arial"/>
        </w:rPr>
        <w:t>von mehr als 50 MW (Jahresmittelwerte</w:t>
      </w:r>
      <w:r>
        <w:rPr>
          <w:rFonts w:cs="Arial"/>
        </w:rPr>
        <w:t xml:space="preserve"> </w:t>
      </w:r>
      <w:r w:rsidRPr="005168F8">
        <w:rPr>
          <w:rFonts w:cs="Arial"/>
        </w:rPr>
        <w:t>in mg/m³)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450"/>
        <w:tblGridChange w:id="37">
          <w:tblGrid>
            <w:gridCol w:w="3794"/>
            <w:gridCol w:w="2450"/>
          </w:tblGrid>
        </w:tblGridChange>
      </w:tblGrid>
      <w:tr w:rsidR="005168F8" w:rsidRPr="006572B4" w:rsidTr="006572B4">
        <w:trPr>
          <w:jc w:val="center"/>
        </w:trPr>
        <w:tc>
          <w:tcPr>
            <w:tcW w:w="3794" w:type="dxa"/>
            <w:shd w:val="clear" w:color="auto" w:fill="auto"/>
          </w:tcPr>
          <w:p w:rsidR="005168F8" w:rsidRPr="006572B4" w:rsidRDefault="005168F8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Emissionsparameter</w:t>
            </w:r>
          </w:p>
        </w:tc>
        <w:tc>
          <w:tcPr>
            <w:tcW w:w="2450" w:type="dxa"/>
            <w:shd w:val="clear" w:color="auto" w:fill="auto"/>
          </w:tcPr>
          <w:p w:rsidR="005168F8" w:rsidRPr="006572B4" w:rsidRDefault="005168F8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C</w:t>
            </w:r>
          </w:p>
        </w:tc>
      </w:tr>
      <w:tr w:rsidR="005168F8" w:rsidRPr="006572B4" w:rsidTr="006572B4">
        <w:trPr>
          <w:jc w:val="center"/>
        </w:trPr>
        <w:tc>
          <w:tcPr>
            <w:tcW w:w="3794" w:type="dxa"/>
            <w:shd w:val="clear" w:color="auto" w:fill="auto"/>
          </w:tcPr>
          <w:p w:rsidR="005168F8" w:rsidRPr="006572B4" w:rsidRDefault="005168F8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Stickstoffmonoxid und Stickstoffdioxid, angegeben als Stickstoffdioxid</w:t>
            </w:r>
          </w:p>
        </w:tc>
        <w:tc>
          <w:tcPr>
            <w:tcW w:w="2450" w:type="dxa"/>
            <w:shd w:val="clear" w:color="auto" w:fill="auto"/>
          </w:tcPr>
          <w:p w:rsidR="005168F8" w:rsidRPr="006572B4" w:rsidRDefault="005168F8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100</w:t>
            </w:r>
          </w:p>
        </w:tc>
      </w:tr>
    </w:tbl>
    <w:p w:rsidR="005168F8" w:rsidRPr="0091076C" w:rsidRDefault="005168F8" w:rsidP="0091076C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</w:p>
    <w:p w:rsidR="001469C7" w:rsidRPr="002C4C82" w:rsidRDefault="001469C7" w:rsidP="002C4C8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2C4C82">
        <w:rPr>
          <w:rFonts w:cs="Arial"/>
          <w:b/>
        </w:rPr>
        <w:t>II.2.5</w:t>
      </w:r>
      <w:r w:rsidR="002C4C82">
        <w:rPr>
          <w:rFonts w:cs="Arial"/>
          <w:b/>
        </w:rPr>
        <w:tab/>
      </w:r>
      <w:r w:rsidRPr="002C4C82">
        <w:rPr>
          <w:rFonts w:cs="Arial"/>
          <w:b/>
        </w:rPr>
        <w:t>Feste Emissionsgrenzwerte für alle Brennstoffe (Tagesmittelwert in mg/m</w:t>
      </w:r>
      <w:r w:rsidR="002C4C82">
        <w:rPr>
          <w:rFonts w:cs="Arial"/>
          <w:b/>
        </w:rPr>
        <w:t>³</w:t>
      </w:r>
      <w:r w:rsidRPr="002C4C82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621"/>
        <w:gridCol w:w="2156"/>
      </w:tblGrid>
      <w:tr w:rsidR="002C4C82" w:rsidRPr="006572B4" w:rsidTr="006572B4">
        <w:tc>
          <w:tcPr>
            <w:tcW w:w="7621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Emissionsparameter</w:t>
            </w:r>
          </w:p>
        </w:tc>
        <w:tc>
          <w:tcPr>
            <w:tcW w:w="2156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C</w:t>
            </w:r>
          </w:p>
        </w:tc>
      </w:tr>
      <w:tr w:rsidR="002C4C82" w:rsidRPr="006572B4" w:rsidTr="006572B4">
        <w:tc>
          <w:tcPr>
            <w:tcW w:w="7621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Gesamtstaub</w:t>
            </w:r>
          </w:p>
        </w:tc>
        <w:tc>
          <w:tcPr>
            <w:tcW w:w="2156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10</w:t>
            </w:r>
          </w:p>
        </w:tc>
      </w:tr>
      <w:tr w:rsidR="002C4C82" w:rsidRPr="006572B4" w:rsidTr="006572B4">
        <w:tc>
          <w:tcPr>
            <w:tcW w:w="7621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156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</w:t>
            </w:r>
          </w:p>
        </w:tc>
      </w:tr>
      <w:tr w:rsidR="002C4C82" w:rsidRPr="006572B4" w:rsidTr="006572B4">
        <w:tc>
          <w:tcPr>
            <w:tcW w:w="7621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gasförmige anorganische Fluorverbindungen, angegeben als Fluorwasserstoff</w:t>
            </w:r>
          </w:p>
        </w:tc>
        <w:tc>
          <w:tcPr>
            <w:tcW w:w="2156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</w:t>
            </w:r>
          </w:p>
        </w:tc>
      </w:tr>
      <w:tr w:rsidR="002C4C82" w:rsidRPr="006572B4" w:rsidTr="006572B4">
        <w:tc>
          <w:tcPr>
            <w:tcW w:w="7621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organische Stoffe, angegeben als Gesamtkohlenstoff</w:t>
            </w:r>
          </w:p>
        </w:tc>
        <w:tc>
          <w:tcPr>
            <w:tcW w:w="2156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10</w:t>
            </w:r>
          </w:p>
        </w:tc>
      </w:tr>
      <w:tr w:rsidR="002C4C82" w:rsidRPr="006572B4" w:rsidTr="006572B4">
        <w:tc>
          <w:tcPr>
            <w:tcW w:w="7621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156" w:type="dxa"/>
            <w:shd w:val="clear" w:color="auto" w:fill="auto"/>
          </w:tcPr>
          <w:p w:rsidR="002C4C82" w:rsidRPr="006572B4" w:rsidRDefault="002C4C82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0,03</w:t>
            </w:r>
          </w:p>
        </w:tc>
      </w:tr>
    </w:tbl>
    <w:p w:rsidR="002C4C82" w:rsidRDefault="002C4C82" w:rsidP="002C4C82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</w:p>
    <w:p w:rsidR="005D7089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Altanlagen ist ein Tagesmittelwert für Gesamtstaub von höchstens 20 mg/m</w:t>
      </w:r>
      <w:r w:rsidR="005D7089">
        <w:rPr>
          <w:rFonts w:cs="Arial"/>
        </w:rPr>
        <w:t xml:space="preserve">³ </w:t>
      </w:r>
      <w:r w:rsidRPr="008F2F31">
        <w:rPr>
          <w:rFonts w:cs="Arial"/>
        </w:rPr>
        <w:t>zulässig. Die G</w:t>
      </w:r>
      <w:r w:rsidRPr="008F2F31">
        <w:rPr>
          <w:rFonts w:cs="Arial"/>
        </w:rPr>
        <w:t>e</w:t>
      </w:r>
      <w:r w:rsidRPr="008F2F31">
        <w:rPr>
          <w:rFonts w:cs="Arial"/>
        </w:rPr>
        <w:t>samtstaubemission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ist ohne Beitrag des Schwefeltrioxids zum Messwert auszuweisen.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gilt für Anlagen, bei denen zur Minderung von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Schwefeloxidemissionen keine Rauchgasentschwefelungsanlage erforderlich ist, ein Tagesmittelwert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</w:t>
      </w:r>
      <w:r w:rsidRPr="008F2F31">
        <w:rPr>
          <w:rFonts w:cs="Arial"/>
        </w:rPr>
        <w:t>e</w:t>
      </w:r>
      <w:r w:rsidRPr="008F2F31">
        <w:rPr>
          <w:rFonts w:cs="Arial"/>
        </w:rPr>
        <w:t>samtstaub von 20 mg/m</w:t>
      </w:r>
      <w:r w:rsidR="005D7089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gilt für Wirbelschichtfeuerungen ein Tagesmi</w:t>
      </w:r>
      <w:r w:rsidRPr="008F2F31">
        <w:rPr>
          <w:rFonts w:cs="Arial"/>
        </w:rPr>
        <w:t>t</w:t>
      </w:r>
      <w:r w:rsidRPr="008F2F31">
        <w:rPr>
          <w:rFonts w:cs="Arial"/>
        </w:rPr>
        <w:t>telwert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gasförmige anorganische Chlorverbindungen, angegeben als Chlorwasserstoff, von 100</w:t>
      </w:r>
      <w:r w:rsidR="005D7089">
        <w:rPr>
          <w:rFonts w:cs="Arial"/>
        </w:rPr>
        <w:t> </w:t>
      </w:r>
      <w:r w:rsidRPr="008F2F31">
        <w:rPr>
          <w:rFonts w:cs="Arial"/>
        </w:rPr>
        <w:t>mg/m</w:t>
      </w:r>
      <w:r w:rsidR="005D7089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für gasförmige anorganische Fluorverbindu</w:t>
      </w:r>
      <w:r w:rsidRPr="008F2F31">
        <w:rPr>
          <w:rFonts w:cs="Arial"/>
        </w:rPr>
        <w:t>n</w:t>
      </w:r>
      <w:r w:rsidRPr="008F2F31">
        <w:rPr>
          <w:rFonts w:cs="Arial"/>
        </w:rPr>
        <w:t>gen,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angegeben als Fluorwasserstoff, gilt für Altanlagen, bei denen es zum Betrieb der Rauchgasen</w:t>
      </w:r>
      <w:r w:rsidRPr="008F2F31">
        <w:rPr>
          <w:rFonts w:cs="Arial"/>
        </w:rPr>
        <w:t>t</w:t>
      </w:r>
      <w:r w:rsidRPr="008F2F31">
        <w:rPr>
          <w:rFonts w:cs="Arial"/>
        </w:rPr>
        <w:t>schwefelungsanlage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erforderlich ist, dem Rauchgasstrom vor der Rauchgasentschwefelungsanlage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mittels rotierender oder feststehender Speichermassen als Wärmeübertragungsmedium Wärme zu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entziehen, wobei diese zur Wiederaufheizung des Abgasstroms nach der Rauchgasentschwefelung</w:t>
      </w:r>
      <w:r w:rsidRPr="008F2F31">
        <w:rPr>
          <w:rFonts w:cs="Arial"/>
        </w:rPr>
        <w:t>s</w:t>
      </w:r>
      <w:r w:rsidRPr="008F2F31">
        <w:rPr>
          <w:rFonts w:cs="Arial"/>
        </w:rPr>
        <w:t>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genutzt wird, ein Tagesmittelwert für Fluorwasserstoff von 10 mg/m</w:t>
      </w:r>
      <w:r w:rsidR="00721B38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5D7089" w:rsidRDefault="001469C7" w:rsidP="005D708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5D7089">
        <w:rPr>
          <w:rFonts w:cs="Arial"/>
          <w:b/>
        </w:rPr>
        <w:t>II.2.6</w:t>
      </w:r>
      <w:r w:rsidR="005D7089">
        <w:rPr>
          <w:rFonts w:cs="Arial"/>
          <w:b/>
        </w:rPr>
        <w:tab/>
      </w:r>
      <w:r w:rsidRPr="005D7089">
        <w:rPr>
          <w:rFonts w:cs="Arial"/>
          <w:b/>
        </w:rPr>
        <w:t>Feste Emissionsgrenzwerte für alle Brennstoffe (Halbstundenmittelwerte in mg/m</w:t>
      </w:r>
      <w:r w:rsidR="005D7089">
        <w:rPr>
          <w:rFonts w:cs="Arial"/>
          <w:b/>
        </w:rPr>
        <w:t>³</w:t>
      </w:r>
      <w:r w:rsidRPr="005D7089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621"/>
        <w:gridCol w:w="2156"/>
      </w:tblGrid>
      <w:tr w:rsidR="005D7089" w:rsidRPr="006572B4" w:rsidTr="006572B4">
        <w:tc>
          <w:tcPr>
            <w:tcW w:w="7621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Emissionsparameter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C</w:t>
            </w:r>
          </w:p>
        </w:tc>
      </w:tr>
      <w:tr w:rsidR="005D7089" w:rsidRPr="006572B4" w:rsidTr="006572B4">
        <w:tc>
          <w:tcPr>
            <w:tcW w:w="7621" w:type="dxa"/>
            <w:shd w:val="clear" w:color="auto" w:fill="auto"/>
          </w:tcPr>
          <w:p w:rsidR="005D7089" w:rsidRPr="006572B4" w:rsidRDefault="005D708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Gesamtstaub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30</w:t>
            </w:r>
          </w:p>
        </w:tc>
      </w:tr>
      <w:tr w:rsidR="005D7089" w:rsidRPr="006572B4" w:rsidTr="006572B4">
        <w:tc>
          <w:tcPr>
            <w:tcW w:w="7621" w:type="dxa"/>
            <w:shd w:val="clear" w:color="auto" w:fill="auto"/>
          </w:tcPr>
          <w:p w:rsidR="005D7089" w:rsidRPr="006572B4" w:rsidRDefault="005D708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60</w:t>
            </w:r>
          </w:p>
        </w:tc>
      </w:tr>
      <w:tr w:rsidR="005D7089" w:rsidRPr="006572B4" w:rsidTr="006572B4">
        <w:tc>
          <w:tcPr>
            <w:tcW w:w="7621" w:type="dxa"/>
            <w:shd w:val="clear" w:color="auto" w:fill="auto"/>
          </w:tcPr>
          <w:p w:rsidR="005D7089" w:rsidRPr="006572B4" w:rsidRDefault="005D708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gasförmige anorganische Fluorverbindungen, angegeben als Fluorwasserstoff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4</w:t>
            </w:r>
          </w:p>
        </w:tc>
      </w:tr>
      <w:tr w:rsidR="005D7089" w:rsidRPr="006572B4" w:rsidTr="006572B4">
        <w:tc>
          <w:tcPr>
            <w:tcW w:w="7621" w:type="dxa"/>
            <w:shd w:val="clear" w:color="auto" w:fill="auto"/>
          </w:tcPr>
          <w:p w:rsidR="005D7089" w:rsidRPr="006572B4" w:rsidRDefault="005D7089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0,05</w:t>
            </w:r>
          </w:p>
        </w:tc>
      </w:tr>
    </w:tbl>
    <w:p w:rsidR="005D7089" w:rsidRDefault="005D7089" w:rsidP="008F2F31">
      <w:pPr>
        <w:pStyle w:val="GesAbsatz"/>
        <w:rPr>
          <w:rFonts w:cs="Arial"/>
        </w:rPr>
      </w:pP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Bis zum 1. Januar 2010 kann von den zuständigen Behörden für Altanlagen ein Halbstundenmitte</w:t>
      </w:r>
      <w:r w:rsidRPr="008F2F31">
        <w:rPr>
          <w:rFonts w:cs="Arial"/>
        </w:rPr>
        <w:t>l</w:t>
      </w:r>
      <w:r w:rsidRPr="008F2F31">
        <w:rPr>
          <w:rFonts w:cs="Arial"/>
        </w:rPr>
        <w:t>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Gesamtstaub von höchstens 40 mg/m</w:t>
      </w:r>
      <w:r w:rsidR="005D7089">
        <w:rPr>
          <w:rFonts w:cs="Arial"/>
        </w:rPr>
        <w:t xml:space="preserve">³ </w:t>
      </w:r>
      <w:r w:rsidRPr="008F2F31">
        <w:rPr>
          <w:rFonts w:cs="Arial"/>
        </w:rPr>
        <w:t>zugelassen werden.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gilt für Anlagen, bei denen zur Minderung von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Schwefeloxidemissionen keine Rauchgasentschwefelungsanlage erforderlich ist, ein Halbstundenmi</w:t>
      </w:r>
      <w:r w:rsidRPr="008F2F31">
        <w:rPr>
          <w:rFonts w:cs="Arial"/>
        </w:rPr>
        <w:t>t</w:t>
      </w:r>
      <w:r w:rsidRPr="008F2F31">
        <w:rPr>
          <w:rFonts w:cs="Arial"/>
        </w:rPr>
        <w:t>telwert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Gesamtstaub von 40 mg/m</w:t>
      </w:r>
      <w:r w:rsidR="005D7089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gilt für Wirbelschichtfeuerungen ein Halbstu</w:t>
      </w:r>
      <w:r w:rsidRPr="008F2F31">
        <w:rPr>
          <w:rFonts w:cs="Arial"/>
        </w:rPr>
        <w:t>n</w:t>
      </w:r>
      <w:r w:rsidRPr="008F2F31">
        <w:rPr>
          <w:rFonts w:cs="Arial"/>
        </w:rPr>
        <w:t>denmi</w:t>
      </w:r>
      <w:r w:rsidRPr="008F2F31">
        <w:rPr>
          <w:rFonts w:cs="Arial"/>
        </w:rPr>
        <w:t>t</w:t>
      </w:r>
      <w:r w:rsidRPr="008F2F31">
        <w:rPr>
          <w:rFonts w:cs="Arial"/>
        </w:rPr>
        <w:t>telwert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gasförmige anorganische Chlorverbindungen, angegeben als Chlorwasserstoff, von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200 mg/m</w:t>
      </w:r>
      <w:r w:rsidR="005D7089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Abweichend von den genannten Emissionsgrenzwerten für gasförmige anorganische Fluorverbindu</w:t>
      </w:r>
      <w:r w:rsidRPr="008F2F31">
        <w:rPr>
          <w:rFonts w:cs="Arial"/>
        </w:rPr>
        <w:t>n</w:t>
      </w:r>
      <w:r w:rsidRPr="008F2F31">
        <w:rPr>
          <w:rFonts w:cs="Arial"/>
        </w:rPr>
        <w:t>gen,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angegeben als Fluorwasserstoff, gilt für Altanlagen, bei denen es zum Betrieb der Rauchgasen</w:t>
      </w:r>
      <w:r w:rsidRPr="008F2F31">
        <w:rPr>
          <w:rFonts w:cs="Arial"/>
        </w:rPr>
        <w:t>t</w:t>
      </w:r>
      <w:r w:rsidRPr="008F2F31">
        <w:rPr>
          <w:rFonts w:cs="Arial"/>
        </w:rPr>
        <w:t>schwefelungsanlage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erforderlich ist, dem Rauchgasstrom vor der Rauchgasentschwefelungsanlage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mittels rotierender oder feststehender Speichermassen als Wärmeübertragungsmedium Wärme zu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entziehen, wobei diese zur Wiederaufheizung des Abgasstroms nach der Rauchgasentschwefelung</w:t>
      </w:r>
      <w:r w:rsidRPr="008F2F31">
        <w:rPr>
          <w:rFonts w:cs="Arial"/>
        </w:rPr>
        <w:t>s</w:t>
      </w:r>
      <w:r w:rsidRPr="008F2F31">
        <w:rPr>
          <w:rFonts w:cs="Arial"/>
        </w:rPr>
        <w:t>anlage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genutzt wird, ein Halbstundenmittelwert für Fluorwasserstoff von 15 mg/m</w:t>
      </w:r>
      <w:r w:rsidR="00721B38">
        <w:rPr>
          <w:rFonts w:cs="Arial"/>
        </w:rPr>
        <w:t>³</w:t>
      </w:r>
      <w:r w:rsidRPr="008F2F31">
        <w:rPr>
          <w:rFonts w:cs="Arial"/>
        </w:rPr>
        <w:t>.</w:t>
      </w:r>
    </w:p>
    <w:p w:rsidR="001469C7" w:rsidRPr="005D7089" w:rsidRDefault="001469C7" w:rsidP="005D708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5D7089">
        <w:rPr>
          <w:rFonts w:cs="Arial"/>
          <w:b/>
        </w:rPr>
        <w:t>II.3</w:t>
      </w:r>
      <w:r w:rsidR="005D7089">
        <w:rPr>
          <w:rFonts w:cs="Arial"/>
          <w:b/>
        </w:rPr>
        <w:tab/>
      </w:r>
      <w:r w:rsidRPr="005D7089">
        <w:rPr>
          <w:rFonts w:cs="Arial"/>
          <w:b/>
        </w:rPr>
        <w:t>Besondere Vorschriften für sonstige Anlagen, d.h. Anlagen, die nicht in Anhang II.1 oder II.2</w:t>
      </w:r>
      <w:r w:rsidR="005D7089">
        <w:rPr>
          <w:rFonts w:cs="Arial"/>
          <w:b/>
        </w:rPr>
        <w:t xml:space="preserve"> </w:t>
      </w:r>
      <w:r w:rsidRPr="005D7089">
        <w:rPr>
          <w:rFonts w:cs="Arial"/>
          <w:b/>
        </w:rPr>
        <w:t>aufgeführt sind und in denen Abfälle oder Stoffe nach § 1 Abs. 1 mitverbrannt werden</w:t>
      </w:r>
    </w:p>
    <w:p w:rsidR="005D7089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Die Emissionen sind zur Überprüfung der Einhaltung der Emissionsgrenzwerte auf einen für das j</w:t>
      </w:r>
      <w:r w:rsidRPr="008F2F31">
        <w:rPr>
          <w:rFonts w:cs="Arial"/>
        </w:rPr>
        <w:t>e</w:t>
      </w:r>
      <w:r w:rsidRPr="008F2F31">
        <w:rPr>
          <w:rFonts w:cs="Arial"/>
        </w:rPr>
        <w:t>weilige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Verfahren relevanten Bezugssauerstoffgehalt, jedoch höchstens 11 vom Hundert, zu bezi</w:t>
      </w:r>
      <w:r w:rsidRPr="008F2F31">
        <w:rPr>
          <w:rFonts w:cs="Arial"/>
        </w:rPr>
        <w:t>e</w:t>
      </w:r>
      <w:r w:rsidRPr="008F2F31">
        <w:rPr>
          <w:rFonts w:cs="Arial"/>
        </w:rPr>
        <w:t>hen.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Bei Anlagen, die mit einem überwiegenden Anteil an betriebsbedingter Nebenluft sowie im Fall</w:t>
      </w:r>
      <w:r w:rsidRPr="008F2F31">
        <w:rPr>
          <w:rFonts w:cs="Arial"/>
        </w:rPr>
        <w:t>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der Verbrennung mit reinem Sauerstoff oder signifikant mit Sauerstoff angereicherter Luft betrieben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werden, soll die Behörde auf Antrag des Betreibers die Emissionsgrenzwerte auf einen an die Verfa</w:t>
      </w:r>
      <w:r w:rsidRPr="008F2F31">
        <w:rPr>
          <w:rFonts w:cs="Arial"/>
        </w:rPr>
        <w:t>h</w:t>
      </w:r>
      <w:r w:rsidRPr="008F2F31">
        <w:rPr>
          <w:rFonts w:cs="Arial"/>
        </w:rPr>
        <w:t>rensbedingungen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der Anlage angepassten Bezugssauerstoffgehalt beziehen oder auf die Festlegu</w:t>
      </w:r>
      <w:r w:rsidRPr="008F2F31">
        <w:rPr>
          <w:rFonts w:cs="Arial"/>
        </w:rPr>
        <w:t>n</w:t>
      </w:r>
      <w:r w:rsidRPr="008F2F31">
        <w:rPr>
          <w:rFonts w:cs="Arial"/>
        </w:rPr>
        <w:t>g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eines Bezugssauerstoffgehalts verzichten. Die in § 5 Abs. 1 Nr. 3 und 4 festgelegten Emission</w:t>
      </w:r>
      <w:r w:rsidRPr="008F2F31">
        <w:rPr>
          <w:rFonts w:cs="Arial"/>
        </w:rPr>
        <w:t>s</w:t>
      </w:r>
      <w:r w:rsidRPr="008F2F31">
        <w:rPr>
          <w:rFonts w:cs="Arial"/>
        </w:rPr>
        <w:t>grenzwerte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für die zu Gruppen zusammengefassten Schadstoffe (Schwermetalle, Benzo(a)pyren, p</w:t>
      </w:r>
      <w:r w:rsidRPr="008F2F31">
        <w:rPr>
          <w:rFonts w:cs="Arial"/>
        </w:rPr>
        <w:t>o</w:t>
      </w:r>
      <w:r w:rsidRPr="008F2F31">
        <w:rPr>
          <w:rFonts w:cs="Arial"/>
        </w:rPr>
        <w:t>lychlorierte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Dibenzodioxine und Dibenzofurane) gelten unter Berücksichtigung des nach Satz 1 oder 2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festgelegten Bezugssauerstoffgehalts.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Für alle kontinuierlich zu überwachenden Emissionsgrenzwerte sind Tagesmittelwerte und Halbstu</w:t>
      </w:r>
      <w:r w:rsidRPr="008F2F31">
        <w:rPr>
          <w:rFonts w:cs="Arial"/>
        </w:rPr>
        <w:t>n</w:t>
      </w:r>
      <w:r w:rsidRPr="008F2F31">
        <w:rPr>
          <w:rFonts w:cs="Arial"/>
        </w:rPr>
        <w:t>denmittelwerte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zu ermitteln. Soweit in Nummer II.3.2 nicht anders festgelegt ist, dürfen die Halbstu</w:t>
      </w:r>
      <w:r w:rsidRPr="008F2F31">
        <w:rPr>
          <w:rFonts w:cs="Arial"/>
        </w:rPr>
        <w:t>n</w:t>
      </w:r>
      <w:r w:rsidRPr="008F2F31">
        <w:rPr>
          <w:rFonts w:cs="Arial"/>
        </w:rPr>
        <w:t>denmittelwerte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das Zweifache der unter Nummer II.3.1 festgelegten Tagesmittelwerte nicht übe</w:t>
      </w:r>
      <w:r w:rsidRPr="008F2F31">
        <w:rPr>
          <w:rFonts w:cs="Arial"/>
        </w:rPr>
        <w:t>r</w:t>
      </w:r>
      <w:r w:rsidRPr="008F2F31">
        <w:rPr>
          <w:rFonts w:cs="Arial"/>
        </w:rPr>
        <w:t>schreiten.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lastRenderedPageBreak/>
        <w:t>Für die Dauer der Probenahme und die sonstigen Messanforderungen gelten die in den §§ 9 bis 15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festgelegten Anforderungen.</w:t>
      </w:r>
    </w:p>
    <w:p w:rsidR="001469C7" w:rsidRPr="008F2F31" w:rsidRDefault="001469C7" w:rsidP="00551A5B">
      <w:pPr>
        <w:pStyle w:val="GesAbsatz"/>
        <w:tabs>
          <w:tab w:val="clear" w:pos="425"/>
          <w:tab w:val="left" w:pos="567"/>
        </w:tabs>
        <w:ind w:left="567"/>
        <w:rPr>
          <w:rFonts w:cs="Arial"/>
        </w:rPr>
      </w:pPr>
      <w:r w:rsidRPr="008F2F31">
        <w:rPr>
          <w:rFonts w:cs="Arial"/>
        </w:rPr>
        <w:t>Weitergehende Regelungen, die sich aus anderen Rechtsvorschriften oder aus diese Rechtsvorschri</w:t>
      </w:r>
      <w:r w:rsidRPr="008F2F31">
        <w:rPr>
          <w:rFonts w:cs="Arial"/>
        </w:rPr>
        <w:t>f</w:t>
      </w:r>
      <w:r w:rsidRPr="008F2F31">
        <w:rPr>
          <w:rFonts w:cs="Arial"/>
        </w:rPr>
        <w:t>ten</w:t>
      </w:r>
      <w:r w:rsidR="005D7089">
        <w:rPr>
          <w:rFonts w:cs="Arial"/>
        </w:rPr>
        <w:t xml:space="preserve"> </w:t>
      </w:r>
      <w:r w:rsidRPr="008F2F31">
        <w:rPr>
          <w:rFonts w:cs="Arial"/>
        </w:rPr>
        <w:t>konkretisierenden Verwaltungsvorschriften ergeben, bleiben unberührt.</w:t>
      </w:r>
    </w:p>
    <w:p w:rsidR="001469C7" w:rsidRPr="005D7089" w:rsidRDefault="001469C7" w:rsidP="005D708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5D7089">
        <w:rPr>
          <w:rFonts w:cs="Arial"/>
          <w:b/>
        </w:rPr>
        <w:t>II.3.1</w:t>
      </w:r>
      <w:r w:rsidR="005D7089">
        <w:rPr>
          <w:rFonts w:cs="Arial"/>
          <w:b/>
        </w:rPr>
        <w:tab/>
      </w:r>
      <w:r w:rsidRPr="005D7089">
        <w:rPr>
          <w:rFonts w:cs="Arial"/>
          <w:b/>
        </w:rPr>
        <w:t>Feste Emissionsgrenzwerte (Tagesmittelwert in mg/m</w:t>
      </w:r>
      <w:r w:rsidR="005D7089">
        <w:rPr>
          <w:rFonts w:cs="Arial"/>
          <w:b/>
        </w:rPr>
        <w:t>³</w:t>
      </w:r>
      <w:r w:rsidRPr="005D7089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621"/>
        <w:gridCol w:w="2156"/>
      </w:tblGrid>
      <w:tr w:rsidR="005D7089" w:rsidRPr="006572B4" w:rsidTr="006572B4">
        <w:trPr>
          <w:tblHeader/>
        </w:trPr>
        <w:tc>
          <w:tcPr>
            <w:tcW w:w="7621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Emissionsparameter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C</w:t>
            </w:r>
          </w:p>
        </w:tc>
      </w:tr>
      <w:tr w:rsidR="005D7089" w:rsidRPr="006572B4" w:rsidTr="006572B4">
        <w:tc>
          <w:tcPr>
            <w:tcW w:w="7621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Gesamtstaub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20</w:t>
            </w:r>
          </w:p>
        </w:tc>
      </w:tr>
      <w:tr w:rsidR="005D7089" w:rsidRPr="006572B4" w:rsidTr="006572B4">
        <w:tc>
          <w:tcPr>
            <w:tcW w:w="7621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10</w:t>
            </w:r>
          </w:p>
        </w:tc>
      </w:tr>
      <w:tr w:rsidR="005D7089" w:rsidRPr="006572B4" w:rsidTr="006572B4">
        <w:tc>
          <w:tcPr>
            <w:tcW w:w="7621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organische Stoffe, angegeben als Gesamtkohlenstoff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10</w:t>
            </w:r>
          </w:p>
        </w:tc>
      </w:tr>
      <w:tr w:rsidR="005D7089" w:rsidRPr="006572B4" w:rsidTr="006572B4">
        <w:tc>
          <w:tcPr>
            <w:tcW w:w="7621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156" w:type="dxa"/>
            <w:shd w:val="clear" w:color="auto" w:fill="auto"/>
          </w:tcPr>
          <w:p w:rsidR="005D7089" w:rsidRPr="006572B4" w:rsidRDefault="005D7089" w:rsidP="006572B4">
            <w:pPr>
              <w:pStyle w:val="GesAbsatz"/>
              <w:tabs>
                <w:tab w:val="clear" w:pos="425"/>
                <w:tab w:val="left" w:pos="567"/>
              </w:tabs>
              <w:ind w:left="567" w:hanging="567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0,03</w:t>
            </w:r>
          </w:p>
        </w:tc>
      </w:tr>
    </w:tbl>
    <w:p w:rsidR="005D7089" w:rsidRDefault="005D7089" w:rsidP="005D7089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</w:rPr>
      </w:pPr>
    </w:p>
    <w:p w:rsidR="001469C7" w:rsidRPr="00C13C73" w:rsidRDefault="001469C7" w:rsidP="00C13C73">
      <w:pPr>
        <w:pStyle w:val="GesAbsatz"/>
        <w:tabs>
          <w:tab w:val="clear" w:pos="425"/>
          <w:tab w:val="left" w:pos="567"/>
        </w:tabs>
        <w:ind w:left="567" w:hanging="567"/>
        <w:rPr>
          <w:rFonts w:cs="Arial"/>
          <w:b/>
        </w:rPr>
      </w:pPr>
      <w:r w:rsidRPr="00C13C73">
        <w:rPr>
          <w:rFonts w:cs="Arial"/>
          <w:b/>
        </w:rPr>
        <w:t>II.3.2</w:t>
      </w:r>
      <w:r w:rsidR="00C13C73">
        <w:rPr>
          <w:rFonts w:cs="Arial"/>
          <w:b/>
        </w:rPr>
        <w:tab/>
      </w:r>
      <w:r w:rsidRPr="00C13C73">
        <w:rPr>
          <w:rFonts w:cs="Arial"/>
          <w:b/>
        </w:rPr>
        <w:t>Feste Emissionsgrenzwerte (Halbstundenmittelwerte in mg/m</w:t>
      </w:r>
      <w:r w:rsidR="00C13C73">
        <w:rPr>
          <w:rFonts w:cs="Arial"/>
          <w:b/>
        </w:rPr>
        <w:t>³</w:t>
      </w:r>
      <w:r w:rsidRPr="00C13C73">
        <w:rPr>
          <w:rFonts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621"/>
        <w:gridCol w:w="2156"/>
      </w:tblGrid>
      <w:tr w:rsidR="00C13C73" w:rsidRPr="006572B4" w:rsidTr="006572B4">
        <w:tc>
          <w:tcPr>
            <w:tcW w:w="7621" w:type="dxa"/>
            <w:shd w:val="clear" w:color="auto" w:fill="auto"/>
          </w:tcPr>
          <w:p w:rsidR="00C13C73" w:rsidRPr="006572B4" w:rsidRDefault="00C13C73" w:rsidP="006572B4">
            <w:pPr>
              <w:pStyle w:val="GesAbsatz"/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Emissionsparameter</w:t>
            </w:r>
          </w:p>
        </w:tc>
        <w:tc>
          <w:tcPr>
            <w:tcW w:w="2156" w:type="dxa"/>
            <w:shd w:val="clear" w:color="auto" w:fill="auto"/>
          </w:tcPr>
          <w:p w:rsidR="00C13C73" w:rsidRPr="006572B4" w:rsidRDefault="00C13C73" w:rsidP="006572B4">
            <w:pPr>
              <w:pStyle w:val="GesAbsatz"/>
              <w:jc w:val="center"/>
              <w:rPr>
                <w:rFonts w:cs="Arial"/>
                <w:b/>
              </w:rPr>
            </w:pPr>
            <w:r w:rsidRPr="006572B4">
              <w:rPr>
                <w:rFonts w:cs="Arial"/>
                <w:b/>
              </w:rPr>
              <w:t>C</w:t>
            </w:r>
          </w:p>
        </w:tc>
      </w:tr>
      <w:tr w:rsidR="00C13C73" w:rsidRPr="006572B4" w:rsidTr="006572B4">
        <w:tc>
          <w:tcPr>
            <w:tcW w:w="7621" w:type="dxa"/>
            <w:shd w:val="clear" w:color="auto" w:fill="auto"/>
          </w:tcPr>
          <w:p w:rsidR="00C13C73" w:rsidRPr="006572B4" w:rsidRDefault="00C13C73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gasförmige anorganische Chlorverbindungen, angegeben als Chlorwasserstoff</w:t>
            </w:r>
          </w:p>
        </w:tc>
        <w:tc>
          <w:tcPr>
            <w:tcW w:w="2156" w:type="dxa"/>
            <w:shd w:val="clear" w:color="auto" w:fill="auto"/>
          </w:tcPr>
          <w:p w:rsidR="00C13C73" w:rsidRPr="006572B4" w:rsidRDefault="00C13C7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60</w:t>
            </w:r>
          </w:p>
        </w:tc>
      </w:tr>
      <w:tr w:rsidR="00C13C73" w:rsidRPr="006572B4" w:rsidTr="006572B4">
        <w:tc>
          <w:tcPr>
            <w:tcW w:w="7621" w:type="dxa"/>
            <w:shd w:val="clear" w:color="auto" w:fill="auto"/>
          </w:tcPr>
          <w:p w:rsidR="00C13C73" w:rsidRPr="006572B4" w:rsidRDefault="00C13C73" w:rsidP="008F2F31">
            <w:pPr>
              <w:pStyle w:val="GesAbsatz"/>
              <w:rPr>
                <w:rFonts w:cs="Arial"/>
              </w:rPr>
            </w:pPr>
            <w:r w:rsidRPr="006572B4">
              <w:rPr>
                <w:rFonts w:cs="Arial"/>
              </w:rPr>
              <w:t>Quecksilber und seine Verbindungen, angegeben als Quecksilber</w:t>
            </w:r>
          </w:p>
        </w:tc>
        <w:tc>
          <w:tcPr>
            <w:tcW w:w="2156" w:type="dxa"/>
            <w:shd w:val="clear" w:color="auto" w:fill="auto"/>
          </w:tcPr>
          <w:p w:rsidR="00C13C73" w:rsidRPr="006572B4" w:rsidRDefault="00C13C73" w:rsidP="006572B4">
            <w:pPr>
              <w:pStyle w:val="GesAbsatz"/>
              <w:jc w:val="center"/>
              <w:rPr>
                <w:rFonts w:cs="Arial"/>
              </w:rPr>
            </w:pPr>
            <w:r w:rsidRPr="006572B4">
              <w:rPr>
                <w:rFonts w:cs="Arial"/>
              </w:rPr>
              <w:t>0,05</w:t>
            </w:r>
          </w:p>
        </w:tc>
      </w:tr>
    </w:tbl>
    <w:p w:rsidR="00C13C73" w:rsidRDefault="00C13C73" w:rsidP="008F2F31">
      <w:pPr>
        <w:pStyle w:val="GesAbsatz"/>
        <w:rPr>
          <w:rFonts w:cs="Arial"/>
        </w:rPr>
      </w:pPr>
    </w:p>
    <w:p w:rsidR="005168F8" w:rsidRPr="005168F8" w:rsidRDefault="005168F8" w:rsidP="00DE60AE">
      <w:pPr>
        <w:pStyle w:val="GesAbsatz"/>
        <w:tabs>
          <w:tab w:val="clear" w:pos="425"/>
          <w:tab w:val="left" w:pos="567"/>
        </w:tabs>
        <w:spacing w:after="120"/>
        <w:ind w:left="567" w:hanging="567"/>
        <w:rPr>
          <w:rFonts w:cs="Arial"/>
        </w:rPr>
      </w:pPr>
      <w:r w:rsidRPr="00DE60AE">
        <w:rPr>
          <w:rFonts w:cs="Arial"/>
          <w:b/>
        </w:rPr>
        <w:t>II.3.3</w:t>
      </w:r>
      <w:r w:rsidRPr="00DE60AE">
        <w:rPr>
          <w:rFonts w:cs="Arial"/>
          <w:b/>
        </w:rPr>
        <w:tab/>
      </w:r>
      <w:r w:rsidRPr="005168F8">
        <w:rPr>
          <w:rFonts w:cs="Arial"/>
        </w:rPr>
        <w:t>Feste Emissionsgrenzwerte für feste (ausgenommen</w:t>
      </w:r>
      <w:r>
        <w:rPr>
          <w:rFonts w:cs="Arial"/>
        </w:rPr>
        <w:t xml:space="preserve"> </w:t>
      </w:r>
      <w:r w:rsidRPr="005168F8">
        <w:rPr>
          <w:rFonts w:cs="Arial"/>
        </w:rPr>
        <w:t>bei ausschließlichem Einsatz von</w:t>
      </w:r>
      <w:r>
        <w:rPr>
          <w:rFonts w:cs="Arial"/>
        </w:rPr>
        <w:t xml:space="preserve"> </w:t>
      </w:r>
      <w:r w:rsidRPr="005168F8">
        <w:rPr>
          <w:rFonts w:cs="Arial"/>
        </w:rPr>
        <w:t>Biobrennsto</w:t>
      </w:r>
      <w:r w:rsidRPr="005168F8">
        <w:rPr>
          <w:rFonts w:cs="Arial"/>
        </w:rPr>
        <w:t>f</w:t>
      </w:r>
      <w:r w:rsidRPr="005168F8">
        <w:rPr>
          <w:rFonts w:cs="Arial"/>
        </w:rPr>
        <w:t>fen) und flüssige Brennstoffe</w:t>
      </w:r>
      <w:r>
        <w:rPr>
          <w:rFonts w:cs="Arial"/>
        </w:rPr>
        <w:t xml:space="preserve"> </w:t>
      </w:r>
      <w:r w:rsidRPr="005168F8">
        <w:rPr>
          <w:rFonts w:cs="Arial"/>
        </w:rPr>
        <w:t>für Anlagen mit einer Feuerungswärmeleistung</w:t>
      </w:r>
      <w:r>
        <w:rPr>
          <w:rFonts w:cs="Arial"/>
        </w:rPr>
        <w:t xml:space="preserve"> </w:t>
      </w:r>
      <w:r w:rsidRPr="005168F8">
        <w:rPr>
          <w:rFonts w:cs="Arial"/>
        </w:rPr>
        <w:t>von mehr als 50 MW (Jahresmittelwerte</w:t>
      </w:r>
      <w:r>
        <w:rPr>
          <w:rFonts w:cs="Arial"/>
        </w:rPr>
        <w:t xml:space="preserve"> </w:t>
      </w:r>
      <w:r w:rsidRPr="005168F8">
        <w:rPr>
          <w:rFonts w:cs="Arial"/>
        </w:rPr>
        <w:t>in mg/m³)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450"/>
        <w:tblGridChange w:id="38">
          <w:tblGrid>
            <w:gridCol w:w="3794"/>
            <w:gridCol w:w="2450"/>
          </w:tblGrid>
        </w:tblGridChange>
      </w:tblGrid>
      <w:tr w:rsidR="005168F8" w:rsidRPr="006572B4" w:rsidTr="006572B4">
        <w:trPr>
          <w:jc w:val="center"/>
        </w:trPr>
        <w:tc>
          <w:tcPr>
            <w:tcW w:w="3794" w:type="dxa"/>
            <w:shd w:val="clear" w:color="auto" w:fill="auto"/>
          </w:tcPr>
          <w:p w:rsidR="005168F8" w:rsidRPr="006572B4" w:rsidRDefault="005168F8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Emissionsparameter</w:t>
            </w:r>
          </w:p>
        </w:tc>
        <w:tc>
          <w:tcPr>
            <w:tcW w:w="2450" w:type="dxa"/>
            <w:shd w:val="clear" w:color="auto" w:fill="auto"/>
          </w:tcPr>
          <w:p w:rsidR="005168F8" w:rsidRPr="006572B4" w:rsidRDefault="005168F8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C</w:t>
            </w:r>
          </w:p>
        </w:tc>
      </w:tr>
      <w:tr w:rsidR="005168F8" w:rsidRPr="006572B4" w:rsidTr="006572B4">
        <w:trPr>
          <w:jc w:val="center"/>
        </w:trPr>
        <w:tc>
          <w:tcPr>
            <w:tcW w:w="3794" w:type="dxa"/>
            <w:shd w:val="clear" w:color="auto" w:fill="auto"/>
          </w:tcPr>
          <w:p w:rsidR="005168F8" w:rsidRPr="006572B4" w:rsidRDefault="005168F8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Stickstoffmonoxid und Stickstoffdioxid, angegeben als Stickstoffdioxid</w:t>
            </w:r>
          </w:p>
        </w:tc>
        <w:tc>
          <w:tcPr>
            <w:tcW w:w="2450" w:type="dxa"/>
            <w:shd w:val="clear" w:color="auto" w:fill="auto"/>
          </w:tcPr>
          <w:p w:rsidR="005168F8" w:rsidRPr="006572B4" w:rsidRDefault="005168F8" w:rsidP="006572B4">
            <w:pPr>
              <w:pStyle w:val="GesAbsatz"/>
              <w:tabs>
                <w:tab w:val="clear" w:pos="425"/>
                <w:tab w:val="left" w:pos="567"/>
              </w:tabs>
              <w:rPr>
                <w:rFonts w:cs="Arial"/>
              </w:rPr>
            </w:pPr>
            <w:r w:rsidRPr="006572B4">
              <w:rPr>
                <w:rFonts w:cs="Arial"/>
              </w:rPr>
              <w:t>100</w:t>
            </w:r>
          </w:p>
        </w:tc>
      </w:tr>
    </w:tbl>
    <w:p w:rsidR="005168F8" w:rsidRDefault="005168F8" w:rsidP="008F2F31">
      <w:pPr>
        <w:pStyle w:val="GesAbsatz"/>
        <w:rPr>
          <w:rFonts w:cs="Arial"/>
        </w:rPr>
      </w:pPr>
    </w:p>
    <w:p w:rsidR="001469C7" w:rsidRPr="008F2F31" w:rsidRDefault="001469C7" w:rsidP="00C13C73">
      <w:pPr>
        <w:pStyle w:val="berschrift2"/>
        <w:jc w:val="left"/>
      </w:pPr>
      <w:bookmarkStart w:id="39" w:name="_Toc462324079"/>
      <w:r w:rsidRPr="008F2F31">
        <w:t>Anhang III</w:t>
      </w:r>
      <w:bookmarkEnd w:id="39"/>
    </w:p>
    <w:p w:rsidR="001469C7" w:rsidRPr="00C13C73" w:rsidRDefault="001469C7" w:rsidP="00C13C73">
      <w:pPr>
        <w:pStyle w:val="GesAbsatz"/>
        <w:jc w:val="center"/>
        <w:rPr>
          <w:rFonts w:cs="Arial"/>
          <w:b/>
        </w:rPr>
      </w:pPr>
      <w:r w:rsidRPr="00C13C73">
        <w:rPr>
          <w:rFonts w:cs="Arial"/>
          <w:b/>
        </w:rPr>
        <w:t>Messtechniken</w:t>
      </w:r>
    </w:p>
    <w:p w:rsidR="001469C7" w:rsidRPr="008F2F31" w:rsidRDefault="001469C7" w:rsidP="00C13C73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1.</w:t>
      </w:r>
      <w:r w:rsidR="00C13C73">
        <w:rPr>
          <w:rFonts w:cs="Arial"/>
        </w:rPr>
        <w:tab/>
      </w:r>
      <w:r w:rsidRPr="008F2F31">
        <w:rPr>
          <w:rFonts w:cs="Arial"/>
        </w:rPr>
        <w:t>Die Messungen zur Bestimmung der Konzentrationen der luft- und wassergefährdenden Stoffe müsse</w:t>
      </w:r>
      <w:r w:rsidRPr="008F2F31">
        <w:rPr>
          <w:rFonts w:cs="Arial"/>
        </w:rPr>
        <w:t>n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repräsentativ sein.</w:t>
      </w:r>
    </w:p>
    <w:p w:rsidR="001469C7" w:rsidRPr="008F2F31" w:rsidRDefault="001469C7" w:rsidP="00C13C73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2.</w:t>
      </w:r>
      <w:r w:rsidR="00C13C73">
        <w:rPr>
          <w:rFonts w:cs="Arial"/>
        </w:rPr>
        <w:tab/>
      </w:r>
      <w:r w:rsidRPr="008F2F31">
        <w:rPr>
          <w:rFonts w:cs="Arial"/>
        </w:rPr>
        <w:t>Die Probenahme und Analyse aller Schadstoffe, einschließlich Dioxine und Furane, sowie die Ref</w:t>
      </w:r>
      <w:r w:rsidRPr="008F2F31">
        <w:rPr>
          <w:rFonts w:cs="Arial"/>
        </w:rPr>
        <w:t>e</w:t>
      </w:r>
      <w:r w:rsidRPr="008F2F31">
        <w:rPr>
          <w:rFonts w:cs="Arial"/>
        </w:rPr>
        <w:t>renzmessverfahren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zur Kalibrierung automatischer Messsysteme sind nach CEN-Normen durchzufü</w:t>
      </w:r>
      <w:r w:rsidRPr="008F2F31">
        <w:rPr>
          <w:rFonts w:cs="Arial"/>
        </w:rPr>
        <w:t>h</w:t>
      </w:r>
      <w:r w:rsidRPr="008F2F31">
        <w:rPr>
          <w:rFonts w:cs="Arial"/>
        </w:rPr>
        <w:t>ren.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Sind keine CEN-Normen verfügbar, so werden ISO-Normen, nationale Normen oder sonstige inte</w:t>
      </w:r>
      <w:r w:rsidRPr="008F2F31">
        <w:rPr>
          <w:rFonts w:cs="Arial"/>
        </w:rPr>
        <w:t>r</w:t>
      </w:r>
      <w:r w:rsidRPr="008F2F31">
        <w:rPr>
          <w:rFonts w:cs="Arial"/>
        </w:rPr>
        <w:t>nationale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Normen angewandt, die sicherstellen, dass Daten von gleichwertiger wissenschaftlicher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Qu</w:t>
      </w:r>
      <w:r w:rsidRPr="008F2F31">
        <w:rPr>
          <w:rFonts w:cs="Arial"/>
        </w:rPr>
        <w:t>a</w:t>
      </w:r>
      <w:r w:rsidRPr="008F2F31">
        <w:rPr>
          <w:rFonts w:cs="Arial"/>
        </w:rPr>
        <w:t>lität ermittelt werden.</w:t>
      </w:r>
    </w:p>
    <w:p w:rsidR="001469C7" w:rsidRPr="008F2F31" w:rsidRDefault="001469C7" w:rsidP="00C13C73">
      <w:pPr>
        <w:pStyle w:val="GesAbsatz"/>
        <w:ind w:left="426" w:hanging="426"/>
        <w:rPr>
          <w:rFonts w:cs="Arial"/>
        </w:rPr>
      </w:pPr>
      <w:r w:rsidRPr="008F2F31">
        <w:rPr>
          <w:rFonts w:cs="Arial"/>
        </w:rPr>
        <w:t>3.</w:t>
      </w:r>
      <w:r w:rsidR="00C13C73">
        <w:rPr>
          <w:rFonts w:cs="Arial"/>
        </w:rPr>
        <w:tab/>
      </w:r>
      <w:r w:rsidRPr="008F2F31">
        <w:rPr>
          <w:rFonts w:cs="Arial"/>
        </w:rPr>
        <w:t>Der Wert des Konfidenzintervalls von 95 vom Hundert eines einzelnen Messergebnisses darf an der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für den Tagesmittelwert festgelegten Emissionsbegrenzung die folgenden Vomhundertsätze dieser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Emiss</w:t>
      </w:r>
      <w:r w:rsidRPr="008F2F31">
        <w:rPr>
          <w:rFonts w:cs="Arial"/>
        </w:rPr>
        <w:t>i</w:t>
      </w:r>
      <w:r w:rsidRPr="008F2F31">
        <w:rPr>
          <w:rFonts w:cs="Arial"/>
        </w:rPr>
        <w:t>onsbegrenzung nicht überschreiten: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Kohlenmonoxid:</w:t>
      </w:r>
      <w:r w:rsidR="00C13C73">
        <w:rPr>
          <w:rFonts w:cs="Arial"/>
        </w:rPr>
        <w:tab/>
      </w:r>
      <w:r w:rsidRPr="008F2F31">
        <w:rPr>
          <w:rFonts w:cs="Arial"/>
        </w:rPr>
        <w:t>10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Schwefeldioxid:</w:t>
      </w:r>
      <w:r w:rsidR="00C13C73">
        <w:rPr>
          <w:rFonts w:cs="Arial"/>
        </w:rPr>
        <w:tab/>
      </w:r>
      <w:r w:rsidRPr="008F2F31">
        <w:rPr>
          <w:rFonts w:cs="Arial"/>
        </w:rPr>
        <w:t>20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Stickstoffoxid:</w:t>
      </w:r>
      <w:r w:rsidR="00C13C73">
        <w:rPr>
          <w:rFonts w:cs="Arial"/>
        </w:rPr>
        <w:tab/>
      </w:r>
      <w:r w:rsidRPr="008F2F31">
        <w:rPr>
          <w:rFonts w:cs="Arial"/>
        </w:rPr>
        <w:t>20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Gesamtstaub:</w:t>
      </w:r>
      <w:r w:rsidR="00C13C73">
        <w:rPr>
          <w:rFonts w:cs="Arial"/>
        </w:rPr>
        <w:tab/>
      </w:r>
      <w:r w:rsidRPr="008F2F31">
        <w:rPr>
          <w:rFonts w:cs="Arial"/>
        </w:rPr>
        <w:t>30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Organisch gebundener Gesamtkohlenstoff:</w:t>
      </w:r>
      <w:r w:rsidR="00C13C73">
        <w:rPr>
          <w:rFonts w:cs="Arial"/>
        </w:rPr>
        <w:tab/>
      </w:r>
      <w:r w:rsidRPr="008F2F31">
        <w:rPr>
          <w:rFonts w:cs="Arial"/>
        </w:rPr>
        <w:t>30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Chlorwasserstoff:</w:t>
      </w:r>
      <w:r w:rsidR="00C13C73">
        <w:rPr>
          <w:rFonts w:cs="Arial"/>
        </w:rPr>
        <w:tab/>
      </w:r>
      <w:r w:rsidRPr="008F2F31">
        <w:rPr>
          <w:rFonts w:cs="Arial"/>
        </w:rPr>
        <w:t>40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Fluorwasserstoff:</w:t>
      </w:r>
      <w:r w:rsidR="00C13C73">
        <w:rPr>
          <w:rFonts w:cs="Arial"/>
        </w:rPr>
        <w:tab/>
      </w:r>
      <w:r w:rsidRPr="008F2F31">
        <w:rPr>
          <w:rFonts w:cs="Arial"/>
        </w:rPr>
        <w:t>40 vom Hundert</w:t>
      </w:r>
    </w:p>
    <w:p w:rsidR="001469C7" w:rsidRPr="008F2F31" w:rsidRDefault="001469C7" w:rsidP="00551A5B">
      <w:pPr>
        <w:pStyle w:val="GesAbsatz"/>
        <w:tabs>
          <w:tab w:val="left" w:pos="4536"/>
        </w:tabs>
        <w:ind w:left="426"/>
        <w:rPr>
          <w:rFonts w:cs="Arial"/>
        </w:rPr>
      </w:pPr>
      <w:r w:rsidRPr="008F2F31">
        <w:rPr>
          <w:rFonts w:cs="Arial"/>
        </w:rPr>
        <w:t>Quecksilber:</w:t>
      </w:r>
      <w:r w:rsidR="00C13C73">
        <w:rPr>
          <w:rFonts w:cs="Arial"/>
        </w:rPr>
        <w:tab/>
      </w:r>
      <w:r w:rsidRPr="008F2F31">
        <w:rPr>
          <w:rFonts w:cs="Arial"/>
        </w:rPr>
        <w:t>40 vom Hundert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lastRenderedPageBreak/>
        <w:t>Die validierten Halbstunden- und Tagesmittelwerte werden auf Grund der gemessenen Halbstundenmitte</w:t>
      </w:r>
      <w:r w:rsidRPr="008F2F31">
        <w:rPr>
          <w:rFonts w:cs="Arial"/>
        </w:rPr>
        <w:t>l</w:t>
      </w:r>
      <w:r w:rsidRPr="008F2F31">
        <w:rPr>
          <w:rFonts w:cs="Arial"/>
        </w:rPr>
        <w:t>werte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und nach Abzug des in der Kalibrierung bestimmten Konfidenzintervalls bestimmt.</w:t>
      </w:r>
    </w:p>
    <w:p w:rsidR="001469C7" w:rsidRPr="008F2F31" w:rsidRDefault="001469C7" w:rsidP="00C13C73">
      <w:pPr>
        <w:pStyle w:val="berschrift2"/>
        <w:jc w:val="left"/>
      </w:pPr>
      <w:bookmarkStart w:id="40" w:name="_Toc462324080"/>
      <w:r w:rsidRPr="008F2F31">
        <w:t>Anhang IV</w:t>
      </w:r>
      <w:bookmarkEnd w:id="40"/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Soweit Emissionsgrenzwerte auf Bezugssauerstoffgehalte im Abgas bezogen sind, sind die im Abgas</w:t>
      </w:r>
      <w:r w:rsidR="00C13C73">
        <w:rPr>
          <w:rFonts w:cs="Arial"/>
        </w:rPr>
        <w:t xml:space="preserve"> </w:t>
      </w:r>
      <w:r w:rsidRPr="008F2F31">
        <w:rPr>
          <w:rFonts w:cs="Arial"/>
        </w:rPr>
        <w:t>g</w:t>
      </w:r>
      <w:r w:rsidRPr="008F2F31">
        <w:rPr>
          <w:rFonts w:cs="Arial"/>
        </w:rPr>
        <w:t>e</w:t>
      </w:r>
      <w:r w:rsidRPr="008F2F31">
        <w:rPr>
          <w:rFonts w:cs="Arial"/>
        </w:rPr>
        <w:t>messenen Massenkonzentrationen nach folgender Gleichung umzurechnen:</w:t>
      </w:r>
    </w:p>
    <w:p w:rsidR="00C13C73" w:rsidRDefault="00721B38" w:rsidP="00721B38">
      <w:pPr>
        <w:pStyle w:val="GesAbsatz"/>
        <w:jc w:val="center"/>
        <w:rPr>
          <w:rFonts w:cs="Arial"/>
        </w:rPr>
      </w:pPr>
      <w:r w:rsidRPr="008F191D">
        <w:rPr>
          <w:rFonts w:cs="Arial"/>
          <w:position w:val="-32"/>
        </w:rPr>
        <w:object w:dxaOrig="2220" w:dyaOrig="760">
          <v:shape id="_x0000_i1026" type="#_x0000_t75" style="width:111pt;height:37.8pt" o:ole="">
            <v:imagedata r:id="rId10" o:title=""/>
          </v:shape>
          <o:OLEObject Type="Embed" ProgID="Equation.3" ShapeID="_x0000_i1026" DrawAspect="Content" ObjectID="_1536066019" r:id="rId11"/>
        </w:object>
      </w:r>
    </w:p>
    <w:p w:rsidR="001469C7" w:rsidRPr="008F2F31" w:rsidRDefault="001469C7" w:rsidP="001B2346">
      <w:pPr>
        <w:pStyle w:val="GesAbsatz"/>
        <w:rPr>
          <w:rFonts w:cs="Arial"/>
        </w:rPr>
      </w:pPr>
      <w:r w:rsidRPr="008F2F31">
        <w:rPr>
          <w:rFonts w:cs="Arial"/>
        </w:rPr>
        <w:t>E</w:t>
      </w:r>
      <w:r w:rsidRPr="001B2346">
        <w:rPr>
          <w:rFonts w:cs="Arial"/>
          <w:vertAlign w:val="subscript"/>
        </w:rPr>
        <w:t>B</w:t>
      </w:r>
      <w:r w:rsidRPr="008F2F31">
        <w:rPr>
          <w:rFonts w:cs="Arial"/>
        </w:rPr>
        <w:t xml:space="preserve"> = Massenkonzentration, bezogen auf den Bezugssauerstoffgehalt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E</w:t>
      </w:r>
      <w:r w:rsidR="000B5BBC">
        <w:rPr>
          <w:rFonts w:cs="Arial"/>
          <w:vertAlign w:val="subscript"/>
        </w:rPr>
        <w:t>M</w:t>
      </w:r>
      <w:r w:rsidRPr="008F2F31">
        <w:rPr>
          <w:rFonts w:cs="Arial"/>
        </w:rPr>
        <w:t xml:space="preserve"> = gemessene Massenkonzentration</w:t>
      </w:r>
    </w:p>
    <w:p w:rsidR="001469C7" w:rsidRPr="008F2F31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O</w:t>
      </w:r>
      <w:r w:rsidRPr="001B2346">
        <w:rPr>
          <w:rFonts w:cs="Arial"/>
          <w:vertAlign w:val="subscript"/>
        </w:rPr>
        <w:t>B</w:t>
      </w:r>
      <w:r w:rsidRPr="008F2F31">
        <w:rPr>
          <w:rFonts w:cs="Arial"/>
        </w:rPr>
        <w:t xml:space="preserve"> = Bezugssauerstoffgehalt</w:t>
      </w:r>
    </w:p>
    <w:p w:rsidR="001469C7" w:rsidRDefault="001469C7" w:rsidP="008F2F31">
      <w:pPr>
        <w:pStyle w:val="GesAbsatz"/>
        <w:rPr>
          <w:rFonts w:cs="Arial"/>
        </w:rPr>
      </w:pPr>
      <w:r w:rsidRPr="008F2F31">
        <w:rPr>
          <w:rFonts w:cs="Arial"/>
        </w:rPr>
        <w:t>O</w:t>
      </w:r>
      <w:r w:rsidRPr="001B2346">
        <w:rPr>
          <w:rFonts w:cs="Arial"/>
          <w:vertAlign w:val="subscript"/>
        </w:rPr>
        <w:t>M</w:t>
      </w:r>
      <w:r w:rsidRPr="008F2F31">
        <w:rPr>
          <w:rFonts w:cs="Arial"/>
        </w:rPr>
        <w:t xml:space="preserve"> = gemessener Sauerstoffgehalt</w:t>
      </w:r>
    </w:p>
    <w:p w:rsidR="004C2F22" w:rsidRDefault="004C2F22" w:rsidP="008F2F31">
      <w:pPr>
        <w:pStyle w:val="GesAbsatz"/>
        <w:rPr>
          <w:rFonts w:cs="Arial"/>
        </w:rPr>
      </w:pPr>
    </w:p>
    <w:p w:rsidR="004C2F22" w:rsidRDefault="004C2F22" w:rsidP="008F2F31">
      <w:pPr>
        <w:pStyle w:val="GesAbsatz"/>
        <w:rPr>
          <w:rFonts w:cs="Arial"/>
        </w:rPr>
      </w:pPr>
    </w:p>
    <w:p w:rsidR="004C2F22" w:rsidRDefault="004C2F22" w:rsidP="008F2F31">
      <w:pPr>
        <w:pStyle w:val="GesAbsatz"/>
        <w:rPr>
          <w:rFonts w:cs="Arial"/>
        </w:rPr>
      </w:pPr>
    </w:p>
    <w:p w:rsidR="007E1079" w:rsidRDefault="007E1079" w:rsidP="008F2F31">
      <w:pPr>
        <w:pStyle w:val="GesAbsatz"/>
        <w:rPr>
          <w:rFonts w:cs="Arial"/>
        </w:rPr>
      </w:pPr>
    </w:p>
    <w:p w:rsidR="007E1079" w:rsidRDefault="007E1079" w:rsidP="008F2F31">
      <w:pPr>
        <w:pStyle w:val="GesAbsatz"/>
        <w:rPr>
          <w:rFonts w:cs="Arial"/>
        </w:rPr>
      </w:pPr>
    </w:p>
    <w:p w:rsidR="007E1079" w:rsidRDefault="007E1079" w:rsidP="008F2F31">
      <w:pPr>
        <w:pStyle w:val="GesAbsatz"/>
        <w:rPr>
          <w:rFonts w:cs="Arial"/>
        </w:rPr>
      </w:pPr>
    </w:p>
    <w:p w:rsidR="007E1079" w:rsidRPr="00EC21E4" w:rsidRDefault="007E1079" w:rsidP="008F2F31">
      <w:pPr>
        <w:pStyle w:val="GesAbsatz"/>
        <w:rPr>
          <w:rFonts w:cs="Arial"/>
          <w:b/>
          <w:sz w:val="22"/>
          <w:szCs w:val="22"/>
        </w:rPr>
      </w:pPr>
      <w:bookmarkStart w:id="41" w:name="Änderungen"/>
      <w:r w:rsidRPr="00EC21E4">
        <w:rPr>
          <w:rFonts w:cs="Arial"/>
          <w:b/>
          <w:sz w:val="22"/>
          <w:szCs w:val="22"/>
        </w:rPr>
        <w:t>Änderungen:</w:t>
      </w:r>
      <w:bookmarkEnd w:id="41"/>
    </w:p>
    <w:p w:rsidR="007E1079" w:rsidRDefault="007E1079" w:rsidP="00090827">
      <w:pPr>
        <w:pStyle w:val="GesAbsatz"/>
        <w:tabs>
          <w:tab w:val="left" w:pos="2410"/>
        </w:tabs>
        <w:rPr>
          <w:rFonts w:cs="Arial"/>
        </w:rPr>
      </w:pPr>
      <w:r>
        <w:rPr>
          <w:rFonts w:cs="Arial"/>
        </w:rPr>
        <w:t>14.08.2003</w:t>
      </w:r>
      <w:r>
        <w:rPr>
          <w:rFonts w:cs="Arial"/>
        </w:rPr>
        <w:tab/>
      </w:r>
      <w:hyperlink r:id="rId12" w:history="1">
        <w:r w:rsidRPr="007E1079">
          <w:rPr>
            <w:rStyle w:val="Hyperlink"/>
            <w:rFonts w:cs="Arial"/>
          </w:rPr>
          <w:t>BGBl. I Nr. 41</w:t>
        </w:r>
        <w:r w:rsidRPr="007E1079">
          <w:rPr>
            <w:rStyle w:val="Hyperlink"/>
            <w:rFonts w:cs="Arial"/>
          </w:rPr>
          <w:t xml:space="preserve"> </w:t>
        </w:r>
        <w:r w:rsidRPr="007E1079">
          <w:rPr>
            <w:rStyle w:val="Hyperlink"/>
            <w:rFonts w:cs="Arial"/>
          </w:rPr>
          <w:t>S. 1633</w:t>
        </w:r>
      </w:hyperlink>
      <w:r>
        <w:rPr>
          <w:rFonts w:cs="Arial"/>
        </w:rPr>
        <w:t xml:space="preserve"> Inkrafttreten 20.08.2003</w:t>
      </w:r>
    </w:p>
    <w:p w:rsidR="007E1079" w:rsidRDefault="00025367" w:rsidP="00090827">
      <w:pPr>
        <w:pStyle w:val="GesAbsatz"/>
        <w:tabs>
          <w:tab w:val="left" w:pos="2410"/>
        </w:tabs>
        <w:rPr>
          <w:rFonts w:cs="Arial"/>
        </w:rPr>
      </w:pPr>
      <w:r>
        <w:rPr>
          <w:rFonts w:cs="Arial"/>
        </w:rPr>
        <w:t>27.01.2009</w:t>
      </w:r>
      <w:r>
        <w:rPr>
          <w:rFonts w:cs="Arial"/>
        </w:rPr>
        <w:tab/>
      </w:r>
      <w:hyperlink r:id="rId13" w:history="1">
        <w:r w:rsidRPr="00025367">
          <w:rPr>
            <w:rStyle w:val="Hyperlink"/>
            <w:rFonts w:cs="Arial"/>
          </w:rPr>
          <w:t>BGBl. I N</w:t>
        </w:r>
        <w:r>
          <w:rPr>
            <w:rStyle w:val="Hyperlink"/>
            <w:rFonts w:cs="Arial"/>
          </w:rPr>
          <w:t>r</w:t>
        </w:r>
        <w:r w:rsidRPr="00025367">
          <w:rPr>
            <w:rStyle w:val="Hyperlink"/>
            <w:rFonts w:cs="Arial"/>
          </w:rPr>
          <w:t>. 5 S. 129</w:t>
        </w:r>
        <w:r w:rsidRPr="00025367">
          <w:rPr>
            <w:rStyle w:val="Hyperlink"/>
            <w:rFonts w:cs="Arial"/>
          </w:rPr>
          <w:t>,</w:t>
        </w:r>
        <w:r w:rsidRPr="00025367">
          <w:rPr>
            <w:rStyle w:val="Hyperlink"/>
            <w:rFonts w:cs="Arial"/>
          </w:rPr>
          <w:t xml:space="preserve"> 131</w:t>
        </w:r>
      </w:hyperlink>
      <w:r>
        <w:rPr>
          <w:rFonts w:cs="Arial"/>
        </w:rPr>
        <w:t xml:space="preserve"> Inkrafttreten 31.01.2009</w:t>
      </w:r>
    </w:p>
    <w:p w:rsidR="007E1079" w:rsidRDefault="007E1079" w:rsidP="008F2F31">
      <w:pPr>
        <w:pStyle w:val="GesAbsatz"/>
        <w:rPr>
          <w:rFonts w:cs="Arial"/>
        </w:rPr>
      </w:pPr>
    </w:p>
    <w:p w:rsidR="007E1079" w:rsidRDefault="007E1079" w:rsidP="008F2F31">
      <w:pPr>
        <w:pStyle w:val="GesAbsatz"/>
        <w:rPr>
          <w:rFonts w:cs="Arial"/>
        </w:rPr>
      </w:pPr>
    </w:p>
    <w:p w:rsidR="00EC21E4" w:rsidRDefault="00EC21E4" w:rsidP="00870AA7">
      <w:pPr>
        <w:pStyle w:val="GesAbsatz"/>
        <w:tabs>
          <w:tab w:val="clear" w:pos="425"/>
          <w:tab w:val="left" w:pos="3969"/>
        </w:tabs>
        <w:rPr>
          <w:rFonts w:cs="Arial"/>
        </w:rPr>
      </w:pPr>
      <w:bookmarkStart w:id="42" w:name="Materialien"/>
      <w:bookmarkEnd w:id="42"/>
    </w:p>
    <w:p w:rsidR="00EC21E4" w:rsidRDefault="00EC21E4" w:rsidP="00870AA7">
      <w:pPr>
        <w:pStyle w:val="GesAbsatz"/>
        <w:tabs>
          <w:tab w:val="clear" w:pos="425"/>
          <w:tab w:val="left" w:pos="3969"/>
        </w:tabs>
        <w:rPr>
          <w:rFonts w:cs="Arial"/>
        </w:rPr>
      </w:pPr>
    </w:p>
    <w:p w:rsidR="00EC21E4" w:rsidRDefault="00EC21E4" w:rsidP="00870AA7">
      <w:pPr>
        <w:pStyle w:val="GesAbsatz"/>
        <w:tabs>
          <w:tab w:val="clear" w:pos="425"/>
          <w:tab w:val="left" w:pos="3969"/>
        </w:tabs>
        <w:rPr>
          <w:rFonts w:cs="Arial"/>
        </w:rPr>
      </w:pPr>
    </w:p>
    <w:p w:rsidR="00EC21E4" w:rsidRPr="00DA69C3" w:rsidRDefault="00EC21E4" w:rsidP="00870AA7">
      <w:pPr>
        <w:pStyle w:val="GesAbsatz"/>
        <w:tabs>
          <w:tab w:val="clear" w:pos="425"/>
          <w:tab w:val="left" w:pos="3969"/>
        </w:tabs>
        <w:rPr>
          <w:rFonts w:cs="Arial"/>
        </w:rPr>
      </w:pPr>
    </w:p>
    <w:sectPr w:rsidR="00EC21E4" w:rsidRPr="00DA69C3"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27" w:rsidRDefault="00D71827">
      <w:r>
        <w:separator/>
      </w:r>
    </w:p>
  </w:endnote>
  <w:endnote w:type="continuationSeparator" w:id="0">
    <w:p w:rsidR="00D71827" w:rsidRDefault="00D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D4" w:rsidRDefault="00CB42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B42D4" w:rsidRDefault="00CB42D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D4" w:rsidRPr="0091076C" w:rsidRDefault="00CB42D4" w:rsidP="00CB5976">
    <w:pPr>
      <w:pStyle w:val="Fuzeile"/>
      <w:rPr>
        <w:rStyle w:val="Seitenzahl"/>
        <w:szCs w:val="16"/>
      </w:rPr>
    </w:pPr>
    <w:r>
      <w:tab/>
    </w:r>
    <w:smartTag w:uri="urn:schemas-microsoft-com:office:smarttags" w:element="date">
      <w:smartTagPr>
        <w:attr w:name="Year" w:val="2003"/>
        <w:attr w:name="Day" w:val="14"/>
        <w:attr w:name="Month" w:val="08"/>
        <w:attr w:name="ls" w:val="trans"/>
      </w:smartTagPr>
      <w:r w:rsidRPr="0091076C">
        <w:t>14.08.2003</w:t>
      </w:r>
    </w:smartTag>
    <w:r w:rsidRPr="0091076C">
      <w:t xml:space="preserve"> (BGBl. I S. 1633 / FNA 2129-8-17)</w:t>
    </w:r>
    <w:r w:rsidRPr="0091076C">
      <w:tab/>
      <w:t xml:space="preserve">Seite </w:t>
    </w:r>
    <w:r w:rsidRPr="0091076C">
      <w:rPr>
        <w:rStyle w:val="Seitenzahl"/>
        <w:szCs w:val="16"/>
      </w:rPr>
      <w:fldChar w:fldCharType="begin"/>
    </w:r>
    <w:r w:rsidRPr="0091076C">
      <w:rPr>
        <w:rStyle w:val="Seitenzahl"/>
        <w:szCs w:val="16"/>
      </w:rPr>
      <w:instrText xml:space="preserve"> PAGE </w:instrText>
    </w:r>
    <w:r w:rsidRPr="0091076C">
      <w:rPr>
        <w:rStyle w:val="Seitenzahl"/>
        <w:szCs w:val="16"/>
      </w:rPr>
      <w:fldChar w:fldCharType="separate"/>
    </w:r>
    <w:r w:rsidR="008E52CD">
      <w:rPr>
        <w:rStyle w:val="Seitenzahl"/>
        <w:noProof/>
        <w:szCs w:val="16"/>
      </w:rPr>
      <w:t>1</w:t>
    </w:r>
    <w:r w:rsidRPr="0091076C">
      <w:rPr>
        <w:rStyle w:val="Seitenzahl"/>
        <w:szCs w:val="16"/>
      </w:rPr>
      <w:fldChar w:fldCharType="end"/>
    </w:r>
  </w:p>
  <w:p w:rsidR="00CB42D4" w:rsidRPr="0091076C" w:rsidRDefault="00CB42D4" w:rsidP="00CB5976">
    <w:pPr>
      <w:pStyle w:val="Fuzeile"/>
    </w:pPr>
    <w:r w:rsidRPr="0091076C">
      <w:rPr>
        <w:rStyle w:val="Seitenzahl"/>
        <w:szCs w:val="16"/>
      </w:rPr>
      <w:tab/>
    </w:r>
    <w:r w:rsidRPr="0091076C">
      <w:t>Stand 27.01.2009 (BGBl. I S 129, 131)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27" w:rsidRDefault="00D71827">
      <w:r>
        <w:separator/>
      </w:r>
    </w:p>
  </w:footnote>
  <w:footnote w:type="continuationSeparator" w:id="0">
    <w:p w:rsidR="00D71827" w:rsidRDefault="00D71827">
      <w:r>
        <w:continuationSeparator/>
      </w:r>
    </w:p>
  </w:footnote>
  <w:footnote w:id="1">
    <w:p w:rsidR="00CB42D4" w:rsidRPr="00A1572A" w:rsidRDefault="00CB42D4">
      <w:pPr>
        <w:pStyle w:val="Funotentext"/>
        <w:rPr>
          <w:szCs w:val="16"/>
        </w:rPr>
      </w:pPr>
      <w:r>
        <w:rPr>
          <w:rStyle w:val="Funotenzeichen"/>
        </w:rPr>
        <w:t>*)</w:t>
      </w:r>
      <w:r>
        <w:t xml:space="preserve"> </w:t>
      </w:r>
      <w:r w:rsidRPr="00A1572A">
        <w:rPr>
          <w:rFonts w:cs="Arial"/>
          <w:szCs w:val="16"/>
        </w:rPr>
        <w:t xml:space="preserve">Die Verordnung dient der Umsetzung der Richtlinie 2000/76/EG des Europäischen Parlaments und des Rates vom </w:t>
      </w:r>
      <w:smartTag w:uri="urn:schemas-microsoft-com:office:smarttags" w:element="date">
        <w:smartTagPr>
          <w:attr w:name="Year" w:val="2000"/>
          <w:attr w:name="Day" w:val="4"/>
          <w:attr w:name="Month" w:val="12"/>
          <w:attr w:name="ls" w:val="trans"/>
        </w:smartTagPr>
        <w:r w:rsidRPr="00A1572A">
          <w:rPr>
            <w:rFonts w:cs="Arial"/>
            <w:szCs w:val="16"/>
          </w:rPr>
          <w:t>4. Dezember 2000</w:t>
        </w:r>
      </w:smartTag>
      <w:r w:rsidRPr="00A1572A">
        <w:rPr>
          <w:rFonts w:cs="Arial"/>
          <w:szCs w:val="16"/>
        </w:rPr>
        <w:t xml:space="preserve"> über die Verbrennung von Abfällen (ABl. EG Nr. L 332 S. 91) in das deutsche Recht.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D4" w:rsidRDefault="008916EE" w:rsidP="008E52CD">
    <w:pPr>
      <w:pStyle w:val="Kopfzeile0"/>
    </w:pPr>
    <w:r>
      <w:t>Archiv6.90</w:t>
    </w:r>
  </w:p>
  <w:p w:rsidR="00CB42D4" w:rsidRDefault="00CB42D4" w:rsidP="000D6145">
    <w:pPr>
      <w:pStyle w:val="Kopfzeile"/>
      <w:tabs>
        <w:tab w:val="clear" w:pos="4536"/>
      </w:tabs>
      <w:spacing w:after="0"/>
    </w:pPr>
    <w:r>
      <w:t>17. BImSchV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31"/>
    <w:rsid w:val="00025367"/>
    <w:rsid w:val="00090827"/>
    <w:rsid w:val="000B5BBC"/>
    <w:rsid w:val="000C2584"/>
    <w:rsid w:val="000D43A8"/>
    <w:rsid w:val="000D6145"/>
    <w:rsid w:val="000F06EA"/>
    <w:rsid w:val="001469C7"/>
    <w:rsid w:val="00147133"/>
    <w:rsid w:val="00161DA4"/>
    <w:rsid w:val="001B2346"/>
    <w:rsid w:val="0024420F"/>
    <w:rsid w:val="002458B3"/>
    <w:rsid w:val="0028528A"/>
    <w:rsid w:val="00285C37"/>
    <w:rsid w:val="002C4C82"/>
    <w:rsid w:val="002D4605"/>
    <w:rsid w:val="00310165"/>
    <w:rsid w:val="00314826"/>
    <w:rsid w:val="00357E00"/>
    <w:rsid w:val="003723DF"/>
    <w:rsid w:val="003C467E"/>
    <w:rsid w:val="003E2119"/>
    <w:rsid w:val="003E65C6"/>
    <w:rsid w:val="003F078E"/>
    <w:rsid w:val="004111A6"/>
    <w:rsid w:val="00450101"/>
    <w:rsid w:val="00450701"/>
    <w:rsid w:val="004B5589"/>
    <w:rsid w:val="004C2F22"/>
    <w:rsid w:val="00514C56"/>
    <w:rsid w:val="005168F8"/>
    <w:rsid w:val="00520956"/>
    <w:rsid w:val="005466C0"/>
    <w:rsid w:val="00551A5B"/>
    <w:rsid w:val="00562643"/>
    <w:rsid w:val="005B3493"/>
    <w:rsid w:val="005D7089"/>
    <w:rsid w:val="0065349D"/>
    <w:rsid w:val="006572B4"/>
    <w:rsid w:val="006605A6"/>
    <w:rsid w:val="00713FAA"/>
    <w:rsid w:val="00721B38"/>
    <w:rsid w:val="0078669C"/>
    <w:rsid w:val="00796372"/>
    <w:rsid w:val="007B4118"/>
    <w:rsid w:val="007D2F1F"/>
    <w:rsid w:val="007D701C"/>
    <w:rsid w:val="007E1079"/>
    <w:rsid w:val="007E173B"/>
    <w:rsid w:val="007F5CC8"/>
    <w:rsid w:val="007F7F8C"/>
    <w:rsid w:val="0083006B"/>
    <w:rsid w:val="00840257"/>
    <w:rsid w:val="00870AA7"/>
    <w:rsid w:val="008916EE"/>
    <w:rsid w:val="008C1657"/>
    <w:rsid w:val="008E52CD"/>
    <w:rsid w:val="008F191D"/>
    <w:rsid w:val="008F2F31"/>
    <w:rsid w:val="00906FF1"/>
    <w:rsid w:val="0091076C"/>
    <w:rsid w:val="00950BE7"/>
    <w:rsid w:val="009552BA"/>
    <w:rsid w:val="00963591"/>
    <w:rsid w:val="0098510A"/>
    <w:rsid w:val="009D645C"/>
    <w:rsid w:val="009E0756"/>
    <w:rsid w:val="00A00130"/>
    <w:rsid w:val="00A1572A"/>
    <w:rsid w:val="00A64D15"/>
    <w:rsid w:val="00A65559"/>
    <w:rsid w:val="00AA18D6"/>
    <w:rsid w:val="00B11D21"/>
    <w:rsid w:val="00B74D51"/>
    <w:rsid w:val="00B954D8"/>
    <w:rsid w:val="00BB0E99"/>
    <w:rsid w:val="00BC6172"/>
    <w:rsid w:val="00BE148C"/>
    <w:rsid w:val="00BF3F5C"/>
    <w:rsid w:val="00C13C73"/>
    <w:rsid w:val="00C2320F"/>
    <w:rsid w:val="00C5123D"/>
    <w:rsid w:val="00C94A69"/>
    <w:rsid w:val="00CB42D4"/>
    <w:rsid w:val="00CB5976"/>
    <w:rsid w:val="00D2420A"/>
    <w:rsid w:val="00D66022"/>
    <w:rsid w:val="00D71827"/>
    <w:rsid w:val="00D9184E"/>
    <w:rsid w:val="00DA69C3"/>
    <w:rsid w:val="00DB6C61"/>
    <w:rsid w:val="00DC1A09"/>
    <w:rsid w:val="00DC3C2C"/>
    <w:rsid w:val="00DE60AE"/>
    <w:rsid w:val="00DF7850"/>
    <w:rsid w:val="00E06D85"/>
    <w:rsid w:val="00E7521D"/>
    <w:rsid w:val="00EA5BCE"/>
    <w:rsid w:val="00EC21E4"/>
    <w:rsid w:val="00ED35EB"/>
    <w:rsid w:val="00F33C41"/>
    <w:rsid w:val="00F63479"/>
    <w:rsid w:val="00F63BCF"/>
    <w:rsid w:val="00F834E0"/>
    <w:rsid w:val="00F95C4F"/>
    <w:rsid w:val="00FA6E10"/>
    <w:rsid w:val="00FB02AF"/>
    <w:rsid w:val="00FC1DB7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52CD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E52CD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E52CD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E52CD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E52C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8E52C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8E52CD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E52CD"/>
  </w:style>
  <w:style w:type="paragraph" w:customStyle="1" w:styleId="GesAbsatz">
    <w:name w:val="GesAbsatz"/>
    <w:basedOn w:val="Standard"/>
    <w:qFormat/>
    <w:rsid w:val="008E52CD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8E52CD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E52C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8E52CD"/>
    <w:rPr>
      <w:rFonts w:ascii="Arial" w:hAnsi="Arial"/>
      <w:sz w:val="16"/>
    </w:rPr>
  </w:style>
  <w:style w:type="paragraph" w:styleId="Funotentext">
    <w:name w:val="footnote text"/>
    <w:basedOn w:val="Standard"/>
    <w:qFormat/>
    <w:rsid w:val="008E52CD"/>
    <w:pPr>
      <w:spacing w:before="0" w:after="0"/>
    </w:pPr>
    <w:rPr>
      <w:sz w:val="16"/>
    </w:rPr>
  </w:style>
  <w:style w:type="character" w:styleId="Funotenzeichen">
    <w:name w:val="footnote reference"/>
    <w:qFormat/>
    <w:rsid w:val="008E52CD"/>
    <w:rPr>
      <w:sz w:val="20"/>
      <w:szCs w:val="20"/>
      <w:vertAlign w:val="superscript"/>
    </w:rPr>
  </w:style>
  <w:style w:type="table" w:styleId="Tabellenraster">
    <w:name w:val="Table Grid"/>
    <w:basedOn w:val="NormaleTabelle"/>
    <w:rsid w:val="003723DF"/>
    <w:pPr>
      <w:tabs>
        <w:tab w:val="left" w:pos="425"/>
      </w:tabs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Verzeichnis3"/>
    <w:next w:val="Standard"/>
    <w:rsid w:val="008E52CD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rsid w:val="008E52C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rsid w:val="008E52C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4">
    <w:name w:val="toc 4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8E52CD"/>
    <w:rPr>
      <w:color w:val="0000FF"/>
      <w:u w:val="single"/>
    </w:rPr>
  </w:style>
  <w:style w:type="character" w:styleId="BesuchterHyperlink">
    <w:name w:val="FollowedHyperlink"/>
    <w:rsid w:val="00870AA7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8E52CD"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sid w:val="008E52C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52CD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E52CD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E52CD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E52CD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E52C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8E52C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8E52CD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E52CD"/>
  </w:style>
  <w:style w:type="paragraph" w:customStyle="1" w:styleId="GesAbsatz">
    <w:name w:val="GesAbsatz"/>
    <w:basedOn w:val="Standard"/>
    <w:qFormat/>
    <w:rsid w:val="008E52CD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8E52CD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E52C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8E52CD"/>
    <w:rPr>
      <w:rFonts w:ascii="Arial" w:hAnsi="Arial"/>
      <w:sz w:val="16"/>
    </w:rPr>
  </w:style>
  <w:style w:type="paragraph" w:styleId="Funotentext">
    <w:name w:val="footnote text"/>
    <w:basedOn w:val="Standard"/>
    <w:qFormat/>
    <w:rsid w:val="008E52CD"/>
    <w:pPr>
      <w:spacing w:before="0" w:after="0"/>
    </w:pPr>
    <w:rPr>
      <w:sz w:val="16"/>
    </w:rPr>
  </w:style>
  <w:style w:type="character" w:styleId="Funotenzeichen">
    <w:name w:val="footnote reference"/>
    <w:qFormat/>
    <w:rsid w:val="008E52CD"/>
    <w:rPr>
      <w:sz w:val="20"/>
      <w:szCs w:val="20"/>
      <w:vertAlign w:val="superscript"/>
    </w:rPr>
  </w:style>
  <w:style w:type="table" w:styleId="Tabellenraster">
    <w:name w:val="Table Grid"/>
    <w:basedOn w:val="NormaleTabelle"/>
    <w:rsid w:val="003723DF"/>
    <w:pPr>
      <w:tabs>
        <w:tab w:val="left" w:pos="425"/>
      </w:tabs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Verzeichnis3"/>
    <w:next w:val="Standard"/>
    <w:rsid w:val="008E52CD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rsid w:val="008E52C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rsid w:val="008E52C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4">
    <w:name w:val="toc 4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8E52C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8E52CD"/>
    <w:rPr>
      <w:color w:val="0000FF"/>
      <w:u w:val="single"/>
    </w:rPr>
  </w:style>
  <w:style w:type="character" w:styleId="BesuchterHyperlink">
    <w:name w:val="FollowedHyperlink"/>
    <w:rsid w:val="00870AA7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8E52CD"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sid w:val="008E52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bgbl.de/Xaver/start.xav?startbk=Bundesanzeiger_BGBl&amp;start=//*%5b@attr_id='bgbl109s0129.pdf'%5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gbl.de/Xaver/start.xav?startbk=Bundesanzeiger_BGBl&amp;start=//*%5b@attr_id='bgbl103s1633.pdf'%5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3BD7-6995-44D4-9B4A-24457410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23</Pages>
  <Words>10329</Words>
  <Characters>70163</Characters>
  <Application>Microsoft Office Word</Application>
  <DocSecurity>0</DocSecurity>
  <Lines>584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17. BImSchV</vt:lpstr>
    </vt:vector>
  </TitlesOfParts>
  <Company>LANUV NRW</Company>
  <LinksUpToDate>false</LinksUpToDate>
  <CharactersWithSpaces>80332</CharactersWithSpaces>
  <SharedDoc>false</SharedDoc>
  <HLinks>
    <vt:vector size="240" baseType="variant">
      <vt:variant>
        <vt:i4>4522087</vt:i4>
      </vt:variant>
      <vt:variant>
        <vt:i4>237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http://www.bgbl.de/Xaver/start.xav?startbk=Bundesanzeiger_BGBl&amp;start=//*%5b@attr_id='bgbl109s0129.pdf'%5d</vt:lpwstr>
      </vt:variant>
      <vt:variant>
        <vt:lpwstr/>
      </vt:variant>
      <vt:variant>
        <vt:i4>5177450</vt:i4>
      </vt:variant>
      <vt:variant>
        <vt:i4>234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http://www.bgbl.de/Xaver/start.xav?startbk=Bundesanzeiger_BGBl&amp;start=//*%5b@attr_id='bgbl103s1633.pdf'%5d</vt:lpwstr>
      </vt:variant>
      <vt:variant>
        <vt:lpwstr/>
      </vt:variant>
      <vt:variant>
        <vt:i4>1441854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_Toc221595434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_Toc221595433</vt:lpwstr>
      </vt:variant>
      <vt:variant>
        <vt:i4>1441854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_Toc221595432</vt:lpwstr>
      </vt:variant>
      <vt:variant>
        <vt:i4>1441854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_Toc221595431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_Toc221595430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_Toc221595429</vt:lpwstr>
      </vt:variant>
      <vt:variant>
        <vt:i4>1507390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_Toc221595428</vt:lpwstr>
      </vt:variant>
      <vt:variant>
        <vt:i4>1507390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_Toc221595427</vt:lpwstr>
      </vt:variant>
      <vt:variant>
        <vt:i4>1507390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_Toc221595426</vt:lpwstr>
      </vt:variant>
      <vt:variant>
        <vt:i4>1507390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_Toc221595425</vt:lpwstr>
      </vt:variant>
      <vt:variant>
        <vt:i4>1507390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_Toc221595424</vt:lpwstr>
      </vt:variant>
      <vt:variant>
        <vt:i4>1507390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_Toc221595423</vt:lpwstr>
      </vt:variant>
      <vt:variant>
        <vt:i4>1507390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_Toc221595422</vt:lpwstr>
      </vt:variant>
      <vt:variant>
        <vt:i4>1507390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_Toc221595421</vt:lpwstr>
      </vt:variant>
      <vt:variant>
        <vt:i4>1507390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_Toc221595420</vt:lpwstr>
      </vt:variant>
      <vt:variant>
        <vt:i4>1310782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_Toc221595419</vt:lpwstr>
      </vt:variant>
      <vt:variant>
        <vt:i4>1310782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_Toc221595418</vt:lpwstr>
      </vt:variant>
      <vt:variant>
        <vt:i4>1310782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_Toc221595417</vt:lpwstr>
      </vt:variant>
      <vt:variant>
        <vt:i4>1310782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_Toc221595416</vt:lpwstr>
      </vt:variant>
      <vt:variant>
        <vt:i4>1310782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_Toc221595415</vt:lpwstr>
      </vt:variant>
      <vt:variant>
        <vt:i4>1310782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_Toc221595414</vt:lpwstr>
      </vt:variant>
      <vt:variant>
        <vt:i4>1310782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_Toc221595413</vt:lpwstr>
      </vt:variant>
      <vt:variant>
        <vt:i4>1310782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_Toc221595412</vt:lpwstr>
      </vt:variant>
      <vt:variant>
        <vt:i4>1310782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_Toc221595411</vt:lpwstr>
      </vt:variant>
      <vt:variant>
        <vt:i4>1310782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_Toc221595410</vt:lpwstr>
      </vt:variant>
      <vt:variant>
        <vt:i4>1376318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_Toc221595409</vt:lpwstr>
      </vt:variant>
      <vt:variant>
        <vt:i4>1376318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_Toc221595408</vt:lpwstr>
      </vt:variant>
      <vt:variant>
        <vt:i4>1376318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_Toc221595407</vt:lpwstr>
      </vt:variant>
      <vt:variant>
        <vt:i4>1376318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_Toc221595406</vt:lpwstr>
      </vt:variant>
      <vt:variant>
        <vt:i4>1376318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_Toc221595405</vt:lpwstr>
      </vt:variant>
      <vt:variant>
        <vt:i4>1376318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_Toc221595404</vt:lpwstr>
      </vt:variant>
      <vt:variant>
        <vt:i4>1376318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_Toc221595403</vt:lpwstr>
      </vt:variant>
      <vt:variant>
        <vt:i4>1376318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_Toc221595402</vt:lpwstr>
      </vt:variant>
      <vt:variant>
        <vt:i4>1376318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_Toc221595401</vt:lpwstr>
      </vt:variant>
      <vt:variant>
        <vt:i4>1376318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_Toc221595400</vt:lpwstr>
      </vt:variant>
      <vt:variant>
        <vt:i4>1835065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_Toc221595399</vt:lpwstr>
      </vt:variant>
      <vt:variant>
        <vt:i4>1835065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_Toc221595398</vt:lpwstr>
      </vt:variant>
      <vt:variant>
        <vt:i4>7799033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Änderungen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BImSchV</dc:title>
  <dc:subject>VO Verbrennung und Mitverbrennung von Abfällen</dc:subject>
  <dc:creator>Natrop</dc:creator>
  <dc:description>neu 10.1.2005</dc:description>
  <cp:lastModifiedBy>rueter</cp:lastModifiedBy>
  <cp:revision>2</cp:revision>
  <cp:lastPrinted>2009-02-02T06:47:00Z</cp:lastPrinted>
  <dcterms:created xsi:type="dcterms:W3CDTF">2016-09-22T14:14:00Z</dcterms:created>
  <dcterms:modified xsi:type="dcterms:W3CDTF">2016-09-22T14:14:00Z</dcterms:modified>
</cp:coreProperties>
</file>