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00444570"/>
      <w:r>
        <w:t xml:space="preserve">RICHTLINIE </w:t>
      </w:r>
      <w:hyperlink r:id="rId7" w:history="1">
        <w:r>
          <w:rPr>
            <w:rStyle w:val="Hyperlink"/>
          </w:rPr>
          <w:t>96/82/EG</w:t>
        </w:r>
      </w:hyperlink>
      <w:r>
        <w:t xml:space="preserve"> DES RATES vom 9. Dezember 1996 zur Beherrschung der Gefahren bei schweren Unfällen mit gefährlichen Stoffen</w:t>
      </w:r>
      <w:bookmarkEnd w:id="0"/>
    </w:p>
    <w:p>
      <w:pPr>
        <w:pStyle w:val="GesAbsatz"/>
      </w:pPr>
    </w:p>
    <w:p>
      <w:pPr>
        <w:pStyle w:val="GesAbsatz"/>
        <w:jc w:val="left"/>
        <w:rPr>
          <w:b/>
          <w:i/>
          <w:color w:val="FF0000"/>
          <w:sz w:val="22"/>
          <w:szCs w:val="22"/>
        </w:rPr>
      </w:pPr>
      <w:r>
        <w:rPr>
          <w:b/>
          <w:i/>
          <w:color w:val="FF0000"/>
          <w:sz w:val="22"/>
          <w:szCs w:val="22"/>
        </w:rPr>
        <w:t>Diese Richtlinie wird gemäß 2012/18/EU mit Wirkung vom 1. Juni 2015 aufgehoben.</w:t>
      </w:r>
    </w:p>
    <w:p>
      <w:pPr>
        <w:pStyle w:val="GesAbsatz"/>
        <w:rPr>
          <w:rFonts w:ascii="Arial-ItalicMT" w:hAnsi="Arial-ItalicMT" w:cs="Arial-ItalicMT"/>
        </w:rPr>
      </w:pPr>
      <w:r>
        <w:rPr>
          <w:b/>
        </w:rPr>
        <w:t>Änderungen:</w:t>
      </w:r>
      <w:r>
        <w:t xml:space="preserve"> </w:t>
      </w:r>
      <w:hyperlink r:id="rId8" w:history="1">
        <w:r>
          <w:rPr>
            <w:rStyle w:val="Hyperlink"/>
          </w:rPr>
          <w:t>1882/2003</w:t>
        </w:r>
      </w:hyperlink>
      <w:r>
        <w:t xml:space="preserve"> ABl. L 284 v. 31.10.2003 S. 1;</w:t>
      </w:r>
      <w:r>
        <w:t xml:space="preserve"> </w:t>
      </w:r>
      <w:hyperlink r:id="rId9" w:history="1">
        <w:r>
          <w:rPr>
            <w:rStyle w:val="Hyperlink"/>
          </w:rPr>
          <w:t>2003/105/EG</w:t>
        </w:r>
      </w:hyperlink>
      <w:r>
        <w:t xml:space="preserve"> ABl. EG L 345 v. 31.12.2003 S. 97; in Kraft getreten am </w:t>
      </w:r>
      <w:r>
        <w:rPr>
          <w:rFonts w:ascii="Arial-ItalicMT" w:hAnsi="Arial-ItalicMT" w:cs="Arial-ItalicMT"/>
          <w:iCs/>
        </w:rPr>
        <w:t xml:space="preserve">31. Dezember 2003; </w:t>
      </w:r>
      <w:hyperlink r:id="rId10" w:history="1">
        <w:r>
          <w:rPr>
            <w:rStyle w:val="Hyperlink"/>
            <w:snapToGrid w:val="0"/>
          </w:rPr>
          <w:t>1137/2008/EG</w:t>
        </w:r>
      </w:hyperlink>
      <w:r>
        <w:rPr>
          <w:snapToGrid w:val="0"/>
        </w:rPr>
        <w:t xml:space="preserve"> ABl. L 331 v. 21.11.2008 S. 1 Inkrafttreten 11.12.2008; </w:t>
      </w:r>
      <w:hyperlink r:id="rId11" w:history="1">
        <w:r>
          <w:rPr>
            <w:rStyle w:val="Hyperlink"/>
            <w:snapToGrid w:val="0"/>
          </w:rPr>
          <w:t>2012/18/EU</w:t>
        </w:r>
      </w:hyperlink>
      <w:r>
        <w:rPr>
          <w:snapToGrid w:val="0"/>
        </w:rPr>
        <w:t xml:space="preserve"> ABl. L 197 v. 24.07.2012 S. 1 Inkrafttreten 13.08.2012;</w:t>
      </w:r>
    </w:p>
    <w:p>
      <w:pPr>
        <w:pStyle w:val="GesAbsatz"/>
        <w:jc w:val="center"/>
        <w:rPr>
          <w:b/>
        </w:rPr>
      </w:pPr>
      <w:r>
        <w:rPr>
          <w:b/>
        </w:rPr>
        <w:t>Inhalt:</w:t>
      </w:r>
    </w:p>
    <w:p>
      <w:pPr>
        <w:pStyle w:val="Verzeichnis1"/>
        <w:rPr>
          <w:rFonts w:asciiTheme="minorHAnsi" w:eastAsiaTheme="minorEastAsia" w:hAnsiTheme="minorHAnsi" w:cstheme="minorBidi"/>
          <w:b w:val="0"/>
          <w:caps w:val="0"/>
          <w:noProof/>
          <w:sz w:val="22"/>
          <w:szCs w:val="22"/>
        </w:rPr>
      </w:pPr>
      <w:r>
        <w:rPr>
          <w:b w:val="0"/>
          <w:sz w:val="22"/>
          <w:szCs w:val="22"/>
        </w:rPr>
        <w:fldChar w:fldCharType="begin"/>
      </w:r>
      <w:r>
        <w:rPr>
          <w:b w:val="0"/>
          <w:sz w:val="22"/>
          <w:szCs w:val="22"/>
        </w:rPr>
        <w:instrText xml:space="preserve"> TOC \o "1-3" \h \z \u </w:instrText>
      </w:r>
      <w:r>
        <w:rPr>
          <w:b w:val="0"/>
          <w:sz w:val="22"/>
          <w:szCs w:val="22"/>
        </w:rPr>
        <w:fldChar w:fldCharType="separate"/>
      </w:r>
      <w:hyperlink w:anchor="_Toc400444570" w:history="1">
        <w:r>
          <w:rPr>
            <w:rStyle w:val="Hyperlink"/>
            <w:noProof/>
          </w:rPr>
          <w:t>RICHTLINIE 96/82/EG DES RATES vom 9. Dezember 1996 zur Beherrschung der Gefahren bei schweren Unfällen mit gefährlichen Stoffen</w:t>
        </w:r>
        <w:r>
          <w:rPr>
            <w:noProof/>
            <w:webHidden/>
          </w:rPr>
          <w:tab/>
        </w:r>
        <w:r>
          <w:rPr>
            <w:noProof/>
            <w:webHidden/>
          </w:rPr>
          <w:fldChar w:fldCharType="begin"/>
        </w:r>
        <w:r>
          <w:rPr>
            <w:noProof/>
            <w:webHidden/>
          </w:rPr>
          <w:instrText xml:space="preserve"> PAGEREF _Toc400444570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0444571" w:history="1">
        <w:r>
          <w:rPr>
            <w:rStyle w:val="Hyperlink"/>
            <w:noProof/>
          </w:rPr>
          <w:t>Artikel 1 Gegenstand der Richtlinie</w:t>
        </w:r>
        <w:r>
          <w:rPr>
            <w:noProof/>
            <w:webHidden/>
          </w:rPr>
          <w:tab/>
        </w:r>
        <w:r>
          <w:rPr>
            <w:noProof/>
            <w:webHidden/>
          </w:rPr>
          <w:fldChar w:fldCharType="begin"/>
        </w:r>
        <w:r>
          <w:rPr>
            <w:noProof/>
            <w:webHidden/>
          </w:rPr>
          <w:instrText xml:space="preserve"> PAGEREF _Toc400444571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0444572" w:history="1">
        <w:r>
          <w:rPr>
            <w:rStyle w:val="Hyperlink"/>
            <w:noProof/>
          </w:rPr>
          <w:t>Artikel 2 Anwendungsbereich</w:t>
        </w:r>
        <w:r>
          <w:rPr>
            <w:noProof/>
            <w:webHidden/>
          </w:rPr>
          <w:tab/>
        </w:r>
        <w:r>
          <w:rPr>
            <w:noProof/>
            <w:webHidden/>
          </w:rPr>
          <w:fldChar w:fldCharType="begin"/>
        </w:r>
        <w:r>
          <w:rPr>
            <w:noProof/>
            <w:webHidden/>
          </w:rPr>
          <w:instrText xml:space="preserve"> PAGEREF _Toc400444572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0444573" w:history="1">
        <w:r>
          <w:rPr>
            <w:rStyle w:val="Hyperlink"/>
            <w:noProof/>
          </w:rPr>
          <w:t>Artikel 3 Begriffsbestimmungen</w:t>
        </w:r>
        <w:r>
          <w:rPr>
            <w:noProof/>
            <w:webHidden/>
          </w:rPr>
          <w:tab/>
        </w:r>
        <w:r>
          <w:rPr>
            <w:noProof/>
            <w:webHidden/>
          </w:rPr>
          <w:fldChar w:fldCharType="begin"/>
        </w:r>
        <w:r>
          <w:rPr>
            <w:noProof/>
            <w:webHidden/>
          </w:rPr>
          <w:instrText xml:space="preserve"> PAGEREF _Toc400444573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0444574" w:history="1">
        <w:r>
          <w:rPr>
            <w:rStyle w:val="Hyperlink"/>
            <w:noProof/>
          </w:rPr>
          <w:t>Artikel 4 Ausnahmen</w:t>
        </w:r>
        <w:r>
          <w:rPr>
            <w:noProof/>
            <w:webHidden/>
          </w:rPr>
          <w:tab/>
        </w:r>
        <w:r>
          <w:rPr>
            <w:noProof/>
            <w:webHidden/>
          </w:rPr>
          <w:fldChar w:fldCharType="begin"/>
        </w:r>
        <w:r>
          <w:rPr>
            <w:noProof/>
            <w:webHidden/>
          </w:rPr>
          <w:instrText xml:space="preserve"> PAGEREF _Toc400444574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0444575" w:history="1">
        <w:r>
          <w:rPr>
            <w:rStyle w:val="Hyperlink"/>
            <w:noProof/>
          </w:rPr>
          <w:t>Artikel 5 Allgemeine Betreiberpflichten</w:t>
        </w:r>
        <w:r>
          <w:rPr>
            <w:noProof/>
            <w:webHidden/>
          </w:rPr>
          <w:tab/>
        </w:r>
        <w:r>
          <w:rPr>
            <w:noProof/>
            <w:webHidden/>
          </w:rPr>
          <w:fldChar w:fldCharType="begin"/>
        </w:r>
        <w:r>
          <w:rPr>
            <w:noProof/>
            <w:webHidden/>
          </w:rPr>
          <w:instrText xml:space="preserve"> PAGEREF _Toc400444575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0444576" w:history="1">
        <w:r>
          <w:rPr>
            <w:rStyle w:val="Hyperlink"/>
            <w:noProof/>
          </w:rPr>
          <w:t>Artikel 6 Mitteilung</w:t>
        </w:r>
        <w:r>
          <w:rPr>
            <w:noProof/>
            <w:webHidden/>
          </w:rPr>
          <w:tab/>
        </w:r>
        <w:r>
          <w:rPr>
            <w:noProof/>
            <w:webHidden/>
          </w:rPr>
          <w:fldChar w:fldCharType="begin"/>
        </w:r>
        <w:r>
          <w:rPr>
            <w:noProof/>
            <w:webHidden/>
          </w:rPr>
          <w:instrText xml:space="preserve"> PAGEREF _Toc400444576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0444577" w:history="1">
        <w:r>
          <w:rPr>
            <w:rStyle w:val="Hyperlink"/>
            <w:noProof/>
          </w:rPr>
          <w:t>Artikel 7 Konzept zur Verhütung schwerer Unfälle</w:t>
        </w:r>
        <w:r>
          <w:rPr>
            <w:noProof/>
            <w:webHidden/>
          </w:rPr>
          <w:tab/>
        </w:r>
        <w:r>
          <w:rPr>
            <w:noProof/>
            <w:webHidden/>
          </w:rPr>
          <w:fldChar w:fldCharType="begin"/>
        </w:r>
        <w:r>
          <w:rPr>
            <w:noProof/>
            <w:webHidden/>
          </w:rPr>
          <w:instrText xml:space="preserve"> PAGEREF _Toc400444577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0444578" w:history="1">
        <w:r>
          <w:rPr>
            <w:rStyle w:val="Hyperlink"/>
            <w:noProof/>
          </w:rPr>
          <w:t>Artikel 8 Domino-Effekt</w:t>
        </w:r>
        <w:r>
          <w:rPr>
            <w:noProof/>
            <w:webHidden/>
          </w:rPr>
          <w:tab/>
        </w:r>
        <w:r>
          <w:rPr>
            <w:noProof/>
            <w:webHidden/>
          </w:rPr>
          <w:fldChar w:fldCharType="begin"/>
        </w:r>
        <w:r>
          <w:rPr>
            <w:noProof/>
            <w:webHidden/>
          </w:rPr>
          <w:instrText xml:space="preserve"> PAGEREF _Toc400444578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0444579" w:history="1">
        <w:r>
          <w:rPr>
            <w:rStyle w:val="Hyperlink"/>
            <w:noProof/>
          </w:rPr>
          <w:t>Artikel 9 Sicherheitsbericht</w:t>
        </w:r>
        <w:r>
          <w:rPr>
            <w:noProof/>
            <w:webHidden/>
          </w:rPr>
          <w:tab/>
        </w:r>
        <w:r>
          <w:rPr>
            <w:noProof/>
            <w:webHidden/>
          </w:rPr>
          <w:fldChar w:fldCharType="begin"/>
        </w:r>
        <w:r>
          <w:rPr>
            <w:noProof/>
            <w:webHidden/>
          </w:rPr>
          <w:instrText xml:space="preserve"> PAGEREF _Toc400444579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0444580" w:history="1">
        <w:r>
          <w:rPr>
            <w:rStyle w:val="Hyperlink"/>
            <w:noProof/>
          </w:rPr>
          <w:t>Artikel 10 Änderun</w:t>
        </w:r>
        <w:bookmarkStart w:id="1" w:name="_GoBack"/>
        <w:bookmarkEnd w:id="1"/>
        <w:r>
          <w:rPr>
            <w:rStyle w:val="Hyperlink"/>
            <w:noProof/>
          </w:rPr>
          <w:t>g einer Anlage, eines Betriebs oder eines Lagers</w:t>
        </w:r>
        <w:r>
          <w:rPr>
            <w:noProof/>
            <w:webHidden/>
          </w:rPr>
          <w:tab/>
        </w:r>
        <w:r>
          <w:rPr>
            <w:noProof/>
            <w:webHidden/>
          </w:rPr>
          <w:fldChar w:fldCharType="begin"/>
        </w:r>
        <w:r>
          <w:rPr>
            <w:noProof/>
            <w:webHidden/>
          </w:rPr>
          <w:instrText xml:space="preserve"> PAGEREF _Toc400444580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0444581" w:history="1">
        <w:r>
          <w:rPr>
            <w:rStyle w:val="Hyperlink"/>
            <w:noProof/>
          </w:rPr>
          <w:t>Artikel 11 Notfallpläne</w:t>
        </w:r>
        <w:r>
          <w:rPr>
            <w:noProof/>
            <w:webHidden/>
          </w:rPr>
          <w:tab/>
        </w:r>
        <w:r>
          <w:rPr>
            <w:noProof/>
            <w:webHidden/>
          </w:rPr>
          <w:fldChar w:fldCharType="begin"/>
        </w:r>
        <w:r>
          <w:rPr>
            <w:noProof/>
            <w:webHidden/>
          </w:rPr>
          <w:instrText xml:space="preserve"> PAGEREF _Toc400444581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0444582" w:history="1">
        <w:r>
          <w:rPr>
            <w:rStyle w:val="Hyperlink"/>
            <w:noProof/>
          </w:rPr>
          <w:t>Artikel 12 Überwachung der Ansiedlung</w:t>
        </w:r>
        <w:r>
          <w:rPr>
            <w:noProof/>
            <w:webHidden/>
          </w:rPr>
          <w:tab/>
        </w:r>
        <w:r>
          <w:rPr>
            <w:noProof/>
            <w:webHidden/>
          </w:rPr>
          <w:fldChar w:fldCharType="begin"/>
        </w:r>
        <w:r>
          <w:rPr>
            <w:noProof/>
            <w:webHidden/>
          </w:rPr>
          <w:instrText xml:space="preserve"> PAGEREF _Toc400444582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0444583" w:history="1">
        <w:r>
          <w:rPr>
            <w:rStyle w:val="Hyperlink"/>
            <w:noProof/>
          </w:rPr>
          <w:t>Artikel 13 Informationen über die Sicherheitsmaßnahmen</w:t>
        </w:r>
        <w:r>
          <w:rPr>
            <w:noProof/>
            <w:webHidden/>
          </w:rPr>
          <w:tab/>
        </w:r>
        <w:r>
          <w:rPr>
            <w:noProof/>
            <w:webHidden/>
          </w:rPr>
          <w:fldChar w:fldCharType="begin"/>
        </w:r>
        <w:r>
          <w:rPr>
            <w:noProof/>
            <w:webHidden/>
          </w:rPr>
          <w:instrText xml:space="preserve"> PAGEREF _Toc400444583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0444584" w:history="1">
        <w:r>
          <w:rPr>
            <w:rStyle w:val="Hyperlink"/>
            <w:noProof/>
          </w:rPr>
          <w:t>Artikel 14 Vom Betreiber nach einem schweren Unfall zu erbringende Informationen</w:t>
        </w:r>
        <w:r>
          <w:rPr>
            <w:noProof/>
            <w:webHidden/>
          </w:rPr>
          <w:tab/>
        </w:r>
        <w:r>
          <w:rPr>
            <w:noProof/>
            <w:webHidden/>
          </w:rPr>
          <w:fldChar w:fldCharType="begin"/>
        </w:r>
        <w:r>
          <w:rPr>
            <w:noProof/>
            <w:webHidden/>
          </w:rPr>
          <w:instrText xml:space="preserve"> PAGEREF _Toc400444584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0444585" w:history="1">
        <w:r>
          <w:rPr>
            <w:rStyle w:val="Hyperlink"/>
            <w:noProof/>
          </w:rPr>
          <w:t>Artikel 15 Unterrichtung der Kommission durch die Mitgliedstaaten</w:t>
        </w:r>
        <w:r>
          <w:rPr>
            <w:noProof/>
            <w:webHidden/>
          </w:rPr>
          <w:tab/>
        </w:r>
        <w:r>
          <w:rPr>
            <w:noProof/>
            <w:webHidden/>
          </w:rPr>
          <w:fldChar w:fldCharType="begin"/>
        </w:r>
        <w:r>
          <w:rPr>
            <w:noProof/>
            <w:webHidden/>
          </w:rPr>
          <w:instrText xml:space="preserve"> PAGEREF _Toc400444585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0444586" w:history="1">
        <w:r>
          <w:rPr>
            <w:rStyle w:val="Hyperlink"/>
            <w:noProof/>
          </w:rPr>
          <w:t>Artikel 16 Zuständige Behörde</w:t>
        </w:r>
        <w:r>
          <w:rPr>
            <w:noProof/>
            <w:webHidden/>
          </w:rPr>
          <w:tab/>
        </w:r>
        <w:r>
          <w:rPr>
            <w:noProof/>
            <w:webHidden/>
          </w:rPr>
          <w:fldChar w:fldCharType="begin"/>
        </w:r>
        <w:r>
          <w:rPr>
            <w:noProof/>
            <w:webHidden/>
          </w:rPr>
          <w:instrText xml:space="preserve"> PAGEREF _Toc400444586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0444587" w:history="1">
        <w:r>
          <w:rPr>
            <w:rStyle w:val="Hyperlink"/>
            <w:noProof/>
          </w:rPr>
          <w:t>Artikel 17 Verbot der Weiterführung</w:t>
        </w:r>
        <w:r>
          <w:rPr>
            <w:noProof/>
            <w:webHidden/>
          </w:rPr>
          <w:tab/>
        </w:r>
        <w:r>
          <w:rPr>
            <w:noProof/>
            <w:webHidden/>
          </w:rPr>
          <w:fldChar w:fldCharType="begin"/>
        </w:r>
        <w:r>
          <w:rPr>
            <w:noProof/>
            <w:webHidden/>
          </w:rPr>
          <w:instrText xml:space="preserve"> PAGEREF _Toc400444587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0444588" w:history="1">
        <w:r>
          <w:rPr>
            <w:rStyle w:val="Hyperlink"/>
            <w:noProof/>
          </w:rPr>
          <w:t>Artikel 18 Inspektion</w:t>
        </w:r>
        <w:r>
          <w:rPr>
            <w:noProof/>
            <w:webHidden/>
          </w:rPr>
          <w:tab/>
        </w:r>
        <w:r>
          <w:rPr>
            <w:noProof/>
            <w:webHidden/>
          </w:rPr>
          <w:fldChar w:fldCharType="begin"/>
        </w:r>
        <w:r>
          <w:rPr>
            <w:noProof/>
            <w:webHidden/>
          </w:rPr>
          <w:instrText xml:space="preserve"> PAGEREF _Toc400444588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0444589" w:history="1">
        <w:r>
          <w:rPr>
            <w:rStyle w:val="Hyperlink"/>
            <w:noProof/>
          </w:rPr>
          <w:t>Artikel 19 Informationsaustausch und Informationssystem</w:t>
        </w:r>
        <w:r>
          <w:rPr>
            <w:noProof/>
            <w:webHidden/>
          </w:rPr>
          <w:tab/>
        </w:r>
        <w:r>
          <w:rPr>
            <w:noProof/>
            <w:webHidden/>
          </w:rPr>
          <w:fldChar w:fldCharType="begin"/>
        </w:r>
        <w:r>
          <w:rPr>
            <w:noProof/>
            <w:webHidden/>
          </w:rPr>
          <w:instrText xml:space="preserve"> PAGEREF _Toc400444589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0444590" w:history="1">
        <w:r>
          <w:rPr>
            <w:rStyle w:val="Hyperlink"/>
            <w:noProof/>
          </w:rPr>
          <w:t>Artikel 20 Vertraulichkeit</w:t>
        </w:r>
        <w:r>
          <w:rPr>
            <w:noProof/>
            <w:webHidden/>
          </w:rPr>
          <w:tab/>
        </w:r>
        <w:r>
          <w:rPr>
            <w:noProof/>
            <w:webHidden/>
          </w:rPr>
          <w:fldChar w:fldCharType="begin"/>
        </w:r>
        <w:r>
          <w:rPr>
            <w:noProof/>
            <w:webHidden/>
          </w:rPr>
          <w:instrText xml:space="preserve"> PAGEREF _Toc400444590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0444591" w:history="1">
        <w:r>
          <w:rPr>
            <w:rStyle w:val="Hyperlink"/>
            <w:noProof/>
          </w:rPr>
          <w:t>Artikel 21 Aufgaben des Ausschusses</w:t>
        </w:r>
        <w:r>
          <w:rPr>
            <w:noProof/>
            <w:webHidden/>
          </w:rPr>
          <w:tab/>
        </w:r>
        <w:r>
          <w:rPr>
            <w:noProof/>
            <w:webHidden/>
          </w:rPr>
          <w:fldChar w:fldCharType="begin"/>
        </w:r>
        <w:r>
          <w:rPr>
            <w:noProof/>
            <w:webHidden/>
          </w:rPr>
          <w:instrText xml:space="preserve"> PAGEREF _Toc400444591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0444592" w:history="1">
        <w:r>
          <w:rPr>
            <w:rStyle w:val="Hyperlink"/>
            <w:noProof/>
          </w:rPr>
          <w:t>Artikel 22 Ausschussverfahren</w:t>
        </w:r>
        <w:r>
          <w:rPr>
            <w:noProof/>
            <w:webHidden/>
          </w:rPr>
          <w:tab/>
        </w:r>
        <w:r>
          <w:rPr>
            <w:noProof/>
            <w:webHidden/>
          </w:rPr>
          <w:fldChar w:fldCharType="begin"/>
        </w:r>
        <w:r>
          <w:rPr>
            <w:noProof/>
            <w:webHidden/>
          </w:rPr>
          <w:instrText xml:space="preserve"> PAGEREF _Toc400444592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0444593" w:history="1">
        <w:r>
          <w:rPr>
            <w:rStyle w:val="Hyperlink"/>
            <w:noProof/>
          </w:rPr>
          <w:t>Artikel 23 Aufhebung der Richtlinie 82/501/EWG</w:t>
        </w:r>
        <w:r>
          <w:rPr>
            <w:noProof/>
            <w:webHidden/>
          </w:rPr>
          <w:tab/>
        </w:r>
        <w:r>
          <w:rPr>
            <w:noProof/>
            <w:webHidden/>
          </w:rPr>
          <w:fldChar w:fldCharType="begin"/>
        </w:r>
        <w:r>
          <w:rPr>
            <w:noProof/>
            <w:webHidden/>
          </w:rPr>
          <w:instrText xml:space="preserve"> PAGEREF _Toc400444593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0444594" w:history="1">
        <w:r>
          <w:rPr>
            <w:rStyle w:val="Hyperlink"/>
            <w:noProof/>
          </w:rPr>
          <w:t>Artikel 24 Beginn der Anwendung</w:t>
        </w:r>
        <w:r>
          <w:rPr>
            <w:noProof/>
            <w:webHidden/>
          </w:rPr>
          <w:tab/>
        </w:r>
        <w:r>
          <w:rPr>
            <w:noProof/>
            <w:webHidden/>
          </w:rPr>
          <w:fldChar w:fldCharType="begin"/>
        </w:r>
        <w:r>
          <w:rPr>
            <w:noProof/>
            <w:webHidden/>
          </w:rPr>
          <w:instrText xml:space="preserve"> PAGEREF _Toc400444594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0444595" w:history="1">
        <w:r>
          <w:rPr>
            <w:rStyle w:val="Hyperlink"/>
            <w:noProof/>
          </w:rPr>
          <w:t>Artikel 25 Inkrafttreten</w:t>
        </w:r>
        <w:r>
          <w:rPr>
            <w:noProof/>
            <w:webHidden/>
          </w:rPr>
          <w:tab/>
        </w:r>
        <w:r>
          <w:rPr>
            <w:noProof/>
            <w:webHidden/>
          </w:rPr>
          <w:fldChar w:fldCharType="begin"/>
        </w:r>
        <w:r>
          <w:rPr>
            <w:noProof/>
            <w:webHidden/>
          </w:rPr>
          <w:instrText xml:space="preserve"> PAGEREF _Toc400444595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0444596" w:history="1">
        <w:r>
          <w:rPr>
            <w:rStyle w:val="Hyperlink"/>
            <w:noProof/>
          </w:rPr>
          <w:t>Artikel 26</w:t>
        </w:r>
        <w:r>
          <w:rPr>
            <w:noProof/>
            <w:webHidden/>
          </w:rPr>
          <w:tab/>
        </w:r>
        <w:r>
          <w:rPr>
            <w:noProof/>
            <w:webHidden/>
          </w:rPr>
          <w:fldChar w:fldCharType="begin"/>
        </w:r>
        <w:r>
          <w:rPr>
            <w:noProof/>
            <w:webHidden/>
          </w:rPr>
          <w:instrText xml:space="preserve"> PAGEREF _Toc400444596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0444597" w:history="1">
        <w:r>
          <w:rPr>
            <w:rStyle w:val="Hyperlink"/>
            <w:noProof/>
          </w:rPr>
          <w:t>Anhang I Anwendbarkeit der Richtlinie</w:t>
        </w:r>
        <w:r>
          <w:rPr>
            <w:noProof/>
            <w:webHidden/>
          </w:rPr>
          <w:tab/>
        </w:r>
        <w:r>
          <w:rPr>
            <w:noProof/>
            <w:webHidden/>
          </w:rPr>
          <w:fldChar w:fldCharType="begin"/>
        </w:r>
        <w:r>
          <w:rPr>
            <w:noProof/>
            <w:webHidden/>
          </w:rPr>
          <w:instrText xml:space="preserve"> PAGEREF _Toc400444597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0444598" w:history="1">
        <w:r>
          <w:rPr>
            <w:rStyle w:val="Hyperlink"/>
            <w:noProof/>
          </w:rPr>
          <w:t>Anhang II</w:t>
        </w:r>
        <w:r>
          <w:rPr>
            <w:noProof/>
            <w:webHidden/>
          </w:rPr>
          <w:tab/>
        </w:r>
        <w:r>
          <w:rPr>
            <w:noProof/>
            <w:webHidden/>
          </w:rPr>
          <w:fldChar w:fldCharType="begin"/>
        </w:r>
        <w:r>
          <w:rPr>
            <w:noProof/>
            <w:webHidden/>
          </w:rPr>
          <w:instrText xml:space="preserve"> PAGEREF _Toc400444598 \h </w:instrText>
        </w:r>
        <w:r>
          <w:rPr>
            <w:noProof/>
            <w:webHidden/>
          </w:rPr>
        </w:r>
        <w:r>
          <w:rPr>
            <w:noProof/>
            <w:webHidden/>
          </w:rPr>
          <w:fldChar w:fldCharType="separate"/>
        </w:r>
        <w:r>
          <w:rPr>
            <w:noProof/>
            <w:webHidden/>
          </w:rPr>
          <w:t>20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0444599" w:history="1">
        <w:r>
          <w:rPr>
            <w:rStyle w:val="Hyperlink"/>
            <w:noProof/>
          </w:rPr>
          <w:t>Anhang III</w:t>
        </w:r>
        <w:r>
          <w:rPr>
            <w:noProof/>
            <w:webHidden/>
          </w:rPr>
          <w:tab/>
        </w:r>
        <w:r>
          <w:rPr>
            <w:noProof/>
            <w:webHidden/>
          </w:rPr>
          <w:fldChar w:fldCharType="begin"/>
        </w:r>
        <w:r>
          <w:rPr>
            <w:noProof/>
            <w:webHidden/>
          </w:rPr>
          <w:instrText xml:space="preserve"> PAGEREF _Toc400444599 \h </w:instrText>
        </w:r>
        <w:r>
          <w:rPr>
            <w:noProof/>
            <w:webHidden/>
          </w:rPr>
        </w:r>
        <w:r>
          <w:rPr>
            <w:noProof/>
            <w:webHidden/>
          </w:rPr>
          <w:fldChar w:fldCharType="separate"/>
        </w:r>
        <w:r>
          <w:rPr>
            <w:noProof/>
            <w:webHidden/>
          </w:rPr>
          <w:t>21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0444600" w:history="1">
        <w:r>
          <w:rPr>
            <w:rStyle w:val="Hyperlink"/>
            <w:noProof/>
          </w:rPr>
          <w:t>Anhang IV</w:t>
        </w:r>
        <w:r>
          <w:rPr>
            <w:noProof/>
            <w:webHidden/>
          </w:rPr>
          <w:tab/>
        </w:r>
        <w:r>
          <w:rPr>
            <w:noProof/>
            <w:webHidden/>
          </w:rPr>
          <w:fldChar w:fldCharType="begin"/>
        </w:r>
        <w:r>
          <w:rPr>
            <w:noProof/>
            <w:webHidden/>
          </w:rPr>
          <w:instrText xml:space="preserve"> PAGEREF _Toc400444600 \h </w:instrText>
        </w:r>
        <w:r>
          <w:rPr>
            <w:noProof/>
            <w:webHidden/>
          </w:rPr>
        </w:r>
        <w:r>
          <w:rPr>
            <w:noProof/>
            <w:webHidden/>
          </w:rPr>
          <w:fldChar w:fldCharType="separate"/>
        </w:r>
        <w:r>
          <w:rPr>
            <w:noProof/>
            <w:webHidden/>
          </w:rPr>
          <w:t>22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0444601" w:history="1">
        <w:r>
          <w:rPr>
            <w:rStyle w:val="Hyperlink"/>
            <w:noProof/>
          </w:rPr>
          <w:t>Anhang V</w:t>
        </w:r>
        <w:r>
          <w:rPr>
            <w:noProof/>
            <w:webHidden/>
          </w:rPr>
          <w:tab/>
        </w:r>
        <w:r>
          <w:rPr>
            <w:noProof/>
            <w:webHidden/>
          </w:rPr>
          <w:fldChar w:fldCharType="begin"/>
        </w:r>
        <w:r>
          <w:rPr>
            <w:noProof/>
            <w:webHidden/>
          </w:rPr>
          <w:instrText xml:space="preserve"> PAGEREF _Toc400444601 \h </w:instrText>
        </w:r>
        <w:r>
          <w:rPr>
            <w:noProof/>
            <w:webHidden/>
          </w:rPr>
        </w:r>
        <w:r>
          <w:rPr>
            <w:noProof/>
            <w:webHidden/>
          </w:rPr>
          <w:fldChar w:fldCharType="separate"/>
        </w:r>
        <w:r>
          <w:rPr>
            <w:noProof/>
            <w:webHidden/>
          </w:rPr>
          <w:t>23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0444602" w:history="1">
        <w:r>
          <w:rPr>
            <w:rStyle w:val="Hyperlink"/>
            <w:noProof/>
          </w:rPr>
          <w:t>Anhang VI</w:t>
        </w:r>
        <w:r>
          <w:rPr>
            <w:noProof/>
            <w:webHidden/>
          </w:rPr>
          <w:tab/>
        </w:r>
        <w:r>
          <w:rPr>
            <w:noProof/>
            <w:webHidden/>
          </w:rPr>
          <w:fldChar w:fldCharType="begin"/>
        </w:r>
        <w:r>
          <w:rPr>
            <w:noProof/>
            <w:webHidden/>
          </w:rPr>
          <w:instrText xml:space="preserve"> PAGEREF _Toc400444602 \h </w:instrText>
        </w:r>
        <w:r>
          <w:rPr>
            <w:noProof/>
            <w:webHidden/>
          </w:rPr>
        </w:r>
        <w:r>
          <w:rPr>
            <w:noProof/>
            <w:webHidden/>
          </w:rPr>
          <w:fldChar w:fldCharType="separate"/>
        </w:r>
        <w:r>
          <w:rPr>
            <w:noProof/>
            <w:webHidden/>
          </w:rPr>
          <w:t>23</w:t>
        </w:r>
        <w:r>
          <w:rPr>
            <w:noProof/>
            <w:webHidden/>
          </w:rPr>
          <w:fldChar w:fldCharType="end"/>
        </w:r>
      </w:hyperlink>
    </w:p>
    <w:p>
      <w:pPr>
        <w:pStyle w:val="GesAbsatz"/>
      </w:pPr>
      <w:r>
        <w:fldChar w:fldCharType="end"/>
      </w:r>
    </w:p>
    <w:p>
      <w:pPr>
        <w:pStyle w:val="GesAbsatz"/>
        <w:rPr>
          <w:rFonts w:cs="Arial"/>
        </w:rPr>
      </w:pPr>
      <w:r>
        <w:rPr>
          <w:rFonts w:cs="Arial"/>
          <w:b/>
          <w:bCs/>
        </w:rPr>
        <w:t xml:space="preserve">DAS EUROPÄISCHE PARLAMENT UND DER RAT DER EUROPÄISCHEN UNION </w:t>
      </w:r>
      <w:r>
        <w:rPr>
          <w:rFonts w:cs="Arial"/>
        </w:rPr>
        <w:t>–</w:t>
      </w:r>
    </w:p>
    <w:p>
      <w:pPr>
        <w:pStyle w:val="GesAbsatz"/>
      </w:pPr>
      <w:r>
        <w:t>gestützt auf den Vertrag zur Gründung der Europäischen Gemeinschaft, insbesondere auf Artikel 175 Absatz 1,</w:t>
      </w:r>
    </w:p>
    <w:p>
      <w:pPr>
        <w:pStyle w:val="GesAbsatz"/>
      </w:pPr>
      <w:r>
        <w:t>auf Vorschlag der Kommission</w:t>
      </w:r>
      <w:r>
        <w:rPr>
          <w:rStyle w:val="Funotenzeichen"/>
        </w:rPr>
        <w:footnoteReference w:id="1"/>
      </w:r>
      <w:r>
        <w:t>,nach Stellungnahme des Europäischen Wirtschafts- und Sozialausschusses</w:t>
      </w:r>
      <w:r>
        <w:rPr>
          <w:rStyle w:val="Funotenzeichen"/>
        </w:rPr>
        <w:footnoteReference w:id="2"/>
      </w:r>
      <w:r>
        <w:t>,</w:t>
      </w:r>
    </w:p>
    <w:p>
      <w:pPr>
        <w:pStyle w:val="GesAbsatz"/>
      </w:pPr>
      <w:r>
        <w:t>nach Anhörung des Ausschusses der Regionen, gemäß dem Verfahren des Artikels 251 des Vertrags, aufgrund des vom Vermittlungsausschuss am 22. Oktober 2003 gebilligten gemeinsamen Entwurfs</w:t>
      </w:r>
      <w:r>
        <w:rPr>
          <w:rStyle w:val="Funotenzeichen"/>
        </w:rPr>
        <w:footnoteReference w:id="3"/>
      </w:r>
      <w:r>
        <w:t>,</w:t>
      </w:r>
    </w:p>
    <w:p>
      <w:pPr>
        <w:pStyle w:val="GesAbsatz"/>
      </w:pPr>
      <w:r>
        <w:lastRenderedPageBreak/>
        <w:t>in Erwägung nachstehender Gründe:</w:t>
      </w:r>
    </w:p>
    <w:p>
      <w:pPr>
        <w:pStyle w:val="GesAbsatz"/>
      </w:pPr>
      <w:r>
        <w:t>(1) Die Richtlinie 96/82/EG</w:t>
      </w:r>
      <w:r>
        <w:rPr>
          <w:rStyle w:val="Funotenzeichen"/>
        </w:rPr>
        <w:footnoteReference w:id="4"/>
      </w:r>
      <w:r>
        <w:rPr>
          <w:sz w:val="13"/>
          <w:szCs w:val="13"/>
        </w:rPr>
        <w:t xml:space="preserve"> </w:t>
      </w:r>
      <w:r>
        <w:t>dient der Verhütung schwerer Unfälle mit gefährlichen Stoffen und der Begrenzung der Unfallfolgen für Mensch und Umwelt, um in der gesamten Gemeinschaft konsequent und wirksam ein hohes Maß an Schutz zu gewährleisten.</w:t>
      </w:r>
    </w:p>
    <w:p>
      <w:pPr>
        <w:pStyle w:val="GesAbsatz"/>
      </w:pPr>
      <w:r>
        <w:t>(2) Angesichts der jüngsten Industrieunfälle sowie der Studien über krebserzeugende und umweltgefährliche Stoffe, die die Kommission auf Wunsch des Rates durchgeführt hat, sollte der Anwendungsbereich der Richtlinie 96/82/EG erweitert werden.</w:t>
      </w:r>
    </w:p>
    <w:p>
      <w:pPr>
        <w:pStyle w:val="GesAbsatz"/>
      </w:pPr>
      <w:r>
        <w:t>(3) Die Cyanidverseuchung der Donau infolge des Unfalls im Januar 2000 in Baia Mare (Rumänien) hat gezeigt, dass bestimmte Lagerungs- und Aufbereitungsverfahren im Bergbau schwerwiegende Folgen haben können; dies gilt insbesondere für Bergebeseitigungseinrichtungen, einschließlich Bergeteichen oder Absetzbecken. Die Mitteilungen der Kommission über die Sicherheit im Bergbau und zum sechsten Aktionsprogramm der Europäischen Gemeinschaft für die Umwelt haben daher die Notwendigkeit einer Erweiterung des Anwendungsbereichs der Richtlinie 96/82/EG hervorgehoben. Auch das Europäische Parlament hat in seiner Entschließung vom 5. Juli 2001</w:t>
      </w:r>
      <w:r>
        <w:rPr>
          <w:rStyle w:val="Funotenzeichen"/>
        </w:rPr>
        <w:footnoteReference w:id="5"/>
      </w:r>
      <w:r>
        <w:rPr>
          <w:sz w:val="13"/>
          <w:szCs w:val="13"/>
        </w:rPr>
        <w:t xml:space="preserve"> </w:t>
      </w:r>
      <w:r>
        <w:t>zu der Kommissionsmitteilung über die Sicherheit im Bergbau die Erweiterung des Anwendungsbereichs jener Richtlinie durch Einbeziehung der durch die Lagerung und Aufbereitung im Bergbau entstehenden Risiken begrüßt.</w:t>
      </w:r>
    </w:p>
    <w:p>
      <w:pPr>
        <w:pStyle w:val="GesAbsatz"/>
      </w:pPr>
      <w:r>
        <w:t>(4) Der Vorschlag für eine Richtlinie über die Bewirtschaftung von Abfällen aus der mineralgewinnenden Industrie kann ein geeigneter Rahmen für Maßnahmen in Bezug auf Abfallbeseitigungseinrichtungen darstellen, die ein Unfallrisiko darstellen, aber nicht unter die vorliegende Richtlinie fallen.</w:t>
      </w:r>
    </w:p>
    <w:p>
      <w:pPr>
        <w:pStyle w:val="GesAbsatz"/>
      </w:pPr>
      <w:r>
        <w:t>(5) Der Unfall mit Feuerwerkskörpern im Mai 2000 in Enschede (Niederlande) hat das große Unfallrisiko aufgezeigt, das von der Lagerung und Herstellung pyrotechnischer und explosionsgefährlicher Stoffe ausgeht. Die Definition solcher Stoffe in der Richtlinie 96/82/EG sollte deshalb präzisiert und vereinfacht werden.</w:t>
      </w:r>
    </w:p>
    <w:p>
      <w:pPr>
        <w:pStyle w:val="GesAbsatz"/>
      </w:pPr>
      <w:r>
        <w:t>(6) Die Explosion in einer Düngemittelfabrik im September 2001 in Toulouse hat das Unfallrisiko verdeutlicht, das von der Lagerung von Ammoniumnitrat und von Düngemitteln auf Ammoniumnitrat-Basis ausgeht, und zwar insbesondere von zurückgewiesenem Material aus dem Produktionsprozess und Retouren an den Hersteller (so genannte „Off-Specs", d. h. nicht spezifikationsgerechtes Material). Die bestehenden Kategorien von Ammoniumnitrat und Düngemitteln auf Ammoniumnitrat-Basis in der Richtlinie 96/82/EG sollten deshalb überarbeitet werden, um Off-Specs-Material einzubeziehen.</w:t>
      </w:r>
    </w:p>
    <w:p>
      <w:pPr>
        <w:pStyle w:val="GesAbsatz"/>
      </w:pPr>
      <w:r>
        <w:t>(7) Die Richtlinie 96/82/EG sollte nicht auf Betriebsgelände von Endverwendern Anwendung finden, auf denen Ammoniumnitrat und Ammoniumnitrat-Düngemittel, die bei Anlieferung den Anforderungen der genannten Richtlinie entsprochen haben, anschließend aber eine nachteilige Veränderung oder Kontamination erfahren haben, vor der Abgabe zur Wiederaufarbeitung oder Vernichtung vorübergehend vorhanden sind.</w:t>
      </w:r>
    </w:p>
    <w:p>
      <w:pPr>
        <w:pStyle w:val="GesAbsatz"/>
      </w:pPr>
      <w:r>
        <w:t>(8) Studien, die die Kommission in enger Zusammenarbeit mit den Mitgliedstaaten durchgeführt hat, sprechen dafür, die Liste der krebserzeugenden Stoffe mit den entsprechenden Mengenschwellen zu erweitern und die Mengenschwellen für umweltgefährliche Stoffe in der Richtlinie 96/82/EG merklich zu senken.</w:t>
      </w:r>
    </w:p>
    <w:p>
      <w:pPr>
        <w:pStyle w:val="GesAbsatz"/>
      </w:pPr>
      <w:r>
        <w:t>(9) Bei Betrieben, die später in den Anwendungsbereich der Richtlinie 96/82/EG fallen, hat es sich als notwendig erwiesen, Mindestfristen für Mitteilungen und die Festlegung von Konzepten zur Verhütung schwerer Unfälle sowie die Erstellung von Sicherheitsberichten und Notfallplänen einzuführen.</w:t>
      </w:r>
    </w:p>
    <w:p>
      <w:pPr>
        <w:pStyle w:val="GesAbsatz"/>
      </w:pPr>
      <w:r>
        <w:t>(10) Die Erfahrung und das Wissen des Fachpersonals in einem Betrieb kann bei der Erstellung von Notfallplänen von großem Nutzen sein, und das gesamte Personal eines Betriebs sowie möglicherweise betroffene Personen sollten in geeigneter Weise über Sicherheitsmaßnahmen und -vorkehrungen informiert werden.</w:t>
      </w:r>
    </w:p>
    <w:p>
      <w:pPr>
        <w:pStyle w:val="GesAbsatz"/>
      </w:pPr>
      <w:r>
        <w:t>(11) Die Annahme der Entscheidung 2001/792/EG, Euratom des Rates vom 23. Oktober 2001 über ein Gemeinschaftsverfahren zur Förderung einer verstärkten Zusammenarbeit bei Katastrophenschutzeinsätzen</w:t>
      </w:r>
      <w:r>
        <w:rPr>
          <w:rStyle w:val="Funotenzeichen"/>
        </w:rPr>
        <w:footnoteReference w:id="6"/>
      </w:r>
      <w:r>
        <w:t xml:space="preserve"> verdeutlicht die Notwendigkeit der Förderung einer verstärkten Zusammenarbeit bei Katastrophenschutzeinsätzen.</w:t>
      </w:r>
    </w:p>
    <w:p>
      <w:pPr>
        <w:pStyle w:val="GesAbsatz"/>
      </w:pPr>
      <w:r>
        <w:t>(12) Zur Erleichterung der Flächenausweisung empfiehlt es sich, Leitlinien zur Definition einer Datenbank aufzustellen, die der Beurteilung der Vereinbarkeit zwischen den unter die Richtlinie 96/82/EG fallenden Betrieben und den in Artikel 12 Absatz 1 jener Richtlinie genannten Gebieten dient.</w:t>
      </w:r>
    </w:p>
    <w:p>
      <w:pPr>
        <w:pStyle w:val="GesAbsatz"/>
      </w:pPr>
      <w:r>
        <w:t>(13) Die Mitgliedstaaten sollten verpflichtet sein, der Kommission Mindestangaben zu den unter die Richtlinie 96/82/EG fallenden Betrieben zu übermitteln.</w:t>
      </w:r>
    </w:p>
    <w:p>
      <w:pPr>
        <w:pStyle w:val="GesAbsatz"/>
      </w:pPr>
      <w:r>
        <w:t>(14) Gleichzeitig sollten bestimmte Passagen in der Richtlinie 96/82/EG präzisiert werden.</w:t>
      </w:r>
    </w:p>
    <w:p>
      <w:pPr>
        <w:pStyle w:val="GesAbsatz"/>
      </w:pPr>
      <w:r>
        <w:lastRenderedPageBreak/>
        <w:t>(15) Die in der vorliegenden Richtlinie vorgesehenen Maßnahmen waren Gegenstand einer öffentlichen Anhörung der betroffenen Parteien.</w:t>
      </w:r>
    </w:p>
    <w:p>
      <w:pPr>
        <w:pStyle w:val="GesAbsatz"/>
      </w:pPr>
      <w:r>
        <w:t>(16) Die Richtlinie 96/82/EG sollte daher dementsprechend geändert werden -</w:t>
      </w:r>
    </w:p>
    <w:p>
      <w:pPr>
        <w:pStyle w:val="GesAbsatz"/>
      </w:pPr>
      <w:r>
        <w:t>HAT FOLGENDE RICHTLINIE ERLASSEN:</w:t>
      </w:r>
    </w:p>
    <w:p>
      <w:pPr>
        <w:pStyle w:val="berschrift2"/>
      </w:pPr>
      <w:bookmarkStart w:id="2" w:name="_Toc400444571"/>
      <w:r>
        <w:t>Artikel 1</w:t>
      </w:r>
      <w:r>
        <w:br/>
        <w:t>Gegenstand der Richtlinie</w:t>
      </w:r>
      <w:bookmarkEnd w:id="2"/>
    </w:p>
    <w:p>
      <w:pPr>
        <w:pStyle w:val="GesAbsatz"/>
      </w:pPr>
      <w:r>
        <w:t>Diese Richtlinie bezweckt die Verhütung schwerer Unfälle mit gefährlichen Stoffen und die Begrenzung der Unfallfolgen für Mensch und Umwelt, um auf abgestimmte und wirksame Weise in der ganzen Gemeinschaft ein hohes Schutzniveau zu gewährleisten.</w:t>
      </w:r>
    </w:p>
    <w:p>
      <w:pPr>
        <w:pStyle w:val="berschrift2"/>
      </w:pPr>
      <w:bookmarkStart w:id="3" w:name="_Toc400444572"/>
      <w:r>
        <w:t>Artikel 2</w:t>
      </w:r>
      <w:r>
        <w:br/>
        <w:t>Anwendungsbereich</w:t>
      </w:r>
      <w:bookmarkEnd w:id="3"/>
    </w:p>
    <w:p>
      <w:pPr>
        <w:pStyle w:val="GesAbsatz"/>
      </w:pPr>
      <w:r>
        <w:t>(1) Diese Richtlinie gilt für Betriebe, in denen gefährliche Stoffe in Mengen vorhanden sind, die den in Anhang I Teil 1 Spalte 2 und Teil 2 Spalte 2 genannten Mengen entsprechen oder darüber liegen; eine Ausnahme bilden die Artikel 9, 11 und 13, die für alle Betriebe gelten, in denen gefährliche Stoffe in Mengen vorhanden sind, die den in Anhang I Teil 1 Spalte 3 und Teil 2 Spalte 3 genannten Mengen entsprechen oder darüber liegen.</w:t>
      </w:r>
    </w:p>
    <w:p>
      <w:pPr>
        <w:pStyle w:val="GesAbsatz"/>
      </w:pPr>
      <w:r>
        <w:t>Im Sinne dieser Richtlinie bedeutet „Vorhandensein von gefährlichen Stoffen" ihr tatsächliches oder vorgesehenes Vorhandensein im Betrieb oder das Vorhandensein von gefährlichen Stoffen, soweit davon auszugehen ist, dass sie bei einem außer Kontrolle geratenen industriellen chemischen Verfahren anfallen, und zwar in Mengen, die den in Anhang I Teile 1 und 2 genannten Mengenschwellen entsprechen oder darüber liegen.</w:t>
      </w:r>
    </w:p>
    <w:p>
      <w:pPr>
        <w:pStyle w:val="GesAbsatz"/>
      </w:pPr>
      <w:r>
        <w:t xml:space="preserve">(2) Diese Richtlinie gilt unbeschadet bestehender Gemeinschaftsvorschriften für die Arbeitsumwelt, insbesondere der Richtlinie 89/391/EWG des Rates vom 12. Juni 1989 über die Durchführung von Maßnahmen zur Verbesserung der Sicherheit und des Gesundheitsschutzes der Arbeitnehmer bei der Arbeit </w:t>
      </w:r>
      <w:r>
        <w:rPr>
          <w:rStyle w:val="Funotenzeichen"/>
        </w:rPr>
        <w:footnoteReference w:id="7"/>
      </w:r>
      <w:r>
        <w:t>.</w:t>
      </w:r>
    </w:p>
    <w:p>
      <w:pPr>
        <w:pStyle w:val="berschrift2"/>
      </w:pPr>
      <w:bookmarkStart w:id="4" w:name="_Toc400444573"/>
      <w:r>
        <w:t>Artikel 3</w:t>
      </w:r>
      <w:r>
        <w:br/>
        <w:t>Begriffsbestimmungen</w:t>
      </w:r>
      <w:bookmarkEnd w:id="4"/>
    </w:p>
    <w:p>
      <w:pPr>
        <w:pStyle w:val="GesAbsatz"/>
      </w:pPr>
      <w:r>
        <w:t>Im Sinne dieser Richtlinie bezeichnet der Ausdruck</w:t>
      </w:r>
    </w:p>
    <w:p>
      <w:pPr>
        <w:pStyle w:val="GesAbsatz"/>
        <w:ind w:left="426" w:hanging="426"/>
      </w:pPr>
      <w:r>
        <w:t>1.</w:t>
      </w:r>
      <w:r>
        <w:tab/>
        <w:t>„Betrieb" den gesamten unter der Aufsicht eines Betreibers stehenden Bereich, in dem gefährliche Stoffe in einer oder in mehreren Anlagen, einschließlich gemeinsamer oder verbundener Infrastrukturen und Tätigkeiten vorhanden sind;</w:t>
      </w:r>
    </w:p>
    <w:p>
      <w:pPr>
        <w:pStyle w:val="GesAbsatz"/>
        <w:ind w:left="426" w:hanging="426"/>
      </w:pPr>
      <w:r>
        <w:t>2.</w:t>
      </w:r>
      <w:r>
        <w:tab/>
        <w:t>„Anlage" eine technische Einheit innerhalb eines Betriebs, in der gefährliche Stoffe hergestellt, verwendet, gehandhabt oder gelagert werden. Sie umfasst alle Einrichtungen, Bauwerke, Rohrleitungen, Maschinen, Werkzeuge, Privatgleisanschlüsse, Hafenbecken, Umschlageinrichtungen, Anlegebrücken, Lager oder ähnliche, auch schwimmende Konstruktionen, die für den Betrieb der Anlage erforderlich sind;</w:t>
      </w:r>
    </w:p>
    <w:p>
      <w:pPr>
        <w:pStyle w:val="GesAbsatz"/>
        <w:ind w:left="426" w:hanging="426"/>
      </w:pPr>
      <w:r>
        <w:t>3.</w:t>
      </w:r>
      <w:r>
        <w:tab/>
        <w:t>„Betreiber" jede natürliche oder juristische Person, die den Betrieb oder die Anlage betreibt oder besitzt oder, wenn dies in den einzelstaatlichen Rechtsvorschriften vorgesehen ist, der maßgebliche wirtschaftliche Verfügungsgewalt hinsichtlich des technischen Betriebs übertragen worden ist;</w:t>
      </w:r>
    </w:p>
    <w:p>
      <w:pPr>
        <w:pStyle w:val="GesAbsatz"/>
        <w:ind w:left="426" w:hanging="426"/>
      </w:pPr>
      <w:r>
        <w:t>4.</w:t>
      </w:r>
      <w:r>
        <w:tab/>
        <w:t>„gefährliche Stoffe" Stoffe, Gemische oder Zubereitungen, die in Anhang I Teil 1 aufgeführt sind oder die die in Anhang I Teil 2 festgelegten Kriterien erfüllen und als Rohstoff, Endprodukt, Nebenprodukt, Rückstand oder Zwischenprodukt vorhanden sind, einschließlich derjenigen, bei denen vernünftigerweise davon auszugehen ist, dass sie bei einem Unfall anfallen;</w:t>
      </w:r>
    </w:p>
    <w:p>
      <w:pPr>
        <w:pStyle w:val="GesAbsatz"/>
        <w:ind w:left="426" w:hanging="426"/>
      </w:pPr>
      <w:r>
        <w:t>5.</w:t>
      </w:r>
      <w:r>
        <w:tab/>
        <w:t>„schwerer Unfall" ein Ereignis - z.B. eine Emission, einen Brand oder eine Explosion größeren Ausmaßes -, das sich aus unkontrollierten Vorgängen in einem unter diese Richtlinie fallenden Betrieb ergibt, das unmittelbar oder später innerhalb oder außerhalb des Betriebs zu einer ernsten Gefahr für die menschliche Gesundheit und/oder die Umwelt führt und bei dem ein oder mehrere gefährliche Stoffe beteiligt sind;</w:t>
      </w:r>
    </w:p>
    <w:p>
      <w:pPr>
        <w:pStyle w:val="GesAbsatz"/>
        <w:ind w:left="426" w:hanging="426"/>
      </w:pPr>
      <w:r>
        <w:t>6.</w:t>
      </w:r>
      <w:r>
        <w:tab/>
        <w:t>„Gefahr" das Wesen eines gefährlichen Stoffes oder einer konkreten Situation, das darin besteht, der menschlichen Gesundheit und/oder der Umwelt Schaden zufügen zu können;</w:t>
      </w:r>
    </w:p>
    <w:p>
      <w:pPr>
        <w:pStyle w:val="GesAbsatz"/>
        <w:ind w:left="426" w:hanging="426"/>
      </w:pPr>
      <w:r>
        <w:t>7.</w:t>
      </w:r>
      <w:r>
        <w:tab/>
        <w:t>„Risiko" die Wahrscheinlichkeit, dass innerhalb einer bestimmten Zeitspanne oder unter bestimmten Umständen eine bestimmte Wirkung eintritt;</w:t>
      </w:r>
    </w:p>
    <w:p>
      <w:pPr>
        <w:pStyle w:val="GesAbsatz"/>
        <w:ind w:left="426" w:hanging="426"/>
      </w:pPr>
      <w:r>
        <w:lastRenderedPageBreak/>
        <w:t>8.</w:t>
      </w:r>
      <w:r>
        <w:tab/>
        <w:t>„Lagerung" das Vorhandensein einer Menge gefährlicher Stoffe zum Zweck der Einlagerung, der Hinterlegung zur sicheren Aufbewahrung oder der Lagerhaltung.</w:t>
      </w:r>
    </w:p>
    <w:p>
      <w:pPr>
        <w:pStyle w:val="berschrift2"/>
      </w:pPr>
      <w:bookmarkStart w:id="5" w:name="_Toc400444574"/>
      <w:r>
        <w:t>Artikel 4</w:t>
      </w:r>
      <w:r>
        <w:br/>
        <w:t>Ausnahmen</w:t>
      </w:r>
      <w:bookmarkEnd w:id="5"/>
    </w:p>
    <w:p>
      <w:pPr>
        <w:pStyle w:val="GesAbsatz"/>
      </w:pPr>
      <w:r>
        <w:t>Diese Richtlinie gilt nicht für</w:t>
      </w:r>
    </w:p>
    <w:p>
      <w:pPr>
        <w:pStyle w:val="GesAbsatz"/>
      </w:pPr>
      <w:r>
        <w:t>a)</w:t>
      </w:r>
      <w:r>
        <w:tab/>
        <w:t>militärische Einrichtungen, Anlagen oder Lager;</w:t>
      </w:r>
    </w:p>
    <w:p>
      <w:pPr>
        <w:pStyle w:val="GesAbsatz"/>
      </w:pPr>
      <w:r>
        <w:t>b)</w:t>
      </w:r>
      <w:r>
        <w:tab/>
        <w:t>durch ionisierende Strahlung entstehende Gefahren;</w:t>
      </w:r>
    </w:p>
    <w:p>
      <w:pPr>
        <w:pStyle w:val="GesAbsatz"/>
        <w:ind w:left="426" w:hanging="426"/>
      </w:pPr>
      <w:r>
        <w:t>c)</w:t>
      </w:r>
      <w:r>
        <w:tab/>
        <w:t>die Beförderung gefährlicher Stoffe und deren zeitlich begrenzte Zwischenlagerung auf der Straße, der Schiene, den Binnenwasserstraßen, dem See- oder Luftweg außerhalb der unter diese Richtlinie fallenden Betriebe, einschließlich des Be- und Entladens sowie des Umladens von einem Verkehrsträger auf einen anderen Verkehrsträger in Hafenbecken, Kaianlagen oder Verschiebebahnhöfen;</w:t>
      </w:r>
    </w:p>
    <w:p>
      <w:pPr>
        <w:pStyle w:val="GesAbsatz"/>
        <w:ind w:left="426" w:hanging="426"/>
      </w:pPr>
      <w:r>
        <w:t>d)</w:t>
      </w:r>
      <w:r>
        <w:tab/>
        <w:t>die Beförderung gefährlicher Stoffe in Rohrleitungen, einschließlich der Pumpstationen, außerhalb der unter diese Richtlinie fallenden Betriebe;</w:t>
      </w:r>
    </w:p>
    <w:p>
      <w:pPr>
        <w:pStyle w:val="GesAbsatz"/>
        <w:ind w:left="426" w:hanging="426"/>
        <w:rPr>
          <w:color w:val="auto"/>
        </w:rPr>
      </w:pPr>
      <w:r>
        <w:t>e)</w:t>
      </w:r>
      <w:r>
        <w:tab/>
      </w:r>
      <w:r>
        <w:rPr>
          <w:color w:val="auto"/>
        </w:rPr>
        <w:t>die Gewinnung (Erkundung, Abbau und Aufbereitung) von Mineralien im Bergbau, in Steinbrüchen oder durch Bohrung, ausgenommen chemische und thermische Aufbereitungsmaßnahmen und die mit diesen Maßnahmen in Verbindung stehende Lagerung, die gefährliche Stoffe gemäß Anhang I beinhalten;</w:t>
      </w:r>
    </w:p>
    <w:p>
      <w:pPr>
        <w:pStyle w:val="GesAbsatz"/>
        <w:rPr>
          <w:color w:val="auto"/>
        </w:rPr>
      </w:pPr>
      <w:r>
        <w:rPr>
          <w:color w:val="auto"/>
        </w:rPr>
        <w:t>f)</w:t>
      </w:r>
      <w:r>
        <w:rPr>
          <w:color w:val="auto"/>
        </w:rPr>
        <w:tab/>
        <w:t>die Offshore-Erkundung und -Gewinnung von Mineralien, einschließlich Kohlenwasserstoffen;</w:t>
      </w:r>
    </w:p>
    <w:p>
      <w:pPr>
        <w:pStyle w:val="GesAbsatz"/>
        <w:ind w:left="426" w:hanging="426"/>
        <w:rPr>
          <w:color w:val="auto"/>
        </w:rPr>
      </w:pPr>
      <w:r>
        <w:rPr>
          <w:color w:val="auto"/>
        </w:rPr>
        <w:t>g)</w:t>
      </w:r>
      <w:r>
        <w:rPr>
          <w:color w:val="auto"/>
        </w:rPr>
        <w:tab/>
        <w:t>Abfalldeponien, ausgenommen in Betrieb befindliche Bergebeseitigungseinrichtungen, einschließlich Bergeteichen oder Absetzbecken, die gefährliche Stoffe gemäß Anhang I enthalten, insbesondere wenn sie in Verbindung mit der chemischen und thermischen Aufbereitung von Mineralien verwendet werden.</w:t>
      </w:r>
    </w:p>
    <w:p>
      <w:pPr>
        <w:pStyle w:val="berschrift2"/>
      </w:pPr>
      <w:bookmarkStart w:id="6" w:name="_Toc400444575"/>
      <w:r>
        <w:t>Artikel 5</w:t>
      </w:r>
      <w:r>
        <w:br/>
        <w:t>Allgemeine Betreiberpflichten</w:t>
      </w:r>
      <w:bookmarkEnd w:id="6"/>
    </w:p>
    <w:p>
      <w:pPr>
        <w:pStyle w:val="GesAbsatz"/>
      </w:pPr>
      <w:r>
        <w:t>(1) Die Mitgliedstaaten sorgen dafür, dass der Betreiber verpflichtet ist, alle notwendigen Maßnahmen zu ergreifen, um schwere Unfälle zu verhüten und deren Folgen für Mensch und Umwelt zu begrenzen.</w:t>
      </w:r>
    </w:p>
    <w:p>
      <w:pPr>
        <w:pStyle w:val="GesAbsatz"/>
      </w:pPr>
      <w:r>
        <w:t>(2) Die Mitgliedstaaten sorgen dafür, dass der Betreiber verpflichtet ist, der zuständigen Behörde im Sinne von Artikel 16, nachstehend „zuständige Behörde" genannt, jederzeit insbesondere im Hinblick auf die Inspektionen und Kontrollen gemäß Artikel 18 nachzuweisen, dass er alle erforderlichen Maßnahmen im Sinne dieser Richtlinie getroffen hat.</w:t>
      </w:r>
    </w:p>
    <w:p>
      <w:pPr>
        <w:pStyle w:val="berschrift2"/>
      </w:pPr>
      <w:bookmarkStart w:id="7" w:name="_Toc400444576"/>
      <w:r>
        <w:t>Artikel 6</w:t>
      </w:r>
      <w:r>
        <w:br/>
        <w:t>Mitteilung</w:t>
      </w:r>
      <w:bookmarkEnd w:id="7"/>
    </w:p>
    <w:p>
      <w:pPr>
        <w:pStyle w:val="GesAbsatz"/>
      </w:pPr>
      <w:r>
        <w:t>(1) Die Mitgliedstaaten sorgen dafür, dass der Betreiber verpflichtet ist, der zuständigen Behörde innerhalb folgender Fristen eine schriftliche Mitteilung zu übermitteln:</w:t>
      </w:r>
    </w:p>
    <w:p>
      <w:pPr>
        <w:pStyle w:val="GesAbsatz"/>
        <w:ind w:left="426" w:hanging="426"/>
      </w:pPr>
      <w:r>
        <w:t>-</w:t>
      </w:r>
      <w:r>
        <w:tab/>
        <w:t>bei neuen Betrieben innerhalb einer angemessenen Frist vor Beginn des Baus oder der Inbetriebnahme;</w:t>
      </w:r>
    </w:p>
    <w:p>
      <w:pPr>
        <w:pStyle w:val="GesAbsatz"/>
      </w:pPr>
      <w:r>
        <w:t>-</w:t>
      </w:r>
      <w:r>
        <w:tab/>
        <w:t>bei bestehenden Betrieben innerhalb eines Jahres ab dem in Artikel 24 Absatz 1 genannten Zeitpunkt;</w:t>
      </w:r>
    </w:p>
    <w:p>
      <w:pPr>
        <w:pStyle w:val="GesAbsatz"/>
        <w:ind w:left="426" w:hanging="426"/>
        <w:rPr>
          <w:color w:val="auto"/>
        </w:rPr>
      </w:pPr>
      <w:r>
        <w:t>-</w:t>
      </w:r>
      <w:r>
        <w:tab/>
      </w:r>
      <w:r>
        <w:rPr>
          <w:color w:val="auto"/>
        </w:rPr>
        <w:t>bei Betrieben, die später in den Anwendungsbereich dieser Richtlinie fallen, innerhalb von drei Monaten nach dem Zeitpunkt, zu dem diese Richtlinie gemäß Artikel 2 Absatz 1 Unterabsatz 1 für den betreffenden Betrieb gilt.</w:t>
      </w:r>
    </w:p>
    <w:p>
      <w:pPr>
        <w:pStyle w:val="GesAbsatz"/>
      </w:pPr>
      <w:r>
        <w:t>(2) Die Mitteilung gemäß Absatz 1 enthält folgende Angaben:</w:t>
      </w:r>
    </w:p>
    <w:p>
      <w:pPr>
        <w:pStyle w:val="GesAbsatz"/>
        <w:ind w:left="426" w:hanging="426"/>
      </w:pPr>
      <w:r>
        <w:t>a)</w:t>
      </w:r>
      <w:r>
        <w:tab/>
        <w:t>Name oder Firma des Betreibers sowie vollständige Anschrift des betreffenden Betriebs;</w:t>
      </w:r>
    </w:p>
    <w:p>
      <w:pPr>
        <w:pStyle w:val="GesAbsatz"/>
        <w:ind w:left="426" w:hanging="426"/>
      </w:pPr>
      <w:r>
        <w:t>b)</w:t>
      </w:r>
      <w:r>
        <w:tab/>
        <w:t>eingetragener Firmensitz und vollständige Anschrift des Betreibers;</w:t>
      </w:r>
    </w:p>
    <w:p>
      <w:pPr>
        <w:pStyle w:val="GesAbsatz"/>
        <w:ind w:left="426" w:hanging="426"/>
      </w:pPr>
      <w:r>
        <w:t>c)</w:t>
      </w:r>
      <w:r>
        <w:tab/>
        <w:t>Name oder Funktion der für den Betrieb verantwortlichen Person, falls von der unter Buchstabe a) genannten Person abweichend;</w:t>
      </w:r>
    </w:p>
    <w:p>
      <w:pPr>
        <w:pStyle w:val="GesAbsatz"/>
        <w:ind w:left="426" w:hanging="426"/>
      </w:pPr>
      <w:r>
        <w:t>d)</w:t>
      </w:r>
      <w:r>
        <w:tab/>
        <w:t>ausreichende Angaben zur Identifizierung der gefährlichen Stoffe oder der Kategorie gefährlicher Stoffe;</w:t>
      </w:r>
    </w:p>
    <w:p>
      <w:pPr>
        <w:pStyle w:val="GesAbsatz"/>
        <w:ind w:left="426" w:hanging="426"/>
      </w:pPr>
      <w:r>
        <w:t>e)</w:t>
      </w:r>
      <w:r>
        <w:tab/>
        <w:t>Menge und physikalische Form des gefährlichen Stoffs/der gefährlichen Stoffe;</w:t>
      </w:r>
    </w:p>
    <w:p>
      <w:pPr>
        <w:pStyle w:val="GesAbsatz"/>
        <w:ind w:left="426" w:hanging="426"/>
      </w:pPr>
      <w:r>
        <w:t>f)</w:t>
      </w:r>
      <w:r>
        <w:tab/>
        <w:t>Tätigkeit oder beabsichtigte Tätigkeit in der Anlage oder dem Lager;</w:t>
      </w:r>
    </w:p>
    <w:p>
      <w:pPr>
        <w:pStyle w:val="GesAbsatz"/>
        <w:ind w:left="426" w:hanging="426"/>
      </w:pPr>
      <w:r>
        <w:t>g)</w:t>
      </w:r>
      <w:r>
        <w:tab/>
        <w:t>unmittelbare Umgebung des Betriebs (Faktoren, die einen schweren Unfall auslösen oder dessen Folgen verschlimmern können).</w:t>
      </w:r>
    </w:p>
    <w:p>
      <w:pPr>
        <w:pStyle w:val="GesAbsatz"/>
      </w:pPr>
      <w:r>
        <w:lastRenderedPageBreak/>
        <w:t>(3) Für bestehende Betriebe, für die der Betreiber zum Zeitpunkt des Inkrafttretens dieser Richtlinie aufgrund einzelstaatlicher Vorschriften der zuständigen Behörde bereits alle Informationen nach Absatz 2 mitgeteilt hat, ist die Mitteilung nach Absatz 1 nicht erforderlich.</w:t>
      </w:r>
    </w:p>
    <w:p>
      <w:pPr>
        <w:pStyle w:val="GesAbsatz"/>
      </w:pPr>
      <w:r>
        <w:t>(4) Im Fall</w:t>
      </w:r>
    </w:p>
    <w:p>
      <w:pPr>
        <w:pStyle w:val="GesAbsatz"/>
        <w:ind w:left="426" w:hanging="426"/>
      </w:pPr>
      <w:r>
        <w:t>-</w:t>
      </w:r>
      <w:r>
        <w:tab/>
        <w:t>einer wesentlichen Vergrößerung der in der Mitteilung des Betreibers gemäß Absatz 2 angegebenen Menge und einer wesentlichen Änderung der Beschaffenheit oder der physikalischen Form des vorhandenen gefährlichen Stoffes gegenüber den Angaben in der genannten Mitteilung oder einer Änderung der Verfahren, bei denen dieser Stoff eingesetzt wird, oder</w:t>
      </w:r>
    </w:p>
    <w:p>
      <w:pPr>
        <w:pStyle w:val="GesAbsatz"/>
        <w:ind w:left="426" w:hanging="426"/>
        <w:rPr>
          <w:color w:val="auto"/>
        </w:rPr>
      </w:pPr>
      <w:r>
        <w:rPr>
          <w:color w:val="0000FF"/>
        </w:rPr>
        <w:t>-</w:t>
      </w:r>
      <w:r>
        <w:rPr>
          <w:color w:val="0000FF"/>
        </w:rPr>
        <w:tab/>
      </w:r>
      <w:r>
        <w:rPr>
          <w:color w:val="auto"/>
        </w:rPr>
        <w:t>einer Änderung eines Betriebs oder einer Anlage, aus der sich erhebliche Auswirkungen auf die Gefahren im Zusammenhang mit schweren Unfällen ergeben könnten, oder</w:t>
      </w:r>
    </w:p>
    <w:p>
      <w:pPr>
        <w:pStyle w:val="GesAbsatz"/>
        <w:ind w:left="426" w:hanging="426"/>
      </w:pPr>
      <w:r>
        <w:t>-</w:t>
      </w:r>
      <w:r>
        <w:tab/>
        <w:t>einer endgültigen Schließung der Anlage unterrichtet der Betreiber unverzüglich die zuständige Behörde über die Änderung.</w:t>
      </w:r>
    </w:p>
    <w:p>
      <w:pPr>
        <w:pStyle w:val="berschrift2"/>
      </w:pPr>
      <w:bookmarkStart w:id="8" w:name="_Toc400444577"/>
      <w:r>
        <w:t>Artikel 7</w:t>
      </w:r>
      <w:r>
        <w:br/>
        <w:t>Konzept zur Verhütung schwerer Unfälle</w:t>
      </w:r>
      <w:bookmarkEnd w:id="8"/>
    </w:p>
    <w:p>
      <w:pPr>
        <w:pStyle w:val="GesAbsatz"/>
      </w:pPr>
      <w:r>
        <w:t>(1) Die Mitgliedstaaten sorgen dafür, dass der Betreiber verpflichtet ist, eine Unterlage zur Verhütung schwerer Unfälle auszuarbeiten und dessen ordnungsgemäße Umsetzung sicherzustellen. Mit dem vom Betreiber vorgesehenen Konzept zur Verhütung schwerer Unfälle soll durch geeignete Mittel, Organisation und Managementsysteme ein hohes Schutzniveau für Mensch und Umwelt sichergestellt werden.</w:t>
      </w:r>
    </w:p>
    <w:p>
      <w:pPr>
        <w:pStyle w:val="GesAbsatz"/>
        <w:rPr>
          <w:color w:val="auto"/>
        </w:rPr>
      </w:pPr>
      <w:r>
        <w:rPr>
          <w:color w:val="auto"/>
        </w:rPr>
        <w:t>(1a) Bei Betrieben, die später in den Anwendungsbereich dieser Richtlinie fallen, wird die in Absatz 1 genannte Unterlage unverzüglich ausgearbeitet, auf jeden Fall aber innerhalb von drei Monaten nach dem Zeitpunkt, zu dem diese Richtlinie gemäß Artikel 2 Absatz 1 Unterabsatz 1 für den betreffenden Betrieb gilt.</w:t>
      </w:r>
    </w:p>
    <w:p>
      <w:pPr>
        <w:pStyle w:val="GesAbsatz"/>
      </w:pPr>
      <w:r>
        <w:t>(2) Die Unterlage muss die in Anhang III genannten Grundsätze berücksichtigen und für die zuständigen Behörden, insbesondere im Hinblick auf die Anwendung von Artikel 5 Absatz 2 und von Artikel 18, verfügbar gehalten werden.</w:t>
      </w:r>
    </w:p>
    <w:p>
      <w:pPr>
        <w:pStyle w:val="GesAbsatz"/>
      </w:pPr>
      <w:r>
        <w:t>(3) Dieser Artikel gilt nicht für Betriebe nach Artikel 9.</w:t>
      </w:r>
    </w:p>
    <w:p>
      <w:pPr>
        <w:pStyle w:val="berschrift2"/>
      </w:pPr>
      <w:bookmarkStart w:id="9" w:name="_Toc400444578"/>
      <w:r>
        <w:t>Artikel 8</w:t>
      </w:r>
      <w:r>
        <w:br/>
        <w:t>Domino-Effekt</w:t>
      </w:r>
      <w:bookmarkEnd w:id="9"/>
    </w:p>
    <w:p>
      <w:pPr>
        <w:pStyle w:val="GesAbsatz"/>
      </w:pPr>
      <w:r>
        <w:t>(1) Die Mitgliedstaaten sorgen dafür, dass die zuständige Behörde unter Verwendung der von dem Betreiber gemäß den Artikeln 6 und 9 übermittelten Angaben festlegt, bei welchen Betrieben oder Gruppen von Betrieben aufgrund ihres Standorts und ihrer Nähe sowie ihrer Verzeichnisse gefährlicher Stoffe eine erhöhte Wahrscheinlichkeit oder Möglichkeit schwerer Unfälle bestehen kann oder diese Unfälle folgenschwerer sein können.</w:t>
      </w:r>
    </w:p>
    <w:p>
      <w:pPr>
        <w:pStyle w:val="GesAbsatz"/>
      </w:pPr>
      <w:r>
        <w:t>(2) Die Mitgliedstaaten stellen sicher, dass hinsichtlich der so ermittelten Betriebe</w:t>
      </w:r>
    </w:p>
    <w:p>
      <w:pPr>
        <w:pStyle w:val="GesAbsatz"/>
        <w:ind w:left="426" w:hanging="426"/>
      </w:pPr>
      <w:r>
        <w:t>a)</w:t>
      </w:r>
      <w:r>
        <w:tab/>
        <w:t>ein geeigneter Austausch der sachdienlichen Informationen stattfindet, damit diese Betriebe in ihrem Konzept zur Verhütung schwerer Unfälle, in ihren Sicherheitsmanagementsystemen, in ihren Sicherheitsberichten und ihren internen Notfallplänen der Art und dem Ausmaß der allgemeinen Gefahr eines schweren Unfalls Rechnung tragen können;</w:t>
      </w:r>
    </w:p>
    <w:p>
      <w:pPr>
        <w:pStyle w:val="GesAbsatz"/>
        <w:ind w:left="426" w:hanging="426"/>
      </w:pPr>
      <w:r>
        <w:t>b)</w:t>
      </w:r>
      <w:r>
        <w:tab/>
        <w:t xml:space="preserve">eine Zusammenarbeit betreffend die Unterrichtung der Öffentlichkeit sowie die Übermittlung von Angaben an die </w:t>
      </w:r>
      <w:r>
        <w:rPr>
          <w:color w:val="auto"/>
        </w:rPr>
        <w:t xml:space="preserve">für die </w:t>
      </w:r>
      <w:r>
        <w:t xml:space="preserve">Erstellung der externen Notfallpläne </w:t>
      </w:r>
      <w:r>
        <w:rPr>
          <w:color w:val="auto"/>
        </w:rPr>
        <w:t xml:space="preserve">zuständige Behörde </w:t>
      </w:r>
      <w:r>
        <w:t>vorgesehen wird.</w:t>
      </w:r>
    </w:p>
    <w:p>
      <w:pPr>
        <w:pStyle w:val="berschrift2"/>
      </w:pPr>
      <w:bookmarkStart w:id="10" w:name="_Toc400444579"/>
      <w:r>
        <w:t>Artikel 9</w:t>
      </w:r>
      <w:r>
        <w:br/>
        <w:t>Sicherheitsbericht</w:t>
      </w:r>
      <w:bookmarkEnd w:id="10"/>
    </w:p>
    <w:p>
      <w:pPr>
        <w:pStyle w:val="GesAbsatz"/>
      </w:pPr>
      <w:r>
        <w:t>(1) Die Mitgliedstaaten sorgen dafür, dass der Betreiber verpflichtet ist, einen Sicherheitsbericht zu erstellen, in dem</w:t>
      </w:r>
    </w:p>
    <w:p>
      <w:pPr>
        <w:pStyle w:val="GesAbsatz"/>
        <w:ind w:left="426" w:hanging="426"/>
      </w:pPr>
      <w:r>
        <w:t>a)</w:t>
      </w:r>
      <w:r>
        <w:tab/>
        <w:t>dargelegt wird, dass ein Konzept zur Verhütung schwerer Unfälle umgesetzt wurde und ein Sicherheitsmanagement zu seiner Anwendung gemäß den Elementen des Anhangs III vorhanden ist;</w:t>
      </w:r>
    </w:p>
    <w:p>
      <w:pPr>
        <w:pStyle w:val="GesAbsatz"/>
        <w:ind w:left="426" w:hanging="426"/>
      </w:pPr>
      <w:r>
        <w:t>b)</w:t>
      </w:r>
      <w:r>
        <w:tab/>
        <w:t>dargelegt wird, dass die Gefahren schwerer Unfälle ermittelt und alle erforderlichen Maßnahmen zur Verhütung derartiger Unfälle und Begrenzung der Folgen für Mensch und Umwelt ergriffen wurden;</w:t>
      </w:r>
    </w:p>
    <w:p>
      <w:pPr>
        <w:pStyle w:val="GesAbsatz"/>
        <w:ind w:left="426" w:hanging="426"/>
      </w:pPr>
      <w:r>
        <w:t>c)</w:t>
      </w:r>
      <w:r>
        <w:tab/>
        <w:t>dargelegt wird, dass die Auslegung, die Errichtung sowie der Betrieb und die Wartung sämtlicher Anlagen, Lager, Einrichtungen und die für ihr Funktionieren erforderlichen Infrastrukturen, die im Zusammenhang mit der Gefahr schwerer Unfälle im Betrieb stehen, ausreichend sicher und zuverlässig sind;</w:t>
      </w:r>
    </w:p>
    <w:p>
      <w:pPr>
        <w:pStyle w:val="GesAbsatz"/>
        <w:ind w:left="426" w:hanging="426"/>
      </w:pPr>
      <w:r>
        <w:lastRenderedPageBreak/>
        <w:t>d)</w:t>
      </w:r>
      <w:r>
        <w:tab/>
        <w:t>dargelegt wird, dass interne Notfallpläne vorliegen, und die Angaben zur Erstellung des externen Notfallplans erbracht werden, damit bei einem schweren Unfall die erforderlichen Maßnahmen ergriffen werden können;</w:t>
      </w:r>
    </w:p>
    <w:p>
      <w:pPr>
        <w:pStyle w:val="GesAbsatz"/>
        <w:ind w:left="426" w:hanging="426"/>
      </w:pPr>
      <w:r>
        <w:t>e)</w:t>
      </w:r>
      <w:r>
        <w:tab/>
        <w:t>ausreichende Informationen bereitgestellt werden, damit die zuständigen Behörden Entscheidungen über die Ansiedlung neuer Tätigkeiten oder Entwicklungen in der Nachbarschaft bestehender Betriebe treffen können.</w:t>
      </w:r>
    </w:p>
    <w:p>
      <w:pPr>
        <w:pStyle w:val="GesAbsatz"/>
      </w:pPr>
      <w:r>
        <w:t>(2) Der Sicherheitsbericht enthält mindestens die in Anhang II aufgeführten Angaben und Informationen.</w:t>
      </w:r>
      <w:r>
        <w:rPr>
          <w:color w:val="auto"/>
        </w:rPr>
        <w:t xml:space="preserve"> Er führt die Namen der an der Erstellung des Berichts beteiligten relevanten Organisationen auf. </w:t>
      </w:r>
      <w:r>
        <w:t>Er enthält ferner ein aktuelles Verzeichnis der in dem Betrieb vorhandenen gefährlichen Stoffe.</w:t>
      </w:r>
    </w:p>
    <w:p>
      <w:pPr>
        <w:pStyle w:val="GesAbsatz"/>
      </w:pPr>
      <w:r>
        <w:t>Zur Vermeidung unnötiger Doppelinformation bzw. Doppelarbeit des Betreibers oder der zuständigen Behörde können mehrere Berichte bzw. Teile von Berichten oder andere aufgrund anderer Rechtsvorschriften vorzulegende gleichwertige Berichte zu einem einzigen Sicherheitsbericht im Sinne dieses Artikels zusammengefasst werden, sofern alle Anforderungen dieses Artikels beachtet werden.</w:t>
      </w:r>
    </w:p>
    <w:p>
      <w:pPr>
        <w:pStyle w:val="GesAbsatz"/>
      </w:pPr>
      <w:r>
        <w:t>(3) Der Sicherheitsbericht nach Absatz 1 wird der zuständigen Behörde innerhalb folgender Fristen übermittelt:</w:t>
      </w:r>
    </w:p>
    <w:p>
      <w:pPr>
        <w:pStyle w:val="GesAbsatz"/>
        <w:ind w:left="426" w:hanging="426"/>
      </w:pPr>
      <w:r>
        <w:t>-</w:t>
      </w:r>
      <w:r>
        <w:tab/>
        <w:t>bei neuen Betrieben innerhalb einer angemessenen Frist vor Beginn des Baus oder der Inbetriebnahme;</w:t>
      </w:r>
    </w:p>
    <w:p>
      <w:pPr>
        <w:pStyle w:val="GesAbsatz"/>
        <w:ind w:left="426" w:hanging="426"/>
      </w:pPr>
      <w:r>
        <w:t>-</w:t>
      </w:r>
      <w:r>
        <w:tab/>
        <w:t>bei bestehenden, bisher nicht unter die Richtlinie 82/501/EWG fallenden Betrieben innerhalb von drei Jahren ab dem in Artikel 24 Absatz 1 genannten Zeitpunkt;</w:t>
      </w:r>
    </w:p>
    <w:p>
      <w:pPr>
        <w:pStyle w:val="GesAbsatz"/>
        <w:ind w:left="426" w:hanging="426"/>
      </w:pPr>
      <w:r>
        <w:t>-</w:t>
      </w:r>
      <w:r>
        <w:tab/>
        <w:t>bei sonstigen Betrieben innerhalb von zwei Jahren nach dem in Artikel 24 Absatz 1 genannten Zeitpunkt;</w:t>
      </w:r>
    </w:p>
    <w:p>
      <w:pPr>
        <w:pStyle w:val="GesAbsatz"/>
        <w:ind w:left="426" w:hanging="426"/>
      </w:pPr>
      <w:r>
        <w:rPr>
          <w:color w:val="0000FF"/>
        </w:rPr>
        <w:t>-</w:t>
      </w:r>
      <w:r>
        <w:rPr>
          <w:color w:val="0000FF"/>
        </w:rPr>
        <w:tab/>
      </w:r>
      <w:r>
        <w:rPr>
          <w:color w:val="auto"/>
        </w:rPr>
        <w:t>bei Betrieben, die später in den Anwendungsbereich dieser Richtlinie fallen, unverzüglich, auf jeden Fall aber innerhalb eines Jahres nach dem Zeitpunkt, zu dem diese Richtlinie gemäß Artikel 2 Absatz 1 Unterabsatz 1 für den betreffenden Betrieb gilt</w:t>
      </w:r>
      <w:r>
        <w:t>;</w:t>
      </w:r>
    </w:p>
    <w:p>
      <w:pPr>
        <w:pStyle w:val="GesAbsatz"/>
      </w:pPr>
      <w:r>
        <w:t>-</w:t>
      </w:r>
      <w:r>
        <w:tab/>
        <w:t>unverzüglich bei den in Absatz 5 vorgeschriebenen regelmäßigen Überprüfungen.</w:t>
      </w:r>
    </w:p>
    <w:p>
      <w:pPr>
        <w:pStyle w:val="GesAbsatz"/>
      </w:pPr>
      <w:r>
        <w:t xml:space="preserve">(4) Vor Beginn der Errichtung oder vor Inbetriebnahme der Anlagen durch den Betreiber oder in den in Absatz 3 zweiter, dritter, vierter </w:t>
      </w:r>
      <w:r>
        <w:rPr>
          <w:color w:val="auto"/>
        </w:rPr>
        <w:t xml:space="preserve">und fünfter </w:t>
      </w:r>
      <w:r>
        <w:t>Gedankenstrich genannten Fällen hat die zuständige Behörde innerhalb einer angemessenen Frist nach Eingang des Berichts</w:t>
      </w:r>
    </w:p>
    <w:p>
      <w:pPr>
        <w:pStyle w:val="GesAbsatz"/>
        <w:ind w:left="426" w:hanging="426"/>
      </w:pPr>
      <w:r>
        <w:t>-</w:t>
      </w:r>
      <w:r>
        <w:tab/>
        <w:t>dem Betreiber die Ergebnisse ihrer Prüfung des Sicherheitsberichts, gegebenenfalls nach Anforderung zusätzlicher Informationen, mitzuteilen oder</w:t>
      </w:r>
    </w:p>
    <w:p>
      <w:pPr>
        <w:pStyle w:val="GesAbsatz"/>
        <w:ind w:left="426" w:hanging="426"/>
      </w:pPr>
      <w:r>
        <w:t>-</w:t>
      </w:r>
      <w:r>
        <w:tab/>
        <w:t>gemäß den in Artikel 17 vorgesehenen Befugnissen und Verfahren die Inbetriebnahme oder die Weiterführung des betreffenden Betriebs zu untersagen.</w:t>
      </w:r>
    </w:p>
    <w:p>
      <w:pPr>
        <w:pStyle w:val="GesAbsatz"/>
      </w:pPr>
      <w:r>
        <w:t>(5) Der Sicherheitsbericht ist wie folgt regelmäßig zu überprüfen und erforderlichenfalls zu aktualisieren:</w:t>
      </w:r>
    </w:p>
    <w:p>
      <w:pPr>
        <w:pStyle w:val="GesAbsatz"/>
      </w:pPr>
      <w:r>
        <w:t>-</w:t>
      </w:r>
      <w:r>
        <w:tab/>
        <w:t>mindestens alle fünf Jahre;</w:t>
      </w:r>
    </w:p>
    <w:p>
      <w:pPr>
        <w:pStyle w:val="GesAbsatz"/>
        <w:ind w:left="426" w:hanging="426"/>
      </w:pPr>
      <w:r>
        <w:t>-</w:t>
      </w:r>
      <w:r>
        <w:tab/>
        <w:t>zu jedem anderen Zeitpunkt auf Veranlassung des Betreibers oder Aufforderung der zuständigen Behörde, wenn neue Tatbestände dies rechtfertigen oder um den neuen sicherheitstechnischen Kenntnisstand - beispielsweise aufgrund der Analyse von Unfällen oder nach Möglichkeit auch von „Beinaheunfällen" - sowie aktuelle Erkenntnisse zur Beurteilung der Gefahren zu berücksichtigen.</w:t>
      </w:r>
    </w:p>
    <w:p>
      <w:pPr>
        <w:pStyle w:val="GesAbsatz"/>
        <w:ind w:left="426" w:hanging="426"/>
      </w:pPr>
      <w:r>
        <w:t>(6)a) Wird der zuständigen Behörde glaubhaft nachgewiesen, dass von bestimmten im Betrieb vorhandenen Stoffen oder von irgendeinem Teil des Betriebs selbst keine Gefahr eines schweren Unfalls ausgehen kann, so kann der Mitgliedstaat nach den Kriterien gemäß Buchstabe b) die in den Sicherheitsberichten vorgeschriebenen Informationen auf die Aspekte beschränken, die für die Abwehr der noch verbleibenden Gefahren schwerer Unfälle und für die Begrenzung der Unfallfolgen für Mensch und Umwelt relevant sind.</w:t>
      </w:r>
    </w:p>
    <w:p>
      <w:pPr>
        <w:pStyle w:val="GesAbsatz"/>
        <w:ind w:left="426" w:hanging="426"/>
      </w:pPr>
      <w:r>
        <w:t>b)</w:t>
      </w:r>
      <w:r>
        <w:tab/>
        <w:t>Die Kommission erstellt harmonisierte Kriterien für Entscheidungen der zuständigen Behörde darüber, dass von einem Betrieb keine Gefahr eines schweren Unfalls im Sinne des Buchstabens a ausgehen kann. Diese Maßnahmen zur Änderung nicht wesentlicher Bestimmungen dieser Richtlinie durch Ergänzung werden nach dem in Artikel 22 Absatz 3 genannten Regelungsverfahren mit Kontrolle erlassen.</w:t>
      </w:r>
    </w:p>
    <w:p>
      <w:pPr>
        <w:pStyle w:val="GesAbsatz"/>
        <w:ind w:left="426" w:hanging="426"/>
      </w:pPr>
      <w:r>
        <w:t>c)</w:t>
      </w:r>
      <w:r>
        <w:tab/>
        <w:t>Die Mitgliedstaaten sorgen dafür, dass die zuständige Behörde der Kommission ein mit Gründen versehenes Verzeichnis der entsprechenden Betriebe übermittelt. Die Kommission übermittelt diese Verzeichnisse jährlich dem in Artikel 22 genannten Ausschuss.</w:t>
      </w:r>
    </w:p>
    <w:p>
      <w:pPr>
        <w:pStyle w:val="GesAbsatz"/>
        <w:ind w:left="426" w:hanging="426"/>
        <w:rPr>
          <w:color w:val="auto"/>
        </w:rPr>
      </w:pPr>
      <w:r>
        <w:rPr>
          <w:color w:val="auto"/>
        </w:rPr>
        <w:t>d)</w:t>
      </w:r>
      <w:r>
        <w:rPr>
          <w:color w:val="auto"/>
        </w:rPr>
        <w:tab/>
        <w:t>Die Kommission wird ersucht, bis zum 31. Dezember 2006 die geltenden Leitlinien für die Abfassung eines Sicherheitsberichts ('Guidance on the Preparation of a Safety Report') in enger Zusammenarbeit mit den Mitgliedstaaten zu überprüfen.</w:t>
      </w:r>
    </w:p>
    <w:p>
      <w:pPr>
        <w:pStyle w:val="berschrift2"/>
      </w:pPr>
      <w:bookmarkStart w:id="11" w:name="_Toc400444580"/>
      <w:r>
        <w:lastRenderedPageBreak/>
        <w:t>Artikel 10</w:t>
      </w:r>
      <w:r>
        <w:br/>
        <w:t>Änderung einer Anlage, eines Betriebs oder eines Lagers</w:t>
      </w:r>
      <w:bookmarkEnd w:id="11"/>
    </w:p>
    <w:p>
      <w:pPr>
        <w:pStyle w:val="GesAbsatz"/>
      </w:pPr>
      <w:r>
        <w:t>Bei einer Änderung einer Anlage, eines Betriebs, eines Lagers, eines Verfahrens oder der Art und der Mengen der gefährlichen Stoffe, aus der sich erhebliche Auswirkungen auf die Gefahren im Zusammenhang mit schweren Unfällen ergeben könnten, sorgen die Mitgliedstaaten dafür, dass der Betreiber</w:t>
      </w:r>
    </w:p>
    <w:p>
      <w:pPr>
        <w:pStyle w:val="GesAbsatz"/>
        <w:ind w:left="426" w:hanging="426"/>
      </w:pPr>
      <w:r>
        <w:t>-</w:t>
      </w:r>
      <w:r>
        <w:tab/>
        <w:t>das Konzept zur Verhütung schwerer Unfälle, die Managementsysteme und die Verfahren hinsichtlich der Artikel 7 und 9 überprüft und erforderlichenfalls ändert;</w:t>
      </w:r>
    </w:p>
    <w:p>
      <w:pPr>
        <w:pStyle w:val="GesAbsatz"/>
        <w:ind w:left="426" w:hanging="426"/>
      </w:pPr>
      <w:r>
        <w:t>-</w:t>
      </w:r>
      <w:r>
        <w:tab/>
        <w:t xml:space="preserve">den Sicherheitsbericht überprüft und erforderlichenfalls ändert und die in Artikel 16 genannte zuständige Behörde im </w:t>
      </w:r>
      <w:proofErr w:type="gramStart"/>
      <w:r>
        <w:t>einzelnen</w:t>
      </w:r>
      <w:proofErr w:type="gramEnd"/>
      <w:r>
        <w:t xml:space="preserve"> vor Durchführung dieser Änderung unterrichtet.</w:t>
      </w:r>
    </w:p>
    <w:p>
      <w:pPr>
        <w:pStyle w:val="berschrift2"/>
      </w:pPr>
      <w:bookmarkStart w:id="12" w:name="_Toc400444581"/>
      <w:r>
        <w:t>Artikel 11</w:t>
      </w:r>
      <w:r>
        <w:br/>
        <w:t>Notfallpläne</w:t>
      </w:r>
      <w:bookmarkEnd w:id="12"/>
    </w:p>
    <w:p>
      <w:pPr>
        <w:pStyle w:val="GesAbsatz"/>
      </w:pPr>
      <w:r>
        <w:t>(1) Die Mitgliedstaaten sorgen dafür, dass für alle unter Artikel 9 fallenden Betriebe</w:t>
      </w:r>
    </w:p>
    <w:p>
      <w:pPr>
        <w:pStyle w:val="GesAbsatz"/>
        <w:ind w:left="426" w:hanging="426"/>
      </w:pPr>
      <w:r>
        <w:t>a)</w:t>
      </w:r>
      <w:r>
        <w:tab/>
        <w:t>durch den Betreiber ein interner Notfallplan für Maßnahmen innerhalb des Betriebs erstellt wird, und zwar</w:t>
      </w:r>
    </w:p>
    <w:p>
      <w:pPr>
        <w:pStyle w:val="GesAbsatz"/>
        <w:ind w:left="851" w:hanging="851"/>
      </w:pPr>
      <w:r>
        <w:tab/>
        <w:t>-</w:t>
      </w:r>
      <w:r>
        <w:tab/>
        <w:t>bei neuen Betrieben vor der Inbetriebnahme;</w:t>
      </w:r>
    </w:p>
    <w:p>
      <w:pPr>
        <w:pStyle w:val="GesAbsatz"/>
        <w:ind w:left="851" w:hanging="851"/>
      </w:pPr>
      <w:r>
        <w:tab/>
        <w:t>-</w:t>
      </w:r>
      <w:r>
        <w:tab/>
        <w:t>bei bestehenden, bisher nicht unter die Richtlinie 82/501/EWG fallenden Betrieben innerhalb von drei Jahren ab dem in Artikel 24 Absatz 1 genannten Zeitpunkt;</w:t>
      </w:r>
    </w:p>
    <w:p>
      <w:pPr>
        <w:pStyle w:val="GesAbsatz"/>
        <w:ind w:left="851" w:hanging="851"/>
      </w:pPr>
      <w:r>
        <w:tab/>
        <w:t>-</w:t>
      </w:r>
      <w:r>
        <w:tab/>
        <w:t>bei sonstigen Betrieben innerhalb von zwei Jahren ab dem in Artikel 24 Absatz 1 genannten Zeitpunkt;</w:t>
      </w:r>
    </w:p>
    <w:p>
      <w:pPr>
        <w:pStyle w:val="GesAbsatz"/>
        <w:ind w:left="851" w:hanging="851"/>
        <w:rPr>
          <w:color w:val="auto"/>
        </w:rPr>
      </w:pPr>
      <w:r>
        <w:rPr>
          <w:color w:val="0000FF"/>
        </w:rPr>
        <w:tab/>
        <w:t>-</w:t>
      </w:r>
      <w:r>
        <w:rPr>
          <w:color w:val="0000FF"/>
        </w:rPr>
        <w:tab/>
      </w:r>
      <w:r>
        <w:rPr>
          <w:color w:val="auto"/>
        </w:rPr>
        <w:t>bei Betrieben, die später in den Anwendungsbereich dieser Richtlinie fallen, unverzüglich, auf jeden Fall aber innerhalb eines Jahres nach dem Zeitpunkt, zu dem diese Richtlinie gemäß Artikel 2 Absatz 1 Unterabsatz 1 für den betreffenden Betrieb gilt.</w:t>
      </w:r>
    </w:p>
    <w:p>
      <w:pPr>
        <w:pStyle w:val="GesAbsatz"/>
        <w:ind w:left="426" w:hanging="426"/>
      </w:pPr>
      <w:r>
        <w:t>b)</w:t>
      </w:r>
      <w:r>
        <w:tab/>
        <w:t>die zuständigen Behörden von dem Betreiber die für die Erstellung externer Notfallpläne erforderlichen Informationen innerhalb der nachstehenden Fristen erhalten:</w:t>
      </w:r>
    </w:p>
    <w:p>
      <w:pPr>
        <w:pStyle w:val="GesAbsatz"/>
        <w:ind w:left="851" w:hanging="851"/>
      </w:pPr>
      <w:r>
        <w:tab/>
        <w:t>-</w:t>
      </w:r>
      <w:r>
        <w:tab/>
        <w:t>bei neuen Betrieben vor der Inbetriebnahme;</w:t>
      </w:r>
    </w:p>
    <w:p>
      <w:pPr>
        <w:pStyle w:val="GesAbsatz"/>
        <w:ind w:left="851" w:hanging="851"/>
      </w:pPr>
      <w:r>
        <w:tab/>
        <w:t>-</w:t>
      </w:r>
      <w:r>
        <w:tab/>
        <w:t>bei bestehenden, bisher nicht unter die Richtlinie 82/501/EWG fallenden Betrieben, innerhalb von drei Jahren ab dem in Artikel 24 Absatz 1 genannten Zeitpunkt;</w:t>
      </w:r>
    </w:p>
    <w:p>
      <w:pPr>
        <w:pStyle w:val="GesAbsatz"/>
        <w:ind w:left="851" w:hanging="851"/>
      </w:pPr>
      <w:r>
        <w:tab/>
        <w:t>-</w:t>
      </w:r>
      <w:r>
        <w:tab/>
        <w:t>bei sonstigen Betrieben innerhalb von zwei Jahren ab dem in Artikel 24 Absatz 1 genannten Zeitpunkt;</w:t>
      </w:r>
    </w:p>
    <w:p>
      <w:pPr>
        <w:pStyle w:val="GesAbsatz"/>
        <w:ind w:left="851" w:hanging="851"/>
        <w:rPr>
          <w:color w:val="auto"/>
        </w:rPr>
      </w:pPr>
      <w:r>
        <w:rPr>
          <w:color w:val="0000FF"/>
        </w:rPr>
        <w:tab/>
        <w:t>-</w:t>
      </w:r>
      <w:r>
        <w:rPr>
          <w:color w:val="0000FF"/>
        </w:rPr>
        <w:tab/>
      </w:r>
      <w:r>
        <w:rPr>
          <w:color w:val="auto"/>
        </w:rPr>
        <w:t>bei Betrieben, die später in den Anwendungsbereich dieser Richtlinie fallen, unverzüglich, auf jeden Fall aber innerhalb eines Jahres nach dem Zeitpunkt, zu dem diese Richtlinie gemäß Artikel 2 Absatz 1 Unterabsatz 1 für den betreffenden Betrieb gilt.</w:t>
      </w:r>
    </w:p>
    <w:p>
      <w:pPr>
        <w:pStyle w:val="GesAbsatz"/>
        <w:ind w:left="426" w:hanging="426"/>
      </w:pPr>
      <w:r>
        <w:t>c)</w:t>
      </w:r>
      <w:r>
        <w:tab/>
        <w:t>die von dem Mitgliedstaat hierzu benannten Behörden einen externen Notfallplan für Maßnahmen außerhalb des Betriebs erstellen.</w:t>
      </w:r>
    </w:p>
    <w:p>
      <w:pPr>
        <w:pStyle w:val="GesAbsatz"/>
      </w:pPr>
      <w:r>
        <w:t>(2) Notfallpläne müssen erstellt werden, um</w:t>
      </w:r>
    </w:p>
    <w:p>
      <w:pPr>
        <w:pStyle w:val="GesAbsatz"/>
        <w:ind w:left="426" w:hanging="426"/>
      </w:pPr>
      <w:r>
        <w:t>-</w:t>
      </w:r>
      <w:r>
        <w:tab/>
        <w:t>Schadensfälle einzudämmen und unter Kontrolle zu bringen, so dass die Folgen möglichst gering gehalten und Schäden für Mensch, Umwelt und Sachen begrenzt werden können;</w:t>
      </w:r>
    </w:p>
    <w:p>
      <w:pPr>
        <w:pStyle w:val="GesAbsatz"/>
        <w:ind w:left="426" w:hanging="426"/>
      </w:pPr>
      <w:r>
        <w:t>-</w:t>
      </w:r>
      <w:r>
        <w:tab/>
        <w:t>Maßnahmen zum Schutz von Mensch und Umwelt vor den Folgen schwerer Unfälle einzuleiten;</w:t>
      </w:r>
    </w:p>
    <w:p>
      <w:pPr>
        <w:pStyle w:val="GesAbsatz"/>
        <w:ind w:left="426" w:hanging="426"/>
      </w:pPr>
      <w:r>
        <w:t>-</w:t>
      </w:r>
      <w:r>
        <w:tab/>
        <w:t>notwendige Informationen an die Öffentlichkeit sowie betroffene Behörden oder Dienststellen in dem betreffenden Gebiet weiterzugeben;</w:t>
      </w:r>
    </w:p>
    <w:p>
      <w:pPr>
        <w:pStyle w:val="GesAbsatz"/>
        <w:ind w:left="426" w:hanging="426"/>
      </w:pPr>
      <w:r>
        <w:t>-</w:t>
      </w:r>
      <w:r>
        <w:tab/>
        <w:t>Aufräumarbeiten und Maßnahmen zur Wiederherstellung der Umwelt nach einem schweren Unfall einzuleiten.</w:t>
      </w:r>
    </w:p>
    <w:p>
      <w:pPr>
        <w:pStyle w:val="GesAbsatz"/>
      </w:pPr>
      <w:r>
        <w:t>Die Notfallpläne enthalten die in Anhang IV genannten Informationen.</w:t>
      </w:r>
    </w:p>
    <w:p>
      <w:pPr>
        <w:pStyle w:val="GesAbsatz"/>
        <w:rPr>
          <w:color w:val="auto"/>
        </w:rPr>
      </w:pPr>
      <w:r>
        <w:t xml:space="preserve">(3) Unbeschadet der Verpflichtungen der zuständigen Behörden sorgen die Mitgliedstaaten dafür, dass die in dieser Richtlinie vorgesehenen internen Notfallpläne unter Beteiligung </w:t>
      </w:r>
      <w:r>
        <w:rPr>
          <w:color w:val="auto"/>
        </w:rPr>
        <w:t>der im Betrieb tätigen Personen, einschließlich des relevanten langfristig beschäftigten Personals von Subunternehmen,</w:t>
      </w:r>
      <w:r>
        <w:rPr>
          <w:color w:val="0000FF"/>
        </w:rPr>
        <w:t xml:space="preserve"> </w:t>
      </w:r>
      <w:r>
        <w:t xml:space="preserve">erstellt werden und die Öffentlichkeit zu den externen Notfallplänen gehört wird, </w:t>
      </w:r>
      <w:r>
        <w:rPr>
          <w:color w:val="auto"/>
        </w:rPr>
        <w:t>wenn diese erstellt oder aktualisiert werden.</w:t>
      </w:r>
    </w:p>
    <w:p>
      <w:pPr>
        <w:pStyle w:val="GesAbsatz"/>
      </w:pPr>
      <w:r>
        <w:t xml:space="preserve">(4) Die Mitgliedstaaten führen ein System ein, das sicherstellt, dass die internen und externen Notfallpläne in angemessenen Abständen von höchstens drei Jahren durch die Betreiber und die bezeichneten Behörden überprüft, erprobt und erforderlichenfalls überarbeitet und auf den neuesten Stand gebracht werden. Bei dieser </w:t>
      </w:r>
      <w:r>
        <w:lastRenderedPageBreak/>
        <w:t>Überprüfung werden Veränderungen in den betreffenden Betrieben und den betreffenden Notdiensten, neue technische Erkenntnisse und Erkenntnisse darüber, wie bei schweren Unfällen zu handeln ist, berücksichtigt.</w:t>
      </w:r>
    </w:p>
    <w:p>
      <w:pPr>
        <w:pStyle w:val="GesAbsatz"/>
        <w:rPr>
          <w:color w:val="auto"/>
        </w:rPr>
      </w:pPr>
      <w:r>
        <w:rPr>
          <w:color w:val="auto"/>
        </w:rPr>
        <w:t>4a) Im Zusammenhang mit externen Notfallplänen sollten die Mitgliedstaaten der Notwendigkeit der Förderung einer verstärkten Zusammenarbeit bei Katastrophenschutzmaßnahmen in schweren Notfällen Rechnung tragen.</w:t>
      </w:r>
    </w:p>
    <w:p>
      <w:pPr>
        <w:pStyle w:val="GesAbsatz"/>
      </w:pPr>
      <w:r>
        <w:t>(5) Die Mitgliedstaaten führen ein System ein, das sicherstellt, dass die Notfallpläne von dem Betreiber und, falls erforderlich, von der hierzu bezeichneten zuständigen Behörde unverzüglich angewendet werden, sobald</w:t>
      </w:r>
    </w:p>
    <w:p>
      <w:pPr>
        <w:pStyle w:val="GesAbsatz"/>
      </w:pPr>
      <w:r>
        <w:t>-</w:t>
      </w:r>
      <w:r>
        <w:tab/>
        <w:t>es zu einem schweren Unfall kommt oder</w:t>
      </w:r>
    </w:p>
    <w:p>
      <w:pPr>
        <w:pStyle w:val="GesAbsatz"/>
        <w:ind w:left="426" w:hanging="426"/>
      </w:pPr>
      <w:r>
        <w:t>-</w:t>
      </w:r>
      <w:r>
        <w:tab/>
        <w:t>es zu einem unkontrollierten Ereignis kommt, bei dem aufgrund seiner Art vernünftigerweise zu erwarten ist, dass es zu einem schweren Unfall führt.</w:t>
      </w:r>
    </w:p>
    <w:p>
      <w:pPr>
        <w:pStyle w:val="GesAbsatz"/>
      </w:pPr>
      <w:r>
        <w:t>(6) Die zuständige Behörde kann aufgrund der Informationen in dem Sicherheitsbericht entscheiden, dass sich die Erstellung eines externen Notfallplans nach Absatz 1 erübrigt; die Entscheidung ist zu begründen.</w:t>
      </w:r>
    </w:p>
    <w:p>
      <w:pPr>
        <w:pStyle w:val="berschrift2"/>
      </w:pPr>
      <w:bookmarkStart w:id="13" w:name="_Toc400444582"/>
      <w:r>
        <w:t>Artikel 12</w:t>
      </w:r>
      <w:r>
        <w:br/>
        <w:t>Überwachung der Ansiedlung</w:t>
      </w:r>
      <w:bookmarkEnd w:id="13"/>
    </w:p>
    <w:p>
      <w:pPr>
        <w:pStyle w:val="GesAbsatz"/>
      </w:pPr>
      <w:r>
        <w:t>(1) Die Mitgliedstaaten sorgen dafür, dass in ihren Politiken der Flächenausweisung oder Flächennutzung und/oder anderen einschlägigen Politiken das Ziel, schwere Unfälle zu verhüten und ihre Folgen zu begrenzen, Berücksichtigung findet. Dazu überwachen sie</w:t>
      </w:r>
    </w:p>
    <w:p>
      <w:pPr>
        <w:pStyle w:val="GesAbsatz"/>
      </w:pPr>
      <w:r>
        <w:t>a)</w:t>
      </w:r>
      <w:r>
        <w:tab/>
        <w:t>die Ansiedlung neuer Betriebe,</w:t>
      </w:r>
    </w:p>
    <w:p>
      <w:pPr>
        <w:pStyle w:val="GesAbsatz"/>
      </w:pPr>
      <w:r>
        <w:t>b)</w:t>
      </w:r>
      <w:r>
        <w:tab/>
        <w:t>Änderungen bestehender Betriebe im Sinne des Artikels 10,</w:t>
      </w:r>
    </w:p>
    <w:p>
      <w:pPr>
        <w:pStyle w:val="GesAbsatz"/>
        <w:ind w:left="426" w:hanging="426"/>
      </w:pPr>
      <w:r>
        <w:t>c)</w:t>
      </w:r>
      <w:r>
        <w:tab/>
        <w:t>neue Entwicklungen in der Nachbarschaft bestehender Betriebe wie beispielsweise Verkehrswege, Örtlichkeiten mit Publikumsverkehr, Wohngebiete, wenn diese Ansiedlungen oder Maßnahmen das Risiko eines schweren Unfalls vergrößern oder die Folgen eines solchen Unfalls verschlimmern können.</w:t>
      </w:r>
    </w:p>
    <w:p>
      <w:pPr>
        <w:pStyle w:val="GesAbsatz"/>
      </w:pPr>
      <w:r>
        <w:t xml:space="preserve">Die Mitgliedstaaten sorgen dafür, dass in ihrer Politik der Flächenausweisung oder Flächennutzung und/oder anderen einschlägigen Politiken sowie den Verfahren für die Durchführung dieser Politiken langfristig dem Erfordernis Rechnung getragen wird, dass zwischen den unter diese Richtlinie fallenden Betrieben einerseits und Wohngebieten, öffentlich genutzten </w:t>
      </w:r>
      <w:r>
        <w:rPr>
          <w:color w:val="auto"/>
        </w:rPr>
        <w:t xml:space="preserve">Gebäuden und </w:t>
      </w:r>
      <w:r>
        <w:t>Gebieten,</w:t>
      </w:r>
      <w:r>
        <w:rPr>
          <w:color w:val="auto"/>
        </w:rPr>
        <w:t xml:space="preserve"> wichtigen Verkehrswegen (so weit wie möglich), Freizeitgebieten </w:t>
      </w:r>
      <w:r>
        <w:t>und unter dem Gesichtspunkt des Naturschutzes besonders wertvollen bzw. besonders empfindlichen Gebieten andererseits ein angemessener Abstand gewahrt bleibt und dass bei bestehenden Betrieben zusätzliche technische Maßnahmen nach Artikel 5 ergriffen werden, damit es zu keiner Zunahme der Gefährdung der Bevölkerung kommt.</w:t>
      </w:r>
    </w:p>
    <w:p>
      <w:pPr>
        <w:pStyle w:val="GesAbsatz"/>
        <w:rPr>
          <w:color w:val="auto"/>
        </w:rPr>
      </w:pPr>
      <w:r>
        <w:rPr>
          <w:color w:val="auto"/>
        </w:rPr>
        <w:t>(1a) Die Kommission wird ersucht, bis zum 31. Dezember 2006 in enger Zusammenarbeit mit den Mitgliedstaaten Leitlinien zur Definition einer technischen Datenbank einschließlich Risikodaten und Risikoszenarien aufzustellen, die der Beurteilung der Vereinbarkeit zwischen den unter diese Richtlinie fallenden Betrieben und den in Absatz 1 genannten Gebieten dient. Die Definition dieser Datenbank berücksichtigt so weit wie möglich die Beurteilungen der zuständigen Behörden, die Informationen der Betreiber und alle übrigen einschlägigen Informationen wie etwa den sozioökonomischen Nutzen der Entwicklung von Notfallplänen und ihren Linderungseffekt.</w:t>
      </w:r>
    </w:p>
    <w:p>
      <w:pPr>
        <w:pStyle w:val="GesAbsatz"/>
      </w:pPr>
      <w:r>
        <w:t>(2) Die Mitgliedstaaten tragen dafür Sorge, dass alle zuständigen Behörden und alle für Entscheidungen in diesem Bereich zuständigen Dienststellen geeignete Konsultationsverfahren einrichten, um die Umsetzung dieser Politiken nach Absatz 1 zu erleichtern. Die Verfahren haben zu gewährleisten, dass bei diesbezüglichen Entscheidungen unter Berücksichtigung des Einzelfalls oder nach allgemeinen Kriterien auf fachliche Beratung über die von dem Betrieb ausgehenden Risiken zurückgegriffen werden kann.</w:t>
      </w:r>
    </w:p>
    <w:p>
      <w:pPr>
        <w:pStyle w:val="berschrift2"/>
      </w:pPr>
      <w:bookmarkStart w:id="14" w:name="_Toc400444583"/>
      <w:r>
        <w:t>Artikel 13</w:t>
      </w:r>
      <w:r>
        <w:br/>
        <w:t>Informationen über die Sicherheitsmaßnahmen</w:t>
      </w:r>
      <w:bookmarkEnd w:id="14"/>
    </w:p>
    <w:p>
      <w:pPr>
        <w:pStyle w:val="GesAbsatz"/>
        <w:rPr>
          <w:color w:val="auto"/>
        </w:rPr>
      </w:pPr>
      <w:r>
        <w:rPr>
          <w:color w:val="auto"/>
        </w:rPr>
        <w:t>(1) Die Mitgliedstaaten sorgen dafür, dass Informationen über die Sicherheitsmaßnahmen und das richtige Verhalten im Fall eines Unfalls allen Personen und allen Einrichtungen mit Publikumsverkehr (wie etwa Schulen und Krankenhäuser), die von einem schweren Unfall in einem unter Artikel 9 fallenden Betrieb betroffen werden könnten, in regelmäßigen Abständen und in der bestgeeigneten Form ohne Aufforderung mitgeteilt werden.</w:t>
      </w:r>
    </w:p>
    <w:p>
      <w:pPr>
        <w:pStyle w:val="GesAbsatz"/>
      </w:pPr>
      <w:r>
        <w:t>Diese Informationen werden alle drei Jahre überprüft und erforderlichenfalls - zumindest bei Änderungen im Sinne von Artikel 10 - erneuert und aktualisiert. Sie werden darüber hinaus der Öffentlichkeit ständig zugänglich gemacht. Die Zeit zwischen der Erneuerung der der Unterrichtung der Öffentlichkeit zugrundeliegenden Informationen darf in keinem Fall fünf Jahre überschreiten.</w:t>
      </w:r>
    </w:p>
    <w:p>
      <w:pPr>
        <w:pStyle w:val="GesAbsatz"/>
      </w:pPr>
      <w:r>
        <w:lastRenderedPageBreak/>
        <w:t>Die Informationen enthalten zumindest die in Anhang V bezeichneten Angaben.</w:t>
      </w:r>
    </w:p>
    <w:p>
      <w:pPr>
        <w:pStyle w:val="GesAbsatz"/>
      </w:pPr>
      <w:r>
        <w:t>(2) Die Mitgliedstaaten machen den übrigen Mitgliedstaaten, die von den grenzüberschreitenden Wirkungen eines schweren Unfalls in einem Betrieb im Sinne von Artikel 9 betroffen werden könnten, ausreichende Informationen zugänglich, damit der betroffene Mitgliedstaat gegebenenfalls alle einschlägigen Bestimmungen der Artikel 11 und 12 sowie des vorliegenden Artikels anwenden kann.</w:t>
      </w:r>
    </w:p>
    <w:p>
      <w:pPr>
        <w:pStyle w:val="GesAbsatz"/>
      </w:pPr>
      <w:r>
        <w:t>(3) Hat der betreffende Mitgliedstaat in einer Entscheidung festgestellt, dass von einem nahe am Hoheitsgebiet eines anderen Mitgliedstaats gelegenen Betrieb außerhalb des Betriebsgeländes keine Gefahr eines schweren Unfalls im Sinne von Artikel 11 Absatz 6 ausgehen kann und folglich die Erstellung eines externen Notfallplans im Sinne von Artikel 11 Absatz 1 nicht erforderlich ist, so setzt er den anderen Mitgliedstaat davon in Kenntnis.</w:t>
      </w:r>
    </w:p>
    <w:p>
      <w:pPr>
        <w:pStyle w:val="GesAbsatz"/>
      </w:pPr>
      <w:r>
        <w:t>(4) Die Mitgliedstaaten sorgen dafür, dass der Sicherheitsbericht der Öffentlichkeit zugänglich gemacht wird. Der Betreiber kann von der zuständigen Behörde verlangen, bestimmte Teile des Berichts aus Gründen des Industrie- und Geschäftsgeheimnisses und des Schutzes der Privatsphäre, der öffentlichen Sicherheit oder der Landesverteidigung nicht offenzulegen. Nach Einwilligung der zuständigen Behörde legt der Betreiber in solchen Fällen der Behörde einen geänderten Bericht vor, in dem diese Teile ausgeklammert sind, und unterbreitet diesen der Öffentlichkeit.</w:t>
      </w:r>
    </w:p>
    <w:p>
      <w:pPr>
        <w:pStyle w:val="GesAbsatz"/>
      </w:pPr>
      <w:r>
        <w:t>(5) Die Mitgliedstaaten sorgen dafür, dass die Öffentlichkeit in folgenden Fällen Stellung nehmen kann:</w:t>
      </w:r>
    </w:p>
    <w:p>
      <w:pPr>
        <w:pStyle w:val="GesAbsatz"/>
      </w:pPr>
      <w:r>
        <w:t>-</w:t>
      </w:r>
      <w:r>
        <w:tab/>
        <w:t>Planungen der Ansiedlung neuer unter Artikel 9 fallender Betriebe,</w:t>
      </w:r>
    </w:p>
    <w:p>
      <w:pPr>
        <w:pStyle w:val="GesAbsatz"/>
        <w:ind w:left="426" w:hanging="426"/>
      </w:pPr>
      <w:r>
        <w:t>-</w:t>
      </w:r>
      <w:r>
        <w:tab/>
        <w:t>Änderung bestehender Betriebe im Sinne von Artikel 10, soweit diese von Bedeutung in bezug auf die in dieser Richtlinie vorgesehenen Anforderungen zur Flächennutzung sind,</w:t>
      </w:r>
    </w:p>
    <w:p>
      <w:pPr>
        <w:pStyle w:val="GesAbsatz"/>
      </w:pPr>
      <w:r>
        <w:t>-</w:t>
      </w:r>
      <w:r>
        <w:tab/>
        <w:t>Erschließungsmaßnahmen in der Umgebung bestehender Betriebe.</w:t>
      </w:r>
    </w:p>
    <w:p>
      <w:pPr>
        <w:pStyle w:val="GesAbsatz"/>
        <w:rPr>
          <w:color w:val="auto"/>
        </w:rPr>
      </w:pPr>
      <w:r>
        <w:rPr>
          <w:color w:val="auto"/>
        </w:rPr>
        <w:t>(6) Bei unter Artikel 9 fallenden Betrieben sorgen die Mitgliedstaaten dafür, dass das Verzeichnis der gefährlichen Stoffe nach Artikel 9 Absatz 2 der Öffentlichkeit vorbehaltlich des Absatzes 4 des vorliegenden Artikels sowie des Artikels 20 zugänglich gemacht wird.</w:t>
      </w:r>
    </w:p>
    <w:p>
      <w:pPr>
        <w:pStyle w:val="berschrift2"/>
      </w:pPr>
      <w:bookmarkStart w:id="15" w:name="_Toc400444584"/>
      <w:r>
        <w:t>Artikel 14</w:t>
      </w:r>
      <w:r>
        <w:br/>
        <w:t>Vom Betreiber nach einem schweren Unfall zu erbringende Informationen</w:t>
      </w:r>
      <w:bookmarkEnd w:id="15"/>
    </w:p>
    <w:p>
      <w:pPr>
        <w:pStyle w:val="GesAbsatz"/>
      </w:pPr>
      <w:r>
        <w:t>(1) Die Mitgliedstaaten sorgen dafür, dass der Betreiber so bald wie möglich nach einem schweren Unfall in der am besten geeigneten Weise</w:t>
      </w:r>
    </w:p>
    <w:p>
      <w:pPr>
        <w:pStyle w:val="GesAbsatz"/>
      </w:pPr>
      <w:r>
        <w:t>a)</w:t>
      </w:r>
      <w:r>
        <w:tab/>
        <w:t>die zuständige Behörde unterrichtet;</w:t>
      </w:r>
    </w:p>
    <w:p>
      <w:pPr>
        <w:pStyle w:val="GesAbsatz"/>
      </w:pPr>
      <w:r>
        <w:t>b)</w:t>
      </w:r>
      <w:r>
        <w:tab/>
        <w:t>der zuständigen Behörden nachstehende Informationen mitteilt, sobald sie ihm bekannt sind</w:t>
      </w:r>
    </w:p>
    <w:p>
      <w:pPr>
        <w:pStyle w:val="GesAbsatz"/>
        <w:tabs>
          <w:tab w:val="left" w:pos="851"/>
        </w:tabs>
      </w:pPr>
      <w:r>
        <w:tab/>
        <w:t>-</w:t>
      </w:r>
      <w:r>
        <w:tab/>
        <w:t>die Umstände des Unfalls,</w:t>
      </w:r>
    </w:p>
    <w:p>
      <w:pPr>
        <w:pStyle w:val="GesAbsatz"/>
        <w:tabs>
          <w:tab w:val="left" w:pos="851"/>
        </w:tabs>
      </w:pPr>
      <w:r>
        <w:tab/>
        <w:t>-</w:t>
      </w:r>
      <w:r>
        <w:tab/>
        <w:t>die beteiligten gefährlichen Stoffe,</w:t>
      </w:r>
    </w:p>
    <w:p>
      <w:pPr>
        <w:pStyle w:val="GesAbsatz"/>
        <w:tabs>
          <w:tab w:val="left" w:pos="851"/>
        </w:tabs>
      </w:pPr>
      <w:r>
        <w:tab/>
        <w:t>-</w:t>
      </w:r>
      <w:r>
        <w:tab/>
        <w:t>die zur Beurteilung der Unfallfolgen für Mensch und Umwelt verfügbaren Daten,</w:t>
      </w:r>
    </w:p>
    <w:p>
      <w:pPr>
        <w:pStyle w:val="GesAbsatz"/>
        <w:tabs>
          <w:tab w:val="left" w:pos="851"/>
        </w:tabs>
      </w:pPr>
      <w:r>
        <w:tab/>
        <w:t>-</w:t>
      </w:r>
      <w:r>
        <w:tab/>
        <w:t>die eingeleiteten Sofortmaßnahmen;</w:t>
      </w:r>
    </w:p>
    <w:p>
      <w:pPr>
        <w:pStyle w:val="GesAbsatz"/>
      </w:pPr>
      <w:r>
        <w:t>c)</w:t>
      </w:r>
      <w:r>
        <w:tab/>
        <w:t>die zuständige Behörde über die Schritte unterrichtet, die vorgesehen sind,</w:t>
      </w:r>
    </w:p>
    <w:p>
      <w:pPr>
        <w:pStyle w:val="GesAbsatz"/>
        <w:tabs>
          <w:tab w:val="left" w:pos="851"/>
        </w:tabs>
      </w:pPr>
      <w:r>
        <w:tab/>
        <w:t>-</w:t>
      </w:r>
      <w:r>
        <w:tab/>
        <w:t>um die mittel- und langfristigen Unfallfolgen abzumildern,</w:t>
      </w:r>
    </w:p>
    <w:p>
      <w:pPr>
        <w:pStyle w:val="GesAbsatz"/>
        <w:tabs>
          <w:tab w:val="left" w:pos="851"/>
        </w:tabs>
      </w:pPr>
      <w:r>
        <w:tab/>
        <w:t>-</w:t>
      </w:r>
      <w:r>
        <w:tab/>
        <w:t>um eine Wiederholung eines solchen Unfalls zu vermeiden;</w:t>
      </w:r>
    </w:p>
    <w:p>
      <w:pPr>
        <w:pStyle w:val="GesAbsatz"/>
        <w:ind w:left="426" w:hanging="426"/>
      </w:pPr>
      <w:r>
        <w:t>d)</w:t>
      </w:r>
      <w:r>
        <w:tab/>
        <w:t>die Informationen aktualisiert, wenn sich bei einer eingehenderen Untersuchung zusätzliche Fakten ergeben, die eine Änderung dieser Informationen oder der daraus gezogenen Folgerungen erfordern.</w:t>
      </w:r>
    </w:p>
    <w:p>
      <w:pPr>
        <w:pStyle w:val="GesAbsatz"/>
      </w:pPr>
      <w:r>
        <w:t>(2) Die Mitgliedstaaten beauftragen die zuständige Behörde,</w:t>
      </w:r>
    </w:p>
    <w:p>
      <w:pPr>
        <w:pStyle w:val="GesAbsatz"/>
        <w:ind w:left="426" w:hanging="426"/>
      </w:pPr>
      <w:r>
        <w:t>a)</w:t>
      </w:r>
      <w:r>
        <w:tab/>
        <w:t>sicherzustellen, dass alle notwendigen Sofortmaßnahmen sowie alle notwendigen mittel- und langfristigen Maßnahmen ergriffen werden;</w:t>
      </w:r>
    </w:p>
    <w:p>
      <w:pPr>
        <w:pStyle w:val="GesAbsatz"/>
        <w:ind w:left="426" w:hanging="426"/>
      </w:pPr>
      <w:r>
        <w:t>b)</w:t>
      </w:r>
      <w:r>
        <w:tab/>
        <w:t>durch Inspektionen, Untersuchungen oder andere geeignete Mittel die für eine vollständige Analyse der technischen, organisatorischen und managementspezifischen Gesichtspunkte des schweren Unfalls erforderlichen Informationen einzuholen;</w:t>
      </w:r>
    </w:p>
    <w:p>
      <w:pPr>
        <w:pStyle w:val="GesAbsatz"/>
        <w:ind w:left="426" w:hanging="426"/>
      </w:pPr>
      <w:r>
        <w:t>c)</w:t>
      </w:r>
      <w:r>
        <w:tab/>
        <w:t>geeignete Maßnahmen zu ergreifen, um sicherzustellen, dass der Betreiber alle erforderlichen Abhilfemaßnahmen trifft;</w:t>
      </w:r>
    </w:p>
    <w:p>
      <w:pPr>
        <w:pStyle w:val="GesAbsatz"/>
      </w:pPr>
      <w:r>
        <w:t>d)</w:t>
      </w:r>
      <w:r>
        <w:tab/>
        <w:t>Empfehlungen zu künftigen Verhütungsmaßnahmen abzugeben.</w:t>
      </w:r>
    </w:p>
    <w:p>
      <w:pPr>
        <w:pStyle w:val="berschrift2"/>
      </w:pPr>
      <w:bookmarkStart w:id="16" w:name="_Toc400444585"/>
      <w:r>
        <w:lastRenderedPageBreak/>
        <w:t>Artikel 15</w:t>
      </w:r>
      <w:r>
        <w:br/>
        <w:t>Unterrichtung der Kommission durch die Mitgliedstaaten</w:t>
      </w:r>
      <w:bookmarkEnd w:id="16"/>
    </w:p>
    <w:p>
      <w:pPr>
        <w:pStyle w:val="GesAbsatz"/>
      </w:pPr>
      <w:r>
        <w:t>(1) Zur Verhütung schwerer Unfälle und zur Begrenzung der Unfallfolgen unterrichten die Mitgliedstaaten die Kommission so bald wie möglich über die in ihrem Hoheitsgebiet eingetretenen schweren Unfälle, die den Kriterien des Anhangs VI entsprechen. Sie teilen ihr folgende Einzelheiten mit:</w:t>
      </w:r>
    </w:p>
    <w:p>
      <w:pPr>
        <w:pStyle w:val="GesAbsatz"/>
      </w:pPr>
      <w:r>
        <w:t>a)</w:t>
      </w:r>
      <w:r>
        <w:tab/>
        <w:t>Mitgliedstaat sowie Name und Anschrift der berichtenden Behörde;</w:t>
      </w:r>
    </w:p>
    <w:p>
      <w:pPr>
        <w:pStyle w:val="GesAbsatz"/>
        <w:ind w:left="426" w:hanging="426"/>
      </w:pPr>
      <w:r>
        <w:t>b)</w:t>
      </w:r>
      <w:r>
        <w:tab/>
        <w:t>Datum, Uhrzeit und Ort des schweren Unfalls sowie den vollständigen Namen des Betreibers und die Anschrift des betreffenden Betriebs;</w:t>
      </w:r>
    </w:p>
    <w:p>
      <w:pPr>
        <w:pStyle w:val="GesAbsatz"/>
        <w:ind w:left="426" w:hanging="426"/>
      </w:pPr>
      <w:r>
        <w:t>c)</w:t>
      </w:r>
      <w:r>
        <w:tab/>
        <w:t>Kurzbeschreibung der Umstände des Unfalls sowie Angabe der beteiligten gefährlichen Stoffe und der unmittelbaren Folgen für Mensch und Umwelt;</w:t>
      </w:r>
    </w:p>
    <w:p>
      <w:pPr>
        <w:pStyle w:val="GesAbsatz"/>
        <w:ind w:left="426" w:hanging="426"/>
      </w:pPr>
      <w:r>
        <w:t>d)</w:t>
      </w:r>
      <w:r>
        <w:tab/>
        <w:t>Kurzbeschreibung der getroffenen Sofortmaßnahmen und der zur Vermeidung einer Wiederholung eines solchen Unfalls unmittelbar notwendigen Sicherheitsvorkehrungen.</w:t>
      </w:r>
    </w:p>
    <w:p>
      <w:pPr>
        <w:pStyle w:val="GesAbsatz"/>
      </w:pPr>
      <w:r>
        <w:t>(2) Sobald die Informationen gemäß Artikel 14 eingeholt sind, unterrichten die Mitgliedstaaten die Kommission über das Ergebnis ihrer Analyse und über ihre Empfehlungen, wobei ein von der Kommission nach dem in Artikel 22 Absatz 2 genannten Regelungsverfahren erstellter und regelmäßig überprüfter Meldevordruck zu verwenden ist.</w:t>
      </w:r>
    </w:p>
    <w:p>
      <w:pPr>
        <w:pStyle w:val="GesAbsatz"/>
      </w:pPr>
      <w:r>
        <w:t>Die Übermittlung dieser Informationen durch die Mitgliedstaaten darf nur zurückgestellt werden, um den Abschluss gerichtlicher Verfahren zu ermöglichen, die durch eine solche Informationsübermittlung beeinträchtigt werden könnten.</w:t>
      </w:r>
    </w:p>
    <w:p>
      <w:pPr>
        <w:pStyle w:val="GesAbsatz"/>
      </w:pPr>
      <w:r>
        <w:t>(3) Die Mitgliedstaaten geben der Kommission Name und Anschrift der Stellen bekannt, die gegebenenfalls Informationen über schwere Unfälle besitzen und die zuständigen Behörden anderer Mitgliedstaaten bei solchen Unfällen beraten können.</w:t>
      </w:r>
    </w:p>
    <w:p>
      <w:pPr>
        <w:pStyle w:val="berschrift2"/>
      </w:pPr>
      <w:bookmarkStart w:id="17" w:name="_Toc400444586"/>
      <w:r>
        <w:t>Artikel 16</w:t>
      </w:r>
      <w:r>
        <w:br/>
        <w:t>Zuständige Behörde</w:t>
      </w:r>
      <w:bookmarkEnd w:id="17"/>
    </w:p>
    <w:p>
      <w:pPr>
        <w:pStyle w:val="GesAbsatz"/>
      </w:pPr>
      <w:r>
        <w:t>Die Mitgliedstaaten errichten oder benennen die zuständigen Behörde(n), die unbeschadet der Verantwortlichkeiten des Betreibers die in dieser Richtlinie festgelegten Aufgaben durchführt (durchführen), sowie gegebenenfalls die mit der technischen Unterstützung der zuständigen Behörde(n) betrauten Stellen.</w:t>
      </w:r>
    </w:p>
    <w:p>
      <w:pPr>
        <w:pStyle w:val="berschrift2"/>
      </w:pPr>
      <w:bookmarkStart w:id="18" w:name="_Toc400444587"/>
      <w:r>
        <w:t>Artikel 17</w:t>
      </w:r>
      <w:r>
        <w:br/>
        <w:t>Verbot der Weiterführung</w:t>
      </w:r>
      <w:bookmarkEnd w:id="18"/>
    </w:p>
    <w:p>
      <w:pPr>
        <w:pStyle w:val="GesAbsatz"/>
      </w:pPr>
      <w:r>
        <w:t>(1) Die Mitgliedstaaten untersagen die Weiterführung oder Inbetriebnahme eines Betriebs, einer Anlage oder eines Lagers oder von Teilen davon, wenn die von dem Betreiber getroffenen Maßnahmen zur Verhütung schwerer Unfälle und der Begrenzung der Unfallfolgen eindeutig unzureichend sind.</w:t>
      </w:r>
    </w:p>
    <w:p>
      <w:pPr>
        <w:pStyle w:val="GesAbsatz"/>
      </w:pPr>
      <w:r>
        <w:t>Die Mitgliedstaaten können die Weiterführung oder Inbetriebnahme eines Betriebs, einer Anlage oder eines Lagers oder von Teilen davon untersagen, wenn der Betreiber die nach dieser Richtlinie erforderlichen Mitteilungen. Berichte oder sonstigen Informationen nicht fristgerecht übermittelt hat.</w:t>
      </w:r>
    </w:p>
    <w:p>
      <w:pPr>
        <w:pStyle w:val="GesAbsatz"/>
      </w:pPr>
      <w:r>
        <w:t>(2) Die Mitgliedstaaten sorgen dafür, dass die Betreiber gegen die Untersagungsverfügung einer zuständigen Behörde nach Absatz 1 bei einer geeigneten Stelle Rechtsmittel gemäß einzelstaatlichem Recht und Verfahren einlegen können.</w:t>
      </w:r>
    </w:p>
    <w:p>
      <w:pPr>
        <w:pStyle w:val="berschrift2"/>
      </w:pPr>
      <w:bookmarkStart w:id="19" w:name="_Toc400444588"/>
      <w:r>
        <w:t>Artikel 18</w:t>
      </w:r>
      <w:r>
        <w:br/>
        <w:t>Inspektion</w:t>
      </w:r>
      <w:bookmarkEnd w:id="19"/>
    </w:p>
    <w:p>
      <w:pPr>
        <w:pStyle w:val="GesAbsatz"/>
      </w:pPr>
      <w:r>
        <w:t>(1) Die Mitgliedstaaten sorgen dafür, dass die zuständigen Behörden ein der Art des betreffenden Betriebs angemessenes System von Inspektionen oder sonstigen Kontrollmaßnahmen einrichten. Diese Inspektionen oder Kontrollmaßnahmen sind unabhängig vom Erhalt des Sicherheitsberichts oder anderer Berichte. Die Inspektionen oder sonstigen Kontrollmaßnahmen haben eine planmäßige und systematische Prüfung der betriebstechnischen, organisatorischen und managementspezifischen Systeme des Betriebs zu ermöglichen, mit der sich die zuständige Behörde insbesondere vergewissert,</w:t>
      </w:r>
    </w:p>
    <w:p>
      <w:pPr>
        <w:pStyle w:val="GesAbsatz"/>
        <w:ind w:left="426" w:hanging="426"/>
      </w:pPr>
      <w:r>
        <w:t>-</w:t>
      </w:r>
      <w:r>
        <w:tab/>
        <w:t>dass der Betreiber nachweisen kann, dass er im Zusammenhang mit den verschiedenen betriebsspezifischen Tätigkeiten die zur Verhütung schwerer Unfälle erforderlichen Maßnahmen ergriffen hat,</w:t>
      </w:r>
    </w:p>
    <w:p>
      <w:pPr>
        <w:pStyle w:val="GesAbsatz"/>
        <w:ind w:left="426" w:hanging="426"/>
      </w:pPr>
      <w:r>
        <w:t>-</w:t>
      </w:r>
      <w:r>
        <w:tab/>
        <w:t>dass der Betreiber nachweisen kann, dass er angemessene Mittel zur Begrenzung der Folgen schwerer Unfälle innerhalb und außerhalb des Betriebsgeländes vorgesehen hat,</w:t>
      </w:r>
    </w:p>
    <w:p>
      <w:pPr>
        <w:pStyle w:val="GesAbsatz"/>
        <w:ind w:left="426" w:hanging="426"/>
      </w:pPr>
      <w:r>
        <w:lastRenderedPageBreak/>
        <w:t>-</w:t>
      </w:r>
      <w:r>
        <w:tab/>
        <w:t>dass die mit dem Sicherheitsbericht oder mit anderen Berichten erhaltenen Angaben und Informationen den Gegebenheiten in dem Betrieb genau entsprechen,</w:t>
      </w:r>
    </w:p>
    <w:p>
      <w:pPr>
        <w:pStyle w:val="GesAbsatz"/>
      </w:pPr>
      <w:r>
        <w:t>-</w:t>
      </w:r>
      <w:r>
        <w:tab/>
        <w:t>dass die Informationen gemäß Artikel 13 Absatz 1 der Öffentlichkeit zugänglich gemacht worden sind.</w:t>
      </w:r>
    </w:p>
    <w:p>
      <w:pPr>
        <w:pStyle w:val="GesAbsatz"/>
      </w:pPr>
      <w:r>
        <w:t>(2) Das in Absatz 1 genannte Inspektionssystem muss folgende Anforderungen erfüllen:</w:t>
      </w:r>
    </w:p>
    <w:p>
      <w:pPr>
        <w:pStyle w:val="GesAbsatz"/>
        <w:ind w:left="426" w:hanging="426"/>
      </w:pPr>
      <w:r>
        <w:t>a)</w:t>
      </w:r>
      <w:r>
        <w:tab/>
        <w:t>Für alle Betriebe muss ein Inspektionsprogramm erstellt werden. Jeder unter Artikel 9 fallende Betrieb wird nach dem Programm zumindest alle 12 Monate einer Vor-Ort-Inspektion durch die zuständige Behörde unterzogen, es sei denn, die zuständige Behörde hat ein Inspektionsprogramm aufgrund einer systematischen Bewertung der Gefahren schwerer Unfälle des jeweiligen Betriebs erstellt;</w:t>
      </w:r>
    </w:p>
    <w:p>
      <w:pPr>
        <w:pStyle w:val="GesAbsatz"/>
        <w:ind w:left="426" w:hanging="426"/>
      </w:pPr>
      <w:r>
        <w:t>b)</w:t>
      </w:r>
      <w:r>
        <w:tab/>
        <w:t>nach jeder Inspektion erstellt die zuständige Behörde einen Bericht;</w:t>
      </w:r>
    </w:p>
    <w:p>
      <w:pPr>
        <w:pStyle w:val="GesAbsatz"/>
        <w:ind w:left="426" w:hanging="426"/>
      </w:pPr>
      <w:r>
        <w:t>c)</w:t>
      </w:r>
      <w:r>
        <w:tab/>
        <w:t>gegebenenfalls werden die Folgemaßnahmen jeder von der zuständigen Behörde durchgeführten Inspektion binnen angemessener Frist nach der Inspektion zusammen mit der Betriebsleitung überprüft.</w:t>
      </w:r>
    </w:p>
    <w:p>
      <w:pPr>
        <w:pStyle w:val="GesAbsatz"/>
      </w:pPr>
      <w:r>
        <w:t>(3) Die zuständige Behörde kann von dem Betreiber verlangen, alle zusätzlichen Informationen zu liefern, die notwendig sind, damit die Behörde die Möglichkeit des Eintritts eines schweren Unfalls in voller Sachkenntnis beurteilen und die mögliche erhöhte Wahrscheinlichkeit und/oder die mögliche Vergrößerung der Folgen schwerer Unfälle ermitteln, einen externen Notfallplan erstellen und Stoffe, die aufgrund ihrer physikalischen Form, ihrer besonderen Merkmale oder ihres Standorts zusätzliche Vorkehrungen erfordern, berücksichtigen kann.</w:t>
      </w:r>
    </w:p>
    <w:p>
      <w:pPr>
        <w:pStyle w:val="berschrift2"/>
      </w:pPr>
      <w:bookmarkStart w:id="20" w:name="_Toc400444589"/>
      <w:r>
        <w:t>Artikel 19</w:t>
      </w:r>
      <w:r>
        <w:br/>
        <w:t>Informationsaustausch und Informationssystem</w:t>
      </w:r>
      <w:bookmarkEnd w:id="20"/>
    </w:p>
    <w:p>
      <w:pPr>
        <w:pStyle w:val="GesAbsatz"/>
      </w:pPr>
      <w:r>
        <w:t>(1) Die Mitgliedstaaten und die Kommission tauschen Informationen über die bei der Verhütung schwerer Unfälle und der Begrenzung ihrer Folgen gesammelten Erfahrungen aus. Diese Informationen beziehen sich insbesondere auf die Wirkungsweise der in dieser Richtlinie vorgesehenen Bestimmungen.</w:t>
      </w:r>
    </w:p>
    <w:p>
      <w:pPr>
        <w:pStyle w:val="GesAbsatz"/>
        <w:rPr>
          <w:color w:val="auto"/>
        </w:rPr>
      </w:pPr>
      <w:r>
        <w:rPr>
          <w:color w:val="auto"/>
        </w:rPr>
        <w:t>(1a) Bezüglich der unter diese Richtlinie fallenden Betriebe teilen die Mitgliedstaaten der Kommission zumindest folgende Informationen mit:</w:t>
      </w:r>
    </w:p>
    <w:p>
      <w:pPr>
        <w:pStyle w:val="GesAbsatz"/>
        <w:rPr>
          <w:color w:val="auto"/>
        </w:rPr>
      </w:pPr>
      <w:r>
        <w:rPr>
          <w:color w:val="auto"/>
        </w:rPr>
        <w:t>a)</w:t>
      </w:r>
      <w:r>
        <w:rPr>
          <w:color w:val="auto"/>
        </w:rPr>
        <w:tab/>
        <w:t>Name oder Firma des Betreibers sowie vollständige Anschrift des betreffenden Betriebs und</w:t>
      </w:r>
    </w:p>
    <w:p>
      <w:pPr>
        <w:pStyle w:val="GesAbsatz"/>
        <w:rPr>
          <w:color w:val="auto"/>
        </w:rPr>
      </w:pPr>
      <w:r>
        <w:rPr>
          <w:color w:val="auto"/>
        </w:rPr>
        <w:t>b)</w:t>
      </w:r>
      <w:r>
        <w:rPr>
          <w:color w:val="auto"/>
        </w:rPr>
        <w:tab/>
        <w:t>Tätigkeit oder Tätigkeiten des Betriebs.</w:t>
      </w:r>
    </w:p>
    <w:p>
      <w:pPr>
        <w:pStyle w:val="GesAbsatz"/>
        <w:rPr>
          <w:color w:val="auto"/>
        </w:rPr>
      </w:pPr>
      <w:r>
        <w:rPr>
          <w:color w:val="auto"/>
        </w:rPr>
        <w:t>Die Kommission errichtet eine Datenbank, die die von den Mitgliedstaaten übermittelten Informationen enthält, und hält diese auf dem neuesten Stand. Der Zugang zu der Datenbank ist Personen vorbehalten, die hierzu von der Kommission oder den zuständigen Behörden der Mitgliedstaaten ermächtigt worden sind.</w:t>
      </w:r>
    </w:p>
    <w:p>
      <w:pPr>
        <w:pStyle w:val="GesAbsatz"/>
      </w:pPr>
      <w:r>
        <w:t>(2) Die Kommission errichtet ein den Mitgliedstaaten zur Verfügung gehaltenes Registrier- und Informationssystem, das insbesondere ausführliche Angaben über die im Hoheitsgebiet der Mitgliedstaaten eingetretenen schweren Unfälle enthält, mit dem Ziel</w:t>
      </w:r>
    </w:p>
    <w:p>
      <w:pPr>
        <w:pStyle w:val="GesAbsatz"/>
        <w:ind w:left="426" w:hanging="426"/>
      </w:pPr>
      <w:r>
        <w:t>a)</w:t>
      </w:r>
      <w:r>
        <w:tab/>
        <w:t>einer raschen Übermittlung der von den Mitgliedstaaten gemäß Artikel 15 Absatz 1 gelieferten Informationen an sämtliche zuständigen Behörden;</w:t>
      </w:r>
    </w:p>
    <w:p>
      <w:pPr>
        <w:pStyle w:val="GesAbsatz"/>
        <w:ind w:left="426" w:hanging="426"/>
      </w:pPr>
      <w:r>
        <w:t>b)</w:t>
      </w:r>
      <w:r>
        <w:tab/>
        <w:t>der Weitergabe der Analysen der Unfallursachen und der daraus gewonnenen Erkenntnisse an die zuständigen Behörden;</w:t>
      </w:r>
    </w:p>
    <w:p>
      <w:pPr>
        <w:pStyle w:val="GesAbsatz"/>
        <w:ind w:left="426" w:hanging="426"/>
      </w:pPr>
      <w:r>
        <w:t>c)</w:t>
      </w:r>
      <w:r>
        <w:tab/>
        <w:t>einer Unterrichtung der zuständigen Behörden über getroffene Verhütungsmaßnahmen;</w:t>
      </w:r>
    </w:p>
    <w:p>
      <w:pPr>
        <w:pStyle w:val="GesAbsatz"/>
        <w:ind w:left="426" w:hanging="426"/>
      </w:pPr>
      <w:r>
        <w:t>d)</w:t>
      </w:r>
      <w:r>
        <w:tab/>
        <w:t>der Bereitstellung von Informationen über Stellen, die hinsichtlich des Auftretens und der Verhütung von schweren Unfällen sowie der Begrenzung von Unfallfolgen informieren und beraten können.</w:t>
      </w:r>
    </w:p>
    <w:p>
      <w:pPr>
        <w:pStyle w:val="GesAbsatz"/>
      </w:pPr>
      <w:r>
        <w:t>Das Registrier- und Informationssystem enthält mindestens folgende Angaben:</w:t>
      </w:r>
    </w:p>
    <w:p>
      <w:pPr>
        <w:pStyle w:val="GesAbsatz"/>
      </w:pPr>
      <w:r>
        <w:t>a)</w:t>
      </w:r>
      <w:r>
        <w:tab/>
        <w:t>die von den Mitgliedstaaten gemäß Artikel 15 Absatz 1 gelieferten Informationen;</w:t>
      </w:r>
    </w:p>
    <w:p>
      <w:pPr>
        <w:pStyle w:val="GesAbsatz"/>
      </w:pPr>
      <w:r>
        <w:t>b)</w:t>
      </w:r>
      <w:r>
        <w:tab/>
        <w:t>eine Analyse der Unfallursachen;</w:t>
      </w:r>
    </w:p>
    <w:p>
      <w:pPr>
        <w:pStyle w:val="GesAbsatz"/>
      </w:pPr>
      <w:r>
        <w:t>c)</w:t>
      </w:r>
      <w:r>
        <w:tab/>
        <w:t>die aus den Unfällen gewonnenen Erkenntnisse;</w:t>
      </w:r>
    </w:p>
    <w:p>
      <w:pPr>
        <w:pStyle w:val="GesAbsatz"/>
      </w:pPr>
      <w:r>
        <w:t>d)</w:t>
      </w:r>
      <w:r>
        <w:tab/>
        <w:t>die zur Verhütung der Wiederholung eines solchen Unfalls erforderlichen vorbeugenden Maßnahmen.</w:t>
      </w:r>
    </w:p>
    <w:p>
      <w:pPr>
        <w:pStyle w:val="GesAbsatz"/>
      </w:pPr>
      <w:r>
        <w:t>(3) Der Zugang zu dem Registrier- und Informationssystem steht unbeschadet des Artikels 20 allen Regierungsstellen der Mitgliedstaaten, Industrie- und Handelsverbänden, Gewerkschaften, Nichtregierungsorganisationen im Bereich des Umweltschutzes und sonstigen im Umweltschutz tätigen internationalen Organisationen oder Forschungseinrichtungen offen.</w:t>
      </w:r>
    </w:p>
    <w:p>
      <w:pPr>
        <w:pStyle w:val="GesAbsatz"/>
      </w:pPr>
      <w:r>
        <w:t xml:space="preserve">(4) Die Mitgliedstaaten übermitteln der Kommission alle drei Jahre entsprechend dem Verfahren der Richtlinie 91/692/EWG des Rates vom 23. Dezember 1991 zur Vereinheitlichung und zweckmäßigen Gestaltung der </w:t>
      </w:r>
      <w:r>
        <w:lastRenderedPageBreak/>
        <w:t>Berichte über die Durchführung bestimmter Umweltschutzrichtlinien</w:t>
      </w:r>
      <w:r>
        <w:rPr>
          <w:rStyle w:val="Funotenzeichen"/>
        </w:rPr>
        <w:footnoteReference w:id="8"/>
      </w:r>
      <w:r>
        <w:rPr>
          <w:sz w:val="16"/>
          <w:szCs w:val="16"/>
        </w:rPr>
        <w:t xml:space="preserve"> </w:t>
      </w:r>
      <w:r>
        <w:t>einen Bericht über die unter die Artikel 6 und 9 fallenden Betriebe. Die Kommission veröffentlicht alle drei Jahre eine Zusammenfassung dieser Informationen.</w:t>
      </w:r>
    </w:p>
    <w:p>
      <w:pPr>
        <w:pStyle w:val="berschrift2"/>
      </w:pPr>
      <w:bookmarkStart w:id="21" w:name="_Toc400444590"/>
      <w:r>
        <w:t>Artikel 20</w:t>
      </w:r>
      <w:r>
        <w:br/>
        <w:t>Vertraulichkeit</w:t>
      </w:r>
      <w:bookmarkEnd w:id="21"/>
    </w:p>
    <w:p>
      <w:pPr>
        <w:pStyle w:val="GesAbsatz"/>
      </w:pPr>
      <w:r>
        <w:t>(1) Die Mitgliedstaaten veranlassen, dass die zuständigen Behörden im Interesse der Transparenz die gemäß dieser Richtlinie eingegangenen Informationen jeder natürlichen oder juristischen Person auf Antrag zur Verfügung stellen müssen.</w:t>
      </w:r>
    </w:p>
    <w:p>
      <w:pPr>
        <w:pStyle w:val="GesAbsatz"/>
      </w:pPr>
      <w:r>
        <w:t>Die bei den zuständigen Behörden und der Kommission eingegangenen Informationen dürfen, sofern die einzelstaatlichen Rechtsvorschriften dies vorsehen, vertraulich behandelt werden, sofern sie folgendes berühren:</w:t>
      </w:r>
    </w:p>
    <w:p>
      <w:pPr>
        <w:pStyle w:val="GesAbsatz"/>
      </w:pPr>
      <w:r>
        <w:t>-</w:t>
      </w:r>
      <w:r>
        <w:tab/>
        <w:t>die Vertraulichkeit der Beratungen der zuständigen Behörden und der Kommission;</w:t>
      </w:r>
    </w:p>
    <w:p>
      <w:pPr>
        <w:pStyle w:val="GesAbsatz"/>
      </w:pPr>
      <w:r>
        <w:t>-</w:t>
      </w:r>
      <w:r>
        <w:tab/>
        <w:t>die Vertraulichkeit der internationalen Beziehungen und der Landesverteidigung;</w:t>
      </w:r>
    </w:p>
    <w:p>
      <w:pPr>
        <w:pStyle w:val="GesAbsatz"/>
      </w:pPr>
      <w:r>
        <w:t>-</w:t>
      </w:r>
      <w:r>
        <w:tab/>
        <w:t>die öffentliche Sicherheit;</w:t>
      </w:r>
    </w:p>
    <w:p>
      <w:pPr>
        <w:pStyle w:val="GesAbsatz"/>
      </w:pPr>
      <w:r>
        <w:t>-</w:t>
      </w:r>
      <w:r>
        <w:tab/>
        <w:t>das Untersuchungsgeheimnis oder die Vertraulichkeit eines laufenden Gerichtsverfahrens;</w:t>
      </w:r>
    </w:p>
    <w:p>
      <w:pPr>
        <w:pStyle w:val="GesAbsatz"/>
      </w:pPr>
      <w:r>
        <w:t>-</w:t>
      </w:r>
      <w:r>
        <w:tab/>
        <w:t>Geschäfts- und Industriegeheimnisse einschließlich Fragen des geistigen Eigentums;</w:t>
      </w:r>
    </w:p>
    <w:p>
      <w:pPr>
        <w:pStyle w:val="GesAbsatz"/>
      </w:pPr>
      <w:r>
        <w:t>-</w:t>
      </w:r>
      <w:r>
        <w:tab/>
        <w:t>die Vertraulichkeit von Daten und/oder Akten, die das Privatleben betreffen;</w:t>
      </w:r>
    </w:p>
    <w:p>
      <w:pPr>
        <w:pStyle w:val="GesAbsatz"/>
      </w:pPr>
      <w:r>
        <w:t>-</w:t>
      </w:r>
      <w:r>
        <w:tab/>
        <w:t>von einem Dritten erbrachte Daten, falls dieser deren vertrauliche Behandlung verlangt.</w:t>
      </w:r>
    </w:p>
    <w:p>
      <w:pPr>
        <w:pStyle w:val="GesAbsatz"/>
      </w:pPr>
      <w:r>
        <w:t>(2) Diese Richtlinie hindert die Mitgliedstaaten nicht daran, mit dritten Staaten Abkommen über den Austausch der ihnen intern vorliegenden Informationen zu schließen.</w:t>
      </w:r>
    </w:p>
    <w:p>
      <w:pPr>
        <w:pStyle w:val="berschrift2"/>
      </w:pPr>
      <w:bookmarkStart w:id="22" w:name="_Toc400444591"/>
      <w:r>
        <w:t>Artikel 21</w:t>
      </w:r>
      <w:r>
        <w:br/>
        <w:t>Aufgaben des Ausschusses</w:t>
      </w:r>
      <w:bookmarkEnd w:id="22"/>
    </w:p>
    <w:p>
      <w:pPr>
        <w:pStyle w:val="GesAbsatz"/>
      </w:pPr>
      <w:r>
        <w:t>(1) Die Kommission passt die in Artikel 9 Absatz 6 Buchstabe b genannten Kriterien und die Anhänge II bis VI an den technischen Fortschritt an.</w:t>
      </w:r>
    </w:p>
    <w:p>
      <w:pPr>
        <w:pStyle w:val="GesAbsatz"/>
      </w:pPr>
      <w:r>
        <w:t>Diese Maßnahmen zur Änderung nicht wesentlicher Bestimmungen dieser Richtlinie werden nach dem in Artikel 22 Absatz 3 genannten Regelungsverfahren mit Kontrolle erlassen.</w:t>
      </w:r>
    </w:p>
    <w:p>
      <w:pPr>
        <w:pStyle w:val="GesAbsatz"/>
      </w:pPr>
      <w:r>
        <w:t>(2) Die Maßnahme der Erstellung des Meldevordrucks gemäß Artikel 15 Absatz 2 wird nach dem in Artikel 22 Absatz 2 genannten Regelungsverfahren erlassen.</w:t>
      </w:r>
    </w:p>
    <w:p>
      <w:pPr>
        <w:pStyle w:val="berschrift2"/>
      </w:pPr>
      <w:bookmarkStart w:id="23" w:name="_Toc400444592"/>
      <w:r>
        <w:t>Artikel 22</w:t>
      </w:r>
      <w:r>
        <w:br/>
        <w:t>Ausschussverfahren</w:t>
      </w:r>
      <w:bookmarkEnd w:id="23"/>
    </w:p>
    <w:p>
      <w:pPr>
        <w:pStyle w:val="GesAbsatz"/>
        <w:rPr>
          <w:color w:val="auto"/>
        </w:rPr>
      </w:pPr>
      <w:r>
        <w:rPr>
          <w:color w:val="auto"/>
        </w:rPr>
        <w:t>(1) Die Kommission wird von einem Ausschuss unterstützt.</w:t>
      </w:r>
    </w:p>
    <w:p>
      <w:pPr>
        <w:pStyle w:val="GesAbsatz"/>
        <w:rPr>
          <w:color w:val="auto"/>
        </w:rPr>
      </w:pPr>
      <w:r>
        <w:rPr>
          <w:color w:val="auto"/>
        </w:rPr>
        <w:t>(2) Wird auf diesen Absatz Bezug genommen, so gelten die Artikel 5 und 7 des Beschlusses 1999/468/EG unter Beachtung von dessen Artikel 8.</w:t>
      </w:r>
    </w:p>
    <w:p>
      <w:pPr>
        <w:pStyle w:val="GesAbsatz"/>
        <w:rPr>
          <w:color w:val="auto"/>
        </w:rPr>
      </w:pPr>
      <w:r>
        <w:rPr>
          <w:color w:val="auto"/>
        </w:rPr>
        <w:t>Der Zeitraum nach Artikel 5 Absatz 6 des Beschlusses 1999/468/EG wird auf drei Monate festgesetzt.</w:t>
      </w:r>
    </w:p>
    <w:p>
      <w:pPr>
        <w:pStyle w:val="GesAbsatz"/>
        <w:rPr>
          <w:color w:val="auto"/>
        </w:rPr>
      </w:pPr>
      <w:r>
        <w:rPr>
          <w:color w:val="auto"/>
        </w:rPr>
        <w:t>(3) Wird auf diesen Absatz Bezug genommen, so gelten Artikel 5a Absätze 1 bis 4 und Artikel 7 des Beschlusses 1999/468/EG unter Beachtung von dessen Artikel 8.</w:t>
      </w:r>
    </w:p>
    <w:p>
      <w:pPr>
        <w:pStyle w:val="berschrift2"/>
      </w:pPr>
      <w:bookmarkStart w:id="24" w:name="_Toc400444593"/>
      <w:r>
        <w:t>Artikel 23</w:t>
      </w:r>
      <w:r>
        <w:br/>
        <w:t>Aufhebung der Richtlinie 82/501/EWG</w:t>
      </w:r>
      <w:bookmarkEnd w:id="24"/>
    </w:p>
    <w:p>
      <w:pPr>
        <w:pStyle w:val="GesAbsatz"/>
      </w:pPr>
      <w:r>
        <w:t>(1) Die Richtlinie 82/501/EWG wird 24 Monate nach dem Inkrafttreten der vorliegenden Richtlinie aufgehoben.</w:t>
      </w:r>
    </w:p>
    <w:p>
      <w:pPr>
        <w:pStyle w:val="GesAbsatz"/>
      </w:pPr>
      <w:r>
        <w:t>(2) Die Bestimmungen über die Mitteilungen, Notfallpläne und Informationen der Öffentlichkeit, die nach der Richtlinie 82/501/EWG vorzulegen oder zu erstellen sind, gelten bis zu dem Zeitpunkt, zu dem diese Bestimmungen durch die entsprechenden Bestimmungen der vorliegenden Richtlinie ersetzt werden.</w:t>
      </w:r>
    </w:p>
    <w:p>
      <w:pPr>
        <w:pStyle w:val="berschrift2"/>
      </w:pPr>
      <w:bookmarkStart w:id="25" w:name="_Toc400444594"/>
      <w:r>
        <w:lastRenderedPageBreak/>
        <w:t>Artikel 24</w:t>
      </w:r>
      <w:r>
        <w:br/>
        <w:t>Beginn der Anwendung</w:t>
      </w:r>
      <w:bookmarkEnd w:id="25"/>
    </w:p>
    <w:p>
      <w:pPr>
        <w:pStyle w:val="GesAbsatz"/>
      </w:pPr>
      <w:r>
        <w:t>(1) Die Mitgliedstaaten erlassen die erforderlichen Rechts- und Verwaltungsvorschriften, um dieser Richtlinie spätestens 24 Monate nach ihrem Inkrafttreten nachzukommen. Sie setzen die Kommission unverzüglich davon in Kenntnis.</w:t>
      </w:r>
    </w:p>
    <w:p>
      <w:pPr>
        <w:pStyle w:val="GesAbsatz"/>
      </w:pPr>
      <w:r>
        <w:t>Wenn die Mitgliedstaaten diese Vorschriften erlassen, nehmen sie in den Vorschriften selbst oder durch einen Hinweis bei der amtlichen Veröffentlichung auf diese Richtlinie Bezug. Die Mitgliedstaaten regeln die Einzelheiten der Bezugnahme.</w:t>
      </w:r>
    </w:p>
    <w:p>
      <w:pPr>
        <w:pStyle w:val="GesAbsatz"/>
      </w:pPr>
      <w:r>
        <w:t>(2) Die Mitgliedstaaten übermitteln der Kommission den Wortlaut der wichtigsten innerstaatlichen Rechtsvorschriften, die sie auf dem unter diese Richtlinie fallenden Gebiet erlassen.</w:t>
      </w:r>
    </w:p>
    <w:p>
      <w:pPr>
        <w:pStyle w:val="berschrift2"/>
      </w:pPr>
      <w:bookmarkStart w:id="26" w:name="_Toc400444595"/>
      <w:r>
        <w:t>Artikel 25</w:t>
      </w:r>
      <w:r>
        <w:br/>
        <w:t>Inkrafttreten</w:t>
      </w:r>
      <w:bookmarkEnd w:id="26"/>
    </w:p>
    <w:p>
      <w:pPr>
        <w:pStyle w:val="GesAbsatz"/>
      </w:pPr>
      <w:r>
        <w:t>Diese Richtlinie tritt am zwanzigsten Tag nach ihrer Veröffentlichung im Amtsblatt der Europäischen Gemeinschaften in Kraft.</w:t>
      </w:r>
    </w:p>
    <w:p>
      <w:pPr>
        <w:pStyle w:val="berschrift2"/>
      </w:pPr>
      <w:bookmarkStart w:id="27" w:name="_Toc400444596"/>
      <w:r>
        <w:t>Artikel 26</w:t>
      </w:r>
      <w:bookmarkEnd w:id="27"/>
    </w:p>
    <w:p>
      <w:pPr>
        <w:pStyle w:val="GesAbsatz"/>
      </w:pPr>
      <w:r>
        <w:t>Diese Richtlinie ist an die Mitgliedstaaten gerichtet.</w:t>
      </w:r>
    </w:p>
    <w:p>
      <w:pPr>
        <w:pStyle w:val="berschrift2"/>
        <w:jc w:val="left"/>
      </w:pPr>
      <w:r>
        <w:br w:type="page"/>
      </w:r>
      <w:bookmarkStart w:id="28" w:name="_Toc400444597"/>
      <w:r>
        <w:lastRenderedPageBreak/>
        <w:t>Anhang I</w:t>
      </w:r>
      <w:r>
        <w:br/>
        <w:t>Anwendbarkeit der Richtlinie</w:t>
      </w:r>
      <w:bookmarkEnd w:id="28"/>
    </w:p>
    <w:p>
      <w:pPr>
        <w:pStyle w:val="GesAbsatz"/>
        <w:rPr>
          <w:b/>
        </w:rPr>
      </w:pPr>
      <w:r>
        <w:rPr>
          <w:b/>
        </w:rPr>
        <w:t>Einleitung</w:t>
      </w:r>
    </w:p>
    <w:p>
      <w:pPr>
        <w:pStyle w:val="GesAbsatz"/>
        <w:ind w:left="426" w:hanging="426"/>
      </w:pPr>
      <w:r>
        <w:t>1.</w:t>
      </w:r>
      <w:r>
        <w:tab/>
        <w:t>Dieser Anhang betrifft das Vorhandensein von gefährlichen Stoffen in Betrieben im Sinne des Artikels 3 dieser Richtlinie und bestimmt die Anwendung der einschlägigen Artikel.</w:t>
      </w:r>
    </w:p>
    <w:p>
      <w:pPr>
        <w:pStyle w:val="GesAbsatz"/>
        <w:ind w:left="426" w:hanging="426"/>
      </w:pPr>
      <w:r>
        <w:t>2.</w:t>
      </w:r>
      <w:r>
        <w:tab/>
        <w:t>Gemische und Zubereitungen werden in der gleichen Weise behandelt wie reine Stoffe, sofern sie die Höchstkonzentrationen nicht überschreiten, die entsprechend ihren Eigenschaften in den in Teil 2 Anmerkung 1 aufgeführten einschlägigen Richtlinien oder deren letzte Anpassungen an den technischen Fortschritt festgelegt sind, es sei denn, dass eigens eine prozentuale Zusammensetzung oder eine andere Beschreibung angegeben ist.</w:t>
      </w:r>
    </w:p>
    <w:p>
      <w:pPr>
        <w:pStyle w:val="GesAbsatz"/>
        <w:ind w:left="426" w:hanging="426"/>
      </w:pPr>
      <w:r>
        <w:t>3.</w:t>
      </w:r>
      <w:r>
        <w:tab/>
        <w:t>Die nachstehend angegebenen Mengenschwellen gelten je Betrieb.</w:t>
      </w:r>
    </w:p>
    <w:p>
      <w:pPr>
        <w:pStyle w:val="GesAbsatz"/>
        <w:ind w:left="426" w:hanging="426"/>
      </w:pPr>
      <w:r>
        <w:t>4.</w:t>
      </w:r>
      <w:r>
        <w:tab/>
        <w:t>Die für die Anwendung der einschlägigen Artikel zu berücksichtigenden Mengen sind die Höchstmengen, die zu irgendeinem Zeitpunkt vorhanden sind oder vorhanden sein können. Gefährliche Stoffe, die in einem Betrieb nur in einer Menge von höchstens 2 % der relevanten Grenzmenge vorhanden sind, bleiben bei der Berechnung der vorhandenen Gesamtmenge unberücksichtigt, wenn sie sich innerhalb eines Betriebs an einem Ort befinden, an dem sie nicht als Auslöser eines schweren Unfalls an einem anderen Ort des Betriebs wirken können.</w:t>
      </w:r>
    </w:p>
    <w:p>
      <w:pPr>
        <w:pStyle w:val="GesAbsatz"/>
        <w:ind w:left="426" w:hanging="426"/>
      </w:pPr>
      <w:r>
        <w:t>5.</w:t>
      </w:r>
      <w:r>
        <w:tab/>
        <w:t>Soweit zutreffend, gelten die Regeln in Teil 2 Anmerkung 4 für das Addieren von Mengen gefährlicher Stoffe oder von Kategorien gefährlicher Stoffe.</w:t>
      </w:r>
    </w:p>
    <w:p>
      <w:pPr>
        <w:pStyle w:val="GesAbsatz"/>
        <w:ind w:left="426" w:hanging="426"/>
        <w:rPr>
          <w:color w:val="auto"/>
        </w:rPr>
      </w:pPr>
      <w:r>
        <w:rPr>
          <w:color w:val="auto"/>
        </w:rPr>
        <w:t>6.</w:t>
      </w:r>
      <w:r>
        <w:rPr>
          <w:color w:val="auto"/>
        </w:rPr>
        <w:tab/>
        <w:t>Im Sinne dieser Richtlinie ist Gas jeder Stoff, der bei einer Temperatur von 20 °C einen absoluten Dampfdruck von mindestens 101,3 kPa hat.</w:t>
      </w:r>
    </w:p>
    <w:p>
      <w:pPr>
        <w:pStyle w:val="GesAbsatz"/>
        <w:ind w:left="426" w:hanging="426"/>
        <w:rPr>
          <w:color w:val="auto"/>
        </w:rPr>
      </w:pPr>
      <w:r>
        <w:rPr>
          <w:color w:val="auto"/>
        </w:rPr>
        <w:t>7.</w:t>
      </w:r>
      <w:r>
        <w:rPr>
          <w:color w:val="auto"/>
        </w:rPr>
        <w:tab/>
        <w:t>Im Sinne dieser Richtlinie ist Flüssigkeit jeder Stoff, der nicht als Gas definiert ist und sich bei einer Temperatur von 20 °C und einem Standarddruck von 101,3 kPa nicht im festen Zustand befindet.</w:t>
      </w:r>
    </w:p>
    <w:p>
      <w:pPr>
        <w:pStyle w:val="GesAbsatz"/>
        <w:jc w:val="left"/>
        <w:rPr>
          <w:rFonts w:cs="Arial"/>
          <w:b/>
        </w:rPr>
      </w:pPr>
      <w:r>
        <w:rPr>
          <w:rFonts w:cs="Arial"/>
          <w:b/>
        </w:rPr>
        <w:t>Teil 1</w:t>
      </w:r>
    </w:p>
    <w:p>
      <w:pPr>
        <w:pStyle w:val="GesAbsatz"/>
        <w:jc w:val="left"/>
        <w:rPr>
          <w:rFonts w:cs="Arial"/>
          <w:b/>
          <w:bCs/>
        </w:rPr>
      </w:pPr>
      <w:r>
        <w:rPr>
          <w:rFonts w:cs="Arial"/>
          <w:b/>
          <w:bCs/>
        </w:rPr>
        <w:t>Namentlich aufgeführte Stoffe</w:t>
      </w:r>
    </w:p>
    <w:p>
      <w:pPr>
        <w:pStyle w:val="GesAbsatz"/>
        <w:rPr>
          <w:rFonts w:ascii="TimesNewRoman,Bold" w:hAnsi="TimesNewRoman,Bold" w:cs="TimesNewRoman,Bold"/>
        </w:rPr>
      </w:pPr>
      <w:r>
        <w:t>Fällt ein in Teil 1 aufgeführter Stoff/eine in Teil 1 aufgeführte Gruppe von Stoffen auch unter eine in Teil 2 aufgeführte Kategorie von Stoffen, so sind die in Teil 1 festgelegten Mengenschwellen anzuwenden.</w:t>
      </w:r>
    </w:p>
    <w:p>
      <w:pPr>
        <w:pStyle w:val="GesAbsatz"/>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2268"/>
        <w:gridCol w:w="2693"/>
      </w:tblGrid>
      <w:tr>
        <w:trPr>
          <w:trHeight w:val="350"/>
          <w:tblHeader/>
        </w:trPr>
        <w:tc>
          <w:tcPr>
            <w:tcW w:w="4786" w:type="dxa"/>
          </w:tcPr>
          <w:p>
            <w:pPr>
              <w:pStyle w:val="GesAbsatz"/>
              <w:jc w:val="center"/>
              <w:rPr>
                <w:b/>
                <w:color w:val="auto"/>
              </w:rPr>
            </w:pPr>
            <w:r>
              <w:rPr>
                <w:b/>
                <w:color w:val="auto"/>
              </w:rPr>
              <w:t>Spalte 1</w:t>
            </w:r>
          </w:p>
        </w:tc>
        <w:tc>
          <w:tcPr>
            <w:tcW w:w="2268" w:type="dxa"/>
          </w:tcPr>
          <w:p>
            <w:pPr>
              <w:pStyle w:val="GesAbsatz"/>
              <w:jc w:val="center"/>
              <w:rPr>
                <w:b/>
                <w:color w:val="auto"/>
              </w:rPr>
            </w:pPr>
            <w:r>
              <w:rPr>
                <w:b/>
                <w:color w:val="auto"/>
              </w:rPr>
              <w:t>Spalte 2</w:t>
            </w:r>
          </w:p>
        </w:tc>
        <w:tc>
          <w:tcPr>
            <w:tcW w:w="2693" w:type="dxa"/>
          </w:tcPr>
          <w:p>
            <w:pPr>
              <w:pStyle w:val="GesAbsatz"/>
              <w:jc w:val="center"/>
              <w:rPr>
                <w:b/>
                <w:color w:val="auto"/>
              </w:rPr>
            </w:pPr>
            <w:r>
              <w:rPr>
                <w:b/>
                <w:color w:val="auto"/>
              </w:rPr>
              <w:t>Spalte 3</w:t>
            </w:r>
          </w:p>
        </w:tc>
      </w:tr>
      <w:tr>
        <w:trPr>
          <w:trHeight w:val="362"/>
          <w:tblHeader/>
        </w:trPr>
        <w:tc>
          <w:tcPr>
            <w:tcW w:w="4786" w:type="dxa"/>
            <w:vMerge w:val="restart"/>
            <w:vAlign w:val="center"/>
          </w:tcPr>
          <w:p>
            <w:pPr>
              <w:pStyle w:val="GesAbsatz"/>
              <w:jc w:val="center"/>
              <w:rPr>
                <w:b/>
                <w:color w:val="auto"/>
              </w:rPr>
            </w:pPr>
            <w:r>
              <w:rPr>
                <w:b/>
                <w:color w:val="auto"/>
              </w:rPr>
              <w:t>Gefährliche Stoffe</w:t>
            </w:r>
          </w:p>
        </w:tc>
        <w:tc>
          <w:tcPr>
            <w:tcW w:w="4961" w:type="dxa"/>
            <w:gridSpan w:val="2"/>
          </w:tcPr>
          <w:p>
            <w:pPr>
              <w:pStyle w:val="GesAbsatz"/>
              <w:jc w:val="center"/>
              <w:rPr>
                <w:b/>
                <w:color w:val="auto"/>
              </w:rPr>
            </w:pPr>
            <w:r>
              <w:rPr>
                <w:b/>
                <w:color w:val="auto"/>
              </w:rPr>
              <w:t>Mengenschwellen (t) für die Anwendung von</w:t>
            </w:r>
          </w:p>
        </w:tc>
      </w:tr>
      <w:tr>
        <w:trPr>
          <w:trHeight w:val="333"/>
          <w:tblHeader/>
        </w:trPr>
        <w:tc>
          <w:tcPr>
            <w:tcW w:w="4786" w:type="dxa"/>
            <w:vMerge/>
          </w:tcPr>
          <w:p>
            <w:pPr>
              <w:pStyle w:val="GesAbsatz"/>
              <w:jc w:val="left"/>
              <w:rPr>
                <w:b/>
                <w:color w:val="auto"/>
              </w:rPr>
            </w:pPr>
          </w:p>
        </w:tc>
        <w:tc>
          <w:tcPr>
            <w:tcW w:w="2268" w:type="dxa"/>
          </w:tcPr>
          <w:p>
            <w:pPr>
              <w:pStyle w:val="GesAbsatz"/>
              <w:jc w:val="center"/>
              <w:rPr>
                <w:b/>
                <w:color w:val="auto"/>
              </w:rPr>
            </w:pPr>
            <w:r>
              <w:rPr>
                <w:b/>
                <w:color w:val="auto"/>
              </w:rPr>
              <w:t>Artikel 6 und 7</w:t>
            </w:r>
          </w:p>
        </w:tc>
        <w:tc>
          <w:tcPr>
            <w:tcW w:w="2693" w:type="dxa"/>
          </w:tcPr>
          <w:p>
            <w:pPr>
              <w:pStyle w:val="GesAbsatz"/>
              <w:jc w:val="center"/>
              <w:rPr>
                <w:b/>
                <w:color w:val="auto"/>
              </w:rPr>
            </w:pPr>
            <w:r>
              <w:rPr>
                <w:b/>
                <w:color w:val="auto"/>
              </w:rPr>
              <w:t>Artikel 9</w:t>
            </w:r>
          </w:p>
        </w:tc>
      </w:tr>
      <w:tr>
        <w:trPr>
          <w:trHeight w:val="400"/>
        </w:trPr>
        <w:tc>
          <w:tcPr>
            <w:tcW w:w="4786" w:type="dxa"/>
          </w:tcPr>
          <w:p>
            <w:pPr>
              <w:pStyle w:val="GesAbsatz"/>
              <w:jc w:val="left"/>
              <w:rPr>
                <w:color w:val="auto"/>
              </w:rPr>
            </w:pPr>
            <w:r>
              <w:rPr>
                <w:color w:val="auto"/>
              </w:rPr>
              <w:t xml:space="preserve">Ammoniumnitrat (s. Anmerkung 1) </w:t>
            </w:r>
          </w:p>
        </w:tc>
        <w:tc>
          <w:tcPr>
            <w:tcW w:w="2268" w:type="dxa"/>
          </w:tcPr>
          <w:p>
            <w:pPr>
              <w:pStyle w:val="GesAbsatz"/>
              <w:tabs>
                <w:tab w:val="clear" w:pos="425"/>
                <w:tab w:val="decimal" w:pos="1151"/>
              </w:tabs>
              <w:jc w:val="left"/>
              <w:rPr>
                <w:color w:val="auto"/>
              </w:rPr>
            </w:pPr>
            <w:r>
              <w:rPr>
                <w:color w:val="auto"/>
              </w:rPr>
              <w:t xml:space="preserve">5000 </w:t>
            </w:r>
          </w:p>
        </w:tc>
        <w:tc>
          <w:tcPr>
            <w:tcW w:w="2693" w:type="dxa"/>
          </w:tcPr>
          <w:p>
            <w:pPr>
              <w:pStyle w:val="GesAbsatz"/>
              <w:tabs>
                <w:tab w:val="clear" w:pos="425"/>
                <w:tab w:val="decimal" w:pos="1451"/>
              </w:tabs>
              <w:jc w:val="left"/>
              <w:rPr>
                <w:color w:val="auto"/>
              </w:rPr>
            </w:pPr>
            <w:r>
              <w:rPr>
                <w:color w:val="auto"/>
              </w:rPr>
              <w:t xml:space="preserve">10000 </w:t>
            </w:r>
          </w:p>
        </w:tc>
      </w:tr>
      <w:tr>
        <w:trPr>
          <w:trHeight w:val="330"/>
        </w:trPr>
        <w:tc>
          <w:tcPr>
            <w:tcW w:w="4786" w:type="dxa"/>
          </w:tcPr>
          <w:p>
            <w:pPr>
              <w:pStyle w:val="GesAbsatz"/>
              <w:jc w:val="left"/>
              <w:rPr>
                <w:color w:val="auto"/>
              </w:rPr>
            </w:pPr>
            <w:r>
              <w:rPr>
                <w:color w:val="auto"/>
              </w:rPr>
              <w:t xml:space="preserve">Ammoniumnitrat (s. Anmerkung 2) </w:t>
            </w:r>
          </w:p>
        </w:tc>
        <w:tc>
          <w:tcPr>
            <w:tcW w:w="2268" w:type="dxa"/>
          </w:tcPr>
          <w:p>
            <w:pPr>
              <w:pStyle w:val="GesAbsatz"/>
              <w:tabs>
                <w:tab w:val="clear" w:pos="425"/>
                <w:tab w:val="decimal" w:pos="1151"/>
              </w:tabs>
              <w:jc w:val="left"/>
              <w:rPr>
                <w:color w:val="auto"/>
              </w:rPr>
            </w:pPr>
            <w:r>
              <w:rPr>
                <w:color w:val="auto"/>
              </w:rPr>
              <w:t xml:space="preserve">1250 </w:t>
            </w:r>
          </w:p>
        </w:tc>
        <w:tc>
          <w:tcPr>
            <w:tcW w:w="2693" w:type="dxa"/>
          </w:tcPr>
          <w:p>
            <w:pPr>
              <w:pStyle w:val="GesAbsatz"/>
              <w:tabs>
                <w:tab w:val="clear" w:pos="425"/>
                <w:tab w:val="decimal" w:pos="1451"/>
              </w:tabs>
              <w:jc w:val="left"/>
              <w:rPr>
                <w:color w:val="auto"/>
              </w:rPr>
            </w:pPr>
            <w:r>
              <w:rPr>
                <w:color w:val="auto"/>
              </w:rPr>
              <w:t xml:space="preserve">5000 </w:t>
            </w:r>
          </w:p>
        </w:tc>
      </w:tr>
      <w:tr>
        <w:trPr>
          <w:trHeight w:val="328"/>
        </w:trPr>
        <w:tc>
          <w:tcPr>
            <w:tcW w:w="4786" w:type="dxa"/>
          </w:tcPr>
          <w:p>
            <w:pPr>
              <w:pStyle w:val="GesAbsatz"/>
              <w:jc w:val="left"/>
              <w:rPr>
                <w:color w:val="auto"/>
              </w:rPr>
            </w:pPr>
            <w:r>
              <w:rPr>
                <w:color w:val="auto"/>
              </w:rPr>
              <w:t xml:space="preserve">Ammoniumnitrat (s. Anmerkung 3) </w:t>
            </w:r>
          </w:p>
        </w:tc>
        <w:tc>
          <w:tcPr>
            <w:tcW w:w="2268" w:type="dxa"/>
          </w:tcPr>
          <w:p>
            <w:pPr>
              <w:pStyle w:val="GesAbsatz"/>
              <w:tabs>
                <w:tab w:val="clear" w:pos="425"/>
                <w:tab w:val="decimal" w:pos="1151"/>
              </w:tabs>
              <w:jc w:val="left"/>
              <w:rPr>
                <w:color w:val="auto"/>
              </w:rPr>
            </w:pPr>
            <w:r>
              <w:rPr>
                <w:color w:val="auto"/>
              </w:rPr>
              <w:t xml:space="preserve">350 </w:t>
            </w:r>
          </w:p>
        </w:tc>
        <w:tc>
          <w:tcPr>
            <w:tcW w:w="2693" w:type="dxa"/>
          </w:tcPr>
          <w:p>
            <w:pPr>
              <w:pStyle w:val="GesAbsatz"/>
              <w:tabs>
                <w:tab w:val="clear" w:pos="425"/>
                <w:tab w:val="decimal" w:pos="1451"/>
              </w:tabs>
              <w:jc w:val="left"/>
              <w:rPr>
                <w:color w:val="auto"/>
              </w:rPr>
            </w:pPr>
            <w:r>
              <w:rPr>
                <w:color w:val="auto"/>
              </w:rPr>
              <w:t xml:space="preserve">2500 </w:t>
            </w:r>
          </w:p>
        </w:tc>
      </w:tr>
      <w:tr>
        <w:trPr>
          <w:trHeight w:val="328"/>
        </w:trPr>
        <w:tc>
          <w:tcPr>
            <w:tcW w:w="4786" w:type="dxa"/>
          </w:tcPr>
          <w:p>
            <w:pPr>
              <w:pStyle w:val="GesAbsatz"/>
              <w:jc w:val="left"/>
              <w:rPr>
                <w:color w:val="auto"/>
              </w:rPr>
            </w:pPr>
            <w:r>
              <w:rPr>
                <w:color w:val="auto"/>
              </w:rPr>
              <w:t xml:space="preserve">Ammoniumnitrat (s. Anmerkung 4) </w:t>
            </w:r>
          </w:p>
        </w:tc>
        <w:tc>
          <w:tcPr>
            <w:tcW w:w="2268" w:type="dxa"/>
          </w:tcPr>
          <w:p>
            <w:pPr>
              <w:pStyle w:val="GesAbsatz"/>
              <w:tabs>
                <w:tab w:val="clear" w:pos="425"/>
                <w:tab w:val="decimal" w:pos="1151"/>
              </w:tabs>
              <w:jc w:val="left"/>
              <w:rPr>
                <w:color w:val="auto"/>
              </w:rPr>
            </w:pPr>
            <w:r>
              <w:rPr>
                <w:color w:val="auto"/>
              </w:rPr>
              <w:t xml:space="preserve">10 </w:t>
            </w:r>
          </w:p>
        </w:tc>
        <w:tc>
          <w:tcPr>
            <w:tcW w:w="2693" w:type="dxa"/>
          </w:tcPr>
          <w:p>
            <w:pPr>
              <w:pStyle w:val="GesAbsatz"/>
              <w:tabs>
                <w:tab w:val="clear" w:pos="425"/>
                <w:tab w:val="decimal" w:pos="1451"/>
              </w:tabs>
              <w:jc w:val="left"/>
              <w:rPr>
                <w:color w:val="auto"/>
              </w:rPr>
            </w:pPr>
            <w:r>
              <w:rPr>
                <w:color w:val="auto"/>
              </w:rPr>
              <w:t xml:space="preserve">50 </w:t>
            </w:r>
          </w:p>
        </w:tc>
      </w:tr>
      <w:tr>
        <w:trPr>
          <w:trHeight w:val="330"/>
        </w:trPr>
        <w:tc>
          <w:tcPr>
            <w:tcW w:w="4786" w:type="dxa"/>
          </w:tcPr>
          <w:p>
            <w:pPr>
              <w:pStyle w:val="GesAbsatz"/>
              <w:jc w:val="left"/>
              <w:rPr>
                <w:color w:val="auto"/>
              </w:rPr>
            </w:pPr>
            <w:r>
              <w:rPr>
                <w:color w:val="auto"/>
              </w:rPr>
              <w:t xml:space="preserve">Kaliumnitrat (s. Anmerkung 5) </w:t>
            </w:r>
          </w:p>
        </w:tc>
        <w:tc>
          <w:tcPr>
            <w:tcW w:w="2268" w:type="dxa"/>
          </w:tcPr>
          <w:p>
            <w:pPr>
              <w:pStyle w:val="GesAbsatz"/>
              <w:tabs>
                <w:tab w:val="clear" w:pos="425"/>
                <w:tab w:val="decimal" w:pos="1151"/>
              </w:tabs>
              <w:jc w:val="left"/>
              <w:rPr>
                <w:color w:val="auto"/>
              </w:rPr>
            </w:pPr>
            <w:r>
              <w:rPr>
                <w:color w:val="auto"/>
              </w:rPr>
              <w:t xml:space="preserve">5000 </w:t>
            </w:r>
          </w:p>
        </w:tc>
        <w:tc>
          <w:tcPr>
            <w:tcW w:w="2693" w:type="dxa"/>
          </w:tcPr>
          <w:p>
            <w:pPr>
              <w:pStyle w:val="GesAbsatz"/>
              <w:tabs>
                <w:tab w:val="clear" w:pos="425"/>
                <w:tab w:val="decimal" w:pos="1451"/>
              </w:tabs>
              <w:jc w:val="left"/>
              <w:rPr>
                <w:color w:val="auto"/>
              </w:rPr>
            </w:pPr>
            <w:r>
              <w:rPr>
                <w:color w:val="auto"/>
              </w:rPr>
              <w:t xml:space="preserve">10000 </w:t>
            </w:r>
          </w:p>
        </w:tc>
      </w:tr>
      <w:tr>
        <w:trPr>
          <w:trHeight w:val="328"/>
        </w:trPr>
        <w:tc>
          <w:tcPr>
            <w:tcW w:w="4786" w:type="dxa"/>
          </w:tcPr>
          <w:p>
            <w:pPr>
              <w:pStyle w:val="GesAbsatz"/>
              <w:jc w:val="left"/>
              <w:rPr>
                <w:color w:val="auto"/>
              </w:rPr>
            </w:pPr>
            <w:r>
              <w:rPr>
                <w:color w:val="auto"/>
              </w:rPr>
              <w:t xml:space="preserve">Kaliumnitrat (s. Anmerkung 6) </w:t>
            </w:r>
          </w:p>
        </w:tc>
        <w:tc>
          <w:tcPr>
            <w:tcW w:w="2268" w:type="dxa"/>
          </w:tcPr>
          <w:p>
            <w:pPr>
              <w:pStyle w:val="GesAbsatz"/>
              <w:tabs>
                <w:tab w:val="clear" w:pos="425"/>
                <w:tab w:val="decimal" w:pos="1151"/>
              </w:tabs>
              <w:jc w:val="left"/>
              <w:rPr>
                <w:color w:val="auto"/>
              </w:rPr>
            </w:pPr>
            <w:r>
              <w:rPr>
                <w:color w:val="auto"/>
              </w:rPr>
              <w:t xml:space="preserve">1250 </w:t>
            </w:r>
          </w:p>
        </w:tc>
        <w:tc>
          <w:tcPr>
            <w:tcW w:w="2693" w:type="dxa"/>
          </w:tcPr>
          <w:p>
            <w:pPr>
              <w:pStyle w:val="GesAbsatz"/>
              <w:tabs>
                <w:tab w:val="clear" w:pos="425"/>
                <w:tab w:val="decimal" w:pos="1451"/>
              </w:tabs>
              <w:jc w:val="left"/>
              <w:rPr>
                <w:color w:val="auto"/>
              </w:rPr>
            </w:pPr>
            <w:r>
              <w:rPr>
                <w:color w:val="auto"/>
              </w:rPr>
              <w:t xml:space="preserve">5000 </w:t>
            </w:r>
          </w:p>
        </w:tc>
      </w:tr>
      <w:tr>
        <w:trPr>
          <w:trHeight w:val="265"/>
        </w:trPr>
        <w:tc>
          <w:tcPr>
            <w:tcW w:w="4786" w:type="dxa"/>
          </w:tcPr>
          <w:p>
            <w:pPr>
              <w:pStyle w:val="GesAbsatz"/>
              <w:jc w:val="left"/>
              <w:rPr>
                <w:color w:val="auto"/>
              </w:rPr>
            </w:pPr>
            <w:r>
              <w:rPr>
                <w:color w:val="auto"/>
              </w:rPr>
              <w:t xml:space="preserve">Arsen(V)oxid, Arsen(V)säure und/oder ihre Salze </w:t>
            </w:r>
          </w:p>
        </w:tc>
        <w:tc>
          <w:tcPr>
            <w:tcW w:w="2268" w:type="dxa"/>
          </w:tcPr>
          <w:p>
            <w:pPr>
              <w:pStyle w:val="GesAbsatz"/>
              <w:tabs>
                <w:tab w:val="clear" w:pos="425"/>
                <w:tab w:val="decimal" w:pos="1151"/>
              </w:tabs>
              <w:jc w:val="left"/>
              <w:rPr>
                <w:color w:val="auto"/>
              </w:rPr>
            </w:pPr>
            <w:r>
              <w:rPr>
                <w:color w:val="auto"/>
              </w:rPr>
              <w:t xml:space="preserve">1 </w:t>
            </w:r>
          </w:p>
        </w:tc>
        <w:tc>
          <w:tcPr>
            <w:tcW w:w="2693" w:type="dxa"/>
          </w:tcPr>
          <w:p>
            <w:pPr>
              <w:pStyle w:val="GesAbsatz"/>
              <w:tabs>
                <w:tab w:val="clear" w:pos="425"/>
                <w:tab w:val="decimal" w:pos="1451"/>
              </w:tabs>
              <w:jc w:val="left"/>
              <w:rPr>
                <w:color w:val="auto"/>
              </w:rPr>
            </w:pPr>
            <w:r>
              <w:rPr>
                <w:color w:val="auto"/>
              </w:rPr>
              <w:t xml:space="preserve">2 </w:t>
            </w:r>
          </w:p>
        </w:tc>
      </w:tr>
      <w:tr>
        <w:trPr>
          <w:trHeight w:val="265"/>
        </w:trPr>
        <w:tc>
          <w:tcPr>
            <w:tcW w:w="4786" w:type="dxa"/>
          </w:tcPr>
          <w:p>
            <w:pPr>
              <w:pStyle w:val="GesAbsatz"/>
              <w:jc w:val="left"/>
              <w:rPr>
                <w:color w:val="auto"/>
              </w:rPr>
            </w:pPr>
            <w:r>
              <w:rPr>
                <w:color w:val="auto"/>
              </w:rPr>
              <w:t>Arsen(III)oxid, Arsen(III)säure und ihre Salze</w:t>
            </w:r>
          </w:p>
        </w:tc>
        <w:tc>
          <w:tcPr>
            <w:tcW w:w="2268" w:type="dxa"/>
          </w:tcPr>
          <w:p>
            <w:pPr>
              <w:pStyle w:val="GesAbsatz"/>
              <w:tabs>
                <w:tab w:val="clear" w:pos="425"/>
                <w:tab w:val="decimal" w:pos="1151"/>
              </w:tabs>
              <w:jc w:val="left"/>
              <w:rPr>
                <w:color w:val="auto"/>
              </w:rPr>
            </w:pPr>
          </w:p>
        </w:tc>
        <w:tc>
          <w:tcPr>
            <w:tcW w:w="2693" w:type="dxa"/>
          </w:tcPr>
          <w:p>
            <w:pPr>
              <w:pStyle w:val="GesAbsatz"/>
              <w:tabs>
                <w:tab w:val="clear" w:pos="425"/>
                <w:tab w:val="decimal" w:pos="1451"/>
              </w:tabs>
              <w:jc w:val="left"/>
              <w:rPr>
                <w:color w:val="auto"/>
              </w:rPr>
            </w:pPr>
            <w:r>
              <w:rPr>
                <w:color w:val="auto"/>
              </w:rPr>
              <w:t>0,1</w:t>
            </w:r>
          </w:p>
        </w:tc>
      </w:tr>
      <w:tr>
        <w:trPr>
          <w:trHeight w:val="265"/>
        </w:trPr>
        <w:tc>
          <w:tcPr>
            <w:tcW w:w="4786" w:type="dxa"/>
          </w:tcPr>
          <w:p>
            <w:pPr>
              <w:pStyle w:val="GesAbsatz"/>
              <w:jc w:val="left"/>
            </w:pPr>
            <w:r>
              <w:t>Brom</w:t>
            </w:r>
          </w:p>
        </w:tc>
        <w:tc>
          <w:tcPr>
            <w:tcW w:w="2268" w:type="dxa"/>
          </w:tcPr>
          <w:p>
            <w:pPr>
              <w:pStyle w:val="GesAbsatz"/>
              <w:tabs>
                <w:tab w:val="clear" w:pos="425"/>
                <w:tab w:val="decimal" w:pos="1151"/>
              </w:tabs>
              <w:jc w:val="left"/>
              <w:rPr>
                <w:color w:val="auto"/>
              </w:rPr>
            </w:pPr>
            <w:r>
              <w:t>20</w:t>
            </w:r>
          </w:p>
        </w:tc>
        <w:tc>
          <w:tcPr>
            <w:tcW w:w="2693" w:type="dxa"/>
          </w:tcPr>
          <w:p>
            <w:pPr>
              <w:pStyle w:val="GesAbsatz"/>
              <w:tabs>
                <w:tab w:val="clear" w:pos="425"/>
                <w:tab w:val="decimal" w:pos="1451"/>
              </w:tabs>
              <w:jc w:val="left"/>
            </w:pPr>
            <w:r>
              <w:t>100</w:t>
            </w:r>
          </w:p>
        </w:tc>
      </w:tr>
      <w:tr>
        <w:trPr>
          <w:trHeight w:val="265"/>
        </w:trPr>
        <w:tc>
          <w:tcPr>
            <w:tcW w:w="4786" w:type="dxa"/>
          </w:tcPr>
          <w:p>
            <w:pPr>
              <w:pStyle w:val="GesAbsatz"/>
            </w:pPr>
            <w:r>
              <w:t>Chlor</w:t>
            </w:r>
          </w:p>
        </w:tc>
        <w:tc>
          <w:tcPr>
            <w:tcW w:w="2268" w:type="dxa"/>
          </w:tcPr>
          <w:p>
            <w:pPr>
              <w:pStyle w:val="GesAbsatz"/>
              <w:tabs>
                <w:tab w:val="clear" w:pos="425"/>
                <w:tab w:val="decimal" w:pos="1151"/>
              </w:tabs>
              <w:jc w:val="left"/>
              <w:rPr>
                <w:color w:val="auto"/>
              </w:rPr>
            </w:pPr>
            <w:r>
              <w:t>10</w:t>
            </w:r>
          </w:p>
        </w:tc>
        <w:tc>
          <w:tcPr>
            <w:tcW w:w="2693" w:type="dxa"/>
          </w:tcPr>
          <w:p>
            <w:pPr>
              <w:pStyle w:val="GesAbsatz"/>
              <w:tabs>
                <w:tab w:val="clear" w:pos="425"/>
                <w:tab w:val="decimal" w:pos="1451"/>
              </w:tabs>
              <w:jc w:val="left"/>
            </w:pPr>
            <w:r>
              <w:t>25</w:t>
            </w:r>
          </w:p>
        </w:tc>
      </w:tr>
      <w:tr>
        <w:trPr>
          <w:trHeight w:val="265"/>
        </w:trPr>
        <w:tc>
          <w:tcPr>
            <w:tcW w:w="4786" w:type="dxa"/>
          </w:tcPr>
          <w:p>
            <w:pPr>
              <w:pStyle w:val="GesAbsatz"/>
            </w:pPr>
            <w:r>
              <w:t>Atemgängige pulverförmige Nickelverbindungen (Nickelmonoxid, Nickeldioxid, Nickelsulfid, Trinickeldisulfid, Dinickeltrioxid)</w:t>
            </w:r>
          </w:p>
        </w:tc>
        <w:tc>
          <w:tcPr>
            <w:tcW w:w="2268" w:type="dxa"/>
          </w:tcPr>
          <w:p>
            <w:pPr>
              <w:pStyle w:val="GesAbsatz"/>
              <w:tabs>
                <w:tab w:val="clear" w:pos="425"/>
                <w:tab w:val="decimal" w:pos="1151"/>
              </w:tabs>
              <w:jc w:val="left"/>
              <w:rPr>
                <w:color w:val="auto"/>
              </w:rPr>
            </w:pPr>
          </w:p>
        </w:tc>
        <w:tc>
          <w:tcPr>
            <w:tcW w:w="2693" w:type="dxa"/>
          </w:tcPr>
          <w:p>
            <w:pPr>
              <w:pStyle w:val="GesAbsatz"/>
              <w:tabs>
                <w:tab w:val="clear" w:pos="425"/>
                <w:tab w:val="decimal" w:pos="1451"/>
              </w:tabs>
              <w:jc w:val="left"/>
            </w:pPr>
            <w:r>
              <w:t>1</w:t>
            </w:r>
          </w:p>
        </w:tc>
      </w:tr>
      <w:tr>
        <w:trPr>
          <w:trHeight w:val="265"/>
        </w:trPr>
        <w:tc>
          <w:tcPr>
            <w:tcW w:w="4786" w:type="dxa"/>
          </w:tcPr>
          <w:p>
            <w:pPr>
              <w:pStyle w:val="GesAbsatz"/>
            </w:pPr>
            <w:r>
              <w:t>Ethylenimin</w:t>
            </w:r>
          </w:p>
        </w:tc>
        <w:tc>
          <w:tcPr>
            <w:tcW w:w="2268" w:type="dxa"/>
          </w:tcPr>
          <w:p>
            <w:pPr>
              <w:pStyle w:val="GesAbsatz"/>
              <w:tabs>
                <w:tab w:val="clear" w:pos="425"/>
                <w:tab w:val="decimal" w:pos="1151"/>
              </w:tabs>
              <w:jc w:val="left"/>
              <w:rPr>
                <w:color w:val="auto"/>
              </w:rPr>
            </w:pPr>
            <w:r>
              <w:t>10</w:t>
            </w:r>
          </w:p>
        </w:tc>
        <w:tc>
          <w:tcPr>
            <w:tcW w:w="2693" w:type="dxa"/>
          </w:tcPr>
          <w:p>
            <w:pPr>
              <w:pStyle w:val="GesAbsatz"/>
              <w:tabs>
                <w:tab w:val="clear" w:pos="425"/>
                <w:tab w:val="decimal" w:pos="1451"/>
              </w:tabs>
              <w:jc w:val="left"/>
            </w:pPr>
            <w:r>
              <w:t>20</w:t>
            </w:r>
          </w:p>
        </w:tc>
      </w:tr>
      <w:tr>
        <w:trPr>
          <w:trHeight w:val="265"/>
        </w:trPr>
        <w:tc>
          <w:tcPr>
            <w:tcW w:w="4786" w:type="dxa"/>
          </w:tcPr>
          <w:p>
            <w:pPr>
              <w:pStyle w:val="GesAbsatz"/>
            </w:pPr>
            <w:r>
              <w:lastRenderedPageBreak/>
              <w:t>Fluor</w:t>
            </w:r>
          </w:p>
        </w:tc>
        <w:tc>
          <w:tcPr>
            <w:tcW w:w="2268" w:type="dxa"/>
          </w:tcPr>
          <w:p>
            <w:pPr>
              <w:pStyle w:val="GesAbsatz"/>
              <w:tabs>
                <w:tab w:val="clear" w:pos="425"/>
                <w:tab w:val="decimal" w:pos="1151"/>
              </w:tabs>
              <w:jc w:val="left"/>
              <w:rPr>
                <w:color w:val="auto"/>
              </w:rPr>
            </w:pPr>
            <w:r>
              <w:t>10</w:t>
            </w:r>
          </w:p>
        </w:tc>
        <w:tc>
          <w:tcPr>
            <w:tcW w:w="2693" w:type="dxa"/>
          </w:tcPr>
          <w:p>
            <w:pPr>
              <w:pStyle w:val="GesAbsatz"/>
              <w:tabs>
                <w:tab w:val="clear" w:pos="425"/>
                <w:tab w:val="decimal" w:pos="1451"/>
              </w:tabs>
              <w:jc w:val="left"/>
            </w:pPr>
            <w:r>
              <w:t>20</w:t>
            </w:r>
          </w:p>
        </w:tc>
      </w:tr>
      <w:tr>
        <w:trPr>
          <w:trHeight w:val="265"/>
        </w:trPr>
        <w:tc>
          <w:tcPr>
            <w:tcW w:w="4786" w:type="dxa"/>
          </w:tcPr>
          <w:p>
            <w:pPr>
              <w:pStyle w:val="GesAbsatz"/>
              <w:rPr>
                <w:color w:val="auto"/>
              </w:rPr>
            </w:pPr>
            <w:r>
              <w:rPr>
                <w:color w:val="auto"/>
              </w:rPr>
              <w:t>Formaldehyd (Konzentration ≥90 %)</w:t>
            </w:r>
          </w:p>
        </w:tc>
        <w:tc>
          <w:tcPr>
            <w:tcW w:w="2268" w:type="dxa"/>
          </w:tcPr>
          <w:p>
            <w:pPr>
              <w:pStyle w:val="GesAbsatz"/>
              <w:tabs>
                <w:tab w:val="clear" w:pos="425"/>
                <w:tab w:val="decimal" w:pos="1151"/>
              </w:tabs>
              <w:jc w:val="left"/>
              <w:rPr>
                <w:color w:val="auto"/>
              </w:rPr>
            </w:pPr>
            <w:r>
              <w:rPr>
                <w:color w:val="auto"/>
              </w:rPr>
              <w:t>5</w:t>
            </w:r>
          </w:p>
        </w:tc>
        <w:tc>
          <w:tcPr>
            <w:tcW w:w="2693" w:type="dxa"/>
          </w:tcPr>
          <w:p>
            <w:pPr>
              <w:pStyle w:val="GesAbsatz"/>
              <w:tabs>
                <w:tab w:val="clear" w:pos="425"/>
                <w:tab w:val="decimal" w:pos="1451"/>
              </w:tabs>
              <w:jc w:val="left"/>
              <w:rPr>
                <w:color w:val="auto"/>
              </w:rPr>
            </w:pPr>
            <w:r>
              <w:rPr>
                <w:color w:val="auto"/>
              </w:rPr>
              <w:t>50</w:t>
            </w:r>
          </w:p>
        </w:tc>
      </w:tr>
      <w:tr>
        <w:trPr>
          <w:trHeight w:val="265"/>
        </w:trPr>
        <w:tc>
          <w:tcPr>
            <w:tcW w:w="4786" w:type="dxa"/>
          </w:tcPr>
          <w:p>
            <w:pPr>
              <w:pStyle w:val="GesAbsatz"/>
            </w:pPr>
            <w:r>
              <w:t>Wasserstoff</w:t>
            </w:r>
          </w:p>
        </w:tc>
        <w:tc>
          <w:tcPr>
            <w:tcW w:w="2268" w:type="dxa"/>
          </w:tcPr>
          <w:p>
            <w:pPr>
              <w:pStyle w:val="GesAbsatz"/>
              <w:tabs>
                <w:tab w:val="clear" w:pos="425"/>
                <w:tab w:val="decimal" w:pos="1151"/>
              </w:tabs>
              <w:jc w:val="left"/>
              <w:rPr>
                <w:color w:val="auto"/>
              </w:rPr>
            </w:pPr>
            <w:r>
              <w:t>5</w:t>
            </w:r>
          </w:p>
        </w:tc>
        <w:tc>
          <w:tcPr>
            <w:tcW w:w="2693" w:type="dxa"/>
          </w:tcPr>
          <w:p>
            <w:pPr>
              <w:pStyle w:val="GesAbsatz"/>
              <w:tabs>
                <w:tab w:val="clear" w:pos="425"/>
                <w:tab w:val="decimal" w:pos="1451"/>
              </w:tabs>
              <w:jc w:val="left"/>
            </w:pPr>
            <w:r>
              <w:t>50</w:t>
            </w:r>
          </w:p>
        </w:tc>
      </w:tr>
      <w:tr>
        <w:trPr>
          <w:trHeight w:val="265"/>
        </w:trPr>
        <w:tc>
          <w:tcPr>
            <w:tcW w:w="4786" w:type="dxa"/>
          </w:tcPr>
          <w:p>
            <w:pPr>
              <w:pStyle w:val="GesAbsatz"/>
            </w:pPr>
            <w:r>
              <w:t>Chlorwasserstoff (verflüssigtes Gas)</w:t>
            </w:r>
          </w:p>
        </w:tc>
        <w:tc>
          <w:tcPr>
            <w:tcW w:w="2268" w:type="dxa"/>
          </w:tcPr>
          <w:p>
            <w:pPr>
              <w:pStyle w:val="GesAbsatz"/>
              <w:tabs>
                <w:tab w:val="clear" w:pos="425"/>
                <w:tab w:val="decimal" w:pos="1151"/>
              </w:tabs>
              <w:jc w:val="left"/>
              <w:rPr>
                <w:color w:val="auto"/>
              </w:rPr>
            </w:pPr>
            <w:r>
              <w:t>25</w:t>
            </w:r>
          </w:p>
        </w:tc>
        <w:tc>
          <w:tcPr>
            <w:tcW w:w="2693" w:type="dxa"/>
          </w:tcPr>
          <w:p>
            <w:pPr>
              <w:pStyle w:val="GesAbsatz"/>
              <w:tabs>
                <w:tab w:val="clear" w:pos="425"/>
                <w:tab w:val="decimal" w:pos="1451"/>
              </w:tabs>
              <w:jc w:val="left"/>
            </w:pPr>
            <w:r>
              <w:t>250</w:t>
            </w:r>
          </w:p>
        </w:tc>
      </w:tr>
      <w:tr>
        <w:trPr>
          <w:trHeight w:val="265"/>
        </w:trPr>
        <w:tc>
          <w:tcPr>
            <w:tcW w:w="4786" w:type="dxa"/>
          </w:tcPr>
          <w:p>
            <w:pPr>
              <w:pStyle w:val="GesAbsatz"/>
            </w:pPr>
            <w:r>
              <w:t>Bleialkyle</w:t>
            </w:r>
          </w:p>
        </w:tc>
        <w:tc>
          <w:tcPr>
            <w:tcW w:w="2268" w:type="dxa"/>
          </w:tcPr>
          <w:p>
            <w:pPr>
              <w:pStyle w:val="GesAbsatz"/>
              <w:tabs>
                <w:tab w:val="clear" w:pos="425"/>
                <w:tab w:val="decimal" w:pos="1151"/>
              </w:tabs>
              <w:jc w:val="left"/>
              <w:rPr>
                <w:color w:val="auto"/>
              </w:rPr>
            </w:pPr>
            <w:r>
              <w:t>5</w:t>
            </w:r>
          </w:p>
        </w:tc>
        <w:tc>
          <w:tcPr>
            <w:tcW w:w="2693" w:type="dxa"/>
          </w:tcPr>
          <w:p>
            <w:pPr>
              <w:pStyle w:val="GesAbsatz"/>
              <w:tabs>
                <w:tab w:val="clear" w:pos="425"/>
                <w:tab w:val="decimal" w:pos="1451"/>
              </w:tabs>
              <w:jc w:val="left"/>
            </w:pPr>
            <w:r>
              <w:t>50</w:t>
            </w:r>
          </w:p>
        </w:tc>
      </w:tr>
      <w:tr>
        <w:trPr>
          <w:trHeight w:val="265"/>
        </w:trPr>
        <w:tc>
          <w:tcPr>
            <w:tcW w:w="4786" w:type="dxa"/>
          </w:tcPr>
          <w:p>
            <w:pPr>
              <w:pStyle w:val="GesAbsatz"/>
            </w:pPr>
            <w:r>
              <w:t>Hochentzündliche verflüssigte Gase (einschließlich LPG) und Erdgas</w:t>
            </w:r>
          </w:p>
        </w:tc>
        <w:tc>
          <w:tcPr>
            <w:tcW w:w="2268" w:type="dxa"/>
          </w:tcPr>
          <w:p>
            <w:pPr>
              <w:pStyle w:val="GesAbsatz"/>
              <w:tabs>
                <w:tab w:val="clear" w:pos="425"/>
                <w:tab w:val="decimal" w:pos="1151"/>
              </w:tabs>
              <w:jc w:val="left"/>
              <w:rPr>
                <w:color w:val="auto"/>
              </w:rPr>
            </w:pPr>
            <w:r>
              <w:t>50</w:t>
            </w:r>
          </w:p>
        </w:tc>
        <w:tc>
          <w:tcPr>
            <w:tcW w:w="2693" w:type="dxa"/>
          </w:tcPr>
          <w:p>
            <w:pPr>
              <w:pStyle w:val="GesAbsatz"/>
              <w:tabs>
                <w:tab w:val="clear" w:pos="425"/>
                <w:tab w:val="decimal" w:pos="1451"/>
              </w:tabs>
              <w:jc w:val="left"/>
            </w:pPr>
            <w:r>
              <w:t>200</w:t>
            </w:r>
          </w:p>
        </w:tc>
      </w:tr>
      <w:tr>
        <w:trPr>
          <w:trHeight w:val="265"/>
        </w:trPr>
        <w:tc>
          <w:tcPr>
            <w:tcW w:w="4786" w:type="dxa"/>
          </w:tcPr>
          <w:p>
            <w:pPr>
              <w:pStyle w:val="GesAbsatz"/>
            </w:pPr>
            <w:r>
              <w:t>Acetylen</w:t>
            </w:r>
          </w:p>
        </w:tc>
        <w:tc>
          <w:tcPr>
            <w:tcW w:w="2268" w:type="dxa"/>
          </w:tcPr>
          <w:p>
            <w:pPr>
              <w:pStyle w:val="GesAbsatz"/>
              <w:tabs>
                <w:tab w:val="clear" w:pos="425"/>
                <w:tab w:val="decimal" w:pos="1151"/>
              </w:tabs>
              <w:jc w:val="left"/>
              <w:rPr>
                <w:color w:val="auto"/>
              </w:rPr>
            </w:pPr>
            <w:r>
              <w:t>5</w:t>
            </w:r>
          </w:p>
        </w:tc>
        <w:tc>
          <w:tcPr>
            <w:tcW w:w="2693" w:type="dxa"/>
          </w:tcPr>
          <w:p>
            <w:pPr>
              <w:pStyle w:val="GesAbsatz"/>
              <w:tabs>
                <w:tab w:val="clear" w:pos="425"/>
                <w:tab w:val="decimal" w:pos="1451"/>
              </w:tabs>
              <w:jc w:val="left"/>
            </w:pPr>
            <w:r>
              <w:t>50</w:t>
            </w:r>
          </w:p>
        </w:tc>
      </w:tr>
      <w:tr>
        <w:trPr>
          <w:trHeight w:val="265"/>
        </w:trPr>
        <w:tc>
          <w:tcPr>
            <w:tcW w:w="4786" w:type="dxa"/>
          </w:tcPr>
          <w:p>
            <w:pPr>
              <w:pStyle w:val="GesAbsatz"/>
            </w:pPr>
            <w:r>
              <w:t>Ethylenoxid</w:t>
            </w:r>
          </w:p>
        </w:tc>
        <w:tc>
          <w:tcPr>
            <w:tcW w:w="2268" w:type="dxa"/>
          </w:tcPr>
          <w:p>
            <w:pPr>
              <w:pStyle w:val="GesAbsatz"/>
              <w:tabs>
                <w:tab w:val="clear" w:pos="425"/>
                <w:tab w:val="decimal" w:pos="1151"/>
              </w:tabs>
              <w:jc w:val="left"/>
              <w:rPr>
                <w:color w:val="auto"/>
              </w:rPr>
            </w:pPr>
            <w:r>
              <w:t>5</w:t>
            </w:r>
          </w:p>
        </w:tc>
        <w:tc>
          <w:tcPr>
            <w:tcW w:w="2693" w:type="dxa"/>
          </w:tcPr>
          <w:p>
            <w:pPr>
              <w:pStyle w:val="GesAbsatz"/>
              <w:tabs>
                <w:tab w:val="clear" w:pos="425"/>
                <w:tab w:val="decimal" w:pos="1451"/>
              </w:tabs>
              <w:jc w:val="left"/>
            </w:pPr>
            <w:r>
              <w:t>50</w:t>
            </w:r>
          </w:p>
        </w:tc>
      </w:tr>
      <w:tr>
        <w:trPr>
          <w:trHeight w:val="265"/>
        </w:trPr>
        <w:tc>
          <w:tcPr>
            <w:tcW w:w="4786" w:type="dxa"/>
          </w:tcPr>
          <w:p>
            <w:pPr>
              <w:pStyle w:val="GesAbsatz"/>
            </w:pPr>
            <w:r>
              <w:t>Propylenoxid</w:t>
            </w:r>
          </w:p>
        </w:tc>
        <w:tc>
          <w:tcPr>
            <w:tcW w:w="2268" w:type="dxa"/>
          </w:tcPr>
          <w:p>
            <w:pPr>
              <w:pStyle w:val="GesAbsatz"/>
              <w:tabs>
                <w:tab w:val="clear" w:pos="425"/>
                <w:tab w:val="decimal" w:pos="1151"/>
              </w:tabs>
              <w:jc w:val="left"/>
              <w:rPr>
                <w:color w:val="auto"/>
              </w:rPr>
            </w:pPr>
            <w:r>
              <w:t>5</w:t>
            </w:r>
          </w:p>
        </w:tc>
        <w:tc>
          <w:tcPr>
            <w:tcW w:w="2693" w:type="dxa"/>
          </w:tcPr>
          <w:p>
            <w:pPr>
              <w:pStyle w:val="GesAbsatz"/>
              <w:tabs>
                <w:tab w:val="clear" w:pos="425"/>
                <w:tab w:val="decimal" w:pos="1451"/>
              </w:tabs>
              <w:jc w:val="left"/>
            </w:pPr>
            <w:r>
              <w:t>50</w:t>
            </w:r>
          </w:p>
        </w:tc>
      </w:tr>
      <w:tr>
        <w:trPr>
          <w:trHeight w:val="265"/>
        </w:trPr>
        <w:tc>
          <w:tcPr>
            <w:tcW w:w="4786" w:type="dxa"/>
          </w:tcPr>
          <w:p>
            <w:pPr>
              <w:pStyle w:val="GesAbsatz"/>
            </w:pPr>
            <w:r>
              <w:t>Methanol</w:t>
            </w:r>
          </w:p>
        </w:tc>
        <w:tc>
          <w:tcPr>
            <w:tcW w:w="2268" w:type="dxa"/>
          </w:tcPr>
          <w:p>
            <w:pPr>
              <w:pStyle w:val="GesAbsatz"/>
              <w:tabs>
                <w:tab w:val="clear" w:pos="425"/>
                <w:tab w:val="decimal" w:pos="1151"/>
              </w:tabs>
              <w:jc w:val="left"/>
            </w:pPr>
            <w:r>
              <w:t>500</w:t>
            </w:r>
          </w:p>
        </w:tc>
        <w:tc>
          <w:tcPr>
            <w:tcW w:w="2693" w:type="dxa"/>
          </w:tcPr>
          <w:p>
            <w:pPr>
              <w:pStyle w:val="GesAbsatz"/>
              <w:tabs>
                <w:tab w:val="clear" w:pos="425"/>
                <w:tab w:val="decimal" w:pos="1451"/>
              </w:tabs>
              <w:jc w:val="left"/>
            </w:pPr>
            <w:r>
              <w:t>5000</w:t>
            </w:r>
          </w:p>
        </w:tc>
      </w:tr>
      <w:tr>
        <w:trPr>
          <w:trHeight w:val="265"/>
        </w:trPr>
        <w:tc>
          <w:tcPr>
            <w:tcW w:w="4786" w:type="dxa"/>
          </w:tcPr>
          <w:p>
            <w:pPr>
              <w:pStyle w:val="GesAbsatz"/>
            </w:pPr>
            <w:r>
              <w:t>4,4'-Methylen-bis(2-chloranilin) und seine Salze, pulverförmig</w:t>
            </w:r>
          </w:p>
        </w:tc>
        <w:tc>
          <w:tcPr>
            <w:tcW w:w="2268" w:type="dxa"/>
          </w:tcPr>
          <w:p>
            <w:pPr>
              <w:pStyle w:val="GesAbsatz"/>
              <w:tabs>
                <w:tab w:val="clear" w:pos="425"/>
                <w:tab w:val="decimal" w:pos="1151"/>
              </w:tabs>
              <w:jc w:val="left"/>
              <w:rPr>
                <w:color w:val="auto"/>
              </w:rPr>
            </w:pPr>
          </w:p>
        </w:tc>
        <w:tc>
          <w:tcPr>
            <w:tcW w:w="2693" w:type="dxa"/>
          </w:tcPr>
          <w:p>
            <w:pPr>
              <w:pStyle w:val="GesAbsatz"/>
              <w:tabs>
                <w:tab w:val="clear" w:pos="425"/>
                <w:tab w:val="decimal" w:pos="1451"/>
              </w:tabs>
              <w:jc w:val="left"/>
            </w:pPr>
            <w:r>
              <w:t>0,01</w:t>
            </w:r>
          </w:p>
        </w:tc>
      </w:tr>
      <w:tr>
        <w:trPr>
          <w:trHeight w:val="265"/>
        </w:trPr>
        <w:tc>
          <w:tcPr>
            <w:tcW w:w="4786" w:type="dxa"/>
          </w:tcPr>
          <w:p>
            <w:pPr>
              <w:pStyle w:val="GesAbsatz"/>
            </w:pPr>
            <w:r>
              <w:t>Methylisocyanat</w:t>
            </w:r>
          </w:p>
        </w:tc>
        <w:tc>
          <w:tcPr>
            <w:tcW w:w="2268" w:type="dxa"/>
          </w:tcPr>
          <w:p>
            <w:pPr>
              <w:pStyle w:val="GesAbsatz"/>
              <w:tabs>
                <w:tab w:val="clear" w:pos="425"/>
                <w:tab w:val="decimal" w:pos="1151"/>
              </w:tabs>
              <w:jc w:val="left"/>
              <w:rPr>
                <w:color w:val="auto"/>
              </w:rPr>
            </w:pPr>
          </w:p>
        </w:tc>
        <w:tc>
          <w:tcPr>
            <w:tcW w:w="2693" w:type="dxa"/>
          </w:tcPr>
          <w:p>
            <w:pPr>
              <w:pStyle w:val="GesAbsatz"/>
              <w:tabs>
                <w:tab w:val="clear" w:pos="425"/>
                <w:tab w:val="decimal" w:pos="1451"/>
              </w:tabs>
              <w:jc w:val="left"/>
            </w:pPr>
            <w:r>
              <w:t>0,15</w:t>
            </w:r>
          </w:p>
        </w:tc>
      </w:tr>
      <w:tr>
        <w:trPr>
          <w:trHeight w:val="265"/>
        </w:trPr>
        <w:tc>
          <w:tcPr>
            <w:tcW w:w="4786" w:type="dxa"/>
          </w:tcPr>
          <w:p>
            <w:pPr>
              <w:pStyle w:val="GesAbsatz"/>
            </w:pPr>
            <w:r>
              <w:t>Sauerstoff</w:t>
            </w:r>
          </w:p>
        </w:tc>
        <w:tc>
          <w:tcPr>
            <w:tcW w:w="2268" w:type="dxa"/>
          </w:tcPr>
          <w:p>
            <w:pPr>
              <w:pStyle w:val="GesAbsatz"/>
              <w:tabs>
                <w:tab w:val="clear" w:pos="425"/>
                <w:tab w:val="decimal" w:pos="1151"/>
              </w:tabs>
              <w:jc w:val="left"/>
              <w:rPr>
                <w:color w:val="auto"/>
              </w:rPr>
            </w:pPr>
            <w:r>
              <w:t>200</w:t>
            </w:r>
          </w:p>
        </w:tc>
        <w:tc>
          <w:tcPr>
            <w:tcW w:w="2693" w:type="dxa"/>
          </w:tcPr>
          <w:p>
            <w:pPr>
              <w:pStyle w:val="GesAbsatz"/>
              <w:tabs>
                <w:tab w:val="clear" w:pos="425"/>
                <w:tab w:val="decimal" w:pos="1451"/>
              </w:tabs>
              <w:jc w:val="left"/>
            </w:pPr>
            <w:r>
              <w:t>2000</w:t>
            </w:r>
          </w:p>
        </w:tc>
      </w:tr>
      <w:tr>
        <w:trPr>
          <w:trHeight w:val="265"/>
        </w:trPr>
        <w:tc>
          <w:tcPr>
            <w:tcW w:w="4786" w:type="dxa"/>
          </w:tcPr>
          <w:p>
            <w:pPr>
              <w:pStyle w:val="GesAbsatz"/>
            </w:pPr>
            <w:r>
              <w:t>Toluylendiisocyanat</w:t>
            </w:r>
          </w:p>
        </w:tc>
        <w:tc>
          <w:tcPr>
            <w:tcW w:w="2268" w:type="dxa"/>
          </w:tcPr>
          <w:p>
            <w:pPr>
              <w:pStyle w:val="GesAbsatz"/>
              <w:tabs>
                <w:tab w:val="clear" w:pos="425"/>
                <w:tab w:val="decimal" w:pos="1151"/>
              </w:tabs>
              <w:jc w:val="left"/>
              <w:rPr>
                <w:color w:val="auto"/>
              </w:rPr>
            </w:pPr>
            <w:r>
              <w:t>10</w:t>
            </w:r>
          </w:p>
        </w:tc>
        <w:tc>
          <w:tcPr>
            <w:tcW w:w="2693" w:type="dxa"/>
          </w:tcPr>
          <w:p>
            <w:pPr>
              <w:pStyle w:val="GesAbsatz"/>
              <w:tabs>
                <w:tab w:val="clear" w:pos="425"/>
                <w:tab w:val="decimal" w:pos="1451"/>
              </w:tabs>
              <w:jc w:val="left"/>
            </w:pPr>
            <w:r>
              <w:t>100</w:t>
            </w:r>
          </w:p>
        </w:tc>
      </w:tr>
      <w:tr>
        <w:trPr>
          <w:trHeight w:val="265"/>
        </w:trPr>
        <w:tc>
          <w:tcPr>
            <w:tcW w:w="4786" w:type="dxa"/>
          </w:tcPr>
          <w:p>
            <w:pPr>
              <w:pStyle w:val="GesAbsatz"/>
            </w:pPr>
            <w:r>
              <w:t>Karbonyldichlorid (Phosgen)</w:t>
            </w:r>
          </w:p>
        </w:tc>
        <w:tc>
          <w:tcPr>
            <w:tcW w:w="2268" w:type="dxa"/>
          </w:tcPr>
          <w:p>
            <w:pPr>
              <w:pStyle w:val="GesAbsatz"/>
              <w:tabs>
                <w:tab w:val="clear" w:pos="425"/>
                <w:tab w:val="decimal" w:pos="1151"/>
              </w:tabs>
              <w:jc w:val="left"/>
              <w:rPr>
                <w:color w:val="auto"/>
              </w:rPr>
            </w:pPr>
            <w:r>
              <w:t>0,3</w:t>
            </w:r>
          </w:p>
        </w:tc>
        <w:tc>
          <w:tcPr>
            <w:tcW w:w="2693" w:type="dxa"/>
          </w:tcPr>
          <w:p>
            <w:pPr>
              <w:pStyle w:val="GesAbsatz"/>
              <w:tabs>
                <w:tab w:val="clear" w:pos="425"/>
                <w:tab w:val="decimal" w:pos="1451"/>
              </w:tabs>
              <w:jc w:val="left"/>
            </w:pPr>
            <w:r>
              <w:t>0,75</w:t>
            </w:r>
          </w:p>
        </w:tc>
      </w:tr>
      <w:tr>
        <w:trPr>
          <w:trHeight w:val="265"/>
        </w:trPr>
        <w:tc>
          <w:tcPr>
            <w:tcW w:w="4786" w:type="dxa"/>
          </w:tcPr>
          <w:p>
            <w:pPr>
              <w:pStyle w:val="GesAbsatz"/>
            </w:pPr>
            <w:r>
              <w:t>Arsentrihydrid (Arsin)</w:t>
            </w:r>
          </w:p>
        </w:tc>
        <w:tc>
          <w:tcPr>
            <w:tcW w:w="2268" w:type="dxa"/>
          </w:tcPr>
          <w:p>
            <w:pPr>
              <w:pStyle w:val="GesAbsatz"/>
              <w:tabs>
                <w:tab w:val="clear" w:pos="425"/>
                <w:tab w:val="decimal" w:pos="1151"/>
              </w:tabs>
              <w:jc w:val="left"/>
              <w:rPr>
                <w:color w:val="auto"/>
              </w:rPr>
            </w:pPr>
            <w:r>
              <w:t>0,2</w:t>
            </w:r>
          </w:p>
        </w:tc>
        <w:tc>
          <w:tcPr>
            <w:tcW w:w="2693" w:type="dxa"/>
          </w:tcPr>
          <w:p>
            <w:pPr>
              <w:pStyle w:val="GesAbsatz"/>
              <w:tabs>
                <w:tab w:val="clear" w:pos="425"/>
                <w:tab w:val="decimal" w:pos="1451"/>
              </w:tabs>
              <w:jc w:val="left"/>
            </w:pPr>
            <w:r>
              <w:t>1</w:t>
            </w:r>
          </w:p>
        </w:tc>
      </w:tr>
      <w:tr>
        <w:trPr>
          <w:trHeight w:val="265"/>
        </w:trPr>
        <w:tc>
          <w:tcPr>
            <w:tcW w:w="4786" w:type="dxa"/>
          </w:tcPr>
          <w:p>
            <w:pPr>
              <w:pStyle w:val="GesAbsatz"/>
            </w:pPr>
            <w:r>
              <w:t>Phosphortrihydrid (Phosphin)</w:t>
            </w:r>
          </w:p>
        </w:tc>
        <w:tc>
          <w:tcPr>
            <w:tcW w:w="2268" w:type="dxa"/>
          </w:tcPr>
          <w:p>
            <w:pPr>
              <w:pStyle w:val="GesAbsatz"/>
              <w:tabs>
                <w:tab w:val="clear" w:pos="425"/>
                <w:tab w:val="decimal" w:pos="1151"/>
              </w:tabs>
              <w:jc w:val="left"/>
              <w:rPr>
                <w:color w:val="auto"/>
              </w:rPr>
            </w:pPr>
            <w:r>
              <w:t>0,2</w:t>
            </w:r>
          </w:p>
        </w:tc>
        <w:tc>
          <w:tcPr>
            <w:tcW w:w="2693" w:type="dxa"/>
          </w:tcPr>
          <w:p>
            <w:pPr>
              <w:pStyle w:val="GesAbsatz"/>
              <w:tabs>
                <w:tab w:val="clear" w:pos="425"/>
                <w:tab w:val="decimal" w:pos="1451"/>
              </w:tabs>
              <w:jc w:val="left"/>
            </w:pPr>
            <w:r>
              <w:t>1</w:t>
            </w:r>
          </w:p>
        </w:tc>
      </w:tr>
      <w:tr>
        <w:trPr>
          <w:trHeight w:val="265"/>
        </w:trPr>
        <w:tc>
          <w:tcPr>
            <w:tcW w:w="4786" w:type="dxa"/>
          </w:tcPr>
          <w:p>
            <w:pPr>
              <w:pStyle w:val="GesAbsatz"/>
            </w:pPr>
            <w:r>
              <w:t>Schwefeldichlorid</w:t>
            </w:r>
          </w:p>
        </w:tc>
        <w:tc>
          <w:tcPr>
            <w:tcW w:w="2268" w:type="dxa"/>
          </w:tcPr>
          <w:p>
            <w:pPr>
              <w:pStyle w:val="GesAbsatz"/>
              <w:tabs>
                <w:tab w:val="clear" w:pos="425"/>
                <w:tab w:val="decimal" w:pos="1151"/>
              </w:tabs>
              <w:jc w:val="left"/>
              <w:rPr>
                <w:color w:val="auto"/>
              </w:rPr>
            </w:pPr>
            <w:r>
              <w:t>1</w:t>
            </w:r>
          </w:p>
        </w:tc>
        <w:tc>
          <w:tcPr>
            <w:tcW w:w="2693" w:type="dxa"/>
          </w:tcPr>
          <w:p>
            <w:pPr>
              <w:pStyle w:val="GesAbsatz"/>
              <w:tabs>
                <w:tab w:val="clear" w:pos="425"/>
                <w:tab w:val="decimal" w:pos="1451"/>
              </w:tabs>
              <w:jc w:val="left"/>
            </w:pPr>
            <w:r>
              <w:t>1</w:t>
            </w:r>
          </w:p>
        </w:tc>
      </w:tr>
      <w:tr>
        <w:trPr>
          <w:trHeight w:val="265"/>
        </w:trPr>
        <w:tc>
          <w:tcPr>
            <w:tcW w:w="4786" w:type="dxa"/>
          </w:tcPr>
          <w:p>
            <w:pPr>
              <w:pStyle w:val="GesAbsatz"/>
            </w:pPr>
            <w:r>
              <w:t>Schwefeltrioxid</w:t>
            </w:r>
          </w:p>
        </w:tc>
        <w:tc>
          <w:tcPr>
            <w:tcW w:w="2268" w:type="dxa"/>
          </w:tcPr>
          <w:p>
            <w:pPr>
              <w:pStyle w:val="GesAbsatz"/>
              <w:tabs>
                <w:tab w:val="clear" w:pos="425"/>
                <w:tab w:val="decimal" w:pos="1151"/>
              </w:tabs>
              <w:jc w:val="left"/>
              <w:rPr>
                <w:color w:val="auto"/>
              </w:rPr>
            </w:pPr>
            <w:r>
              <w:t>15</w:t>
            </w:r>
          </w:p>
        </w:tc>
        <w:tc>
          <w:tcPr>
            <w:tcW w:w="2693" w:type="dxa"/>
          </w:tcPr>
          <w:p>
            <w:pPr>
              <w:pStyle w:val="GesAbsatz"/>
              <w:tabs>
                <w:tab w:val="clear" w:pos="425"/>
                <w:tab w:val="decimal" w:pos="1451"/>
              </w:tabs>
              <w:jc w:val="left"/>
            </w:pPr>
            <w:r>
              <w:t>75</w:t>
            </w:r>
          </w:p>
        </w:tc>
      </w:tr>
      <w:tr>
        <w:trPr>
          <w:trHeight w:val="265"/>
        </w:trPr>
        <w:tc>
          <w:tcPr>
            <w:tcW w:w="4786" w:type="dxa"/>
          </w:tcPr>
          <w:p>
            <w:pPr>
              <w:pStyle w:val="GesAbsatz"/>
            </w:pPr>
            <w:r>
              <w:t>Polychlordibenzofurane und Polychlordibenzodioxine (einschließlich TCDD) in TCDD-Äquivalenten berechnet</w:t>
            </w:r>
          </w:p>
        </w:tc>
        <w:tc>
          <w:tcPr>
            <w:tcW w:w="2268" w:type="dxa"/>
          </w:tcPr>
          <w:p>
            <w:pPr>
              <w:pStyle w:val="GesAbsatz"/>
              <w:tabs>
                <w:tab w:val="clear" w:pos="425"/>
                <w:tab w:val="decimal" w:pos="1151"/>
              </w:tabs>
              <w:jc w:val="left"/>
              <w:rPr>
                <w:color w:val="auto"/>
              </w:rPr>
            </w:pPr>
          </w:p>
        </w:tc>
        <w:tc>
          <w:tcPr>
            <w:tcW w:w="2693" w:type="dxa"/>
          </w:tcPr>
          <w:p>
            <w:pPr>
              <w:pStyle w:val="GesAbsatz"/>
              <w:tabs>
                <w:tab w:val="clear" w:pos="425"/>
                <w:tab w:val="decimal" w:pos="1451"/>
              </w:tabs>
              <w:jc w:val="left"/>
            </w:pPr>
            <w:r>
              <w:t>0,001</w:t>
            </w:r>
          </w:p>
        </w:tc>
      </w:tr>
      <w:tr>
        <w:trPr>
          <w:trHeight w:val="265"/>
        </w:trPr>
        <w:tc>
          <w:tcPr>
            <w:tcW w:w="4786" w:type="dxa"/>
          </w:tcPr>
          <w:p>
            <w:pPr>
              <w:pStyle w:val="GesAbsatz"/>
              <w:jc w:val="left"/>
              <w:rPr>
                <w:color w:val="auto"/>
              </w:rPr>
            </w:pPr>
            <w:r>
              <w:rPr>
                <w:color w:val="auto"/>
              </w:rPr>
              <w:t>Folgende KREBSERZEUGENDE STOFFE bei einer Konzentration von über 5 Gewichtsprozent:</w:t>
            </w:r>
          </w:p>
          <w:p>
            <w:pPr>
              <w:pStyle w:val="GesAbsatz"/>
              <w:jc w:val="left"/>
              <w:rPr>
                <w:color w:val="auto"/>
              </w:rPr>
            </w:pPr>
            <w:r>
              <w:rPr>
                <w:color w:val="auto"/>
              </w:rPr>
              <w:t>4-Aminobiphenyl und/oder seine Salze, Benzotri</w:t>
            </w:r>
            <w:r>
              <w:rPr>
                <w:color w:val="auto"/>
              </w:rPr>
              <w:softHyphen/>
              <w:t>chlorid, Benzidin und/oder seine Salze, Bis(</w:t>
            </w:r>
            <w:proofErr w:type="spellStart"/>
            <w:r>
              <w:rPr>
                <w:color w:val="auto"/>
              </w:rPr>
              <w:t>chlor</w:t>
            </w:r>
            <w:r>
              <w:rPr>
                <w:color w:val="auto"/>
              </w:rPr>
              <w:softHyphen/>
              <w:t>methyl</w:t>
            </w:r>
            <w:proofErr w:type="spellEnd"/>
            <w:r>
              <w:rPr>
                <w:color w:val="auto"/>
              </w:rPr>
              <w:t>)</w:t>
            </w:r>
            <w:proofErr w:type="spellStart"/>
            <w:r>
              <w:rPr>
                <w:color w:val="auto"/>
              </w:rPr>
              <w:t>ether</w:t>
            </w:r>
            <w:proofErr w:type="spellEnd"/>
            <w:r>
              <w:rPr>
                <w:color w:val="auto"/>
              </w:rPr>
              <w:t>, Chlormethylmethylether, 1,2-Dibromethan, Diethylsulfat, Dimethylsulfat, Dimethylcarbamoylchlorid, 1,2-Dibrom-3-chlorpropan, 1,2-Dimethylhydrazin, Dimethylnitrosamin, Hexamethyl</w:t>
            </w:r>
            <w:r>
              <w:rPr>
                <w:color w:val="auto"/>
              </w:rPr>
              <w:softHyphen/>
              <w:t>phos</w:t>
            </w:r>
            <w:r>
              <w:rPr>
                <w:color w:val="auto"/>
              </w:rPr>
              <w:softHyphen/>
              <w:t>phorsäuretriamid, Hydrazin, 2-Naphthylamin und/oder seine Salze, 4-Nitrodiphenyl und 1,3-Propansulton</w:t>
            </w:r>
          </w:p>
        </w:tc>
        <w:tc>
          <w:tcPr>
            <w:tcW w:w="2268" w:type="dxa"/>
          </w:tcPr>
          <w:p>
            <w:pPr>
              <w:pStyle w:val="GesAbsatz"/>
              <w:tabs>
                <w:tab w:val="clear" w:pos="425"/>
                <w:tab w:val="decimal" w:pos="1151"/>
              </w:tabs>
              <w:jc w:val="left"/>
              <w:rPr>
                <w:color w:val="auto"/>
              </w:rPr>
            </w:pPr>
            <w:r>
              <w:rPr>
                <w:color w:val="auto"/>
              </w:rPr>
              <w:t>0,5</w:t>
            </w:r>
          </w:p>
        </w:tc>
        <w:tc>
          <w:tcPr>
            <w:tcW w:w="2693" w:type="dxa"/>
          </w:tcPr>
          <w:p>
            <w:pPr>
              <w:pStyle w:val="GesAbsatz"/>
              <w:tabs>
                <w:tab w:val="clear" w:pos="425"/>
                <w:tab w:val="decimal" w:pos="1451"/>
              </w:tabs>
              <w:jc w:val="left"/>
              <w:rPr>
                <w:color w:val="auto"/>
              </w:rPr>
            </w:pPr>
            <w:r>
              <w:rPr>
                <w:color w:val="auto"/>
              </w:rPr>
              <w:t>2</w:t>
            </w:r>
          </w:p>
        </w:tc>
      </w:tr>
      <w:tr>
        <w:tc>
          <w:tcPr>
            <w:tcW w:w="4786" w:type="dxa"/>
          </w:tcPr>
          <w:p>
            <w:pPr>
              <w:pStyle w:val="GesAbsatz"/>
              <w:tabs>
                <w:tab w:val="clear" w:pos="425"/>
                <w:tab w:val="left" w:pos="284"/>
              </w:tabs>
              <w:jc w:val="left"/>
              <w:rPr>
                <w:color w:val="auto"/>
              </w:rPr>
            </w:pPr>
            <w:r>
              <w:rPr>
                <w:color w:val="auto"/>
              </w:rPr>
              <w:t>Erdölerzeugnisse:</w:t>
            </w:r>
          </w:p>
          <w:p>
            <w:pPr>
              <w:pStyle w:val="GesAbsatz"/>
              <w:tabs>
                <w:tab w:val="clear" w:pos="425"/>
                <w:tab w:val="left" w:pos="284"/>
              </w:tabs>
              <w:jc w:val="left"/>
              <w:rPr>
                <w:color w:val="auto"/>
              </w:rPr>
            </w:pPr>
            <w:r>
              <w:rPr>
                <w:color w:val="auto"/>
              </w:rPr>
              <w:t>a)</w:t>
            </w:r>
            <w:r>
              <w:rPr>
                <w:color w:val="auto"/>
              </w:rPr>
              <w:tab/>
              <w:t>Ottokraftstoffe und Naphta</w:t>
            </w:r>
            <w:r>
              <w:rPr>
                <w:color w:val="auto"/>
              </w:rPr>
              <w:br/>
              <w:t>b)</w:t>
            </w:r>
            <w:r>
              <w:rPr>
                <w:color w:val="auto"/>
              </w:rPr>
              <w:tab/>
              <w:t>Kerosine (einschließlich Flugturbinenkraftstoffe), c)</w:t>
            </w:r>
            <w:r>
              <w:rPr>
                <w:color w:val="auto"/>
              </w:rPr>
              <w:tab/>
              <w:t xml:space="preserve">Gasöle (einschließlich Dieselkraftstoffe, leichtes </w:t>
            </w:r>
            <w:r>
              <w:rPr>
                <w:color w:val="auto"/>
              </w:rPr>
              <w:lastRenderedPageBreak/>
              <w:tab/>
              <w:t xml:space="preserve">Heizöl und Gasölmischströme) </w:t>
            </w:r>
            <w:r>
              <w:rPr>
                <w:color w:val="auto"/>
              </w:rPr>
              <w:br/>
              <w:t>d)</w:t>
            </w:r>
            <w:r>
              <w:rPr>
                <w:color w:val="auto"/>
              </w:rPr>
              <w:tab/>
              <w:t>Schweröle</w:t>
            </w:r>
          </w:p>
        </w:tc>
        <w:tc>
          <w:tcPr>
            <w:tcW w:w="2268" w:type="dxa"/>
          </w:tcPr>
          <w:p>
            <w:pPr>
              <w:pStyle w:val="GesAbsatz"/>
              <w:tabs>
                <w:tab w:val="clear" w:pos="425"/>
                <w:tab w:val="decimal" w:pos="1168"/>
              </w:tabs>
              <w:jc w:val="left"/>
              <w:rPr>
                <w:color w:val="auto"/>
              </w:rPr>
            </w:pPr>
            <w:r>
              <w:rPr>
                <w:color w:val="auto"/>
              </w:rPr>
              <w:lastRenderedPageBreak/>
              <w:t xml:space="preserve">2500 </w:t>
            </w:r>
          </w:p>
        </w:tc>
        <w:tc>
          <w:tcPr>
            <w:tcW w:w="2693" w:type="dxa"/>
          </w:tcPr>
          <w:p>
            <w:pPr>
              <w:pStyle w:val="GesAbsatz"/>
              <w:tabs>
                <w:tab w:val="clear" w:pos="425"/>
              </w:tabs>
              <w:jc w:val="center"/>
              <w:rPr>
                <w:color w:val="auto"/>
              </w:rPr>
            </w:pPr>
            <w:r>
              <w:rPr>
                <w:color w:val="auto"/>
              </w:rPr>
              <w:t>25 000</w:t>
            </w:r>
          </w:p>
        </w:tc>
      </w:tr>
    </w:tbl>
    <w:p>
      <w:pPr>
        <w:pStyle w:val="GesAbsatz"/>
        <w:rPr>
          <w:color w:val="auto"/>
        </w:rPr>
      </w:pPr>
    </w:p>
    <w:p>
      <w:pPr>
        <w:pStyle w:val="GesAbsatz"/>
        <w:jc w:val="center"/>
        <w:rPr>
          <w:b/>
        </w:rPr>
      </w:pPr>
      <w:r>
        <w:rPr>
          <w:b/>
        </w:rPr>
        <w:t>Anmerkungen</w:t>
      </w:r>
    </w:p>
    <w:p>
      <w:pPr>
        <w:pStyle w:val="GesAbsatz"/>
        <w:rPr>
          <w:color w:val="auto"/>
        </w:rPr>
      </w:pPr>
      <w:r>
        <w:rPr>
          <w:color w:val="auto"/>
        </w:rPr>
        <w:t>1.</w:t>
      </w:r>
      <w:r>
        <w:rPr>
          <w:color w:val="auto"/>
        </w:rPr>
        <w:tab/>
        <w:t>Ammoniumnitrat (5000/10000): Düngemittel, die zu einer selbstunterhaltenden Zersetzung fähig sind</w:t>
      </w:r>
    </w:p>
    <w:p>
      <w:pPr>
        <w:pStyle w:val="GesAbsatz"/>
        <w:ind w:left="426" w:hanging="426"/>
        <w:rPr>
          <w:color w:val="auto"/>
        </w:rPr>
      </w:pPr>
      <w:r>
        <w:rPr>
          <w:color w:val="auto"/>
        </w:rPr>
        <w:tab/>
        <w:t>Dies gilt für Ammoniumnitrat-Mischdünger/Volldünger (Mischdünger/Volldünger enthalten Ammoniumnitrat mit Phosphat und/oder Pottasche), bei denen der von Ammoniumnitrat abgeleitete Stickstoffgehalt</w:t>
      </w:r>
    </w:p>
    <w:p>
      <w:pPr>
        <w:pStyle w:val="GesAbsatz"/>
        <w:ind w:left="851" w:hanging="851"/>
        <w:rPr>
          <w:color w:val="auto"/>
        </w:rPr>
      </w:pPr>
      <w:r>
        <w:rPr>
          <w:color w:val="auto"/>
        </w:rPr>
        <w:tab/>
        <w:t>-</w:t>
      </w:r>
      <w:r>
        <w:rPr>
          <w:color w:val="auto"/>
        </w:rPr>
        <w:tab/>
        <w:t>gewichtsmäßig zwischen 15,75 %</w:t>
      </w:r>
      <w:r>
        <w:rPr>
          <w:rStyle w:val="Funotenzeichen"/>
          <w:color w:val="auto"/>
        </w:rPr>
        <w:footnoteReference w:id="9"/>
      </w:r>
      <w:r>
        <w:rPr>
          <w:color w:val="auto"/>
        </w:rPr>
        <w:t xml:space="preserve"> und 24,5 %</w:t>
      </w:r>
      <w:r>
        <w:rPr>
          <w:rStyle w:val="Funotenzeichen"/>
          <w:color w:val="auto"/>
        </w:rPr>
        <w:footnoteReference w:id="10"/>
      </w:r>
      <w:r>
        <w:rPr>
          <w:color w:val="auto"/>
          <w:sz w:val="16"/>
          <w:szCs w:val="16"/>
        </w:rPr>
        <w:t xml:space="preserve"> </w:t>
      </w:r>
      <w:r>
        <w:rPr>
          <w:color w:val="auto"/>
        </w:rPr>
        <w:t>beträgt und die entweder insgesamt höchstens 0,4 % brennbaren organischen Materials enthalten oder die Anforderungen des Anhangs II der Richtlinie 80/876/EWG erfüllen,</w:t>
      </w:r>
    </w:p>
    <w:p>
      <w:pPr>
        <w:pStyle w:val="GesAbsatz"/>
        <w:ind w:left="851" w:hanging="851"/>
        <w:rPr>
          <w:color w:val="auto"/>
        </w:rPr>
      </w:pPr>
      <w:r>
        <w:rPr>
          <w:color w:val="auto"/>
        </w:rPr>
        <w:tab/>
        <w:t>-</w:t>
      </w:r>
      <w:r>
        <w:rPr>
          <w:color w:val="auto"/>
        </w:rPr>
        <w:tab/>
        <w:t>gewichtsmäßig höchstens 15,75 %</w:t>
      </w:r>
      <w:r>
        <w:rPr>
          <w:rStyle w:val="Funotenzeichen"/>
          <w:color w:val="auto"/>
        </w:rPr>
        <w:footnoteReference w:id="11"/>
      </w:r>
      <w:r>
        <w:rPr>
          <w:color w:val="auto"/>
          <w:sz w:val="16"/>
          <w:szCs w:val="16"/>
        </w:rPr>
        <w:t xml:space="preserve"> </w:t>
      </w:r>
      <w:r>
        <w:rPr>
          <w:color w:val="auto"/>
        </w:rPr>
        <w:t>beträgt und brennbares Material keiner Begrenzung unterliegt,</w:t>
      </w:r>
    </w:p>
    <w:p>
      <w:pPr>
        <w:pStyle w:val="GesAbsatz"/>
        <w:ind w:left="426" w:hanging="426"/>
        <w:rPr>
          <w:color w:val="auto"/>
        </w:rPr>
      </w:pPr>
      <w:r>
        <w:rPr>
          <w:color w:val="auto"/>
        </w:rPr>
        <w:tab/>
        <w:t>und die nach der Trogprüfung der Vereinten Nationen ('trough test' nach 'United Nations Recommendations on the Transport of Dangerous Goods: Manual of Tests and Criteria', Teil III Abschnitt 38.2) zu einer selbstunterhaltenden Zersetzung fähig sind.</w:t>
      </w:r>
    </w:p>
    <w:p>
      <w:pPr>
        <w:pStyle w:val="GesAbsatz"/>
        <w:rPr>
          <w:color w:val="auto"/>
        </w:rPr>
      </w:pPr>
      <w:r>
        <w:rPr>
          <w:color w:val="auto"/>
        </w:rPr>
        <w:t>2.</w:t>
      </w:r>
      <w:r>
        <w:rPr>
          <w:color w:val="auto"/>
        </w:rPr>
        <w:tab/>
        <w:t>Ammoniumnitrat (1250/5000): Düngemittelqualität</w:t>
      </w:r>
    </w:p>
    <w:p>
      <w:pPr>
        <w:pStyle w:val="GesAbsatz"/>
        <w:ind w:left="426" w:hanging="426"/>
        <w:rPr>
          <w:color w:val="auto"/>
        </w:rPr>
      </w:pPr>
      <w:r>
        <w:rPr>
          <w:color w:val="auto"/>
        </w:rPr>
        <w:tab/>
        <w:t>Dies gilt für reine Ammoniumnitrat-Düngemittel und für Ammoniumnitrat-Mischdünger/Volldünger, bei denen der von Ammoniumnitrat abgeleitete Stickstoffgehalt</w:t>
      </w:r>
    </w:p>
    <w:p>
      <w:pPr>
        <w:pStyle w:val="GesAbsatz"/>
        <w:ind w:left="851" w:hanging="851"/>
        <w:rPr>
          <w:color w:val="auto"/>
        </w:rPr>
      </w:pPr>
      <w:r>
        <w:rPr>
          <w:color w:val="auto"/>
        </w:rPr>
        <w:tab/>
        <w:t>-</w:t>
      </w:r>
      <w:r>
        <w:rPr>
          <w:color w:val="auto"/>
        </w:rPr>
        <w:tab/>
        <w:t>gewichtsmäßig größer als 24,5 % ist, ausgenommen Mischungen von Ammoniumnitrat und Dolomit, Kalkstein und/oder Calciumcarbonat mit einem Reinheitsgrad von mindestens 90 %,</w:t>
      </w:r>
    </w:p>
    <w:p>
      <w:pPr>
        <w:pStyle w:val="GesAbsatz"/>
        <w:ind w:left="851" w:hanging="851"/>
        <w:rPr>
          <w:color w:val="auto"/>
        </w:rPr>
      </w:pPr>
      <w:r>
        <w:rPr>
          <w:color w:val="auto"/>
        </w:rPr>
        <w:tab/>
        <w:t>-</w:t>
      </w:r>
      <w:r>
        <w:rPr>
          <w:color w:val="auto"/>
        </w:rPr>
        <w:tab/>
        <w:t>bei Mischungen von Ammoniumnitrat und Ammoniumsulfat gewichtsmäßig größer als 15,75 % ist,</w:t>
      </w:r>
    </w:p>
    <w:p>
      <w:pPr>
        <w:pStyle w:val="GesAbsatz"/>
        <w:ind w:left="851" w:hanging="851"/>
        <w:rPr>
          <w:color w:val="auto"/>
        </w:rPr>
      </w:pPr>
      <w:r>
        <w:rPr>
          <w:color w:val="auto"/>
        </w:rPr>
        <w:tab/>
        <w:t>-</w:t>
      </w:r>
      <w:r>
        <w:rPr>
          <w:color w:val="auto"/>
        </w:rPr>
        <w:tab/>
        <w:t>bei Mischungen von Ammoniumnitrat und Dolomit, Kalkstein und/oder Calciumcarbonat mit einem Reinheitsgrad von mindestens 90 % gewichtsmäßig größer als 28 %</w:t>
      </w:r>
      <w:r>
        <w:rPr>
          <w:rStyle w:val="Funotenzeichen"/>
          <w:color w:val="auto"/>
        </w:rPr>
        <w:footnoteReference w:id="12"/>
      </w:r>
      <w:r>
        <w:rPr>
          <w:color w:val="auto"/>
          <w:sz w:val="16"/>
          <w:szCs w:val="16"/>
        </w:rPr>
        <w:t xml:space="preserve"> </w:t>
      </w:r>
      <w:r>
        <w:rPr>
          <w:color w:val="auto"/>
        </w:rPr>
        <w:t>ist und die die Anforderungen des Anhangs II der Richtlinie 80/876/EWG erfüllen.</w:t>
      </w:r>
    </w:p>
    <w:p>
      <w:pPr>
        <w:pStyle w:val="GesAbsatz"/>
        <w:rPr>
          <w:color w:val="auto"/>
        </w:rPr>
      </w:pPr>
      <w:r>
        <w:rPr>
          <w:color w:val="auto"/>
        </w:rPr>
        <w:t>3.</w:t>
      </w:r>
      <w:r>
        <w:rPr>
          <w:color w:val="auto"/>
        </w:rPr>
        <w:tab/>
        <w:t>Ammoniumnitrat (350/2500): technische Qualität</w:t>
      </w:r>
    </w:p>
    <w:p>
      <w:pPr>
        <w:pStyle w:val="GesAbsatz"/>
        <w:rPr>
          <w:color w:val="auto"/>
        </w:rPr>
      </w:pPr>
      <w:r>
        <w:rPr>
          <w:color w:val="auto"/>
        </w:rPr>
        <w:tab/>
        <w:t>Dies gilt</w:t>
      </w:r>
    </w:p>
    <w:p>
      <w:pPr>
        <w:pStyle w:val="GesAbsatz"/>
        <w:ind w:left="851" w:hanging="851"/>
        <w:rPr>
          <w:color w:val="auto"/>
        </w:rPr>
      </w:pPr>
      <w:r>
        <w:rPr>
          <w:color w:val="auto"/>
        </w:rPr>
        <w:tab/>
        <w:t>-</w:t>
      </w:r>
      <w:r>
        <w:rPr>
          <w:color w:val="auto"/>
        </w:rPr>
        <w:tab/>
        <w:t>für Ammoniumnitrat und Zubereitungen aus Ammoniumnitrat, bei denen der von Ammoniumnitrat abgeleitete Stickstoffgehalt</w:t>
      </w:r>
    </w:p>
    <w:p>
      <w:pPr>
        <w:pStyle w:val="GesAbsatz"/>
        <w:ind w:left="851" w:hanging="851"/>
        <w:rPr>
          <w:color w:val="auto"/>
        </w:rPr>
      </w:pPr>
      <w:r>
        <w:rPr>
          <w:color w:val="auto"/>
        </w:rPr>
        <w:tab/>
        <w:t>-</w:t>
      </w:r>
      <w:r>
        <w:rPr>
          <w:color w:val="auto"/>
        </w:rPr>
        <w:tab/>
        <w:t>gewichtsmäßig zwischen 24,5 % und 28 % beträgt und die höchstens 0,4 % brennbarer Stoffe enthalten,</w:t>
      </w:r>
    </w:p>
    <w:p>
      <w:pPr>
        <w:pStyle w:val="GesAbsatz"/>
        <w:ind w:left="851" w:hanging="851"/>
        <w:rPr>
          <w:color w:val="auto"/>
        </w:rPr>
      </w:pPr>
      <w:r>
        <w:rPr>
          <w:color w:val="auto"/>
        </w:rPr>
        <w:tab/>
        <w:t>-</w:t>
      </w:r>
      <w:r>
        <w:rPr>
          <w:color w:val="auto"/>
        </w:rPr>
        <w:tab/>
        <w:t>gewichtsmäßig größer als 28 % ist und die höchstens 0,2 % brennbarer Stoffe enthalten,</w:t>
      </w:r>
    </w:p>
    <w:p>
      <w:pPr>
        <w:pStyle w:val="GesAbsatz"/>
        <w:ind w:left="851" w:hanging="851"/>
        <w:rPr>
          <w:color w:val="auto"/>
        </w:rPr>
      </w:pPr>
      <w:r>
        <w:rPr>
          <w:color w:val="auto"/>
        </w:rPr>
        <w:tab/>
        <w:t>-</w:t>
      </w:r>
      <w:r>
        <w:rPr>
          <w:color w:val="auto"/>
        </w:rPr>
        <w:tab/>
        <w:t>für wässrige Lösungen von Ammoniumnitrat, bei denen die Konzentration von Ammoniumnitrat gewichtsmäßig größer als 80 % ist.</w:t>
      </w:r>
    </w:p>
    <w:p>
      <w:pPr>
        <w:pStyle w:val="GesAbsatz"/>
        <w:ind w:left="426" w:hanging="426"/>
        <w:rPr>
          <w:color w:val="auto"/>
        </w:rPr>
      </w:pPr>
      <w:r>
        <w:rPr>
          <w:color w:val="auto"/>
        </w:rPr>
        <w:t>4.</w:t>
      </w:r>
      <w:r>
        <w:rPr>
          <w:color w:val="auto"/>
        </w:rPr>
        <w:tab/>
        <w:t>Ammoniumnitrat (10/50): nicht spezifikationsgerechtes Material ('Off-Specs') und Düngemittel, die den Detonationstest nicht bestehen.</w:t>
      </w:r>
    </w:p>
    <w:p>
      <w:pPr>
        <w:pStyle w:val="GesAbsatz"/>
        <w:rPr>
          <w:color w:val="auto"/>
        </w:rPr>
      </w:pPr>
      <w:r>
        <w:rPr>
          <w:color w:val="auto"/>
        </w:rPr>
        <w:tab/>
        <w:t>Dies gilt für</w:t>
      </w:r>
    </w:p>
    <w:p>
      <w:pPr>
        <w:pStyle w:val="GesAbsatz"/>
        <w:ind w:left="851" w:hanging="851"/>
        <w:rPr>
          <w:color w:val="auto"/>
        </w:rPr>
      </w:pPr>
      <w:r>
        <w:rPr>
          <w:color w:val="auto"/>
        </w:rPr>
        <w:tab/>
        <w:t>-</w:t>
      </w:r>
      <w:r>
        <w:rPr>
          <w:color w:val="auto"/>
        </w:rPr>
        <w:tab/>
        <w:t>zurückgewiesenes Material aus dem Produktionsprozess und für Ammoniumnitrat und Zubereitungen von Ammoniumnitrat, reine Ammoniumnitrat-Düngemittel und Ammoniumnitrat-Mischdünger/Volldünger gemäß den Anmerkungen 2 und 3, die</w:t>
      </w:r>
      <w:r>
        <w:rPr>
          <w:color w:val="auto"/>
          <w:sz w:val="13"/>
          <w:szCs w:val="13"/>
        </w:rPr>
        <w:t xml:space="preserve"> </w:t>
      </w:r>
      <w:r>
        <w:rPr>
          <w:color w:val="auto"/>
        </w:rPr>
        <w:t>vom Endverbraucher an einen Hersteller, eine Anlage zur vorübergehenden Lagerung oder eine Wiederaufarbeitungsanlage zum Zweck der Aufarbeitung, Wiederverwertung oder Behandlung zur sicheren Verwendung zurückgegeben werden oder wurden, weil sie die Anforderungen der Anmerkungen 2 und 3 nicht mehr erfüllen,</w:t>
      </w:r>
    </w:p>
    <w:p>
      <w:pPr>
        <w:pStyle w:val="GesAbsatz"/>
        <w:ind w:left="851" w:hanging="851"/>
        <w:rPr>
          <w:color w:val="auto"/>
        </w:rPr>
      </w:pPr>
      <w:r>
        <w:rPr>
          <w:color w:val="auto"/>
        </w:rPr>
        <w:lastRenderedPageBreak/>
        <w:tab/>
        <w:t>-</w:t>
      </w:r>
      <w:r>
        <w:rPr>
          <w:color w:val="auto"/>
        </w:rPr>
        <w:tab/>
        <w:t>Düngemittel gemäß der Anmerkung 1 erster Gedankenstrich und der Anmerkung 2, die die Anforderungen des Anhangs II der Richtlinie 80/876/EWG nicht erfüllen.</w:t>
      </w:r>
    </w:p>
    <w:p>
      <w:pPr>
        <w:pStyle w:val="GesAbsatz"/>
        <w:ind w:left="426" w:hanging="426"/>
        <w:rPr>
          <w:color w:val="auto"/>
        </w:rPr>
      </w:pPr>
      <w:r>
        <w:rPr>
          <w:color w:val="auto"/>
        </w:rPr>
        <w:t>5.</w:t>
      </w:r>
      <w:r>
        <w:rPr>
          <w:color w:val="auto"/>
        </w:rPr>
        <w:tab/>
        <w:t>Kaliumnitrat (5000/10000): Mehrnährstoffdünger auf der Basis von Kaliumnitrat mit Kaliumnitrat in geprillter oder granulierter Form.</w:t>
      </w:r>
    </w:p>
    <w:p>
      <w:pPr>
        <w:pStyle w:val="GesAbsatz"/>
        <w:ind w:left="426" w:hanging="426"/>
        <w:rPr>
          <w:color w:val="auto"/>
        </w:rPr>
      </w:pPr>
      <w:r>
        <w:rPr>
          <w:color w:val="auto"/>
        </w:rPr>
        <w:t>6.</w:t>
      </w:r>
      <w:r>
        <w:rPr>
          <w:color w:val="auto"/>
        </w:rPr>
        <w:tab/>
        <w:t>Kaliumnitrat (1250/5000): Mehrnährstoffdünger auf der Basis von Kaliumnitrat mit Kaliumnitrat in kristalliner Form.</w:t>
      </w:r>
    </w:p>
    <w:p>
      <w:pPr>
        <w:pStyle w:val="GesAbsatz"/>
        <w:ind w:left="426" w:hanging="426"/>
      </w:pPr>
      <w:r>
        <w:t>7.</w:t>
      </w:r>
      <w:r>
        <w:tab/>
        <w:t xml:space="preserve">Polychlordibenzofurane und Polychlordibenzodioxine </w:t>
      </w:r>
    </w:p>
    <w:p>
      <w:pPr>
        <w:pStyle w:val="GesAbsatz"/>
        <w:ind w:left="426" w:hanging="426"/>
      </w:pPr>
      <w:r>
        <w:tab/>
        <w:t>Berechnung der Mengen von Polychlordibenzofuranen und Polychlordibenzodioxinen erfolgt aufgrund der nachstehend aufgeführten Äquivalenzfaktoren:</w:t>
      </w:r>
    </w:p>
    <w:p>
      <w:pPr>
        <w:pStyle w:val="GesAbsatz"/>
      </w:pPr>
    </w:p>
    <w:tbl>
      <w:tblPr>
        <w:tblW w:w="9747" w:type="dxa"/>
        <w:tblBorders>
          <w:top w:val="nil"/>
          <w:left w:val="nil"/>
          <w:bottom w:val="nil"/>
          <w:right w:val="nil"/>
        </w:tblBorders>
        <w:tblLayout w:type="fixed"/>
        <w:tblLook w:val="0000" w:firstRow="0" w:lastRow="0" w:firstColumn="0" w:lastColumn="0" w:noHBand="0" w:noVBand="0"/>
      </w:tblPr>
      <w:tblGrid>
        <w:gridCol w:w="2235"/>
        <w:gridCol w:w="425"/>
        <w:gridCol w:w="1984"/>
        <w:gridCol w:w="2127"/>
        <w:gridCol w:w="567"/>
        <w:gridCol w:w="2409"/>
      </w:tblGrid>
      <w:tr>
        <w:trPr>
          <w:trHeight w:val="353"/>
        </w:trPr>
        <w:tc>
          <w:tcPr>
            <w:tcW w:w="9747" w:type="dxa"/>
            <w:gridSpan w:val="6"/>
            <w:tcBorders>
              <w:top w:val="single" w:sz="6" w:space="0" w:color="000000"/>
              <w:left w:val="single" w:sz="6" w:space="0" w:color="000000"/>
              <w:bottom w:val="single" w:sz="6" w:space="0" w:color="000000"/>
              <w:right w:val="single" w:sz="6" w:space="0" w:color="000000"/>
            </w:tcBorders>
          </w:tcPr>
          <w:p>
            <w:pPr>
              <w:pStyle w:val="GesAbsatz"/>
              <w:jc w:val="left"/>
              <w:rPr>
                <w:color w:val="auto"/>
                <w:lang w:val="en-GB"/>
              </w:rPr>
            </w:pPr>
            <w:r>
              <w:rPr>
                <w:color w:val="auto"/>
                <w:lang w:val="en-GB"/>
              </w:rPr>
              <w:t xml:space="preserve">International Toxic Equivalent Factors (ITEF) for the congeners of concern (NATO/CCMS) </w:t>
            </w:r>
          </w:p>
        </w:tc>
      </w:tr>
      <w:tr>
        <w:trPr>
          <w:trHeight w:val="257"/>
        </w:trPr>
        <w:tc>
          <w:tcPr>
            <w:tcW w:w="2235" w:type="dxa"/>
            <w:tcBorders>
              <w:top w:val="single" w:sz="6" w:space="0" w:color="000000"/>
              <w:left w:val="single" w:sz="6" w:space="0" w:color="000000"/>
            </w:tcBorders>
          </w:tcPr>
          <w:p>
            <w:pPr>
              <w:pStyle w:val="GesAbsatz"/>
              <w:jc w:val="left"/>
              <w:rPr>
                <w:color w:val="auto"/>
              </w:rPr>
            </w:pPr>
            <w:r>
              <w:rPr>
                <w:color w:val="auto"/>
              </w:rPr>
              <w:t xml:space="preserve">2,3,7,8-TCDD </w:t>
            </w:r>
          </w:p>
        </w:tc>
        <w:tc>
          <w:tcPr>
            <w:tcW w:w="2409" w:type="dxa"/>
            <w:gridSpan w:val="2"/>
            <w:tcBorders>
              <w:top w:val="single" w:sz="6" w:space="0" w:color="000000"/>
              <w:right w:val="single" w:sz="6" w:space="0" w:color="000000"/>
            </w:tcBorders>
          </w:tcPr>
          <w:p>
            <w:pPr>
              <w:pStyle w:val="GesAbsatz"/>
              <w:tabs>
                <w:tab w:val="clear" w:pos="425"/>
                <w:tab w:val="decimal" w:pos="1309"/>
              </w:tabs>
              <w:jc w:val="left"/>
              <w:rPr>
                <w:color w:val="auto"/>
              </w:rPr>
            </w:pPr>
            <w:r>
              <w:rPr>
                <w:color w:val="auto"/>
              </w:rPr>
              <w:t xml:space="preserve">1 </w:t>
            </w:r>
          </w:p>
        </w:tc>
        <w:tc>
          <w:tcPr>
            <w:tcW w:w="2127" w:type="dxa"/>
            <w:tcBorders>
              <w:top w:val="single" w:sz="6" w:space="0" w:color="000000"/>
              <w:left w:val="single" w:sz="6" w:space="0" w:color="000000"/>
            </w:tcBorders>
          </w:tcPr>
          <w:p>
            <w:pPr>
              <w:pStyle w:val="GesAbsatz"/>
              <w:jc w:val="left"/>
              <w:rPr>
                <w:color w:val="auto"/>
              </w:rPr>
            </w:pPr>
            <w:r>
              <w:rPr>
                <w:color w:val="auto"/>
              </w:rPr>
              <w:t xml:space="preserve">2,3,7,8-TCDF </w:t>
            </w:r>
          </w:p>
        </w:tc>
        <w:tc>
          <w:tcPr>
            <w:tcW w:w="2976" w:type="dxa"/>
            <w:gridSpan w:val="2"/>
            <w:tcBorders>
              <w:top w:val="single" w:sz="6" w:space="0" w:color="000000"/>
              <w:right w:val="single" w:sz="6" w:space="0" w:color="000000"/>
            </w:tcBorders>
          </w:tcPr>
          <w:p>
            <w:pPr>
              <w:pStyle w:val="GesAbsatz"/>
              <w:tabs>
                <w:tab w:val="clear" w:pos="425"/>
                <w:tab w:val="decimal" w:pos="1593"/>
              </w:tabs>
              <w:jc w:val="left"/>
              <w:rPr>
                <w:color w:val="auto"/>
              </w:rPr>
            </w:pPr>
            <w:r>
              <w:rPr>
                <w:color w:val="auto"/>
              </w:rPr>
              <w:t xml:space="preserve">0,1 </w:t>
            </w:r>
          </w:p>
        </w:tc>
      </w:tr>
      <w:tr>
        <w:trPr>
          <w:trHeight w:val="328"/>
        </w:trPr>
        <w:tc>
          <w:tcPr>
            <w:tcW w:w="2235" w:type="dxa"/>
            <w:vMerge w:val="restart"/>
            <w:tcBorders>
              <w:left w:val="single" w:sz="6" w:space="0" w:color="000000"/>
            </w:tcBorders>
          </w:tcPr>
          <w:p>
            <w:pPr>
              <w:pStyle w:val="GesAbsatz"/>
              <w:jc w:val="left"/>
              <w:rPr>
                <w:color w:val="auto"/>
              </w:rPr>
            </w:pPr>
            <w:r>
              <w:rPr>
                <w:color w:val="auto"/>
              </w:rPr>
              <w:t xml:space="preserve">1,2,3,7,8-PeCDD </w:t>
            </w:r>
          </w:p>
        </w:tc>
        <w:tc>
          <w:tcPr>
            <w:tcW w:w="2409" w:type="dxa"/>
            <w:gridSpan w:val="2"/>
            <w:vMerge w:val="restart"/>
            <w:tcBorders>
              <w:right w:val="single" w:sz="6" w:space="0" w:color="000000"/>
            </w:tcBorders>
          </w:tcPr>
          <w:p>
            <w:pPr>
              <w:pStyle w:val="GesAbsatz"/>
              <w:tabs>
                <w:tab w:val="clear" w:pos="425"/>
                <w:tab w:val="decimal" w:pos="1290"/>
              </w:tabs>
              <w:jc w:val="left"/>
              <w:rPr>
                <w:color w:val="auto"/>
              </w:rPr>
            </w:pPr>
            <w:r>
              <w:rPr>
                <w:color w:val="auto"/>
              </w:rPr>
              <w:t xml:space="preserve">0,5 </w:t>
            </w:r>
          </w:p>
        </w:tc>
        <w:tc>
          <w:tcPr>
            <w:tcW w:w="2127" w:type="dxa"/>
            <w:tcBorders>
              <w:left w:val="single" w:sz="6" w:space="0" w:color="000000"/>
            </w:tcBorders>
          </w:tcPr>
          <w:p>
            <w:pPr>
              <w:pStyle w:val="GesAbsatz"/>
              <w:jc w:val="left"/>
              <w:rPr>
                <w:color w:val="auto"/>
              </w:rPr>
            </w:pPr>
            <w:r>
              <w:rPr>
                <w:color w:val="auto"/>
              </w:rPr>
              <w:t xml:space="preserve">2,3,4,7,8-PeCDF </w:t>
            </w:r>
          </w:p>
        </w:tc>
        <w:tc>
          <w:tcPr>
            <w:tcW w:w="2976" w:type="dxa"/>
            <w:gridSpan w:val="2"/>
            <w:tcBorders>
              <w:right w:val="single" w:sz="6" w:space="0" w:color="000000"/>
            </w:tcBorders>
          </w:tcPr>
          <w:p>
            <w:pPr>
              <w:pStyle w:val="GesAbsatz"/>
              <w:tabs>
                <w:tab w:val="clear" w:pos="425"/>
                <w:tab w:val="decimal" w:pos="1593"/>
              </w:tabs>
              <w:jc w:val="left"/>
              <w:rPr>
                <w:color w:val="auto"/>
              </w:rPr>
            </w:pPr>
            <w:r>
              <w:rPr>
                <w:color w:val="auto"/>
              </w:rPr>
              <w:t xml:space="preserve">0,5 </w:t>
            </w:r>
          </w:p>
        </w:tc>
      </w:tr>
      <w:tr>
        <w:trPr>
          <w:trHeight w:val="226"/>
        </w:trPr>
        <w:tc>
          <w:tcPr>
            <w:tcW w:w="2235" w:type="dxa"/>
            <w:vMerge/>
            <w:tcBorders>
              <w:left w:val="single" w:sz="6" w:space="0" w:color="000000"/>
            </w:tcBorders>
          </w:tcPr>
          <w:p>
            <w:pPr>
              <w:pStyle w:val="GesAbsatz"/>
              <w:jc w:val="left"/>
              <w:rPr>
                <w:color w:val="auto"/>
              </w:rPr>
            </w:pPr>
          </w:p>
        </w:tc>
        <w:tc>
          <w:tcPr>
            <w:tcW w:w="2409" w:type="dxa"/>
            <w:gridSpan w:val="2"/>
            <w:vMerge/>
            <w:tcBorders>
              <w:bottom w:val="nil"/>
              <w:right w:val="single" w:sz="6" w:space="0" w:color="000000"/>
            </w:tcBorders>
          </w:tcPr>
          <w:p>
            <w:pPr>
              <w:pStyle w:val="GesAbsatz"/>
              <w:jc w:val="left"/>
              <w:rPr>
                <w:color w:val="auto"/>
              </w:rPr>
            </w:pPr>
          </w:p>
        </w:tc>
        <w:tc>
          <w:tcPr>
            <w:tcW w:w="2127" w:type="dxa"/>
            <w:tcBorders>
              <w:left w:val="single" w:sz="6" w:space="0" w:color="000000"/>
            </w:tcBorders>
          </w:tcPr>
          <w:p>
            <w:pPr>
              <w:pStyle w:val="GesAbsatz"/>
              <w:jc w:val="left"/>
              <w:rPr>
                <w:color w:val="auto"/>
              </w:rPr>
            </w:pPr>
            <w:r>
              <w:rPr>
                <w:color w:val="auto"/>
              </w:rPr>
              <w:t xml:space="preserve">1,2,3,7,8-PeCDF </w:t>
            </w:r>
          </w:p>
        </w:tc>
        <w:tc>
          <w:tcPr>
            <w:tcW w:w="2976" w:type="dxa"/>
            <w:gridSpan w:val="2"/>
            <w:tcBorders>
              <w:right w:val="single" w:sz="6" w:space="0" w:color="000000"/>
            </w:tcBorders>
          </w:tcPr>
          <w:p>
            <w:pPr>
              <w:pStyle w:val="GesAbsatz"/>
              <w:tabs>
                <w:tab w:val="clear" w:pos="425"/>
                <w:tab w:val="decimal" w:pos="1593"/>
              </w:tabs>
              <w:jc w:val="left"/>
              <w:rPr>
                <w:color w:val="auto"/>
              </w:rPr>
            </w:pPr>
            <w:r>
              <w:rPr>
                <w:color w:val="auto"/>
              </w:rPr>
              <w:t xml:space="preserve">0,05 </w:t>
            </w:r>
          </w:p>
        </w:tc>
      </w:tr>
      <w:tr>
        <w:trPr>
          <w:trHeight w:val="187"/>
        </w:trPr>
        <w:tc>
          <w:tcPr>
            <w:tcW w:w="2235" w:type="dxa"/>
            <w:tcBorders>
              <w:left w:val="single" w:sz="6" w:space="0" w:color="000000"/>
            </w:tcBorders>
          </w:tcPr>
          <w:p>
            <w:pPr>
              <w:pStyle w:val="GesAbsatz"/>
              <w:jc w:val="left"/>
              <w:rPr>
                <w:color w:val="auto"/>
              </w:rPr>
            </w:pPr>
            <w:r>
              <w:rPr>
                <w:color w:val="auto"/>
              </w:rPr>
              <w:t xml:space="preserve">1,2,3,4,7,8-HxCDD </w:t>
            </w:r>
          </w:p>
        </w:tc>
        <w:tc>
          <w:tcPr>
            <w:tcW w:w="425" w:type="dxa"/>
            <w:vMerge w:val="restart"/>
            <w:tcBorders>
              <w:top w:val="nil"/>
              <w:bottom w:val="nil"/>
              <w:right w:val="nil"/>
            </w:tcBorders>
          </w:tcPr>
          <w:p>
            <w:pPr>
              <w:pStyle w:val="GesAbsatz"/>
              <w:jc w:val="left"/>
              <w:rPr>
                <w:color w:val="auto"/>
                <w:sz w:val="72"/>
                <w:szCs w:val="72"/>
              </w:rPr>
            </w:pPr>
            <w:r>
              <w:rPr>
                <w:rFonts w:ascii="Times New Roman" w:hAnsi="Times New Roman"/>
                <w:color w:val="auto"/>
                <w:sz w:val="72"/>
                <w:szCs w:val="72"/>
              </w:rPr>
              <w:t>}</w:t>
            </w:r>
          </w:p>
        </w:tc>
        <w:tc>
          <w:tcPr>
            <w:tcW w:w="1984" w:type="dxa"/>
            <w:vMerge w:val="restart"/>
            <w:tcBorders>
              <w:top w:val="nil"/>
              <w:left w:val="nil"/>
              <w:bottom w:val="nil"/>
              <w:right w:val="single" w:sz="4" w:space="0" w:color="auto"/>
            </w:tcBorders>
            <w:vAlign w:val="center"/>
          </w:tcPr>
          <w:p>
            <w:pPr>
              <w:pStyle w:val="GesAbsatz"/>
              <w:jc w:val="center"/>
              <w:rPr>
                <w:color w:val="auto"/>
              </w:rPr>
            </w:pPr>
            <w:r>
              <w:rPr>
                <w:color w:val="auto"/>
              </w:rPr>
              <w:t>0,1</w:t>
            </w:r>
          </w:p>
        </w:tc>
        <w:tc>
          <w:tcPr>
            <w:tcW w:w="2127" w:type="dxa"/>
            <w:tcBorders>
              <w:left w:val="single" w:sz="4" w:space="0" w:color="auto"/>
            </w:tcBorders>
          </w:tcPr>
          <w:p>
            <w:pPr>
              <w:pStyle w:val="GesAbsatz"/>
              <w:jc w:val="left"/>
              <w:rPr>
                <w:color w:val="auto"/>
              </w:rPr>
            </w:pPr>
            <w:r>
              <w:rPr>
                <w:color w:val="auto"/>
              </w:rPr>
              <w:t xml:space="preserve">1,2,3,4,7,8-HxCDF </w:t>
            </w:r>
          </w:p>
        </w:tc>
        <w:tc>
          <w:tcPr>
            <w:tcW w:w="567" w:type="dxa"/>
            <w:vMerge w:val="restart"/>
            <w:tcBorders>
              <w:top w:val="nil"/>
              <w:bottom w:val="nil"/>
              <w:right w:val="nil"/>
            </w:tcBorders>
          </w:tcPr>
          <w:p>
            <w:pPr>
              <w:pStyle w:val="GesAbsatz"/>
              <w:jc w:val="left"/>
              <w:rPr>
                <w:color w:val="auto"/>
                <w:sz w:val="96"/>
                <w:szCs w:val="96"/>
              </w:rPr>
            </w:pPr>
            <w:r>
              <w:rPr>
                <w:rFonts w:ascii="Times New Roman" w:hAnsi="Times New Roman"/>
                <w:color w:val="auto"/>
                <w:sz w:val="96"/>
                <w:szCs w:val="96"/>
              </w:rPr>
              <w:t>}</w:t>
            </w:r>
          </w:p>
        </w:tc>
        <w:tc>
          <w:tcPr>
            <w:tcW w:w="2409" w:type="dxa"/>
            <w:vMerge w:val="restart"/>
            <w:tcBorders>
              <w:left w:val="nil"/>
              <w:right w:val="single" w:sz="6" w:space="0" w:color="000000"/>
            </w:tcBorders>
            <w:vAlign w:val="center"/>
          </w:tcPr>
          <w:p>
            <w:pPr>
              <w:pStyle w:val="GesAbsatz"/>
              <w:jc w:val="center"/>
              <w:rPr>
                <w:color w:val="auto"/>
              </w:rPr>
            </w:pPr>
            <w:r>
              <w:rPr>
                <w:color w:val="auto"/>
              </w:rPr>
              <w:t>0,1</w:t>
            </w:r>
          </w:p>
        </w:tc>
      </w:tr>
      <w:tr>
        <w:trPr>
          <w:trHeight w:val="277"/>
        </w:trPr>
        <w:tc>
          <w:tcPr>
            <w:tcW w:w="2235" w:type="dxa"/>
            <w:tcBorders>
              <w:left w:val="single" w:sz="6" w:space="0" w:color="000000"/>
            </w:tcBorders>
          </w:tcPr>
          <w:p>
            <w:pPr>
              <w:pStyle w:val="GesAbsatz"/>
              <w:jc w:val="left"/>
              <w:rPr>
                <w:color w:val="auto"/>
              </w:rPr>
            </w:pPr>
            <w:r>
              <w:rPr>
                <w:color w:val="auto"/>
              </w:rPr>
              <w:t xml:space="preserve">1,2,3,6,7,8-HxCDD </w:t>
            </w:r>
          </w:p>
        </w:tc>
        <w:tc>
          <w:tcPr>
            <w:tcW w:w="425" w:type="dxa"/>
            <w:vMerge/>
            <w:tcBorders>
              <w:top w:val="nil"/>
              <w:bottom w:val="nil"/>
              <w:right w:val="nil"/>
            </w:tcBorders>
          </w:tcPr>
          <w:p>
            <w:pPr>
              <w:pStyle w:val="GesAbsatz"/>
              <w:jc w:val="left"/>
              <w:rPr>
                <w:color w:val="auto"/>
              </w:rPr>
            </w:pPr>
          </w:p>
        </w:tc>
        <w:tc>
          <w:tcPr>
            <w:tcW w:w="1984" w:type="dxa"/>
            <w:vMerge/>
            <w:tcBorders>
              <w:top w:val="nil"/>
              <w:left w:val="nil"/>
              <w:bottom w:val="nil"/>
              <w:right w:val="single" w:sz="4" w:space="0" w:color="auto"/>
            </w:tcBorders>
          </w:tcPr>
          <w:p>
            <w:pPr>
              <w:pStyle w:val="GesAbsatz"/>
              <w:jc w:val="left"/>
              <w:rPr>
                <w:color w:val="auto"/>
              </w:rPr>
            </w:pPr>
          </w:p>
        </w:tc>
        <w:tc>
          <w:tcPr>
            <w:tcW w:w="2127" w:type="dxa"/>
            <w:tcBorders>
              <w:left w:val="single" w:sz="4" w:space="0" w:color="auto"/>
            </w:tcBorders>
          </w:tcPr>
          <w:p>
            <w:pPr>
              <w:pStyle w:val="GesAbsatz"/>
              <w:jc w:val="left"/>
              <w:rPr>
                <w:color w:val="auto"/>
              </w:rPr>
            </w:pPr>
            <w:r>
              <w:rPr>
                <w:color w:val="auto"/>
              </w:rPr>
              <w:t xml:space="preserve">1,2,3,7,8,9-HxCDF </w:t>
            </w:r>
          </w:p>
        </w:tc>
        <w:tc>
          <w:tcPr>
            <w:tcW w:w="567" w:type="dxa"/>
            <w:vMerge/>
            <w:tcBorders>
              <w:top w:val="nil"/>
              <w:bottom w:val="nil"/>
              <w:right w:val="nil"/>
            </w:tcBorders>
          </w:tcPr>
          <w:p>
            <w:pPr>
              <w:pStyle w:val="GesAbsatz"/>
              <w:jc w:val="left"/>
              <w:rPr>
                <w:color w:val="auto"/>
              </w:rPr>
            </w:pPr>
          </w:p>
        </w:tc>
        <w:tc>
          <w:tcPr>
            <w:tcW w:w="2409" w:type="dxa"/>
            <w:vMerge/>
            <w:tcBorders>
              <w:left w:val="nil"/>
              <w:right w:val="single" w:sz="6" w:space="0" w:color="000000"/>
            </w:tcBorders>
          </w:tcPr>
          <w:p>
            <w:pPr>
              <w:pStyle w:val="GesAbsatz"/>
              <w:jc w:val="left"/>
              <w:rPr>
                <w:color w:val="auto"/>
              </w:rPr>
            </w:pPr>
          </w:p>
        </w:tc>
      </w:tr>
      <w:tr>
        <w:trPr>
          <w:trHeight w:val="340"/>
        </w:trPr>
        <w:tc>
          <w:tcPr>
            <w:tcW w:w="2235" w:type="dxa"/>
            <w:tcBorders>
              <w:left w:val="single" w:sz="6" w:space="0" w:color="000000"/>
            </w:tcBorders>
          </w:tcPr>
          <w:p>
            <w:pPr>
              <w:pStyle w:val="GesAbsatz"/>
              <w:jc w:val="left"/>
              <w:rPr>
                <w:color w:val="auto"/>
              </w:rPr>
            </w:pPr>
            <w:r>
              <w:rPr>
                <w:color w:val="auto"/>
              </w:rPr>
              <w:t>1,2,3,7,8,9-HxCDD</w:t>
            </w:r>
          </w:p>
        </w:tc>
        <w:tc>
          <w:tcPr>
            <w:tcW w:w="425" w:type="dxa"/>
            <w:vMerge/>
            <w:tcBorders>
              <w:top w:val="nil"/>
              <w:bottom w:val="nil"/>
              <w:right w:val="nil"/>
            </w:tcBorders>
          </w:tcPr>
          <w:p>
            <w:pPr>
              <w:pStyle w:val="GesAbsatz"/>
              <w:jc w:val="left"/>
              <w:rPr>
                <w:color w:val="auto"/>
              </w:rPr>
            </w:pPr>
          </w:p>
        </w:tc>
        <w:tc>
          <w:tcPr>
            <w:tcW w:w="1984" w:type="dxa"/>
            <w:vMerge/>
            <w:tcBorders>
              <w:top w:val="nil"/>
              <w:left w:val="nil"/>
              <w:bottom w:val="nil"/>
              <w:right w:val="single" w:sz="4" w:space="0" w:color="auto"/>
            </w:tcBorders>
          </w:tcPr>
          <w:p>
            <w:pPr>
              <w:pStyle w:val="GesAbsatz"/>
              <w:jc w:val="left"/>
              <w:rPr>
                <w:color w:val="auto"/>
              </w:rPr>
            </w:pPr>
          </w:p>
        </w:tc>
        <w:tc>
          <w:tcPr>
            <w:tcW w:w="2127" w:type="dxa"/>
            <w:tcBorders>
              <w:left w:val="single" w:sz="4" w:space="0" w:color="auto"/>
            </w:tcBorders>
          </w:tcPr>
          <w:p>
            <w:pPr>
              <w:pStyle w:val="GesAbsatz"/>
              <w:jc w:val="left"/>
              <w:rPr>
                <w:color w:val="auto"/>
              </w:rPr>
            </w:pPr>
            <w:r>
              <w:rPr>
                <w:color w:val="auto"/>
              </w:rPr>
              <w:t>1,2,3,6,7,8-HxCDF</w:t>
            </w:r>
          </w:p>
        </w:tc>
        <w:tc>
          <w:tcPr>
            <w:tcW w:w="567" w:type="dxa"/>
            <w:vMerge/>
            <w:tcBorders>
              <w:top w:val="nil"/>
              <w:bottom w:val="nil"/>
              <w:right w:val="nil"/>
            </w:tcBorders>
          </w:tcPr>
          <w:p>
            <w:pPr>
              <w:pStyle w:val="GesAbsatz"/>
              <w:jc w:val="left"/>
              <w:rPr>
                <w:color w:val="auto"/>
              </w:rPr>
            </w:pPr>
          </w:p>
        </w:tc>
        <w:tc>
          <w:tcPr>
            <w:tcW w:w="2409" w:type="dxa"/>
            <w:vMerge/>
            <w:tcBorders>
              <w:left w:val="nil"/>
              <w:right w:val="single" w:sz="6" w:space="0" w:color="000000"/>
            </w:tcBorders>
          </w:tcPr>
          <w:p>
            <w:pPr>
              <w:pStyle w:val="GesAbsatz"/>
              <w:jc w:val="left"/>
              <w:rPr>
                <w:color w:val="auto"/>
              </w:rPr>
            </w:pPr>
          </w:p>
        </w:tc>
      </w:tr>
      <w:tr>
        <w:trPr>
          <w:trHeight w:val="335"/>
        </w:trPr>
        <w:tc>
          <w:tcPr>
            <w:tcW w:w="2235" w:type="dxa"/>
            <w:tcBorders>
              <w:left w:val="single" w:sz="6" w:space="0" w:color="000000"/>
            </w:tcBorders>
          </w:tcPr>
          <w:p>
            <w:pPr>
              <w:pStyle w:val="GesAbsatz"/>
              <w:jc w:val="left"/>
              <w:rPr>
                <w:color w:val="auto"/>
              </w:rPr>
            </w:pPr>
            <w:r>
              <w:rPr>
                <w:color w:val="auto"/>
              </w:rPr>
              <w:t xml:space="preserve">1,2,3,4,6,7,8-HpCDD </w:t>
            </w:r>
          </w:p>
        </w:tc>
        <w:tc>
          <w:tcPr>
            <w:tcW w:w="2409" w:type="dxa"/>
            <w:gridSpan w:val="2"/>
            <w:tcBorders>
              <w:top w:val="nil"/>
              <w:bottom w:val="nil"/>
              <w:right w:val="single" w:sz="6" w:space="0" w:color="000000"/>
            </w:tcBorders>
          </w:tcPr>
          <w:p>
            <w:pPr>
              <w:pStyle w:val="GesAbsatz"/>
              <w:tabs>
                <w:tab w:val="clear" w:pos="425"/>
                <w:tab w:val="decimal" w:pos="1309"/>
              </w:tabs>
              <w:jc w:val="left"/>
              <w:rPr>
                <w:color w:val="auto"/>
              </w:rPr>
            </w:pPr>
            <w:r>
              <w:rPr>
                <w:color w:val="auto"/>
              </w:rPr>
              <w:t xml:space="preserve">0,01 </w:t>
            </w:r>
          </w:p>
        </w:tc>
        <w:tc>
          <w:tcPr>
            <w:tcW w:w="2127" w:type="dxa"/>
            <w:tcBorders>
              <w:left w:val="single" w:sz="6" w:space="0" w:color="000000"/>
            </w:tcBorders>
          </w:tcPr>
          <w:p>
            <w:pPr>
              <w:pStyle w:val="GesAbsatz"/>
              <w:jc w:val="left"/>
              <w:rPr>
                <w:color w:val="auto"/>
              </w:rPr>
            </w:pPr>
            <w:r>
              <w:rPr>
                <w:color w:val="auto"/>
              </w:rPr>
              <w:t>2,3,4,6,7,8-HxCDF</w:t>
            </w:r>
          </w:p>
        </w:tc>
        <w:tc>
          <w:tcPr>
            <w:tcW w:w="567" w:type="dxa"/>
            <w:vMerge/>
            <w:tcBorders>
              <w:top w:val="nil"/>
              <w:bottom w:val="nil"/>
              <w:right w:val="nil"/>
            </w:tcBorders>
          </w:tcPr>
          <w:p>
            <w:pPr>
              <w:pStyle w:val="GesAbsatz"/>
              <w:jc w:val="left"/>
              <w:rPr>
                <w:color w:val="auto"/>
              </w:rPr>
            </w:pPr>
          </w:p>
        </w:tc>
        <w:tc>
          <w:tcPr>
            <w:tcW w:w="2409" w:type="dxa"/>
            <w:vMerge/>
            <w:tcBorders>
              <w:left w:val="nil"/>
              <w:right w:val="single" w:sz="6" w:space="0" w:color="000000"/>
            </w:tcBorders>
          </w:tcPr>
          <w:p>
            <w:pPr>
              <w:pStyle w:val="GesAbsatz"/>
              <w:jc w:val="left"/>
              <w:rPr>
                <w:color w:val="auto"/>
              </w:rPr>
            </w:pPr>
          </w:p>
        </w:tc>
      </w:tr>
      <w:tr>
        <w:trPr>
          <w:trHeight w:val="222"/>
        </w:trPr>
        <w:tc>
          <w:tcPr>
            <w:tcW w:w="2235" w:type="dxa"/>
            <w:vMerge w:val="restart"/>
            <w:tcBorders>
              <w:left w:val="single" w:sz="6" w:space="0" w:color="000000"/>
            </w:tcBorders>
          </w:tcPr>
          <w:p>
            <w:pPr>
              <w:pStyle w:val="GesAbsatz"/>
              <w:jc w:val="left"/>
              <w:rPr>
                <w:color w:val="auto"/>
              </w:rPr>
            </w:pPr>
            <w:r>
              <w:rPr>
                <w:color w:val="auto"/>
              </w:rPr>
              <w:t xml:space="preserve">OCDD </w:t>
            </w:r>
          </w:p>
        </w:tc>
        <w:tc>
          <w:tcPr>
            <w:tcW w:w="2409" w:type="dxa"/>
            <w:gridSpan w:val="2"/>
            <w:vMerge w:val="restart"/>
            <w:tcBorders>
              <w:top w:val="nil"/>
              <w:right w:val="single" w:sz="6" w:space="0" w:color="000000"/>
            </w:tcBorders>
          </w:tcPr>
          <w:p>
            <w:pPr>
              <w:pStyle w:val="GesAbsatz"/>
              <w:tabs>
                <w:tab w:val="clear" w:pos="425"/>
                <w:tab w:val="decimal" w:pos="1309"/>
              </w:tabs>
              <w:jc w:val="left"/>
              <w:rPr>
                <w:color w:val="auto"/>
              </w:rPr>
            </w:pPr>
            <w:r>
              <w:rPr>
                <w:color w:val="auto"/>
              </w:rPr>
              <w:t xml:space="preserve">0,001 </w:t>
            </w:r>
          </w:p>
        </w:tc>
        <w:tc>
          <w:tcPr>
            <w:tcW w:w="2127" w:type="dxa"/>
            <w:tcBorders>
              <w:left w:val="single" w:sz="6" w:space="0" w:color="000000"/>
            </w:tcBorders>
          </w:tcPr>
          <w:p>
            <w:pPr>
              <w:pStyle w:val="GesAbsatz"/>
              <w:jc w:val="left"/>
              <w:rPr>
                <w:color w:val="auto"/>
              </w:rPr>
            </w:pPr>
            <w:r>
              <w:rPr>
                <w:color w:val="auto"/>
              </w:rPr>
              <w:t xml:space="preserve">1,2,3,4,6,7,8-HpCDF </w:t>
            </w:r>
          </w:p>
        </w:tc>
        <w:tc>
          <w:tcPr>
            <w:tcW w:w="567" w:type="dxa"/>
            <w:vMerge w:val="restart"/>
            <w:tcBorders>
              <w:top w:val="nil"/>
              <w:bottom w:val="nil"/>
              <w:right w:val="nil"/>
            </w:tcBorders>
          </w:tcPr>
          <w:p>
            <w:pPr>
              <w:pStyle w:val="GesAbsatz"/>
              <w:jc w:val="left"/>
              <w:rPr>
                <w:color w:val="auto"/>
                <w:sz w:val="52"/>
                <w:szCs w:val="52"/>
              </w:rPr>
            </w:pPr>
            <w:r>
              <w:rPr>
                <w:rFonts w:ascii="Times New Roman" w:hAnsi="Times New Roman"/>
                <w:color w:val="auto"/>
                <w:sz w:val="52"/>
                <w:szCs w:val="52"/>
              </w:rPr>
              <w:t>}</w:t>
            </w:r>
          </w:p>
        </w:tc>
        <w:tc>
          <w:tcPr>
            <w:tcW w:w="2409" w:type="dxa"/>
            <w:vMerge w:val="restart"/>
            <w:tcBorders>
              <w:left w:val="nil"/>
              <w:right w:val="single" w:sz="6" w:space="0" w:color="000000"/>
            </w:tcBorders>
            <w:vAlign w:val="center"/>
          </w:tcPr>
          <w:p>
            <w:pPr>
              <w:pStyle w:val="GesAbsatz"/>
              <w:jc w:val="center"/>
              <w:rPr>
                <w:color w:val="auto"/>
              </w:rPr>
            </w:pPr>
            <w:r>
              <w:rPr>
                <w:color w:val="auto"/>
              </w:rPr>
              <w:t>0,01</w:t>
            </w:r>
          </w:p>
        </w:tc>
      </w:tr>
      <w:tr>
        <w:trPr>
          <w:trHeight w:val="284"/>
        </w:trPr>
        <w:tc>
          <w:tcPr>
            <w:tcW w:w="2235" w:type="dxa"/>
            <w:vMerge/>
            <w:tcBorders>
              <w:left w:val="single" w:sz="6" w:space="0" w:color="000000"/>
            </w:tcBorders>
          </w:tcPr>
          <w:p>
            <w:pPr>
              <w:pStyle w:val="GesAbsatz"/>
              <w:jc w:val="left"/>
              <w:rPr>
                <w:color w:val="auto"/>
              </w:rPr>
            </w:pPr>
          </w:p>
        </w:tc>
        <w:tc>
          <w:tcPr>
            <w:tcW w:w="2409" w:type="dxa"/>
            <w:gridSpan w:val="2"/>
            <w:vMerge/>
            <w:tcBorders>
              <w:right w:val="single" w:sz="6" w:space="0" w:color="000000"/>
            </w:tcBorders>
          </w:tcPr>
          <w:p>
            <w:pPr>
              <w:pStyle w:val="GesAbsatz"/>
              <w:jc w:val="left"/>
              <w:rPr>
                <w:color w:val="auto"/>
              </w:rPr>
            </w:pPr>
          </w:p>
        </w:tc>
        <w:tc>
          <w:tcPr>
            <w:tcW w:w="2127" w:type="dxa"/>
            <w:tcBorders>
              <w:left w:val="single" w:sz="6" w:space="0" w:color="000000"/>
            </w:tcBorders>
          </w:tcPr>
          <w:p>
            <w:pPr>
              <w:pStyle w:val="GesAbsatz"/>
              <w:jc w:val="left"/>
              <w:rPr>
                <w:color w:val="auto"/>
              </w:rPr>
            </w:pPr>
            <w:r>
              <w:rPr>
                <w:color w:val="auto"/>
              </w:rPr>
              <w:t>1,2,3,4,7,8,9-HpCDF</w:t>
            </w:r>
          </w:p>
        </w:tc>
        <w:tc>
          <w:tcPr>
            <w:tcW w:w="567" w:type="dxa"/>
            <w:vMerge/>
            <w:tcBorders>
              <w:top w:val="nil"/>
              <w:bottom w:val="nil"/>
              <w:right w:val="nil"/>
            </w:tcBorders>
          </w:tcPr>
          <w:p>
            <w:pPr>
              <w:pStyle w:val="GesAbsatz"/>
              <w:jc w:val="left"/>
              <w:rPr>
                <w:color w:val="auto"/>
              </w:rPr>
            </w:pPr>
          </w:p>
        </w:tc>
        <w:tc>
          <w:tcPr>
            <w:tcW w:w="2409" w:type="dxa"/>
            <w:vMerge/>
            <w:tcBorders>
              <w:left w:val="nil"/>
              <w:right w:val="single" w:sz="6" w:space="0" w:color="000000"/>
            </w:tcBorders>
          </w:tcPr>
          <w:p>
            <w:pPr>
              <w:pStyle w:val="GesAbsatz"/>
              <w:jc w:val="left"/>
              <w:rPr>
                <w:color w:val="auto"/>
              </w:rPr>
            </w:pPr>
          </w:p>
        </w:tc>
      </w:tr>
      <w:tr>
        <w:trPr>
          <w:trHeight w:val="217"/>
        </w:trPr>
        <w:tc>
          <w:tcPr>
            <w:tcW w:w="2235" w:type="dxa"/>
            <w:tcBorders>
              <w:left w:val="single" w:sz="6" w:space="0" w:color="000000"/>
              <w:bottom w:val="single" w:sz="6" w:space="0" w:color="000000"/>
            </w:tcBorders>
          </w:tcPr>
          <w:p>
            <w:pPr>
              <w:pStyle w:val="GesAbsatz"/>
              <w:jc w:val="left"/>
              <w:rPr>
                <w:color w:val="auto"/>
              </w:rPr>
            </w:pPr>
          </w:p>
        </w:tc>
        <w:tc>
          <w:tcPr>
            <w:tcW w:w="2409" w:type="dxa"/>
            <w:gridSpan w:val="2"/>
            <w:tcBorders>
              <w:bottom w:val="single" w:sz="6" w:space="0" w:color="000000"/>
              <w:right w:val="single" w:sz="6" w:space="0" w:color="000000"/>
            </w:tcBorders>
          </w:tcPr>
          <w:p>
            <w:pPr>
              <w:pStyle w:val="GesAbsatz"/>
              <w:jc w:val="left"/>
              <w:rPr>
                <w:color w:val="auto"/>
              </w:rPr>
            </w:pPr>
          </w:p>
        </w:tc>
        <w:tc>
          <w:tcPr>
            <w:tcW w:w="2127" w:type="dxa"/>
            <w:tcBorders>
              <w:left w:val="single" w:sz="6" w:space="0" w:color="000000"/>
              <w:bottom w:val="single" w:sz="6" w:space="0" w:color="000000"/>
            </w:tcBorders>
          </w:tcPr>
          <w:p>
            <w:pPr>
              <w:pStyle w:val="GesAbsatz"/>
              <w:jc w:val="left"/>
              <w:rPr>
                <w:color w:val="auto"/>
              </w:rPr>
            </w:pPr>
            <w:r>
              <w:rPr>
                <w:color w:val="auto"/>
              </w:rPr>
              <w:t xml:space="preserve">OCDF </w:t>
            </w:r>
          </w:p>
        </w:tc>
        <w:tc>
          <w:tcPr>
            <w:tcW w:w="2976" w:type="dxa"/>
            <w:gridSpan w:val="2"/>
            <w:tcBorders>
              <w:bottom w:val="single" w:sz="6" w:space="0" w:color="000000"/>
              <w:right w:val="single" w:sz="6" w:space="0" w:color="000000"/>
            </w:tcBorders>
          </w:tcPr>
          <w:p>
            <w:pPr>
              <w:pStyle w:val="GesAbsatz"/>
              <w:tabs>
                <w:tab w:val="clear" w:pos="425"/>
                <w:tab w:val="decimal" w:pos="1593"/>
              </w:tabs>
              <w:jc w:val="left"/>
              <w:rPr>
                <w:color w:val="auto"/>
              </w:rPr>
            </w:pPr>
            <w:r>
              <w:rPr>
                <w:color w:val="auto"/>
              </w:rPr>
              <w:t xml:space="preserve">0,001 </w:t>
            </w:r>
          </w:p>
        </w:tc>
      </w:tr>
    </w:tbl>
    <w:p>
      <w:pPr>
        <w:pStyle w:val="GesAbsatz"/>
        <w:rPr>
          <w:lang w:val="it-IT"/>
        </w:rPr>
      </w:pPr>
      <w:r>
        <w:rPr>
          <w:lang w:val="it-IT"/>
        </w:rPr>
        <w:t>(T = tetra, P = penta, Hx = hexa, HP = hepta, O = octa)</w:t>
      </w:r>
    </w:p>
    <w:p>
      <w:pPr>
        <w:pStyle w:val="GesAbsatz"/>
        <w:rPr>
          <w:color w:val="auto"/>
          <w:lang w:val="it-IT"/>
        </w:rPr>
      </w:pPr>
    </w:p>
    <w:p>
      <w:pPr>
        <w:pStyle w:val="GesAbsatz"/>
        <w:jc w:val="left"/>
        <w:rPr>
          <w:rFonts w:cs="Arial"/>
          <w:b/>
        </w:rPr>
      </w:pPr>
      <w:r>
        <w:rPr>
          <w:rFonts w:cs="Arial"/>
          <w:b/>
        </w:rPr>
        <w:t>Teil 2</w:t>
      </w:r>
    </w:p>
    <w:p>
      <w:pPr>
        <w:pStyle w:val="GesAbsatz"/>
        <w:jc w:val="left"/>
        <w:rPr>
          <w:rFonts w:cs="Arial"/>
        </w:rPr>
      </w:pPr>
      <w:r>
        <w:rPr>
          <w:rFonts w:cs="Arial"/>
          <w:b/>
          <w:bCs/>
        </w:rPr>
        <w:t>Kategorien von nicht namentlich in Teil 1 aufgeführten Stoffen und Zubereitungen</w:t>
      </w:r>
    </w:p>
    <w:p>
      <w:pPr>
        <w:pStyle w:val="GesAbsatz"/>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2291"/>
        <w:gridCol w:w="2245"/>
      </w:tblGrid>
      <w:tr>
        <w:trPr>
          <w:trHeight w:val="355"/>
          <w:tblHeader/>
        </w:trPr>
        <w:tc>
          <w:tcPr>
            <w:tcW w:w="5353" w:type="dxa"/>
          </w:tcPr>
          <w:p>
            <w:pPr>
              <w:pStyle w:val="GesAbsatz"/>
              <w:jc w:val="center"/>
              <w:rPr>
                <w:b/>
                <w:color w:val="auto"/>
              </w:rPr>
            </w:pPr>
            <w:r>
              <w:rPr>
                <w:b/>
                <w:color w:val="auto"/>
              </w:rPr>
              <w:t>Spalte 1</w:t>
            </w:r>
          </w:p>
        </w:tc>
        <w:tc>
          <w:tcPr>
            <w:tcW w:w="2291" w:type="dxa"/>
          </w:tcPr>
          <w:p>
            <w:pPr>
              <w:pStyle w:val="GesAbsatz"/>
              <w:tabs>
                <w:tab w:val="clear" w:pos="425"/>
              </w:tabs>
              <w:jc w:val="center"/>
              <w:rPr>
                <w:b/>
                <w:color w:val="auto"/>
              </w:rPr>
            </w:pPr>
            <w:r>
              <w:rPr>
                <w:b/>
                <w:color w:val="auto"/>
              </w:rPr>
              <w:t>Spalte 2</w:t>
            </w:r>
          </w:p>
        </w:tc>
        <w:tc>
          <w:tcPr>
            <w:tcW w:w="2245" w:type="dxa"/>
          </w:tcPr>
          <w:p>
            <w:pPr>
              <w:pStyle w:val="GesAbsatz"/>
              <w:tabs>
                <w:tab w:val="clear" w:pos="425"/>
              </w:tabs>
              <w:jc w:val="center"/>
              <w:rPr>
                <w:b/>
                <w:color w:val="auto"/>
              </w:rPr>
            </w:pPr>
            <w:r>
              <w:rPr>
                <w:b/>
                <w:color w:val="auto"/>
              </w:rPr>
              <w:t>Spalte 3</w:t>
            </w:r>
          </w:p>
        </w:tc>
      </w:tr>
      <w:tr>
        <w:trPr>
          <w:trHeight w:val="409"/>
          <w:tblHeader/>
        </w:trPr>
        <w:tc>
          <w:tcPr>
            <w:tcW w:w="5353" w:type="dxa"/>
            <w:vMerge w:val="restart"/>
            <w:vAlign w:val="center"/>
          </w:tcPr>
          <w:p>
            <w:pPr>
              <w:pStyle w:val="GesAbsatz"/>
              <w:jc w:val="center"/>
              <w:rPr>
                <w:b/>
                <w:color w:val="auto"/>
              </w:rPr>
            </w:pPr>
            <w:r>
              <w:rPr>
                <w:b/>
                <w:color w:val="auto"/>
              </w:rPr>
              <w:t>Gefährliche Stoffe</w:t>
            </w:r>
          </w:p>
        </w:tc>
        <w:tc>
          <w:tcPr>
            <w:tcW w:w="4536" w:type="dxa"/>
            <w:gridSpan w:val="2"/>
          </w:tcPr>
          <w:p>
            <w:pPr>
              <w:pStyle w:val="GesAbsatz"/>
              <w:tabs>
                <w:tab w:val="clear" w:pos="425"/>
              </w:tabs>
              <w:jc w:val="center"/>
              <w:rPr>
                <w:b/>
                <w:color w:val="auto"/>
              </w:rPr>
            </w:pPr>
            <w:r>
              <w:rPr>
                <w:b/>
                <w:color w:val="auto"/>
              </w:rPr>
              <w:t>Mengenschwellen (t) des gefährlichen Stoffs im Sinne von Artikel 3 Absatz 4 für die Anwendung von</w:t>
            </w:r>
          </w:p>
        </w:tc>
      </w:tr>
      <w:tr>
        <w:trPr>
          <w:trHeight w:val="335"/>
          <w:tblHeader/>
        </w:trPr>
        <w:tc>
          <w:tcPr>
            <w:tcW w:w="5353" w:type="dxa"/>
            <w:vMerge/>
          </w:tcPr>
          <w:p>
            <w:pPr>
              <w:pStyle w:val="GesAbsatz"/>
              <w:jc w:val="left"/>
              <w:rPr>
                <w:b/>
                <w:color w:val="auto"/>
              </w:rPr>
            </w:pPr>
          </w:p>
        </w:tc>
        <w:tc>
          <w:tcPr>
            <w:tcW w:w="2291" w:type="dxa"/>
          </w:tcPr>
          <w:p>
            <w:pPr>
              <w:pStyle w:val="GesAbsatz"/>
              <w:tabs>
                <w:tab w:val="clear" w:pos="425"/>
              </w:tabs>
              <w:jc w:val="center"/>
              <w:rPr>
                <w:b/>
                <w:color w:val="auto"/>
              </w:rPr>
            </w:pPr>
            <w:r>
              <w:rPr>
                <w:b/>
                <w:color w:val="auto"/>
              </w:rPr>
              <w:t>Artikel 6 und 7</w:t>
            </w:r>
          </w:p>
        </w:tc>
        <w:tc>
          <w:tcPr>
            <w:tcW w:w="2245" w:type="dxa"/>
          </w:tcPr>
          <w:p>
            <w:pPr>
              <w:pStyle w:val="GesAbsatz"/>
              <w:tabs>
                <w:tab w:val="clear" w:pos="425"/>
              </w:tabs>
              <w:jc w:val="center"/>
              <w:rPr>
                <w:b/>
                <w:color w:val="auto"/>
              </w:rPr>
            </w:pPr>
            <w:r>
              <w:rPr>
                <w:b/>
                <w:color w:val="auto"/>
              </w:rPr>
              <w:t>Artikel 9</w:t>
            </w:r>
          </w:p>
        </w:tc>
      </w:tr>
      <w:tr>
        <w:trPr>
          <w:trHeight w:val="335"/>
        </w:trPr>
        <w:tc>
          <w:tcPr>
            <w:tcW w:w="5353" w:type="dxa"/>
          </w:tcPr>
          <w:p>
            <w:pPr>
              <w:pStyle w:val="GesAbsatz"/>
              <w:jc w:val="left"/>
              <w:rPr>
                <w:color w:val="auto"/>
              </w:rPr>
            </w:pPr>
            <w:r>
              <w:rPr>
                <w:color w:val="auto"/>
              </w:rPr>
              <w:t>1. SEHR GIFTIG</w:t>
            </w:r>
          </w:p>
        </w:tc>
        <w:tc>
          <w:tcPr>
            <w:tcW w:w="2291" w:type="dxa"/>
          </w:tcPr>
          <w:p>
            <w:pPr>
              <w:pStyle w:val="GesAbsatz"/>
              <w:tabs>
                <w:tab w:val="clear" w:pos="425"/>
                <w:tab w:val="decimal" w:pos="1026"/>
              </w:tabs>
              <w:jc w:val="left"/>
              <w:rPr>
                <w:color w:val="auto"/>
              </w:rPr>
            </w:pPr>
            <w:r>
              <w:rPr>
                <w:color w:val="auto"/>
              </w:rPr>
              <w:t>5</w:t>
            </w:r>
          </w:p>
        </w:tc>
        <w:tc>
          <w:tcPr>
            <w:tcW w:w="2245" w:type="dxa"/>
          </w:tcPr>
          <w:p>
            <w:pPr>
              <w:pStyle w:val="GesAbsatz"/>
              <w:tabs>
                <w:tab w:val="clear" w:pos="425"/>
                <w:tab w:val="decimal" w:pos="1026"/>
              </w:tabs>
              <w:jc w:val="left"/>
              <w:rPr>
                <w:color w:val="auto"/>
              </w:rPr>
            </w:pPr>
            <w:r>
              <w:rPr>
                <w:color w:val="auto"/>
              </w:rPr>
              <w:t>20</w:t>
            </w:r>
          </w:p>
        </w:tc>
      </w:tr>
      <w:tr>
        <w:trPr>
          <w:trHeight w:val="335"/>
        </w:trPr>
        <w:tc>
          <w:tcPr>
            <w:tcW w:w="5353" w:type="dxa"/>
          </w:tcPr>
          <w:p>
            <w:pPr>
              <w:pStyle w:val="GesAbsatz"/>
              <w:jc w:val="left"/>
              <w:rPr>
                <w:color w:val="auto"/>
              </w:rPr>
            </w:pPr>
            <w:r>
              <w:rPr>
                <w:color w:val="auto"/>
              </w:rPr>
              <w:t>2. GIFTIG</w:t>
            </w:r>
          </w:p>
        </w:tc>
        <w:tc>
          <w:tcPr>
            <w:tcW w:w="2291" w:type="dxa"/>
          </w:tcPr>
          <w:p>
            <w:pPr>
              <w:pStyle w:val="GesAbsatz"/>
              <w:tabs>
                <w:tab w:val="clear" w:pos="425"/>
                <w:tab w:val="decimal" w:pos="1026"/>
              </w:tabs>
              <w:jc w:val="left"/>
              <w:rPr>
                <w:color w:val="auto"/>
              </w:rPr>
            </w:pPr>
            <w:r>
              <w:rPr>
                <w:color w:val="auto"/>
              </w:rPr>
              <w:t>50</w:t>
            </w:r>
          </w:p>
        </w:tc>
        <w:tc>
          <w:tcPr>
            <w:tcW w:w="2245" w:type="dxa"/>
          </w:tcPr>
          <w:p>
            <w:pPr>
              <w:pStyle w:val="GesAbsatz"/>
              <w:tabs>
                <w:tab w:val="clear" w:pos="425"/>
                <w:tab w:val="decimal" w:pos="1026"/>
              </w:tabs>
              <w:jc w:val="left"/>
              <w:rPr>
                <w:color w:val="auto"/>
              </w:rPr>
            </w:pPr>
            <w:r>
              <w:rPr>
                <w:color w:val="auto"/>
              </w:rPr>
              <w:t>200</w:t>
            </w:r>
          </w:p>
        </w:tc>
      </w:tr>
      <w:tr>
        <w:trPr>
          <w:trHeight w:val="335"/>
        </w:trPr>
        <w:tc>
          <w:tcPr>
            <w:tcW w:w="5353" w:type="dxa"/>
          </w:tcPr>
          <w:p>
            <w:pPr>
              <w:pStyle w:val="GesAbsatz"/>
              <w:jc w:val="left"/>
              <w:rPr>
                <w:color w:val="auto"/>
              </w:rPr>
            </w:pPr>
            <w:r>
              <w:rPr>
                <w:color w:val="auto"/>
              </w:rPr>
              <w:t>3. OXIDIEREND</w:t>
            </w:r>
          </w:p>
        </w:tc>
        <w:tc>
          <w:tcPr>
            <w:tcW w:w="2291" w:type="dxa"/>
          </w:tcPr>
          <w:p>
            <w:pPr>
              <w:pStyle w:val="GesAbsatz"/>
              <w:tabs>
                <w:tab w:val="clear" w:pos="425"/>
                <w:tab w:val="decimal" w:pos="1026"/>
              </w:tabs>
              <w:jc w:val="left"/>
              <w:rPr>
                <w:color w:val="auto"/>
              </w:rPr>
            </w:pPr>
            <w:r>
              <w:rPr>
                <w:color w:val="auto"/>
              </w:rPr>
              <w:t>50</w:t>
            </w:r>
          </w:p>
        </w:tc>
        <w:tc>
          <w:tcPr>
            <w:tcW w:w="2245" w:type="dxa"/>
          </w:tcPr>
          <w:p>
            <w:pPr>
              <w:pStyle w:val="GesAbsatz"/>
              <w:tabs>
                <w:tab w:val="clear" w:pos="425"/>
                <w:tab w:val="decimal" w:pos="1026"/>
              </w:tabs>
              <w:jc w:val="left"/>
              <w:rPr>
                <w:color w:val="auto"/>
              </w:rPr>
            </w:pPr>
            <w:r>
              <w:rPr>
                <w:color w:val="auto"/>
              </w:rPr>
              <w:t>200</w:t>
            </w:r>
          </w:p>
        </w:tc>
      </w:tr>
      <w:tr>
        <w:trPr>
          <w:trHeight w:val="335"/>
        </w:trPr>
        <w:tc>
          <w:tcPr>
            <w:tcW w:w="5353" w:type="dxa"/>
          </w:tcPr>
          <w:p>
            <w:pPr>
              <w:pStyle w:val="GesAbsatz"/>
              <w:jc w:val="left"/>
              <w:rPr>
                <w:color w:val="auto"/>
              </w:rPr>
            </w:pPr>
            <w:r>
              <w:rPr>
                <w:color w:val="auto"/>
              </w:rPr>
              <w:t>4. EXPLOSIONSGEFÄHRLICH (s. Anmerkung 2) (wenn der Stoff, die Zubereitung oder der Gegenstand in die UN/ADR-Gefahrenunterklasse 1.4 fällt)</w:t>
            </w:r>
          </w:p>
        </w:tc>
        <w:tc>
          <w:tcPr>
            <w:tcW w:w="2291" w:type="dxa"/>
          </w:tcPr>
          <w:p>
            <w:pPr>
              <w:pStyle w:val="GesAbsatz"/>
              <w:tabs>
                <w:tab w:val="clear" w:pos="425"/>
                <w:tab w:val="decimal" w:pos="1026"/>
              </w:tabs>
              <w:jc w:val="left"/>
              <w:rPr>
                <w:color w:val="auto"/>
              </w:rPr>
            </w:pPr>
            <w:r>
              <w:rPr>
                <w:color w:val="auto"/>
              </w:rPr>
              <w:t>50</w:t>
            </w:r>
          </w:p>
        </w:tc>
        <w:tc>
          <w:tcPr>
            <w:tcW w:w="2245" w:type="dxa"/>
          </w:tcPr>
          <w:p>
            <w:pPr>
              <w:pStyle w:val="GesAbsatz"/>
              <w:tabs>
                <w:tab w:val="clear" w:pos="425"/>
                <w:tab w:val="decimal" w:pos="1026"/>
              </w:tabs>
              <w:jc w:val="left"/>
              <w:rPr>
                <w:color w:val="auto"/>
              </w:rPr>
            </w:pPr>
            <w:r>
              <w:rPr>
                <w:color w:val="auto"/>
              </w:rPr>
              <w:t>200</w:t>
            </w:r>
          </w:p>
        </w:tc>
      </w:tr>
      <w:tr>
        <w:trPr>
          <w:trHeight w:val="335"/>
        </w:trPr>
        <w:tc>
          <w:tcPr>
            <w:tcW w:w="5353" w:type="dxa"/>
          </w:tcPr>
          <w:p>
            <w:pPr>
              <w:pStyle w:val="GesAbsatz"/>
              <w:jc w:val="left"/>
              <w:rPr>
                <w:color w:val="auto"/>
              </w:rPr>
            </w:pPr>
            <w:r>
              <w:rPr>
                <w:color w:val="auto"/>
              </w:rPr>
              <w:t>5. EXPLOSIONSGEFÄHRLICH (s. Anmerkung 2) (wenn der Stoff, die Zubereitung oder der Gegenstand in die UN/ADR-Gefahrenunterklasse 1.1, 1.2, 1.3, 1.5 oder 1.6 oder unter die Gefahrenhinweise R 2 oder R 3 fällt)</w:t>
            </w:r>
          </w:p>
        </w:tc>
        <w:tc>
          <w:tcPr>
            <w:tcW w:w="2291" w:type="dxa"/>
          </w:tcPr>
          <w:p>
            <w:pPr>
              <w:pStyle w:val="GesAbsatz"/>
              <w:tabs>
                <w:tab w:val="clear" w:pos="425"/>
                <w:tab w:val="decimal" w:pos="1026"/>
              </w:tabs>
              <w:jc w:val="left"/>
              <w:rPr>
                <w:color w:val="auto"/>
              </w:rPr>
            </w:pPr>
            <w:r>
              <w:rPr>
                <w:color w:val="auto"/>
              </w:rPr>
              <w:t>10</w:t>
            </w:r>
          </w:p>
        </w:tc>
        <w:tc>
          <w:tcPr>
            <w:tcW w:w="2245" w:type="dxa"/>
          </w:tcPr>
          <w:p>
            <w:pPr>
              <w:pStyle w:val="GesAbsatz"/>
              <w:tabs>
                <w:tab w:val="clear" w:pos="425"/>
                <w:tab w:val="decimal" w:pos="1026"/>
              </w:tabs>
              <w:jc w:val="left"/>
              <w:rPr>
                <w:color w:val="auto"/>
              </w:rPr>
            </w:pPr>
            <w:r>
              <w:rPr>
                <w:color w:val="auto"/>
              </w:rPr>
              <w:t>50</w:t>
            </w:r>
          </w:p>
        </w:tc>
      </w:tr>
      <w:tr>
        <w:trPr>
          <w:trHeight w:val="335"/>
        </w:trPr>
        <w:tc>
          <w:tcPr>
            <w:tcW w:w="5353" w:type="dxa"/>
          </w:tcPr>
          <w:p>
            <w:pPr>
              <w:pStyle w:val="GesAbsatz"/>
              <w:jc w:val="left"/>
              <w:rPr>
                <w:color w:val="auto"/>
              </w:rPr>
            </w:pPr>
            <w:r>
              <w:rPr>
                <w:color w:val="auto"/>
              </w:rPr>
              <w:t>6. ENTZÜNDLICH (wenn der Stoff/die Zubereitung unter die Anmerkung 3 Buchstabe a) gegebene Definition fällt)</w:t>
            </w:r>
          </w:p>
        </w:tc>
        <w:tc>
          <w:tcPr>
            <w:tcW w:w="2291" w:type="dxa"/>
          </w:tcPr>
          <w:p>
            <w:pPr>
              <w:pStyle w:val="GesAbsatz"/>
              <w:tabs>
                <w:tab w:val="clear" w:pos="425"/>
                <w:tab w:val="decimal" w:pos="1026"/>
              </w:tabs>
              <w:jc w:val="left"/>
              <w:rPr>
                <w:color w:val="auto"/>
              </w:rPr>
            </w:pPr>
            <w:r>
              <w:rPr>
                <w:color w:val="auto"/>
              </w:rPr>
              <w:t>5000</w:t>
            </w:r>
          </w:p>
        </w:tc>
        <w:tc>
          <w:tcPr>
            <w:tcW w:w="2245" w:type="dxa"/>
          </w:tcPr>
          <w:p>
            <w:pPr>
              <w:pStyle w:val="GesAbsatz"/>
              <w:tabs>
                <w:tab w:val="clear" w:pos="425"/>
                <w:tab w:val="decimal" w:pos="1026"/>
              </w:tabs>
              <w:jc w:val="left"/>
              <w:rPr>
                <w:color w:val="auto"/>
              </w:rPr>
            </w:pPr>
            <w:r>
              <w:rPr>
                <w:color w:val="auto"/>
              </w:rPr>
              <w:t>50000</w:t>
            </w:r>
          </w:p>
        </w:tc>
      </w:tr>
      <w:tr>
        <w:trPr>
          <w:trHeight w:val="335"/>
        </w:trPr>
        <w:tc>
          <w:tcPr>
            <w:tcW w:w="5353" w:type="dxa"/>
          </w:tcPr>
          <w:p>
            <w:pPr>
              <w:pStyle w:val="GesAbsatz"/>
              <w:jc w:val="left"/>
              <w:rPr>
                <w:color w:val="auto"/>
              </w:rPr>
            </w:pPr>
            <w:r>
              <w:rPr>
                <w:color w:val="auto"/>
              </w:rPr>
              <w:lastRenderedPageBreak/>
              <w:t>7a. LEICHTENTZÜNDLICHE Flüssigkeiten (wenn der Stoff/die Zubereitung unter die Anmerkung 3 Buchstabe b) Nummer 1 gegebene Definition fällt)</w:t>
            </w:r>
          </w:p>
        </w:tc>
        <w:tc>
          <w:tcPr>
            <w:tcW w:w="2291" w:type="dxa"/>
          </w:tcPr>
          <w:p>
            <w:pPr>
              <w:pStyle w:val="GesAbsatz"/>
              <w:tabs>
                <w:tab w:val="clear" w:pos="425"/>
                <w:tab w:val="decimal" w:pos="1026"/>
              </w:tabs>
              <w:jc w:val="left"/>
              <w:rPr>
                <w:color w:val="auto"/>
              </w:rPr>
            </w:pPr>
            <w:r>
              <w:rPr>
                <w:color w:val="auto"/>
              </w:rPr>
              <w:t>50</w:t>
            </w:r>
          </w:p>
        </w:tc>
        <w:tc>
          <w:tcPr>
            <w:tcW w:w="2245" w:type="dxa"/>
          </w:tcPr>
          <w:p>
            <w:pPr>
              <w:pStyle w:val="GesAbsatz"/>
              <w:tabs>
                <w:tab w:val="clear" w:pos="425"/>
                <w:tab w:val="decimal" w:pos="1026"/>
              </w:tabs>
              <w:jc w:val="left"/>
              <w:rPr>
                <w:color w:val="auto"/>
              </w:rPr>
            </w:pPr>
            <w:r>
              <w:rPr>
                <w:color w:val="auto"/>
              </w:rPr>
              <w:t>200</w:t>
            </w:r>
          </w:p>
        </w:tc>
      </w:tr>
      <w:tr>
        <w:trPr>
          <w:trHeight w:val="335"/>
        </w:trPr>
        <w:tc>
          <w:tcPr>
            <w:tcW w:w="5353" w:type="dxa"/>
          </w:tcPr>
          <w:p>
            <w:pPr>
              <w:pStyle w:val="GesAbsatz"/>
              <w:jc w:val="left"/>
              <w:rPr>
                <w:color w:val="auto"/>
              </w:rPr>
            </w:pPr>
            <w:r>
              <w:rPr>
                <w:color w:val="auto"/>
              </w:rPr>
              <w:t>7b. LEICHTENTZÜNDLICHE Flüssigkeiten (wenn der Stoff/die Zubereitung unter die Anmerkung 3 Buchstabe b) Nummer 2 gegebene Definition fällt)</w:t>
            </w:r>
          </w:p>
        </w:tc>
        <w:tc>
          <w:tcPr>
            <w:tcW w:w="2291" w:type="dxa"/>
          </w:tcPr>
          <w:p>
            <w:pPr>
              <w:pStyle w:val="GesAbsatz"/>
              <w:tabs>
                <w:tab w:val="clear" w:pos="425"/>
                <w:tab w:val="decimal" w:pos="1026"/>
              </w:tabs>
              <w:jc w:val="left"/>
              <w:rPr>
                <w:color w:val="auto"/>
              </w:rPr>
            </w:pPr>
            <w:r>
              <w:rPr>
                <w:color w:val="auto"/>
              </w:rPr>
              <w:t>5000</w:t>
            </w:r>
          </w:p>
        </w:tc>
        <w:tc>
          <w:tcPr>
            <w:tcW w:w="2245" w:type="dxa"/>
          </w:tcPr>
          <w:p>
            <w:pPr>
              <w:pStyle w:val="GesAbsatz"/>
              <w:tabs>
                <w:tab w:val="clear" w:pos="425"/>
                <w:tab w:val="decimal" w:pos="1026"/>
              </w:tabs>
              <w:jc w:val="left"/>
              <w:rPr>
                <w:color w:val="auto"/>
              </w:rPr>
            </w:pPr>
            <w:r>
              <w:rPr>
                <w:color w:val="auto"/>
              </w:rPr>
              <w:t>50000</w:t>
            </w:r>
          </w:p>
        </w:tc>
      </w:tr>
      <w:tr>
        <w:trPr>
          <w:trHeight w:val="335"/>
        </w:trPr>
        <w:tc>
          <w:tcPr>
            <w:tcW w:w="5353" w:type="dxa"/>
          </w:tcPr>
          <w:p>
            <w:pPr>
              <w:pStyle w:val="GesAbsatz"/>
              <w:jc w:val="left"/>
              <w:rPr>
                <w:color w:val="auto"/>
              </w:rPr>
            </w:pPr>
            <w:r>
              <w:rPr>
                <w:color w:val="auto"/>
              </w:rPr>
              <w:t>8. HOCHENTZÜNDLICH (wenn der Stoff/die Zubereitung unter die Anmerkung 3 Buchstabe c) gegebene Definition fällt)</w:t>
            </w:r>
          </w:p>
        </w:tc>
        <w:tc>
          <w:tcPr>
            <w:tcW w:w="2291" w:type="dxa"/>
          </w:tcPr>
          <w:p>
            <w:pPr>
              <w:pStyle w:val="GesAbsatz"/>
              <w:tabs>
                <w:tab w:val="clear" w:pos="425"/>
                <w:tab w:val="decimal" w:pos="1026"/>
              </w:tabs>
              <w:jc w:val="left"/>
              <w:rPr>
                <w:color w:val="auto"/>
              </w:rPr>
            </w:pPr>
            <w:r>
              <w:rPr>
                <w:color w:val="auto"/>
              </w:rPr>
              <w:t>10</w:t>
            </w:r>
          </w:p>
        </w:tc>
        <w:tc>
          <w:tcPr>
            <w:tcW w:w="2245" w:type="dxa"/>
          </w:tcPr>
          <w:p>
            <w:pPr>
              <w:pStyle w:val="GesAbsatz"/>
              <w:tabs>
                <w:tab w:val="clear" w:pos="425"/>
                <w:tab w:val="decimal" w:pos="1026"/>
              </w:tabs>
              <w:jc w:val="left"/>
              <w:rPr>
                <w:color w:val="auto"/>
              </w:rPr>
            </w:pPr>
            <w:r>
              <w:rPr>
                <w:color w:val="auto"/>
              </w:rPr>
              <w:t>50</w:t>
            </w:r>
          </w:p>
        </w:tc>
      </w:tr>
      <w:tr>
        <w:trPr>
          <w:trHeight w:val="335"/>
        </w:trPr>
        <w:tc>
          <w:tcPr>
            <w:tcW w:w="5353" w:type="dxa"/>
          </w:tcPr>
          <w:p>
            <w:pPr>
              <w:pStyle w:val="GesAbsatz"/>
              <w:jc w:val="left"/>
              <w:rPr>
                <w:color w:val="auto"/>
              </w:rPr>
            </w:pPr>
            <w:r>
              <w:rPr>
                <w:color w:val="auto"/>
              </w:rPr>
              <w:t>9. UMWELTGEFÄHRLICH Gefahrenhinweise:</w:t>
            </w:r>
          </w:p>
          <w:p>
            <w:pPr>
              <w:pStyle w:val="GesAbsatz"/>
              <w:ind w:left="284" w:hanging="284"/>
              <w:jc w:val="left"/>
              <w:rPr>
                <w:color w:val="auto"/>
              </w:rPr>
            </w:pPr>
            <w:r>
              <w:rPr>
                <w:rFonts w:cs="Arial"/>
                <w:color w:val="auto"/>
              </w:rPr>
              <w:t>i)</w:t>
            </w:r>
            <w:r>
              <w:rPr>
                <w:rFonts w:cs="Arial"/>
                <w:color w:val="auto"/>
              </w:rPr>
              <w:tab/>
            </w:r>
            <w:r>
              <w:rPr>
                <w:color w:val="auto"/>
              </w:rPr>
              <w:t>R 50: „Sehr giftig für Wasserorganismen“ (einschließlich R 50/53)</w:t>
            </w:r>
          </w:p>
          <w:p>
            <w:pPr>
              <w:pStyle w:val="GesAbsatz"/>
              <w:jc w:val="left"/>
              <w:rPr>
                <w:color w:val="auto"/>
              </w:rPr>
            </w:pPr>
            <w:r>
              <w:rPr>
                <w:rFonts w:cs="Arial"/>
                <w:color w:val="auto"/>
              </w:rPr>
              <w:t>ii)</w:t>
            </w:r>
            <w:r>
              <w:rPr>
                <w:rFonts w:cs="Arial"/>
                <w:color w:val="auto"/>
              </w:rPr>
              <w:tab/>
            </w:r>
            <w:r>
              <w:rPr>
                <w:color w:val="auto"/>
              </w:rPr>
              <w:t>R 51 /53: „Giftig für Wasserorganismen; kann in Gewässern langfristig schädliche Wirkungen haben“</w:t>
            </w:r>
          </w:p>
        </w:tc>
        <w:tc>
          <w:tcPr>
            <w:tcW w:w="2291" w:type="dxa"/>
          </w:tcPr>
          <w:p>
            <w:pPr>
              <w:pStyle w:val="GesAbsatz"/>
              <w:tabs>
                <w:tab w:val="clear" w:pos="425"/>
                <w:tab w:val="decimal" w:pos="1026"/>
              </w:tabs>
              <w:spacing w:before="400"/>
              <w:jc w:val="left"/>
              <w:rPr>
                <w:color w:val="auto"/>
              </w:rPr>
            </w:pPr>
            <w:r>
              <w:rPr>
                <w:color w:val="auto"/>
              </w:rPr>
              <w:t>100</w:t>
            </w:r>
          </w:p>
          <w:p>
            <w:pPr>
              <w:pStyle w:val="GesAbsatz"/>
              <w:tabs>
                <w:tab w:val="clear" w:pos="425"/>
                <w:tab w:val="decimal" w:pos="1026"/>
              </w:tabs>
              <w:spacing w:before="320"/>
              <w:jc w:val="left"/>
              <w:rPr>
                <w:color w:val="auto"/>
              </w:rPr>
            </w:pPr>
            <w:r>
              <w:rPr>
                <w:color w:val="auto"/>
              </w:rPr>
              <w:t>200</w:t>
            </w:r>
          </w:p>
        </w:tc>
        <w:tc>
          <w:tcPr>
            <w:tcW w:w="2245" w:type="dxa"/>
          </w:tcPr>
          <w:p>
            <w:pPr>
              <w:pStyle w:val="GesAbsatz"/>
              <w:tabs>
                <w:tab w:val="clear" w:pos="425"/>
                <w:tab w:val="decimal" w:pos="1026"/>
              </w:tabs>
              <w:spacing w:before="400"/>
              <w:jc w:val="left"/>
              <w:rPr>
                <w:color w:val="auto"/>
              </w:rPr>
            </w:pPr>
            <w:r>
              <w:rPr>
                <w:color w:val="auto"/>
              </w:rPr>
              <w:t>200</w:t>
            </w:r>
          </w:p>
          <w:p>
            <w:pPr>
              <w:pStyle w:val="GesAbsatz"/>
              <w:tabs>
                <w:tab w:val="clear" w:pos="425"/>
                <w:tab w:val="decimal" w:pos="1026"/>
              </w:tabs>
              <w:spacing w:before="320"/>
              <w:jc w:val="left"/>
              <w:rPr>
                <w:color w:val="auto"/>
              </w:rPr>
            </w:pPr>
            <w:r>
              <w:rPr>
                <w:color w:val="auto"/>
              </w:rPr>
              <w:t>500</w:t>
            </w:r>
          </w:p>
        </w:tc>
      </w:tr>
      <w:tr>
        <w:trPr>
          <w:trHeight w:val="335"/>
        </w:trPr>
        <w:tc>
          <w:tcPr>
            <w:tcW w:w="5353" w:type="dxa"/>
          </w:tcPr>
          <w:p>
            <w:pPr>
              <w:pStyle w:val="GesAbsatz"/>
              <w:jc w:val="left"/>
              <w:rPr>
                <w:color w:val="auto"/>
              </w:rPr>
            </w:pPr>
            <w:r>
              <w:rPr>
                <w:color w:val="auto"/>
              </w:rPr>
              <w:t>10. JEDE EINSTUFUNG, soweit nicht oben erfasst, in Verbindung mit Gefahrenhinweis:</w:t>
            </w:r>
          </w:p>
          <w:p>
            <w:pPr>
              <w:pStyle w:val="GesAbsatz"/>
              <w:ind w:left="284" w:hanging="284"/>
              <w:jc w:val="left"/>
              <w:rPr>
                <w:color w:val="auto"/>
              </w:rPr>
            </w:pPr>
            <w:r>
              <w:rPr>
                <w:rFonts w:cs="Arial"/>
                <w:color w:val="auto"/>
              </w:rPr>
              <w:t>i)</w:t>
            </w:r>
            <w:r>
              <w:rPr>
                <w:rFonts w:cs="Arial"/>
                <w:color w:val="auto"/>
              </w:rPr>
              <w:tab/>
            </w:r>
            <w:r>
              <w:rPr>
                <w:color w:val="auto"/>
              </w:rPr>
              <w:t>R 14: „Reagiert heftig mit Wasser“ (einschließlich R 14/15)</w:t>
            </w:r>
          </w:p>
          <w:p>
            <w:pPr>
              <w:pStyle w:val="GesAbsatz"/>
              <w:ind w:left="284" w:hanging="284"/>
              <w:jc w:val="left"/>
              <w:rPr>
                <w:color w:val="auto"/>
              </w:rPr>
            </w:pPr>
            <w:r>
              <w:rPr>
                <w:rFonts w:cs="Arial"/>
                <w:color w:val="auto"/>
              </w:rPr>
              <w:t>ii)</w:t>
            </w:r>
            <w:r>
              <w:rPr>
                <w:rFonts w:cs="Arial"/>
                <w:color w:val="auto"/>
              </w:rPr>
              <w:tab/>
            </w:r>
            <w:r>
              <w:rPr>
                <w:color w:val="auto"/>
              </w:rPr>
              <w:t>R 29: „Entwickelt bei Berührung mit Wasser giftige Gase“</w:t>
            </w:r>
          </w:p>
        </w:tc>
        <w:tc>
          <w:tcPr>
            <w:tcW w:w="2291" w:type="dxa"/>
          </w:tcPr>
          <w:p>
            <w:pPr>
              <w:pStyle w:val="GesAbsatz"/>
              <w:tabs>
                <w:tab w:val="clear" w:pos="425"/>
                <w:tab w:val="decimal" w:pos="1026"/>
              </w:tabs>
              <w:spacing w:before="600"/>
              <w:jc w:val="left"/>
              <w:rPr>
                <w:color w:val="auto"/>
              </w:rPr>
            </w:pPr>
            <w:r>
              <w:rPr>
                <w:color w:val="auto"/>
              </w:rPr>
              <w:t>100</w:t>
            </w:r>
          </w:p>
          <w:p>
            <w:pPr>
              <w:pStyle w:val="GesAbsatz"/>
              <w:tabs>
                <w:tab w:val="clear" w:pos="425"/>
                <w:tab w:val="decimal" w:pos="1026"/>
              </w:tabs>
              <w:spacing w:before="320"/>
              <w:jc w:val="left"/>
              <w:rPr>
                <w:color w:val="auto"/>
              </w:rPr>
            </w:pPr>
            <w:r>
              <w:rPr>
                <w:color w:val="auto"/>
              </w:rPr>
              <w:t>50</w:t>
            </w:r>
          </w:p>
        </w:tc>
        <w:tc>
          <w:tcPr>
            <w:tcW w:w="2245" w:type="dxa"/>
          </w:tcPr>
          <w:p>
            <w:pPr>
              <w:pStyle w:val="GesAbsatz"/>
              <w:tabs>
                <w:tab w:val="clear" w:pos="425"/>
                <w:tab w:val="decimal" w:pos="1026"/>
              </w:tabs>
              <w:spacing w:before="600"/>
              <w:jc w:val="left"/>
              <w:rPr>
                <w:color w:val="auto"/>
              </w:rPr>
            </w:pPr>
            <w:r>
              <w:rPr>
                <w:color w:val="auto"/>
              </w:rPr>
              <w:t>500</w:t>
            </w:r>
          </w:p>
          <w:p>
            <w:pPr>
              <w:pStyle w:val="GesAbsatz"/>
              <w:tabs>
                <w:tab w:val="clear" w:pos="425"/>
                <w:tab w:val="decimal" w:pos="1026"/>
              </w:tabs>
              <w:spacing w:before="320"/>
              <w:jc w:val="left"/>
              <w:rPr>
                <w:color w:val="auto"/>
              </w:rPr>
            </w:pPr>
            <w:r>
              <w:rPr>
                <w:color w:val="auto"/>
              </w:rPr>
              <w:t>200</w:t>
            </w:r>
          </w:p>
        </w:tc>
      </w:tr>
    </w:tbl>
    <w:p>
      <w:pPr>
        <w:pStyle w:val="GesAbsatz"/>
        <w:rPr>
          <w:color w:val="auto"/>
        </w:rPr>
      </w:pPr>
    </w:p>
    <w:p>
      <w:pPr>
        <w:pStyle w:val="GesAbsatz"/>
        <w:jc w:val="left"/>
        <w:rPr>
          <w:b/>
        </w:rPr>
      </w:pPr>
      <w:r>
        <w:rPr>
          <w:b/>
        </w:rPr>
        <w:t>Anmerkungen</w:t>
      </w:r>
    </w:p>
    <w:p>
      <w:pPr>
        <w:pStyle w:val="GesAbsatz"/>
        <w:ind w:left="426" w:hanging="426"/>
      </w:pPr>
      <w:r>
        <w:t>1.</w:t>
      </w:r>
      <w:r>
        <w:tab/>
        <w:t>Die Einstufung der Stoffe und Zubereitungen erfolgt gemäß den folgenden Richtlinien und ihrer jeweiligen Anpassung an den technischen Fortschritt:</w:t>
      </w:r>
    </w:p>
    <w:p>
      <w:pPr>
        <w:pStyle w:val="GesAbsatz"/>
        <w:ind w:left="426" w:hanging="426"/>
      </w:pPr>
      <w:r>
        <w:tab/>
        <w:t>Richtlinie 67/548/EWG des Rates vom 27. Juni 1967 zur Angleichung der Rechts- und Verwaltungsvorschriften für die Einstufung, Verpackung und Kennzeichnung gefährlicher Stoffe</w:t>
      </w:r>
      <w:r>
        <w:rPr>
          <w:rStyle w:val="Funotenzeichen"/>
        </w:rPr>
        <w:footnoteReference w:id="13"/>
      </w:r>
      <w:r>
        <w:t>, Richtlinie 1999/45/EG des Europäischen Parlaments und des Rates vom 31. Mai 1999 zur Angleichung der Rechts- und Verwaltungsvorschriften der Mitgliedstaaten für die Einstufung, Verpackung und Kennzeichnung gefährlicher Zubereitungen</w:t>
      </w:r>
      <w:r>
        <w:rPr>
          <w:rStyle w:val="Funotenzeichen"/>
        </w:rPr>
        <w:footnoteReference w:id="14"/>
      </w:r>
      <w:r>
        <w:t>.</w:t>
      </w:r>
    </w:p>
    <w:p>
      <w:pPr>
        <w:pStyle w:val="GesAbsatz"/>
        <w:ind w:left="426" w:hanging="426"/>
      </w:pPr>
      <w:r>
        <w:tab/>
        <w:t>Auf Stoffe und Zubereitungen, die nicht als gefährlich gemäß einer der vorstehenden Richtlinien eingestuft wurden (z. B. Abfall), aber dennoch in einem Betrieb vorhanden sind oder vorhanden sein können und unter den im Betrieb angetroffenen Bedingungen hinsichtlich ihres Potenzials für einen schweren Unfall gleichwertige Eigenschaften besitzen oder besitzen können, finden die Verfahren für die vorläufige Einstufung nach dem einschlägigen Artikel der betreffenden Richtlinie Anwendung.</w:t>
      </w:r>
    </w:p>
    <w:p>
      <w:pPr>
        <w:pStyle w:val="GesAbsatz"/>
        <w:ind w:left="426" w:hanging="426"/>
      </w:pPr>
      <w:r>
        <w:tab/>
        <w:t>Bei Stoffen und Zubereitungen mit Eigenschaften, die zu mehr als einer Einstufung im Sinne dieser Richtlinie Anlass geben, gelten die jeweils niedrigsten Mengenschwellen. Bei Anwendung der in Anmerkung 4 festgelegten Additionsregel ist jedoch stets die Mengenschwelle zu verwenden, die der jeweiligen Einstufung entspricht.</w:t>
      </w:r>
    </w:p>
    <w:p>
      <w:pPr>
        <w:pStyle w:val="GesAbsatz"/>
        <w:ind w:left="426" w:hanging="426"/>
      </w:pPr>
      <w:r>
        <w:tab/>
        <w:t>Für die Zwecke dieser Richtlinie erstellt die Kommission eine Liste der Stoffe, die durch einen harmonisierten Beschluss gemäß der Richtlinie 67/548/EWG in die genannten Klassen eingestuft worden sind, und hält die Liste auf dem neuesten Stand.</w:t>
      </w:r>
    </w:p>
    <w:p>
      <w:pPr>
        <w:pStyle w:val="GesAbsatz"/>
        <w:rPr>
          <w:color w:val="auto"/>
        </w:rPr>
      </w:pPr>
      <w:r>
        <w:rPr>
          <w:color w:val="auto"/>
        </w:rPr>
        <w:t>2.</w:t>
      </w:r>
      <w:r>
        <w:rPr>
          <w:color w:val="auto"/>
        </w:rPr>
        <w:tab/>
        <w:t>„Explosionsgefährlich" bezeichnet</w:t>
      </w:r>
    </w:p>
    <w:p>
      <w:pPr>
        <w:pStyle w:val="GesAbsatz"/>
        <w:ind w:left="851" w:hanging="851"/>
      </w:pPr>
      <w:r>
        <w:lastRenderedPageBreak/>
        <w:tab/>
        <w:t>-</w:t>
      </w:r>
      <w:r>
        <w:tab/>
        <w:t>einen Stoff oder eine Zubereitung, bei dem bzw. der das Risiko der Explosion durch Schlag, Reibung, Feuer oder andere Zündquellen besteht (Gefahrenhinweis R 2),</w:t>
      </w:r>
    </w:p>
    <w:p>
      <w:pPr>
        <w:pStyle w:val="GesAbsatz"/>
        <w:ind w:left="851" w:hanging="851"/>
      </w:pPr>
      <w:r>
        <w:tab/>
        <w:t>-</w:t>
      </w:r>
      <w:r>
        <w:tab/>
        <w:t>einen Stoff oder eine Zubereitung, bei dem bzw. der eine besondere Gefahr der Explosion durch Schlag, Reibung, Feuer oder andere Zündquellen besteht (Gefahrenhinweis R 3) oder</w:t>
      </w:r>
    </w:p>
    <w:p>
      <w:pPr>
        <w:pStyle w:val="GesAbsatz"/>
        <w:ind w:left="851" w:hanging="851"/>
        <w:rPr>
          <w:color w:val="auto"/>
        </w:rPr>
      </w:pPr>
      <w:r>
        <w:rPr>
          <w:color w:val="auto"/>
        </w:rPr>
        <w:tab/>
        <w:t>-</w:t>
      </w:r>
      <w:r>
        <w:rPr>
          <w:color w:val="auto"/>
        </w:rPr>
        <w:tab/>
        <w:t>einen Stoff, eine Zubereitung oder einen Gegenstand der Klasse 1 des am 30. September 1957 geschlossenen Europäischen Übereinkommens über die internationale Beförderung gefährlicher Güter auf der Straße (UN/ADR) - in der jeweils geltenden Fassung - in der Fassung der Richtlinie</w:t>
      </w:r>
      <w:r>
        <w:rPr>
          <w:color w:val="0000FF"/>
        </w:rPr>
        <w:t xml:space="preserve"> </w:t>
      </w:r>
      <w:r>
        <w:rPr>
          <w:color w:val="auto"/>
        </w:rPr>
        <w:t>94/55/EG des Rates vom 21. November 1994 zur Angleichung der Rechtsvorschriften der Mitgliedstaaten für den Gefahrenguttransport auf der Straße</w:t>
      </w:r>
      <w:r>
        <w:rPr>
          <w:rStyle w:val="Funotenzeichen"/>
          <w:color w:val="auto"/>
        </w:rPr>
        <w:footnoteReference w:id="15"/>
      </w:r>
      <w:r>
        <w:rPr>
          <w:color w:val="auto"/>
        </w:rPr>
        <w:t>.</w:t>
      </w:r>
    </w:p>
    <w:p>
      <w:pPr>
        <w:pStyle w:val="GesAbsatz"/>
        <w:rPr>
          <w:color w:val="auto"/>
        </w:rPr>
      </w:pPr>
      <w:r>
        <w:rPr>
          <w:color w:val="auto"/>
        </w:rPr>
        <w:t>Unter diese Definition fallen auch pyrotechnische Stoffe, die für die Zwecke dieser Richtlinie als ein Stoff (oder ein Stoffgemisch) definiert werden, mit dem Wärme, Licht, Schall, Gas oder Rauch oder eine Kombination dieser Wirkungen durch selbstunterhaltende, exotherme chemische Reaktionen erzielt werden soll. Ist ein Stoff oder eine Zubereitung sowohl nach der UN/ADR-Systematik als auch mit den Gefahrenhinweisen R 2 oder R 3 eingestuft, so hat die UN/ADR-Einstufung Vorrang vor der Einstufung mit Gefahrenhinweisen. Die Stoffe und Gegenstände der Klasse 1 werden in eine der Unterklassen von 1.1 bis 1.6 nach der UN/ADR-Systematik eingestuft. Die betreffenden Unterklassen sind folgende:</w:t>
      </w:r>
    </w:p>
    <w:p>
      <w:pPr>
        <w:pStyle w:val="GesAbsatz"/>
        <w:rPr>
          <w:color w:val="auto"/>
        </w:rPr>
      </w:pPr>
      <w:r>
        <w:rPr>
          <w:color w:val="auto"/>
        </w:rPr>
        <w:t>Unterklasse 1.1: "Stoffe und Gegenstände, die massenexplosionsfähig sind (eine Massenexplosion ist eine Explosion, die nahezu die gesamte Ladung praktisch gleichzeitig erfasst)."</w:t>
      </w:r>
    </w:p>
    <w:p>
      <w:pPr>
        <w:pStyle w:val="GesAbsatz"/>
        <w:rPr>
          <w:color w:val="auto"/>
        </w:rPr>
      </w:pPr>
      <w:r>
        <w:rPr>
          <w:color w:val="auto"/>
        </w:rPr>
        <w:t>Unterklasse 1.2: "Stoffe und Gegenstände, die die Gefahr der Bildung von Splittern, Spreng- und Wurfstücken aufweisen, aber nicht massenexplosionsfähig sind."</w:t>
      </w:r>
    </w:p>
    <w:p>
      <w:pPr>
        <w:pStyle w:val="GesAbsatz"/>
        <w:rPr>
          <w:color w:val="auto"/>
        </w:rPr>
      </w:pPr>
      <w:r>
        <w:rPr>
          <w:color w:val="auto"/>
        </w:rPr>
        <w:t>Unterklasse 1.3: "Stoffe und Gegenstände, die eine Feuergefahr besitzen und die entweder eine geringe Gefahr durch Luftdruck oder eine geringe Gefahr durch Splitter, Spreng- und Wurfstücke oder durch beides aufweisen, aber nicht massenexplosionsfähig sind:</w:t>
      </w:r>
    </w:p>
    <w:p>
      <w:pPr>
        <w:pStyle w:val="GesAbsatz"/>
        <w:rPr>
          <w:color w:val="auto"/>
        </w:rPr>
      </w:pPr>
      <w:r>
        <w:rPr>
          <w:color w:val="auto"/>
        </w:rPr>
        <w:t>a)</w:t>
      </w:r>
      <w:r>
        <w:rPr>
          <w:color w:val="auto"/>
        </w:rPr>
        <w:tab/>
        <w:t>bei deren Verbrennung beträchtliche Strahlungswärme entsteht oder</w:t>
      </w:r>
    </w:p>
    <w:p>
      <w:pPr>
        <w:pStyle w:val="GesAbsatz"/>
        <w:ind w:left="426" w:hanging="426"/>
        <w:rPr>
          <w:color w:val="auto"/>
        </w:rPr>
      </w:pPr>
      <w:r>
        <w:rPr>
          <w:color w:val="auto"/>
        </w:rPr>
        <w:t>b)</w:t>
      </w:r>
      <w:r>
        <w:rPr>
          <w:color w:val="auto"/>
        </w:rPr>
        <w:tab/>
        <w:t>die nacheinander so abbrennen, dass eine geringe Luftdruckwirkung oder Splitter-, Sprengstück-, Wurfstückwirkung oder beide Wirkungen entstehen."</w:t>
      </w:r>
    </w:p>
    <w:p>
      <w:pPr>
        <w:pStyle w:val="GesAbsatz"/>
        <w:rPr>
          <w:color w:val="auto"/>
        </w:rPr>
      </w:pPr>
      <w:r>
        <w:rPr>
          <w:color w:val="auto"/>
        </w:rPr>
        <w:t>Unterklasse 1.4: "Stoffe und Gegenstände, die im Falle der Entzündung oder Zündung während der Beförderung nur eine geringe Explosionsgefahr darstellen. Die Auswirkungen bleiben im Wesentlichen auf das Versandstück beschränkt, und es ist nicht zu erwarten, dass Sprengstücke mit größeren Abmessungen oder größerer Reichweite entstehen. Ein von außen einwirkendes Feuer hat keine praktisch gleichzeitige Explosion des nahezu gesamten Inhalts des Versandstücks zur Folge."</w:t>
      </w:r>
    </w:p>
    <w:p>
      <w:pPr>
        <w:pStyle w:val="GesAbsatz"/>
        <w:rPr>
          <w:color w:val="auto"/>
        </w:rPr>
      </w:pPr>
      <w:r>
        <w:rPr>
          <w:color w:val="auto"/>
        </w:rPr>
        <w:t>Unterklasse 1.5: "Sehr unempfindliche massenexplosionsfähige Stoffe, die so unempfindlich sind, dass die Wahrscheinlichkeit einer Zündung oder des Übergangs eines Brandes in eine Detonation unter normalen Beförderungsbedingungen sehr gering ist. Als Minimalanforderung für diese Stoffe gilt, dass sie beim Außenbrandversuch nicht explodieren."</w:t>
      </w:r>
    </w:p>
    <w:p>
      <w:pPr>
        <w:pStyle w:val="GesAbsatz"/>
        <w:rPr>
          <w:color w:val="auto"/>
        </w:rPr>
      </w:pPr>
      <w:r>
        <w:rPr>
          <w:color w:val="auto"/>
        </w:rPr>
        <w:t>Unterklasse 1.6: "Extrem unempfindliche Gegenstände, die nicht massenexplosionsfähig sind. Diese Gegenstände enthalten nur extrem unempfindliche detonierende Stoffe und weisen eine zu vernachlässigende Wahrscheinlichkeit einer unbeabsichtigten Zündung oder Fortpflanzung auf. Die Gefahr ist auf die Explosion eines einzigen Gegenstandes beschränkt. "</w:t>
      </w:r>
    </w:p>
    <w:p>
      <w:pPr>
        <w:pStyle w:val="GesAbsatz"/>
      </w:pPr>
      <w:r>
        <w:t>Diese Definition umfasst auch explosionsgefährliche oder pyrotechnische Stoffe oder Zubereitungen, die in Gegenständen enthalten sind. Ist bei Gegenständen, die explosionsgefährliche oder pyrotechnische Stoffe oder Zubereitungen enthalten, die enthaltene Menge des Stoffs oder der Zubereitung bekannt, so ist für die Zwecke dieser Richtlinie diese Menge maßgebend. Ist die Menge nicht bekannt, so ist für die Zwecke dieser Richtlinie der gesamte Gegenstand als explosionsgefährlich zu behandeln.</w:t>
      </w:r>
    </w:p>
    <w:p>
      <w:pPr>
        <w:pStyle w:val="GesAbsatz"/>
      </w:pPr>
      <w:r>
        <w:t>3.</w:t>
      </w:r>
      <w:r>
        <w:tab/>
        <w:t>"Entzündlich", "leichtentzündlich" und "hochentzündlich" (in den Kategorien 6, 7 und 8) bezeichnet</w:t>
      </w:r>
    </w:p>
    <w:p>
      <w:pPr>
        <w:pStyle w:val="GesAbsatz"/>
        <w:ind w:left="851" w:hanging="851"/>
      </w:pPr>
      <w:r>
        <w:tab/>
        <w:t>a)</w:t>
      </w:r>
      <w:r>
        <w:tab/>
        <w:t>entzündliche Flüssigkeiten:</w:t>
      </w:r>
    </w:p>
    <w:p>
      <w:pPr>
        <w:pStyle w:val="GesAbsatz"/>
        <w:ind w:left="851" w:hanging="851"/>
      </w:pPr>
      <w:r>
        <w:tab/>
      </w:r>
      <w:r>
        <w:tab/>
        <w:t>Stoffe und Zubereitungen, die einen Flammpunkt von mindestens 21 °C und höchstens 55 °C haben (Gefahrenhinweis R 10) und die Verbrennung unterhalten;</w:t>
      </w:r>
    </w:p>
    <w:p>
      <w:pPr>
        <w:pStyle w:val="GesAbsatz"/>
        <w:tabs>
          <w:tab w:val="left" w:pos="851"/>
        </w:tabs>
      </w:pPr>
      <w:r>
        <w:tab/>
        <w:t>b)</w:t>
      </w:r>
      <w:r>
        <w:tab/>
        <w:t>leichtentzündliche Flüssigkeiten:</w:t>
      </w:r>
    </w:p>
    <w:p>
      <w:pPr>
        <w:pStyle w:val="GesAbsatz"/>
        <w:tabs>
          <w:tab w:val="left" w:pos="851"/>
        </w:tabs>
        <w:ind w:left="1276" w:hanging="1276"/>
      </w:pPr>
      <w:r>
        <w:tab/>
        <w:t>1.</w:t>
      </w:r>
      <w:r>
        <w:tab/>
        <w:t>-</w:t>
      </w:r>
      <w:r>
        <w:tab/>
        <w:t>Stoffe und Zubereitungen, die sich in Kontakt mit Luft bei Umgebungstemperatur ohne Energiezufuhr erhitzen und schließlich Feuer fangen können (Gefahrenhinweis R 17),</w:t>
      </w:r>
    </w:p>
    <w:p>
      <w:pPr>
        <w:pStyle w:val="GesAbsatz"/>
        <w:tabs>
          <w:tab w:val="left" w:pos="851"/>
        </w:tabs>
        <w:ind w:left="1276" w:hanging="1276"/>
      </w:pPr>
      <w:r>
        <w:rPr>
          <w:color w:val="auto"/>
        </w:rPr>
        <w:lastRenderedPageBreak/>
        <w:tab/>
      </w:r>
      <w:r>
        <w:rPr>
          <w:color w:val="auto"/>
        </w:rPr>
        <w:tab/>
        <w:t>-</w:t>
      </w:r>
      <w:r>
        <w:rPr>
          <w:color w:val="auto"/>
        </w:rPr>
        <w:tab/>
        <w:t>Stoffe und Zubereitungen, die einen Flammpunkt unter 55 °C haben und die unter Druck in</w:t>
      </w:r>
      <w:r>
        <w:t xml:space="preserve"> flüssigem Zustand bleiben, sofern bei bestimmten Arten der Behandlung, z. B. unter hohem Druck und bei hoher Temperatur, das Risiko schwerer Unfälle entstehen kann;</w:t>
      </w:r>
    </w:p>
    <w:p>
      <w:pPr>
        <w:pStyle w:val="GesAbsatz"/>
        <w:ind w:left="851" w:hanging="851"/>
      </w:pPr>
      <w:r>
        <w:tab/>
        <w:t>2.</w:t>
      </w:r>
      <w:r>
        <w:tab/>
        <w:t>Stoffe und Zubereitungen, die einen Flammpunkt unter 21 °C haben und nicht hochentzündlich sind (Gefahrenhinweis R 11 zweiter Gedankenstrich);</w:t>
      </w:r>
    </w:p>
    <w:p>
      <w:pPr>
        <w:pStyle w:val="GesAbsatz"/>
        <w:tabs>
          <w:tab w:val="left" w:pos="851"/>
        </w:tabs>
      </w:pPr>
      <w:r>
        <w:tab/>
        <w:t>c)</w:t>
      </w:r>
      <w:r>
        <w:tab/>
        <w:t>hochentzündliche Gase und Flüssigkeiten:</w:t>
      </w:r>
    </w:p>
    <w:p>
      <w:pPr>
        <w:pStyle w:val="GesAbsatz"/>
        <w:tabs>
          <w:tab w:val="left" w:pos="851"/>
        </w:tabs>
        <w:ind w:left="851" w:hanging="851"/>
      </w:pPr>
      <w:r>
        <w:tab/>
        <w:t>1.</w:t>
      </w:r>
      <w:r>
        <w:tab/>
        <w:t>flüssige Stoffe und Zubereitungen, die einen Flammpunkt unter 0 °C haben und deren Siedepunkt (bzw. Anfangssiedepunkt im Fall eines Siedebereichs) bei Normaldruck höchstens 35 °C beträgt (Gefahrenhinweis R 12 erster Gedankenstrich), und</w:t>
      </w:r>
    </w:p>
    <w:p>
      <w:pPr>
        <w:pStyle w:val="GesAbsatz"/>
        <w:tabs>
          <w:tab w:val="left" w:pos="851"/>
        </w:tabs>
        <w:ind w:left="851" w:hanging="851"/>
        <w:rPr>
          <w:color w:val="auto"/>
        </w:rPr>
      </w:pPr>
      <w:r>
        <w:rPr>
          <w:color w:val="auto"/>
        </w:rPr>
        <w:tab/>
        <w:t>2.</w:t>
      </w:r>
      <w:r>
        <w:rPr>
          <w:color w:val="auto"/>
        </w:rPr>
        <w:tab/>
        <w:t>Gase, die bei Normaldruck in Kontakt mit Luft bei Umgebungstemperatur entzündlich sind (Gefahrenhinweis R 12 zweiter Gedankenstrich) und die sich in einem gasförmigen oder überkritischen Zustand befinden, und</w:t>
      </w:r>
    </w:p>
    <w:p>
      <w:pPr>
        <w:pStyle w:val="GesAbsatz"/>
        <w:tabs>
          <w:tab w:val="left" w:pos="851"/>
        </w:tabs>
        <w:ind w:left="851" w:hanging="851"/>
        <w:rPr>
          <w:color w:val="auto"/>
        </w:rPr>
      </w:pPr>
      <w:r>
        <w:rPr>
          <w:color w:val="auto"/>
        </w:rPr>
        <w:tab/>
        <w:t>3.</w:t>
      </w:r>
      <w:r>
        <w:rPr>
          <w:color w:val="auto"/>
        </w:rPr>
        <w:tab/>
        <w:t>entzündliche und leichtentzündliche flüssige Stoffe und Zubereitungen, die auf einer Temperatur oberhalb ihres jeweiligen Siedepunkts gehalten werden.</w:t>
      </w:r>
    </w:p>
    <w:p>
      <w:pPr>
        <w:pStyle w:val="GesAbsatz"/>
        <w:ind w:left="426" w:hanging="426"/>
        <w:rPr>
          <w:color w:val="auto"/>
        </w:rPr>
      </w:pPr>
      <w:r>
        <w:rPr>
          <w:color w:val="auto"/>
        </w:rPr>
        <w:t>4.</w:t>
      </w:r>
      <w:r>
        <w:rPr>
          <w:color w:val="auto"/>
        </w:rPr>
        <w:tab/>
        <w:t>Bei einem Betrieb, in dem kein Einzelstoff oder keine Einzelzubereitung in einer Menge vorhanden ist, die der jeweiligen Mengenschwelle entspricht oder größer ist, wird zur Feststellung, ob der Betrieb unter die einschlägigen Vorschriften der Richtlinie fällt, folgende Additionsregel angewendet.</w:t>
      </w:r>
    </w:p>
    <w:p>
      <w:pPr>
        <w:pStyle w:val="GesAbsatz"/>
        <w:rPr>
          <w:color w:val="auto"/>
        </w:rPr>
      </w:pPr>
      <w:r>
        <w:rPr>
          <w:color w:val="auto"/>
        </w:rPr>
        <w:tab/>
        <w:t>Diese Richtlinie ist anzuwenden, wenn die Summe</w:t>
      </w:r>
    </w:p>
    <w:p>
      <w:pPr>
        <w:pStyle w:val="GesAbsatz"/>
        <w:rPr>
          <w:color w:val="auto"/>
        </w:rPr>
      </w:pPr>
      <w:r>
        <w:rPr>
          <w:color w:val="auto"/>
        </w:rPr>
        <w:tab/>
        <w:t>q1/Q</w:t>
      </w:r>
      <w:r>
        <w:rPr>
          <w:color w:val="auto"/>
          <w:vertAlign w:val="subscript"/>
        </w:rPr>
        <w:t>U1</w:t>
      </w:r>
      <w:r>
        <w:rPr>
          <w:color w:val="auto"/>
        </w:rPr>
        <w:t xml:space="preserve"> + q2/Q</w:t>
      </w:r>
      <w:r>
        <w:rPr>
          <w:color w:val="auto"/>
          <w:vertAlign w:val="subscript"/>
        </w:rPr>
        <w:t>U2</w:t>
      </w:r>
      <w:r>
        <w:rPr>
          <w:color w:val="auto"/>
        </w:rPr>
        <w:t xml:space="preserve"> + q3/Q</w:t>
      </w:r>
      <w:r>
        <w:rPr>
          <w:color w:val="auto"/>
          <w:vertAlign w:val="subscript"/>
        </w:rPr>
        <w:t>U3</w:t>
      </w:r>
      <w:r>
        <w:rPr>
          <w:color w:val="auto"/>
        </w:rPr>
        <w:t xml:space="preserve"> + q4/Q</w:t>
      </w:r>
      <w:r>
        <w:rPr>
          <w:color w:val="auto"/>
          <w:vertAlign w:val="subscript"/>
        </w:rPr>
        <w:t>U4</w:t>
      </w:r>
      <w:r>
        <w:rPr>
          <w:color w:val="auto"/>
        </w:rPr>
        <w:t xml:space="preserve"> + q5/Q</w:t>
      </w:r>
      <w:r>
        <w:rPr>
          <w:color w:val="auto"/>
          <w:vertAlign w:val="subscript"/>
        </w:rPr>
        <w:t>U5</w:t>
      </w:r>
      <w:r>
        <w:rPr>
          <w:color w:val="auto"/>
        </w:rPr>
        <w:t xml:space="preserve"> +... größer oder gleich 1 ist,</w:t>
      </w:r>
    </w:p>
    <w:p>
      <w:pPr>
        <w:pStyle w:val="GesAbsatz"/>
        <w:ind w:left="426" w:hanging="426"/>
        <w:rPr>
          <w:color w:val="auto"/>
        </w:rPr>
      </w:pPr>
      <w:r>
        <w:rPr>
          <w:color w:val="auto"/>
        </w:rPr>
        <w:tab/>
        <w:t>dabei ist q</w:t>
      </w:r>
      <w:r>
        <w:rPr>
          <w:color w:val="auto"/>
          <w:vertAlign w:val="subscript"/>
        </w:rPr>
        <w:t>x</w:t>
      </w:r>
      <w:r>
        <w:rPr>
          <w:color w:val="auto"/>
        </w:rPr>
        <w:t xml:space="preserve"> die Menge des gefährlichen Stoffes x (oder gefährlicher Stoffe ein und derselben Kategorie), der (die) unter Teil 1 oder 2 dieses Anhangs fällt (fallen),</w:t>
      </w:r>
    </w:p>
    <w:p>
      <w:pPr>
        <w:pStyle w:val="GesAbsatz"/>
        <w:ind w:left="426" w:hanging="426"/>
        <w:rPr>
          <w:color w:val="auto"/>
        </w:rPr>
      </w:pPr>
      <w:r>
        <w:rPr>
          <w:color w:val="auto"/>
        </w:rPr>
        <w:tab/>
        <w:t>und Q</w:t>
      </w:r>
      <w:r>
        <w:rPr>
          <w:color w:val="auto"/>
          <w:vertAlign w:val="subscript"/>
        </w:rPr>
        <w:t>Ux</w:t>
      </w:r>
      <w:r>
        <w:rPr>
          <w:color w:val="auto"/>
        </w:rPr>
        <w:t xml:space="preserve"> die in Teil 1 oder Teil 2 Spalte 3 angegebene relevante Mengenschwelle für den Stoff oder die Kategorie x.</w:t>
      </w:r>
    </w:p>
    <w:p>
      <w:pPr>
        <w:pStyle w:val="GesAbsatz"/>
        <w:rPr>
          <w:color w:val="auto"/>
        </w:rPr>
      </w:pPr>
      <w:r>
        <w:rPr>
          <w:color w:val="auto"/>
        </w:rPr>
        <w:tab/>
        <w:t>Diese Richtlinie ist - mit Ausnahme der Artikel 9, 11 und 13 - anzuwenden, wenn die Summe</w:t>
      </w:r>
    </w:p>
    <w:p>
      <w:pPr>
        <w:pStyle w:val="GesAbsatz"/>
        <w:rPr>
          <w:color w:val="auto"/>
        </w:rPr>
      </w:pPr>
      <w:r>
        <w:rPr>
          <w:color w:val="auto"/>
        </w:rPr>
        <w:tab/>
        <w:t>q1/Q</w:t>
      </w:r>
      <w:r>
        <w:rPr>
          <w:color w:val="auto"/>
          <w:vertAlign w:val="subscript"/>
        </w:rPr>
        <w:t>L1</w:t>
      </w:r>
      <w:r>
        <w:rPr>
          <w:color w:val="auto"/>
        </w:rPr>
        <w:t xml:space="preserve"> + q2/Q</w:t>
      </w:r>
      <w:r>
        <w:rPr>
          <w:color w:val="auto"/>
          <w:vertAlign w:val="subscript"/>
        </w:rPr>
        <w:t>L2</w:t>
      </w:r>
      <w:r>
        <w:rPr>
          <w:color w:val="auto"/>
        </w:rPr>
        <w:t xml:space="preserve"> + q3/Q</w:t>
      </w:r>
      <w:r>
        <w:rPr>
          <w:color w:val="auto"/>
          <w:vertAlign w:val="subscript"/>
        </w:rPr>
        <w:t>L3</w:t>
      </w:r>
      <w:r>
        <w:rPr>
          <w:color w:val="auto"/>
        </w:rPr>
        <w:t xml:space="preserve"> + q4/Q</w:t>
      </w:r>
      <w:r>
        <w:rPr>
          <w:color w:val="auto"/>
          <w:vertAlign w:val="subscript"/>
        </w:rPr>
        <w:t xml:space="preserve">L4 </w:t>
      </w:r>
      <w:r>
        <w:rPr>
          <w:color w:val="auto"/>
        </w:rPr>
        <w:t>+ q5/Q</w:t>
      </w:r>
      <w:r>
        <w:rPr>
          <w:color w:val="auto"/>
          <w:vertAlign w:val="subscript"/>
        </w:rPr>
        <w:t>L5</w:t>
      </w:r>
      <w:r>
        <w:rPr>
          <w:color w:val="auto"/>
        </w:rPr>
        <w:t xml:space="preserve"> +... größer oder gleich 1 ist,</w:t>
      </w:r>
    </w:p>
    <w:p>
      <w:pPr>
        <w:pStyle w:val="GesAbsatz"/>
        <w:ind w:left="426" w:hanging="426"/>
        <w:rPr>
          <w:color w:val="auto"/>
        </w:rPr>
      </w:pPr>
      <w:r>
        <w:rPr>
          <w:color w:val="auto"/>
        </w:rPr>
        <w:tab/>
        <w:t>dabei ist q</w:t>
      </w:r>
      <w:r>
        <w:rPr>
          <w:color w:val="auto"/>
          <w:vertAlign w:val="subscript"/>
        </w:rPr>
        <w:t>x</w:t>
      </w:r>
      <w:r>
        <w:rPr>
          <w:color w:val="auto"/>
        </w:rPr>
        <w:t xml:space="preserve"> die Menge des gefährlichen Stoffes x (oder gefährlicher Stoffe ein und derselben Kategorie), der (die) unter Teil 1 oder 2 dieses Anhangs fällt (fallen),</w:t>
      </w:r>
    </w:p>
    <w:p>
      <w:pPr>
        <w:pStyle w:val="GesAbsatz"/>
        <w:ind w:left="426" w:hanging="426"/>
        <w:rPr>
          <w:color w:val="auto"/>
        </w:rPr>
      </w:pPr>
      <w:r>
        <w:rPr>
          <w:color w:val="auto"/>
        </w:rPr>
        <w:tab/>
        <w:t>und Q</w:t>
      </w:r>
      <w:r>
        <w:rPr>
          <w:color w:val="auto"/>
          <w:vertAlign w:val="subscript"/>
        </w:rPr>
        <w:t>Lx</w:t>
      </w:r>
      <w:r>
        <w:rPr>
          <w:color w:val="auto"/>
        </w:rPr>
        <w:t xml:space="preserve"> die in Teil 1 oder Teil 2 Spalte 2 angegebene relevante Mengenschwelle für den Stoff oder die Kategorie x.</w:t>
      </w:r>
    </w:p>
    <w:p>
      <w:pPr>
        <w:pStyle w:val="GesAbsatz"/>
        <w:ind w:left="426" w:hanging="426"/>
        <w:rPr>
          <w:color w:val="auto"/>
        </w:rPr>
      </w:pPr>
      <w:r>
        <w:rPr>
          <w:color w:val="auto"/>
        </w:rPr>
        <w:tab/>
        <w:t>Diese Regel wird zur Einschätzung der mit der Giftigkeit, Entzündlichkeit und Umweltgiftigkeit verbundenen Gesamtgefahr angewandt. Sie ist daher dreimal anzuwenden:</w:t>
      </w:r>
    </w:p>
    <w:p>
      <w:pPr>
        <w:pStyle w:val="GesAbsatz"/>
        <w:ind w:left="851" w:hanging="851"/>
        <w:rPr>
          <w:color w:val="auto"/>
        </w:rPr>
      </w:pPr>
      <w:r>
        <w:rPr>
          <w:color w:val="auto"/>
        </w:rPr>
        <w:tab/>
        <w:t>a)</w:t>
      </w:r>
      <w:r>
        <w:rPr>
          <w:color w:val="auto"/>
        </w:rPr>
        <w:tab/>
        <w:t>für das Addieren von Stoffen und Zubereitungen, die in Teil 1 aufgeführt und als giftig oder sehr giftig eingestuft sind, zu den Stoffen und Zubereitungen, die in die Kategorie 1 oder 2 fallen;</w:t>
      </w:r>
    </w:p>
    <w:p>
      <w:pPr>
        <w:pStyle w:val="GesAbsatz"/>
        <w:ind w:left="851" w:hanging="851"/>
        <w:rPr>
          <w:color w:val="auto"/>
        </w:rPr>
      </w:pPr>
      <w:r>
        <w:rPr>
          <w:color w:val="auto"/>
        </w:rPr>
        <w:tab/>
        <w:t>b)</w:t>
      </w:r>
      <w:r>
        <w:rPr>
          <w:color w:val="auto"/>
        </w:rPr>
        <w:tab/>
        <w:t>für das Addieren von Stoffen und Zubereitungen, die in Teil 1 aufgeführt und als oxidierend, explosionsgefährlich, entzündlich, leicht entzündlich oder hochentzündlich eingestuft sind, zu den Stoffen und Zubereitungen, die in die Kategorie 3, 4, 5, 6, 7a, 7b oder 8 fallen;</w:t>
      </w:r>
    </w:p>
    <w:p>
      <w:pPr>
        <w:pStyle w:val="GesAbsatz"/>
        <w:ind w:left="851" w:hanging="851"/>
        <w:rPr>
          <w:color w:val="auto"/>
        </w:rPr>
      </w:pPr>
      <w:r>
        <w:rPr>
          <w:color w:val="auto"/>
        </w:rPr>
        <w:tab/>
        <w:t>c)</w:t>
      </w:r>
      <w:r>
        <w:rPr>
          <w:color w:val="auto"/>
        </w:rPr>
        <w:tab/>
        <w:t>für das Addieren von Stoffen und Zubereitungen, die in Teil 1 aufgeführt und als umweltgefährlich (R 50 (einschließlich R 50/53) oder R 51/53) eingestuft sind, zu den Stoffen und Zubereitungen, die in die Kategorie 9 Ziffer i) oder 9 Ziffer ii) fallen.</w:t>
      </w:r>
    </w:p>
    <w:p>
      <w:pPr>
        <w:pStyle w:val="GesAbsatz"/>
        <w:ind w:left="426" w:hanging="426"/>
        <w:rPr>
          <w:color w:val="auto"/>
        </w:rPr>
      </w:pPr>
      <w:r>
        <w:rPr>
          <w:color w:val="auto"/>
        </w:rPr>
        <w:tab/>
        <w:t>Die einschlägigen Bestimmungen dieser Richtlinie sind anzuwenden, wenn eine der bei Buchstaben a), b) oder c) erhaltenen Summen größer oder gleich 1 ist.</w:t>
      </w:r>
    </w:p>
    <w:p>
      <w:pPr>
        <w:pStyle w:val="berschrift2"/>
        <w:jc w:val="left"/>
      </w:pPr>
      <w:bookmarkStart w:id="29" w:name="_Toc400444598"/>
      <w:r>
        <w:t>Anhang II</w:t>
      </w:r>
      <w:bookmarkEnd w:id="29"/>
    </w:p>
    <w:p>
      <w:pPr>
        <w:pStyle w:val="GesAbsatz"/>
        <w:jc w:val="left"/>
        <w:rPr>
          <w:b/>
        </w:rPr>
      </w:pPr>
      <w:r>
        <w:rPr>
          <w:b/>
        </w:rPr>
        <w:t>In dem Sicherheitsbericht nach Artikel 9 zu berücksichtigende</w:t>
      </w:r>
      <w:r>
        <w:rPr>
          <w:b/>
        </w:rPr>
        <w:br/>
        <w:t>Mindestangaben und Mindestinformationen</w:t>
      </w:r>
    </w:p>
    <w:p>
      <w:pPr>
        <w:pStyle w:val="GesAbsatz"/>
        <w:ind w:left="426" w:hanging="426"/>
        <w:rPr>
          <w:rFonts w:cs="Arial"/>
          <w:b/>
          <w:bCs/>
        </w:rPr>
      </w:pPr>
      <w:r>
        <w:rPr>
          <w:rFonts w:cs="Arial"/>
          <w:b/>
        </w:rPr>
        <w:t>I.</w:t>
      </w:r>
      <w:r>
        <w:rPr>
          <w:rFonts w:cs="Arial"/>
          <w:b/>
        </w:rPr>
        <w:tab/>
      </w:r>
      <w:r>
        <w:rPr>
          <w:rFonts w:cs="Arial"/>
          <w:b/>
          <w:bCs/>
        </w:rPr>
        <w:t>Informationen über das Managementsystem und die Betriebsorganisation im Hinblick auf die Verhütung schwerer Unfälle</w:t>
      </w:r>
    </w:p>
    <w:p>
      <w:pPr>
        <w:pStyle w:val="GesAbsatz"/>
      </w:pPr>
      <w:r>
        <w:tab/>
        <w:t>Mit diesen Informationen müssen die in Anhang III aufgeführten Punkte abgedeckt werden.</w:t>
      </w:r>
    </w:p>
    <w:p>
      <w:pPr>
        <w:pStyle w:val="GesAbsatz"/>
        <w:rPr>
          <w:rFonts w:cs="Arial"/>
          <w:b/>
          <w:bCs/>
        </w:rPr>
      </w:pPr>
      <w:r>
        <w:rPr>
          <w:rFonts w:cs="Arial"/>
          <w:b/>
          <w:bCs/>
        </w:rPr>
        <w:t>II.</w:t>
      </w:r>
      <w:r>
        <w:rPr>
          <w:rFonts w:cs="Arial"/>
          <w:b/>
          <w:bCs/>
        </w:rPr>
        <w:tab/>
        <w:t>Umfeld des Betriebs</w:t>
      </w:r>
    </w:p>
    <w:p>
      <w:pPr>
        <w:pStyle w:val="GesAbsatz"/>
        <w:ind w:left="851" w:hanging="851"/>
      </w:pPr>
      <w:r>
        <w:tab/>
        <w:t>A.</w:t>
      </w:r>
      <w:r>
        <w:tab/>
        <w:t>Beschreibung des Standorts und seines Umfelds einschließlich der geographischen Lage, der meteorologischen, geologischen und hydrographischen Daten sowie gegebenenfalls der Vorgeschichte des Standorts.</w:t>
      </w:r>
    </w:p>
    <w:p>
      <w:pPr>
        <w:pStyle w:val="GesAbsatz"/>
        <w:ind w:left="851" w:hanging="851"/>
      </w:pPr>
      <w:r>
        <w:lastRenderedPageBreak/>
        <w:tab/>
        <w:t>B.</w:t>
      </w:r>
      <w:r>
        <w:tab/>
        <w:t>Verzeichnis der Anlagen und Tätigkeiten innerhalb des Betriebs, bei denen die Gefahr eines schweren Unfalls bestehen kann.</w:t>
      </w:r>
    </w:p>
    <w:p>
      <w:pPr>
        <w:pStyle w:val="GesAbsatz"/>
        <w:ind w:left="851" w:hanging="851"/>
      </w:pPr>
      <w:r>
        <w:tab/>
        <w:t>C.</w:t>
      </w:r>
      <w:r>
        <w:tab/>
        <w:t>Beschreibung der Bereiche, die von einem schweren Unfall betroffen werden könnten.</w:t>
      </w:r>
    </w:p>
    <w:p>
      <w:pPr>
        <w:pStyle w:val="GesAbsatz"/>
        <w:rPr>
          <w:rFonts w:cs="Arial"/>
          <w:b/>
          <w:bCs/>
        </w:rPr>
      </w:pPr>
      <w:r>
        <w:rPr>
          <w:rFonts w:cs="Arial"/>
          <w:b/>
          <w:bCs/>
        </w:rPr>
        <w:t>III.</w:t>
      </w:r>
      <w:r>
        <w:rPr>
          <w:rFonts w:cs="Arial"/>
          <w:b/>
          <w:bCs/>
        </w:rPr>
        <w:tab/>
        <w:t>Beschreibung der Anlage</w:t>
      </w:r>
    </w:p>
    <w:p>
      <w:pPr>
        <w:pStyle w:val="GesAbsatz"/>
        <w:ind w:left="851" w:hanging="851"/>
      </w:pPr>
      <w:r>
        <w:tab/>
        <w:t>A.</w:t>
      </w:r>
      <w:r>
        <w:tab/>
        <w:t>Beschreibung der wichtigsten Tätigkeiten und Produktionen, der sicherheitsrelevanten Betriebsteile, der Ursachen potentieller schwerer Unfälle sowie der Bedingungen, unter denen der jeweilige schwere Unfall eintreten könnte, und Beschreibung der vorgesehenen Maßnahmen zur Verhütung schwerer Unfälle.</w:t>
      </w:r>
    </w:p>
    <w:p>
      <w:pPr>
        <w:pStyle w:val="GesAbsatz"/>
        <w:ind w:left="851" w:hanging="851"/>
      </w:pPr>
      <w:r>
        <w:tab/>
        <w:t>B.</w:t>
      </w:r>
      <w:r>
        <w:tab/>
        <w:t>Beschreibung der Verfahren, insbesondere der Verfahrensabläufe.</w:t>
      </w:r>
    </w:p>
    <w:p>
      <w:pPr>
        <w:pStyle w:val="GesAbsatz"/>
        <w:ind w:left="851" w:hanging="851"/>
      </w:pPr>
      <w:r>
        <w:tab/>
        <w:t>C.</w:t>
      </w:r>
      <w:r>
        <w:tab/>
        <w:t>Beschreibung der gefährlichen Stoffe:</w:t>
      </w:r>
    </w:p>
    <w:p>
      <w:pPr>
        <w:pStyle w:val="GesAbsatz"/>
        <w:tabs>
          <w:tab w:val="left" w:pos="851"/>
        </w:tabs>
        <w:ind w:left="1276" w:hanging="1276"/>
      </w:pPr>
      <w:r>
        <w:tab/>
      </w:r>
      <w:r>
        <w:tab/>
        <w:t>1.</w:t>
      </w:r>
      <w:r>
        <w:tab/>
        <w:t>Verzeichnis der gefährlichen Stoffe, das folgendes umfasst:</w:t>
      </w:r>
    </w:p>
    <w:p>
      <w:pPr>
        <w:pStyle w:val="GesAbsatz"/>
        <w:tabs>
          <w:tab w:val="left" w:pos="851"/>
        </w:tabs>
        <w:ind w:left="1276" w:hanging="1276"/>
      </w:pPr>
      <w:r>
        <w:tab/>
      </w:r>
      <w:r>
        <w:tab/>
        <w:t>-</w:t>
      </w:r>
      <w:r>
        <w:tab/>
        <w:t>Angaben zur Feststellung der gefährlichen Stoffe: Angabe ihrer chemischen Bezeichnung, CAS-Nummer, Bezeichnung nach der IUPAC-Nomenklatur,</w:t>
      </w:r>
    </w:p>
    <w:p>
      <w:pPr>
        <w:pStyle w:val="GesAbsatz"/>
        <w:tabs>
          <w:tab w:val="left" w:pos="851"/>
        </w:tabs>
        <w:ind w:left="1276" w:hanging="1276"/>
      </w:pPr>
      <w:r>
        <w:tab/>
      </w:r>
      <w:r>
        <w:tab/>
        <w:t>-</w:t>
      </w:r>
      <w:r>
        <w:tab/>
        <w:t>Höchstmenge des vorhandenen Stoffes/der vorhandenen Stoffe oder des Stoffes, der vorhanden sein kann/der Stoffe die vorhanden sein können;</w:t>
      </w:r>
    </w:p>
    <w:p>
      <w:pPr>
        <w:pStyle w:val="GesAbsatz"/>
        <w:tabs>
          <w:tab w:val="left" w:pos="851"/>
        </w:tabs>
        <w:ind w:left="1276" w:hanging="1276"/>
      </w:pPr>
      <w:r>
        <w:tab/>
      </w:r>
      <w:r>
        <w:tab/>
        <w:t>2.</w:t>
      </w:r>
      <w:r>
        <w:tab/>
        <w:t>physikalische, chemische und toxikologische Merkmale sowie Angabe der für Mensch oder Umwelt unmittelbar bestehenden und der sich erst später auf sie auswirkenden Gefahren;</w:t>
      </w:r>
    </w:p>
    <w:p>
      <w:pPr>
        <w:pStyle w:val="GesAbsatz"/>
        <w:tabs>
          <w:tab w:val="left" w:pos="851"/>
        </w:tabs>
        <w:ind w:left="1276" w:hanging="1276"/>
      </w:pPr>
      <w:r>
        <w:tab/>
      </w:r>
      <w:r>
        <w:tab/>
        <w:t>3.</w:t>
      </w:r>
      <w:r>
        <w:tab/>
        <w:t>physikalisches oder chemisches Verhalten unter normalen Einsatzbedingungen oder bei vorhersehbaren Störungen.</w:t>
      </w:r>
    </w:p>
    <w:p>
      <w:pPr>
        <w:pStyle w:val="GesAbsatz"/>
        <w:rPr>
          <w:rFonts w:cs="Arial"/>
          <w:b/>
          <w:bCs/>
        </w:rPr>
      </w:pPr>
      <w:r>
        <w:rPr>
          <w:rFonts w:cs="Arial"/>
          <w:b/>
          <w:bCs/>
        </w:rPr>
        <w:t>IV.</w:t>
      </w:r>
      <w:r>
        <w:rPr>
          <w:rFonts w:cs="Arial"/>
          <w:b/>
          <w:bCs/>
        </w:rPr>
        <w:tab/>
        <w:t>Ermittlung und Analyse möglicher Unfälle und Mittel zu deren Verhütung</w:t>
      </w:r>
    </w:p>
    <w:p>
      <w:pPr>
        <w:pStyle w:val="GesAbsatz"/>
        <w:tabs>
          <w:tab w:val="left" w:pos="851"/>
        </w:tabs>
        <w:ind w:left="851" w:hanging="851"/>
      </w:pPr>
      <w:r>
        <w:tab/>
        <w:t>A.</w:t>
      </w:r>
      <w:r>
        <w:tab/>
        <w:t>Eingehende Beschreibung der Szenarien möglicher schwerer Unfälle nebst der Möglichkeiten und Bedingungen für ihr Eintreten, einschließlich einer Zusammenfassung der Vorfälle, die für das Eintreten jedes dieser Szenarien ausschlaggebend sein könnten, unabhängig davon, ob die Ursachen hierfür innerhalb oder außerhalb der Anlage liegen.</w:t>
      </w:r>
    </w:p>
    <w:p>
      <w:pPr>
        <w:pStyle w:val="GesAbsatz"/>
        <w:ind w:left="851" w:hanging="851"/>
        <w:rPr>
          <w:color w:val="auto"/>
        </w:rPr>
      </w:pPr>
      <w:r>
        <w:rPr>
          <w:color w:val="auto"/>
        </w:rPr>
        <w:tab/>
        <w:t>B.</w:t>
      </w:r>
      <w:r>
        <w:rPr>
          <w:color w:val="auto"/>
        </w:rPr>
        <w:tab/>
        <w:t>Abschätzung des Ausmaßes und der Schwere der Folgen der ermittelten schweren Unfälle , einschließlich Karten, Bilder oder gegebenenfalls entsprechender Beschreibungen, aus denen die Bereiche ersichtlich sind, die von derartigen Unfällen in dem Betrieb betroffen sein können, vorbehaltlich des Artikels 13 Absatz 4 und des Artikels 20.</w:t>
      </w:r>
    </w:p>
    <w:p>
      <w:pPr>
        <w:pStyle w:val="GesAbsatz"/>
        <w:ind w:left="851" w:hanging="851"/>
      </w:pPr>
      <w:r>
        <w:tab/>
        <w:t>C.</w:t>
      </w:r>
      <w:r>
        <w:tab/>
        <w:t>Beschreibung der technischen Parameter sowie Ausrüstungen zur Sicherung der Anlagen.</w:t>
      </w:r>
    </w:p>
    <w:p>
      <w:pPr>
        <w:pStyle w:val="GesAbsatz"/>
        <w:rPr>
          <w:rFonts w:cs="Arial"/>
          <w:b/>
          <w:bCs/>
        </w:rPr>
      </w:pPr>
      <w:r>
        <w:rPr>
          <w:rFonts w:cs="Arial"/>
          <w:b/>
          <w:bCs/>
        </w:rPr>
        <w:t>V.</w:t>
      </w:r>
      <w:r>
        <w:rPr>
          <w:rFonts w:cs="Arial"/>
          <w:b/>
          <w:bCs/>
        </w:rPr>
        <w:tab/>
        <w:t>Schutz- und Notfallmaßnahmen zur Begrenzung von Unfallfolgen</w:t>
      </w:r>
    </w:p>
    <w:p>
      <w:pPr>
        <w:pStyle w:val="GesAbsatz"/>
        <w:ind w:left="851" w:hanging="851"/>
      </w:pPr>
      <w:r>
        <w:tab/>
        <w:t>A.</w:t>
      </w:r>
      <w:r>
        <w:tab/>
        <w:t>Beschreibung der Einrichtungen, die in der Anlage zur Begrenzung der Folgen schwerer Unfälle vorhanden sind.</w:t>
      </w:r>
    </w:p>
    <w:p>
      <w:pPr>
        <w:pStyle w:val="GesAbsatz"/>
        <w:ind w:left="851" w:hanging="851"/>
      </w:pPr>
      <w:r>
        <w:tab/>
        <w:t>B.</w:t>
      </w:r>
      <w:r>
        <w:tab/>
        <w:t>Auslösung des Alarms und Durchführung der Notfallmaßnahmen.</w:t>
      </w:r>
    </w:p>
    <w:p>
      <w:pPr>
        <w:pStyle w:val="GesAbsatz"/>
        <w:ind w:left="851" w:hanging="851"/>
      </w:pPr>
      <w:r>
        <w:tab/>
        <w:t>C.</w:t>
      </w:r>
      <w:r>
        <w:tab/>
        <w:t>Beschreibung der Mittel, die innerhalb oder außerhalb des Betriebes für den Notfall zur Verfügung stehen.</w:t>
      </w:r>
    </w:p>
    <w:p>
      <w:pPr>
        <w:pStyle w:val="GesAbsatz"/>
        <w:ind w:left="851" w:hanging="851"/>
      </w:pPr>
      <w:r>
        <w:tab/>
        <w:t>D.</w:t>
      </w:r>
      <w:r>
        <w:tab/>
        <w:t>Zur Erarbeitung des internen Notfallplans nach Artikel 11 erforderliche Zusammenfassung der unter den Buchstaben A, B und C gemachten Sachangaben.</w:t>
      </w:r>
    </w:p>
    <w:p>
      <w:pPr>
        <w:pStyle w:val="berschrift2"/>
        <w:jc w:val="left"/>
      </w:pPr>
      <w:bookmarkStart w:id="30" w:name="_Toc400444599"/>
      <w:r>
        <w:t>Anhang III</w:t>
      </w:r>
      <w:bookmarkEnd w:id="30"/>
    </w:p>
    <w:p>
      <w:pPr>
        <w:pStyle w:val="GesAbsatz"/>
        <w:jc w:val="left"/>
        <w:rPr>
          <w:rFonts w:cs="Arial"/>
          <w:b/>
          <w:bCs/>
        </w:rPr>
      </w:pPr>
      <w:r>
        <w:rPr>
          <w:rFonts w:cs="Arial"/>
          <w:b/>
          <w:bCs/>
        </w:rPr>
        <w:t>Grundsätze nach Artikel 7 und Informationen nach Artikel 9 betreffend das Managementsystem und die Betriebsorganisation im Hinblick auf die Verhütung schwerer Unfälle</w:t>
      </w:r>
    </w:p>
    <w:p>
      <w:pPr>
        <w:pStyle w:val="GesAbsatz"/>
        <w:rPr>
          <w:rFonts w:cs="Arial"/>
        </w:rPr>
      </w:pPr>
      <w:r>
        <w:rPr>
          <w:rFonts w:cs="Arial"/>
        </w:rPr>
        <w:t>Bei der Anwendung des Konzepts des Betreibers zur Verhütung schwerer Unfälle und beim Sicherheitsmanagementsystem ist den nachstehenden Elementen Rechnung zu tragen. Die in der Unterlage nach Artikel 7 vorgesehenen Vorschriften sind unter Berücksichtigung der betriebsspezifischen Risiken schwerer Unfälle anzuwenden.</w:t>
      </w:r>
    </w:p>
    <w:p>
      <w:pPr>
        <w:pStyle w:val="GesAbsatz"/>
        <w:ind w:left="426" w:hanging="426"/>
        <w:rPr>
          <w:rFonts w:cs="Arial"/>
        </w:rPr>
      </w:pPr>
      <w:r>
        <w:rPr>
          <w:rFonts w:cs="Arial"/>
        </w:rPr>
        <w:t>a.</w:t>
      </w:r>
      <w:r>
        <w:rPr>
          <w:rFonts w:cs="Arial"/>
        </w:rPr>
        <w:tab/>
        <w:t>Das Konzept zur Verhütung schwerer Unfälle ist schriftlich auszufertigen; es umfasst die Gesamtziele und allgemeinen Grundsätze des Vorgehens des Betreibers zur Begrenzung der Risiken schwerer Unfälle.</w:t>
      </w:r>
    </w:p>
    <w:p>
      <w:pPr>
        <w:pStyle w:val="GesAbsatz"/>
        <w:ind w:left="426" w:hanging="426"/>
        <w:rPr>
          <w:rFonts w:cs="Arial"/>
        </w:rPr>
      </w:pPr>
      <w:r>
        <w:rPr>
          <w:rFonts w:cs="Arial"/>
        </w:rPr>
        <w:t>b.</w:t>
      </w:r>
      <w:r>
        <w:rPr>
          <w:rFonts w:cs="Arial"/>
        </w:rPr>
        <w:tab/>
        <w:t>In das Sicherheitsmanagementsystem ist derjenige Teil des allgemeinen Überwachungssystems einzugliedern, zu dem Organisationsstruktur, Verantwortungsbereiche, Handlungsweisen, Verfahren, Prozesse und Mittel gehören, also die für die Festlegung und Anwendung des Konzepts zur Verhütung schwerer Unfälle relevanten Punkte.</w:t>
      </w:r>
    </w:p>
    <w:p>
      <w:pPr>
        <w:pStyle w:val="GesAbsatz"/>
        <w:rPr>
          <w:rFonts w:cs="Arial"/>
        </w:rPr>
      </w:pPr>
      <w:r>
        <w:rPr>
          <w:rFonts w:cs="Arial"/>
        </w:rPr>
        <w:lastRenderedPageBreak/>
        <w:t>c.</w:t>
      </w:r>
      <w:r>
        <w:rPr>
          <w:rFonts w:cs="Arial"/>
        </w:rPr>
        <w:tab/>
        <w:t>Folgende Punkte werden durch das Sicherheitsmanagementsystem geregelt:</w:t>
      </w:r>
    </w:p>
    <w:p>
      <w:pPr>
        <w:pStyle w:val="GesAbsatz"/>
        <w:ind w:left="851" w:hanging="851"/>
        <w:rPr>
          <w:rFonts w:cs="Arial"/>
          <w:color w:val="auto"/>
        </w:rPr>
      </w:pPr>
      <w:r>
        <w:rPr>
          <w:rFonts w:cs="Arial"/>
        </w:rPr>
        <w:tab/>
        <w:t>i)</w:t>
      </w:r>
      <w:r>
        <w:rPr>
          <w:rFonts w:cs="Arial"/>
        </w:rPr>
        <w:tab/>
        <w:t>Organisation und Personal - Aufgaben und Verantwortungsbereiche des zur Überwachung der Risiken schwerer Unfälle vorgesehenen Personals auf allen Stufen der Organisation. Ermittlung des entsprechenden Ausbildungsbedarfs und Durchführung der erforderlichen Ausbildungsmaß</w:t>
      </w:r>
      <w:r>
        <w:rPr>
          <w:rFonts w:cs="Arial"/>
          <w:color w:val="auto"/>
        </w:rPr>
        <w:t>nahmen. Einbeziehung der Beschäftigten des Betriebs sowie des in dem Betrieb tätigen Personals von Subunternehmen.</w:t>
      </w:r>
    </w:p>
    <w:p>
      <w:pPr>
        <w:pStyle w:val="GesAbsatz"/>
        <w:ind w:left="851" w:hanging="851"/>
        <w:rPr>
          <w:rFonts w:cs="Arial"/>
        </w:rPr>
      </w:pPr>
      <w:r>
        <w:rPr>
          <w:rFonts w:cs="Arial"/>
        </w:rPr>
        <w:tab/>
        <w:t>ii)</w:t>
      </w:r>
      <w:r>
        <w:rPr>
          <w:rFonts w:cs="Arial"/>
        </w:rPr>
        <w:tab/>
        <w:t>Ermittlung und Bewertung der Risiken schwerer Unfälle - Festlegung und Anwendung von Verfahren zur systematischen Ermittlung der Risiken schwerer Unfälle bei bestimmungsgemäßem Betrieb und gestörtem Betrieb sowie Abschätzung der Eintrittswahrscheinlichkeit und der Schwere solcher Unfälle.</w:t>
      </w:r>
    </w:p>
    <w:p>
      <w:pPr>
        <w:pStyle w:val="GesAbsatz"/>
        <w:ind w:left="851" w:hanging="851"/>
        <w:rPr>
          <w:rFonts w:cs="Arial"/>
        </w:rPr>
      </w:pPr>
      <w:r>
        <w:rPr>
          <w:rFonts w:cs="Arial"/>
        </w:rPr>
        <w:tab/>
        <w:t>iii)</w:t>
      </w:r>
      <w:r>
        <w:rPr>
          <w:rFonts w:cs="Arial"/>
        </w:rPr>
        <w:tab/>
        <w:t>Betriebskontrolle - Festlegung und Anwendung von Verfahren und Leitplänen für den sicheren Betrieb, einschließlich der Wartung der Anlagen, für Verfahren, Einrichtung und zeitlich begrenzte Unterbrechungen.</w:t>
      </w:r>
    </w:p>
    <w:p>
      <w:pPr>
        <w:pStyle w:val="GesAbsatz"/>
        <w:ind w:left="851" w:hanging="851"/>
        <w:rPr>
          <w:rFonts w:cs="Arial"/>
        </w:rPr>
      </w:pPr>
      <w:r>
        <w:rPr>
          <w:rFonts w:cs="Arial"/>
        </w:rPr>
        <w:tab/>
        <w:t>iv)</w:t>
      </w:r>
      <w:r>
        <w:rPr>
          <w:rFonts w:cs="Arial"/>
        </w:rPr>
        <w:tab/>
        <w:t>Sichere Durchführung von Änderungen - Festlegung und Anwendung von Verfahren zur Planung von Änderungen der Anlage oder des Lagerortes oder zur Auslegung einer neuen Anlage, eines neuen Verfahrens oder eines neuen Lagerortes.</w:t>
      </w:r>
    </w:p>
    <w:p>
      <w:pPr>
        <w:pStyle w:val="GesAbsatz"/>
        <w:ind w:left="851" w:hanging="851"/>
        <w:rPr>
          <w:rFonts w:cs="Arial"/>
          <w:color w:val="auto"/>
        </w:rPr>
      </w:pPr>
      <w:r>
        <w:rPr>
          <w:rFonts w:cs="Arial"/>
        </w:rPr>
        <w:tab/>
        <w:t>v)</w:t>
      </w:r>
      <w:r>
        <w:rPr>
          <w:rFonts w:cs="Arial"/>
        </w:rPr>
        <w:tab/>
        <w:t xml:space="preserve">Planung für Notfälle - Festlegung und Anwendung von Verfahren zur Ermittlung vorhersehbarer Notfälle aufgrund einer systematischen Analyse und zur Erstellung, Erprobung und Überprüfung </w:t>
      </w:r>
      <w:r>
        <w:rPr>
          <w:rFonts w:cs="Arial"/>
          <w:color w:val="auto"/>
        </w:rPr>
        <w:t>der Notfallpläne, um in Notfällen angemessen reagieren und um dem betroffenen Personal eine spezielle Ausbildung erteilen zu können. Diese Ausbildung muss allen Beschäftigten des Betriebs, einschließlich des relevanten Personals von Subunternehmen, erteilt werden.</w:t>
      </w:r>
    </w:p>
    <w:p>
      <w:pPr>
        <w:pStyle w:val="GesAbsatz"/>
        <w:ind w:left="851" w:hanging="851"/>
        <w:rPr>
          <w:rFonts w:cs="Arial"/>
        </w:rPr>
      </w:pPr>
      <w:r>
        <w:rPr>
          <w:rFonts w:cs="Arial"/>
        </w:rPr>
        <w:tab/>
        <w:t>vi)</w:t>
      </w:r>
      <w:r>
        <w:rPr>
          <w:rFonts w:cs="Arial"/>
        </w:rPr>
        <w:tab/>
        <w:t>Qualitätssicherung - Festlegung und Anwendung von Verfahren zur ständigen Bewertung der Erreichung der Ziele, die der Betreiber im Rahmen des Konzepts zur Verhütung schwerer Unfälle und des Sicherheitsmanagementsystems festgelegt hat, sowie Einrichtung von Mechanismen zur Untersuchung und Korrektur bei Nichterreichung dieser Ziele. Die Verfahren umfassen das System für die Meldung schwerer Unfälle und Beinahunfälle, insbesondere bei Versagen von Schutzmaßnahmen, die entsprechenden Untersuchungen und die Folgemaßnahmen, wobei einschlägige Erfahrungen zugrunde zu legen sind.</w:t>
      </w:r>
    </w:p>
    <w:p>
      <w:pPr>
        <w:pStyle w:val="GesAbsatz"/>
        <w:ind w:left="851" w:hanging="851"/>
        <w:rPr>
          <w:rFonts w:cs="Arial"/>
        </w:rPr>
      </w:pPr>
      <w:r>
        <w:rPr>
          <w:rFonts w:cs="Arial"/>
        </w:rPr>
        <w:tab/>
        <w:t>vii)</w:t>
      </w:r>
      <w:r>
        <w:rPr>
          <w:rFonts w:cs="Arial"/>
        </w:rPr>
        <w:tab/>
        <w:t>Kontrolle und Analyse - Festlegung und Anwendung von Verfahren zur regelmäßigen systematischen Bewertung des Konzepts zur Verhütung schwerer Unfälle und der Wirksamkeit und Angemessenheit des Sicherheitsmanagementsystems. Von der Betriebsleitung entsprechend dokumentierte Analyse der Ergebnisse des bestehenden Konzepts, des Sicherheitsmanagementsystems sowie seine Aktualisierung.</w:t>
      </w:r>
    </w:p>
    <w:p>
      <w:pPr>
        <w:pStyle w:val="berschrift2"/>
        <w:jc w:val="left"/>
      </w:pPr>
      <w:bookmarkStart w:id="31" w:name="_Toc400444600"/>
      <w:r>
        <w:t>Anhang IV</w:t>
      </w:r>
      <w:bookmarkEnd w:id="31"/>
    </w:p>
    <w:p>
      <w:pPr>
        <w:pStyle w:val="GesAbsatz"/>
        <w:jc w:val="left"/>
        <w:rPr>
          <w:rFonts w:cs="Arial"/>
          <w:b/>
          <w:bCs/>
        </w:rPr>
      </w:pPr>
      <w:r>
        <w:rPr>
          <w:rFonts w:cs="Arial"/>
          <w:b/>
          <w:bCs/>
        </w:rPr>
        <w:t>In die Notfallpläne nach Artikel 11 aufzunehmende Angaben und Informationen</w:t>
      </w:r>
    </w:p>
    <w:p>
      <w:pPr>
        <w:pStyle w:val="GesAbsatz"/>
        <w:ind w:left="851" w:hanging="851"/>
      </w:pPr>
      <w:r>
        <w:t>1.</w:t>
      </w:r>
      <w:r>
        <w:tab/>
        <w:t>Interne Notfallpläne</w:t>
      </w:r>
    </w:p>
    <w:p>
      <w:pPr>
        <w:pStyle w:val="GesAbsatz"/>
        <w:ind w:left="851" w:hanging="851"/>
      </w:pPr>
      <w:r>
        <w:tab/>
        <w:t>a)</w:t>
      </w:r>
      <w:r>
        <w:tab/>
        <w:t>Namen oder betriebliche Stellung der Personen, die zur Einleitung von Sofortmaßnahmen ermächtigt sind, sowie der Person, die für die Durchführung und Koordinierung der Abhilfemaßnahmen auf dem Betriebsgelände verantwortlich ist.</w:t>
      </w:r>
    </w:p>
    <w:p>
      <w:pPr>
        <w:pStyle w:val="GesAbsatz"/>
        <w:ind w:left="851" w:hanging="851"/>
      </w:pPr>
      <w:r>
        <w:tab/>
        <w:t>b)</w:t>
      </w:r>
      <w:r>
        <w:tab/>
        <w:t>Namen oder betriebliche Stellung der Person, die für die Verbindung zu der für den externen Notfallplan zuständigen Behörde verantwortlich ist.</w:t>
      </w:r>
    </w:p>
    <w:p>
      <w:pPr>
        <w:pStyle w:val="GesAbsatz"/>
        <w:ind w:left="851" w:hanging="851"/>
      </w:pPr>
      <w:r>
        <w:tab/>
        <w:t>c)</w:t>
      </w:r>
      <w:r>
        <w:tab/>
        <w:t>Für vorhersehbare Umstände oder Vorfälle, die für das Eintreten eines schweren Unfalls ausschlaggebend sein können, in jedem Einzelfall eine Beschreibung der Maßnahmen, die zur Kontrolle dieser Umstände bzw. dieser Vorfälle sowie zur Begrenzung der Folgen zu treffen sind, sowie eine Beschreibung der zur Verfügung stehenden Sicherheitsausrüstungen und Einsatzmittel.</w:t>
      </w:r>
    </w:p>
    <w:p>
      <w:pPr>
        <w:pStyle w:val="GesAbsatz"/>
        <w:ind w:left="851" w:hanging="851"/>
      </w:pPr>
      <w:r>
        <w:tab/>
        <w:t>d)</w:t>
      </w:r>
      <w:r>
        <w:tab/>
        <w:t>Vorkehrungen zur Begrenzung der Risiken für Personen auf dem Betriebsgelände, einschließlich Angaben über die Art der Alarmierung sowie das von den Personen bei Alarm erwartete Verhalten.</w:t>
      </w:r>
    </w:p>
    <w:p>
      <w:pPr>
        <w:pStyle w:val="GesAbsatz"/>
        <w:ind w:left="851" w:hanging="851"/>
      </w:pPr>
      <w:r>
        <w:tab/>
        <w:t>e)</w:t>
      </w:r>
      <w:r>
        <w:tab/>
        <w:t>Frühwarnvorkehrungen der für Einleitung der im externen Notfallplan vorgesehenen Maßnahmen zuständigen Behörde, Art der Informationen, die bei der ersten Meldung mitzuteilen sind, sowie Vorkehrungen zur Übermittlung von detaillierteren Informationen, sobald diese verfügbar sind.</w:t>
      </w:r>
    </w:p>
    <w:p>
      <w:pPr>
        <w:pStyle w:val="GesAbsatz"/>
        <w:ind w:left="851" w:hanging="851"/>
      </w:pPr>
      <w:r>
        <w:tab/>
        <w:t>f)</w:t>
      </w:r>
      <w:r>
        <w:tab/>
        <w:t>Vorkehrungen zur Ausbildung des Personals in den Aufgaben, deren Wahrnehmung von ihm erwartet wird, sowie gegebenenfalls zur Koordinierung dieser Ausbildung mit externen Notfall- und Rettungsdiensten.</w:t>
      </w:r>
    </w:p>
    <w:p>
      <w:pPr>
        <w:pStyle w:val="GesAbsatz"/>
        <w:ind w:left="851" w:hanging="851"/>
      </w:pPr>
      <w:r>
        <w:tab/>
        <w:t>g)</w:t>
      </w:r>
      <w:r>
        <w:tab/>
        <w:t>Vorkehrungen zur Unterstützung von Abhilfemaßnahmen außerhalb des Betriebsgeländes.</w:t>
      </w:r>
    </w:p>
    <w:p>
      <w:pPr>
        <w:pStyle w:val="GesAbsatz"/>
        <w:ind w:left="851" w:hanging="851"/>
        <w:rPr>
          <w:rFonts w:cs="Arial"/>
          <w:bCs/>
        </w:rPr>
      </w:pPr>
      <w:r>
        <w:rPr>
          <w:rFonts w:cs="Arial"/>
        </w:rPr>
        <w:lastRenderedPageBreak/>
        <w:t>2.</w:t>
      </w:r>
      <w:r>
        <w:rPr>
          <w:rFonts w:cs="Arial"/>
        </w:rPr>
        <w:tab/>
      </w:r>
      <w:r>
        <w:rPr>
          <w:rFonts w:cs="Arial"/>
          <w:bCs/>
        </w:rPr>
        <w:t>Externe Notfallpläne</w:t>
      </w:r>
    </w:p>
    <w:p>
      <w:pPr>
        <w:pStyle w:val="GesAbsatz"/>
        <w:ind w:left="851" w:hanging="851"/>
      </w:pPr>
      <w:r>
        <w:tab/>
        <w:t>a)</w:t>
      </w:r>
      <w:r>
        <w:tab/>
        <w:t>Namen oder Stellung der Personen, die zur Einleitung von Sofortmaßnahmen bzw. zur Durchführung und Koordinierung von Maßnahmen außerhalb des Betriebsgeländes ermächtigt sind.</w:t>
      </w:r>
    </w:p>
    <w:p>
      <w:pPr>
        <w:pStyle w:val="GesAbsatz"/>
        <w:ind w:left="851" w:hanging="851"/>
      </w:pPr>
      <w:r>
        <w:tab/>
        <w:t>b)</w:t>
      </w:r>
      <w:r>
        <w:tab/>
        <w:t>Vorkehrungen zur Entgegennahme von Frühwarnungen sowie zur Alarmauslösung und zur Benachrichtigung der Notfall- und Rettungsdienste.</w:t>
      </w:r>
    </w:p>
    <w:p>
      <w:pPr>
        <w:pStyle w:val="GesAbsatz"/>
        <w:ind w:left="851" w:hanging="851"/>
      </w:pPr>
      <w:r>
        <w:tab/>
        <w:t>c)</w:t>
      </w:r>
      <w:r>
        <w:tab/>
        <w:t>Vorkehrungen zur Koordinierung der zur Umsetzung des externen Notfallplans notwendigen Einsatzmittel.</w:t>
      </w:r>
    </w:p>
    <w:p>
      <w:pPr>
        <w:pStyle w:val="GesAbsatz"/>
        <w:ind w:left="851" w:hanging="851"/>
      </w:pPr>
      <w:r>
        <w:tab/>
        <w:t>d)</w:t>
      </w:r>
      <w:r>
        <w:tab/>
        <w:t>Vorkehrungen zur Unterstützung von Abhilfemaßnahmen auf dem Betriebsgelände.</w:t>
      </w:r>
    </w:p>
    <w:p>
      <w:pPr>
        <w:pStyle w:val="GesAbsatz"/>
        <w:ind w:left="851" w:hanging="851"/>
      </w:pPr>
      <w:r>
        <w:tab/>
        <w:t>e)</w:t>
      </w:r>
      <w:r>
        <w:tab/>
        <w:t>Vorkehrungen betreffend Abhilfemaßnahmen außerhalb des Betriebsgeländes.</w:t>
      </w:r>
    </w:p>
    <w:p>
      <w:pPr>
        <w:pStyle w:val="GesAbsatz"/>
        <w:ind w:left="851" w:hanging="851"/>
      </w:pPr>
      <w:r>
        <w:tab/>
        <w:t>f)</w:t>
      </w:r>
      <w:r>
        <w:tab/>
        <w:t>Vorkehrungen zur Unterrichtung der Öffentlichkeit über den Unfall sowie über das richtige Verhalten.</w:t>
      </w:r>
    </w:p>
    <w:p>
      <w:pPr>
        <w:pStyle w:val="GesAbsatz"/>
        <w:ind w:left="851" w:hanging="851"/>
      </w:pPr>
      <w:r>
        <w:tab/>
        <w:t>g)</w:t>
      </w:r>
      <w:r>
        <w:tab/>
        <w:t>Vorkehrungen zur Unterrichtung der Notfall- und Rettungsdienste anderer Mitgliedstaaten im Fall eines schweren Unfalls mit möglichen grenzüberschreitenden Folgen.</w:t>
      </w:r>
    </w:p>
    <w:p>
      <w:pPr>
        <w:pStyle w:val="berschrift2"/>
        <w:jc w:val="left"/>
      </w:pPr>
      <w:bookmarkStart w:id="32" w:name="_Toc400444601"/>
      <w:r>
        <w:t>Anhang V</w:t>
      </w:r>
      <w:bookmarkEnd w:id="32"/>
    </w:p>
    <w:p>
      <w:pPr>
        <w:pStyle w:val="GesAbsatz"/>
        <w:jc w:val="left"/>
        <w:rPr>
          <w:rFonts w:cs="Arial"/>
          <w:b/>
          <w:bCs/>
        </w:rPr>
      </w:pPr>
      <w:r>
        <w:rPr>
          <w:rFonts w:cs="Arial"/>
          <w:b/>
          <w:bCs/>
        </w:rPr>
        <w:t>Einzelheiten, die der Öffentlichkeit nach Artikel 13 Absatz 1 mitzuteilen sind</w:t>
      </w:r>
    </w:p>
    <w:p>
      <w:pPr>
        <w:pStyle w:val="GesAbsatz"/>
        <w:ind w:left="426" w:hanging="426"/>
      </w:pPr>
      <w:r>
        <w:t>1.</w:t>
      </w:r>
      <w:r>
        <w:tab/>
        <w:t>Name des Betreibers und Anschrift des Betriebs.</w:t>
      </w:r>
    </w:p>
    <w:p>
      <w:pPr>
        <w:pStyle w:val="GesAbsatz"/>
        <w:ind w:left="426" w:hanging="426"/>
      </w:pPr>
      <w:r>
        <w:t>2.</w:t>
      </w:r>
      <w:r>
        <w:tab/>
        <w:t>Nennung des Beauftragten für die Unterrichtung der Öffentlichkeit durch Bezeichnung der Stellung dieser Person.</w:t>
      </w:r>
    </w:p>
    <w:p>
      <w:pPr>
        <w:pStyle w:val="GesAbsatz"/>
        <w:ind w:left="426" w:hanging="426"/>
      </w:pPr>
      <w:r>
        <w:t>3.</w:t>
      </w:r>
      <w:r>
        <w:tab/>
        <w:t>Bestätigung, dass der Betrieb den Rechts- und Verwaltungsvorschriften zur Umsetzung dieser Richtlinie unterliegt und dass die Mitteilung gemäß Artikel 6 Absatz 3 bzw. der Sicherheitsbericht gemäß Artikel 9 Absatz 1 der zuständigen Behörde vorgelegt wurde.</w:t>
      </w:r>
    </w:p>
    <w:p>
      <w:pPr>
        <w:pStyle w:val="GesAbsatz"/>
        <w:ind w:left="426" w:hanging="426"/>
      </w:pPr>
      <w:r>
        <w:t>4.</w:t>
      </w:r>
      <w:r>
        <w:tab/>
        <w:t>Verständlich abgefasste Erläuterung der Tätigkeit/der Tätigkeiten des Betriebs.</w:t>
      </w:r>
    </w:p>
    <w:p>
      <w:pPr>
        <w:pStyle w:val="GesAbsatz"/>
        <w:ind w:left="426" w:hanging="426"/>
      </w:pPr>
      <w:r>
        <w:t>5.</w:t>
      </w:r>
      <w:r>
        <w:tab/>
        <w:t>Gebräuchliche Bezeichnungen oder - bei gefährlichen Stoffen im Sinne von Anhang I Teil 2 - Gattungsbezeichnung oder allgemeine Gefährlichkeitsstufe der im Betrieb vorhandenen Stoffe und Zubereitungen, von denen ein schwerer Unfall ausgehen könnte, sowie Angabe ihrer wesentlichen Gefahreneigenschaften.</w:t>
      </w:r>
    </w:p>
    <w:p>
      <w:pPr>
        <w:pStyle w:val="GesAbsatz"/>
        <w:ind w:left="426" w:hanging="426"/>
      </w:pPr>
      <w:r>
        <w:t>6.</w:t>
      </w:r>
      <w:r>
        <w:tab/>
        <w:t>Allgemeine Unterrichtung über die Art der Gefahren von schweren Unfällen, einschließlich ihrer potentiellen Folgen für die Bevölkerung und die Umwelt.</w:t>
      </w:r>
    </w:p>
    <w:p>
      <w:pPr>
        <w:pStyle w:val="GesAbsatz"/>
        <w:ind w:left="426" w:hanging="426"/>
      </w:pPr>
      <w:r>
        <w:t>7.</w:t>
      </w:r>
      <w:r>
        <w:tab/>
        <w:t>Hinreichende Auskünfte darüber, wie die betroffene Bevölkerung gewarnt und über den Verlauf eines schweren Unfalls fortlaufend unterrichtet werden soll.</w:t>
      </w:r>
    </w:p>
    <w:p>
      <w:pPr>
        <w:pStyle w:val="GesAbsatz"/>
        <w:ind w:left="426" w:hanging="426"/>
      </w:pPr>
      <w:r>
        <w:t>8.</w:t>
      </w:r>
      <w:r>
        <w:tab/>
        <w:t>Hinreichende Auskünfte darüber, wie die betroffene Bevölkerung bei Eintreten eines schweren Unfalls handeln und sich verhalten soll.</w:t>
      </w:r>
    </w:p>
    <w:p>
      <w:pPr>
        <w:pStyle w:val="GesAbsatz"/>
        <w:ind w:left="426" w:hanging="426"/>
      </w:pPr>
      <w:r>
        <w:t>9.</w:t>
      </w:r>
      <w:r>
        <w:tab/>
        <w:t>Bestätigung, dass der Betreiber verpflichtet ist, auf dem Betriebsgelände - auch in Zusammenarbeit mit den Notfall- und Rettungsdiensten - geeignete Maßnahmen zur Bekämpfung von Unfällen und größtmöglichen Begrenzung der Unfallfolgen zu treffen.</w:t>
      </w:r>
    </w:p>
    <w:p>
      <w:pPr>
        <w:pStyle w:val="GesAbsatz"/>
        <w:ind w:left="426" w:hanging="426"/>
      </w:pPr>
      <w:r>
        <w:t>10.</w:t>
      </w:r>
      <w:r>
        <w:tab/>
        <w:t>Verweis auf den externen Notfallplan zur Bekämpfung von Unfallfolgen außerhalb des Betriebsgeländes mit der Aufforderung, allen Anordnungen von Notfall- oder Rettungsdiensten im Fall eines Unfalls Folge zu leisten.</w:t>
      </w:r>
    </w:p>
    <w:p>
      <w:pPr>
        <w:pStyle w:val="GesAbsatz"/>
        <w:ind w:left="426" w:hanging="426"/>
      </w:pPr>
      <w:r>
        <w:t>11.</w:t>
      </w:r>
      <w:r>
        <w:tab/>
        <w:t>Einzelheiten darüber, wo unter Berücksichtigung der in den einzelstaatlichen Rechtsvorschriften vorgesehenen Geheimhaltungsauflagen weitere Informationen eingeholt werden können.</w:t>
      </w:r>
    </w:p>
    <w:p>
      <w:pPr>
        <w:pStyle w:val="berschrift2"/>
        <w:jc w:val="left"/>
      </w:pPr>
      <w:bookmarkStart w:id="33" w:name="_Toc400444602"/>
      <w:r>
        <w:t>Anhang VI</w:t>
      </w:r>
      <w:bookmarkEnd w:id="33"/>
    </w:p>
    <w:p>
      <w:pPr>
        <w:pStyle w:val="GesAbsatz"/>
        <w:jc w:val="left"/>
        <w:rPr>
          <w:rFonts w:cs="Arial"/>
          <w:b/>
          <w:bCs/>
        </w:rPr>
      </w:pPr>
      <w:r>
        <w:rPr>
          <w:rFonts w:cs="Arial"/>
          <w:b/>
          <w:bCs/>
        </w:rPr>
        <w:t>Kriterien für die in Artikel 15 Absatz 1 vorgesehene Unterrichtung der Kommission über einen Unfall</w:t>
      </w:r>
    </w:p>
    <w:p>
      <w:pPr>
        <w:pStyle w:val="GesAbsatz"/>
        <w:tabs>
          <w:tab w:val="left" w:pos="851"/>
        </w:tabs>
        <w:ind w:left="426" w:hanging="426"/>
      </w:pPr>
      <w:r>
        <w:t>I.</w:t>
      </w:r>
      <w:r>
        <w:tab/>
        <w:t>Die Kommission muss über jeden Unfall unterrichtet werden, der unter Nummer 1 fällt oder mindestens eine der in den Nummern 2, 3, 4 und 5 beschriebenen Folgen hat.</w:t>
      </w:r>
    </w:p>
    <w:p>
      <w:pPr>
        <w:pStyle w:val="GesAbsatz"/>
        <w:tabs>
          <w:tab w:val="left" w:pos="851"/>
        </w:tabs>
        <w:rPr>
          <w:rFonts w:cs="Arial"/>
          <w:b/>
          <w:bCs/>
        </w:rPr>
      </w:pPr>
      <w:r>
        <w:rPr>
          <w:rFonts w:cs="Arial"/>
        </w:rPr>
        <w:tab/>
        <w:t>1.</w:t>
      </w:r>
      <w:r>
        <w:rPr>
          <w:rFonts w:cs="Arial"/>
        </w:rPr>
        <w:tab/>
      </w:r>
      <w:r>
        <w:rPr>
          <w:rFonts w:cs="Arial"/>
          <w:b/>
          <w:bCs/>
        </w:rPr>
        <w:t>Beteiligte Stoffe</w:t>
      </w:r>
    </w:p>
    <w:p>
      <w:pPr>
        <w:pStyle w:val="GesAbsatz"/>
        <w:tabs>
          <w:tab w:val="left" w:pos="851"/>
        </w:tabs>
        <w:ind w:left="851" w:hanging="851"/>
      </w:pPr>
      <w:r>
        <w:tab/>
      </w:r>
      <w:r>
        <w:tab/>
        <w:t>Jede unfallbedingte Entzündung, Explosion oder Freisetzung eines gefährlichen Stoffs mit einer Menge von mindestens 5 % der in Spalte 3 des Anhangs I angegebenen Mengenschwelle.</w:t>
      </w:r>
    </w:p>
    <w:p>
      <w:pPr>
        <w:pStyle w:val="GesAbsatz"/>
        <w:tabs>
          <w:tab w:val="left" w:pos="851"/>
        </w:tabs>
        <w:rPr>
          <w:rFonts w:cs="Arial"/>
          <w:b/>
          <w:bCs/>
        </w:rPr>
      </w:pPr>
      <w:r>
        <w:rPr>
          <w:rFonts w:cs="Arial"/>
        </w:rPr>
        <w:tab/>
        <w:t>2.</w:t>
      </w:r>
      <w:r>
        <w:rPr>
          <w:rFonts w:cs="Arial"/>
        </w:rPr>
        <w:tab/>
      </w:r>
      <w:r>
        <w:rPr>
          <w:rFonts w:cs="Arial"/>
          <w:b/>
          <w:bCs/>
        </w:rPr>
        <w:t>Schädigungen von Personen oder Sachen</w:t>
      </w:r>
    </w:p>
    <w:p>
      <w:pPr>
        <w:pStyle w:val="GesAbsatz"/>
        <w:tabs>
          <w:tab w:val="left" w:pos="851"/>
        </w:tabs>
        <w:ind w:left="851" w:hanging="851"/>
      </w:pPr>
      <w:r>
        <w:tab/>
      </w:r>
      <w:r>
        <w:tab/>
        <w:t>Ein Unfall, bei dem ein gefährlicher Stoff die unmittelbare Ursache für eine der nachstehenden Unfallfolgen ist:</w:t>
      </w:r>
    </w:p>
    <w:p>
      <w:pPr>
        <w:pStyle w:val="GesAbsatz"/>
        <w:tabs>
          <w:tab w:val="left" w:pos="851"/>
        </w:tabs>
        <w:ind w:left="1134" w:hanging="1134"/>
      </w:pPr>
      <w:r>
        <w:lastRenderedPageBreak/>
        <w:tab/>
      </w:r>
      <w:r>
        <w:tab/>
        <w:t>-</w:t>
      </w:r>
      <w:r>
        <w:tab/>
        <w:t>ein Todesfall;</w:t>
      </w:r>
    </w:p>
    <w:p>
      <w:pPr>
        <w:pStyle w:val="GesAbsatz"/>
        <w:tabs>
          <w:tab w:val="left" w:pos="851"/>
        </w:tabs>
        <w:ind w:left="1134" w:hanging="1134"/>
      </w:pPr>
      <w:r>
        <w:tab/>
      </w:r>
      <w:r>
        <w:tab/>
        <w:t>-</w:t>
      </w:r>
      <w:r>
        <w:tab/>
        <w:t>sechs Verletzungsfälle innerhalb des Betriebs mit Krankenhausaufenthalt von mindestens 24 Stunden;</w:t>
      </w:r>
    </w:p>
    <w:p>
      <w:pPr>
        <w:pStyle w:val="GesAbsatz"/>
        <w:tabs>
          <w:tab w:val="left" w:pos="851"/>
        </w:tabs>
        <w:ind w:left="1134" w:hanging="1134"/>
      </w:pPr>
      <w:r>
        <w:tab/>
      </w:r>
      <w:r>
        <w:tab/>
        <w:t>-</w:t>
      </w:r>
      <w:r>
        <w:tab/>
        <w:t>ein Verletzungsfall außerhalb des Betriebs mit einem Krankenhausaufenthalt von mindestens 24 Stunden;</w:t>
      </w:r>
    </w:p>
    <w:p>
      <w:pPr>
        <w:pStyle w:val="GesAbsatz"/>
        <w:tabs>
          <w:tab w:val="left" w:pos="851"/>
        </w:tabs>
        <w:ind w:left="1134" w:hanging="1134"/>
      </w:pPr>
      <w:r>
        <w:tab/>
      </w:r>
      <w:r>
        <w:tab/>
        <w:t>-</w:t>
      </w:r>
      <w:r>
        <w:tab/>
        <w:t>(eine) Wohnung(en) außerhalb des Betriebs, die durch den Unfall beschädigt und unbenutzbar geworden ist/sind;</w:t>
      </w:r>
    </w:p>
    <w:p>
      <w:pPr>
        <w:pStyle w:val="GesAbsatz"/>
        <w:tabs>
          <w:tab w:val="left" w:pos="851"/>
        </w:tabs>
        <w:ind w:left="1134" w:hanging="1134"/>
      </w:pPr>
      <w:r>
        <w:tab/>
      </w:r>
      <w:r>
        <w:tab/>
        <w:t>-</w:t>
      </w:r>
      <w:r>
        <w:tab/>
        <w:t>Evakuierung oder Einschließung von Personen für eine Dauer von mehr als zwei Stunden (Personen × Stunden): Wert von mindestens 500;</w:t>
      </w:r>
    </w:p>
    <w:p>
      <w:pPr>
        <w:pStyle w:val="GesAbsatz"/>
        <w:tabs>
          <w:tab w:val="left" w:pos="851"/>
        </w:tabs>
        <w:ind w:left="1134" w:hanging="1134"/>
      </w:pPr>
      <w:r>
        <w:tab/>
      </w:r>
      <w:r>
        <w:tab/>
        <w:t>-</w:t>
      </w:r>
      <w:r>
        <w:tab/>
        <w:t>Unterbrechung der Versorgung mit Trinkwasser, Strom oder Gas oder der Telefonverbindung für eine Dauer von mehr als 2 Stunden (Personen × Stunden): Wert von mindestens 1 000.</w:t>
      </w:r>
    </w:p>
    <w:p>
      <w:pPr>
        <w:pStyle w:val="GesAbsatz"/>
        <w:tabs>
          <w:tab w:val="left" w:pos="851"/>
        </w:tabs>
        <w:rPr>
          <w:rFonts w:cs="Arial"/>
          <w:b/>
          <w:bCs/>
        </w:rPr>
      </w:pPr>
      <w:r>
        <w:rPr>
          <w:rFonts w:cs="Arial"/>
        </w:rPr>
        <w:tab/>
        <w:t>3.</w:t>
      </w:r>
      <w:r>
        <w:rPr>
          <w:rFonts w:cs="Arial"/>
        </w:rPr>
        <w:tab/>
      </w:r>
      <w:r>
        <w:rPr>
          <w:rFonts w:cs="Arial"/>
          <w:b/>
          <w:bCs/>
        </w:rPr>
        <w:t>Unmittelbare Umweltschädigungen</w:t>
      </w:r>
    </w:p>
    <w:p>
      <w:pPr>
        <w:pStyle w:val="GesAbsatz"/>
        <w:tabs>
          <w:tab w:val="left" w:pos="851"/>
        </w:tabs>
        <w:ind w:left="1134" w:hanging="1134"/>
        <w:rPr>
          <w:rFonts w:cs="Arial"/>
          <w:iCs/>
        </w:rPr>
      </w:pPr>
      <w:r>
        <w:rPr>
          <w:rFonts w:cs="Arial"/>
        </w:rPr>
        <w:tab/>
      </w:r>
      <w:r>
        <w:rPr>
          <w:rFonts w:cs="Arial"/>
        </w:rPr>
        <w:tab/>
        <w:t>-</w:t>
      </w:r>
      <w:r>
        <w:rPr>
          <w:rFonts w:cs="Arial"/>
        </w:rPr>
        <w:tab/>
      </w:r>
      <w:r>
        <w:rPr>
          <w:rFonts w:cs="Arial"/>
          <w:iCs/>
        </w:rPr>
        <w:t>Dauer- oder langfristige Schädigungen terrestrischer Lebensräume</w:t>
      </w:r>
    </w:p>
    <w:p>
      <w:pPr>
        <w:pStyle w:val="GesAbsatz"/>
        <w:tabs>
          <w:tab w:val="left" w:pos="851"/>
          <w:tab w:val="left" w:pos="1134"/>
        </w:tabs>
        <w:ind w:left="1418" w:hanging="1418"/>
      </w:pPr>
      <w:r>
        <w:tab/>
      </w:r>
      <w:r>
        <w:tab/>
      </w:r>
      <w:r>
        <w:tab/>
        <w:t>-</w:t>
      </w:r>
      <w:r>
        <w:tab/>
        <w:t>Gesetzlich geschützter, für Umwelt oder Naturschutz wichtiger Lebensraum: 0,5 ha,</w:t>
      </w:r>
    </w:p>
    <w:p>
      <w:pPr>
        <w:pStyle w:val="GesAbsatz"/>
        <w:tabs>
          <w:tab w:val="left" w:pos="851"/>
        </w:tabs>
        <w:ind w:left="1134" w:hanging="1134"/>
      </w:pPr>
      <w:r>
        <w:tab/>
      </w:r>
      <w:r>
        <w:tab/>
      </w:r>
      <w:r>
        <w:tab/>
        <w:t>-</w:t>
      </w:r>
      <w:r>
        <w:tab/>
        <w:t>großräumiger Lebensraum, einschließlich landwirtschaftlich genutzter Flächen: 10 ha.</w:t>
      </w:r>
    </w:p>
    <w:p>
      <w:pPr>
        <w:pStyle w:val="GesAbsatz"/>
        <w:tabs>
          <w:tab w:val="left" w:pos="851"/>
        </w:tabs>
        <w:ind w:left="1134" w:hanging="1134"/>
        <w:rPr>
          <w:rFonts w:cs="Arial"/>
        </w:rPr>
      </w:pPr>
      <w:r>
        <w:rPr>
          <w:rFonts w:cs="Arial"/>
        </w:rPr>
        <w:tab/>
      </w:r>
      <w:r>
        <w:rPr>
          <w:rFonts w:cs="Arial"/>
        </w:rPr>
        <w:tab/>
        <w:t>-</w:t>
      </w:r>
      <w:r>
        <w:rPr>
          <w:rFonts w:cs="Arial"/>
        </w:rPr>
        <w:tab/>
      </w:r>
      <w:r>
        <w:rPr>
          <w:rFonts w:cs="Arial"/>
          <w:iCs/>
        </w:rPr>
        <w:t>Erhebliche oder langfristige Schädigungen von Lebensräumen in Oberflächengewässern oder von marinen Lebensräumen</w:t>
      </w:r>
      <w:r>
        <w:rPr>
          <w:rStyle w:val="Funotenzeichen"/>
          <w:rFonts w:cs="Arial"/>
          <w:iCs/>
        </w:rPr>
        <w:footnoteReference w:id="16"/>
      </w:r>
    </w:p>
    <w:p>
      <w:pPr>
        <w:pStyle w:val="GesAbsatz"/>
        <w:tabs>
          <w:tab w:val="left" w:pos="851"/>
        </w:tabs>
        <w:ind w:left="1134" w:hanging="1134"/>
      </w:pPr>
      <w:r>
        <w:tab/>
      </w:r>
      <w:r>
        <w:tab/>
      </w:r>
      <w:r>
        <w:tab/>
        <w:t>-</w:t>
      </w:r>
      <w:r>
        <w:tab/>
        <w:t>Fluss, Kanal, Bach: ab 10 km,</w:t>
      </w:r>
    </w:p>
    <w:p>
      <w:pPr>
        <w:pStyle w:val="GesAbsatz"/>
        <w:tabs>
          <w:tab w:val="left" w:pos="851"/>
        </w:tabs>
        <w:ind w:left="1134" w:hanging="1134"/>
      </w:pPr>
      <w:r>
        <w:tab/>
      </w:r>
      <w:r>
        <w:tab/>
      </w:r>
      <w:r>
        <w:tab/>
        <w:t>-</w:t>
      </w:r>
      <w:r>
        <w:tab/>
        <w:t>See oder Teich: ab 1 ha,</w:t>
      </w:r>
    </w:p>
    <w:p>
      <w:pPr>
        <w:pStyle w:val="GesAbsatz"/>
        <w:tabs>
          <w:tab w:val="left" w:pos="851"/>
        </w:tabs>
        <w:ind w:left="1134" w:hanging="1134"/>
      </w:pPr>
      <w:r>
        <w:tab/>
      </w:r>
      <w:r>
        <w:tab/>
      </w:r>
      <w:r>
        <w:tab/>
        <w:t>-</w:t>
      </w:r>
      <w:r>
        <w:tab/>
        <w:t>Delta: ab 2 ha,</w:t>
      </w:r>
    </w:p>
    <w:p>
      <w:pPr>
        <w:pStyle w:val="GesAbsatz"/>
        <w:tabs>
          <w:tab w:val="left" w:pos="851"/>
        </w:tabs>
        <w:ind w:left="1134" w:hanging="1134"/>
      </w:pPr>
      <w:r>
        <w:tab/>
      </w:r>
      <w:r>
        <w:tab/>
      </w:r>
      <w:r>
        <w:tab/>
        <w:t>-</w:t>
      </w:r>
      <w:r>
        <w:tab/>
        <w:t>Meer oder Küstengebiet: ab 2 ha.</w:t>
      </w:r>
    </w:p>
    <w:p>
      <w:pPr>
        <w:pStyle w:val="GesAbsatz"/>
        <w:tabs>
          <w:tab w:val="left" w:pos="851"/>
        </w:tabs>
        <w:ind w:left="1134" w:hanging="1134"/>
        <w:rPr>
          <w:rFonts w:cs="Arial"/>
        </w:rPr>
      </w:pPr>
      <w:r>
        <w:rPr>
          <w:rFonts w:cs="Arial"/>
        </w:rPr>
        <w:tab/>
      </w:r>
      <w:r>
        <w:rPr>
          <w:rFonts w:cs="Arial"/>
        </w:rPr>
        <w:tab/>
        <w:t>-</w:t>
      </w:r>
      <w:r>
        <w:rPr>
          <w:rFonts w:cs="Arial"/>
        </w:rPr>
        <w:tab/>
      </w:r>
      <w:r>
        <w:rPr>
          <w:rFonts w:cs="Arial"/>
          <w:iCs/>
        </w:rPr>
        <w:t xml:space="preserve">Erhebliche Schädigung des Grundwassers </w:t>
      </w:r>
      <w:r>
        <w:rPr>
          <w:rFonts w:cs="Arial"/>
          <w:vertAlign w:val="superscript"/>
        </w:rPr>
        <w:t>16</w:t>
      </w:r>
    </w:p>
    <w:p>
      <w:pPr>
        <w:pStyle w:val="GesAbsatz"/>
        <w:tabs>
          <w:tab w:val="left" w:pos="851"/>
        </w:tabs>
        <w:ind w:left="1134" w:hanging="1134"/>
      </w:pPr>
      <w:r>
        <w:tab/>
      </w:r>
      <w:r>
        <w:tab/>
      </w:r>
      <w:r>
        <w:tab/>
        <w:t>-</w:t>
      </w:r>
      <w:r>
        <w:tab/>
        <w:t>ab 1 ha.</w:t>
      </w:r>
    </w:p>
    <w:p>
      <w:pPr>
        <w:pStyle w:val="GesAbsatz"/>
        <w:ind w:left="851" w:hanging="851"/>
        <w:rPr>
          <w:rFonts w:cs="Arial"/>
          <w:b/>
          <w:bCs/>
        </w:rPr>
      </w:pPr>
      <w:r>
        <w:rPr>
          <w:rFonts w:cs="Arial"/>
        </w:rPr>
        <w:tab/>
        <w:t>4.</w:t>
      </w:r>
      <w:r>
        <w:rPr>
          <w:rFonts w:cs="Arial"/>
        </w:rPr>
        <w:tab/>
      </w:r>
      <w:r>
        <w:rPr>
          <w:rFonts w:cs="Arial"/>
          <w:b/>
          <w:bCs/>
        </w:rPr>
        <w:t>Sachschäden</w:t>
      </w:r>
    </w:p>
    <w:p>
      <w:pPr>
        <w:pStyle w:val="GesAbsatz"/>
        <w:tabs>
          <w:tab w:val="left" w:pos="851"/>
          <w:tab w:val="left" w:pos="1134"/>
        </w:tabs>
      </w:pPr>
      <w:r>
        <w:tab/>
      </w:r>
      <w:r>
        <w:tab/>
        <w:t>-</w:t>
      </w:r>
      <w:r>
        <w:tab/>
        <w:t>Sachschäden im Betrieb: ab 2 Millionen ECU;</w:t>
      </w:r>
    </w:p>
    <w:p>
      <w:pPr>
        <w:pStyle w:val="GesAbsatz"/>
        <w:tabs>
          <w:tab w:val="left" w:pos="851"/>
          <w:tab w:val="left" w:pos="1134"/>
        </w:tabs>
      </w:pPr>
      <w:r>
        <w:tab/>
      </w:r>
      <w:r>
        <w:tab/>
        <w:t>-</w:t>
      </w:r>
      <w:r>
        <w:tab/>
        <w:t>Sachschäden außerhalb des Betriebs: ab 0,5 Millionen ECU.</w:t>
      </w:r>
    </w:p>
    <w:p>
      <w:pPr>
        <w:pStyle w:val="GesAbsatz"/>
        <w:ind w:left="851" w:hanging="851"/>
        <w:rPr>
          <w:rFonts w:cs="Arial"/>
          <w:b/>
          <w:bCs/>
        </w:rPr>
      </w:pPr>
      <w:r>
        <w:rPr>
          <w:rFonts w:cs="Arial"/>
        </w:rPr>
        <w:tab/>
        <w:t>5.</w:t>
      </w:r>
      <w:r>
        <w:rPr>
          <w:rFonts w:cs="Arial"/>
        </w:rPr>
        <w:tab/>
      </w:r>
      <w:r>
        <w:rPr>
          <w:rFonts w:cs="Arial"/>
          <w:b/>
          <w:bCs/>
        </w:rPr>
        <w:t>Grenzüberschreitende Schädigungen</w:t>
      </w:r>
    </w:p>
    <w:p>
      <w:pPr>
        <w:pStyle w:val="GesAbsatz"/>
        <w:ind w:left="851" w:hanging="851"/>
      </w:pPr>
      <w:r>
        <w:tab/>
      </w:r>
      <w:r>
        <w:tab/>
        <w:t>Jeder unmittelbar durch einen gefährlichen Stoff verursachte Unfall mit Folgen, die über das Hoheitsgebiet des betreffenden Mitgliedstaats hinausgehen.</w:t>
      </w:r>
    </w:p>
    <w:p>
      <w:pPr>
        <w:pStyle w:val="GesAbsatz"/>
        <w:ind w:left="426" w:hanging="426"/>
      </w:pPr>
      <w:r>
        <w:t>II.</w:t>
      </w:r>
      <w:r>
        <w:tab/>
        <w:t>Unfälle oder "Beinaheunfälle", die die Mitgliedstaaten aus technischer Sicht im Hinblick auf die Verhütung schwerer Unfälle und die Begrenzung ihrer Folgen für besonders bedeutsam halten und die den vorstehenden mengenbezogenen Kriterien nicht entsprechen, sollten der Kommission ebenfalls mitgeteilt werden.</w:t>
      </w:r>
    </w:p>
    <w:sectPr>
      <w:headerReference w:type="default" r:id="rId12"/>
      <w:footerReference w:type="even" r:id="rId13"/>
      <w:footerReference w:type="default" r:id="rId14"/>
      <w:type w:val="continuous"/>
      <w:pgSz w:w="11906" w:h="16838" w:code="9"/>
      <w:pgMar w:top="1134" w:right="851" w:bottom="1134" w:left="1418" w:header="567" w:footer="851" w:gutter="0"/>
      <w:cols w:space="720" w:equalWidth="0">
        <w:col w:w="9637" w:space="63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Italic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NewRoman,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framePr w:wrap="around" w:vAnchor="text" w:hAnchor="margin" w:xAlign="right" w:y="1"/>
    </w:pPr>
    <w:r>
      <w:fldChar w:fldCharType="begin"/>
    </w:r>
    <w:r>
      <w:instrText xml:space="preserve">PAGE  </w:instrText>
    </w:r>
    <w:r>
      <w:fldChar w:fldCharType="end"/>
    </w:r>
  </w:p>
  <w:p>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rStyle w:val="Seitenzahl"/>
      </w:rPr>
    </w:pPr>
    <w:r>
      <w:tab/>
      <w:t>09.12.1996 (ABl. EG L 10 v. 14.01.1997 S. 13)</w:t>
    </w:r>
    <w:r>
      <w:tab/>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p>
    <w:pPr>
      <w:pStyle w:val="Fuzeile"/>
      <w:rPr>
        <w:lang w:val="en-US"/>
      </w:rPr>
    </w:pPr>
    <w:r>
      <w:rPr>
        <w:rStyle w:val="Seitenzahl"/>
      </w:rPr>
      <w:tab/>
    </w:r>
    <w:r>
      <w:rPr>
        <w:lang w:val="en-US"/>
      </w:rPr>
      <w:t>Stand 04.07.2012 (ABl. L 197 v. 24.07.2012 S. 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w:t>
      </w:r>
      <w:r>
        <w:rPr>
          <w:szCs w:val="16"/>
        </w:rPr>
        <w:t>ABl. C 75 E vom 26.3.2002, S. 357 und ABl. C 20 E vom 28.1.2003, S. 255.</w:t>
      </w:r>
    </w:p>
  </w:footnote>
  <w:footnote w:id="2">
    <w:p>
      <w:pPr>
        <w:pStyle w:val="Funotentext"/>
      </w:pPr>
      <w:r>
        <w:rPr>
          <w:rStyle w:val="Funotenzeichen"/>
        </w:rPr>
        <w:footnoteRef/>
      </w:r>
      <w:r>
        <w:t xml:space="preserve"> </w:t>
      </w:r>
      <w:r>
        <w:rPr>
          <w:szCs w:val="16"/>
        </w:rPr>
        <w:t>ABl. C 149 vom 21.6.2002, S. 13.</w:t>
      </w:r>
    </w:p>
  </w:footnote>
  <w:footnote w:id="3">
    <w:p>
      <w:pPr>
        <w:pStyle w:val="Funotentext"/>
      </w:pPr>
      <w:r>
        <w:rPr>
          <w:rStyle w:val="Funotenzeichen"/>
        </w:rPr>
        <w:footnoteRef/>
      </w:r>
      <w:r>
        <w:t xml:space="preserve"> </w:t>
      </w:r>
      <w:r>
        <w:rPr>
          <w:szCs w:val="16"/>
        </w:rPr>
        <w:t>Stellungnahme des Europäischen Parlaments vom 3. Juli 2002 (ABl. C 271 E vom 12.11.2003, S. 315), Gemeinsamer Standpunkt des Rates vom 20. Februar 2003 ( ABl. C 102 E vom 29.4.2003, S. 1) und Standpunkt des Europäischen Parlaments vom 19. Juni 2003 (noch nicht im Amtsblatt veröffentlicht). Legislative Entschließung des Europäischen Parlaments vom 19. November 2003 (noch nicht im Amtsblatt veröffentlicht) und Beschluss des Rates vom 1. Dezember 2003.</w:t>
      </w:r>
    </w:p>
  </w:footnote>
  <w:footnote w:id="4">
    <w:p>
      <w:pPr>
        <w:pStyle w:val="Funotentext"/>
      </w:pPr>
      <w:r>
        <w:rPr>
          <w:rStyle w:val="Funotenzeichen"/>
        </w:rPr>
        <w:footnoteRef/>
      </w:r>
      <w:r>
        <w:t xml:space="preserve"> </w:t>
      </w:r>
      <w:r>
        <w:rPr>
          <w:szCs w:val="16"/>
        </w:rPr>
        <w:t>ABl. L 10 vom 14.1.1997, S. 13.</w:t>
      </w:r>
    </w:p>
  </w:footnote>
  <w:footnote w:id="5">
    <w:p>
      <w:pPr>
        <w:pStyle w:val="Funotentext"/>
      </w:pPr>
      <w:r>
        <w:rPr>
          <w:rStyle w:val="Funotenzeichen"/>
        </w:rPr>
        <w:footnoteRef/>
      </w:r>
      <w:r>
        <w:t xml:space="preserve"> </w:t>
      </w:r>
      <w:r>
        <w:rPr>
          <w:szCs w:val="16"/>
        </w:rPr>
        <w:t>ABl. C 65 E vom 14.3.2002, S. 382.</w:t>
      </w:r>
    </w:p>
  </w:footnote>
  <w:footnote w:id="6">
    <w:p>
      <w:pPr>
        <w:pStyle w:val="Funotentext"/>
      </w:pPr>
      <w:r>
        <w:rPr>
          <w:rStyle w:val="Funotenzeichen"/>
        </w:rPr>
        <w:footnoteRef/>
      </w:r>
      <w:r>
        <w:t xml:space="preserve"> </w:t>
      </w:r>
      <w:r>
        <w:rPr>
          <w:szCs w:val="16"/>
        </w:rPr>
        <w:t>ABl. L 297 vom 15.11.2001, S. 7.</w:t>
      </w:r>
    </w:p>
  </w:footnote>
  <w:footnote w:id="7">
    <w:p>
      <w:pPr>
        <w:pStyle w:val="Funotentext"/>
        <w:rPr>
          <w:szCs w:val="16"/>
        </w:rPr>
      </w:pPr>
      <w:r>
        <w:rPr>
          <w:rStyle w:val="Funotenzeichen"/>
        </w:rPr>
        <w:footnoteRef/>
      </w:r>
      <w:r>
        <w:t xml:space="preserve"> </w:t>
      </w:r>
      <w:r>
        <w:rPr>
          <w:szCs w:val="16"/>
        </w:rPr>
        <w:t>ABl. Nr. L 183 vom 29.06.1989; S. 1.</w:t>
      </w:r>
    </w:p>
  </w:footnote>
  <w:footnote w:id="8">
    <w:p>
      <w:pPr>
        <w:pStyle w:val="Funotentext"/>
        <w:rPr>
          <w:szCs w:val="16"/>
        </w:rPr>
      </w:pPr>
      <w:r>
        <w:rPr>
          <w:rStyle w:val="Funotenzeichen"/>
        </w:rPr>
        <w:footnoteRef/>
      </w:r>
      <w:r>
        <w:t xml:space="preserve"> </w:t>
      </w:r>
      <w:r>
        <w:rPr>
          <w:szCs w:val="16"/>
        </w:rPr>
        <w:t>ABl. Nr. L 377 vom 31.12.1991; S. 48</w:t>
      </w:r>
    </w:p>
  </w:footnote>
  <w:footnote w:id="9">
    <w:p>
      <w:pPr>
        <w:pStyle w:val="Funotentext"/>
        <w:rPr>
          <w:szCs w:val="16"/>
        </w:rPr>
      </w:pPr>
      <w:r>
        <w:rPr>
          <w:rStyle w:val="Funotenzeichen"/>
        </w:rPr>
        <w:footnoteRef/>
      </w:r>
      <w:r>
        <w:t xml:space="preserve"> </w:t>
      </w:r>
      <w:r>
        <w:rPr>
          <w:szCs w:val="16"/>
        </w:rPr>
        <w:t>Ein von Ammoniumnitrat abgeleiteter Stickstoffgehalt von gewichtsmäßig 15,75 % entspricht 45 % Ammoniumnitrat.</w:t>
      </w:r>
    </w:p>
  </w:footnote>
  <w:footnote w:id="10">
    <w:p>
      <w:pPr>
        <w:pStyle w:val="Funotentext"/>
        <w:rPr>
          <w:szCs w:val="16"/>
        </w:rPr>
      </w:pPr>
      <w:r>
        <w:rPr>
          <w:rStyle w:val="Funotenzeichen"/>
        </w:rPr>
        <w:footnoteRef/>
      </w:r>
      <w:r>
        <w:t xml:space="preserve"> </w:t>
      </w:r>
      <w:r>
        <w:rPr>
          <w:szCs w:val="16"/>
        </w:rPr>
        <w:t>Ein von Ammoniumnitrat abgeleiteter Stickstoffgehalt von gewichtsmäßig 24,5 % entspricht 70 % Ammoniumnitrat.</w:t>
      </w:r>
    </w:p>
  </w:footnote>
  <w:footnote w:id="11">
    <w:p>
      <w:pPr>
        <w:pStyle w:val="Funotentext"/>
        <w:rPr>
          <w:szCs w:val="16"/>
        </w:rPr>
      </w:pPr>
      <w:r>
        <w:rPr>
          <w:rStyle w:val="Funotenzeichen"/>
        </w:rPr>
        <w:footnoteRef/>
      </w:r>
      <w:r>
        <w:t xml:space="preserve"> </w:t>
      </w:r>
      <w:r>
        <w:rPr>
          <w:szCs w:val="16"/>
        </w:rPr>
        <w:t>Ein von Ammoniumnitrat abgeleiteter Stickstoffgehalt von gewichtsmäßig 15,75 % entspricht 45 % Ammoniumnitrat.</w:t>
      </w:r>
    </w:p>
  </w:footnote>
  <w:footnote w:id="12">
    <w:p>
      <w:pPr>
        <w:pStyle w:val="Funotentext"/>
        <w:rPr>
          <w:szCs w:val="16"/>
        </w:rPr>
      </w:pPr>
      <w:r>
        <w:rPr>
          <w:rStyle w:val="Funotenzeichen"/>
        </w:rPr>
        <w:footnoteRef/>
      </w:r>
      <w:r>
        <w:t xml:space="preserve"> </w:t>
      </w:r>
      <w:r>
        <w:rPr>
          <w:szCs w:val="16"/>
        </w:rPr>
        <w:t>Ein von Ammoniumnitrat abgeleiteter Stickstoffgehalt von gewichtsmäßig 28 % entspricht 80 % Ammoniumnitrat.</w:t>
      </w:r>
    </w:p>
  </w:footnote>
  <w:footnote w:id="13">
    <w:p>
      <w:pPr>
        <w:pStyle w:val="Funotentext"/>
        <w:rPr>
          <w:szCs w:val="16"/>
        </w:rPr>
      </w:pPr>
      <w:r>
        <w:rPr>
          <w:rStyle w:val="Funotenzeichen"/>
        </w:rPr>
        <w:footnoteRef/>
      </w:r>
      <w:r>
        <w:t xml:space="preserve"> </w:t>
      </w:r>
      <w:r>
        <w:rPr>
          <w:szCs w:val="16"/>
        </w:rPr>
        <w:t>ABl. Nr. 196 vom 16. 8. 1967, S. 1. Zuletzt geändert durch die Verordnung (EG) Nr. 807/2003 (ABl. Nr. L 122 vom 16.05.2003, S. 36).</w:t>
      </w:r>
      <w:r>
        <w:t xml:space="preserve"> </w:t>
      </w:r>
    </w:p>
  </w:footnote>
  <w:footnote w:id="14">
    <w:p>
      <w:pPr>
        <w:pStyle w:val="Funotentext"/>
        <w:rPr>
          <w:szCs w:val="16"/>
        </w:rPr>
      </w:pPr>
      <w:r>
        <w:rPr>
          <w:rStyle w:val="Funotenzeichen"/>
        </w:rPr>
        <w:footnoteRef/>
      </w:r>
      <w:r>
        <w:t xml:space="preserve"> </w:t>
      </w:r>
      <w:r>
        <w:rPr>
          <w:szCs w:val="16"/>
        </w:rPr>
        <w:t>ABl. L 200 vom 30.7.1999, S. 1. Geändert durch die Richtlinie 2001/60/EG der Kommission (ABl. L 226 vom 22.8.2001, S. 5).</w:t>
      </w:r>
    </w:p>
  </w:footnote>
  <w:footnote w:id="15">
    <w:p>
      <w:pPr>
        <w:pStyle w:val="Funotentext"/>
        <w:rPr>
          <w:szCs w:val="16"/>
        </w:rPr>
      </w:pPr>
      <w:r>
        <w:rPr>
          <w:rStyle w:val="Funotenzeichen"/>
        </w:rPr>
        <w:footnoteRef/>
      </w:r>
      <w:r>
        <w:t xml:space="preserve"> </w:t>
      </w:r>
      <w:r>
        <w:rPr>
          <w:szCs w:val="16"/>
        </w:rPr>
        <w:t>ABl. L 319 vom 12.12.1994, S. 7. Zuletzt geändert durch die Richtlinie 2003/28/EG der Kommission (ABl. L 90 vom 8.4.2003, S. 45).</w:t>
      </w:r>
    </w:p>
  </w:footnote>
  <w:footnote w:id="16">
    <w:p>
      <w:pPr>
        <w:pStyle w:val="Funotentext"/>
        <w:rPr>
          <w:szCs w:val="16"/>
        </w:rPr>
      </w:pPr>
      <w:r>
        <w:rPr>
          <w:rStyle w:val="Funotenzeichen"/>
        </w:rPr>
        <w:footnoteRef/>
      </w:r>
      <w:r>
        <w:t xml:space="preserve"> </w:t>
      </w:r>
      <w:r>
        <w:rPr>
          <w:szCs w:val="16"/>
        </w:rPr>
        <w:t>Zur Bestimmung einer Schädigung kann gegebenenfalls auf die Richtlinien 75/440/EWG und 76/464/EWG und die im Hinblick auf ihre Anwendung auf bestimmte Stoffe erlassenen Richtlinien 76/160/EWG, 78/659/EWG oder 79/923/EWG oder den Wert der letalen Konzentration (LC50-Wert) für die repräsentativen Arten der geschädigten Umgebung Bezug genommen werden, wie er in der Richtlinie 92/32/EWG für das Kriterium "umweltgefährlich" definiert worden ist.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Archiv6.85</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2EE3971-2341-4959-AAEF-C30ED7E3C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esAbsatz">
    <w:name w:val="GesAbsatz"/>
    <w:basedOn w:val="Standard"/>
    <w:qFormat/>
    <w:pPr>
      <w:spacing w:before="100"/>
    </w:pPr>
    <w:rPr>
      <w:color w:val="000000"/>
    </w:rPr>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Funotentext">
    <w:name w:val="footnote text"/>
    <w:basedOn w:val="Standard"/>
    <w:qFormat/>
    <w:pPr>
      <w:spacing w:before="0" w:after="0"/>
    </w:pPr>
    <w:rPr>
      <w:sz w:val="16"/>
    </w:rPr>
  </w:style>
  <w:style w:type="character" w:styleId="Funotenzeichen">
    <w:name w:val="footnote reference"/>
    <w:qFormat/>
    <w:rPr>
      <w:sz w:val="20"/>
      <w:szCs w:val="20"/>
      <w:vertAlign w:val="superscript"/>
    </w:rPr>
  </w:style>
  <w:style w:type="paragraph" w:styleId="Verzeichnis1">
    <w:name w:val="toc 1"/>
    <w:basedOn w:val="Verzeichnis3"/>
    <w:next w:val="Standard"/>
    <w:uiPriority w:val="39"/>
    <w:pPr>
      <w:spacing w:before="120" w:after="120"/>
      <w:ind w:left="0"/>
    </w:pPr>
    <w:rPr>
      <w:b/>
      <w:i w:val="0"/>
      <w:caps/>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 w:type="character" w:customStyle="1" w:styleId="berschrift5Zchn">
    <w:name w:val="Überschrift 5 Zchn"/>
    <w:basedOn w:val="Absatz-Standardschriftart"/>
    <w:link w:val="berschrift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ta.europa.eu/eli/reg/2003/1882/oj"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data.europa.eu/eli/dir/1996/82/oj"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data.europa.eu/eli/dir/2012/18/oj"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data.europa.eu/eli/reg/2008/1137/oj" TargetMode="External"/><Relationship Id="rId4" Type="http://schemas.openxmlformats.org/officeDocument/2006/relationships/webSettings" Target="webSettings.xml"/><Relationship Id="rId9" Type="http://schemas.openxmlformats.org/officeDocument/2006/relationships/hyperlink" Target="http://data.europa.eu/eli/dir/2003/105/oj"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8C6E8-8F6B-489D-8DDC-2DD8DDF50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24</Pages>
  <Words>10370</Words>
  <Characters>71127</Characters>
  <Application>Microsoft Office Word</Application>
  <DocSecurity>0</DocSecurity>
  <Lines>592</Lines>
  <Paragraphs>162</Paragraphs>
  <ScaleCrop>false</ScaleCrop>
  <HeadingPairs>
    <vt:vector size="2" baseType="variant">
      <vt:variant>
        <vt:lpstr>Titel</vt:lpstr>
      </vt:variant>
      <vt:variant>
        <vt:i4>1</vt:i4>
      </vt:variant>
    </vt:vector>
  </HeadingPairs>
  <TitlesOfParts>
    <vt:vector size="1" baseType="lpstr">
      <vt:lpstr>Richtlinie 96/82/EG Seveso(II)-Richtlinie</vt:lpstr>
    </vt:vector>
  </TitlesOfParts>
  <Company>LUA</Company>
  <LinksUpToDate>false</LinksUpToDate>
  <CharactersWithSpaces>81335</CharactersWithSpaces>
  <SharedDoc>false</SharedDoc>
  <HLinks>
    <vt:vector size="216" baseType="variant">
      <vt:variant>
        <vt:i4>1769531</vt:i4>
      </vt:variant>
      <vt:variant>
        <vt:i4>203</vt:i4>
      </vt:variant>
      <vt:variant>
        <vt:i4>0</vt:i4>
      </vt:variant>
      <vt:variant>
        <vt:i4>5</vt:i4>
      </vt:variant>
      <vt:variant>
        <vt:lpwstr/>
      </vt:variant>
      <vt:variant>
        <vt:lpwstr>_Toc285787441</vt:lpwstr>
      </vt:variant>
      <vt:variant>
        <vt:i4>1769531</vt:i4>
      </vt:variant>
      <vt:variant>
        <vt:i4>197</vt:i4>
      </vt:variant>
      <vt:variant>
        <vt:i4>0</vt:i4>
      </vt:variant>
      <vt:variant>
        <vt:i4>5</vt:i4>
      </vt:variant>
      <vt:variant>
        <vt:lpwstr/>
      </vt:variant>
      <vt:variant>
        <vt:lpwstr>_Toc285787440</vt:lpwstr>
      </vt:variant>
      <vt:variant>
        <vt:i4>1835067</vt:i4>
      </vt:variant>
      <vt:variant>
        <vt:i4>191</vt:i4>
      </vt:variant>
      <vt:variant>
        <vt:i4>0</vt:i4>
      </vt:variant>
      <vt:variant>
        <vt:i4>5</vt:i4>
      </vt:variant>
      <vt:variant>
        <vt:lpwstr/>
      </vt:variant>
      <vt:variant>
        <vt:lpwstr>_Toc285787439</vt:lpwstr>
      </vt:variant>
      <vt:variant>
        <vt:i4>1835067</vt:i4>
      </vt:variant>
      <vt:variant>
        <vt:i4>185</vt:i4>
      </vt:variant>
      <vt:variant>
        <vt:i4>0</vt:i4>
      </vt:variant>
      <vt:variant>
        <vt:i4>5</vt:i4>
      </vt:variant>
      <vt:variant>
        <vt:lpwstr/>
      </vt:variant>
      <vt:variant>
        <vt:lpwstr>_Toc285787438</vt:lpwstr>
      </vt:variant>
      <vt:variant>
        <vt:i4>1835067</vt:i4>
      </vt:variant>
      <vt:variant>
        <vt:i4>179</vt:i4>
      </vt:variant>
      <vt:variant>
        <vt:i4>0</vt:i4>
      </vt:variant>
      <vt:variant>
        <vt:i4>5</vt:i4>
      </vt:variant>
      <vt:variant>
        <vt:lpwstr/>
      </vt:variant>
      <vt:variant>
        <vt:lpwstr>_Toc285787437</vt:lpwstr>
      </vt:variant>
      <vt:variant>
        <vt:i4>1835067</vt:i4>
      </vt:variant>
      <vt:variant>
        <vt:i4>173</vt:i4>
      </vt:variant>
      <vt:variant>
        <vt:i4>0</vt:i4>
      </vt:variant>
      <vt:variant>
        <vt:i4>5</vt:i4>
      </vt:variant>
      <vt:variant>
        <vt:lpwstr/>
      </vt:variant>
      <vt:variant>
        <vt:lpwstr>_Toc285787436</vt:lpwstr>
      </vt:variant>
      <vt:variant>
        <vt:i4>1835067</vt:i4>
      </vt:variant>
      <vt:variant>
        <vt:i4>167</vt:i4>
      </vt:variant>
      <vt:variant>
        <vt:i4>0</vt:i4>
      </vt:variant>
      <vt:variant>
        <vt:i4>5</vt:i4>
      </vt:variant>
      <vt:variant>
        <vt:lpwstr/>
      </vt:variant>
      <vt:variant>
        <vt:lpwstr>_Toc285787435</vt:lpwstr>
      </vt:variant>
      <vt:variant>
        <vt:i4>1835067</vt:i4>
      </vt:variant>
      <vt:variant>
        <vt:i4>161</vt:i4>
      </vt:variant>
      <vt:variant>
        <vt:i4>0</vt:i4>
      </vt:variant>
      <vt:variant>
        <vt:i4>5</vt:i4>
      </vt:variant>
      <vt:variant>
        <vt:lpwstr/>
      </vt:variant>
      <vt:variant>
        <vt:lpwstr>_Toc285787434</vt:lpwstr>
      </vt:variant>
      <vt:variant>
        <vt:i4>1835067</vt:i4>
      </vt:variant>
      <vt:variant>
        <vt:i4>155</vt:i4>
      </vt:variant>
      <vt:variant>
        <vt:i4>0</vt:i4>
      </vt:variant>
      <vt:variant>
        <vt:i4>5</vt:i4>
      </vt:variant>
      <vt:variant>
        <vt:lpwstr/>
      </vt:variant>
      <vt:variant>
        <vt:lpwstr>_Toc285787433</vt:lpwstr>
      </vt:variant>
      <vt:variant>
        <vt:i4>1835067</vt:i4>
      </vt:variant>
      <vt:variant>
        <vt:i4>149</vt:i4>
      </vt:variant>
      <vt:variant>
        <vt:i4>0</vt:i4>
      </vt:variant>
      <vt:variant>
        <vt:i4>5</vt:i4>
      </vt:variant>
      <vt:variant>
        <vt:lpwstr/>
      </vt:variant>
      <vt:variant>
        <vt:lpwstr>_Toc285787432</vt:lpwstr>
      </vt:variant>
      <vt:variant>
        <vt:i4>1835067</vt:i4>
      </vt:variant>
      <vt:variant>
        <vt:i4>143</vt:i4>
      </vt:variant>
      <vt:variant>
        <vt:i4>0</vt:i4>
      </vt:variant>
      <vt:variant>
        <vt:i4>5</vt:i4>
      </vt:variant>
      <vt:variant>
        <vt:lpwstr/>
      </vt:variant>
      <vt:variant>
        <vt:lpwstr>_Toc285787431</vt:lpwstr>
      </vt:variant>
      <vt:variant>
        <vt:i4>1835067</vt:i4>
      </vt:variant>
      <vt:variant>
        <vt:i4>137</vt:i4>
      </vt:variant>
      <vt:variant>
        <vt:i4>0</vt:i4>
      </vt:variant>
      <vt:variant>
        <vt:i4>5</vt:i4>
      </vt:variant>
      <vt:variant>
        <vt:lpwstr/>
      </vt:variant>
      <vt:variant>
        <vt:lpwstr>_Toc285787430</vt:lpwstr>
      </vt:variant>
      <vt:variant>
        <vt:i4>1900603</vt:i4>
      </vt:variant>
      <vt:variant>
        <vt:i4>131</vt:i4>
      </vt:variant>
      <vt:variant>
        <vt:i4>0</vt:i4>
      </vt:variant>
      <vt:variant>
        <vt:i4>5</vt:i4>
      </vt:variant>
      <vt:variant>
        <vt:lpwstr/>
      </vt:variant>
      <vt:variant>
        <vt:lpwstr>_Toc285787429</vt:lpwstr>
      </vt:variant>
      <vt:variant>
        <vt:i4>1900603</vt:i4>
      </vt:variant>
      <vt:variant>
        <vt:i4>125</vt:i4>
      </vt:variant>
      <vt:variant>
        <vt:i4>0</vt:i4>
      </vt:variant>
      <vt:variant>
        <vt:i4>5</vt:i4>
      </vt:variant>
      <vt:variant>
        <vt:lpwstr/>
      </vt:variant>
      <vt:variant>
        <vt:lpwstr>_Toc285787428</vt:lpwstr>
      </vt:variant>
      <vt:variant>
        <vt:i4>1900603</vt:i4>
      </vt:variant>
      <vt:variant>
        <vt:i4>119</vt:i4>
      </vt:variant>
      <vt:variant>
        <vt:i4>0</vt:i4>
      </vt:variant>
      <vt:variant>
        <vt:i4>5</vt:i4>
      </vt:variant>
      <vt:variant>
        <vt:lpwstr/>
      </vt:variant>
      <vt:variant>
        <vt:lpwstr>_Toc285787427</vt:lpwstr>
      </vt:variant>
      <vt:variant>
        <vt:i4>1900603</vt:i4>
      </vt:variant>
      <vt:variant>
        <vt:i4>113</vt:i4>
      </vt:variant>
      <vt:variant>
        <vt:i4>0</vt:i4>
      </vt:variant>
      <vt:variant>
        <vt:i4>5</vt:i4>
      </vt:variant>
      <vt:variant>
        <vt:lpwstr/>
      </vt:variant>
      <vt:variant>
        <vt:lpwstr>_Toc285787426</vt:lpwstr>
      </vt:variant>
      <vt:variant>
        <vt:i4>1900603</vt:i4>
      </vt:variant>
      <vt:variant>
        <vt:i4>107</vt:i4>
      </vt:variant>
      <vt:variant>
        <vt:i4>0</vt:i4>
      </vt:variant>
      <vt:variant>
        <vt:i4>5</vt:i4>
      </vt:variant>
      <vt:variant>
        <vt:lpwstr/>
      </vt:variant>
      <vt:variant>
        <vt:lpwstr>_Toc285787425</vt:lpwstr>
      </vt:variant>
      <vt:variant>
        <vt:i4>1900603</vt:i4>
      </vt:variant>
      <vt:variant>
        <vt:i4>101</vt:i4>
      </vt:variant>
      <vt:variant>
        <vt:i4>0</vt:i4>
      </vt:variant>
      <vt:variant>
        <vt:i4>5</vt:i4>
      </vt:variant>
      <vt:variant>
        <vt:lpwstr/>
      </vt:variant>
      <vt:variant>
        <vt:lpwstr>_Toc285787424</vt:lpwstr>
      </vt:variant>
      <vt:variant>
        <vt:i4>1900603</vt:i4>
      </vt:variant>
      <vt:variant>
        <vt:i4>95</vt:i4>
      </vt:variant>
      <vt:variant>
        <vt:i4>0</vt:i4>
      </vt:variant>
      <vt:variant>
        <vt:i4>5</vt:i4>
      </vt:variant>
      <vt:variant>
        <vt:lpwstr/>
      </vt:variant>
      <vt:variant>
        <vt:lpwstr>_Toc285787423</vt:lpwstr>
      </vt:variant>
      <vt:variant>
        <vt:i4>1900603</vt:i4>
      </vt:variant>
      <vt:variant>
        <vt:i4>89</vt:i4>
      </vt:variant>
      <vt:variant>
        <vt:i4>0</vt:i4>
      </vt:variant>
      <vt:variant>
        <vt:i4>5</vt:i4>
      </vt:variant>
      <vt:variant>
        <vt:lpwstr/>
      </vt:variant>
      <vt:variant>
        <vt:lpwstr>_Toc285787422</vt:lpwstr>
      </vt:variant>
      <vt:variant>
        <vt:i4>1900603</vt:i4>
      </vt:variant>
      <vt:variant>
        <vt:i4>83</vt:i4>
      </vt:variant>
      <vt:variant>
        <vt:i4>0</vt:i4>
      </vt:variant>
      <vt:variant>
        <vt:i4>5</vt:i4>
      </vt:variant>
      <vt:variant>
        <vt:lpwstr/>
      </vt:variant>
      <vt:variant>
        <vt:lpwstr>_Toc285787421</vt:lpwstr>
      </vt:variant>
      <vt:variant>
        <vt:i4>1900603</vt:i4>
      </vt:variant>
      <vt:variant>
        <vt:i4>77</vt:i4>
      </vt:variant>
      <vt:variant>
        <vt:i4>0</vt:i4>
      </vt:variant>
      <vt:variant>
        <vt:i4>5</vt:i4>
      </vt:variant>
      <vt:variant>
        <vt:lpwstr/>
      </vt:variant>
      <vt:variant>
        <vt:lpwstr>_Toc285787420</vt:lpwstr>
      </vt:variant>
      <vt:variant>
        <vt:i4>1966139</vt:i4>
      </vt:variant>
      <vt:variant>
        <vt:i4>71</vt:i4>
      </vt:variant>
      <vt:variant>
        <vt:i4>0</vt:i4>
      </vt:variant>
      <vt:variant>
        <vt:i4>5</vt:i4>
      </vt:variant>
      <vt:variant>
        <vt:lpwstr/>
      </vt:variant>
      <vt:variant>
        <vt:lpwstr>_Toc285787419</vt:lpwstr>
      </vt:variant>
      <vt:variant>
        <vt:i4>1966139</vt:i4>
      </vt:variant>
      <vt:variant>
        <vt:i4>65</vt:i4>
      </vt:variant>
      <vt:variant>
        <vt:i4>0</vt:i4>
      </vt:variant>
      <vt:variant>
        <vt:i4>5</vt:i4>
      </vt:variant>
      <vt:variant>
        <vt:lpwstr/>
      </vt:variant>
      <vt:variant>
        <vt:lpwstr>_Toc285787418</vt:lpwstr>
      </vt:variant>
      <vt:variant>
        <vt:i4>1966139</vt:i4>
      </vt:variant>
      <vt:variant>
        <vt:i4>59</vt:i4>
      </vt:variant>
      <vt:variant>
        <vt:i4>0</vt:i4>
      </vt:variant>
      <vt:variant>
        <vt:i4>5</vt:i4>
      </vt:variant>
      <vt:variant>
        <vt:lpwstr/>
      </vt:variant>
      <vt:variant>
        <vt:lpwstr>_Toc285787417</vt:lpwstr>
      </vt:variant>
      <vt:variant>
        <vt:i4>1966139</vt:i4>
      </vt:variant>
      <vt:variant>
        <vt:i4>53</vt:i4>
      </vt:variant>
      <vt:variant>
        <vt:i4>0</vt:i4>
      </vt:variant>
      <vt:variant>
        <vt:i4>5</vt:i4>
      </vt:variant>
      <vt:variant>
        <vt:lpwstr/>
      </vt:variant>
      <vt:variant>
        <vt:lpwstr>_Toc285787416</vt:lpwstr>
      </vt:variant>
      <vt:variant>
        <vt:i4>1966139</vt:i4>
      </vt:variant>
      <vt:variant>
        <vt:i4>47</vt:i4>
      </vt:variant>
      <vt:variant>
        <vt:i4>0</vt:i4>
      </vt:variant>
      <vt:variant>
        <vt:i4>5</vt:i4>
      </vt:variant>
      <vt:variant>
        <vt:lpwstr/>
      </vt:variant>
      <vt:variant>
        <vt:lpwstr>_Toc285787415</vt:lpwstr>
      </vt:variant>
      <vt:variant>
        <vt:i4>1966139</vt:i4>
      </vt:variant>
      <vt:variant>
        <vt:i4>41</vt:i4>
      </vt:variant>
      <vt:variant>
        <vt:i4>0</vt:i4>
      </vt:variant>
      <vt:variant>
        <vt:i4>5</vt:i4>
      </vt:variant>
      <vt:variant>
        <vt:lpwstr/>
      </vt:variant>
      <vt:variant>
        <vt:lpwstr>_Toc285787414</vt:lpwstr>
      </vt:variant>
      <vt:variant>
        <vt:i4>1966139</vt:i4>
      </vt:variant>
      <vt:variant>
        <vt:i4>35</vt:i4>
      </vt:variant>
      <vt:variant>
        <vt:i4>0</vt:i4>
      </vt:variant>
      <vt:variant>
        <vt:i4>5</vt:i4>
      </vt:variant>
      <vt:variant>
        <vt:lpwstr/>
      </vt:variant>
      <vt:variant>
        <vt:lpwstr>_Toc285787413</vt:lpwstr>
      </vt:variant>
      <vt:variant>
        <vt:i4>1966139</vt:i4>
      </vt:variant>
      <vt:variant>
        <vt:i4>29</vt:i4>
      </vt:variant>
      <vt:variant>
        <vt:i4>0</vt:i4>
      </vt:variant>
      <vt:variant>
        <vt:i4>5</vt:i4>
      </vt:variant>
      <vt:variant>
        <vt:lpwstr/>
      </vt:variant>
      <vt:variant>
        <vt:lpwstr>_Toc285787412</vt:lpwstr>
      </vt:variant>
      <vt:variant>
        <vt:i4>1966139</vt:i4>
      </vt:variant>
      <vt:variant>
        <vt:i4>23</vt:i4>
      </vt:variant>
      <vt:variant>
        <vt:i4>0</vt:i4>
      </vt:variant>
      <vt:variant>
        <vt:i4>5</vt:i4>
      </vt:variant>
      <vt:variant>
        <vt:lpwstr/>
      </vt:variant>
      <vt:variant>
        <vt:lpwstr>_Toc285787411</vt:lpwstr>
      </vt:variant>
      <vt:variant>
        <vt:i4>1966139</vt:i4>
      </vt:variant>
      <vt:variant>
        <vt:i4>17</vt:i4>
      </vt:variant>
      <vt:variant>
        <vt:i4>0</vt:i4>
      </vt:variant>
      <vt:variant>
        <vt:i4>5</vt:i4>
      </vt:variant>
      <vt:variant>
        <vt:lpwstr/>
      </vt:variant>
      <vt:variant>
        <vt:lpwstr>_Toc285787410</vt:lpwstr>
      </vt:variant>
      <vt:variant>
        <vt:i4>2031675</vt:i4>
      </vt:variant>
      <vt:variant>
        <vt:i4>11</vt:i4>
      </vt:variant>
      <vt:variant>
        <vt:i4>0</vt:i4>
      </vt:variant>
      <vt:variant>
        <vt:i4>5</vt:i4>
      </vt:variant>
      <vt:variant>
        <vt:lpwstr/>
      </vt:variant>
      <vt:variant>
        <vt:lpwstr>_Toc285787409</vt:lpwstr>
      </vt:variant>
      <vt:variant>
        <vt:i4>5570583</vt:i4>
      </vt:variant>
      <vt:variant>
        <vt:i4>6</vt:i4>
      </vt:variant>
      <vt:variant>
        <vt:i4>0</vt:i4>
      </vt:variant>
      <vt:variant>
        <vt:i4>5</vt:i4>
      </vt:variant>
      <vt:variant>
        <vt:lpwstr>http://eur-lex.europa.eu/LexUriServ/LexUriServ.do?uri=OJ:L:2012:197:0001:0037:DE:PDF</vt:lpwstr>
      </vt:variant>
      <vt:variant>
        <vt:lpwstr/>
      </vt:variant>
      <vt:variant>
        <vt:i4>5898266</vt:i4>
      </vt:variant>
      <vt:variant>
        <vt:i4>3</vt:i4>
      </vt:variant>
      <vt:variant>
        <vt:i4>0</vt:i4>
      </vt:variant>
      <vt:variant>
        <vt:i4>5</vt:i4>
      </vt:variant>
      <vt:variant>
        <vt:lpwstr>http://eur-lex.europa.eu/LexUriServ/LexUriServ.do?uri=OJ:L:2008:311:0001:0054:DE:PDF</vt:lpwstr>
      </vt:variant>
      <vt:variant>
        <vt:lpwstr/>
      </vt:variant>
      <vt:variant>
        <vt:i4>6029340</vt:i4>
      </vt:variant>
      <vt:variant>
        <vt:i4>0</vt:i4>
      </vt:variant>
      <vt:variant>
        <vt:i4>0</vt:i4>
      </vt:variant>
      <vt:variant>
        <vt:i4>5</vt:i4>
      </vt:variant>
      <vt:variant>
        <vt:lpwstr>http://eur-lex.europa.eu/LexUriServ/LexUriServ.do?uri=OJ:L:2003:345:0097:0105:DE:PDF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 96/82/EG Seveso(II)-Richtlinie</dc:title>
  <dc:subject>Beherrschung der Gefahren bei schweren Unfällen mit gefährlichen Stoffen</dc:subject>
  <dc:creator>Natrop</dc:creator>
  <dc:description>durchgesehen 03.2005</dc:description>
  <cp:lastModifiedBy>Rüter, Dr., Ingo</cp:lastModifiedBy>
  <cp:revision>6</cp:revision>
  <cp:lastPrinted>1900-12-31T23:00:00Z</cp:lastPrinted>
  <dcterms:created xsi:type="dcterms:W3CDTF">2016-02-24T09:07:00Z</dcterms:created>
  <dcterms:modified xsi:type="dcterms:W3CDTF">2024-07-11T08:47:00Z</dcterms:modified>
</cp:coreProperties>
</file>