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09283523"/>
      <w:bookmarkStart w:id="1" w:name="_GoBack"/>
      <w:bookmarkEnd w:id="1"/>
      <w:r>
        <w:t xml:space="preserve">Vierzehnte Verordnung zum Produktsicherheitsgesetz - </w:t>
      </w:r>
      <w:r>
        <w:br/>
        <w:t>Druckgeräteverordnung - 14. ProdSV</w:t>
      </w:r>
      <w:bookmarkEnd w:id="0"/>
    </w:p>
    <w:p>
      <w:pPr>
        <w:pStyle w:val="GesAbsatz"/>
        <w:jc w:val="center"/>
        <w:rPr>
          <w:szCs w:val="18"/>
        </w:rPr>
      </w:pPr>
      <w:r>
        <w:rPr>
          <w:szCs w:val="18"/>
        </w:rPr>
        <w:t>vom 27. September 2002</w:t>
      </w:r>
    </w:p>
    <w:p>
      <w:pPr>
        <w:pStyle w:val="GesAbsatz"/>
        <w:rPr>
          <w:b/>
          <w:i/>
          <w:color w:val="FF0000"/>
          <w:sz w:val="22"/>
          <w:szCs w:val="22"/>
        </w:rPr>
      </w:pPr>
      <w:r>
        <w:rPr>
          <w:b/>
          <w:i/>
          <w:color w:val="FF0000"/>
          <w:sz w:val="22"/>
          <w:szCs w:val="22"/>
        </w:rPr>
        <w:t>Gültig bis 18.07.2016.</w:t>
      </w:r>
    </w:p>
    <w:p>
      <w:pPr>
        <w:pStyle w:val="GesAbsatz"/>
        <w:rPr>
          <w:szCs w:val="18"/>
        </w:rPr>
      </w:pPr>
      <w:hyperlink w:anchor="Änderungen" w:history="1">
        <w:r>
          <w:rPr>
            <w:rStyle w:val="Hyperlink"/>
            <w:szCs w:val="18"/>
          </w:rPr>
          <w:t>Gesetzeshistorie</w:t>
        </w:r>
      </w:hyperlink>
    </w:p>
    <w:p>
      <w:pPr>
        <w:pStyle w:val="GesAbsatz"/>
        <w:jc w:val="center"/>
        <w:rPr>
          <w:b/>
          <w:bCs/>
          <w:sz w:val="22"/>
          <w:szCs w:val="18"/>
        </w:rPr>
      </w:pPr>
      <w:r>
        <w:rPr>
          <w:b/>
          <w:bCs/>
          <w:sz w:val="22"/>
          <w:szCs w:val="18"/>
        </w:rPr>
        <w:t>Inhalt:</w:t>
      </w:r>
    </w:p>
    <w:p>
      <w:pPr>
        <w:pStyle w:val="Verzeichnis1"/>
        <w:tabs>
          <w:tab w:val="clear" w:pos="9638"/>
          <w:tab w:val="right" w:leader="dot" w:pos="9628"/>
        </w:tabs>
        <w:rPr>
          <w:b w:val="0"/>
          <w:bCs/>
          <w:caps w:val="0"/>
          <w:noProof/>
          <w:sz w:val="24"/>
          <w:szCs w:val="24"/>
        </w:rPr>
      </w:pPr>
      <w:r>
        <w:rPr>
          <w:b w:val="0"/>
          <w:bCs/>
          <w:caps w:val="0"/>
          <w:szCs w:val="18"/>
        </w:rPr>
        <w:fldChar w:fldCharType="begin"/>
      </w:r>
      <w:r>
        <w:rPr>
          <w:b w:val="0"/>
          <w:bCs/>
          <w:caps w:val="0"/>
          <w:szCs w:val="18"/>
        </w:rPr>
        <w:instrText xml:space="preserve"> TOC \o "1-3" \h \z </w:instrText>
      </w:r>
      <w:r>
        <w:rPr>
          <w:b w:val="0"/>
          <w:bCs/>
          <w:caps w:val="0"/>
          <w:szCs w:val="18"/>
        </w:rPr>
        <w:fldChar w:fldCharType="separate"/>
      </w:r>
      <w:hyperlink w:anchor="_Toc309283523" w:history="1">
        <w:r>
          <w:rPr>
            <w:rStyle w:val="Hyperlink"/>
            <w:noProof/>
          </w:rPr>
          <w:t>Druckgeräteverordnung – 14. ProdSV -</w:t>
        </w:r>
        <w:r>
          <w:rPr>
            <w:noProof/>
            <w:webHidden/>
          </w:rPr>
          <w:tab/>
        </w:r>
        <w:r>
          <w:rPr>
            <w:noProof/>
            <w:webHidden/>
          </w:rPr>
          <w:fldChar w:fldCharType="begin"/>
        </w:r>
        <w:r>
          <w:rPr>
            <w:noProof/>
            <w:webHidden/>
          </w:rPr>
          <w:instrText xml:space="preserve"> PAGEREF _Toc309283523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283524" w:history="1">
        <w:r>
          <w:rPr>
            <w:rStyle w:val="Hyperlink"/>
            <w:noProof/>
          </w:rPr>
          <w:t>§ 1 Anwendungsbereich</w:t>
        </w:r>
        <w:r>
          <w:rPr>
            <w:noProof/>
            <w:webHidden/>
          </w:rPr>
          <w:tab/>
        </w:r>
        <w:r>
          <w:rPr>
            <w:noProof/>
            <w:webHidden/>
          </w:rPr>
          <w:fldChar w:fldCharType="begin"/>
        </w:r>
        <w:r>
          <w:rPr>
            <w:noProof/>
            <w:webHidden/>
          </w:rPr>
          <w:instrText xml:space="preserve"> PAGEREF _Toc309283524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283525" w:history="1">
        <w:r>
          <w:rPr>
            <w:rStyle w:val="Hyperlink"/>
            <w:noProof/>
          </w:rPr>
          <w:t>§ 2 Begriffsbestimmungen</w:t>
        </w:r>
        <w:r>
          <w:rPr>
            <w:noProof/>
            <w:webHidden/>
          </w:rPr>
          <w:tab/>
        </w:r>
        <w:r>
          <w:rPr>
            <w:noProof/>
            <w:webHidden/>
          </w:rPr>
          <w:fldChar w:fldCharType="begin"/>
        </w:r>
        <w:r>
          <w:rPr>
            <w:noProof/>
            <w:webHidden/>
          </w:rPr>
          <w:instrText xml:space="preserve"> PAGEREF _Toc309283525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9283526" w:history="1">
        <w:r>
          <w:rPr>
            <w:rStyle w:val="Hyperlink"/>
            <w:noProof/>
          </w:rPr>
          <w:t>§ 3 Sicherheitsanforderungen</w:t>
        </w:r>
        <w:r>
          <w:rPr>
            <w:noProof/>
            <w:webHidden/>
          </w:rPr>
          <w:tab/>
        </w:r>
        <w:r>
          <w:rPr>
            <w:noProof/>
            <w:webHidden/>
          </w:rPr>
          <w:fldChar w:fldCharType="begin"/>
        </w:r>
        <w:r>
          <w:rPr>
            <w:noProof/>
            <w:webHidden/>
          </w:rPr>
          <w:instrText xml:space="preserve"> PAGEREF _Toc309283526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09283527" w:history="1">
        <w:r>
          <w:rPr>
            <w:rStyle w:val="Hyperlink"/>
            <w:noProof/>
          </w:rPr>
          <w:t>§ 4 Voraussetzungen für die Bereitstellung auf dem Markt</w:t>
        </w:r>
        <w:r>
          <w:rPr>
            <w:noProof/>
            <w:webHidden/>
          </w:rPr>
          <w:tab/>
        </w:r>
        <w:r>
          <w:rPr>
            <w:noProof/>
            <w:webHidden/>
          </w:rPr>
          <w:fldChar w:fldCharType="begin"/>
        </w:r>
        <w:r>
          <w:rPr>
            <w:noProof/>
            <w:webHidden/>
          </w:rPr>
          <w:instrText xml:space="preserve"> PAGEREF _Toc309283527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09283528" w:history="1">
        <w:r>
          <w:rPr>
            <w:rStyle w:val="Hyperlink"/>
            <w:noProof/>
          </w:rPr>
          <w:t>§ 5 CE-Kennzeichnung</w:t>
        </w:r>
        <w:r>
          <w:rPr>
            <w:noProof/>
            <w:webHidden/>
          </w:rPr>
          <w:tab/>
        </w:r>
        <w:r>
          <w:rPr>
            <w:noProof/>
            <w:webHidden/>
          </w:rPr>
          <w:fldChar w:fldCharType="begin"/>
        </w:r>
        <w:r>
          <w:rPr>
            <w:noProof/>
            <w:webHidden/>
          </w:rPr>
          <w:instrText xml:space="preserve"> PAGEREF _Toc309283528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09283529" w:history="1">
        <w:r>
          <w:rPr>
            <w:rStyle w:val="Hyperlink"/>
            <w:noProof/>
          </w:rPr>
          <w:t>§ 6 Europäische Werkstoffzulassung</w:t>
        </w:r>
        <w:r>
          <w:rPr>
            <w:noProof/>
            <w:webHidden/>
          </w:rPr>
          <w:tab/>
        </w:r>
        <w:r>
          <w:rPr>
            <w:noProof/>
            <w:webHidden/>
          </w:rPr>
          <w:fldChar w:fldCharType="begin"/>
        </w:r>
        <w:r>
          <w:rPr>
            <w:noProof/>
            <w:webHidden/>
          </w:rPr>
          <w:instrText xml:space="preserve"> PAGEREF _Toc309283529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09283530" w:history="1">
        <w:r>
          <w:rPr>
            <w:rStyle w:val="Hyperlink"/>
            <w:noProof/>
          </w:rPr>
          <w:t>§ 7 Betreiberprüfstellen</w:t>
        </w:r>
        <w:r>
          <w:rPr>
            <w:noProof/>
            <w:webHidden/>
          </w:rPr>
          <w:tab/>
        </w:r>
        <w:r>
          <w:rPr>
            <w:noProof/>
            <w:webHidden/>
          </w:rPr>
          <w:fldChar w:fldCharType="begin"/>
        </w:r>
        <w:r>
          <w:rPr>
            <w:noProof/>
            <w:webHidden/>
          </w:rPr>
          <w:instrText xml:space="preserve"> PAGEREF _Toc309283530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09283531" w:history="1">
        <w:r>
          <w:rPr>
            <w:rStyle w:val="Hyperlink"/>
            <w:noProof/>
          </w:rPr>
          <w:t>§ 8 Ordnungswidrigkeiten</w:t>
        </w:r>
        <w:r>
          <w:rPr>
            <w:noProof/>
            <w:webHidden/>
          </w:rPr>
          <w:tab/>
        </w:r>
        <w:r>
          <w:rPr>
            <w:noProof/>
            <w:webHidden/>
          </w:rPr>
          <w:fldChar w:fldCharType="begin"/>
        </w:r>
        <w:r>
          <w:rPr>
            <w:noProof/>
            <w:webHidden/>
          </w:rPr>
          <w:instrText xml:space="preserve"> PAGEREF _Toc309283531 \h </w:instrText>
        </w:r>
        <w:r>
          <w:rPr>
            <w:noProof/>
            <w:webHidden/>
          </w:rPr>
        </w:r>
        <w:r>
          <w:rPr>
            <w:noProof/>
            <w:webHidden/>
          </w:rPr>
          <w:fldChar w:fldCharType="separate"/>
        </w:r>
        <w:r>
          <w:rPr>
            <w:noProof/>
            <w:webHidden/>
          </w:rPr>
          <w:t>5</w:t>
        </w:r>
        <w:r>
          <w:rPr>
            <w:noProof/>
            <w:webHidden/>
          </w:rPr>
          <w:fldChar w:fldCharType="end"/>
        </w:r>
      </w:hyperlink>
    </w:p>
    <w:p>
      <w:pPr>
        <w:pStyle w:val="GesAbsatz"/>
        <w:rPr>
          <w:szCs w:val="18"/>
        </w:rPr>
      </w:pPr>
      <w:r>
        <w:rPr>
          <w:rFonts w:ascii="Times New Roman" w:hAnsi="Times New Roman"/>
          <w:b/>
          <w:bCs/>
          <w:caps/>
          <w:color w:val="auto"/>
          <w:szCs w:val="18"/>
        </w:rPr>
        <w:fldChar w:fldCharType="end"/>
      </w:r>
    </w:p>
    <w:p>
      <w:pPr>
        <w:pStyle w:val="berschrift3"/>
      </w:pPr>
      <w:bookmarkStart w:id="2" w:name="_Toc309283524"/>
      <w:r>
        <w:t>§ 1</w:t>
      </w:r>
      <w:r>
        <w:br/>
        <w:t>Anwendungsbereich</w:t>
      </w:r>
      <w:bookmarkEnd w:id="2"/>
    </w:p>
    <w:p>
      <w:pPr>
        <w:pStyle w:val="GesAbsatz"/>
        <w:rPr>
          <w:szCs w:val="18"/>
        </w:rPr>
      </w:pPr>
      <w:r>
        <w:rPr>
          <w:szCs w:val="18"/>
        </w:rPr>
        <w:t>(1) Diese Verordnung gilt für die Bereitstellung auf dem Markt von neuen Druckgeräten und Baugruppen mit einem maximal zulässigen Druck von über 0,5 bar.</w:t>
      </w:r>
    </w:p>
    <w:p>
      <w:pPr>
        <w:pStyle w:val="GesAbsatz"/>
        <w:rPr>
          <w:szCs w:val="18"/>
        </w:rPr>
      </w:pPr>
      <w:r>
        <w:rPr>
          <w:szCs w:val="18"/>
        </w:rPr>
        <w:t>(2) Diese Verordnung gilt nicht für</w:t>
      </w:r>
    </w:p>
    <w:p>
      <w:pPr>
        <w:pStyle w:val="GesAbsatz"/>
        <w:ind w:left="426" w:hanging="426"/>
        <w:rPr>
          <w:szCs w:val="18"/>
        </w:rPr>
      </w:pPr>
      <w:r>
        <w:rPr>
          <w:szCs w:val="18"/>
        </w:rPr>
        <w:t>1.</w:t>
      </w:r>
      <w:r>
        <w:rPr>
          <w:szCs w:val="18"/>
        </w:rPr>
        <w:tab/>
        <w:t xml:space="preserve">Fernleitungen aus einem Rohr oder einem Rohrsystem für die Durchleitung von Fluiden oder Stoffen zu oder von einer (Offshore- oder </w:t>
      </w:r>
      <w:proofErr w:type="spellStart"/>
      <w:r>
        <w:rPr>
          <w:szCs w:val="18"/>
        </w:rPr>
        <w:t>Onshore</w:t>
      </w:r>
      <w:proofErr w:type="spellEnd"/>
      <w:r>
        <w:rPr>
          <w:szCs w:val="18"/>
        </w:rPr>
        <w:t>-)Anlage ab einschließlich der letzten Absperrvorrichtung im Bereich der Anlage, einschließlich aller Nebenausrüstungen, die speziell für diese Leitungen ausgelegt sind. Dieser Ausschluss erstreckt sich nicht auf Standarddruckgeräte, wie zum Beispiel Druckgeräte, die sich in Druckregelstationen und in Kompressorstationen finden können,</w:t>
      </w:r>
    </w:p>
    <w:p>
      <w:pPr>
        <w:pStyle w:val="GesAbsatz"/>
        <w:ind w:left="426" w:hanging="426"/>
        <w:rPr>
          <w:szCs w:val="18"/>
        </w:rPr>
      </w:pPr>
      <w:r>
        <w:rPr>
          <w:szCs w:val="18"/>
        </w:rPr>
        <w:t>2.</w:t>
      </w:r>
      <w:r>
        <w:rPr>
          <w:szCs w:val="18"/>
        </w:rPr>
        <w:tab/>
        <w:t>Netze für die Versorgung, die Verteilung und den Abfluss von Wasser und ihre Geräte sowie Triebwasserwege in Wasserkraftanlagen wie Druckrohre, -stollen und -schächte sowie die betreffenden Ausrüstungsteile,</w:t>
      </w:r>
    </w:p>
    <w:p>
      <w:pPr>
        <w:pStyle w:val="GesAbsatz"/>
        <w:ind w:left="426" w:hanging="426"/>
        <w:rPr>
          <w:szCs w:val="18"/>
        </w:rPr>
      </w:pPr>
      <w:r>
        <w:rPr>
          <w:szCs w:val="18"/>
        </w:rPr>
        <w:t>3.</w:t>
      </w:r>
      <w:r>
        <w:rPr>
          <w:szCs w:val="18"/>
        </w:rPr>
        <w:tab/>
        <w:t>Geräte gemäß der Richtlinie 87/404/EWG des Rates vom 25. Juni 1987 zur Angleichung der Rechtsvorschriften der Mitgliedstaaten für einfache Druckbehälter (ABl. EG Nr. L 220 S. 48),</w:t>
      </w:r>
    </w:p>
    <w:p>
      <w:pPr>
        <w:pStyle w:val="GesAbsatz"/>
        <w:ind w:left="426" w:hanging="426"/>
        <w:rPr>
          <w:szCs w:val="18"/>
        </w:rPr>
      </w:pPr>
      <w:r>
        <w:rPr>
          <w:szCs w:val="18"/>
        </w:rPr>
        <w:t>4.</w:t>
      </w:r>
      <w:r>
        <w:rPr>
          <w:szCs w:val="18"/>
        </w:rPr>
        <w:tab/>
        <w:t>Geräte gemäß der Richtlinie 75/324/EWG des Rates vom 20. Mai 1975 zur Angleichung der Rechtsvorschriften der Mitgliedstaaten über Aerosolpackungen (ABl. EG Nr. L 147 S. 40),</w:t>
      </w:r>
    </w:p>
    <w:p>
      <w:pPr>
        <w:pStyle w:val="GesAbsatz"/>
        <w:ind w:left="426" w:hanging="426"/>
        <w:rPr>
          <w:szCs w:val="18"/>
        </w:rPr>
      </w:pPr>
      <w:r>
        <w:rPr>
          <w:szCs w:val="18"/>
        </w:rPr>
        <w:t>5.</w:t>
      </w:r>
      <w:r>
        <w:rPr>
          <w:szCs w:val="18"/>
        </w:rPr>
        <w:tab/>
        <w:t>Geräte, die zum Betrieb von Fahrzeugen vorgesehen sind, welche durch die folgenden Richtlinien und ihre Anhänge bestimmt sind:</w:t>
      </w:r>
    </w:p>
    <w:p>
      <w:pPr>
        <w:pStyle w:val="GesAbsatz"/>
        <w:ind w:left="851" w:hanging="851"/>
        <w:rPr>
          <w:szCs w:val="18"/>
        </w:rPr>
      </w:pPr>
      <w:r>
        <w:rPr>
          <w:szCs w:val="18"/>
        </w:rPr>
        <w:tab/>
        <w:t>–</w:t>
      </w:r>
      <w:r>
        <w:rPr>
          <w:szCs w:val="18"/>
        </w:rPr>
        <w:tab/>
        <w:t>Richtlinie 70/156/EWG des Rates vom 6. Februar 1970 zur Angleichung der Rechtsvorschriften der Mitgliedstaaten über die Betriebserlaubnis für Kraftfahrzeuge und Kraftfahrzeuganhänger (ABl. EG Nr. L 42 S. 1),</w:t>
      </w:r>
    </w:p>
    <w:p>
      <w:pPr>
        <w:pStyle w:val="GesAbsatz"/>
        <w:ind w:left="851" w:hanging="851"/>
      </w:pPr>
      <w:r>
        <w:rPr>
          <w:szCs w:val="18"/>
        </w:rPr>
        <w:tab/>
        <w:t>–</w:t>
      </w:r>
      <w:r>
        <w:rPr>
          <w:szCs w:val="18"/>
        </w:rPr>
        <w:tab/>
        <w:t>Richtlinie 74/150/EWG des Rates vom 4. März 1974 zur Angleichung der Rechtsvorschriften der Mitgliedstaaten über die Betriebserlaubnis für land- oder forstwirtschaftliche Zugmaschinen auf Rädern (ABl. EG Nr. L 84 S. 10),</w:t>
      </w:r>
    </w:p>
    <w:p>
      <w:pPr>
        <w:pStyle w:val="GesAbsatz"/>
        <w:ind w:left="851" w:hanging="851"/>
        <w:rPr>
          <w:szCs w:val="18"/>
        </w:rPr>
      </w:pPr>
      <w:r>
        <w:rPr>
          <w:szCs w:val="18"/>
        </w:rPr>
        <w:tab/>
        <w:t>–</w:t>
      </w:r>
      <w:r>
        <w:rPr>
          <w:szCs w:val="18"/>
        </w:rPr>
        <w:tab/>
        <w:t>Richtlinie 92/61/EWG des Rates vom 30. Juni 1992 über die Betriebserlaubnis für zweirädrige oder dreirädrige Kraftfahrzeuge (ABl. EG Nr. L 225 S. 72),</w:t>
      </w:r>
    </w:p>
    <w:p>
      <w:pPr>
        <w:pStyle w:val="GesAbsatz"/>
        <w:ind w:left="426" w:hanging="426"/>
        <w:rPr>
          <w:szCs w:val="18"/>
        </w:rPr>
      </w:pPr>
      <w:r>
        <w:rPr>
          <w:szCs w:val="18"/>
        </w:rPr>
        <w:t>6.</w:t>
      </w:r>
      <w:r>
        <w:rPr>
          <w:szCs w:val="18"/>
        </w:rPr>
        <w:tab/>
        <w:t>Geräte, die nach Artikel 9 dieser Richtlinie höchstens unter die Kategorie I fallen würden und die von einer der folgenden Richtlinien erfasst werden:</w:t>
      </w:r>
    </w:p>
    <w:p>
      <w:pPr>
        <w:pStyle w:val="GesAbsatz"/>
        <w:ind w:left="851" w:hanging="851"/>
        <w:rPr>
          <w:szCs w:val="18"/>
        </w:rPr>
      </w:pPr>
      <w:r>
        <w:rPr>
          <w:szCs w:val="18"/>
        </w:rPr>
        <w:tab/>
        <w:t>–</w:t>
      </w:r>
      <w:r>
        <w:rPr>
          <w:szCs w:val="18"/>
        </w:rPr>
        <w:tab/>
        <w:t>Richtlinie 98/37/EG des Europäischen Parlaments und des Rates vom 22. Juni 1998 zur Angleichung der Rechts- und Verwaltungsvorschriften der Mitgliedstaaten für Maschinen (ABl. EG Nr. L 207 S. 1),</w:t>
      </w:r>
    </w:p>
    <w:p>
      <w:pPr>
        <w:pStyle w:val="GesAbsatz"/>
        <w:ind w:left="851" w:hanging="851"/>
        <w:rPr>
          <w:szCs w:val="18"/>
        </w:rPr>
      </w:pPr>
      <w:r>
        <w:rPr>
          <w:szCs w:val="18"/>
        </w:rPr>
        <w:tab/>
        <w:t>–</w:t>
      </w:r>
      <w:r>
        <w:rPr>
          <w:szCs w:val="18"/>
        </w:rPr>
        <w:tab/>
        <w:t>Richtlinie 95/16/EG des Europäischen Parlaments und des Rates vom 29. Juni 1995 zur Angleichung der Rechtsvorschriften der Mitgliedstaaten über Aufzüge (ABl. EG Nr. L 213 S. 1),</w:t>
      </w:r>
    </w:p>
    <w:p>
      <w:pPr>
        <w:pStyle w:val="GesAbsatz"/>
        <w:ind w:left="851" w:hanging="851"/>
        <w:rPr>
          <w:szCs w:val="18"/>
        </w:rPr>
      </w:pPr>
      <w:r>
        <w:rPr>
          <w:szCs w:val="18"/>
        </w:rPr>
        <w:lastRenderedPageBreak/>
        <w:tab/>
        <w:t>–</w:t>
      </w:r>
      <w:r>
        <w:rPr>
          <w:szCs w:val="18"/>
        </w:rPr>
        <w:tab/>
        <w:t>Richtlinie 73/23/EWG des Rates vom 19. Februar 1973 zur Angleichung der Rechtsvorschriften der Mitgliedstaaten betreffend elektrische Betriebsmittel zur Verwendung innerhalb bestimmter Spannungsgrenzen (ABl. EG Nr. L 77 S. 29),</w:t>
      </w:r>
    </w:p>
    <w:p>
      <w:pPr>
        <w:pStyle w:val="GesAbsatz"/>
        <w:ind w:left="851" w:hanging="851"/>
        <w:rPr>
          <w:szCs w:val="18"/>
        </w:rPr>
      </w:pPr>
      <w:r>
        <w:rPr>
          <w:szCs w:val="18"/>
        </w:rPr>
        <w:tab/>
        <w:t>–</w:t>
      </w:r>
      <w:r>
        <w:rPr>
          <w:szCs w:val="18"/>
        </w:rPr>
        <w:tab/>
        <w:t>Richtlinie 93/42/EWG des Rates vom 14. Juni 1993 über Medizinprodukte (ABl. EG Nr. L 169 S. 1),</w:t>
      </w:r>
    </w:p>
    <w:p>
      <w:pPr>
        <w:pStyle w:val="GesAbsatz"/>
        <w:ind w:left="851" w:hanging="851"/>
        <w:rPr>
          <w:szCs w:val="18"/>
        </w:rPr>
      </w:pPr>
      <w:r>
        <w:rPr>
          <w:szCs w:val="18"/>
        </w:rPr>
        <w:tab/>
        <w:t>–</w:t>
      </w:r>
      <w:r>
        <w:rPr>
          <w:szCs w:val="18"/>
        </w:rPr>
        <w:tab/>
        <w:t>Richtlinie 90/396/EWG des Rates vom 29. Juni 1990 zur Angleichung der Rechtsvorschriften der Mitgliedstaaten für Gasverbrauchseinrichtungen (ABl. EG Nr. L 196 S. 15),</w:t>
      </w:r>
    </w:p>
    <w:p>
      <w:pPr>
        <w:pStyle w:val="GesAbsatz"/>
        <w:ind w:left="851" w:hanging="851"/>
        <w:rPr>
          <w:szCs w:val="18"/>
        </w:rPr>
      </w:pPr>
      <w:r>
        <w:rPr>
          <w:szCs w:val="18"/>
        </w:rPr>
        <w:tab/>
        <w:t>–</w:t>
      </w:r>
      <w:r>
        <w:rPr>
          <w:szCs w:val="18"/>
        </w:rPr>
        <w:tab/>
        <w:t>Richtlinie 94/9/EG des Europäischen Parlaments und des Rates vom 23. März 1994 zur Angleichung der Rechtsvorschriften der Mitgliedstaaten für Geräte und Schutzsysteme zur bestimmungsgemäßen Verwendung in explosionsgefährdeten Bereichen (ABl. EG Nr. L 100 S. 1),</w:t>
      </w:r>
    </w:p>
    <w:p>
      <w:pPr>
        <w:pStyle w:val="GesAbsatz"/>
        <w:ind w:left="426" w:hanging="426"/>
        <w:rPr>
          <w:szCs w:val="18"/>
        </w:rPr>
      </w:pPr>
      <w:r>
        <w:rPr>
          <w:szCs w:val="18"/>
        </w:rPr>
        <w:t>7.</w:t>
      </w:r>
      <w:r>
        <w:rPr>
          <w:szCs w:val="18"/>
        </w:rPr>
        <w:tab/>
        <w:t>ausschließlich für militärische Zwecke oder zur Aufrechterhaltung der öffentlichen Sicherheit oder der öffentlichen Ordnung geplante, konstruierte und gebaute Geräte im Sinne von Absatz 1,</w:t>
      </w:r>
    </w:p>
    <w:p>
      <w:pPr>
        <w:pStyle w:val="GesAbsatz"/>
        <w:ind w:left="426" w:hanging="426"/>
        <w:rPr>
          <w:szCs w:val="18"/>
        </w:rPr>
      </w:pPr>
      <w:r>
        <w:rPr>
          <w:szCs w:val="18"/>
        </w:rPr>
        <w:t>8.</w:t>
      </w:r>
      <w:r>
        <w:rPr>
          <w:szCs w:val="18"/>
        </w:rPr>
        <w:tab/>
        <w:t>Geräte, die speziell zur Verwendung in kerntechnischen Anlagen entwickelt wurden und deren Ausfall zu einer Freisetzung von Radioaktivität führen kann,</w:t>
      </w:r>
    </w:p>
    <w:p>
      <w:pPr>
        <w:pStyle w:val="GesAbsatz"/>
        <w:ind w:left="426" w:hanging="426"/>
        <w:rPr>
          <w:szCs w:val="18"/>
        </w:rPr>
      </w:pPr>
      <w:r>
        <w:rPr>
          <w:szCs w:val="18"/>
        </w:rPr>
        <w:t>9.</w:t>
      </w:r>
      <w:r>
        <w:rPr>
          <w:szCs w:val="18"/>
        </w:rPr>
        <w:tab/>
        <w:t>Bohrlochkontrollgeräte, die für die industrielle Exploration und Gewinnung von Erdöl, Erdgas oder Erdwärme sowie für Untertagespeicher verwendet werden und dazu bestimmt sind, den Bohrlochdruck zu halten oder zu regeln. Hierzu zählen der Bohrlochkopf (Eruptionskreuz), die Blowout-</w:t>
      </w:r>
      <w:proofErr w:type="spellStart"/>
      <w:r>
        <w:rPr>
          <w:szCs w:val="18"/>
        </w:rPr>
        <w:t>Preventer</w:t>
      </w:r>
      <w:proofErr w:type="spellEnd"/>
      <w:r>
        <w:rPr>
          <w:szCs w:val="18"/>
        </w:rPr>
        <w:t xml:space="preserve"> (BOP), die Leitungen und Verteilersysteme sowie die jeweils davor befindlichen Geräte,</w:t>
      </w:r>
    </w:p>
    <w:p>
      <w:pPr>
        <w:pStyle w:val="GesAbsatz"/>
        <w:ind w:left="426" w:hanging="426"/>
        <w:rPr>
          <w:szCs w:val="18"/>
        </w:rPr>
      </w:pPr>
      <w:r>
        <w:rPr>
          <w:szCs w:val="18"/>
        </w:rPr>
        <w:t>10.</w:t>
      </w:r>
      <w:r>
        <w:rPr>
          <w:szCs w:val="18"/>
        </w:rPr>
        <w:tab/>
        <w:t>Geräte mit Gehäusen und Teilen von Maschinen, bei denen die Abmessungen, die Wahl der Werkstoffe und die Bauvorschriften in erster Linie auf Anforderungen an ausreichende Festigkeit, Formsteifigkeit und Stabilität gegenüber statischen und dynamischen Betriebsbeanspruchungen oder auf anderen funktionsbezogenen Kriterien beruhen und bei denen der Druck keinen wesentlichen Faktor für die Konstruktion darstellt. Zu diesen Geräten können zählen:</w:t>
      </w:r>
    </w:p>
    <w:p>
      <w:pPr>
        <w:pStyle w:val="GesAbsatz"/>
        <w:tabs>
          <w:tab w:val="left" w:pos="851"/>
        </w:tabs>
        <w:rPr>
          <w:szCs w:val="18"/>
        </w:rPr>
      </w:pPr>
      <w:r>
        <w:rPr>
          <w:szCs w:val="18"/>
        </w:rPr>
        <w:tab/>
        <w:t>–</w:t>
      </w:r>
      <w:r>
        <w:rPr>
          <w:szCs w:val="18"/>
        </w:rPr>
        <w:tab/>
        <w:t>Motoren einschließlich Turbinen und Motoren mit innerer Verbrennung sowie</w:t>
      </w:r>
    </w:p>
    <w:p>
      <w:pPr>
        <w:pStyle w:val="GesAbsatz"/>
        <w:tabs>
          <w:tab w:val="left" w:pos="851"/>
        </w:tabs>
        <w:ind w:left="851" w:hanging="851"/>
      </w:pPr>
      <w:r>
        <w:rPr>
          <w:szCs w:val="18"/>
        </w:rPr>
        <w:tab/>
        <w:t>–</w:t>
      </w:r>
      <w:r>
        <w:rPr>
          <w:szCs w:val="18"/>
        </w:rPr>
        <w:tab/>
        <w:t>Dampfmaschinen, Gas- oder Dampfturbinen, Turbogeneratoren, Verdichter, Pumpen und Stelleinrichtungen,</w:t>
      </w:r>
    </w:p>
    <w:p>
      <w:pPr>
        <w:pStyle w:val="GesAbsatz"/>
        <w:ind w:left="426" w:hanging="426"/>
        <w:rPr>
          <w:szCs w:val="18"/>
        </w:rPr>
      </w:pPr>
      <w:r>
        <w:rPr>
          <w:szCs w:val="18"/>
        </w:rPr>
        <w:t>11.</w:t>
      </w:r>
      <w:r>
        <w:rPr>
          <w:szCs w:val="18"/>
        </w:rPr>
        <w:tab/>
        <w:t>Hochöfen mit Ofenkühlung, Rekuperativ-Winderhitzern, Staubabscheidern und Gichtgasreinigungsanlagen, Direktreduktionsschachtöfen mit Ofenkühlung, Gasumsetzern und Pfannen zum Schmelzen, Umschmelzen, Entgasen und Vergießen von Stahl und Nichteisenmetallen,</w:t>
      </w:r>
    </w:p>
    <w:p>
      <w:pPr>
        <w:pStyle w:val="GesAbsatz"/>
        <w:ind w:left="426" w:hanging="426"/>
        <w:rPr>
          <w:szCs w:val="18"/>
        </w:rPr>
      </w:pPr>
      <w:r>
        <w:rPr>
          <w:szCs w:val="18"/>
        </w:rPr>
        <w:t>12.</w:t>
      </w:r>
      <w:r>
        <w:rPr>
          <w:szCs w:val="18"/>
        </w:rPr>
        <w:tab/>
        <w:t>Gehäuse für elektrische Hochspannungsbetriebsmittel wie Schaltgeräte, Steuer- und Regelgeräte, Transformatoren und umlaufende Maschinen,</w:t>
      </w:r>
    </w:p>
    <w:p>
      <w:pPr>
        <w:pStyle w:val="GesAbsatz"/>
        <w:ind w:left="426" w:hanging="426"/>
        <w:rPr>
          <w:szCs w:val="18"/>
        </w:rPr>
      </w:pPr>
      <w:r>
        <w:rPr>
          <w:szCs w:val="18"/>
        </w:rPr>
        <w:t>13.</w:t>
      </w:r>
      <w:r>
        <w:rPr>
          <w:szCs w:val="18"/>
        </w:rPr>
        <w:tab/>
        <w:t>unter Druck stehende Gehäuse für die Ummantelung von Komponenten von Übertragungssystemen wie zum Beispiel Elektro- und Telefonkabel,</w:t>
      </w:r>
    </w:p>
    <w:p>
      <w:pPr>
        <w:pStyle w:val="GesAbsatz"/>
        <w:ind w:left="426" w:hanging="426"/>
        <w:rPr>
          <w:szCs w:val="18"/>
        </w:rPr>
      </w:pPr>
      <w:r>
        <w:rPr>
          <w:szCs w:val="18"/>
        </w:rPr>
        <w:t>14.</w:t>
      </w:r>
      <w:r>
        <w:rPr>
          <w:szCs w:val="18"/>
        </w:rPr>
        <w:tab/>
        <w:t>Schiffe, Raketen, Luftfahrzeuge oder bewegliche Offshore-Anlagen sowie Geräte, die speziell für den Einbau in diese oder zu deren Antrieb bestimmt sind,</w:t>
      </w:r>
    </w:p>
    <w:p>
      <w:pPr>
        <w:pStyle w:val="GesAbsatz"/>
        <w:ind w:left="426" w:hanging="426"/>
        <w:rPr>
          <w:szCs w:val="18"/>
        </w:rPr>
      </w:pPr>
      <w:r>
        <w:rPr>
          <w:szCs w:val="18"/>
        </w:rPr>
        <w:t>15.</w:t>
      </w:r>
      <w:r>
        <w:rPr>
          <w:szCs w:val="18"/>
        </w:rPr>
        <w:tab/>
        <w:t>Druckgeräte, die aus einer flexiblen Umhüllung bestehen, zum Beispiel Luftreifen, Luftkissen, Spielbälle, aufblasbare Boote und andere ähnliche Druckgeräte,</w:t>
      </w:r>
    </w:p>
    <w:p>
      <w:pPr>
        <w:pStyle w:val="GesAbsatz"/>
        <w:ind w:left="426" w:hanging="426"/>
        <w:rPr>
          <w:szCs w:val="18"/>
        </w:rPr>
      </w:pPr>
      <w:r>
        <w:rPr>
          <w:szCs w:val="18"/>
        </w:rPr>
        <w:t>16.</w:t>
      </w:r>
      <w:r>
        <w:rPr>
          <w:szCs w:val="18"/>
        </w:rPr>
        <w:tab/>
        <w:t>Auspuff- und Ansaugschalldämpfer,</w:t>
      </w:r>
    </w:p>
    <w:p>
      <w:pPr>
        <w:pStyle w:val="GesAbsatz"/>
        <w:ind w:left="426" w:hanging="426"/>
        <w:rPr>
          <w:szCs w:val="18"/>
        </w:rPr>
      </w:pPr>
      <w:r>
        <w:rPr>
          <w:szCs w:val="18"/>
        </w:rPr>
        <w:t>17.</w:t>
      </w:r>
      <w:r>
        <w:rPr>
          <w:szCs w:val="18"/>
        </w:rPr>
        <w:tab/>
        <w:t>Flaschen und Dosen für kohlensäurehaltige Getränke, die für den Endverbrauch bestimmt sind,</w:t>
      </w:r>
    </w:p>
    <w:p>
      <w:pPr>
        <w:pStyle w:val="GesAbsatz"/>
        <w:ind w:left="426" w:hanging="426"/>
        <w:rPr>
          <w:szCs w:val="18"/>
        </w:rPr>
      </w:pPr>
      <w:r>
        <w:rPr>
          <w:szCs w:val="18"/>
        </w:rPr>
        <w:t>18.</w:t>
      </w:r>
      <w:r>
        <w:rPr>
          <w:szCs w:val="18"/>
        </w:rPr>
        <w:tab/>
        <w:t xml:space="preserve">Behälter für den Transport und den Vertrieb von Getränken, für die bei einem maximal zulässigen Druck von höchstens sieben bar das Produkt aus dem maximal zulässigen Druck und dem maßgeblichen Volumen nicht mehr als 500 </w:t>
      </w:r>
      <w:proofErr w:type="spellStart"/>
      <w:r>
        <w:rPr>
          <w:szCs w:val="18"/>
        </w:rPr>
        <w:t>bar</w:t>
      </w:r>
      <w:r>
        <w:rPr>
          <w:szCs w:val="24"/>
        </w:rPr>
        <w:t>·</w:t>
      </w:r>
      <w:r>
        <w:rPr>
          <w:szCs w:val="18"/>
        </w:rPr>
        <w:t>Liter</w:t>
      </w:r>
      <w:proofErr w:type="spellEnd"/>
      <w:r>
        <w:rPr>
          <w:szCs w:val="18"/>
        </w:rPr>
        <w:t xml:space="preserve"> beträgt,</w:t>
      </w:r>
    </w:p>
    <w:p>
      <w:pPr>
        <w:pStyle w:val="GesAbsatz"/>
        <w:ind w:left="426" w:hanging="426"/>
        <w:rPr>
          <w:szCs w:val="18"/>
        </w:rPr>
      </w:pPr>
      <w:r>
        <w:rPr>
          <w:szCs w:val="18"/>
        </w:rPr>
        <w:t>19.</w:t>
      </w:r>
      <w:r>
        <w:rPr>
          <w:szCs w:val="18"/>
        </w:rPr>
        <w:tab/>
        <w:t>von den ADR-, RID-, IMDG- und ICAO-Übereinkünften erfasste Geräte,</w:t>
      </w:r>
    </w:p>
    <w:p>
      <w:pPr>
        <w:pStyle w:val="GesAbsatz"/>
        <w:ind w:left="426" w:hanging="426"/>
        <w:rPr>
          <w:szCs w:val="18"/>
        </w:rPr>
      </w:pPr>
      <w:r>
        <w:rPr>
          <w:szCs w:val="18"/>
        </w:rPr>
        <w:t>20.</w:t>
      </w:r>
      <w:r>
        <w:rPr>
          <w:szCs w:val="18"/>
        </w:rPr>
        <w:tab/>
        <w:t>Heizkörper und Rohrleitungen in Warmwasserheizsystemen und</w:t>
      </w:r>
    </w:p>
    <w:p>
      <w:pPr>
        <w:pStyle w:val="GesAbsatz"/>
        <w:ind w:left="426" w:hanging="426"/>
        <w:rPr>
          <w:szCs w:val="18"/>
        </w:rPr>
      </w:pPr>
      <w:r>
        <w:rPr>
          <w:szCs w:val="18"/>
        </w:rPr>
        <w:t>21.</w:t>
      </w:r>
      <w:r>
        <w:rPr>
          <w:szCs w:val="18"/>
        </w:rPr>
        <w:tab/>
        <w:t>Behälter für Flüssigkeiten mit einem Gasdruck über der Flüssigkeit von höchstens 0,5 bar.</w:t>
      </w:r>
    </w:p>
    <w:p>
      <w:pPr>
        <w:pStyle w:val="berschrift3"/>
      </w:pPr>
      <w:bookmarkStart w:id="3" w:name="_Toc309283525"/>
      <w:r>
        <w:t>§ 2</w:t>
      </w:r>
      <w:r>
        <w:br/>
        <w:t>Begriffsbestimmungen</w:t>
      </w:r>
      <w:bookmarkEnd w:id="3"/>
    </w:p>
    <w:p>
      <w:pPr>
        <w:pStyle w:val="GesAbsatz"/>
        <w:rPr>
          <w:szCs w:val="18"/>
        </w:rPr>
      </w:pPr>
      <w:r>
        <w:rPr>
          <w:szCs w:val="18"/>
        </w:rPr>
        <w:t>Im Sinne dieser Verordnung gelten die folgenden Begriffsbestimmungen:</w:t>
      </w:r>
    </w:p>
    <w:p>
      <w:pPr>
        <w:pStyle w:val="GesAbsatz"/>
        <w:ind w:left="426" w:hanging="426"/>
        <w:rPr>
          <w:szCs w:val="18"/>
        </w:rPr>
      </w:pPr>
      <w:r>
        <w:rPr>
          <w:szCs w:val="18"/>
        </w:rPr>
        <w:t>1.</w:t>
      </w:r>
      <w:r>
        <w:rPr>
          <w:szCs w:val="18"/>
        </w:rPr>
        <w:tab/>
        <w:t>Druckgeräte: Behälter, Rohrleitungen, Ausrüstungsteile mit Sicherheitsfunktion und druckhaltende Ausrüstungsteile. Druckgeräte umfassen auch alle gegebenenfalls an drucktragenden Teilen angebrachten Elemente, wie zum Beispiel Flansche, Stutzen, Kupplungen, Trageelemente, Hebeösen.</w:t>
      </w:r>
    </w:p>
    <w:p>
      <w:pPr>
        <w:pStyle w:val="GesAbsatz"/>
        <w:ind w:left="851" w:hanging="851"/>
        <w:rPr>
          <w:szCs w:val="18"/>
        </w:rPr>
      </w:pPr>
      <w:r>
        <w:rPr>
          <w:szCs w:val="18"/>
        </w:rPr>
        <w:lastRenderedPageBreak/>
        <w:tab/>
        <w:t>a)</w:t>
      </w:r>
      <w:r>
        <w:rPr>
          <w:szCs w:val="18"/>
        </w:rPr>
        <w:tab/>
        <w:t>Behälter: ein geschlossenes Bauteil, das zur Aufnahme von unter Druck stehenden Fluiden ausgelegt und gebaut ist, einschließlich der direkt angebrachten Teile bis hin zur Vorrichtung für den Anschluss an andere Geräte. Ein Behälter kann mehrere Druckräume aufweisen.</w:t>
      </w:r>
    </w:p>
    <w:p>
      <w:pPr>
        <w:pStyle w:val="GesAbsatz"/>
        <w:ind w:left="851" w:hanging="851"/>
        <w:rPr>
          <w:szCs w:val="18"/>
        </w:rPr>
      </w:pPr>
      <w:r>
        <w:rPr>
          <w:szCs w:val="18"/>
        </w:rPr>
        <w:tab/>
        <w:t>b)</w:t>
      </w:r>
      <w:r>
        <w:rPr>
          <w:szCs w:val="18"/>
        </w:rPr>
        <w:tab/>
        <w:t>Rohrleitungen: zur Durchleitung von Fluiden bestimmte Leitungsbauteile, die für den Einbau in ein Drucksystem miteinander verbunden sind. Zu Rohrleitungen zählen insbesondere Rohre oder Rohrsysteme, Rohrformteile, Ausrüstungsteile, Ausdehnungsstücke, Schlauchleitungen oder gegebenenfalls andere druckhaltende Teile. Wärmetauscher aus Rohren zum Kühlen oder Erhitzen von Luft sind Rohrleitungen gleichgestellt.</w:t>
      </w:r>
    </w:p>
    <w:p>
      <w:pPr>
        <w:pStyle w:val="GesAbsatz"/>
        <w:ind w:left="851" w:hanging="851"/>
        <w:rPr>
          <w:szCs w:val="18"/>
        </w:rPr>
      </w:pPr>
      <w:r>
        <w:rPr>
          <w:szCs w:val="18"/>
        </w:rPr>
        <w:tab/>
        <w:t>c)</w:t>
      </w:r>
      <w:r>
        <w:rPr>
          <w:szCs w:val="18"/>
        </w:rPr>
        <w:tab/>
        <w:t>Ausrüstungsteile mit Sicherheitsfunktion: Einrichtungen, die zum Schutz des Druckgeräts bei einem Überschreiten der zulässigen Grenzen bestimmt sind. Diese Einrichtungen umfassen</w:t>
      </w:r>
    </w:p>
    <w:p>
      <w:pPr>
        <w:pStyle w:val="GesAbsatz"/>
        <w:tabs>
          <w:tab w:val="left" w:pos="851"/>
          <w:tab w:val="left" w:pos="1276"/>
        </w:tabs>
        <w:ind w:left="1276" w:hanging="1276"/>
        <w:rPr>
          <w:szCs w:val="18"/>
        </w:rPr>
      </w:pPr>
      <w:r>
        <w:rPr>
          <w:szCs w:val="18"/>
        </w:rPr>
        <w:tab/>
      </w:r>
      <w:r>
        <w:rPr>
          <w:szCs w:val="18"/>
        </w:rPr>
        <w:tab/>
        <w:t>–</w:t>
      </w:r>
      <w:r>
        <w:rPr>
          <w:szCs w:val="18"/>
        </w:rPr>
        <w:tab/>
        <w:t>Einrichtungen zur unmittelbaren Druckbegrenzung wie Sicherheitsventile, Berstscheibenabsicherungen, Knickstäbe, gesteuerte Sicherheitseinrichtungen und</w:t>
      </w:r>
    </w:p>
    <w:p>
      <w:pPr>
        <w:pStyle w:val="GesAbsatz"/>
        <w:tabs>
          <w:tab w:val="left" w:pos="851"/>
          <w:tab w:val="left" w:pos="1276"/>
        </w:tabs>
        <w:ind w:left="1276" w:hanging="1276"/>
        <w:rPr>
          <w:szCs w:val="18"/>
        </w:rPr>
      </w:pPr>
      <w:r>
        <w:rPr>
          <w:szCs w:val="18"/>
        </w:rPr>
        <w:tab/>
      </w:r>
      <w:r>
        <w:rPr>
          <w:szCs w:val="18"/>
        </w:rPr>
        <w:tab/>
        <w:t>–</w:t>
      </w:r>
      <w:r>
        <w:rPr>
          <w:szCs w:val="18"/>
        </w:rPr>
        <w:tab/>
        <w:t>Begrenzungseinrichtungen, die entweder Korrekturvorrichtungen auslösen oder ein Abschalten oder Abschalten und Sperren bewirken wie Druck-, Temperatur- oder Fluidniveauschalter sowie mess- und regeltechnische Schutzeinrichtungen.</w:t>
      </w:r>
    </w:p>
    <w:p>
      <w:pPr>
        <w:pStyle w:val="GesAbsatz"/>
        <w:ind w:left="851" w:hanging="851"/>
        <w:rPr>
          <w:szCs w:val="18"/>
        </w:rPr>
      </w:pPr>
      <w:r>
        <w:rPr>
          <w:szCs w:val="18"/>
        </w:rPr>
        <w:tab/>
        <w:t>d)</w:t>
      </w:r>
      <w:r>
        <w:rPr>
          <w:szCs w:val="18"/>
        </w:rPr>
        <w:tab/>
        <w:t>Druckhaltende Ausrüstungsteile: Einrichtungen mit einer Betriebsfunktion, die ein druckbeaufschlagtes Gehäuse aufweisen.</w:t>
      </w:r>
    </w:p>
    <w:p>
      <w:pPr>
        <w:pStyle w:val="GesAbsatz"/>
        <w:ind w:left="851" w:hanging="851"/>
        <w:rPr>
          <w:szCs w:val="18"/>
        </w:rPr>
      </w:pPr>
      <w:r>
        <w:rPr>
          <w:szCs w:val="18"/>
        </w:rPr>
        <w:tab/>
        <w:t>e)</w:t>
      </w:r>
      <w:r>
        <w:rPr>
          <w:szCs w:val="18"/>
        </w:rPr>
        <w:tab/>
        <w:t>Baugruppen: mehrere Druckgeräte, die von einem Hersteller zu einer zusammenhängenden funktionalen Einheit verbunden werden.</w:t>
      </w:r>
    </w:p>
    <w:p>
      <w:pPr>
        <w:pStyle w:val="GesAbsatz"/>
        <w:ind w:left="426" w:hanging="426"/>
        <w:rPr>
          <w:szCs w:val="18"/>
        </w:rPr>
      </w:pPr>
      <w:r>
        <w:rPr>
          <w:szCs w:val="18"/>
        </w:rPr>
        <w:t>2.</w:t>
      </w:r>
      <w:r>
        <w:rPr>
          <w:szCs w:val="18"/>
        </w:rPr>
        <w:tab/>
        <w:t>Druck: den auf den Atmosphärendruck bezogenen Druck, d.h. einen Überdruck; demnach wird ein Druck im Vakuumbereich durch einen Negativwert ausgedrückt.</w:t>
      </w:r>
    </w:p>
    <w:p>
      <w:pPr>
        <w:pStyle w:val="GesAbsatz"/>
        <w:ind w:left="426" w:hanging="426"/>
        <w:rPr>
          <w:szCs w:val="18"/>
        </w:rPr>
      </w:pPr>
      <w:r>
        <w:rPr>
          <w:szCs w:val="18"/>
        </w:rPr>
        <w:t>3.</w:t>
      </w:r>
      <w:r>
        <w:rPr>
          <w:szCs w:val="18"/>
        </w:rPr>
        <w:tab/>
        <w:t>Maximal zulässiger Druck (PS): den vom Hersteller angegebenen höchsten Druck, für den das Druckgerät ausgelegt ist. Er wird für eine vom Hersteller vorgegebene Stelle festgelegt. Hierbei handelt es sich um die Anschlussstelle der Ausrüstungsteile mit Sicherheitsfunktion oder um den höchsten Punkt des Druckgeräts oder, falls nicht geeignet, um eine andere angegebene Stelle.</w:t>
      </w:r>
    </w:p>
    <w:p>
      <w:pPr>
        <w:pStyle w:val="GesAbsatz"/>
        <w:ind w:left="426" w:hanging="426"/>
        <w:rPr>
          <w:szCs w:val="18"/>
        </w:rPr>
      </w:pPr>
      <w:r>
        <w:rPr>
          <w:szCs w:val="18"/>
        </w:rPr>
        <w:t>4.</w:t>
      </w:r>
      <w:r>
        <w:rPr>
          <w:szCs w:val="18"/>
        </w:rPr>
        <w:tab/>
        <w:t>Zulässige minimale oder maximale Temperatur (TS): die vom Hersteller angegebene minimale oder maximale Temperatur, für die das Gerät ausgelegt ist.</w:t>
      </w:r>
    </w:p>
    <w:p>
      <w:pPr>
        <w:pStyle w:val="GesAbsatz"/>
        <w:ind w:left="426" w:hanging="426"/>
        <w:rPr>
          <w:szCs w:val="18"/>
        </w:rPr>
      </w:pPr>
      <w:r>
        <w:rPr>
          <w:szCs w:val="18"/>
        </w:rPr>
        <w:t>5.</w:t>
      </w:r>
      <w:r>
        <w:rPr>
          <w:szCs w:val="18"/>
        </w:rPr>
        <w:tab/>
        <w:t>Volumen (V): das innere Volumen eines Druckraums einschließlich des Volumens von den Stutzen bis zur ersten Verbindung, aber abzüglich des Volumens festeingebauter innenliegender Teile.</w:t>
      </w:r>
    </w:p>
    <w:p>
      <w:pPr>
        <w:pStyle w:val="GesAbsatz"/>
        <w:ind w:left="426" w:hanging="426"/>
        <w:rPr>
          <w:szCs w:val="18"/>
        </w:rPr>
      </w:pPr>
      <w:r>
        <w:rPr>
          <w:szCs w:val="18"/>
        </w:rPr>
        <w:t>6.</w:t>
      </w:r>
      <w:r>
        <w:rPr>
          <w:szCs w:val="18"/>
        </w:rPr>
        <w:tab/>
        <w:t>Nennweite (DN): eine numerische Größenbezeichnung, welche für alle Bauteile eines Rohrsystems benutzt wird, für die nicht der Außendurchmesser oder die Gewindegröße angegeben werden. Es handelt sich um eine gerundete Zahl, die als Nenngröße dient und nur näherungsweise mit den Fertigungsmaßen in Beziehung steht. Die Nennweite wird durch DN, gefolgt von einer Zahl, ausgedrückt.</w:t>
      </w:r>
    </w:p>
    <w:p>
      <w:pPr>
        <w:pStyle w:val="GesAbsatz"/>
        <w:ind w:left="426" w:hanging="426"/>
        <w:rPr>
          <w:szCs w:val="18"/>
        </w:rPr>
      </w:pPr>
      <w:r>
        <w:rPr>
          <w:szCs w:val="18"/>
        </w:rPr>
        <w:t>7.</w:t>
      </w:r>
      <w:r>
        <w:rPr>
          <w:szCs w:val="18"/>
        </w:rPr>
        <w:tab/>
        <w:t>Fluide: Gase, Flüssigkeiten und Dämpfe als reine Phase sowie deren Gemische. Fluide können eine Suspension von Feststoffen enthalten.</w:t>
      </w:r>
    </w:p>
    <w:p>
      <w:pPr>
        <w:pStyle w:val="GesAbsatz"/>
        <w:ind w:left="426" w:hanging="426"/>
        <w:rPr>
          <w:szCs w:val="18"/>
        </w:rPr>
      </w:pPr>
      <w:r>
        <w:rPr>
          <w:szCs w:val="18"/>
        </w:rPr>
        <w:t>8.</w:t>
      </w:r>
      <w:r>
        <w:rPr>
          <w:szCs w:val="18"/>
        </w:rPr>
        <w:tab/>
        <w:t>Dauerhafte Verbindungen: Verbindungen, die nur durch zerstörende Verfahren getrennt werden können.</w:t>
      </w:r>
    </w:p>
    <w:p>
      <w:pPr>
        <w:pStyle w:val="GesAbsatz"/>
        <w:ind w:left="426" w:hanging="426"/>
        <w:rPr>
          <w:szCs w:val="18"/>
        </w:rPr>
      </w:pPr>
      <w:r>
        <w:rPr>
          <w:szCs w:val="18"/>
        </w:rPr>
        <w:t>9.</w:t>
      </w:r>
      <w:r>
        <w:rPr>
          <w:szCs w:val="18"/>
        </w:rPr>
        <w:tab/>
        <w:t>Europäische Werkstoffzulassung: ein technisches Dokument, in dem die Merkmale von Werkstoffen festgelegt sind, die für eine wiederholte Verwendung zur Herstellung von Druckgeräten bestimmt sind und nicht in einer harmonisierten Norm geregelt werden.</w:t>
      </w:r>
    </w:p>
    <w:p>
      <w:pPr>
        <w:pStyle w:val="berschrift3"/>
      </w:pPr>
      <w:bookmarkStart w:id="4" w:name="_Toc309283526"/>
      <w:r>
        <w:t>§ 3</w:t>
      </w:r>
      <w:r>
        <w:br/>
        <w:t>Sicherheitsanforderungen</w:t>
      </w:r>
      <w:bookmarkEnd w:id="4"/>
    </w:p>
    <w:p>
      <w:pPr>
        <w:pStyle w:val="GesAbsatz"/>
        <w:rPr>
          <w:szCs w:val="18"/>
        </w:rPr>
      </w:pPr>
      <w:r>
        <w:rPr>
          <w:szCs w:val="18"/>
        </w:rPr>
        <w:t>(1) Druckgeräte nach Artikel 3 Abs. 1 der Richtlinie 97/ 23/EG des Europäischen Parlaments und des Rates vom 29. Mai 1997 zur Angleichung der Rechtsvorschriften der Mitgliedstaaten über Druckgeräte (ABl. EG Nr. L 181 S. 1) und Baugruppen nach Artikel 3 Abs. 2 der Richtlinie dürfen nur auf dem Markt bereitgestellt werden, wenn sie den grundlegenden Sicherheitsanforderungen des Anhangs I der Richtlinie entsprechen.</w:t>
      </w:r>
    </w:p>
    <w:p>
      <w:pPr>
        <w:pStyle w:val="GesAbsatz"/>
        <w:rPr>
          <w:szCs w:val="18"/>
        </w:rPr>
      </w:pPr>
      <w:r>
        <w:rPr>
          <w:szCs w:val="18"/>
        </w:rPr>
        <w:t>(2) Druckgeräte und Baugruppen nach Artikel 3 Abs. 3 der Richtlinie 97/23/EG dürfen nur auf dem Markt bereitgestellt werden, wenn sie in Übereinstimmung mit der in einem Mitgliedstaat der Europäischen Gemeinschaften oder in einem Vertragsstaat des Abkommens über den Europäischen Wirtschaftsraum geltenden guten Ingenieurpraxis ausgelegt und hergestellt werden.</w:t>
      </w:r>
    </w:p>
    <w:p>
      <w:pPr>
        <w:pStyle w:val="GesAbsatz"/>
        <w:rPr>
          <w:szCs w:val="18"/>
        </w:rPr>
      </w:pPr>
      <w:r>
        <w:rPr>
          <w:szCs w:val="18"/>
        </w:rPr>
        <w:t>(3) Druckgeräte und Baugruppen dürfen nur auf dem Markt bereitgestellt werden, wenn sie bei angemessener Installierung und Wartung und bei bestimmungsgemäßer Verwendung die Sicherheit und die Gesundheit von Personen und gegebenenfalls von Haustieren oder Gütern nicht gefährden.</w:t>
      </w:r>
    </w:p>
    <w:p>
      <w:pPr>
        <w:pStyle w:val="berschrift3"/>
      </w:pPr>
      <w:bookmarkStart w:id="5" w:name="_Toc309283527"/>
      <w:r>
        <w:lastRenderedPageBreak/>
        <w:t>§ 4</w:t>
      </w:r>
      <w:r>
        <w:br/>
        <w:t>Voraussetzungen für die Bereitstellung auf dem Markt</w:t>
      </w:r>
      <w:bookmarkEnd w:id="5"/>
    </w:p>
    <w:p>
      <w:pPr>
        <w:pStyle w:val="GesAbsatz"/>
        <w:rPr>
          <w:szCs w:val="18"/>
        </w:rPr>
      </w:pPr>
      <w:r>
        <w:rPr>
          <w:szCs w:val="18"/>
        </w:rPr>
        <w:t>(1) Druckgeräte und Baugruppen dürfen nur auf dem Markt bereitgestellt werden, wenn</w:t>
      </w:r>
    </w:p>
    <w:p>
      <w:pPr>
        <w:pStyle w:val="GesAbsatz"/>
        <w:ind w:left="426" w:hanging="426"/>
        <w:rPr>
          <w:szCs w:val="18"/>
        </w:rPr>
      </w:pPr>
      <w:r>
        <w:rPr>
          <w:szCs w:val="18"/>
        </w:rPr>
        <w:t>1.</w:t>
      </w:r>
      <w:r>
        <w:rPr>
          <w:szCs w:val="18"/>
        </w:rPr>
        <w:tab/>
        <w:t>sie die technischen Anforderungen nach Artikel 3 Abs. 1 oder 2 der Richtlinie 97/23/EG erfüllen, mit der Kennzeichnung gemäß Anhang I Nr. 3.3 der Richtlinie 97/23/EG und mit der CE-Kennzeichnung nach § 5 Abs. 1 und 3 sowie einer Konformitätserklärung gemäß Anhang VII der Richtlinie 97/23/EG versehen sind, durch die der Hersteller oder sein in der Gemeinschaft oder in einem anderen Vertragsstaat des Abkommens über den Europäischen Wirtschaftsraum niedergelassener Bevollmächtigter bestätigt, dass</w:t>
      </w:r>
    </w:p>
    <w:p>
      <w:pPr>
        <w:pStyle w:val="GesAbsatz"/>
        <w:ind w:left="851" w:hanging="851"/>
        <w:rPr>
          <w:szCs w:val="18"/>
        </w:rPr>
      </w:pPr>
      <w:r>
        <w:rPr>
          <w:szCs w:val="18"/>
        </w:rPr>
        <w:tab/>
        <w:t>a)</w:t>
      </w:r>
      <w:r>
        <w:rPr>
          <w:szCs w:val="18"/>
        </w:rPr>
        <w:tab/>
        <w:t>die Druckgeräte und Baugruppen den grundlegenden Sicherheitsanforderungen des § 3 Abs. 1 entsprechen,</w:t>
      </w:r>
    </w:p>
    <w:p>
      <w:pPr>
        <w:pStyle w:val="GesAbsatz"/>
        <w:ind w:left="851" w:hanging="851"/>
        <w:rPr>
          <w:szCs w:val="18"/>
        </w:rPr>
      </w:pPr>
      <w:r>
        <w:rPr>
          <w:szCs w:val="18"/>
        </w:rPr>
        <w:tab/>
        <w:t>b)</w:t>
      </w:r>
      <w:r>
        <w:rPr>
          <w:szCs w:val="18"/>
        </w:rPr>
        <w:tab/>
        <w:t>die in Artikel 10 Abs. 1 und 2 und Anhang II der Richtlinie 97/23/EG vorgeschriebenen Konformitätsbewertungsverfahren nach dem Anhang III der Richtlinie 97/23/EG eingehalten sind,</w:t>
      </w:r>
    </w:p>
    <w:p>
      <w:pPr>
        <w:pStyle w:val="GesAbsatz"/>
        <w:ind w:left="851" w:hanging="851"/>
        <w:rPr>
          <w:szCs w:val="18"/>
        </w:rPr>
      </w:pPr>
      <w:r>
        <w:rPr>
          <w:szCs w:val="18"/>
        </w:rPr>
        <w:tab/>
        <w:t>c)</w:t>
      </w:r>
      <w:r>
        <w:rPr>
          <w:szCs w:val="18"/>
        </w:rPr>
        <w:tab/>
        <w:t>er seine Verpflichtungen gegenüber der von ihm beauftragten notifizierten Stelle erfüllt hat und</w:t>
      </w:r>
    </w:p>
    <w:p>
      <w:pPr>
        <w:pStyle w:val="GesAbsatz"/>
        <w:ind w:left="851" w:hanging="851"/>
        <w:rPr>
          <w:szCs w:val="18"/>
        </w:rPr>
      </w:pPr>
      <w:r>
        <w:rPr>
          <w:szCs w:val="18"/>
        </w:rPr>
        <w:tab/>
        <w:t>d)</w:t>
      </w:r>
      <w:r>
        <w:rPr>
          <w:szCs w:val="18"/>
        </w:rPr>
        <w:tab/>
        <w:t>er sich verpflichtet, entsprechend dem angewandten Konformitätsbewertungsverfahren nach Anhang III der Richtlinie 97/23/EG die dort genannten Unterlagen über einen Zeitraum von zehn Jahren nach Herstellung des letzten Druckgeräts bereitzuhalten, und</w:t>
      </w:r>
    </w:p>
    <w:p>
      <w:pPr>
        <w:pStyle w:val="GesAbsatz"/>
        <w:ind w:left="426" w:hanging="426"/>
        <w:rPr>
          <w:szCs w:val="18"/>
        </w:rPr>
      </w:pPr>
      <w:r>
        <w:rPr>
          <w:szCs w:val="18"/>
        </w:rPr>
        <w:t>2.</w:t>
      </w:r>
      <w:r>
        <w:rPr>
          <w:szCs w:val="18"/>
        </w:rPr>
        <w:tab/>
        <w:t>den Druckgeräten und Baugruppen eine Dokumentation nach Anhang I Nr. 3.3 sowie eine Betriebsanleitung nach Nr. 3.4 der Richtlinie 97/23/EG in deutscher Sprache beigefügt sind.</w:t>
      </w:r>
    </w:p>
    <w:p>
      <w:pPr>
        <w:pStyle w:val="GesAbsatz"/>
        <w:rPr>
          <w:szCs w:val="18"/>
        </w:rPr>
      </w:pPr>
      <w:r>
        <w:rPr>
          <w:szCs w:val="18"/>
        </w:rPr>
        <w:t>(2) Abweichend von Absatz 1 dürfen die in Artikel 3 Abs. 3 der Richtlinie 97/23/EG genannten Druckgeräte und Baugruppen auf dem Markt bereitgestellt werden, wenn</w:t>
      </w:r>
    </w:p>
    <w:p>
      <w:pPr>
        <w:pStyle w:val="GesAbsatz"/>
        <w:ind w:left="426" w:hanging="426"/>
        <w:rPr>
          <w:szCs w:val="18"/>
        </w:rPr>
      </w:pPr>
      <w:r>
        <w:rPr>
          <w:szCs w:val="18"/>
        </w:rPr>
        <w:t>1.</w:t>
      </w:r>
      <w:r>
        <w:rPr>
          <w:szCs w:val="18"/>
        </w:rPr>
        <w:tab/>
        <w:t>sie die Anforderungen nach Artikel 3 Abs. 3 der Richtlinie erfüllen,</w:t>
      </w:r>
    </w:p>
    <w:p>
      <w:pPr>
        <w:pStyle w:val="GesAbsatz"/>
        <w:ind w:left="426" w:hanging="426"/>
        <w:rPr>
          <w:szCs w:val="18"/>
        </w:rPr>
      </w:pPr>
      <w:r>
        <w:rPr>
          <w:szCs w:val="18"/>
        </w:rPr>
        <w:t>2.</w:t>
      </w:r>
      <w:r>
        <w:rPr>
          <w:szCs w:val="18"/>
        </w:rPr>
        <w:tab/>
        <w:t>ihnen ausreichende Benutzungsanweisungen in deutscher Sprache beigefügt sind und</w:t>
      </w:r>
    </w:p>
    <w:p>
      <w:pPr>
        <w:pStyle w:val="GesAbsatz"/>
        <w:ind w:left="426" w:hanging="426"/>
      </w:pPr>
      <w:r>
        <w:rPr>
          <w:szCs w:val="18"/>
        </w:rPr>
        <w:t>3.</w:t>
      </w:r>
      <w:r>
        <w:rPr>
          <w:szCs w:val="18"/>
        </w:rPr>
        <w:tab/>
        <w:t>sie eine Kennzeichnung tragen, anhand derer der Hersteller oder sein in der Gemeinschaft ansässiger Bevollmächtigter ermittelt werden kann.</w:t>
      </w:r>
    </w:p>
    <w:p>
      <w:pPr>
        <w:pStyle w:val="GesAbsatz"/>
        <w:rPr>
          <w:szCs w:val="18"/>
        </w:rPr>
      </w:pPr>
      <w:r>
        <w:rPr>
          <w:szCs w:val="18"/>
        </w:rPr>
        <w:t>(3) Druckgeräte und Baugruppen, deren Konformität von einer Betreiberprüfstelle nach § 7 festgestellt wurde, dürfen abweichend von Absatz 1 Nr. 1 nur auf dem Markt bereitgestellt werden, wenn sie nicht mit einer CE-Konformitätskennzeichnung nach § 5 Abs. 1 und 3 versehen sind und der Hersteller seine Verpflichtungen gegenüber der Betreiberprüfstelle erfüllt hat.</w:t>
      </w:r>
    </w:p>
    <w:p>
      <w:pPr>
        <w:pStyle w:val="GesAbsatz"/>
        <w:rPr>
          <w:szCs w:val="18"/>
        </w:rPr>
      </w:pPr>
      <w:r>
        <w:rPr>
          <w:szCs w:val="18"/>
        </w:rPr>
        <w:t>(4) Abweichend von den Absätzen 1 und 3 können die zuständigen Behörden für Versuchszwecke die Bereitstellung einzelner Druckgeräte und Baugruppen auf dem Markt gestatten, auf die die in Absatz 1 Nr. 1 Buchstabe b genannten Verfahren nicht angewandt worden sind.</w:t>
      </w:r>
    </w:p>
    <w:p>
      <w:pPr>
        <w:pStyle w:val="GesAbsatz"/>
        <w:rPr>
          <w:szCs w:val="18"/>
        </w:rPr>
      </w:pPr>
      <w:r>
        <w:rPr>
          <w:szCs w:val="18"/>
        </w:rPr>
        <w:t>(5) Die Aufzeichnungen und der Schriftwechsel betreffend die in Absatz 1 Nr. 1 Buchstabe b genannten Konformitätsbewertungsverfahren sind in einer Amtssprache des Mitgliedstaates der Europäischen Gemeinschaften, in dem die genannten Verfahren durchgeführt werden, oder in einer von der notifizierten Stelle akzeptierten Sprache abzufassen.</w:t>
      </w:r>
    </w:p>
    <w:p>
      <w:pPr>
        <w:pStyle w:val="GesAbsatz"/>
        <w:rPr>
          <w:szCs w:val="18"/>
        </w:rPr>
      </w:pPr>
      <w:r>
        <w:rPr>
          <w:szCs w:val="18"/>
        </w:rPr>
        <w:t>(6) Unterliegen Druckgeräte oder Baugruppen auch anderen Rechtsvorschriften, welche die CE-Kennzeichnung vorschreiben, wird durch die CE-Kennzeichnung auch bestätigt, dass diese Druckgeräte oder Baugruppen ebenfalls den Bestimmungen dieser anderen einschlägigen Rechtsvorschriften entsprechen. Steht jedoch gemäß einer oder mehrerer dieser Rechtsvorschriften dem Hersteller von Druckgeräten oder Baugruppen während einer Übergangszeit die Wahl der anzuwendenden Regelung frei, so bestätigt in diesem Fall die CE-Kennzeichnung lediglich, dass die Druckgeräte oder Baugruppen den vom Hersteller angewandten Rechtsvorschriften nach Satz 1 entsprechen. In diesen Fällen müssen in den Druckgeräten oder Baugruppen beizufügenden Unterlagen, Hinweisen oder Anleitungen alle Nummern der den von ihm angewandten Rechtsvorschriften zugrunde liegenden Gemeinschaftsrichtlinien entsprechend ihrer Veröffentlichung im Amtsblatt der Europäischen Gemeinschaften aufgeführt sein.</w:t>
      </w:r>
    </w:p>
    <w:p>
      <w:pPr>
        <w:pStyle w:val="berschrift3"/>
      </w:pPr>
      <w:bookmarkStart w:id="6" w:name="_Toc309283528"/>
      <w:r>
        <w:t>§ 5</w:t>
      </w:r>
      <w:r>
        <w:br/>
        <w:t>CE-Kennzeichnung</w:t>
      </w:r>
      <w:bookmarkEnd w:id="6"/>
    </w:p>
    <w:p>
      <w:pPr>
        <w:pStyle w:val="GesAbsatz"/>
        <w:rPr>
          <w:szCs w:val="18"/>
        </w:rPr>
      </w:pPr>
      <w:r>
        <w:rPr>
          <w:szCs w:val="18"/>
        </w:rPr>
        <w:t>(1) Die nach § 4 Abs. 1 Nr. 1 erforderliche CE-Kennzeichnung muss sichtbar, deutlich lesbar und unauslöschlich auf</w:t>
      </w:r>
    </w:p>
    <w:p>
      <w:pPr>
        <w:pStyle w:val="GesAbsatz"/>
        <w:rPr>
          <w:szCs w:val="18"/>
        </w:rPr>
      </w:pPr>
      <w:r>
        <w:rPr>
          <w:szCs w:val="18"/>
        </w:rPr>
        <w:t>–</w:t>
      </w:r>
      <w:r>
        <w:rPr>
          <w:szCs w:val="18"/>
        </w:rPr>
        <w:tab/>
        <w:t>Druckgeräten im Sinne des Artikels 3 Abs. 1 und</w:t>
      </w:r>
    </w:p>
    <w:p>
      <w:pPr>
        <w:pStyle w:val="GesAbsatz"/>
        <w:rPr>
          <w:szCs w:val="18"/>
        </w:rPr>
      </w:pPr>
      <w:r>
        <w:rPr>
          <w:szCs w:val="18"/>
        </w:rPr>
        <w:t>–</w:t>
      </w:r>
      <w:r>
        <w:rPr>
          <w:szCs w:val="18"/>
        </w:rPr>
        <w:tab/>
        <w:t>Baugruppen im Sinne des Artikels 3 Abs. 2</w:t>
      </w:r>
    </w:p>
    <w:p>
      <w:pPr>
        <w:pStyle w:val="GesAbsatz"/>
        <w:rPr>
          <w:szCs w:val="18"/>
        </w:rPr>
      </w:pPr>
      <w:r>
        <w:rPr>
          <w:szCs w:val="18"/>
        </w:rPr>
        <w:lastRenderedPageBreak/>
        <w:t>der Richtlinie 97/23/EG angebracht werden. Ist dies nicht möglich, kann die CE-Kennzeichnung nach Satz 1 auf einem Etikett vorgenommen werden, das mit dem Druckgerät oder der Baugruppe fest verbunden ist.</w:t>
      </w:r>
    </w:p>
    <w:p>
      <w:pPr>
        <w:pStyle w:val="GesAbsatz"/>
        <w:rPr>
          <w:szCs w:val="18"/>
        </w:rPr>
      </w:pPr>
      <w:r>
        <w:rPr>
          <w:szCs w:val="18"/>
        </w:rPr>
        <w:t>(2) Einzelne Druckgeräte müssen nicht mit einer CE-Kennzeichnung versehen werden, wenn diese zu einer Baugruppe im Sinne von Artikel 3 Abs. 2 der Richtlinie 97/23/EG zusammengefügt sind.</w:t>
      </w:r>
    </w:p>
    <w:p>
      <w:pPr>
        <w:pStyle w:val="GesAbsatz"/>
        <w:rPr>
          <w:szCs w:val="18"/>
        </w:rPr>
      </w:pPr>
      <w:r>
        <w:rPr>
          <w:szCs w:val="18"/>
        </w:rPr>
        <w:t>(3) Die CE-Kennzeichnung besteht aus den Buchstaben „CE“ nach Anhang VI der Richtlinie 97/23/EG. Hinter der CE-Kennzeichnung steht die Kennnummer der notifizierten Stelle, sofern diese im Rahmen der Verfahren nach Artikel 10 Abs. 1 Nr. 1.3 in der Produktionsüberwachung eingeschaltet wird.</w:t>
      </w:r>
    </w:p>
    <w:p>
      <w:pPr>
        <w:pStyle w:val="GesAbsatz"/>
        <w:rPr>
          <w:szCs w:val="18"/>
        </w:rPr>
      </w:pPr>
      <w:r>
        <w:rPr>
          <w:szCs w:val="18"/>
        </w:rPr>
        <w:t>(4) Es dürfen auf Druckgeräten oder Baugruppen keine Kennzeichnungen angebracht werden, durch die Dritte hinsichtlich der Bedeutung und des Schriftbildes der CE-Kennzeichnung irregeführt werden können. Jede andere Kennzeichnung darf auf Druckgeräten und Baugruppen angebracht werden, wenn sie Sichtbarkeit und Lesbarkeit der CE-Kennzeichnung nicht beeinträchtigt.</w:t>
      </w:r>
    </w:p>
    <w:p>
      <w:pPr>
        <w:pStyle w:val="GesAbsatz"/>
        <w:rPr>
          <w:szCs w:val="18"/>
        </w:rPr>
      </w:pPr>
      <w:r>
        <w:rPr>
          <w:szCs w:val="18"/>
        </w:rPr>
        <w:t>(5) Auf Druckgeräten und Baugruppen,</w:t>
      </w:r>
    </w:p>
    <w:p>
      <w:pPr>
        <w:pStyle w:val="GesAbsatz"/>
        <w:rPr>
          <w:szCs w:val="18"/>
        </w:rPr>
      </w:pPr>
      <w:r>
        <w:rPr>
          <w:szCs w:val="18"/>
        </w:rPr>
        <w:t>–</w:t>
      </w:r>
      <w:r>
        <w:rPr>
          <w:szCs w:val="18"/>
        </w:rPr>
        <w:tab/>
        <w:t>welche die Anforderungen nach Artikel 3 Abs. 3 der Richtlinie 97/23/EG erfüllen oder</w:t>
      </w:r>
    </w:p>
    <w:p>
      <w:pPr>
        <w:pStyle w:val="GesAbsatz"/>
        <w:rPr>
          <w:szCs w:val="18"/>
        </w:rPr>
      </w:pPr>
      <w:r>
        <w:rPr>
          <w:szCs w:val="18"/>
        </w:rPr>
        <w:t>–</w:t>
      </w:r>
      <w:r>
        <w:rPr>
          <w:szCs w:val="18"/>
        </w:rPr>
        <w:tab/>
        <w:t>deren Konformität von einer nach § 7 Abs. 1 notifizierten Betreiberprüfstelle bewertet wurde,</w:t>
      </w:r>
    </w:p>
    <w:p>
      <w:pPr>
        <w:pStyle w:val="GesAbsatz"/>
        <w:rPr>
          <w:szCs w:val="18"/>
        </w:rPr>
      </w:pPr>
      <w:r>
        <w:rPr>
          <w:szCs w:val="18"/>
        </w:rPr>
        <w:t>darf die CE-Kennzeichnung nicht angebracht werden.</w:t>
      </w:r>
    </w:p>
    <w:p>
      <w:pPr>
        <w:pStyle w:val="GesAbsatz"/>
        <w:rPr>
          <w:szCs w:val="18"/>
        </w:rPr>
      </w:pPr>
      <w:r>
        <w:rPr>
          <w:szCs w:val="18"/>
        </w:rPr>
        <w:t>(6) Die Marktüberwachungsbehörden gehen davon aus, dass Druckgeräte und Baugruppen, die mit der CE-Kennzeichnung und der EG-Konformitätserklärung nach Anhang VII der Richtlinie 97/23/EG versehen sind, die Anforderungen dieser Verordnung erfüllen.</w:t>
      </w:r>
    </w:p>
    <w:p>
      <w:pPr>
        <w:pStyle w:val="berschrift3"/>
      </w:pPr>
      <w:bookmarkStart w:id="7" w:name="_Toc309283529"/>
      <w:r>
        <w:t>§ 6</w:t>
      </w:r>
      <w:r>
        <w:br/>
        <w:t>Europäische Werkstoffzulassung</w:t>
      </w:r>
      <w:bookmarkEnd w:id="7"/>
    </w:p>
    <w:p>
      <w:pPr>
        <w:pStyle w:val="GesAbsatz"/>
        <w:rPr>
          <w:szCs w:val="18"/>
        </w:rPr>
      </w:pPr>
      <w:r>
        <w:rPr>
          <w:szCs w:val="18"/>
        </w:rPr>
        <w:t>(1) Für Werkstoffe, für die eine europäische Werkstoffzulassung gemäß § 2 Nr. 9 beantragt wird, ist das Verfahren nach Artikel 11 der Richtlinie 97/23/EG anzuwenden.</w:t>
      </w:r>
    </w:p>
    <w:p>
      <w:pPr>
        <w:pStyle w:val="GesAbsatz"/>
        <w:rPr>
          <w:szCs w:val="18"/>
        </w:rPr>
      </w:pPr>
      <w:r>
        <w:rPr>
          <w:szCs w:val="18"/>
        </w:rPr>
        <w:t>(2) Die notifizierte Stelle, welche die europäische Werkstoffzulassung für Druckgeräte erteilt hat, zieht diese Zulassung zurück, wenn sie feststellt, dass die Zulassung nicht hätte erteilt werden dürfen oder wenn der Werkstofftyp von einer harmonisierten Norm erfasst wird. Sie unterrichtet umgehend die übrigen Mitgliedstaaten, die notifizierten Stellen und die Kommission über jeden Entzug einer Zulassung.</w:t>
      </w:r>
    </w:p>
    <w:p>
      <w:pPr>
        <w:pStyle w:val="berschrift3"/>
      </w:pPr>
      <w:bookmarkStart w:id="8" w:name="_Toc309283530"/>
      <w:r>
        <w:t>§ 7</w:t>
      </w:r>
      <w:r>
        <w:br/>
        <w:t>Betreiberprüfstellen</w:t>
      </w:r>
      <w:bookmarkEnd w:id="8"/>
    </w:p>
    <w:p>
      <w:pPr>
        <w:pStyle w:val="GesAbsatz"/>
        <w:rPr>
          <w:szCs w:val="18"/>
        </w:rPr>
      </w:pPr>
      <w:r>
        <w:rPr>
          <w:szCs w:val="18"/>
        </w:rPr>
        <w:t>(1) Als Betreiberprüfstellen können Prüfstellen von Unternehmen oder Unternehmensgruppen benannt werden, wenn</w:t>
      </w:r>
    </w:p>
    <w:p>
      <w:pPr>
        <w:pStyle w:val="GesAbsatz"/>
        <w:ind w:left="426" w:hanging="426"/>
        <w:rPr>
          <w:szCs w:val="18"/>
        </w:rPr>
      </w:pPr>
      <w:r>
        <w:rPr>
          <w:szCs w:val="18"/>
        </w:rPr>
        <w:t>1.</w:t>
      </w:r>
      <w:r>
        <w:rPr>
          <w:szCs w:val="18"/>
        </w:rPr>
        <w:tab/>
        <w:t>sie organisatorisch abgrenzbar sind,</w:t>
      </w:r>
    </w:p>
    <w:p>
      <w:pPr>
        <w:pStyle w:val="GesAbsatz"/>
        <w:ind w:left="426" w:hanging="426"/>
        <w:rPr>
          <w:szCs w:val="18"/>
        </w:rPr>
      </w:pPr>
      <w:r>
        <w:rPr>
          <w:szCs w:val="18"/>
        </w:rPr>
        <w:t>2.</w:t>
      </w:r>
      <w:r>
        <w:rPr>
          <w:szCs w:val="18"/>
        </w:rPr>
        <w:tab/>
        <w:t>sie innerhalb des Unternehmens oder der Unternehmensgruppe, zu der sie gehören, über Berichtsverfahren verfügen, die ihre Unparteilichkeit sicherstellen und belegen,</w:t>
      </w:r>
    </w:p>
    <w:p>
      <w:pPr>
        <w:pStyle w:val="GesAbsatz"/>
        <w:ind w:left="426" w:hanging="426"/>
        <w:rPr>
          <w:szCs w:val="18"/>
        </w:rPr>
      </w:pPr>
      <w:r>
        <w:rPr>
          <w:szCs w:val="18"/>
        </w:rPr>
        <w:t>3.</w:t>
      </w:r>
      <w:r>
        <w:rPr>
          <w:szCs w:val="18"/>
        </w:rPr>
        <w:tab/>
        <w:t>sie nicht für den Entwurf, die Fertigung, die Lieferung, das Aufstellen, den Betrieb oder die Wartung der Druckgeräte und Baugruppen verantwortlich sind,</w:t>
      </w:r>
    </w:p>
    <w:p>
      <w:pPr>
        <w:pStyle w:val="GesAbsatz"/>
        <w:ind w:left="426" w:hanging="426"/>
        <w:rPr>
          <w:szCs w:val="18"/>
        </w:rPr>
      </w:pPr>
      <w:r>
        <w:rPr>
          <w:szCs w:val="18"/>
        </w:rPr>
        <w:t>4.</w:t>
      </w:r>
      <w:r>
        <w:rPr>
          <w:szCs w:val="18"/>
        </w:rPr>
        <w:tab/>
        <w:t>sie keinen Tätigkeiten nachgehen, die mit der Unabhängigkeit ihrer Beurteilung und ihrer Zuverlässigkeit im Rahmen ihrer Überprüfungsarbeiten in Konflikt kommen können und</w:t>
      </w:r>
    </w:p>
    <w:p>
      <w:pPr>
        <w:pStyle w:val="GesAbsatz"/>
        <w:ind w:left="426" w:hanging="426"/>
        <w:rPr>
          <w:szCs w:val="18"/>
        </w:rPr>
      </w:pPr>
      <w:r>
        <w:rPr>
          <w:szCs w:val="18"/>
        </w:rPr>
        <w:t>5.</w:t>
      </w:r>
      <w:r>
        <w:rPr>
          <w:szCs w:val="18"/>
        </w:rPr>
        <w:tab/>
        <w:t>die Unternehmensgruppe eine gemeinsame Sicherheitspolitik in Bezug auf die technischen Auslegungs-, Fertigungs-, Kontroll- und Benutzungsbedingungen für Druckgeräte und Baugruppen anwendet.</w:t>
      </w:r>
    </w:p>
    <w:p>
      <w:pPr>
        <w:pStyle w:val="GesAbsatz"/>
        <w:rPr>
          <w:szCs w:val="18"/>
        </w:rPr>
      </w:pPr>
      <w:r>
        <w:rPr>
          <w:szCs w:val="18"/>
        </w:rPr>
        <w:t>(2) Die Betreiberprüfstellen arbeiten ausschließlich für die Unternehmensgruppe, der sie angehören.</w:t>
      </w:r>
    </w:p>
    <w:p>
      <w:pPr>
        <w:pStyle w:val="GesAbsatz"/>
        <w:rPr>
          <w:szCs w:val="18"/>
        </w:rPr>
      </w:pPr>
      <w:r>
        <w:rPr>
          <w:szCs w:val="18"/>
        </w:rPr>
        <w:t>(3) Die von der Betreiberprüfstelle geprüften Druckgeräte und Baugruppen dürfen ausschließlich in den Betrieben der Unternehmensgruppe verwendet werden, der die Prüfstelle angehört.</w:t>
      </w:r>
    </w:p>
    <w:p>
      <w:pPr>
        <w:pStyle w:val="GesAbsatz"/>
      </w:pPr>
      <w:r>
        <w:rPr>
          <w:szCs w:val="18"/>
        </w:rPr>
        <w:t>(4) Betreiberprüfstellen dürfen nur die Konformitätsbewertungsverfahren der Module A1, C1, F und G nach Anhang III der Richtlinie 97/23/EG anwenden.</w:t>
      </w:r>
    </w:p>
    <w:p>
      <w:pPr>
        <w:pStyle w:val="berschrift3"/>
      </w:pPr>
      <w:bookmarkStart w:id="9" w:name="_Toc309283531"/>
      <w:r>
        <w:t>§ 8</w:t>
      </w:r>
      <w:r>
        <w:br/>
        <w:t>Ordnungswidrigkeiten</w:t>
      </w:r>
      <w:bookmarkEnd w:id="9"/>
    </w:p>
    <w:p>
      <w:pPr>
        <w:pStyle w:val="GesAbsatz"/>
        <w:rPr>
          <w:szCs w:val="18"/>
        </w:rPr>
      </w:pPr>
      <w:r>
        <w:rPr>
          <w:szCs w:val="18"/>
        </w:rPr>
        <w:t>Ordnungswidrig im Sinne des § 39 Absatz 1 Nummer 7 Buchstabe a des Produktsicherheitsgesetzes handelt, wer vorsätzlich oder fahrlässig entgegen § 4 Abs. 1 ein Druckgerät oder eine Baugruppe auf dem Markt bereitstellt.</w:t>
      </w:r>
    </w:p>
    <w:p>
      <w:pPr>
        <w:pStyle w:val="GesAbsatz"/>
        <w:rPr>
          <w:szCs w:val="18"/>
        </w:rPr>
      </w:pPr>
    </w:p>
    <w:p>
      <w:pPr>
        <w:pStyle w:val="GesAbsatz"/>
        <w:rPr>
          <w:szCs w:val="18"/>
        </w:rPr>
      </w:pPr>
    </w:p>
    <w:p>
      <w:pPr>
        <w:pStyle w:val="GesAbsatz"/>
        <w:rPr>
          <w:sz w:val="22"/>
          <w:szCs w:val="22"/>
        </w:rPr>
      </w:pPr>
      <w:bookmarkStart w:id="10" w:name="Änderungen"/>
      <w:bookmarkEnd w:id="10"/>
      <w:r>
        <w:rPr>
          <w:b/>
          <w:sz w:val="22"/>
          <w:szCs w:val="22"/>
        </w:rPr>
        <w:t>Änderungen:</w:t>
      </w:r>
    </w:p>
    <w:p>
      <w:pPr>
        <w:pStyle w:val="GesAbsatz"/>
        <w:tabs>
          <w:tab w:val="left" w:pos="2835"/>
        </w:tabs>
        <w:rPr>
          <w:rFonts w:cs="Arial"/>
        </w:rPr>
      </w:pPr>
      <w:r>
        <w:rPr>
          <w:rFonts w:cs="Arial"/>
        </w:rPr>
        <w:t>06.01.2004</w:t>
      </w:r>
      <w:r>
        <w:rPr>
          <w:rFonts w:cs="Arial"/>
        </w:rPr>
        <w:tab/>
      </w:r>
      <w:hyperlink r:id="rId6" w:history="1">
        <w:r>
          <w:rPr>
            <w:rStyle w:val="Hyperlink"/>
            <w:rFonts w:cs="Arial"/>
          </w:rPr>
          <w:t>BGBl. I Nr. 1 S. 2, 18</w:t>
        </w:r>
      </w:hyperlink>
      <w:r>
        <w:rPr>
          <w:rFonts w:cs="Arial"/>
        </w:rPr>
        <w:t xml:space="preserve"> Inkrafttreten 01.05.2004</w:t>
      </w:r>
    </w:p>
    <w:p>
      <w:pPr>
        <w:pStyle w:val="GesAbsatz"/>
        <w:tabs>
          <w:tab w:val="left" w:pos="2835"/>
        </w:tabs>
        <w:rPr>
          <w:rFonts w:cs="Arial"/>
        </w:rPr>
      </w:pPr>
      <w:r>
        <w:rPr>
          <w:rFonts w:cs="Arial"/>
        </w:rPr>
        <w:t>08.11.2011</w:t>
      </w:r>
      <w:r>
        <w:rPr>
          <w:rFonts w:cs="Arial"/>
        </w:rPr>
        <w:tab/>
      </w:r>
      <w:hyperlink r:id="rId7" w:history="1">
        <w:r>
          <w:rPr>
            <w:rStyle w:val="Hyperlink"/>
            <w:rFonts w:cs="Arial"/>
          </w:rPr>
          <w:t>BGBl. I Nr. 57 S. 2178, 2206</w:t>
        </w:r>
      </w:hyperlink>
      <w:r>
        <w:rPr>
          <w:rFonts w:cs="Arial"/>
        </w:rPr>
        <w:t xml:space="preserve"> Inkrafttreten 01.12.2011</w:t>
      </w: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szCs w:val="18"/>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27.09.2002 (BGBl. I. S. 3808 / FNA 8053-4-17)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08.11.2011 (BGBl. I. S. 2178, 2205)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Archiv6.82</w:t>
    </w:r>
  </w:p>
  <w:p>
    <w:pPr>
      <w:pStyle w:val="Kopfzeile"/>
    </w:pPr>
    <w:r>
      <w:t>14. ProdSV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B32730-F0C8-4DD3-A742-588A106B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36038">
      <w:bodyDiv w:val="1"/>
      <w:marLeft w:val="0"/>
      <w:marRight w:val="0"/>
      <w:marTop w:val="0"/>
      <w:marBottom w:val="0"/>
      <w:divBdr>
        <w:top w:val="none" w:sz="0" w:space="0" w:color="auto"/>
        <w:left w:val="none" w:sz="0" w:space="0" w:color="auto"/>
        <w:bottom w:val="none" w:sz="0" w:space="0" w:color="auto"/>
        <w:right w:val="none" w:sz="0" w:space="0" w:color="auto"/>
      </w:divBdr>
      <w:divsChild>
        <w:div w:id="1686974585">
          <w:marLeft w:val="0"/>
          <w:marRight w:val="0"/>
          <w:marTop w:val="0"/>
          <w:marBottom w:val="0"/>
          <w:divBdr>
            <w:top w:val="none" w:sz="0" w:space="0" w:color="auto"/>
            <w:left w:val="none" w:sz="0" w:space="0" w:color="auto"/>
            <w:bottom w:val="none" w:sz="0" w:space="0" w:color="auto"/>
            <w:right w:val="none" w:sz="0" w:space="0" w:color="auto"/>
          </w:divBdr>
          <w:divsChild>
            <w:div w:id="789785582">
              <w:marLeft w:val="0"/>
              <w:marRight w:val="0"/>
              <w:marTop w:val="120"/>
              <w:marBottom w:val="120"/>
              <w:divBdr>
                <w:top w:val="none" w:sz="0" w:space="0" w:color="auto"/>
                <w:left w:val="none" w:sz="0" w:space="0" w:color="auto"/>
                <w:bottom w:val="none" w:sz="0" w:space="0" w:color="auto"/>
                <w:right w:val="none" w:sz="0" w:space="0" w:color="auto"/>
              </w:divBdr>
            </w:div>
            <w:div w:id="9327854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11s2178.pdf'%5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gbl.de/Xaver/start.xav?startbk=Bundesanzeiger_BGBl&amp;start=//*%5b@attr_id='bgbl104s0017.pdf'%5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2536</Words>
  <Characters>17562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Vierzehnte Verordnung zum Gerätesicherheitsgesetz</vt:lpstr>
    </vt:vector>
  </TitlesOfParts>
  <Company>LANUV NRW</Company>
  <LinksUpToDate>false</LinksUpToDate>
  <CharactersWithSpaces>20058</CharactersWithSpaces>
  <SharedDoc>false</SharedDoc>
  <HLinks>
    <vt:vector size="72" baseType="variant">
      <vt:variant>
        <vt:i4>4849767</vt:i4>
      </vt:variant>
      <vt:variant>
        <vt:i4>63</vt:i4>
      </vt:variant>
      <vt:variant>
        <vt:i4>0</vt:i4>
      </vt:variant>
      <vt:variant>
        <vt:i4>5</vt:i4>
      </vt:variant>
      <vt:variant>
        <vt:lpwstr>http://www.bgbl.de/Xaver/start.xav?startbk=Bundesanzeiger_BGBl&amp;start=//*%5b@attr_id='bgbl111s2178.pdf'%5d</vt:lpwstr>
      </vt:variant>
      <vt:variant>
        <vt:lpwstr/>
      </vt:variant>
      <vt:variant>
        <vt:i4>4915304</vt:i4>
      </vt:variant>
      <vt:variant>
        <vt:i4>60</vt:i4>
      </vt:variant>
      <vt:variant>
        <vt:i4>0</vt:i4>
      </vt:variant>
      <vt:variant>
        <vt:i4>5</vt:i4>
      </vt:variant>
      <vt:variant>
        <vt:lpwstr>http://www.bgbl.de/Xaver/start.xav?startbk=Bundesanzeiger_BGBl&amp;start=//*%5b@attr_id='bgbl104s0017.pdf'%5d</vt:lpwstr>
      </vt:variant>
      <vt:variant>
        <vt:lpwstr/>
      </vt:variant>
      <vt:variant>
        <vt:i4>1376311</vt:i4>
      </vt:variant>
      <vt:variant>
        <vt:i4>53</vt:i4>
      </vt:variant>
      <vt:variant>
        <vt:i4>0</vt:i4>
      </vt:variant>
      <vt:variant>
        <vt:i4>5</vt:i4>
      </vt:variant>
      <vt:variant>
        <vt:lpwstr/>
      </vt:variant>
      <vt:variant>
        <vt:lpwstr>_Toc309283531</vt:lpwstr>
      </vt:variant>
      <vt:variant>
        <vt:i4>1376311</vt:i4>
      </vt:variant>
      <vt:variant>
        <vt:i4>47</vt:i4>
      </vt:variant>
      <vt:variant>
        <vt:i4>0</vt:i4>
      </vt:variant>
      <vt:variant>
        <vt:i4>5</vt:i4>
      </vt:variant>
      <vt:variant>
        <vt:lpwstr/>
      </vt:variant>
      <vt:variant>
        <vt:lpwstr>_Toc309283530</vt:lpwstr>
      </vt:variant>
      <vt:variant>
        <vt:i4>1310775</vt:i4>
      </vt:variant>
      <vt:variant>
        <vt:i4>41</vt:i4>
      </vt:variant>
      <vt:variant>
        <vt:i4>0</vt:i4>
      </vt:variant>
      <vt:variant>
        <vt:i4>5</vt:i4>
      </vt:variant>
      <vt:variant>
        <vt:lpwstr/>
      </vt:variant>
      <vt:variant>
        <vt:lpwstr>_Toc309283529</vt:lpwstr>
      </vt:variant>
      <vt:variant>
        <vt:i4>1310775</vt:i4>
      </vt:variant>
      <vt:variant>
        <vt:i4>35</vt:i4>
      </vt:variant>
      <vt:variant>
        <vt:i4>0</vt:i4>
      </vt:variant>
      <vt:variant>
        <vt:i4>5</vt:i4>
      </vt:variant>
      <vt:variant>
        <vt:lpwstr/>
      </vt:variant>
      <vt:variant>
        <vt:lpwstr>_Toc309283528</vt:lpwstr>
      </vt:variant>
      <vt:variant>
        <vt:i4>1310775</vt:i4>
      </vt:variant>
      <vt:variant>
        <vt:i4>29</vt:i4>
      </vt:variant>
      <vt:variant>
        <vt:i4>0</vt:i4>
      </vt:variant>
      <vt:variant>
        <vt:i4>5</vt:i4>
      </vt:variant>
      <vt:variant>
        <vt:lpwstr/>
      </vt:variant>
      <vt:variant>
        <vt:lpwstr>_Toc309283527</vt:lpwstr>
      </vt:variant>
      <vt:variant>
        <vt:i4>1310775</vt:i4>
      </vt:variant>
      <vt:variant>
        <vt:i4>23</vt:i4>
      </vt:variant>
      <vt:variant>
        <vt:i4>0</vt:i4>
      </vt:variant>
      <vt:variant>
        <vt:i4>5</vt:i4>
      </vt:variant>
      <vt:variant>
        <vt:lpwstr/>
      </vt:variant>
      <vt:variant>
        <vt:lpwstr>_Toc309283526</vt:lpwstr>
      </vt:variant>
      <vt:variant>
        <vt:i4>1310775</vt:i4>
      </vt:variant>
      <vt:variant>
        <vt:i4>17</vt:i4>
      </vt:variant>
      <vt:variant>
        <vt:i4>0</vt:i4>
      </vt:variant>
      <vt:variant>
        <vt:i4>5</vt:i4>
      </vt:variant>
      <vt:variant>
        <vt:lpwstr/>
      </vt:variant>
      <vt:variant>
        <vt:lpwstr>_Toc309283525</vt:lpwstr>
      </vt:variant>
      <vt:variant>
        <vt:i4>1310775</vt:i4>
      </vt:variant>
      <vt:variant>
        <vt:i4>11</vt:i4>
      </vt:variant>
      <vt:variant>
        <vt:i4>0</vt:i4>
      </vt:variant>
      <vt:variant>
        <vt:i4>5</vt:i4>
      </vt:variant>
      <vt:variant>
        <vt:lpwstr/>
      </vt:variant>
      <vt:variant>
        <vt:lpwstr>_Toc309283524</vt:lpwstr>
      </vt:variant>
      <vt:variant>
        <vt:i4>1310775</vt:i4>
      </vt:variant>
      <vt:variant>
        <vt:i4>5</vt:i4>
      </vt:variant>
      <vt:variant>
        <vt:i4>0</vt:i4>
      </vt:variant>
      <vt:variant>
        <vt:i4>5</vt:i4>
      </vt:variant>
      <vt:variant>
        <vt:lpwstr/>
      </vt:variant>
      <vt:variant>
        <vt:lpwstr>_Toc309283523</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Vierzehnte Verordnung zum Gerätesicherheitsgesetz</dc:title>
  <dc:subject>14. GSGV</dc:subject>
  <dc:creator>Natrop</dc:creator>
  <dc:description>durchgesehen 9.2005</dc:description>
  <cp:lastModifiedBy>Rüter, Dr., Ingo</cp:lastModifiedBy>
  <cp:revision>4</cp:revision>
  <cp:lastPrinted>1900-12-31T22:00:00Z</cp:lastPrinted>
  <dcterms:created xsi:type="dcterms:W3CDTF">2015-05-18T08:05:00Z</dcterms:created>
  <dcterms:modified xsi:type="dcterms:W3CDTF">2024-07-03T12:58:00Z</dcterms:modified>
</cp:coreProperties>
</file>