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1E" w:rsidRDefault="0093081E" w:rsidP="00B94CCA">
      <w:pPr>
        <w:pStyle w:val="berschrift1"/>
      </w:pPr>
      <w:bookmarkStart w:id="0" w:name="_Toc377976759"/>
      <w:r>
        <w:t>ENTSCHEIDUNG DER KOMMISSION</w:t>
      </w:r>
      <w:r w:rsidR="00B94CCA">
        <w:t xml:space="preserve"> </w:t>
      </w:r>
      <w:r>
        <w:t>vom 16. Januar 2003</w:t>
      </w:r>
      <w:r w:rsidR="00946F0C">
        <w:t xml:space="preserve"> </w:t>
      </w:r>
      <w:r>
        <w:t>über einen Lei</w:t>
      </w:r>
      <w:bookmarkStart w:id="1" w:name="_GoBack"/>
      <w:bookmarkEnd w:id="1"/>
      <w:r>
        <w:t>tfaden für eine vorläufige Referenzmethode für die</w:t>
      </w:r>
      <w:r w:rsidR="00B94CCA">
        <w:br/>
      </w:r>
      <w:r>
        <w:t>Probenahme und Messung der</w:t>
      </w:r>
      <w:r w:rsidR="00B94CCA">
        <w:t xml:space="preserve"> </w:t>
      </w:r>
      <w:r>
        <w:t>PM</w:t>
      </w:r>
      <w:r w:rsidRPr="00B94CCA">
        <w:rPr>
          <w:vertAlign w:val="subscript"/>
        </w:rPr>
        <w:t>2,5</w:t>
      </w:r>
      <w:r>
        <w:t>-Konzentration im Rahmen der</w:t>
      </w:r>
      <w:r w:rsidR="00B94CCA">
        <w:br/>
      </w:r>
      <w:r>
        <w:t>Richtlinie 1999/30/EG des Rates</w:t>
      </w:r>
      <w:bookmarkEnd w:id="0"/>
    </w:p>
    <w:p w:rsidR="0093081E" w:rsidRDefault="0093081E" w:rsidP="00B94CCA">
      <w:pPr>
        <w:pStyle w:val="GesAbsatz"/>
        <w:jc w:val="center"/>
      </w:pPr>
      <w:r>
        <w:t>(Bekannt gegeben unter Aktenzeichen K(2003) 10)</w:t>
      </w:r>
    </w:p>
    <w:p w:rsidR="0093081E" w:rsidRDefault="0093081E" w:rsidP="00B94CCA">
      <w:pPr>
        <w:pStyle w:val="GesAbsatz"/>
        <w:jc w:val="center"/>
      </w:pPr>
      <w:r>
        <w:t>(Text von Bedeutung für den EWR)</w:t>
      </w:r>
    </w:p>
    <w:p w:rsidR="0093081E" w:rsidRDefault="0093081E" w:rsidP="00B94CCA">
      <w:pPr>
        <w:pStyle w:val="GesAbsatz"/>
        <w:jc w:val="center"/>
      </w:pPr>
      <w:r>
        <w:t>(</w:t>
      </w:r>
      <w:hyperlink r:id="rId8" w:history="1">
        <w:r w:rsidRPr="00946F0C">
          <w:rPr>
            <w:rStyle w:val="Hyperlink"/>
          </w:rPr>
          <w:t>2003/37/EG</w:t>
        </w:r>
      </w:hyperlink>
      <w:r>
        <w:t>)</w:t>
      </w:r>
    </w:p>
    <w:p w:rsidR="00B94CCA" w:rsidRPr="00204458" w:rsidRDefault="00204458" w:rsidP="0093081E">
      <w:pPr>
        <w:pStyle w:val="GesAbsatz"/>
        <w:rPr>
          <w:b/>
          <w:i/>
          <w:color w:val="FF0000"/>
          <w:sz w:val="22"/>
          <w:szCs w:val="22"/>
        </w:rPr>
      </w:pPr>
      <w:r w:rsidRPr="00204458">
        <w:rPr>
          <w:b/>
          <w:i/>
          <w:color w:val="FF0000"/>
          <w:sz w:val="22"/>
          <w:szCs w:val="22"/>
        </w:rPr>
        <w:t>Aufgehoben gemäß Entscheidung 2004/470/EG.</w:t>
      </w:r>
    </w:p>
    <w:p w:rsidR="00946F0C" w:rsidRDefault="00B94CCA" w:rsidP="00B94CCA">
      <w:pPr>
        <w:pStyle w:val="GesAbsatz"/>
        <w:jc w:val="center"/>
        <w:rPr>
          <w:b/>
          <w:sz w:val="22"/>
        </w:rPr>
      </w:pPr>
      <w:r w:rsidRPr="00B94CCA">
        <w:rPr>
          <w:b/>
          <w:sz w:val="22"/>
        </w:rPr>
        <w:t>Inhalt:</w:t>
      </w:r>
    </w:p>
    <w:p w:rsidR="00946F0C" w:rsidRDefault="00946F0C"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b w:val="0"/>
          <w:sz w:val="22"/>
        </w:rPr>
        <w:fldChar w:fldCharType="begin"/>
      </w:r>
      <w:r>
        <w:rPr>
          <w:b w:val="0"/>
          <w:sz w:val="22"/>
        </w:rPr>
        <w:instrText xml:space="preserve"> TOC \o "1-3" \h \z \u </w:instrText>
      </w:r>
      <w:r>
        <w:rPr>
          <w:b w:val="0"/>
          <w:sz w:val="22"/>
        </w:rPr>
        <w:fldChar w:fldCharType="separate"/>
      </w:r>
      <w:hyperlink w:anchor="_Toc377976759" w:history="1">
        <w:r w:rsidRPr="00D21DC8">
          <w:rPr>
            <w:rStyle w:val="Hyperlink"/>
            <w:noProof/>
          </w:rPr>
          <w:t>ENTSCHEIDUNG DER KOMMISSION vom 16. Januar 2003 über einen Leitfaden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_Toc377976759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46F0C" w:rsidRDefault="006856B9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77976760" w:history="1">
        <w:r w:rsidR="00946F0C" w:rsidRPr="00D21DC8">
          <w:rPr>
            <w:rStyle w:val="Hyperlink"/>
            <w:noProof/>
          </w:rPr>
          <w:t>Artikel 1</w:t>
        </w:r>
        <w:r w:rsidR="00946F0C">
          <w:rPr>
            <w:noProof/>
            <w:webHidden/>
          </w:rPr>
          <w:tab/>
        </w:r>
        <w:r w:rsidR="00946F0C">
          <w:rPr>
            <w:noProof/>
            <w:webHidden/>
          </w:rPr>
          <w:fldChar w:fldCharType="begin"/>
        </w:r>
        <w:r w:rsidR="00946F0C">
          <w:rPr>
            <w:noProof/>
            <w:webHidden/>
          </w:rPr>
          <w:instrText xml:space="preserve"> PAGEREF _Toc377976760 \h </w:instrText>
        </w:r>
        <w:r w:rsidR="00946F0C">
          <w:rPr>
            <w:noProof/>
            <w:webHidden/>
          </w:rPr>
        </w:r>
        <w:r w:rsidR="00946F0C">
          <w:rPr>
            <w:noProof/>
            <w:webHidden/>
          </w:rPr>
          <w:fldChar w:fldCharType="separate"/>
        </w:r>
        <w:r w:rsidR="00946F0C">
          <w:rPr>
            <w:noProof/>
            <w:webHidden/>
          </w:rPr>
          <w:t>1</w:t>
        </w:r>
        <w:r w:rsidR="00946F0C">
          <w:rPr>
            <w:noProof/>
            <w:webHidden/>
          </w:rPr>
          <w:fldChar w:fldCharType="end"/>
        </w:r>
      </w:hyperlink>
    </w:p>
    <w:p w:rsidR="00946F0C" w:rsidRDefault="006856B9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77976761" w:history="1">
        <w:r w:rsidR="00946F0C" w:rsidRPr="00D21DC8">
          <w:rPr>
            <w:rStyle w:val="Hyperlink"/>
            <w:noProof/>
          </w:rPr>
          <w:t>Artikel 2</w:t>
        </w:r>
        <w:r w:rsidR="00946F0C">
          <w:rPr>
            <w:noProof/>
            <w:webHidden/>
          </w:rPr>
          <w:tab/>
        </w:r>
        <w:r w:rsidR="00946F0C">
          <w:rPr>
            <w:noProof/>
            <w:webHidden/>
          </w:rPr>
          <w:fldChar w:fldCharType="begin"/>
        </w:r>
        <w:r w:rsidR="00946F0C">
          <w:rPr>
            <w:noProof/>
            <w:webHidden/>
          </w:rPr>
          <w:instrText xml:space="preserve"> PAGEREF _Toc377976761 \h </w:instrText>
        </w:r>
        <w:r w:rsidR="00946F0C">
          <w:rPr>
            <w:noProof/>
            <w:webHidden/>
          </w:rPr>
        </w:r>
        <w:r w:rsidR="00946F0C">
          <w:rPr>
            <w:noProof/>
            <w:webHidden/>
          </w:rPr>
          <w:fldChar w:fldCharType="separate"/>
        </w:r>
        <w:r w:rsidR="00946F0C">
          <w:rPr>
            <w:noProof/>
            <w:webHidden/>
          </w:rPr>
          <w:t>1</w:t>
        </w:r>
        <w:r w:rsidR="00946F0C">
          <w:rPr>
            <w:noProof/>
            <w:webHidden/>
          </w:rPr>
          <w:fldChar w:fldCharType="end"/>
        </w:r>
      </w:hyperlink>
    </w:p>
    <w:p w:rsidR="00946F0C" w:rsidRDefault="006856B9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77976762" w:history="1">
        <w:r w:rsidR="00946F0C" w:rsidRPr="00D21DC8">
          <w:rPr>
            <w:rStyle w:val="Hyperlink"/>
            <w:noProof/>
          </w:rPr>
          <w:t>ANHANG</w:t>
        </w:r>
        <w:r w:rsidR="00946F0C">
          <w:rPr>
            <w:noProof/>
            <w:webHidden/>
          </w:rPr>
          <w:tab/>
        </w:r>
        <w:r w:rsidR="00946F0C">
          <w:rPr>
            <w:noProof/>
            <w:webHidden/>
          </w:rPr>
          <w:fldChar w:fldCharType="begin"/>
        </w:r>
        <w:r w:rsidR="00946F0C">
          <w:rPr>
            <w:noProof/>
            <w:webHidden/>
          </w:rPr>
          <w:instrText xml:space="preserve"> PAGEREF _Toc377976762 \h </w:instrText>
        </w:r>
        <w:r w:rsidR="00946F0C">
          <w:rPr>
            <w:noProof/>
            <w:webHidden/>
          </w:rPr>
        </w:r>
        <w:r w:rsidR="00946F0C">
          <w:rPr>
            <w:noProof/>
            <w:webHidden/>
          </w:rPr>
          <w:fldChar w:fldCharType="separate"/>
        </w:r>
        <w:r w:rsidR="00946F0C">
          <w:rPr>
            <w:noProof/>
            <w:webHidden/>
          </w:rPr>
          <w:t>2</w:t>
        </w:r>
        <w:r w:rsidR="00946F0C">
          <w:rPr>
            <w:noProof/>
            <w:webHidden/>
          </w:rPr>
          <w:fldChar w:fldCharType="end"/>
        </w:r>
      </w:hyperlink>
    </w:p>
    <w:p w:rsidR="00B94CCA" w:rsidRPr="00946F0C" w:rsidRDefault="00946F0C" w:rsidP="00946F0C">
      <w:pPr>
        <w:pStyle w:val="GesAbsatz"/>
      </w:pPr>
      <w:r>
        <w:fldChar w:fldCharType="end"/>
      </w:r>
    </w:p>
    <w:p w:rsidR="0093081E" w:rsidRDefault="0093081E" w:rsidP="0093081E">
      <w:pPr>
        <w:pStyle w:val="GesAbsatz"/>
      </w:pPr>
      <w:r>
        <w:t>DIE KOMMISSION DER EUROPÄISCHEN GEMEINSCHAFTEN,</w:t>
      </w:r>
    </w:p>
    <w:p w:rsidR="0093081E" w:rsidRDefault="0093081E" w:rsidP="0093081E">
      <w:pPr>
        <w:pStyle w:val="GesAbsatz"/>
      </w:pPr>
      <w:r>
        <w:t>gestützt auf den Vertrag zur Gründung der Europäischen</w:t>
      </w:r>
      <w:r w:rsidR="00B94CCA">
        <w:t xml:space="preserve"> </w:t>
      </w:r>
      <w:r>
        <w:t>Gemeinschaft,</w:t>
      </w:r>
    </w:p>
    <w:p w:rsidR="0093081E" w:rsidRDefault="0093081E" w:rsidP="0093081E">
      <w:pPr>
        <w:pStyle w:val="GesAbsatz"/>
      </w:pPr>
      <w:r>
        <w:t>gestützt auf die Richtlinie 1999/30/EG des Rates vom 22. April</w:t>
      </w:r>
      <w:r w:rsidR="00B94CCA">
        <w:t xml:space="preserve"> </w:t>
      </w:r>
      <w:r>
        <w:t>1999 über Grenzwerte für Schwefeldioxid, Stickstoffdioxid und</w:t>
      </w:r>
      <w:r w:rsidR="00B94CCA">
        <w:t xml:space="preserve"> </w:t>
      </w:r>
      <w:r>
        <w:t>Stickstoffoxide, Partikel und Blei in der Luft</w:t>
      </w:r>
      <w:r w:rsidR="00B94CCA">
        <w:rPr>
          <w:rStyle w:val="Funotenzeichen"/>
        </w:rPr>
        <w:footnoteReference w:id="1"/>
      </w:r>
      <w:r>
        <w:t>, geändert durch</w:t>
      </w:r>
      <w:r w:rsidR="00B94CCA">
        <w:t xml:space="preserve"> </w:t>
      </w:r>
      <w:r>
        <w:t>die Entsche</w:t>
      </w:r>
      <w:r>
        <w:t>i</w:t>
      </w:r>
      <w:r>
        <w:t>dung</w:t>
      </w:r>
      <w:r w:rsidR="00B94CCA">
        <w:t> </w:t>
      </w:r>
      <w:r>
        <w:t>2001/744/EG der Kommission</w:t>
      </w:r>
      <w:r w:rsidR="00B94CCA">
        <w:rPr>
          <w:rStyle w:val="Funotenzeichen"/>
        </w:rPr>
        <w:footnoteReference w:id="2"/>
      </w:r>
      <w:r>
        <w:t>, insbesondere</w:t>
      </w:r>
      <w:r w:rsidR="00B94CCA">
        <w:t xml:space="preserve"> </w:t>
      </w:r>
      <w:r>
        <w:t>auf Artikel 7 Absatz5 dritter Unterabsatz,</w:t>
      </w:r>
    </w:p>
    <w:p w:rsidR="0093081E" w:rsidRDefault="0093081E" w:rsidP="0093081E">
      <w:pPr>
        <w:pStyle w:val="GesAbsatz"/>
      </w:pPr>
      <w:r>
        <w:t>in Erwägung nachstehender Gründe:</w:t>
      </w:r>
    </w:p>
    <w:p w:rsidR="0093081E" w:rsidRDefault="0093081E" w:rsidP="0093081E">
      <w:pPr>
        <w:pStyle w:val="GesAbsatz"/>
      </w:pPr>
      <w:r>
        <w:t>(1) In der Richtlinie 1999/30/EG wurden Grenzwerte für</w:t>
      </w:r>
      <w:r w:rsidR="00B94CCA">
        <w:t xml:space="preserve"> </w:t>
      </w:r>
      <w:r>
        <w:t>Schwefeldioxid, Stickstoffdioxid und Stickstoffoxide,</w:t>
      </w:r>
      <w:r w:rsidR="00B94CCA">
        <w:t xml:space="preserve"> </w:t>
      </w:r>
      <w:r>
        <w:t>Partikel und Blei in der Luft festgelegt.</w:t>
      </w:r>
    </w:p>
    <w:p w:rsidR="0093081E" w:rsidRDefault="0093081E" w:rsidP="0093081E">
      <w:pPr>
        <w:pStyle w:val="GesAbsatz"/>
      </w:pPr>
      <w:r>
        <w:t>(2) CEN arbeitet zur Zeit an der Harmonisierung einer Referenzmethode</w:t>
      </w:r>
      <w:r w:rsidR="00B94CCA">
        <w:t xml:space="preserve"> </w:t>
      </w:r>
      <w:r>
        <w:t>für die Probenahme und Messung der</w:t>
      </w:r>
      <w:r w:rsidR="00B94CCA">
        <w:t xml:space="preserve"> </w:t>
      </w:r>
      <w:r>
        <w:t>PM</w:t>
      </w:r>
      <w:r w:rsidRPr="00B94CCA">
        <w:rPr>
          <w:vertAlign w:val="subscript"/>
        </w:rPr>
        <w:t>2</w:t>
      </w:r>
      <w:proofErr w:type="gramStart"/>
      <w:r w:rsidRPr="00B94CCA">
        <w:rPr>
          <w:vertAlign w:val="subscript"/>
        </w:rPr>
        <w:t>,5</w:t>
      </w:r>
      <w:proofErr w:type="gramEnd"/>
      <w:r>
        <w:t>-Konzentration. Da diese Referenzmethode bisher</w:t>
      </w:r>
      <w:r w:rsidR="00B94CCA">
        <w:t xml:space="preserve"> </w:t>
      </w:r>
      <w:r>
        <w:t>noch nicht beschrieben wurde, muss die Ko</w:t>
      </w:r>
      <w:r>
        <w:t>m</w:t>
      </w:r>
      <w:r>
        <w:t>mission</w:t>
      </w:r>
      <w:r w:rsidR="00B94CCA">
        <w:t xml:space="preserve"> </w:t>
      </w:r>
      <w:r>
        <w:t>gemäß dem Verfahren nach Anhang IX Abschnitt V der</w:t>
      </w:r>
      <w:r w:rsidR="00B94CCA">
        <w:t xml:space="preserve"> </w:t>
      </w:r>
      <w:r>
        <w:t>Richtlinie 1999/30/EG einen Leitfaden für eine vorläufige</w:t>
      </w:r>
      <w:r w:rsidR="00B94CCA">
        <w:t xml:space="preserve"> </w:t>
      </w:r>
      <w:r>
        <w:t>Referenzmethode für die Probenahme und Messung</w:t>
      </w:r>
      <w:r w:rsidR="00B94CCA">
        <w:t xml:space="preserve"> </w:t>
      </w:r>
      <w:r>
        <w:t>der PM</w:t>
      </w:r>
      <w:r w:rsidRPr="00B94CCA">
        <w:rPr>
          <w:vertAlign w:val="subscript"/>
        </w:rPr>
        <w:t>2</w:t>
      </w:r>
      <w:proofErr w:type="gramStart"/>
      <w:r w:rsidRPr="00B94CCA">
        <w:rPr>
          <w:vertAlign w:val="subscript"/>
        </w:rPr>
        <w:t>,5</w:t>
      </w:r>
      <w:proofErr w:type="gramEnd"/>
      <w:r>
        <w:t>-Konzentration erstellen.</w:t>
      </w:r>
    </w:p>
    <w:p w:rsidR="0093081E" w:rsidRDefault="0093081E" w:rsidP="0093081E">
      <w:pPr>
        <w:pStyle w:val="GesAbsatz"/>
      </w:pPr>
      <w:r>
        <w:t>(3) Gemäß der Richtlinie 96/62/EG des Rates vom 27.</w:t>
      </w:r>
      <w:r w:rsidR="00B94CCA">
        <w:t xml:space="preserve"> </w:t>
      </w:r>
      <w:r>
        <w:t>September 1996 über die Beurteilung und die Ko</w:t>
      </w:r>
      <w:r>
        <w:t>n</w:t>
      </w:r>
      <w:r>
        <w:t>trolle</w:t>
      </w:r>
      <w:r w:rsidR="00B94CCA">
        <w:t xml:space="preserve"> </w:t>
      </w:r>
      <w:r>
        <w:t>der Luftqualität</w:t>
      </w:r>
      <w:r w:rsidR="00B94CCA">
        <w:rPr>
          <w:rStyle w:val="Funotenzeichen"/>
        </w:rPr>
        <w:footnoteReference w:id="3"/>
      </w:r>
      <w:r>
        <w:t xml:space="preserve"> wird die Kommission durch den in</w:t>
      </w:r>
      <w:r w:rsidR="00B94CCA">
        <w:t xml:space="preserve"> </w:t>
      </w:r>
      <w:r>
        <w:t>Artikel 12 der Richtlinie genannten Ausschuss u</w:t>
      </w:r>
      <w:r>
        <w:t>n</w:t>
      </w:r>
      <w:r>
        <w:t>terstützt,</w:t>
      </w:r>
      <w:r w:rsidR="00B94CCA">
        <w:t xml:space="preserve"> </w:t>
      </w:r>
      <w:r>
        <w:t>der sich aus Vertretern der Mitgliedstaaten zusammensetzt</w:t>
      </w:r>
      <w:r w:rsidR="00B94CCA">
        <w:t xml:space="preserve"> </w:t>
      </w:r>
      <w:r>
        <w:t>und in dem der Vertreter der Kommi</w:t>
      </w:r>
      <w:r>
        <w:t>s</w:t>
      </w:r>
      <w:r>
        <w:t>sion den</w:t>
      </w:r>
      <w:r w:rsidR="00B94CCA">
        <w:t xml:space="preserve"> </w:t>
      </w:r>
      <w:r>
        <w:t>Vorsitz</w:t>
      </w:r>
      <w:r w:rsidR="00B94CCA">
        <w:t xml:space="preserve"> </w:t>
      </w:r>
      <w:r>
        <w:t>führt, und berücksichtigt sie so weit möglich die</w:t>
      </w:r>
      <w:r w:rsidR="00B94CCA">
        <w:t xml:space="preserve"> </w:t>
      </w:r>
      <w:r>
        <w:t>Stellungnahme des Ausschusses.</w:t>
      </w:r>
    </w:p>
    <w:p w:rsidR="0093081E" w:rsidRDefault="0093081E" w:rsidP="0093081E">
      <w:pPr>
        <w:pStyle w:val="GesAbsatz"/>
      </w:pPr>
      <w:r>
        <w:t>(4) Die Maßnahmen dieser Entscheidung stehen im Einklang</w:t>
      </w:r>
      <w:r w:rsidR="00B94CCA">
        <w:t xml:space="preserve"> </w:t>
      </w:r>
      <w:r>
        <w:t>mit der Stellungnahme des Ausschusses g</w:t>
      </w:r>
      <w:r>
        <w:t>e</w:t>
      </w:r>
      <w:r>
        <w:t>mäß Artikel</w:t>
      </w:r>
      <w:r w:rsidR="00B94CCA">
        <w:t xml:space="preserve"> </w:t>
      </w:r>
      <w:r>
        <w:t>12 Absatz2 der Richtlinie 96/62/EG des Rates —</w:t>
      </w:r>
    </w:p>
    <w:p w:rsidR="0093081E" w:rsidRDefault="0093081E" w:rsidP="0093081E">
      <w:pPr>
        <w:pStyle w:val="GesAbsatz"/>
      </w:pPr>
      <w:r>
        <w:t>HAT FOLGENDE ENTSCHEIDUNG ERLASSEN:</w:t>
      </w:r>
    </w:p>
    <w:p w:rsidR="0093081E" w:rsidRDefault="0093081E" w:rsidP="00B94CCA">
      <w:pPr>
        <w:pStyle w:val="berschrift2"/>
      </w:pPr>
      <w:bookmarkStart w:id="2" w:name="_Toc377976760"/>
      <w:r>
        <w:t>Artikel 1</w:t>
      </w:r>
      <w:bookmarkEnd w:id="2"/>
    </w:p>
    <w:p w:rsidR="0093081E" w:rsidRDefault="0093081E" w:rsidP="0093081E">
      <w:pPr>
        <w:pStyle w:val="GesAbsatz"/>
      </w:pPr>
      <w:r>
        <w:t>Der in Anhang IX Abschnitt V der Richtlinie 1999/30/EG</w:t>
      </w:r>
      <w:r w:rsidR="00B94CCA">
        <w:t xml:space="preserve"> </w:t>
      </w:r>
      <w:r>
        <w:t>genannte Leitfaden für eine vorläufige Referenzm</w:t>
      </w:r>
      <w:r>
        <w:t>e</w:t>
      </w:r>
      <w:r>
        <w:t>thode für die</w:t>
      </w:r>
      <w:r w:rsidR="00B94CCA">
        <w:t xml:space="preserve"> </w:t>
      </w:r>
      <w:r>
        <w:t>Probenahme und Messung der PM</w:t>
      </w:r>
      <w:r w:rsidRPr="00B94CCA">
        <w:rPr>
          <w:vertAlign w:val="subscript"/>
        </w:rPr>
        <w:t>2</w:t>
      </w:r>
      <w:proofErr w:type="gramStart"/>
      <w:r w:rsidRPr="00B94CCA">
        <w:rPr>
          <w:vertAlign w:val="subscript"/>
        </w:rPr>
        <w:t>,5</w:t>
      </w:r>
      <w:proofErr w:type="gramEnd"/>
      <w:r>
        <w:t>-Konzentration ist im</w:t>
      </w:r>
      <w:r w:rsidR="00B94CCA">
        <w:t xml:space="preserve"> </w:t>
      </w:r>
      <w:r>
        <w:t>Anhang dieser Entscheidung b</w:t>
      </w:r>
      <w:r>
        <w:t>e</w:t>
      </w:r>
      <w:r>
        <w:t>schrieben.</w:t>
      </w:r>
    </w:p>
    <w:p w:rsidR="0093081E" w:rsidRDefault="0093081E" w:rsidP="00B94CCA">
      <w:pPr>
        <w:pStyle w:val="berschrift2"/>
      </w:pPr>
      <w:bookmarkStart w:id="3" w:name="_Toc377976761"/>
      <w:r>
        <w:t>Artikel 2</w:t>
      </w:r>
      <w:bookmarkEnd w:id="3"/>
    </w:p>
    <w:p w:rsidR="0093081E" w:rsidRDefault="0093081E" w:rsidP="0093081E">
      <w:pPr>
        <w:pStyle w:val="GesAbsatz"/>
      </w:pPr>
      <w:r>
        <w:t>Diese Entscheidung ist an alle Mitgliedstaaten gerichtet.</w:t>
      </w:r>
    </w:p>
    <w:p w:rsidR="0093081E" w:rsidRDefault="00B94CCA" w:rsidP="00B94CCA">
      <w:pPr>
        <w:pStyle w:val="berschrift2"/>
        <w:jc w:val="left"/>
      </w:pPr>
      <w:r>
        <w:br w:type="page"/>
      </w:r>
      <w:bookmarkStart w:id="4" w:name="_Toc377976762"/>
      <w:r w:rsidR="0093081E">
        <w:lastRenderedPageBreak/>
        <w:t>ANHANG</w:t>
      </w:r>
      <w:bookmarkEnd w:id="4"/>
    </w:p>
    <w:p w:rsidR="0093081E" w:rsidRPr="00020600" w:rsidRDefault="0093081E" w:rsidP="00FD2A6A">
      <w:pPr>
        <w:pStyle w:val="GesAbsatz"/>
        <w:jc w:val="center"/>
        <w:rPr>
          <w:b/>
        </w:rPr>
      </w:pPr>
      <w:r w:rsidRPr="00020600">
        <w:rPr>
          <w:b/>
        </w:rPr>
        <w:t>LEITFADEN FÜR DIE MESSUNG DER PM</w:t>
      </w:r>
      <w:r w:rsidRPr="00020600">
        <w:rPr>
          <w:b/>
          <w:vertAlign w:val="subscript"/>
        </w:rPr>
        <w:t>2,5</w:t>
      </w:r>
      <w:r w:rsidRPr="00020600">
        <w:rPr>
          <w:b/>
        </w:rPr>
        <w:t>-KONZENTRATION IM RAHMEN</w:t>
      </w:r>
      <w:r w:rsidR="00FD2A6A" w:rsidRPr="00020600">
        <w:rPr>
          <w:b/>
        </w:rPr>
        <w:br/>
      </w:r>
      <w:r w:rsidRPr="00020600">
        <w:rPr>
          <w:b/>
        </w:rPr>
        <w:t>DER RICHTLINIE 1999/30/EG</w:t>
      </w:r>
    </w:p>
    <w:p w:rsidR="0093081E" w:rsidRDefault="0093081E" w:rsidP="0093081E">
      <w:pPr>
        <w:pStyle w:val="GesAbsatz"/>
      </w:pPr>
      <w:r>
        <w:t>In dieser Unterlage werden Empfehlungen für die Auswahl von Geräten für die im Rahmen der ersten Ei</w:t>
      </w:r>
      <w:r>
        <w:t>n</w:t>
      </w:r>
      <w:r>
        <w:t>zelrichtlinie</w:t>
      </w:r>
      <w:r w:rsidR="00FD2A6A">
        <w:t xml:space="preserve"> </w:t>
      </w:r>
      <w:r>
        <w:t>über die Luftverschmutzung durch Partikel erforderliche Messung der PM</w:t>
      </w:r>
      <w:r w:rsidRPr="00FD2A6A">
        <w:rPr>
          <w:vertAlign w:val="subscript"/>
        </w:rPr>
        <w:t>2,5</w:t>
      </w:r>
      <w:r>
        <w:t>-Konzentration au</w:t>
      </w:r>
      <w:r>
        <w:t>s</w:t>
      </w:r>
      <w:r>
        <w:t>gesprochen; Adressaten</w:t>
      </w:r>
      <w:r w:rsidR="00FD2A6A">
        <w:t xml:space="preserve"> </w:t>
      </w:r>
      <w:r>
        <w:t>sind Personen, die mit der Verbesserung der Luftqualität und dem Betrieb von Luftmessnetzen befasst sind. Die Empfehlungen</w:t>
      </w:r>
      <w:r w:rsidR="00FD2A6A">
        <w:t xml:space="preserve"> </w:t>
      </w:r>
      <w:r>
        <w:t xml:space="preserve">beziehen sich nicht auf sonstige Anwendungen, </w:t>
      </w:r>
      <w:proofErr w:type="gramStart"/>
      <w:r>
        <w:t>die</w:t>
      </w:r>
      <w:proofErr w:type="gramEnd"/>
      <w:r>
        <w:t xml:space="preserve"> and</w:t>
      </w:r>
      <w:r>
        <w:t>e</w:t>
      </w:r>
      <w:r>
        <w:t>ren Messzielen dienen, z.B. Forschungstätigkeiten oder</w:t>
      </w:r>
      <w:r w:rsidR="00FD2A6A">
        <w:t xml:space="preserve"> </w:t>
      </w:r>
      <w:r>
        <w:t>orientierende Messungen.</w:t>
      </w:r>
    </w:p>
    <w:p w:rsidR="0093081E" w:rsidRPr="00FD2A6A" w:rsidRDefault="0093081E" w:rsidP="0093081E">
      <w:pPr>
        <w:pStyle w:val="GesAbsatz"/>
        <w:rPr>
          <w:b/>
        </w:rPr>
      </w:pPr>
      <w:r w:rsidRPr="00FD2A6A">
        <w:rPr>
          <w:b/>
        </w:rPr>
        <w:t>Hintergrund und Normungsarbeiten von CEN</w:t>
      </w:r>
    </w:p>
    <w:p w:rsidR="0093081E" w:rsidRDefault="0093081E" w:rsidP="0093081E">
      <w:pPr>
        <w:pStyle w:val="GesAbsatz"/>
      </w:pPr>
      <w:r>
        <w:t>Gemäß Artikel 5 der Richtlinie 1999/30/EG stellen die Mitgliedstaaten sicher, „dass Messstationen zur B</w:t>
      </w:r>
      <w:r>
        <w:t>e</w:t>
      </w:r>
      <w:r>
        <w:t>reitstellung von</w:t>
      </w:r>
      <w:r w:rsidR="00FD2A6A">
        <w:t xml:space="preserve"> </w:t>
      </w:r>
      <w:r>
        <w:t>Daten zur PM</w:t>
      </w:r>
      <w:r w:rsidRPr="00FD2A6A">
        <w:rPr>
          <w:vertAlign w:val="subscript"/>
        </w:rPr>
        <w:t>2</w:t>
      </w:r>
      <w:proofErr w:type="gramStart"/>
      <w:r w:rsidRPr="00FD2A6A">
        <w:rPr>
          <w:vertAlign w:val="subscript"/>
        </w:rPr>
        <w:t>,5</w:t>
      </w:r>
      <w:proofErr w:type="gramEnd"/>
      <w:r>
        <w:t>-Konzentration eingerichtet und betrieben werden. Anzahl und Lage der Messstationen für die PM</w:t>
      </w:r>
      <w:r w:rsidRPr="00FD2A6A">
        <w:rPr>
          <w:vertAlign w:val="subscript"/>
        </w:rPr>
        <w:t>2</w:t>
      </w:r>
      <w:proofErr w:type="gramStart"/>
      <w:r w:rsidRPr="00FD2A6A">
        <w:rPr>
          <w:vertAlign w:val="subscript"/>
        </w:rPr>
        <w:t>,5</w:t>
      </w:r>
      <w:proofErr w:type="gramEnd"/>
      <w:r>
        <w:t>-Konzentration sind vom Mitgliedstaat so festzulegen, dass die PM</w:t>
      </w:r>
      <w:r w:rsidRPr="00FD2A6A">
        <w:rPr>
          <w:vertAlign w:val="subscript"/>
        </w:rPr>
        <w:t>2,5</w:t>
      </w:r>
      <w:r>
        <w:t>-Konzentration innerhalb des Mitgliedstaats repräsentativ</w:t>
      </w:r>
      <w:r w:rsidR="00FD2A6A">
        <w:t xml:space="preserve"> </w:t>
      </w:r>
      <w:r>
        <w:t>erfasst wird. Soweit möglich, werden die Prob</w:t>
      </w:r>
      <w:r>
        <w:t>e</w:t>
      </w:r>
      <w:r>
        <w:t>nahmestellen mit den Probenahmestellen für die PM</w:t>
      </w:r>
      <w:r w:rsidRPr="00FD2A6A">
        <w:rPr>
          <w:vertAlign w:val="subscript"/>
        </w:rPr>
        <w:t>10</w:t>
      </w:r>
      <w:r>
        <w:t>-Konzentration</w:t>
      </w:r>
      <w:r w:rsidR="00FD2A6A">
        <w:t xml:space="preserve"> </w:t>
      </w:r>
      <w:r>
        <w:t>zusammengelegt. Gemäß Artikel 7 ist die “vorläufige Referenzmethode für die Probenahme und Messung der PM</w:t>
      </w:r>
      <w:r w:rsidRPr="00FD2A6A">
        <w:rPr>
          <w:vertAlign w:val="subscript"/>
        </w:rPr>
        <w:t>2</w:t>
      </w:r>
      <w:proofErr w:type="gramStart"/>
      <w:r w:rsidRPr="00FD2A6A">
        <w:rPr>
          <w:vertAlign w:val="subscript"/>
        </w:rPr>
        <w:t>,5</w:t>
      </w:r>
      <w:proofErr w:type="gramEnd"/>
      <w:r>
        <w:t>-Konzentration […] in Anhang IX Abschnitt V festgelegt. In Anhang IX wird die Kommission aufgefordert, in Absprache</w:t>
      </w:r>
      <w:r w:rsidR="00FD2A6A">
        <w:t xml:space="preserve"> </w:t>
      </w:r>
      <w:r>
        <w:t>mit dem in Artikel 12 der Richtlinie</w:t>
      </w:r>
      <w:r w:rsidR="00FD2A6A">
        <w:t> </w:t>
      </w:r>
      <w:r>
        <w:t>96/62/EG genannten Ausschuss einen entsprechenden Leitfaden zu erstellen.</w:t>
      </w:r>
    </w:p>
    <w:p w:rsidR="0093081E" w:rsidRDefault="0093081E" w:rsidP="0093081E">
      <w:pPr>
        <w:pStyle w:val="GesAbsatz"/>
      </w:pPr>
      <w:r>
        <w:t>Die GD Umwelt hat CEN mit der Entwicklung einer Europäischen Standardreferenzmethode für die Messung der PM</w:t>
      </w:r>
      <w:r w:rsidRPr="00FD2A6A">
        <w:rPr>
          <w:vertAlign w:val="subscript"/>
        </w:rPr>
        <w:t>2</w:t>
      </w:r>
      <w:proofErr w:type="gramStart"/>
      <w:r w:rsidRPr="00FD2A6A">
        <w:rPr>
          <w:vertAlign w:val="subscript"/>
        </w:rPr>
        <w:t>,5</w:t>
      </w:r>
      <w:proofErr w:type="gramEnd"/>
      <w:r>
        <w:t>-Konzentration beauftragt. Diese Methode basiert auf der gravimetrischen Bestimmung der PM</w:t>
      </w:r>
      <w:r w:rsidRPr="00FD2A6A">
        <w:rPr>
          <w:vertAlign w:val="subscript"/>
        </w:rPr>
        <w:t>2</w:t>
      </w:r>
      <w:proofErr w:type="gramStart"/>
      <w:r w:rsidRPr="00FD2A6A">
        <w:rPr>
          <w:vertAlign w:val="subscript"/>
        </w:rPr>
        <w:t>,5</w:t>
      </w:r>
      <w:proofErr w:type="gramEnd"/>
      <w:r>
        <w:t>-Fraktion von luftgetragenen</w:t>
      </w:r>
      <w:r w:rsidR="00FD2A6A">
        <w:t xml:space="preserve"> </w:t>
      </w:r>
      <w:r>
        <w:t>Partikeln, deren Proben bei Umgebungsbedingungen genommen werden. CEN TC 264/WG 15 begann die</w:t>
      </w:r>
      <w:r w:rsidR="00D4589A">
        <w:t xml:space="preserve"> </w:t>
      </w:r>
      <w:r>
        <w:t>Arbeiten im Jahr 2000. Die ersten beiden Validierungen im Feld (Madrid, Dui</w:t>
      </w:r>
      <w:r>
        <w:t>s</w:t>
      </w:r>
      <w:r>
        <w:t>burg) sind mittlerweile abgeschlossen; zwei</w:t>
      </w:r>
      <w:r w:rsidR="00D4589A">
        <w:t xml:space="preserve"> </w:t>
      </w:r>
      <w:r>
        <w:t>weitere laufen derzeit (</w:t>
      </w:r>
      <w:proofErr w:type="spellStart"/>
      <w:r>
        <w:t>Vredepeel</w:t>
      </w:r>
      <w:proofErr w:type="spellEnd"/>
      <w:r>
        <w:t>, Wien). Vier weitere Validi</w:t>
      </w:r>
      <w:r>
        <w:t>e</w:t>
      </w:r>
      <w:r>
        <w:t>rungen in Schweden, England, Griechenland und Italien</w:t>
      </w:r>
      <w:r w:rsidR="00D4589A">
        <w:t xml:space="preserve"> </w:t>
      </w:r>
      <w:r>
        <w:t>befinden sich in der Planungsphase. Die Validi</w:t>
      </w:r>
      <w:r>
        <w:t>e</w:t>
      </w:r>
      <w:r>
        <w:t>rungsarbeiten sollen bis zum Jahr 2003 abgeschlossen sein. CEN wird</w:t>
      </w:r>
      <w:r w:rsidR="00D4589A">
        <w:t xml:space="preserve"> </w:t>
      </w:r>
      <w:r>
        <w:t>seine endgültige Standardmethode deshalb nicht vor 2004 vorlegen.</w:t>
      </w:r>
    </w:p>
    <w:p w:rsidR="0093081E" w:rsidRDefault="0093081E" w:rsidP="0093081E">
      <w:pPr>
        <w:pStyle w:val="GesAbsatz"/>
      </w:pPr>
      <w:r>
        <w:t xml:space="preserve">CEN WG 15 prüft </w:t>
      </w:r>
      <w:proofErr w:type="gramStart"/>
      <w:r>
        <w:t>zur Zeit</w:t>
      </w:r>
      <w:proofErr w:type="gramEnd"/>
      <w:r>
        <w:t xml:space="preserve"> verschiedene Instrumente, die auf der gravimetrischen Bestimmung basieren und mit</w:t>
      </w:r>
      <w:r w:rsidR="00D4589A">
        <w:t xml:space="preserve"> </w:t>
      </w:r>
      <w:r>
        <w:t>verschiedenen Einlassvorrichtungen europäischer Hersteller sowie mit dem US-Referenzmessproben</w:t>
      </w:r>
      <w:r w:rsidR="00D4589A">
        <w:softHyphen/>
      </w:r>
      <w:r>
        <w:t>sammler ausgestattet</w:t>
      </w:r>
      <w:r w:rsidR="00D4589A">
        <w:t xml:space="preserve"> </w:t>
      </w:r>
      <w:r>
        <w:t>sind:</w:t>
      </w:r>
    </w:p>
    <w:p w:rsidR="0093081E" w:rsidRDefault="00D4589A" w:rsidP="0093081E">
      <w:pPr>
        <w:pStyle w:val="GesAbsatz"/>
      </w:pPr>
      <w:r>
        <w:t>-</w:t>
      </w:r>
      <w:r>
        <w:tab/>
      </w:r>
      <w:r w:rsidR="0093081E">
        <w:t>MINI-WRAC, Messprobensammler mit Einfachfilter des Fraunhofer Instituts für Toxikologie und Aeroso</w:t>
      </w:r>
      <w:r w:rsidR="0093081E">
        <w:t>l</w:t>
      </w:r>
      <w:r w:rsidR="0093081E">
        <w:t>forschung</w:t>
      </w:r>
      <w:r>
        <w:t xml:space="preserve"> </w:t>
      </w:r>
      <w:r w:rsidR="0093081E">
        <w:t>(</w:t>
      </w:r>
      <w:proofErr w:type="spellStart"/>
      <w:r w:rsidR="0093081E">
        <w:t>FhG</w:t>
      </w:r>
      <w:proofErr w:type="spellEnd"/>
      <w:r w:rsidR="0093081E">
        <w:t>-ITA), Deutschland,</w:t>
      </w:r>
    </w:p>
    <w:p w:rsidR="0093081E" w:rsidRDefault="00D4589A" w:rsidP="0093081E">
      <w:pPr>
        <w:pStyle w:val="GesAbsatz"/>
      </w:pPr>
      <w:r>
        <w:t>-</w:t>
      </w:r>
      <w:r>
        <w:tab/>
      </w:r>
      <w:r w:rsidR="0093081E">
        <w:t>RAAS 2.5-1, Messprobensammler mit Einfachfilter, ESM Andersen, USA,</w:t>
      </w:r>
    </w:p>
    <w:p w:rsidR="0093081E" w:rsidRDefault="00D4589A" w:rsidP="0093081E">
      <w:pPr>
        <w:pStyle w:val="GesAbsatz"/>
      </w:pPr>
      <w:r>
        <w:t>-</w:t>
      </w:r>
      <w:r>
        <w:tab/>
      </w:r>
      <w:r w:rsidR="0093081E">
        <w:t>Partisol plus -SCC, sequenzieller Messprobensammler, Rupprecht und Patashnick, USA,</w:t>
      </w:r>
    </w:p>
    <w:p w:rsidR="0093081E" w:rsidRDefault="00D4589A" w:rsidP="0093081E">
      <w:pPr>
        <w:pStyle w:val="GesAbsatz"/>
      </w:pPr>
      <w:r>
        <w:t>-</w:t>
      </w:r>
      <w:r>
        <w:tab/>
      </w:r>
      <w:r w:rsidR="0093081E">
        <w:t>Partisol FRM, Messprobensammler mit Einfachfilter, Rupprecht und Patashnick, USA,</w:t>
      </w:r>
    </w:p>
    <w:p w:rsidR="0093081E" w:rsidRDefault="00D4589A" w:rsidP="0093081E">
      <w:pPr>
        <w:pStyle w:val="GesAbsatz"/>
      </w:pPr>
      <w:r>
        <w:t>-</w:t>
      </w:r>
      <w:r>
        <w:tab/>
      </w:r>
      <w:r w:rsidR="0093081E">
        <w:t xml:space="preserve">SEQ 47/50, sequenzieller Messprobensammler, </w:t>
      </w:r>
      <w:proofErr w:type="spellStart"/>
      <w:r w:rsidR="0093081E">
        <w:t>Leckel</w:t>
      </w:r>
      <w:proofErr w:type="spellEnd"/>
      <w:r w:rsidR="0093081E">
        <w:t xml:space="preserve"> Company, Deutschland,</w:t>
      </w:r>
    </w:p>
    <w:p w:rsidR="0093081E" w:rsidRDefault="00D4589A" w:rsidP="0093081E">
      <w:pPr>
        <w:pStyle w:val="GesAbsatz"/>
      </w:pPr>
      <w:r>
        <w:t>-</w:t>
      </w:r>
      <w:r>
        <w:tab/>
      </w:r>
      <w:r w:rsidR="0093081E">
        <w:t xml:space="preserve">HVS-DHA 80, sequenzieller Messprobensammler, </w:t>
      </w:r>
      <w:proofErr w:type="spellStart"/>
      <w:r w:rsidR="0093081E">
        <w:t>Digitel</w:t>
      </w:r>
      <w:proofErr w:type="spellEnd"/>
      <w:r w:rsidR="0093081E">
        <w:t>, Schweiz.</w:t>
      </w:r>
    </w:p>
    <w:p w:rsidR="0093081E" w:rsidRDefault="0093081E" w:rsidP="0093081E">
      <w:pPr>
        <w:pStyle w:val="GesAbsatz"/>
      </w:pPr>
      <w:r>
        <w:t>Ferner prüft CEN verschiedene automatisierte Messvorrichtungen, die auf der Methode der Betastrahlena</w:t>
      </w:r>
      <w:r>
        <w:t>b</w:t>
      </w:r>
      <w:r>
        <w:t>schwächung</w:t>
      </w:r>
      <w:r w:rsidR="00D4589A">
        <w:t xml:space="preserve"> </w:t>
      </w:r>
      <w:r>
        <w:t>und der TEOM-Methode („</w:t>
      </w:r>
      <w:proofErr w:type="spellStart"/>
      <w:r w:rsidRPr="00204458">
        <w:t>Tapered</w:t>
      </w:r>
      <w:proofErr w:type="spellEnd"/>
      <w:r>
        <w:t xml:space="preserve"> Element </w:t>
      </w:r>
      <w:proofErr w:type="spellStart"/>
      <w:r w:rsidRPr="00204458">
        <w:t>Oscillating</w:t>
      </w:r>
      <w:proofErr w:type="spellEnd"/>
      <w:r>
        <w:t xml:space="preserve"> </w:t>
      </w:r>
      <w:proofErr w:type="spellStart"/>
      <w:r w:rsidRPr="00204458">
        <w:t>Microscale</w:t>
      </w:r>
      <w:proofErr w:type="spellEnd"/>
      <w:r>
        <w:t>“) basieren, um festzustellen, ob diese mit der gravimetrischen</w:t>
      </w:r>
      <w:r w:rsidR="00D4589A">
        <w:t xml:space="preserve"> </w:t>
      </w:r>
      <w:r>
        <w:t>Referenzmethode gleichwertig sind:</w:t>
      </w:r>
    </w:p>
    <w:p w:rsidR="0093081E" w:rsidRDefault="00D4589A" w:rsidP="0093081E">
      <w:pPr>
        <w:pStyle w:val="GesAbsatz"/>
      </w:pPr>
      <w:r>
        <w:t>-</w:t>
      </w:r>
      <w:r>
        <w:tab/>
      </w:r>
      <w:r w:rsidR="0093081E">
        <w:t>ADAM, Betastrahlenabschwächung, sequenziell, OPSIS, Schweden,</w:t>
      </w:r>
    </w:p>
    <w:p w:rsidR="0093081E" w:rsidRDefault="00D4589A" w:rsidP="0093081E">
      <w:pPr>
        <w:pStyle w:val="GesAbsatz"/>
      </w:pPr>
      <w:r>
        <w:t>-</w:t>
      </w:r>
      <w:r>
        <w:tab/>
      </w:r>
      <w:r w:rsidR="0093081E">
        <w:t>FH 62 I-R, Betastrahlenabschwächung, Filterband, ESM Andersen Company, USA,</w:t>
      </w:r>
    </w:p>
    <w:p w:rsidR="0093081E" w:rsidRDefault="00D4589A" w:rsidP="0093081E">
      <w:pPr>
        <w:pStyle w:val="GesAbsatz"/>
      </w:pPr>
      <w:r>
        <w:t>-</w:t>
      </w:r>
      <w:r>
        <w:tab/>
      </w:r>
      <w:r w:rsidR="0093081E">
        <w:t>BAM 1020, Betastrahlenabschwächung, Filterband, Met One, USA,</w:t>
      </w:r>
    </w:p>
    <w:p w:rsidR="0093081E" w:rsidRDefault="00D4589A" w:rsidP="0093081E">
      <w:pPr>
        <w:pStyle w:val="GesAbsatz"/>
      </w:pPr>
      <w:r>
        <w:t>-</w:t>
      </w:r>
      <w:r>
        <w:tab/>
      </w:r>
      <w:r w:rsidR="0093081E">
        <w:t xml:space="preserve">TEOM SES, Sharp Cut </w:t>
      </w:r>
      <w:proofErr w:type="spellStart"/>
      <w:r w:rsidR="0093081E" w:rsidRPr="00204458">
        <w:t>Cyclone</w:t>
      </w:r>
      <w:proofErr w:type="spellEnd"/>
      <w:r w:rsidR="0093081E">
        <w:t>, Rupprecht und Patashnick, USA.</w:t>
      </w:r>
    </w:p>
    <w:p w:rsidR="0093081E" w:rsidRPr="00D4589A" w:rsidRDefault="0093081E" w:rsidP="0093081E">
      <w:pPr>
        <w:pStyle w:val="GesAbsatz"/>
        <w:rPr>
          <w:b/>
        </w:rPr>
      </w:pPr>
      <w:r w:rsidRPr="00D4589A">
        <w:rPr>
          <w:b/>
        </w:rPr>
        <w:t>Probleme bei</w:t>
      </w:r>
      <w:r w:rsidR="00020600">
        <w:rPr>
          <w:b/>
        </w:rPr>
        <w:t xml:space="preserve"> </w:t>
      </w:r>
      <w:r w:rsidRPr="00D4589A">
        <w:rPr>
          <w:b/>
        </w:rPr>
        <w:t>der Messung der PM</w:t>
      </w:r>
      <w:r w:rsidRPr="00D4589A">
        <w:rPr>
          <w:b/>
          <w:vertAlign w:val="subscript"/>
        </w:rPr>
        <w:t>2,5</w:t>
      </w:r>
      <w:r w:rsidRPr="00D4589A">
        <w:rPr>
          <w:b/>
        </w:rPr>
        <w:t>-Massenkonzentration</w:t>
      </w:r>
    </w:p>
    <w:p w:rsidR="0093081E" w:rsidRDefault="0093081E" w:rsidP="0093081E">
      <w:pPr>
        <w:pStyle w:val="GesAbsatz"/>
      </w:pPr>
      <w:r>
        <w:t>Bei der Bestimmung der PM</w:t>
      </w:r>
      <w:r w:rsidRPr="00D4589A">
        <w:rPr>
          <w:vertAlign w:val="subscript"/>
        </w:rPr>
        <w:t>2</w:t>
      </w:r>
      <w:proofErr w:type="gramStart"/>
      <w:r w:rsidRPr="00D4589A">
        <w:rPr>
          <w:vertAlign w:val="subscript"/>
        </w:rPr>
        <w:t>,5</w:t>
      </w:r>
      <w:proofErr w:type="gramEnd"/>
      <w:r>
        <w:t>-Massenkonzentration sind einige Probleme zu berücksichtigen, die zum Teil aus früheren</w:t>
      </w:r>
      <w:r w:rsidR="00D4589A">
        <w:t xml:space="preserve"> </w:t>
      </w:r>
      <w:r>
        <w:t>Erfahrungen mit PM</w:t>
      </w:r>
      <w:r w:rsidRPr="00D4589A">
        <w:rPr>
          <w:vertAlign w:val="subscript"/>
        </w:rPr>
        <w:t>10</w:t>
      </w:r>
      <w:r>
        <w:t>-Messungen bekannt sind. Bei vorbereitenden Vergleichsstudien in ve</w:t>
      </w:r>
      <w:r>
        <w:t>r</w:t>
      </w:r>
      <w:r>
        <w:t>schiedenen Mitgliedstaaten</w:t>
      </w:r>
      <w:r w:rsidR="00D4589A">
        <w:t xml:space="preserve"> </w:t>
      </w:r>
      <w:r>
        <w:t>der EU zeigten sich signifikante Unterschiede zwischen den Ergebnissen man</w:t>
      </w:r>
      <w:r>
        <w:t>u</w:t>
      </w:r>
      <w:r>
        <w:t>eller PM</w:t>
      </w:r>
      <w:r w:rsidRPr="00D4589A">
        <w:rPr>
          <w:vertAlign w:val="subscript"/>
        </w:rPr>
        <w:t>2</w:t>
      </w:r>
      <w:proofErr w:type="gramStart"/>
      <w:r w:rsidRPr="00D4589A">
        <w:rPr>
          <w:vertAlign w:val="subscript"/>
        </w:rPr>
        <w:t>,5</w:t>
      </w:r>
      <w:proofErr w:type="gramEnd"/>
      <w:r>
        <w:t>-Messprobensammler in einer</w:t>
      </w:r>
      <w:r w:rsidR="00D4589A">
        <w:t xml:space="preserve"> </w:t>
      </w:r>
      <w:r>
        <w:t>Größenordnung von bis zu 30 %. Die Gründe für diese Abweichu</w:t>
      </w:r>
      <w:r>
        <w:t>n</w:t>
      </w:r>
      <w:r>
        <w:t>gen zwischen den verschiedenen Messprobensammlern</w:t>
      </w:r>
      <w:r w:rsidR="00D4589A">
        <w:t xml:space="preserve"> </w:t>
      </w:r>
      <w:r>
        <w:t>sind sehr komplex und können in folgende Kateg</w:t>
      </w:r>
      <w:r>
        <w:t>o</w:t>
      </w:r>
      <w:r>
        <w:t>rien unterteilt werden:</w:t>
      </w:r>
    </w:p>
    <w:p w:rsidR="0093081E" w:rsidRDefault="00D4589A" w:rsidP="00D4589A">
      <w:pPr>
        <w:pStyle w:val="GesAbsatz"/>
        <w:ind w:left="426" w:hanging="426"/>
      </w:pPr>
      <w:r>
        <w:t>-</w:t>
      </w:r>
      <w:r>
        <w:tab/>
      </w:r>
      <w:r w:rsidR="0093081E">
        <w:t>Störeinflüsse auf dem Filter, z.B. Evaporationsverluste bei den Probenahmen oder der Konditionierung der Filter;</w:t>
      </w:r>
    </w:p>
    <w:p w:rsidR="0093081E" w:rsidRDefault="00D4589A" w:rsidP="00D4589A">
      <w:pPr>
        <w:pStyle w:val="GesAbsatz"/>
        <w:ind w:left="426" w:hanging="426"/>
      </w:pPr>
      <w:r>
        <w:lastRenderedPageBreak/>
        <w:t>-</w:t>
      </w:r>
      <w:r>
        <w:tab/>
      </w:r>
      <w:r w:rsidR="0093081E">
        <w:t>Störeinflüsse an der Einlassvorrichtung des Fraktionieraufsatzes, z.B. mangelhafte Auslegung, Änd</w:t>
      </w:r>
      <w:r w:rsidR="0093081E">
        <w:t>e</w:t>
      </w:r>
      <w:r w:rsidR="0093081E">
        <w:t>rungen des Cut</w:t>
      </w:r>
      <w:r>
        <w:t>-</w:t>
      </w:r>
      <w:r w:rsidR="0093081E">
        <w:t>off</w:t>
      </w:r>
      <w:r>
        <w:t xml:space="preserve"> </w:t>
      </w:r>
      <w:r w:rsidR="0093081E">
        <w:t>aufgrund einer unzureichenden Kontrolle der Durchflussmenge und Niederschlag von Partikeln auf der Prallplatte</w:t>
      </w:r>
      <w:r>
        <w:t xml:space="preserve"> </w:t>
      </w:r>
      <w:r w:rsidR="0093081E">
        <w:t>des Impaktors;</w:t>
      </w:r>
    </w:p>
    <w:p w:rsidR="0093081E" w:rsidRDefault="00D4589A" w:rsidP="00D4589A">
      <w:pPr>
        <w:pStyle w:val="GesAbsatz"/>
        <w:ind w:left="426" w:hanging="426"/>
      </w:pPr>
      <w:r>
        <w:t>-</w:t>
      </w:r>
      <w:r>
        <w:tab/>
      </w:r>
      <w:r w:rsidR="0093081E">
        <w:t>Störeinflüsse aufgrund der Auslegung des Probenahmesystems, z.B. Niederschlag von Partikeln in der Probenahmeröhre</w:t>
      </w:r>
      <w:r>
        <w:t xml:space="preserve"> </w:t>
      </w:r>
      <w:r w:rsidR="0093081E">
        <w:t>(insbesondere bei langen oder gekrümmten Röhren).</w:t>
      </w:r>
    </w:p>
    <w:p w:rsidR="0093081E" w:rsidRDefault="0093081E" w:rsidP="0093081E">
      <w:pPr>
        <w:pStyle w:val="GesAbsatz"/>
      </w:pPr>
      <w:r>
        <w:t>Die chemische Zusammensetzung von PM</w:t>
      </w:r>
      <w:r w:rsidRPr="00D4589A">
        <w:rPr>
          <w:vertAlign w:val="subscript"/>
        </w:rPr>
        <w:t>2</w:t>
      </w:r>
      <w:proofErr w:type="gramStart"/>
      <w:r w:rsidRPr="00D4589A">
        <w:rPr>
          <w:vertAlign w:val="subscript"/>
        </w:rPr>
        <w:t>,5</w:t>
      </w:r>
      <w:proofErr w:type="gramEnd"/>
      <w:r>
        <w:t xml:space="preserve"> weicht signifikant von der Zusammensetzung von PM</w:t>
      </w:r>
      <w:r w:rsidRPr="00D4589A">
        <w:rPr>
          <w:vertAlign w:val="subscript"/>
        </w:rPr>
        <w:t>10</w:t>
      </w:r>
      <w:r>
        <w:t xml:space="preserve"> ab; insbesondere ist</w:t>
      </w:r>
      <w:r w:rsidR="00D4589A">
        <w:t xml:space="preserve"> </w:t>
      </w:r>
      <w:r>
        <w:t>die halbflüchtige Partikelmasse (z.B. Ammoniumnitrat, organische Verbindungen) in der PM</w:t>
      </w:r>
      <w:r w:rsidRPr="00D4589A">
        <w:rPr>
          <w:vertAlign w:val="subscript"/>
        </w:rPr>
        <w:t>2,5</w:t>
      </w:r>
      <w:r>
        <w:t>-Fraktion angereichert. Die</w:t>
      </w:r>
      <w:r w:rsidR="00D4589A">
        <w:t xml:space="preserve"> </w:t>
      </w:r>
      <w:r>
        <w:t>Partikelmasse in der Größenordnung zwischen PM</w:t>
      </w:r>
      <w:r w:rsidRPr="00D4589A">
        <w:rPr>
          <w:vertAlign w:val="subscript"/>
        </w:rPr>
        <w:t>10</w:t>
      </w:r>
      <w:r>
        <w:t xml:space="preserve"> und PM</w:t>
      </w:r>
      <w:r w:rsidRPr="00D4589A">
        <w:rPr>
          <w:vertAlign w:val="subscript"/>
        </w:rPr>
        <w:t>2</w:t>
      </w:r>
      <w:proofErr w:type="gramStart"/>
      <w:r w:rsidRPr="00D4589A">
        <w:rPr>
          <w:vertAlign w:val="subscript"/>
        </w:rPr>
        <w:t>,5</w:t>
      </w:r>
      <w:proofErr w:type="gramEnd"/>
      <w:r>
        <w:t xml:space="preserve"> besteht hauptsächlich aus inerten Bestandteilen wie</w:t>
      </w:r>
      <w:r w:rsidR="00D4589A">
        <w:t xml:space="preserve"> </w:t>
      </w:r>
      <w:r>
        <w:t>Kieselsäure und Metalloxiden. Die Probleme, die bereits bei PM</w:t>
      </w:r>
      <w:r w:rsidRPr="00D4589A">
        <w:rPr>
          <w:vertAlign w:val="subscript"/>
        </w:rPr>
        <w:t>10</w:t>
      </w:r>
      <w:r>
        <w:t>-Probenahmen im Zusammenhang mit den Verlusten an</w:t>
      </w:r>
      <w:r w:rsidR="00D4589A">
        <w:t xml:space="preserve"> </w:t>
      </w:r>
      <w:r>
        <w:t>halbflüchtiger Masse zu beobachten sind, dürften deshalb bei PM</w:t>
      </w:r>
      <w:r w:rsidRPr="00D4589A">
        <w:rPr>
          <w:vertAlign w:val="subscript"/>
        </w:rPr>
        <w:t>2</w:t>
      </w:r>
      <w:proofErr w:type="gramStart"/>
      <w:r w:rsidRPr="00D4589A">
        <w:rPr>
          <w:vertAlign w:val="subscript"/>
        </w:rPr>
        <w:t>,5</w:t>
      </w:r>
      <w:proofErr w:type="gramEnd"/>
      <w:r>
        <w:t>-Messungen noch deutlicher zutage treten.</w:t>
      </w:r>
    </w:p>
    <w:p w:rsidR="0093081E" w:rsidRDefault="0093081E" w:rsidP="0093081E">
      <w:pPr>
        <w:pStyle w:val="GesAbsatz"/>
      </w:pPr>
      <w:r>
        <w:t>Verluste dürften in der Hauptsache von der Zusammensetzung der Aerosole und dem Vorhandensein flüc</w:t>
      </w:r>
      <w:r>
        <w:t>h</w:t>
      </w:r>
      <w:r>
        <w:t>tiger Partikelmasse</w:t>
      </w:r>
      <w:r w:rsidR="00020600">
        <w:t xml:space="preserve"> </w:t>
      </w:r>
      <w:r>
        <w:t>sowie vom Unterschied zwischen Temperatur der Probenahme und Umgebungstemp</w:t>
      </w:r>
      <w:r>
        <w:t>e</w:t>
      </w:r>
      <w:r>
        <w:t>ratur abhängen. Das heißt,</w:t>
      </w:r>
      <w:r w:rsidR="00020600">
        <w:t xml:space="preserve"> </w:t>
      </w:r>
      <w:r>
        <w:t>hier können je nach Jahreszeit und geografischer Region starke Unterschiede auftreten. So wurden etwa aus Skandinavien</w:t>
      </w:r>
      <w:r w:rsidR="00020600">
        <w:t xml:space="preserve"> </w:t>
      </w:r>
      <w:r>
        <w:t>bei Probenahmen im Frühling (Aerosole beim Straßenstreuen) Verluste nahe 0 % mitgeteilt, während in Mitteleuropa</w:t>
      </w:r>
      <w:r w:rsidR="00020600">
        <w:t xml:space="preserve"> </w:t>
      </w:r>
      <w:r>
        <w:t>bei Probenahmen im Winter (Aerosole mit hohem Ammoniumnitratgehalt) Verluste von bis zu 70 % festgestellt</w:t>
      </w:r>
      <w:r w:rsidR="00020600">
        <w:t xml:space="preserve"> </w:t>
      </w:r>
      <w:r>
        <w:t>wurden.</w:t>
      </w:r>
    </w:p>
    <w:p w:rsidR="0093081E" w:rsidRDefault="0093081E" w:rsidP="0093081E">
      <w:pPr>
        <w:pStyle w:val="GesAbsatz"/>
      </w:pPr>
      <w:r>
        <w:t>Angesichts dieser Sachlage kann davon ausgegangen werden, dass bei jeder Erwärmung des Probena</w:t>
      </w:r>
      <w:r>
        <w:t>h</w:t>
      </w:r>
      <w:r>
        <w:t>mesystems wesentlich</w:t>
      </w:r>
      <w:r w:rsidR="00020600">
        <w:t xml:space="preserve"> </w:t>
      </w:r>
      <w:r>
        <w:t>niedrigere PM</w:t>
      </w:r>
      <w:r w:rsidRPr="00020600">
        <w:rPr>
          <w:vertAlign w:val="subscript"/>
        </w:rPr>
        <w:t>2</w:t>
      </w:r>
      <w:proofErr w:type="gramStart"/>
      <w:r w:rsidRPr="00020600">
        <w:rPr>
          <w:vertAlign w:val="subscript"/>
        </w:rPr>
        <w:t>,5</w:t>
      </w:r>
      <w:proofErr w:type="gramEnd"/>
      <w:r>
        <w:t>-Massenkonzentrationen gemessen werden dürften als in einem System, das bei Umgebungstemperatur</w:t>
      </w:r>
      <w:r w:rsidR="00020600">
        <w:t xml:space="preserve"> </w:t>
      </w:r>
      <w:r>
        <w:t>betrieben wird.</w:t>
      </w:r>
    </w:p>
    <w:p w:rsidR="0093081E" w:rsidRPr="00020600" w:rsidRDefault="0093081E" w:rsidP="0093081E">
      <w:pPr>
        <w:pStyle w:val="GesAbsatz"/>
        <w:rPr>
          <w:b/>
        </w:rPr>
      </w:pPr>
      <w:r w:rsidRPr="00020600">
        <w:rPr>
          <w:b/>
        </w:rPr>
        <w:t>Empfehlungen für die PM</w:t>
      </w:r>
      <w:r w:rsidRPr="00020600">
        <w:rPr>
          <w:b/>
          <w:vertAlign w:val="subscript"/>
        </w:rPr>
        <w:t>2,5</w:t>
      </w:r>
      <w:r w:rsidRPr="00020600">
        <w:rPr>
          <w:b/>
        </w:rPr>
        <w:t>-Überwachung</w:t>
      </w:r>
    </w:p>
    <w:p w:rsidR="0093081E" w:rsidRDefault="0093081E" w:rsidP="0093081E">
      <w:pPr>
        <w:pStyle w:val="GesAbsatz"/>
      </w:pPr>
      <w:r>
        <w:t>Da noch keine Schlussfolgerungen der CEN-Normungsarbeiten vorliegen, werden für PM</w:t>
      </w:r>
      <w:r w:rsidRPr="00020600">
        <w:rPr>
          <w:vertAlign w:val="subscript"/>
        </w:rPr>
        <w:t>2</w:t>
      </w:r>
      <w:proofErr w:type="gramStart"/>
      <w:r w:rsidRPr="00020600">
        <w:rPr>
          <w:vertAlign w:val="subscript"/>
        </w:rPr>
        <w:t>,5</w:t>
      </w:r>
      <w:proofErr w:type="gramEnd"/>
      <w:r>
        <w:t xml:space="preserve"> folgende Em</w:t>
      </w:r>
      <w:r>
        <w:t>p</w:t>
      </w:r>
      <w:r>
        <w:t>fehlungen abgegeben:</w:t>
      </w:r>
    </w:p>
    <w:p w:rsidR="0093081E" w:rsidRPr="00020600" w:rsidRDefault="0093081E" w:rsidP="0093081E">
      <w:pPr>
        <w:pStyle w:val="GesAbsatz"/>
        <w:rPr>
          <w:i/>
        </w:rPr>
      </w:pPr>
      <w:r w:rsidRPr="00020600">
        <w:rPr>
          <w:i/>
        </w:rPr>
        <w:t>Messmethode</w:t>
      </w:r>
    </w:p>
    <w:p w:rsidR="0093081E" w:rsidRDefault="0093081E" w:rsidP="0093081E">
      <w:pPr>
        <w:pStyle w:val="GesAbsatz"/>
      </w:pPr>
      <w:r>
        <w:t>Im Normungsauftrag, den die Kommission CEN erteilt hat, wurde spezifiziert, dass die zu normende Mes</w:t>
      </w:r>
      <w:r>
        <w:t>s</w:t>
      </w:r>
      <w:r>
        <w:t>methode auf</w:t>
      </w:r>
      <w:r w:rsidR="00020600">
        <w:t xml:space="preserve"> </w:t>
      </w:r>
      <w:r>
        <w:t>der gravimetrischen Bestimmung der PM</w:t>
      </w:r>
      <w:r w:rsidRPr="00020600">
        <w:rPr>
          <w:vertAlign w:val="subscript"/>
        </w:rPr>
        <w:t>2,5</w:t>
      </w:r>
      <w:r>
        <w:t>-Fraktion der Partikelmasse, die auf einem Filter bei Umgebungsbedingungen</w:t>
      </w:r>
      <w:r w:rsidR="00020600">
        <w:t xml:space="preserve"> </w:t>
      </w:r>
      <w:r>
        <w:t>gesammelt wird, basieren soll. Andere Methoden wie die Betastrahlenabschw</w:t>
      </w:r>
      <w:r>
        <w:t>ä</w:t>
      </w:r>
      <w:r>
        <w:t>chung und die TEOM-Methode („</w:t>
      </w:r>
      <w:proofErr w:type="spellStart"/>
      <w:r w:rsidRPr="00204458">
        <w:t>Tapered</w:t>
      </w:r>
      <w:proofErr w:type="spellEnd"/>
      <w:r w:rsidR="00020600">
        <w:t xml:space="preserve"> </w:t>
      </w:r>
      <w:r>
        <w:t xml:space="preserve">Element </w:t>
      </w:r>
      <w:proofErr w:type="spellStart"/>
      <w:r w:rsidRPr="00204458">
        <w:t>Oscillating</w:t>
      </w:r>
      <w:proofErr w:type="spellEnd"/>
      <w:r>
        <w:t xml:space="preserve"> </w:t>
      </w:r>
      <w:proofErr w:type="spellStart"/>
      <w:r w:rsidRPr="00204458">
        <w:t>Microscale</w:t>
      </w:r>
      <w:proofErr w:type="spellEnd"/>
      <w:r>
        <w:t>“) werden derzeit von CEN WG15 im Hinblick auf ihre Gleichwertigkeit mit der gravimetrischen</w:t>
      </w:r>
      <w:r w:rsidR="00020600">
        <w:t xml:space="preserve"> </w:t>
      </w:r>
      <w:r>
        <w:t>Bestimmung geprüft. Methoden, die auf opt</w:t>
      </w:r>
      <w:r>
        <w:t>i</w:t>
      </w:r>
      <w:r>
        <w:t>schen Methoden basieren, (Zählen der Partikel oder Nephelometrie)</w:t>
      </w:r>
      <w:r w:rsidR="00020600">
        <w:t xml:space="preserve"> </w:t>
      </w:r>
      <w:r>
        <w:t>werden für eine Verwendung im Ra</w:t>
      </w:r>
      <w:r>
        <w:t>h</w:t>
      </w:r>
      <w:r>
        <w:t>men der Richtlinie nicht für geeignet gehalten.</w:t>
      </w:r>
    </w:p>
    <w:p w:rsidR="0093081E" w:rsidRPr="00020600" w:rsidRDefault="0093081E" w:rsidP="0093081E">
      <w:pPr>
        <w:pStyle w:val="GesAbsatz"/>
        <w:rPr>
          <w:i/>
        </w:rPr>
      </w:pPr>
      <w:r w:rsidRPr="00020600">
        <w:rPr>
          <w:i/>
        </w:rPr>
        <w:t>PM</w:t>
      </w:r>
      <w:r w:rsidRPr="00020600">
        <w:rPr>
          <w:i/>
          <w:vertAlign w:val="subscript"/>
        </w:rPr>
        <w:t>2,5</w:t>
      </w:r>
      <w:r w:rsidRPr="00020600">
        <w:rPr>
          <w:i/>
        </w:rPr>
        <w:t>-spezifische Einlassvorrichtung</w:t>
      </w:r>
    </w:p>
    <w:p w:rsidR="0093081E" w:rsidRDefault="0093081E" w:rsidP="0093081E">
      <w:pPr>
        <w:pStyle w:val="GesAbsatz"/>
      </w:pPr>
      <w:r>
        <w:t>Derzeit werden bei der Überwachung und bei Forschungstätigkeiten im Wesentlichen zwei Möglichkeiten der Auslegung</w:t>
      </w:r>
      <w:r w:rsidR="00020600">
        <w:t xml:space="preserve"> </w:t>
      </w:r>
      <w:r>
        <w:t xml:space="preserve">der Einlassvorrichtung genutzt: Impaktor und Sharp Cut </w:t>
      </w:r>
      <w:proofErr w:type="spellStart"/>
      <w:r>
        <w:t>Cyclone</w:t>
      </w:r>
      <w:proofErr w:type="spellEnd"/>
      <w:r>
        <w:t>. Verschiedene Variationen be</w:t>
      </w:r>
      <w:r>
        <w:t>i</w:t>
      </w:r>
      <w:r>
        <w:t>der Typen werden derzeit</w:t>
      </w:r>
      <w:r w:rsidR="00020600">
        <w:t xml:space="preserve"> </w:t>
      </w:r>
      <w:r>
        <w:t>im Rahmen von CEN WG 15 geprüft. Für die Abscheidegüte der fraktionierenden Einlassvorrichtung (</w:t>
      </w:r>
      <w:proofErr w:type="spellStart"/>
      <w:r>
        <w:t>cut</w:t>
      </w:r>
      <w:proofErr w:type="spellEnd"/>
      <w:r>
        <w:t>-off) gilt</w:t>
      </w:r>
      <w:r w:rsidR="00020600">
        <w:t xml:space="preserve"> </w:t>
      </w:r>
      <w:r>
        <w:t>folgende Vorgabe: 50 % der Partikel mit einem aerodynamischen Durchme</w:t>
      </w:r>
      <w:r>
        <w:t>s</w:t>
      </w:r>
      <w:r>
        <w:t xml:space="preserve">ser von 2,5 </w:t>
      </w:r>
      <w:proofErr w:type="spellStart"/>
      <w:r>
        <w:t>μm</w:t>
      </w:r>
      <w:proofErr w:type="spellEnd"/>
      <w:r>
        <w:t xml:space="preserve"> sollen auf dem Filter</w:t>
      </w:r>
      <w:r w:rsidR="00020600">
        <w:t xml:space="preserve"> </w:t>
      </w:r>
      <w:r>
        <w:t>auffangen werden.</w:t>
      </w:r>
    </w:p>
    <w:p w:rsidR="0093081E" w:rsidRPr="00020600" w:rsidRDefault="0093081E" w:rsidP="0093081E">
      <w:pPr>
        <w:pStyle w:val="GesAbsatz"/>
        <w:rPr>
          <w:i/>
        </w:rPr>
      </w:pPr>
      <w:r w:rsidRPr="00020600">
        <w:rPr>
          <w:i/>
        </w:rPr>
        <w:t>Instrumente</w:t>
      </w:r>
    </w:p>
    <w:p w:rsidR="0093081E" w:rsidRDefault="0093081E" w:rsidP="0093081E">
      <w:pPr>
        <w:pStyle w:val="GesAbsatz"/>
      </w:pPr>
      <w:r>
        <w:t>Die Theorie und die Erfahrungen mit den Validierungsarbeiten im Zusammenhang mit PM</w:t>
      </w:r>
      <w:r w:rsidRPr="00020600">
        <w:rPr>
          <w:vertAlign w:val="subscript"/>
        </w:rPr>
        <w:t>10</w:t>
      </w:r>
      <w:r>
        <w:t xml:space="preserve"> lehren, dass für PM</w:t>
      </w:r>
      <w:r w:rsidRPr="00020600">
        <w:rPr>
          <w:vertAlign w:val="subscript"/>
        </w:rPr>
        <w:t>2</w:t>
      </w:r>
      <w:r w:rsidR="00020600" w:rsidRPr="00020600">
        <w:rPr>
          <w:vertAlign w:val="subscript"/>
        </w:rPr>
        <w:t>,</w:t>
      </w:r>
      <w:r w:rsidRPr="00020600">
        <w:rPr>
          <w:vertAlign w:val="subscript"/>
        </w:rPr>
        <w:t>5</w:t>
      </w:r>
      <w:r>
        <w:t xml:space="preserve"> die</w:t>
      </w:r>
      <w:r w:rsidR="00020600">
        <w:t xml:space="preserve"> </w:t>
      </w:r>
      <w:r>
        <w:t>Verwendung von Geräten zu vermeiden ist, bei denen das Probenahmesystem und/oder der Filter während der Sammlung</w:t>
      </w:r>
      <w:r w:rsidR="00020600">
        <w:t xml:space="preserve"> </w:t>
      </w:r>
      <w:r>
        <w:t>erwärmt werden. Um Verluste flüchtiger Partikel so weit wie möglich zu vermeiden, sollten für die PM</w:t>
      </w:r>
      <w:r w:rsidRPr="00020600">
        <w:rPr>
          <w:vertAlign w:val="subscript"/>
        </w:rPr>
        <w:t>2</w:t>
      </w:r>
      <w:proofErr w:type="gramStart"/>
      <w:r w:rsidR="00020600" w:rsidRPr="00020600">
        <w:rPr>
          <w:vertAlign w:val="subscript"/>
        </w:rPr>
        <w:t>,</w:t>
      </w:r>
      <w:r w:rsidRPr="00020600">
        <w:rPr>
          <w:vertAlign w:val="subscript"/>
        </w:rPr>
        <w:t>5</w:t>
      </w:r>
      <w:proofErr w:type="gramEnd"/>
      <w:r>
        <w:t>-Messung</w:t>
      </w:r>
      <w:r w:rsidR="00020600">
        <w:t xml:space="preserve"> </w:t>
      </w:r>
      <w:r>
        <w:t>Instrumente bevorzugt werden, bei denen die Probenahme möglichst nahe an der Umgebungstemperatur erfolgt.</w:t>
      </w:r>
    </w:p>
    <w:p w:rsidR="0093081E" w:rsidRDefault="0093081E" w:rsidP="0093081E">
      <w:pPr>
        <w:pStyle w:val="GesAbsatz"/>
      </w:pPr>
      <w:r>
        <w:t>Da die bisherigen Studien nur unvollständige und keine eindeutig schlüssigen Ergebnisse geliefert haben, kann im</w:t>
      </w:r>
      <w:r w:rsidR="00020600">
        <w:t xml:space="preserve"> </w:t>
      </w:r>
      <w:r>
        <w:t>jetzigen Stadium noch keine engere Auswahl von Instrumenten zur Messung von PM</w:t>
      </w:r>
      <w:r w:rsidRPr="00020600">
        <w:rPr>
          <w:vertAlign w:val="subscript"/>
        </w:rPr>
        <w:t>2</w:t>
      </w:r>
      <w:proofErr w:type="gramStart"/>
      <w:r w:rsidRPr="00020600">
        <w:rPr>
          <w:vertAlign w:val="subscript"/>
        </w:rPr>
        <w:t>,5</w:t>
      </w:r>
      <w:proofErr w:type="gramEnd"/>
      <w:r>
        <w:t xml:space="preserve"> getroffen werden. Bei der</w:t>
      </w:r>
      <w:r w:rsidR="00020600">
        <w:t xml:space="preserve"> </w:t>
      </w:r>
      <w:r>
        <w:t>konkreten Entscheidung für Messinstrumente wird Vorsicht empfohlen. Nach Möglichkeit sollte ein Konzept gewählt</w:t>
      </w:r>
      <w:r w:rsidR="00020600">
        <w:t xml:space="preserve"> </w:t>
      </w:r>
      <w:r>
        <w:t>werden, das keine übermäßigen Investitionen erforderlich macht und eine Anpa</w:t>
      </w:r>
      <w:r>
        <w:t>s</w:t>
      </w:r>
      <w:r>
        <w:t>sung der Messanforderungen an künftige</w:t>
      </w:r>
      <w:r w:rsidR="00020600">
        <w:t xml:space="preserve"> </w:t>
      </w:r>
      <w:r>
        <w:t>Entwicklungen ermöglicht (z.B. die kommende Europäische Sta</w:t>
      </w:r>
      <w:r>
        <w:t>n</w:t>
      </w:r>
      <w:r>
        <w:t>dardmethode für PM</w:t>
      </w:r>
      <w:r w:rsidRPr="00020600">
        <w:rPr>
          <w:vertAlign w:val="subscript"/>
        </w:rPr>
        <w:t>2</w:t>
      </w:r>
      <w:proofErr w:type="gramStart"/>
      <w:r w:rsidRPr="00020600">
        <w:rPr>
          <w:vertAlign w:val="subscript"/>
        </w:rPr>
        <w:t>,5</w:t>
      </w:r>
      <w:proofErr w:type="gramEnd"/>
      <w:r>
        <w:t>-Messungen, technische</w:t>
      </w:r>
      <w:r w:rsidR="00020600">
        <w:t xml:space="preserve"> </w:t>
      </w:r>
      <w:r>
        <w:t>Entwicklungen bei Instrumentenherstellern oder die künftige Verordnung über Schwermetalle).</w:t>
      </w:r>
    </w:p>
    <w:p w:rsidR="0093081E" w:rsidRDefault="0093081E" w:rsidP="0093081E">
      <w:pPr>
        <w:pStyle w:val="GesAbsatz"/>
      </w:pPr>
      <w:r>
        <w:t>Bei der Mitteilung von PM</w:t>
      </w:r>
      <w:r w:rsidRPr="00020600">
        <w:rPr>
          <w:vertAlign w:val="subscript"/>
        </w:rPr>
        <w:t>2</w:t>
      </w:r>
      <w:proofErr w:type="gramStart"/>
      <w:r w:rsidRPr="00020600">
        <w:rPr>
          <w:vertAlign w:val="subscript"/>
        </w:rPr>
        <w:t>,5</w:t>
      </w:r>
      <w:proofErr w:type="gramEnd"/>
      <w:r>
        <w:t>-Daten muss die Messmethodik, die bei der Sammlung der Daten genutzt wurde, umfassend</w:t>
      </w:r>
      <w:r w:rsidR="00020600">
        <w:t xml:space="preserve"> </w:t>
      </w:r>
      <w:r>
        <w:t>beschrieben werden.</w:t>
      </w:r>
    </w:p>
    <w:p w:rsidR="00946F0C" w:rsidRDefault="00946F0C" w:rsidP="0093081E">
      <w:pPr>
        <w:pStyle w:val="GesAbsatz"/>
      </w:pPr>
    </w:p>
    <w:sectPr w:rsidR="00946F0C"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07" w:rsidRDefault="00715507">
      <w:r>
        <w:separator/>
      </w:r>
    </w:p>
  </w:endnote>
  <w:endnote w:type="continuationSeparator" w:id="0">
    <w:p w:rsidR="00715507" w:rsidRDefault="0071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01" w:rsidRDefault="0014270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42701" w:rsidRDefault="0014270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01" w:rsidRDefault="00142701" w:rsidP="00946F0C">
    <w:pPr>
      <w:pStyle w:val="Fuzeile"/>
    </w:pPr>
    <w:r>
      <w:tab/>
      <w:t>Stand 16.01.</w:t>
    </w:r>
    <w:r w:rsidRPr="00946F0C">
      <w:t>2003</w:t>
    </w:r>
    <w:r>
      <w:t xml:space="preserve"> (ABl. L 12 v. 17.01.2003 S. 31)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6856B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07" w:rsidRDefault="00715507">
      <w:r>
        <w:separator/>
      </w:r>
    </w:p>
  </w:footnote>
  <w:footnote w:type="continuationSeparator" w:id="0">
    <w:p w:rsidR="00715507" w:rsidRDefault="00715507">
      <w:r>
        <w:continuationSeparator/>
      </w:r>
    </w:p>
  </w:footnote>
  <w:footnote w:id="1">
    <w:p w:rsidR="00142701" w:rsidRDefault="00142701">
      <w:pPr>
        <w:pStyle w:val="Funotentext"/>
      </w:pPr>
      <w:r>
        <w:rPr>
          <w:rStyle w:val="Funotenzeichen"/>
        </w:rPr>
        <w:footnoteRef/>
      </w:r>
      <w:r>
        <w:t xml:space="preserve"> ABl. L 163 vom 29.6.1999, S. 41.</w:t>
      </w:r>
    </w:p>
  </w:footnote>
  <w:footnote w:id="2">
    <w:p w:rsidR="00142701" w:rsidRDefault="00142701">
      <w:pPr>
        <w:pStyle w:val="Funotentext"/>
      </w:pPr>
      <w:r>
        <w:rPr>
          <w:rStyle w:val="Funotenzeichen"/>
        </w:rPr>
        <w:footnoteRef/>
      </w:r>
      <w:r>
        <w:t xml:space="preserve"> ABl. L 278 vom 23.10.2001, S. 35.</w:t>
      </w:r>
    </w:p>
  </w:footnote>
  <w:footnote w:id="3">
    <w:p w:rsidR="00142701" w:rsidRDefault="00142701">
      <w:pPr>
        <w:pStyle w:val="Funotentext"/>
      </w:pPr>
      <w:r>
        <w:rPr>
          <w:rStyle w:val="Funotenzeichen"/>
        </w:rPr>
        <w:footnoteRef/>
      </w:r>
      <w:r>
        <w:t xml:space="preserve"> ABl. L 296 vom 21.11.1996, S. 55.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01" w:rsidRDefault="006856B9" w:rsidP="00946F0C">
    <w:pPr>
      <w:pStyle w:val="Kopfzeile0"/>
    </w:pPr>
    <w:r>
      <w:t>Archiv6.78</w:t>
    </w:r>
  </w:p>
  <w:p w:rsidR="00142701" w:rsidRDefault="0014270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CA"/>
    <w:rsid w:val="0001451A"/>
    <w:rsid w:val="00020600"/>
    <w:rsid w:val="00047D65"/>
    <w:rsid w:val="00077EF0"/>
    <w:rsid w:val="00093D90"/>
    <w:rsid w:val="000B208E"/>
    <w:rsid w:val="00142701"/>
    <w:rsid w:val="00150B0A"/>
    <w:rsid w:val="001715DF"/>
    <w:rsid w:val="001C1083"/>
    <w:rsid w:val="00204458"/>
    <w:rsid w:val="00243AFC"/>
    <w:rsid w:val="002B3267"/>
    <w:rsid w:val="002D5542"/>
    <w:rsid w:val="003114DF"/>
    <w:rsid w:val="00313F0C"/>
    <w:rsid w:val="003A6E25"/>
    <w:rsid w:val="003B24A9"/>
    <w:rsid w:val="00404262"/>
    <w:rsid w:val="00406F32"/>
    <w:rsid w:val="00412824"/>
    <w:rsid w:val="004315CE"/>
    <w:rsid w:val="00463F31"/>
    <w:rsid w:val="004964D0"/>
    <w:rsid w:val="004F2A9F"/>
    <w:rsid w:val="00557465"/>
    <w:rsid w:val="006242A7"/>
    <w:rsid w:val="0063668C"/>
    <w:rsid w:val="00660CBB"/>
    <w:rsid w:val="00666321"/>
    <w:rsid w:val="006856B9"/>
    <w:rsid w:val="00697151"/>
    <w:rsid w:val="006D0AB0"/>
    <w:rsid w:val="006F7DCB"/>
    <w:rsid w:val="00715507"/>
    <w:rsid w:val="007F5C17"/>
    <w:rsid w:val="008B789C"/>
    <w:rsid w:val="008D6200"/>
    <w:rsid w:val="0093081E"/>
    <w:rsid w:val="00946F0C"/>
    <w:rsid w:val="00963345"/>
    <w:rsid w:val="0098598C"/>
    <w:rsid w:val="00A95D02"/>
    <w:rsid w:val="00AB20F7"/>
    <w:rsid w:val="00B466D3"/>
    <w:rsid w:val="00B94CCA"/>
    <w:rsid w:val="00CA1D3F"/>
    <w:rsid w:val="00D4589A"/>
    <w:rsid w:val="00D750EF"/>
    <w:rsid w:val="00D86C52"/>
    <w:rsid w:val="00DB2935"/>
    <w:rsid w:val="00DC1020"/>
    <w:rsid w:val="00E02B86"/>
    <w:rsid w:val="00E03BB2"/>
    <w:rsid w:val="00E751D6"/>
    <w:rsid w:val="00EB5006"/>
    <w:rsid w:val="00F61E0B"/>
    <w:rsid w:val="00F762F4"/>
    <w:rsid w:val="00F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46F0C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946F0C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946F0C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946F0C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946F0C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946F0C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946F0C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946F0C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946F0C"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rsid w:val="00946F0C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946F0C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946F0C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rsid w:val="00946F0C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946F0C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946F0C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946F0C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946F0C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946F0C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946F0C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946F0C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946F0C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sid w:val="00946F0C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946F0C"/>
    <w:pPr>
      <w:spacing w:before="0" w:after="0"/>
      <w:jc w:val="right"/>
    </w:pPr>
    <w:rPr>
      <w:b/>
      <w:sz w:val="24"/>
    </w:rPr>
  </w:style>
  <w:style w:type="character" w:styleId="BesuchterHyperlink">
    <w:name w:val="FollowedHyperlink"/>
    <w:basedOn w:val="Absatz-Standardschriftart"/>
    <w:rsid w:val="002044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46F0C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946F0C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946F0C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946F0C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946F0C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946F0C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946F0C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946F0C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946F0C"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rsid w:val="00946F0C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946F0C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946F0C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rsid w:val="00946F0C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946F0C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946F0C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946F0C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946F0C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946F0C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946F0C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946F0C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946F0C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sid w:val="00946F0C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946F0C"/>
    <w:pPr>
      <w:spacing w:before="0" w:after="0"/>
      <w:jc w:val="right"/>
    </w:pPr>
    <w:rPr>
      <w:b/>
      <w:sz w:val="24"/>
    </w:rPr>
  </w:style>
  <w:style w:type="character" w:styleId="BesuchterHyperlink">
    <w:name w:val="FollowedHyperlink"/>
    <w:basedOn w:val="Absatz-Standardschriftart"/>
    <w:rsid w:val="002044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OJ:L:2003:012:0031:0033:DE: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310E-0011-4BA1-B7FB-E6A37991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3</Pages>
  <Words>1368</Words>
  <Characters>9847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Leitfaden für eine vorläufige Referenzmethode</vt:lpstr>
    </vt:vector>
  </TitlesOfParts>
  <Company>LANUV NRW</Company>
  <LinksUpToDate>false</LinksUpToDate>
  <CharactersWithSpaces>11193</CharactersWithSpaces>
  <SharedDoc>false</SharedDoc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_Toc310232169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_Toc310232168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_Toc310232167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_Toc310232166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Leitfaden für eine vorläufige Referenzmethode</dc:title>
  <dc:creator>Np</dc:creator>
  <cp:lastModifiedBy>rueter</cp:lastModifiedBy>
  <cp:revision>3</cp:revision>
  <cp:lastPrinted>2004-12-14T12:08:00Z</cp:lastPrinted>
  <dcterms:created xsi:type="dcterms:W3CDTF">2014-12-11T13:59:00Z</dcterms:created>
  <dcterms:modified xsi:type="dcterms:W3CDTF">2014-12-11T13:59:00Z</dcterms:modified>
</cp:coreProperties>
</file>