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F4" w:rsidRDefault="00B134F4" w:rsidP="00C77B3F">
      <w:pPr>
        <w:pStyle w:val="berschrift1"/>
      </w:pPr>
      <w:bookmarkStart w:id="0" w:name="_Toc377990101"/>
      <w:bookmarkStart w:id="1" w:name="_GoBack"/>
      <w:bookmarkEnd w:id="1"/>
      <w:r>
        <w:t xml:space="preserve">VERORDNUNG (EG) Nr. </w:t>
      </w:r>
      <w:hyperlink r:id="rId8" w:history="1">
        <w:r w:rsidRPr="00560B8A">
          <w:rPr>
            <w:rStyle w:val="Hyperlink"/>
          </w:rPr>
          <w:t>842/2006</w:t>
        </w:r>
      </w:hyperlink>
      <w:r>
        <w:t xml:space="preserve"> DES EUROPÄISCHEN PARLAMENTS</w:t>
      </w:r>
      <w:r w:rsidR="00C77B3F">
        <w:br/>
      </w:r>
      <w:r>
        <w:t>UND DES RATES</w:t>
      </w:r>
      <w:r w:rsidR="00C77B3F">
        <w:t xml:space="preserve"> </w:t>
      </w:r>
      <w:r>
        <w:t>vom 17. Mai 2006</w:t>
      </w:r>
      <w:r w:rsidR="00C77B3F">
        <w:br/>
      </w:r>
      <w:r>
        <w:t>über bestimmte fluorierte Treibhausgase</w:t>
      </w:r>
      <w:bookmarkEnd w:id="0"/>
    </w:p>
    <w:p w:rsidR="00B134F4" w:rsidRDefault="00B134F4" w:rsidP="00C77B3F">
      <w:pPr>
        <w:pStyle w:val="GesAbsatz"/>
        <w:jc w:val="center"/>
      </w:pPr>
      <w:r>
        <w:t>(Text von Bedeutung für den EWR)</w:t>
      </w:r>
    </w:p>
    <w:p w:rsidR="00E0582B" w:rsidRPr="00E0582B" w:rsidRDefault="00E0582B" w:rsidP="00B134F4">
      <w:pPr>
        <w:pStyle w:val="GesAbsatz"/>
        <w:rPr>
          <w:b/>
          <w:i/>
          <w:color w:val="FF0000"/>
          <w:sz w:val="22"/>
          <w:szCs w:val="22"/>
        </w:rPr>
      </w:pPr>
      <w:r w:rsidRPr="00E0582B">
        <w:rPr>
          <w:b/>
          <w:i/>
          <w:color w:val="FF0000"/>
          <w:sz w:val="22"/>
          <w:szCs w:val="22"/>
        </w:rPr>
        <w:t xml:space="preserve">Aufgehoben mit Wirkung </w:t>
      </w:r>
      <w:r w:rsidR="00825D03">
        <w:rPr>
          <w:b/>
          <w:i/>
          <w:color w:val="FF0000"/>
          <w:sz w:val="22"/>
          <w:szCs w:val="22"/>
        </w:rPr>
        <w:t>zum</w:t>
      </w:r>
      <w:r w:rsidRPr="00E0582B">
        <w:rPr>
          <w:b/>
          <w:i/>
          <w:color w:val="FF0000"/>
          <w:sz w:val="22"/>
          <w:szCs w:val="22"/>
        </w:rPr>
        <w:t xml:space="preserve"> 01.01.2015 gemäß Art. 26 der Verordnung 517/2014.</w:t>
      </w:r>
    </w:p>
    <w:p w:rsidR="00C77B3F" w:rsidRDefault="00804A1C" w:rsidP="00B134F4">
      <w:pPr>
        <w:pStyle w:val="GesAbsatz"/>
      </w:pPr>
      <w:r w:rsidRPr="00CE3C40">
        <w:rPr>
          <w:b/>
        </w:rPr>
        <w:t>Änderungen:</w:t>
      </w:r>
      <w:r>
        <w:t xml:space="preserve"> </w:t>
      </w:r>
      <w:hyperlink r:id="rId9" w:history="1">
        <w:r w:rsidRPr="00560B8A">
          <w:rPr>
            <w:rStyle w:val="Hyperlink"/>
          </w:rPr>
          <w:t>1137/200</w:t>
        </w:r>
        <w:r w:rsidR="002B36D2">
          <w:rPr>
            <w:rStyle w:val="Hyperlink"/>
          </w:rPr>
          <w:t>8/EG</w:t>
        </w:r>
      </w:hyperlink>
      <w:r>
        <w:t xml:space="preserve"> </w:t>
      </w:r>
      <w:r w:rsidR="00CE3C40">
        <w:rPr>
          <w:snapToGrid w:val="0"/>
        </w:rPr>
        <w:t>ABl. L 331 v. 21.11.2008 S. 1 Inkrafttreten 11.12.2008;</w:t>
      </w:r>
      <w:r w:rsidR="00AF40E3">
        <w:rPr>
          <w:snapToGrid w:val="0"/>
        </w:rPr>
        <w:t xml:space="preserve"> </w:t>
      </w:r>
      <w:hyperlink r:id="rId10" w:history="1">
        <w:r w:rsidR="00AF40E3" w:rsidRPr="00AF40E3">
          <w:rPr>
            <w:rStyle w:val="Hyperlink"/>
            <w:snapToGrid w:val="0"/>
          </w:rPr>
          <w:t>Berichtigung</w:t>
        </w:r>
      </w:hyperlink>
      <w:r w:rsidR="00AF40E3">
        <w:rPr>
          <w:snapToGrid w:val="0"/>
        </w:rPr>
        <w:t xml:space="preserve"> ABl. L 206 v. 2.8.2013 S. 18;</w:t>
      </w:r>
    </w:p>
    <w:p w:rsidR="0052780A" w:rsidRDefault="00C77B3F" w:rsidP="00C77B3F">
      <w:pPr>
        <w:pStyle w:val="GesAbsatz"/>
        <w:jc w:val="center"/>
        <w:rPr>
          <w:b/>
          <w:sz w:val="22"/>
        </w:rPr>
      </w:pPr>
      <w:r w:rsidRPr="00C77B3F">
        <w:rPr>
          <w:b/>
          <w:sz w:val="22"/>
        </w:rPr>
        <w:t>Inhalt:</w:t>
      </w:r>
    </w:p>
    <w:p w:rsidR="0052780A" w:rsidRDefault="0052780A">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7990101" w:history="1">
        <w:r w:rsidRPr="002D1533">
          <w:rPr>
            <w:rStyle w:val="Hyperlink"/>
            <w:noProof/>
          </w:rPr>
          <w:t>VERORDNUNG (EG) Nr. 842/2006 DES EUROPÄISCHEN PARLAMENTS UND DES RATES vom 17. Mai 2006 über bestimmte fluorierte Treibhausgase</w:t>
        </w:r>
        <w:r>
          <w:rPr>
            <w:noProof/>
            <w:webHidden/>
          </w:rPr>
          <w:tab/>
        </w:r>
        <w:r>
          <w:rPr>
            <w:noProof/>
            <w:webHidden/>
          </w:rPr>
          <w:fldChar w:fldCharType="begin"/>
        </w:r>
        <w:r>
          <w:rPr>
            <w:noProof/>
            <w:webHidden/>
          </w:rPr>
          <w:instrText xml:space="preserve"> PAGEREF _Toc377990101 \h </w:instrText>
        </w:r>
        <w:r>
          <w:rPr>
            <w:noProof/>
            <w:webHidden/>
          </w:rPr>
        </w:r>
        <w:r>
          <w:rPr>
            <w:noProof/>
            <w:webHidden/>
          </w:rPr>
          <w:fldChar w:fldCharType="separate"/>
        </w:r>
        <w:r w:rsidR="002B36D2">
          <w:rPr>
            <w:noProof/>
            <w:webHidden/>
          </w:rPr>
          <w:t>1</w:t>
        </w:r>
        <w:r>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02" w:history="1">
        <w:r w:rsidR="0052780A" w:rsidRPr="002D1533">
          <w:rPr>
            <w:rStyle w:val="Hyperlink"/>
            <w:noProof/>
          </w:rPr>
          <w:t>Artikel 1 Geltungsbereich</w:t>
        </w:r>
        <w:r w:rsidR="0052780A">
          <w:rPr>
            <w:noProof/>
            <w:webHidden/>
          </w:rPr>
          <w:tab/>
        </w:r>
        <w:r w:rsidR="0052780A">
          <w:rPr>
            <w:noProof/>
            <w:webHidden/>
          </w:rPr>
          <w:fldChar w:fldCharType="begin"/>
        </w:r>
        <w:r w:rsidR="0052780A">
          <w:rPr>
            <w:noProof/>
            <w:webHidden/>
          </w:rPr>
          <w:instrText xml:space="preserve"> PAGEREF _Toc377990102 \h </w:instrText>
        </w:r>
        <w:r w:rsidR="0052780A">
          <w:rPr>
            <w:noProof/>
            <w:webHidden/>
          </w:rPr>
        </w:r>
        <w:r w:rsidR="0052780A">
          <w:rPr>
            <w:noProof/>
            <w:webHidden/>
          </w:rPr>
          <w:fldChar w:fldCharType="separate"/>
        </w:r>
        <w:r w:rsidR="002B36D2">
          <w:rPr>
            <w:noProof/>
            <w:webHidden/>
          </w:rPr>
          <w:t>3</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03" w:history="1">
        <w:r w:rsidR="0052780A" w:rsidRPr="002D1533">
          <w:rPr>
            <w:rStyle w:val="Hyperlink"/>
            <w:noProof/>
          </w:rPr>
          <w:t>Artikel 2 Begriffsbestimmungen</w:t>
        </w:r>
        <w:r w:rsidR="0052780A">
          <w:rPr>
            <w:noProof/>
            <w:webHidden/>
          </w:rPr>
          <w:tab/>
        </w:r>
        <w:r w:rsidR="0052780A">
          <w:rPr>
            <w:noProof/>
            <w:webHidden/>
          </w:rPr>
          <w:fldChar w:fldCharType="begin"/>
        </w:r>
        <w:r w:rsidR="0052780A">
          <w:rPr>
            <w:noProof/>
            <w:webHidden/>
          </w:rPr>
          <w:instrText xml:space="preserve"> PAGEREF _Toc377990103 \h </w:instrText>
        </w:r>
        <w:r w:rsidR="0052780A">
          <w:rPr>
            <w:noProof/>
            <w:webHidden/>
          </w:rPr>
        </w:r>
        <w:r w:rsidR="0052780A">
          <w:rPr>
            <w:noProof/>
            <w:webHidden/>
          </w:rPr>
          <w:fldChar w:fldCharType="separate"/>
        </w:r>
        <w:r w:rsidR="002B36D2">
          <w:rPr>
            <w:noProof/>
            <w:webHidden/>
          </w:rPr>
          <w:t>3</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04" w:history="1">
        <w:r w:rsidR="0052780A" w:rsidRPr="002D1533">
          <w:rPr>
            <w:rStyle w:val="Hyperlink"/>
            <w:noProof/>
          </w:rPr>
          <w:t>Artikel 3 Reduzierung der Emissionen</w:t>
        </w:r>
        <w:r w:rsidR="0052780A">
          <w:rPr>
            <w:noProof/>
            <w:webHidden/>
          </w:rPr>
          <w:tab/>
        </w:r>
        <w:r w:rsidR="0052780A">
          <w:rPr>
            <w:noProof/>
            <w:webHidden/>
          </w:rPr>
          <w:fldChar w:fldCharType="begin"/>
        </w:r>
        <w:r w:rsidR="0052780A">
          <w:rPr>
            <w:noProof/>
            <w:webHidden/>
          </w:rPr>
          <w:instrText xml:space="preserve"> PAGEREF _Toc377990104 \h </w:instrText>
        </w:r>
        <w:r w:rsidR="0052780A">
          <w:rPr>
            <w:noProof/>
            <w:webHidden/>
          </w:rPr>
        </w:r>
        <w:r w:rsidR="0052780A">
          <w:rPr>
            <w:noProof/>
            <w:webHidden/>
          </w:rPr>
          <w:fldChar w:fldCharType="separate"/>
        </w:r>
        <w:r w:rsidR="002B36D2">
          <w:rPr>
            <w:noProof/>
            <w:webHidden/>
          </w:rPr>
          <w:t>5</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05" w:history="1">
        <w:r w:rsidR="0052780A" w:rsidRPr="002D1533">
          <w:rPr>
            <w:rStyle w:val="Hyperlink"/>
            <w:noProof/>
          </w:rPr>
          <w:t>Artikel 4 Rückgewinnung</w:t>
        </w:r>
        <w:r w:rsidR="0052780A">
          <w:rPr>
            <w:noProof/>
            <w:webHidden/>
          </w:rPr>
          <w:tab/>
        </w:r>
        <w:r w:rsidR="0052780A">
          <w:rPr>
            <w:noProof/>
            <w:webHidden/>
          </w:rPr>
          <w:fldChar w:fldCharType="begin"/>
        </w:r>
        <w:r w:rsidR="0052780A">
          <w:rPr>
            <w:noProof/>
            <w:webHidden/>
          </w:rPr>
          <w:instrText xml:space="preserve"> PAGEREF _Toc377990105 \h </w:instrText>
        </w:r>
        <w:r w:rsidR="0052780A">
          <w:rPr>
            <w:noProof/>
            <w:webHidden/>
          </w:rPr>
        </w:r>
        <w:r w:rsidR="0052780A">
          <w:rPr>
            <w:noProof/>
            <w:webHidden/>
          </w:rPr>
          <w:fldChar w:fldCharType="separate"/>
        </w:r>
        <w:r w:rsidR="002B36D2">
          <w:rPr>
            <w:noProof/>
            <w:webHidden/>
          </w:rPr>
          <w:t>6</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06" w:history="1">
        <w:r w:rsidR="0052780A" w:rsidRPr="002D1533">
          <w:rPr>
            <w:rStyle w:val="Hyperlink"/>
            <w:noProof/>
          </w:rPr>
          <w:t>Artikel 5 Ausbildung und Zertifizierung</w:t>
        </w:r>
        <w:r w:rsidR="0052780A">
          <w:rPr>
            <w:noProof/>
            <w:webHidden/>
          </w:rPr>
          <w:tab/>
        </w:r>
        <w:r w:rsidR="0052780A">
          <w:rPr>
            <w:noProof/>
            <w:webHidden/>
          </w:rPr>
          <w:fldChar w:fldCharType="begin"/>
        </w:r>
        <w:r w:rsidR="0052780A">
          <w:rPr>
            <w:noProof/>
            <w:webHidden/>
          </w:rPr>
          <w:instrText xml:space="preserve"> PAGEREF _Toc377990106 \h </w:instrText>
        </w:r>
        <w:r w:rsidR="0052780A">
          <w:rPr>
            <w:noProof/>
            <w:webHidden/>
          </w:rPr>
        </w:r>
        <w:r w:rsidR="0052780A">
          <w:rPr>
            <w:noProof/>
            <w:webHidden/>
          </w:rPr>
          <w:fldChar w:fldCharType="separate"/>
        </w:r>
        <w:r w:rsidR="002B36D2">
          <w:rPr>
            <w:noProof/>
            <w:webHidden/>
          </w:rPr>
          <w:t>6</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07" w:history="1">
        <w:r w:rsidR="0052780A" w:rsidRPr="002D1533">
          <w:rPr>
            <w:rStyle w:val="Hyperlink"/>
            <w:noProof/>
          </w:rPr>
          <w:t>Artikel 6 Berichterstattung</w:t>
        </w:r>
        <w:r w:rsidR="0052780A">
          <w:rPr>
            <w:noProof/>
            <w:webHidden/>
          </w:rPr>
          <w:tab/>
        </w:r>
        <w:r w:rsidR="0052780A">
          <w:rPr>
            <w:noProof/>
            <w:webHidden/>
          </w:rPr>
          <w:fldChar w:fldCharType="begin"/>
        </w:r>
        <w:r w:rsidR="0052780A">
          <w:rPr>
            <w:noProof/>
            <w:webHidden/>
          </w:rPr>
          <w:instrText xml:space="preserve"> PAGEREF _Toc377990107 \h </w:instrText>
        </w:r>
        <w:r w:rsidR="0052780A">
          <w:rPr>
            <w:noProof/>
            <w:webHidden/>
          </w:rPr>
        </w:r>
        <w:r w:rsidR="0052780A">
          <w:rPr>
            <w:noProof/>
            <w:webHidden/>
          </w:rPr>
          <w:fldChar w:fldCharType="separate"/>
        </w:r>
        <w:r w:rsidR="002B36D2">
          <w:rPr>
            <w:noProof/>
            <w:webHidden/>
          </w:rPr>
          <w:t>7</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08" w:history="1">
        <w:r w:rsidR="0052780A" w:rsidRPr="002D1533">
          <w:rPr>
            <w:rStyle w:val="Hyperlink"/>
            <w:noProof/>
          </w:rPr>
          <w:t>Artikel 7 Kennzeichnung</w:t>
        </w:r>
        <w:r w:rsidR="0052780A">
          <w:rPr>
            <w:noProof/>
            <w:webHidden/>
          </w:rPr>
          <w:tab/>
        </w:r>
        <w:r w:rsidR="0052780A">
          <w:rPr>
            <w:noProof/>
            <w:webHidden/>
          </w:rPr>
          <w:fldChar w:fldCharType="begin"/>
        </w:r>
        <w:r w:rsidR="0052780A">
          <w:rPr>
            <w:noProof/>
            <w:webHidden/>
          </w:rPr>
          <w:instrText xml:space="preserve"> PAGEREF _Toc377990108 \h </w:instrText>
        </w:r>
        <w:r w:rsidR="0052780A">
          <w:rPr>
            <w:noProof/>
            <w:webHidden/>
          </w:rPr>
        </w:r>
        <w:r w:rsidR="0052780A">
          <w:rPr>
            <w:noProof/>
            <w:webHidden/>
          </w:rPr>
          <w:fldChar w:fldCharType="separate"/>
        </w:r>
        <w:r w:rsidR="002B36D2">
          <w:rPr>
            <w:noProof/>
            <w:webHidden/>
          </w:rPr>
          <w:t>7</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09" w:history="1">
        <w:r w:rsidR="0052780A" w:rsidRPr="002D1533">
          <w:rPr>
            <w:rStyle w:val="Hyperlink"/>
            <w:noProof/>
          </w:rPr>
          <w:t>Artikel 8 Beschränkung der Verwendung</w:t>
        </w:r>
        <w:r w:rsidR="0052780A">
          <w:rPr>
            <w:noProof/>
            <w:webHidden/>
          </w:rPr>
          <w:tab/>
        </w:r>
        <w:r w:rsidR="0052780A">
          <w:rPr>
            <w:noProof/>
            <w:webHidden/>
          </w:rPr>
          <w:fldChar w:fldCharType="begin"/>
        </w:r>
        <w:r w:rsidR="0052780A">
          <w:rPr>
            <w:noProof/>
            <w:webHidden/>
          </w:rPr>
          <w:instrText xml:space="preserve"> PAGEREF _Toc377990109 \h </w:instrText>
        </w:r>
        <w:r w:rsidR="0052780A">
          <w:rPr>
            <w:noProof/>
            <w:webHidden/>
          </w:rPr>
        </w:r>
        <w:r w:rsidR="0052780A">
          <w:rPr>
            <w:noProof/>
            <w:webHidden/>
          </w:rPr>
          <w:fldChar w:fldCharType="separate"/>
        </w:r>
        <w:r w:rsidR="002B36D2">
          <w:rPr>
            <w:noProof/>
            <w:webHidden/>
          </w:rPr>
          <w:t>8</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10" w:history="1">
        <w:r w:rsidR="0052780A" w:rsidRPr="002D1533">
          <w:rPr>
            <w:rStyle w:val="Hyperlink"/>
            <w:noProof/>
          </w:rPr>
          <w:t>Artikel 9 Inverkehrbringen</w:t>
        </w:r>
        <w:r w:rsidR="0052780A">
          <w:rPr>
            <w:noProof/>
            <w:webHidden/>
          </w:rPr>
          <w:tab/>
        </w:r>
        <w:r w:rsidR="0052780A">
          <w:rPr>
            <w:noProof/>
            <w:webHidden/>
          </w:rPr>
          <w:fldChar w:fldCharType="begin"/>
        </w:r>
        <w:r w:rsidR="0052780A">
          <w:rPr>
            <w:noProof/>
            <w:webHidden/>
          </w:rPr>
          <w:instrText xml:space="preserve"> PAGEREF _Toc377990110 \h </w:instrText>
        </w:r>
        <w:r w:rsidR="0052780A">
          <w:rPr>
            <w:noProof/>
            <w:webHidden/>
          </w:rPr>
        </w:r>
        <w:r w:rsidR="0052780A">
          <w:rPr>
            <w:noProof/>
            <w:webHidden/>
          </w:rPr>
          <w:fldChar w:fldCharType="separate"/>
        </w:r>
        <w:r w:rsidR="002B36D2">
          <w:rPr>
            <w:noProof/>
            <w:webHidden/>
          </w:rPr>
          <w:t>8</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11" w:history="1">
        <w:r w:rsidR="0052780A" w:rsidRPr="002D1533">
          <w:rPr>
            <w:rStyle w:val="Hyperlink"/>
            <w:noProof/>
          </w:rPr>
          <w:t>Artikel 10 Überprüfung</w:t>
        </w:r>
        <w:r w:rsidR="0052780A">
          <w:rPr>
            <w:noProof/>
            <w:webHidden/>
          </w:rPr>
          <w:tab/>
        </w:r>
        <w:r w:rsidR="0052780A">
          <w:rPr>
            <w:noProof/>
            <w:webHidden/>
          </w:rPr>
          <w:fldChar w:fldCharType="begin"/>
        </w:r>
        <w:r w:rsidR="0052780A">
          <w:rPr>
            <w:noProof/>
            <w:webHidden/>
          </w:rPr>
          <w:instrText xml:space="preserve"> PAGEREF _Toc377990111 \h </w:instrText>
        </w:r>
        <w:r w:rsidR="0052780A">
          <w:rPr>
            <w:noProof/>
            <w:webHidden/>
          </w:rPr>
        </w:r>
        <w:r w:rsidR="0052780A">
          <w:rPr>
            <w:noProof/>
            <w:webHidden/>
          </w:rPr>
          <w:fldChar w:fldCharType="separate"/>
        </w:r>
        <w:r w:rsidR="002B36D2">
          <w:rPr>
            <w:noProof/>
            <w:webHidden/>
          </w:rPr>
          <w:t>8</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12" w:history="1">
        <w:r w:rsidR="0052780A" w:rsidRPr="002D1533">
          <w:rPr>
            <w:rStyle w:val="Hyperlink"/>
            <w:noProof/>
          </w:rPr>
          <w:t>Artikel 11</w:t>
        </w:r>
        <w:r w:rsidR="0052780A">
          <w:rPr>
            <w:noProof/>
            <w:webHidden/>
          </w:rPr>
          <w:tab/>
        </w:r>
        <w:r w:rsidR="0052780A">
          <w:rPr>
            <w:noProof/>
            <w:webHidden/>
          </w:rPr>
          <w:fldChar w:fldCharType="begin"/>
        </w:r>
        <w:r w:rsidR="0052780A">
          <w:rPr>
            <w:noProof/>
            <w:webHidden/>
          </w:rPr>
          <w:instrText xml:space="preserve"> PAGEREF _Toc377990112 \h </w:instrText>
        </w:r>
        <w:r w:rsidR="0052780A">
          <w:rPr>
            <w:noProof/>
            <w:webHidden/>
          </w:rPr>
        </w:r>
        <w:r w:rsidR="0052780A">
          <w:rPr>
            <w:noProof/>
            <w:webHidden/>
          </w:rPr>
          <w:fldChar w:fldCharType="separate"/>
        </w:r>
        <w:r w:rsidR="002B36D2">
          <w:rPr>
            <w:noProof/>
            <w:webHidden/>
          </w:rPr>
          <w:t>9</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13" w:history="1">
        <w:r w:rsidR="0052780A" w:rsidRPr="002D1533">
          <w:rPr>
            <w:rStyle w:val="Hyperlink"/>
            <w:noProof/>
          </w:rPr>
          <w:t>Artikel 12 Ausschuss</w:t>
        </w:r>
        <w:r w:rsidR="0052780A">
          <w:rPr>
            <w:noProof/>
            <w:webHidden/>
          </w:rPr>
          <w:tab/>
        </w:r>
        <w:r w:rsidR="0052780A">
          <w:rPr>
            <w:noProof/>
            <w:webHidden/>
          </w:rPr>
          <w:fldChar w:fldCharType="begin"/>
        </w:r>
        <w:r w:rsidR="0052780A">
          <w:rPr>
            <w:noProof/>
            <w:webHidden/>
          </w:rPr>
          <w:instrText xml:space="preserve"> PAGEREF _Toc377990113 \h </w:instrText>
        </w:r>
        <w:r w:rsidR="0052780A">
          <w:rPr>
            <w:noProof/>
            <w:webHidden/>
          </w:rPr>
        </w:r>
        <w:r w:rsidR="0052780A">
          <w:rPr>
            <w:noProof/>
            <w:webHidden/>
          </w:rPr>
          <w:fldChar w:fldCharType="separate"/>
        </w:r>
        <w:r w:rsidR="002B36D2">
          <w:rPr>
            <w:noProof/>
            <w:webHidden/>
          </w:rPr>
          <w:t>10</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14" w:history="1">
        <w:r w:rsidR="0052780A" w:rsidRPr="002D1533">
          <w:rPr>
            <w:rStyle w:val="Hyperlink"/>
            <w:noProof/>
          </w:rPr>
          <w:t>Artikel 13 Sanktionen</w:t>
        </w:r>
        <w:r w:rsidR="0052780A">
          <w:rPr>
            <w:noProof/>
            <w:webHidden/>
          </w:rPr>
          <w:tab/>
        </w:r>
        <w:r w:rsidR="0052780A">
          <w:rPr>
            <w:noProof/>
            <w:webHidden/>
          </w:rPr>
          <w:fldChar w:fldCharType="begin"/>
        </w:r>
        <w:r w:rsidR="0052780A">
          <w:rPr>
            <w:noProof/>
            <w:webHidden/>
          </w:rPr>
          <w:instrText xml:space="preserve"> PAGEREF _Toc377990114 \h </w:instrText>
        </w:r>
        <w:r w:rsidR="0052780A">
          <w:rPr>
            <w:noProof/>
            <w:webHidden/>
          </w:rPr>
        </w:r>
        <w:r w:rsidR="0052780A">
          <w:rPr>
            <w:noProof/>
            <w:webHidden/>
          </w:rPr>
          <w:fldChar w:fldCharType="separate"/>
        </w:r>
        <w:r w:rsidR="002B36D2">
          <w:rPr>
            <w:noProof/>
            <w:webHidden/>
          </w:rPr>
          <w:t>10</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15" w:history="1">
        <w:r w:rsidR="0052780A" w:rsidRPr="002D1533">
          <w:rPr>
            <w:rStyle w:val="Hyperlink"/>
            <w:noProof/>
          </w:rPr>
          <w:t>Artikel 14</w:t>
        </w:r>
        <w:r w:rsidR="0052780A">
          <w:rPr>
            <w:noProof/>
            <w:webHidden/>
          </w:rPr>
          <w:tab/>
        </w:r>
        <w:r w:rsidR="0052780A">
          <w:rPr>
            <w:noProof/>
            <w:webHidden/>
          </w:rPr>
          <w:fldChar w:fldCharType="begin"/>
        </w:r>
        <w:r w:rsidR="0052780A">
          <w:rPr>
            <w:noProof/>
            <w:webHidden/>
          </w:rPr>
          <w:instrText xml:space="preserve"> PAGEREF _Toc377990115 \h </w:instrText>
        </w:r>
        <w:r w:rsidR="0052780A">
          <w:rPr>
            <w:noProof/>
            <w:webHidden/>
          </w:rPr>
        </w:r>
        <w:r w:rsidR="0052780A">
          <w:rPr>
            <w:noProof/>
            <w:webHidden/>
          </w:rPr>
          <w:fldChar w:fldCharType="separate"/>
        </w:r>
        <w:r w:rsidR="002B36D2">
          <w:rPr>
            <w:noProof/>
            <w:webHidden/>
          </w:rPr>
          <w:t>10</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16" w:history="1">
        <w:r w:rsidR="0052780A" w:rsidRPr="002D1533">
          <w:rPr>
            <w:rStyle w:val="Hyperlink"/>
            <w:noProof/>
          </w:rPr>
          <w:t>Artikel 15 Inkrafttreten</w:t>
        </w:r>
        <w:r w:rsidR="0052780A">
          <w:rPr>
            <w:noProof/>
            <w:webHidden/>
          </w:rPr>
          <w:tab/>
        </w:r>
        <w:r w:rsidR="0052780A">
          <w:rPr>
            <w:noProof/>
            <w:webHidden/>
          </w:rPr>
          <w:fldChar w:fldCharType="begin"/>
        </w:r>
        <w:r w:rsidR="0052780A">
          <w:rPr>
            <w:noProof/>
            <w:webHidden/>
          </w:rPr>
          <w:instrText xml:space="preserve"> PAGEREF _Toc377990116 \h </w:instrText>
        </w:r>
        <w:r w:rsidR="0052780A">
          <w:rPr>
            <w:noProof/>
            <w:webHidden/>
          </w:rPr>
        </w:r>
        <w:r w:rsidR="0052780A">
          <w:rPr>
            <w:noProof/>
            <w:webHidden/>
          </w:rPr>
          <w:fldChar w:fldCharType="separate"/>
        </w:r>
        <w:r w:rsidR="002B36D2">
          <w:rPr>
            <w:noProof/>
            <w:webHidden/>
          </w:rPr>
          <w:t>10</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17" w:history="1">
        <w:r w:rsidR="0052780A" w:rsidRPr="002D1533">
          <w:rPr>
            <w:rStyle w:val="Hyperlink"/>
            <w:noProof/>
          </w:rPr>
          <w:t>ANHANG I</w:t>
        </w:r>
        <w:r w:rsidR="0052780A">
          <w:rPr>
            <w:noProof/>
            <w:webHidden/>
          </w:rPr>
          <w:tab/>
        </w:r>
        <w:r w:rsidR="0052780A">
          <w:rPr>
            <w:noProof/>
            <w:webHidden/>
          </w:rPr>
          <w:fldChar w:fldCharType="begin"/>
        </w:r>
        <w:r w:rsidR="0052780A">
          <w:rPr>
            <w:noProof/>
            <w:webHidden/>
          </w:rPr>
          <w:instrText xml:space="preserve"> PAGEREF _Toc377990117 \h </w:instrText>
        </w:r>
        <w:r w:rsidR="0052780A">
          <w:rPr>
            <w:noProof/>
            <w:webHidden/>
          </w:rPr>
        </w:r>
        <w:r w:rsidR="0052780A">
          <w:rPr>
            <w:noProof/>
            <w:webHidden/>
          </w:rPr>
          <w:fldChar w:fldCharType="separate"/>
        </w:r>
        <w:r w:rsidR="002B36D2">
          <w:rPr>
            <w:noProof/>
            <w:webHidden/>
          </w:rPr>
          <w:t>11</w:t>
        </w:r>
        <w:r w:rsidR="0052780A">
          <w:rPr>
            <w:noProof/>
            <w:webHidden/>
          </w:rPr>
          <w:fldChar w:fldCharType="end"/>
        </w:r>
      </w:hyperlink>
    </w:p>
    <w:p w:rsidR="0052780A" w:rsidRDefault="00C37F57">
      <w:pPr>
        <w:pStyle w:val="Verzeichnis2"/>
        <w:rPr>
          <w:rFonts w:asciiTheme="minorHAnsi" w:eastAsiaTheme="minorEastAsia" w:hAnsiTheme="minorHAnsi" w:cstheme="minorBidi"/>
          <w:smallCaps w:val="0"/>
          <w:noProof/>
          <w:sz w:val="22"/>
          <w:szCs w:val="22"/>
        </w:rPr>
      </w:pPr>
      <w:hyperlink w:anchor="_Toc377990118" w:history="1">
        <w:r w:rsidR="0052780A" w:rsidRPr="002D1533">
          <w:rPr>
            <w:rStyle w:val="Hyperlink"/>
            <w:noProof/>
          </w:rPr>
          <w:t>ANHANG II</w:t>
        </w:r>
        <w:r w:rsidR="0052780A">
          <w:rPr>
            <w:noProof/>
            <w:webHidden/>
          </w:rPr>
          <w:tab/>
        </w:r>
        <w:r w:rsidR="0052780A">
          <w:rPr>
            <w:noProof/>
            <w:webHidden/>
          </w:rPr>
          <w:fldChar w:fldCharType="begin"/>
        </w:r>
        <w:r w:rsidR="0052780A">
          <w:rPr>
            <w:noProof/>
            <w:webHidden/>
          </w:rPr>
          <w:instrText xml:space="preserve"> PAGEREF _Toc377990118 \h </w:instrText>
        </w:r>
        <w:r w:rsidR="0052780A">
          <w:rPr>
            <w:noProof/>
            <w:webHidden/>
          </w:rPr>
        </w:r>
        <w:r w:rsidR="0052780A">
          <w:rPr>
            <w:noProof/>
            <w:webHidden/>
          </w:rPr>
          <w:fldChar w:fldCharType="separate"/>
        </w:r>
        <w:r w:rsidR="002B36D2">
          <w:rPr>
            <w:noProof/>
            <w:webHidden/>
          </w:rPr>
          <w:t>12</w:t>
        </w:r>
        <w:r w:rsidR="0052780A">
          <w:rPr>
            <w:noProof/>
            <w:webHidden/>
          </w:rPr>
          <w:fldChar w:fldCharType="end"/>
        </w:r>
      </w:hyperlink>
    </w:p>
    <w:p w:rsidR="00C77B3F" w:rsidRPr="0052780A" w:rsidRDefault="0052780A" w:rsidP="0052780A">
      <w:pPr>
        <w:pStyle w:val="GesAbsatz"/>
      </w:pPr>
      <w:r>
        <w:rPr>
          <w:sz w:val="22"/>
        </w:rPr>
        <w:fldChar w:fldCharType="end"/>
      </w:r>
    </w:p>
    <w:p w:rsidR="00B134F4" w:rsidRDefault="00B134F4" w:rsidP="00B134F4">
      <w:pPr>
        <w:pStyle w:val="GesAbsatz"/>
      </w:pPr>
      <w:r>
        <w:t>DAS EUROPÄISCHE PARLAMENT UND DER RAT DER EUROPÄISCHEN</w:t>
      </w:r>
      <w:r w:rsidR="00C77B3F">
        <w:t xml:space="preserve"> </w:t>
      </w:r>
      <w:r>
        <w:t>UNION —</w:t>
      </w:r>
    </w:p>
    <w:p w:rsidR="00B134F4" w:rsidRDefault="00B134F4" w:rsidP="00B134F4">
      <w:pPr>
        <w:pStyle w:val="GesAbsatz"/>
      </w:pPr>
      <w:r>
        <w:t>gestützt auf den Vertrag zur Gründung der Europäischen</w:t>
      </w:r>
      <w:r w:rsidR="00C77B3F">
        <w:t xml:space="preserve"> </w:t>
      </w:r>
      <w:r>
        <w:t>Gemeinschaft, insbesondere auf Artikel 175 A</w:t>
      </w:r>
      <w:r>
        <w:t>b</w:t>
      </w:r>
      <w:r>
        <w:t>satz</w:t>
      </w:r>
      <w:r w:rsidR="00C77B3F">
        <w:t> </w:t>
      </w:r>
      <w:r>
        <w:t>1 und</w:t>
      </w:r>
      <w:r w:rsidR="00C77B3F">
        <w:t xml:space="preserve"> </w:t>
      </w:r>
      <w:r>
        <w:t>Artikel 95 in Bezug auf die Artikel 7, 8 und 9 dieser Verordnung,</w:t>
      </w:r>
    </w:p>
    <w:p w:rsidR="00B134F4" w:rsidRDefault="00B134F4" w:rsidP="00B134F4">
      <w:pPr>
        <w:pStyle w:val="GesAbsatz"/>
      </w:pPr>
      <w:r>
        <w:t>auf Vorschlag der Kommission,</w:t>
      </w:r>
    </w:p>
    <w:p w:rsidR="00B134F4" w:rsidRDefault="00B134F4" w:rsidP="00B134F4">
      <w:pPr>
        <w:pStyle w:val="GesAbsatz"/>
      </w:pPr>
      <w:r>
        <w:t>nach Stellungnahme des Europäischen Wirtschafts- und Sozialausschusses</w:t>
      </w:r>
      <w:r w:rsidR="00C77B3F">
        <w:rPr>
          <w:rStyle w:val="Funotenzeichen"/>
        </w:rPr>
        <w:footnoteReference w:id="1"/>
      </w:r>
      <w:r>
        <w:t>,</w:t>
      </w:r>
    </w:p>
    <w:p w:rsidR="00B134F4" w:rsidRDefault="00B134F4" w:rsidP="00B134F4">
      <w:pPr>
        <w:pStyle w:val="GesAbsatz"/>
      </w:pPr>
      <w:r>
        <w:t>gemäß dem Verfahren des Artikels 251 des Vertrags</w:t>
      </w:r>
      <w:r w:rsidR="00C77B3F">
        <w:rPr>
          <w:rStyle w:val="Funotenzeichen"/>
        </w:rPr>
        <w:footnoteReference w:id="2"/>
      </w:r>
      <w:r>
        <w:t>, aufgrund</w:t>
      </w:r>
      <w:r w:rsidR="00C77B3F">
        <w:t xml:space="preserve"> </w:t>
      </w:r>
      <w:r>
        <w:t>des vom Vermittlungsausschuss am 14.</w:t>
      </w:r>
      <w:r w:rsidR="00C77B3F">
        <w:t> </w:t>
      </w:r>
      <w:r>
        <w:t>März 2006 gebilligten</w:t>
      </w:r>
      <w:r w:rsidR="00C77B3F">
        <w:t xml:space="preserve"> </w:t>
      </w:r>
      <w:r>
        <w:t>gemeinsamen Entwurfs,</w:t>
      </w:r>
    </w:p>
    <w:p w:rsidR="00B134F4" w:rsidRDefault="00B134F4" w:rsidP="00B134F4">
      <w:pPr>
        <w:pStyle w:val="GesAbsatz"/>
      </w:pPr>
      <w:r>
        <w:t>in Erwägung nachstehender Gründe:</w:t>
      </w:r>
    </w:p>
    <w:p w:rsidR="00B134F4" w:rsidRDefault="00B134F4" w:rsidP="00B134F4">
      <w:pPr>
        <w:pStyle w:val="GesAbsatz"/>
      </w:pPr>
      <w:r>
        <w:t>(1) Das sechste Umweltaktionsprogramm der Gemeinschaft</w:t>
      </w:r>
      <w:r w:rsidR="00C77B3F">
        <w:rPr>
          <w:rStyle w:val="Funotenzeichen"/>
        </w:rPr>
        <w:footnoteReference w:id="3"/>
      </w:r>
      <w:r w:rsidR="00C77B3F">
        <w:t xml:space="preserve"> </w:t>
      </w:r>
      <w:r>
        <w:t>benennt die Klimaänderung als Hauptschwe</w:t>
      </w:r>
      <w:r>
        <w:t>r</w:t>
      </w:r>
      <w:r>
        <w:t>punkt für</w:t>
      </w:r>
      <w:r w:rsidR="00C77B3F">
        <w:t xml:space="preserve"> </w:t>
      </w:r>
      <w:r>
        <w:t>Maßnahmen. In diesem Programm wird anerkannt, dass die</w:t>
      </w:r>
      <w:r w:rsidR="00C77B3F">
        <w:t xml:space="preserve"> </w:t>
      </w:r>
      <w:r>
        <w:t>Gemeinschaft sich verpflichtet hat, bei den Treibhausgasemissionen</w:t>
      </w:r>
      <w:r w:rsidR="00C77B3F">
        <w:t xml:space="preserve"> </w:t>
      </w:r>
      <w:r>
        <w:t>eine Verringerung um 8 % im Zeitraum von</w:t>
      </w:r>
      <w:r w:rsidR="00C77B3F">
        <w:t xml:space="preserve"> </w:t>
      </w:r>
      <w:r>
        <w:t>2008 bis 2012 gegenüber dem Stand von 1990 zu erzielen,</w:t>
      </w:r>
      <w:r w:rsidR="00C77B3F">
        <w:t xml:space="preserve"> </w:t>
      </w:r>
      <w:r>
        <w:t>und dass die globalen Emissionen von Treibhausgasen</w:t>
      </w:r>
      <w:r w:rsidR="00C77B3F">
        <w:t xml:space="preserve"> </w:t>
      </w:r>
      <w:r>
        <w:t>längerfristig gegenüber dem Stand von 1990 um ca. 70 %</w:t>
      </w:r>
      <w:r w:rsidR="00C77B3F">
        <w:t xml:space="preserve"> </w:t>
      </w:r>
      <w:r>
        <w:t>gesenkt werden müssen.</w:t>
      </w:r>
    </w:p>
    <w:p w:rsidR="00B134F4" w:rsidRDefault="00B134F4" w:rsidP="00B134F4">
      <w:pPr>
        <w:pStyle w:val="GesAbsatz"/>
      </w:pPr>
      <w:r>
        <w:t>(2) Das vorrangige Ziel des Rahmenübereinkommens der</w:t>
      </w:r>
      <w:r w:rsidR="00C77B3F">
        <w:t xml:space="preserve"> </w:t>
      </w:r>
      <w:r>
        <w:t>Vereinten Nationen über Klimaänderungen, das durch den</w:t>
      </w:r>
      <w:r w:rsidR="00C77B3F">
        <w:t xml:space="preserve"> </w:t>
      </w:r>
      <w:r>
        <w:t>Beschluss 94/69/EG des Rates vom 15. Dezember 1993</w:t>
      </w:r>
      <w:r w:rsidR="00C77B3F">
        <w:t xml:space="preserve"> </w:t>
      </w:r>
      <w:r>
        <w:t>über den Abschluss des Rahme</w:t>
      </w:r>
      <w:r>
        <w:t>n</w:t>
      </w:r>
      <w:r>
        <w:t>übereinkommens der</w:t>
      </w:r>
      <w:r w:rsidR="00C77B3F">
        <w:t xml:space="preserve"> </w:t>
      </w:r>
      <w:r>
        <w:t>Vereinten Nationen über Klimaänderungen</w:t>
      </w:r>
      <w:r w:rsidR="00C77B3F">
        <w:rPr>
          <w:rStyle w:val="Funotenzeichen"/>
        </w:rPr>
        <w:footnoteReference w:id="4"/>
      </w:r>
      <w:r>
        <w:t xml:space="preserve"> genehmigt</w:t>
      </w:r>
      <w:r w:rsidR="00C77B3F">
        <w:t xml:space="preserve"> </w:t>
      </w:r>
      <w:r>
        <w:t>wurde, besteht darin, die Ko</w:t>
      </w:r>
      <w:r>
        <w:t>n</w:t>
      </w:r>
      <w:r>
        <w:lastRenderedPageBreak/>
        <w:t>zentration von Treibhausgasen</w:t>
      </w:r>
      <w:r w:rsidR="00C77B3F">
        <w:t xml:space="preserve"> </w:t>
      </w:r>
      <w:r>
        <w:t>in der Atmosphäre auf einem Niveau zu stabilisieren, das</w:t>
      </w:r>
      <w:r w:rsidR="00C77B3F">
        <w:t xml:space="preserve"> </w:t>
      </w:r>
      <w:r>
        <w:t>eine gefährliche anthropogene Beeinträchtigung des Klimasystems</w:t>
      </w:r>
      <w:r w:rsidR="00C77B3F">
        <w:t xml:space="preserve"> </w:t>
      </w:r>
      <w:r>
        <w:t>verhindert.</w:t>
      </w:r>
    </w:p>
    <w:p w:rsidR="00B134F4" w:rsidRDefault="00B134F4" w:rsidP="00B134F4">
      <w:pPr>
        <w:pStyle w:val="GesAbsatz"/>
      </w:pPr>
      <w:r>
        <w:t>(3) Die Entscheidung 2002/358/EG des Rates vom 25. April</w:t>
      </w:r>
      <w:r w:rsidR="00C77B3F">
        <w:t xml:space="preserve"> </w:t>
      </w:r>
      <w:r>
        <w:t>2002 über die Genehmigung des Protokolls von Kyoto zum</w:t>
      </w:r>
      <w:r w:rsidR="00C77B3F">
        <w:t xml:space="preserve"> </w:t>
      </w:r>
      <w:r>
        <w:t>Rahmenübereinkommen der Vereinten Nationen über</w:t>
      </w:r>
      <w:r w:rsidR="00C77B3F">
        <w:t xml:space="preserve"> </w:t>
      </w:r>
      <w:r>
        <w:t>Klimaänderungen im Namen der Europä</w:t>
      </w:r>
      <w:r>
        <w:t>i</w:t>
      </w:r>
      <w:r>
        <w:t>schen Gemeinschaft</w:t>
      </w:r>
      <w:r w:rsidR="00C77B3F">
        <w:t xml:space="preserve"> </w:t>
      </w:r>
      <w:r>
        <w:t>sowie die gemeinsame Erfüllung der daraus erwachsenden</w:t>
      </w:r>
      <w:r w:rsidR="00C77B3F">
        <w:t xml:space="preserve"> </w:t>
      </w:r>
      <w:r>
        <w:t>Verpflichtungen</w:t>
      </w:r>
      <w:r w:rsidR="00C77B3F">
        <w:rPr>
          <w:rStyle w:val="Funotenzeichen"/>
        </w:rPr>
        <w:footnoteReference w:id="5"/>
      </w:r>
      <w:r>
        <w:t xml:space="preserve"> verpflic</w:t>
      </w:r>
      <w:r>
        <w:t>h</w:t>
      </w:r>
      <w:r>
        <w:t>tet die Gemeinschaft</w:t>
      </w:r>
      <w:r w:rsidR="00C77B3F">
        <w:t xml:space="preserve"> </w:t>
      </w:r>
      <w:r>
        <w:t>und ihre Mitgliedstaaten, die Gesamtmenge ihrer anthropogenen</w:t>
      </w:r>
      <w:r w:rsidR="00C77B3F">
        <w:t xml:space="preserve"> </w:t>
      </w:r>
      <w:r>
        <w:t>Emissionen von Treibhausgasen, die in Anhang A des</w:t>
      </w:r>
      <w:r w:rsidR="00C77B3F">
        <w:t xml:space="preserve"> </w:t>
      </w:r>
      <w:r>
        <w:t>Kyoto-Protokolls aufgeführt sind, im Zeitraum von</w:t>
      </w:r>
      <w:r w:rsidR="00C77B3F">
        <w:t xml:space="preserve"> </w:t>
      </w:r>
      <w:r>
        <w:t>2008 bis 2012 g</w:t>
      </w:r>
      <w:r>
        <w:t>e</w:t>
      </w:r>
      <w:r>
        <w:t>genüber dem Stand von 1990 um 8 %</w:t>
      </w:r>
      <w:r w:rsidR="00C77B3F">
        <w:t xml:space="preserve"> </w:t>
      </w:r>
      <w:r>
        <w:t>zu senken.</w:t>
      </w:r>
    </w:p>
    <w:p w:rsidR="00B134F4" w:rsidRDefault="00B134F4" w:rsidP="00B134F4">
      <w:pPr>
        <w:pStyle w:val="GesAbsatz"/>
      </w:pPr>
      <w:r>
        <w:t>(4) Die meisten im Kyoto-Protokoll und in dieser Verordnung</w:t>
      </w:r>
      <w:r w:rsidR="00C77B3F">
        <w:t xml:space="preserve"> </w:t>
      </w:r>
      <w:r>
        <w:t>geregelten fluorierten Gase haben ein hohes Treibhauspotenzial.</w:t>
      </w:r>
    </w:p>
    <w:p w:rsidR="00B134F4" w:rsidRDefault="00B134F4" w:rsidP="00B134F4">
      <w:pPr>
        <w:pStyle w:val="GesAbsatz"/>
      </w:pPr>
      <w:r>
        <w:t>(5) Es sollten Bestimmungen zur Verhinderung und Minimierung</w:t>
      </w:r>
      <w:r w:rsidR="00C77B3F">
        <w:t xml:space="preserve"> </w:t>
      </w:r>
      <w:r>
        <w:t>der Emissionen fluorierter Treibhausgase erlassen</w:t>
      </w:r>
      <w:r w:rsidR="00C77B3F">
        <w:t xml:space="preserve"> </w:t>
      </w:r>
      <w:r>
        <w:t>werden, die unbeschadet der Richtlinie 75/442/EWG des</w:t>
      </w:r>
      <w:r w:rsidR="00C77B3F">
        <w:t xml:space="preserve"> </w:t>
      </w:r>
      <w:r>
        <w:t>Rates vom 15. Juli 1975 über Abfälle</w:t>
      </w:r>
      <w:r w:rsidR="00C77B3F">
        <w:rPr>
          <w:rStyle w:val="Funotenzeichen"/>
        </w:rPr>
        <w:footnoteReference w:id="6"/>
      </w:r>
      <w:r>
        <w:t>, der Richtlinie 96/61/EG des Rates vom 24. September 1996 über die</w:t>
      </w:r>
      <w:r w:rsidR="00C77B3F">
        <w:t xml:space="preserve"> </w:t>
      </w:r>
      <w:r>
        <w:t>integrierte Vermeidung und Verminderung der Umweltverschmutzung</w:t>
      </w:r>
      <w:r w:rsidR="00C77B3F">
        <w:rPr>
          <w:rStyle w:val="Funotenzeichen"/>
        </w:rPr>
        <w:footnoteReference w:id="7"/>
      </w:r>
      <w:r>
        <w:t>, der Richtlinie 2000/53/EG des Europäischen</w:t>
      </w:r>
      <w:r w:rsidR="00C77B3F">
        <w:t xml:space="preserve"> </w:t>
      </w:r>
      <w:r>
        <w:t>Parlaments und des Rates vom 18.</w:t>
      </w:r>
      <w:r w:rsidR="00C77B3F">
        <w:t> </w:t>
      </w:r>
      <w:r>
        <w:t>September</w:t>
      </w:r>
      <w:r w:rsidR="00C77B3F">
        <w:t xml:space="preserve"> </w:t>
      </w:r>
      <w:r>
        <w:t>2000 über Altfahrzeuge</w:t>
      </w:r>
      <w:r w:rsidR="00C77B3F">
        <w:rPr>
          <w:rStyle w:val="Funotenzeichen"/>
        </w:rPr>
        <w:footnoteReference w:id="8"/>
      </w:r>
      <w:r>
        <w:t xml:space="preserve"> und der Richtlinie 2002/96/EG</w:t>
      </w:r>
      <w:r w:rsidR="00C77B3F">
        <w:t xml:space="preserve"> </w:t>
      </w:r>
      <w:r>
        <w:t>des Europäischen Parlaments und des Rates vom 27. Januar</w:t>
      </w:r>
      <w:r w:rsidR="00C77B3F">
        <w:t xml:space="preserve"> </w:t>
      </w:r>
      <w:r>
        <w:t>2003 über Elektro- und Elektronik-Altgeräte</w:t>
      </w:r>
      <w:r w:rsidR="00C77B3F">
        <w:rPr>
          <w:rStyle w:val="Funotenzeichen"/>
        </w:rPr>
        <w:footnoteReference w:id="9"/>
      </w:r>
      <w:r>
        <w:t xml:space="preserve"> gelten.</w:t>
      </w:r>
    </w:p>
    <w:p w:rsidR="00B134F4" w:rsidRDefault="00B134F4" w:rsidP="00B134F4">
      <w:pPr>
        <w:pStyle w:val="GesAbsatz"/>
      </w:pPr>
      <w:r>
        <w:t>(6) Das vorrangige Ziel dieser Verordnung ist es, die Emissionen</w:t>
      </w:r>
      <w:r w:rsidR="00097194">
        <w:t xml:space="preserve"> </w:t>
      </w:r>
      <w:r>
        <w:t>der unter das Kyoto-Protokoll fallenden fluorierten</w:t>
      </w:r>
      <w:r w:rsidR="00097194">
        <w:t xml:space="preserve"> </w:t>
      </w:r>
      <w:r>
        <w:t>Treibhausgase zu verringern und so die Umwelt zu</w:t>
      </w:r>
      <w:r w:rsidR="00097194">
        <w:t xml:space="preserve"> </w:t>
      </w:r>
      <w:r>
        <w:t>schützen. Rechtsgrundlage sollte daher Art</w:t>
      </w:r>
      <w:r>
        <w:t>i</w:t>
      </w:r>
      <w:r>
        <w:t>kel</w:t>
      </w:r>
      <w:r w:rsidR="00097194">
        <w:t> </w:t>
      </w:r>
      <w:r>
        <w:t>175 Absatz 1</w:t>
      </w:r>
      <w:r w:rsidR="00097194">
        <w:t xml:space="preserve"> </w:t>
      </w:r>
      <w:r>
        <w:t>des Vertrags sein.</w:t>
      </w:r>
    </w:p>
    <w:p w:rsidR="00B134F4" w:rsidRDefault="00B134F4" w:rsidP="00B134F4">
      <w:pPr>
        <w:pStyle w:val="GesAbsatz"/>
      </w:pPr>
      <w:r>
        <w:t>(7) Es sollten jedoch auf Gemeinschaftsebene Maßnahmen auf</w:t>
      </w:r>
      <w:r w:rsidR="001615B4">
        <w:t xml:space="preserve"> </w:t>
      </w:r>
      <w:r>
        <w:t>der Grundlage von Artikel 95 des Vertrags ergriffen werden,</w:t>
      </w:r>
      <w:r w:rsidR="001615B4">
        <w:t xml:space="preserve"> </w:t>
      </w:r>
      <w:r>
        <w:t>um die Anforderungen hinsichtlich der Verwendung</w:t>
      </w:r>
      <w:r w:rsidR="001615B4">
        <w:t xml:space="preserve"> </w:t>
      </w:r>
      <w:r>
        <w:t>fluorierter Treibhausgase sowie hi</w:t>
      </w:r>
      <w:r>
        <w:t>n</w:t>
      </w:r>
      <w:r>
        <w:t>sichtlich des Inverkehrbringens</w:t>
      </w:r>
      <w:r w:rsidR="001615B4">
        <w:t xml:space="preserve"> </w:t>
      </w:r>
      <w:r>
        <w:t>und der Kennzeichnung von Erzeugnissen und</w:t>
      </w:r>
      <w:r w:rsidR="001615B4">
        <w:t xml:space="preserve"> </w:t>
      </w:r>
      <w:r>
        <w:t>Einrichtungen, die fluorierte Treibhausgase enthalten, zu</w:t>
      </w:r>
      <w:r w:rsidR="001615B4">
        <w:t xml:space="preserve"> </w:t>
      </w:r>
      <w:r>
        <w:t>harmonisieren. Für bestimmte Anwendungen erscheinen</w:t>
      </w:r>
      <w:r w:rsidR="001615B4">
        <w:t xml:space="preserve"> </w:t>
      </w:r>
      <w:r>
        <w:t>Beschränkungen des Inverkehrbringens und der Verwendung</w:t>
      </w:r>
      <w:r w:rsidR="001615B4">
        <w:t xml:space="preserve"> </w:t>
      </w:r>
      <w:r>
        <w:t>fluorierter Treibhausgase angemessen, wenn realisierbare</w:t>
      </w:r>
      <w:r w:rsidR="001615B4">
        <w:t xml:space="preserve"> </w:t>
      </w:r>
      <w:r>
        <w:t>Alternat</w:t>
      </w:r>
      <w:r>
        <w:t>i</w:t>
      </w:r>
      <w:r>
        <w:t>ven vorhanden und Verbesserungen bei</w:t>
      </w:r>
      <w:r w:rsidR="001615B4">
        <w:t xml:space="preserve"> </w:t>
      </w:r>
      <w:r>
        <w:t>Emissionsminderungen und Rückgewinnung nicht möglich</w:t>
      </w:r>
      <w:r w:rsidR="001615B4">
        <w:t xml:space="preserve"> </w:t>
      </w:r>
      <w:r>
        <w:t>sind. Freiwillige Initiativen einiger Industriebranchen sollten</w:t>
      </w:r>
      <w:r w:rsidR="001615B4">
        <w:t xml:space="preserve"> </w:t>
      </w:r>
      <w:r>
        <w:t>ebenso berücksichtigt werden wie die Tatsache, dass noch</w:t>
      </w:r>
      <w:r w:rsidR="001615B4">
        <w:t xml:space="preserve"> </w:t>
      </w:r>
      <w:r>
        <w:t>an der Entwicklung von Alternativen gearbeitet wird.</w:t>
      </w:r>
    </w:p>
    <w:p w:rsidR="00B134F4" w:rsidRDefault="00B134F4" w:rsidP="00B134F4">
      <w:pPr>
        <w:pStyle w:val="GesAbsatz"/>
      </w:pPr>
      <w:r>
        <w:t>(8) Die Anwendung und Durchsetzung dieser Verordnung</w:t>
      </w:r>
      <w:r w:rsidR="001615B4">
        <w:t xml:space="preserve"> </w:t>
      </w:r>
      <w:r>
        <w:t>sollte der technologischen Innovation Impulse geben,</w:t>
      </w:r>
      <w:r w:rsidR="001615B4">
        <w:t xml:space="preserve"> </w:t>
      </w:r>
      <w:r>
        <w:t>indem die kontinuierliche Entwicklung von Alternativtechnologien</w:t>
      </w:r>
      <w:r w:rsidR="001615B4">
        <w:t xml:space="preserve"> </w:t>
      </w:r>
      <w:r>
        <w:t>und der Übergang zu bereits vo</w:t>
      </w:r>
      <w:r>
        <w:t>r</w:t>
      </w:r>
      <w:r>
        <w:t>handenen</w:t>
      </w:r>
      <w:r w:rsidR="001615B4">
        <w:t xml:space="preserve"> </w:t>
      </w:r>
      <w:r>
        <w:t>umweltfreundlicheren Technologien gefördert werden.</w:t>
      </w:r>
    </w:p>
    <w:p w:rsidR="00B134F4" w:rsidRDefault="00B134F4" w:rsidP="00B134F4">
      <w:pPr>
        <w:pStyle w:val="GesAbsatz"/>
      </w:pPr>
      <w:r>
        <w:t>(9) Die Mitgliedstaaten sollten die grenzüberschreitende Verbringung</w:t>
      </w:r>
      <w:r w:rsidR="001615B4">
        <w:t xml:space="preserve"> </w:t>
      </w:r>
      <w:r>
        <w:t>von rückgewonnenen fluorierten Trei</w:t>
      </w:r>
      <w:r>
        <w:t>b</w:t>
      </w:r>
      <w:r>
        <w:t>hausgasen</w:t>
      </w:r>
      <w:r w:rsidR="001615B4">
        <w:t xml:space="preserve"> </w:t>
      </w:r>
      <w:r>
        <w:t>innerhalb der Gemeinschaft zum Zweck ihrer Zerstörung</w:t>
      </w:r>
      <w:r w:rsidR="001615B4">
        <w:t xml:space="preserve"> </w:t>
      </w:r>
      <w:r>
        <w:t>oder Aufbereitung im Einklang mit der Verordnung des</w:t>
      </w:r>
      <w:r w:rsidR="001615B4">
        <w:t xml:space="preserve"> </w:t>
      </w:r>
      <w:r>
        <w:t>Europäischen Parlaments und des Rates über die Verbringung</w:t>
      </w:r>
      <w:r w:rsidR="001615B4">
        <w:t xml:space="preserve"> </w:t>
      </w:r>
      <w:r>
        <w:t>von Abfällen</w:t>
      </w:r>
      <w:r w:rsidR="001615B4">
        <w:rPr>
          <w:rStyle w:val="Funotenzeichen"/>
        </w:rPr>
        <w:footnoteReference w:id="10"/>
      </w:r>
      <w:r>
        <w:t xml:space="preserve"> erleichtern.</w:t>
      </w:r>
    </w:p>
    <w:p w:rsidR="00B134F4" w:rsidRDefault="00B134F4" w:rsidP="00B134F4">
      <w:pPr>
        <w:pStyle w:val="GesAbsatz"/>
      </w:pPr>
      <w:r>
        <w:t>(10) Das Inverkehrbringen von in Anhang II aufgeführten</w:t>
      </w:r>
      <w:r w:rsidR="001615B4">
        <w:t xml:space="preserve"> </w:t>
      </w:r>
      <w:r>
        <w:t>Erzeugnissen und Einrichtungen, die fluorierte Treibhausgase</w:t>
      </w:r>
      <w:r w:rsidR="001615B4">
        <w:t xml:space="preserve"> </w:t>
      </w:r>
      <w:r>
        <w:t>enthalten, steht den Zielen und Verpflichtungen der</w:t>
      </w:r>
      <w:r w:rsidR="001615B4">
        <w:t xml:space="preserve"> </w:t>
      </w:r>
      <w:r>
        <w:t>Gemeinschaft und ihrer Mitgliedstaaten hinsichtlich der</w:t>
      </w:r>
      <w:r w:rsidR="001615B4">
        <w:t xml:space="preserve"> </w:t>
      </w:r>
      <w:r>
        <w:t>Klimaänderung entgegen; daher muss das Inverkehrbringen</w:t>
      </w:r>
      <w:r w:rsidR="001615B4">
        <w:t xml:space="preserve"> </w:t>
      </w:r>
      <w:r>
        <w:t>dieser Erzeugnisse und Einric</w:t>
      </w:r>
      <w:r>
        <w:t>h</w:t>
      </w:r>
      <w:r>
        <w:t>tungen, was die Gemeinschaft</w:t>
      </w:r>
      <w:r w:rsidR="001615B4">
        <w:t xml:space="preserve"> </w:t>
      </w:r>
      <w:r>
        <w:t>betrifft, eingeschränkt werden. Dies könnte auch für</w:t>
      </w:r>
      <w:r w:rsidR="001615B4">
        <w:t xml:space="preserve"> </w:t>
      </w:r>
      <w:r>
        <w:t>andere Anwendungen gelten, die fluorierte Treibhausgase</w:t>
      </w:r>
      <w:r w:rsidR="001615B4">
        <w:t xml:space="preserve"> </w:t>
      </w:r>
      <w:r>
        <w:t>enthalten, weshalb unter Berücksichtigung des Nutzens für</w:t>
      </w:r>
      <w:r w:rsidR="001615B4">
        <w:t xml:space="preserve"> </w:t>
      </w:r>
      <w:r>
        <w:t>die Umwelt, der technischen Machbarkeit und der Kosteneffizienz</w:t>
      </w:r>
      <w:r w:rsidR="001615B4">
        <w:t xml:space="preserve"> </w:t>
      </w:r>
      <w:r>
        <w:t>geprüft werden sollte, ob eine Notwendigkeit</w:t>
      </w:r>
      <w:r w:rsidR="001615B4">
        <w:t xml:space="preserve"> </w:t>
      </w:r>
      <w:r>
        <w:t>dafür besteht, Anhang II auszuweiten.</w:t>
      </w:r>
    </w:p>
    <w:p w:rsidR="00B134F4" w:rsidRDefault="00B134F4" w:rsidP="00B134F4">
      <w:pPr>
        <w:pStyle w:val="GesAbsatz"/>
      </w:pPr>
      <w:r>
        <w:t>(11) In Anhang II der Entscheidung 2002/358/EG werden</w:t>
      </w:r>
      <w:r w:rsidR="001615B4">
        <w:t xml:space="preserve"> </w:t>
      </w:r>
      <w:r>
        <w:t>unterschiedliche Reduktionsziele für einzelne Mi</w:t>
      </w:r>
      <w:r>
        <w:t>t</w:t>
      </w:r>
      <w:r>
        <w:t>gliedstaaten</w:t>
      </w:r>
      <w:r w:rsidR="001615B4">
        <w:t xml:space="preserve"> </w:t>
      </w:r>
      <w:r>
        <w:t>festgelegt, und die Mitgliedstaaten haben unterschiedliche</w:t>
      </w:r>
      <w:r w:rsidR="001615B4">
        <w:t xml:space="preserve"> </w:t>
      </w:r>
      <w:r>
        <w:t>Strategien zur Erreichung dieser Ziele gewählt. Die</w:t>
      </w:r>
      <w:r w:rsidR="001615B4">
        <w:t xml:space="preserve"> </w:t>
      </w:r>
      <w:r>
        <w:t>Mitgliedstaaten sollten folglich die Möglichkeit haben,</w:t>
      </w:r>
      <w:r w:rsidR="001615B4">
        <w:t xml:space="preserve"> </w:t>
      </w:r>
      <w:r>
        <w:t>bestehende einzelstaatliche Ma</w:t>
      </w:r>
      <w:r>
        <w:t>ß</w:t>
      </w:r>
      <w:r>
        <w:t>nahmen für eine begrenzte</w:t>
      </w:r>
      <w:r w:rsidR="001615B4">
        <w:t xml:space="preserve"> </w:t>
      </w:r>
      <w:r>
        <w:t>Zeit im Einklang mit Artikel 95 des Vertrags beizubehalten,</w:t>
      </w:r>
      <w:r w:rsidR="001615B4">
        <w:t xml:space="preserve"> </w:t>
      </w:r>
      <w:r>
        <w:t>um diese Ziele zu erreichen.</w:t>
      </w:r>
    </w:p>
    <w:p w:rsidR="00B134F4" w:rsidRDefault="00B134F4" w:rsidP="00B134F4">
      <w:pPr>
        <w:pStyle w:val="GesAbsatz"/>
      </w:pPr>
      <w:r>
        <w:t>(12) Als Beitrag zur Erfüllung der von der Gemeinschaft und</w:t>
      </w:r>
      <w:r w:rsidR="001615B4">
        <w:t xml:space="preserve"> </w:t>
      </w:r>
      <w:r>
        <w:t>ihren Mitgliedstaaten im Rahmen des VN-Rahmenübereinkommens</w:t>
      </w:r>
      <w:r w:rsidR="001615B4">
        <w:t xml:space="preserve"> </w:t>
      </w:r>
      <w:r>
        <w:t>über Klimaänderungen, des Kyoto-Protokolls und</w:t>
      </w:r>
      <w:r w:rsidR="001615B4">
        <w:t xml:space="preserve"> </w:t>
      </w:r>
      <w:r>
        <w:t>der Entscheidung 2002/358/EG eingegangenen Verpflichtungen</w:t>
      </w:r>
      <w:r w:rsidR="001615B4">
        <w:t xml:space="preserve"> </w:t>
      </w:r>
      <w:r>
        <w:t>sollten die Richtlinie 2006/40/EG des Europäischen</w:t>
      </w:r>
      <w:r w:rsidR="001615B4">
        <w:t xml:space="preserve"> </w:t>
      </w:r>
      <w:r>
        <w:t xml:space="preserve">Parlaments und des </w:t>
      </w:r>
      <w:r>
        <w:lastRenderedPageBreak/>
        <w:t>Rates vom 17. Mai 2006 über</w:t>
      </w:r>
      <w:r w:rsidR="001615B4">
        <w:t xml:space="preserve"> </w:t>
      </w:r>
      <w:r>
        <w:t>Emissionen aus Klimaanlagen in Kraftfahrzeugen und zur</w:t>
      </w:r>
      <w:r w:rsidR="001615B4">
        <w:t xml:space="preserve"> </w:t>
      </w:r>
      <w:r>
        <w:t>Änderung der Rich</w:t>
      </w:r>
      <w:r>
        <w:t>t</w:t>
      </w:r>
      <w:r>
        <w:t>linie 70/156/EWG des Rates</w:t>
      </w:r>
      <w:r w:rsidR="001615B4">
        <w:rPr>
          <w:rStyle w:val="Funotenzeichen"/>
        </w:rPr>
        <w:footnoteReference w:id="11"/>
      </w:r>
      <w:r>
        <w:t xml:space="preserve"> und</w:t>
      </w:r>
      <w:r w:rsidR="001615B4">
        <w:t xml:space="preserve"> </w:t>
      </w:r>
      <w:r>
        <w:t>diese Verordnung, die beide zur Verhinderung und</w:t>
      </w:r>
      <w:r w:rsidR="001615B4">
        <w:t xml:space="preserve"> </w:t>
      </w:r>
      <w:r>
        <w:t>Minimierung der Emissionen fluorierter Treibhausgase</w:t>
      </w:r>
      <w:r w:rsidR="001615B4">
        <w:t xml:space="preserve"> </w:t>
      </w:r>
      <w:r>
        <w:t>beitragen, gleichzeitig angenommen und im Amtsblatt der</w:t>
      </w:r>
      <w:r w:rsidR="001615B4">
        <w:t xml:space="preserve"> </w:t>
      </w:r>
      <w:r>
        <w:t>Europä</w:t>
      </w:r>
      <w:r>
        <w:t>i</w:t>
      </w:r>
      <w:r>
        <w:t>schen Union veröffentlicht werden.</w:t>
      </w:r>
    </w:p>
    <w:p w:rsidR="00B134F4" w:rsidRDefault="00B134F4" w:rsidP="00B134F4">
      <w:pPr>
        <w:pStyle w:val="GesAbsatz"/>
      </w:pPr>
      <w:r>
        <w:t>(13) Es sollten Bestimmungen zur Überwachung, Bewertung</w:t>
      </w:r>
      <w:r w:rsidR="001615B4">
        <w:t xml:space="preserve"> </w:t>
      </w:r>
      <w:r>
        <w:t>und Revision der in dieser Verordnung entha</w:t>
      </w:r>
      <w:r>
        <w:t>l</w:t>
      </w:r>
      <w:r>
        <w:t>tenen</w:t>
      </w:r>
      <w:r w:rsidR="001615B4">
        <w:t xml:space="preserve"> </w:t>
      </w:r>
      <w:r>
        <w:t>Vorschriften vorgesehen werden.</w:t>
      </w:r>
    </w:p>
    <w:p w:rsidR="00B134F4" w:rsidRDefault="00B134F4" w:rsidP="00B134F4">
      <w:pPr>
        <w:pStyle w:val="GesAbsatz"/>
      </w:pPr>
      <w:r>
        <w:t>(14) Die Mitgliedstaaten sollten Vorschriften über Sanktionen</w:t>
      </w:r>
      <w:r w:rsidR="001615B4">
        <w:t xml:space="preserve"> </w:t>
      </w:r>
      <w:r>
        <w:t>festlegen, die bei Verstößen gegen diese Ve</w:t>
      </w:r>
      <w:r>
        <w:t>r</w:t>
      </w:r>
      <w:r>
        <w:t>ordnung</w:t>
      </w:r>
      <w:r w:rsidR="001615B4">
        <w:t xml:space="preserve"> </w:t>
      </w:r>
      <w:r>
        <w:t>anzuwenden sind, und die Durchführung dieser Vorschriften</w:t>
      </w:r>
      <w:r w:rsidR="001615B4">
        <w:t xml:space="preserve"> </w:t>
      </w:r>
      <w:r>
        <w:t>sicherstellen. Diese Sanktionen mü</w:t>
      </w:r>
      <w:r>
        <w:t>s</w:t>
      </w:r>
      <w:r>
        <w:t>sen wirksam,</w:t>
      </w:r>
      <w:r w:rsidR="001615B4">
        <w:t xml:space="preserve"> </w:t>
      </w:r>
      <w:r>
        <w:t>verhältnismäßig und abschreckend sein.</w:t>
      </w:r>
    </w:p>
    <w:p w:rsidR="00B134F4" w:rsidRDefault="00B134F4" w:rsidP="00B134F4">
      <w:pPr>
        <w:pStyle w:val="GesAbsatz"/>
      </w:pPr>
      <w:r>
        <w:t>(15) Diese Verordnung beachtet die Grundrechte und insbesondere</w:t>
      </w:r>
      <w:r w:rsidR="001615B4">
        <w:t xml:space="preserve"> </w:t>
      </w:r>
      <w:r>
        <w:t>die in der Charta der Grundrechte der Europäischen</w:t>
      </w:r>
      <w:r w:rsidR="001615B4">
        <w:t xml:space="preserve"> </w:t>
      </w:r>
      <w:r>
        <w:t>Union anerkannten Grundsätze.</w:t>
      </w:r>
    </w:p>
    <w:p w:rsidR="00B134F4" w:rsidRDefault="00B134F4" w:rsidP="00B134F4">
      <w:pPr>
        <w:pStyle w:val="GesAbsatz"/>
      </w:pPr>
      <w:r>
        <w:t>(16) Da die Ziele dieser Verordnung, nämlich die Reduzierung</w:t>
      </w:r>
      <w:r w:rsidR="001615B4">
        <w:t xml:space="preserve"> </w:t>
      </w:r>
      <w:r>
        <w:t>der Emissionen und die Berichterstattung über bestimmte</w:t>
      </w:r>
      <w:r w:rsidR="001615B4">
        <w:t xml:space="preserve"> </w:t>
      </w:r>
      <w:r>
        <w:t>fluorierte Treibhausgase sowie die Beschränkung der</w:t>
      </w:r>
      <w:r w:rsidR="001615B4">
        <w:t xml:space="preserve"> </w:t>
      </w:r>
      <w:r>
        <w:t>Verwendung und des Inverkehrbri</w:t>
      </w:r>
      <w:r>
        <w:t>n</w:t>
      </w:r>
      <w:r>
        <w:t>gens von Erzeugnissen</w:t>
      </w:r>
      <w:r w:rsidR="001615B4">
        <w:t xml:space="preserve"> </w:t>
      </w:r>
      <w:r>
        <w:t>und Einrichtungen, die bestimmte fluorierte Treibhausgase</w:t>
      </w:r>
      <w:r w:rsidR="001615B4">
        <w:t xml:space="preserve"> </w:t>
      </w:r>
      <w:r>
        <w:t>enthalten, mit Blick auf den Schutz der Umwelt und des</w:t>
      </w:r>
      <w:r w:rsidR="001615B4">
        <w:t xml:space="preserve"> </w:t>
      </w:r>
      <w:r>
        <w:t>Binnenmarktes auf Ebene der Mitgliedstaaten nicht ausreichend</w:t>
      </w:r>
      <w:r w:rsidR="001615B4">
        <w:t xml:space="preserve"> </w:t>
      </w:r>
      <w:r>
        <w:t>erreicht werden können und daher wegen des</w:t>
      </w:r>
      <w:r w:rsidR="001615B4">
        <w:t xml:space="preserve"> </w:t>
      </w:r>
      <w:r>
        <w:t>Umfangs und der Wirkungen dieser Verordnung besser auf</w:t>
      </w:r>
      <w:r w:rsidR="001615B4">
        <w:t xml:space="preserve"> </w:t>
      </w:r>
      <w:r>
        <w:t>Gemei</w:t>
      </w:r>
      <w:r>
        <w:t>n</w:t>
      </w:r>
      <w:r>
        <w:t>schaftsebene zu erreichen sind, kann die Gemeinschaft</w:t>
      </w:r>
      <w:r w:rsidR="001615B4">
        <w:t xml:space="preserve"> </w:t>
      </w:r>
      <w:r>
        <w:t>im Einklang mit dem in Artikel 5 des Vertrags</w:t>
      </w:r>
      <w:r w:rsidR="001615B4">
        <w:t xml:space="preserve"> </w:t>
      </w:r>
      <w:r>
        <w:t>ni</w:t>
      </w:r>
      <w:r>
        <w:t>e</w:t>
      </w:r>
      <w:r>
        <w:t>dergelegten Subsidiaritätsprinzip tätig werden. Entsprechend</w:t>
      </w:r>
      <w:r w:rsidR="001615B4">
        <w:t xml:space="preserve"> </w:t>
      </w:r>
      <w:r>
        <w:t>dem in demselben Artikel genannten Verhäl</w:t>
      </w:r>
      <w:r>
        <w:t>t</w:t>
      </w:r>
      <w:r>
        <w:t>nismäßigkeitsprinzip</w:t>
      </w:r>
      <w:r w:rsidR="001615B4">
        <w:t xml:space="preserve"> </w:t>
      </w:r>
      <w:r>
        <w:t>geht diese Verordnung nicht über das für</w:t>
      </w:r>
      <w:r w:rsidR="001615B4">
        <w:t xml:space="preserve"> </w:t>
      </w:r>
      <w:r>
        <w:t>die Erreichung dieser Ziele erforderliche Maß hinaus.</w:t>
      </w:r>
    </w:p>
    <w:p w:rsidR="00B134F4" w:rsidRDefault="00B134F4" w:rsidP="00B134F4">
      <w:pPr>
        <w:pStyle w:val="GesAbsatz"/>
      </w:pPr>
      <w:r>
        <w:t>(17) Die zur Durchführung dieser Verordnung erforderlichen</w:t>
      </w:r>
      <w:r w:rsidR="001615B4">
        <w:t xml:space="preserve"> </w:t>
      </w:r>
      <w:r>
        <w:t>Maßnahmen sollten gemäß dem B</w:t>
      </w:r>
      <w:r>
        <w:t>e</w:t>
      </w:r>
      <w:r>
        <w:t>schluss</w:t>
      </w:r>
      <w:r w:rsidR="001615B4">
        <w:t> </w:t>
      </w:r>
      <w:r>
        <w:t>1999/468/EG</w:t>
      </w:r>
      <w:r w:rsidR="001615B4">
        <w:t xml:space="preserve"> </w:t>
      </w:r>
      <w:r>
        <w:t>des Rates vom 28. Juni 1999 zur Festlegung der</w:t>
      </w:r>
      <w:r w:rsidR="001615B4">
        <w:t xml:space="preserve"> </w:t>
      </w:r>
      <w:r>
        <w:t>Modalitäten für die Ausübung der der Kommission übertragenen</w:t>
      </w:r>
      <w:r w:rsidR="001615B4">
        <w:t xml:space="preserve"> </w:t>
      </w:r>
      <w:r>
        <w:t>Durchführungsbefugnisse</w:t>
      </w:r>
      <w:r w:rsidR="001615B4">
        <w:rPr>
          <w:rStyle w:val="Funotenzeichen"/>
        </w:rPr>
        <w:footnoteReference w:id="12"/>
      </w:r>
      <w:r>
        <w:t xml:space="preserve"> erlassen werden —</w:t>
      </w:r>
    </w:p>
    <w:p w:rsidR="00B134F4" w:rsidRDefault="00B134F4" w:rsidP="00B134F4">
      <w:pPr>
        <w:pStyle w:val="GesAbsatz"/>
      </w:pPr>
      <w:r>
        <w:t>HABEN FOLGENDE VERORDNUNG ERLASSEN:</w:t>
      </w:r>
    </w:p>
    <w:p w:rsidR="00B134F4" w:rsidRDefault="00B134F4" w:rsidP="001615B4">
      <w:pPr>
        <w:pStyle w:val="berschrift2"/>
      </w:pPr>
      <w:bookmarkStart w:id="2" w:name="_Toc377990102"/>
      <w:r>
        <w:t>Artikel 1</w:t>
      </w:r>
      <w:r w:rsidR="001615B4">
        <w:br/>
      </w:r>
      <w:r>
        <w:t>Geltungsbereich</w:t>
      </w:r>
      <w:bookmarkEnd w:id="2"/>
    </w:p>
    <w:p w:rsidR="00B134F4" w:rsidRDefault="00B134F4" w:rsidP="00B134F4">
      <w:pPr>
        <w:pStyle w:val="GesAbsatz"/>
      </w:pPr>
      <w:r>
        <w:t>Ziel dieser Verordnung ist es, die Emissionen der vom Kyoto-Protokoll erfassten fluorierten Treibhausgase einzudämmen, zu</w:t>
      </w:r>
      <w:r w:rsidR="00575FF7">
        <w:t xml:space="preserve"> </w:t>
      </w:r>
      <w:r>
        <w:t>unterbinden und dadurch zu reduzieren. Sie gilt für die in</w:t>
      </w:r>
      <w:r w:rsidR="00575FF7">
        <w:t xml:space="preserve"> </w:t>
      </w:r>
      <w:r>
        <w:t>Anhang A dieses Protokolls aufgeführten fluorierten Treibhausgase.</w:t>
      </w:r>
      <w:r w:rsidR="00575FF7">
        <w:t xml:space="preserve"> </w:t>
      </w:r>
      <w:r>
        <w:t>Anhang I dieser Verordnung enthält eine Auflistung der</w:t>
      </w:r>
      <w:r w:rsidR="00575FF7">
        <w:t xml:space="preserve"> </w:t>
      </w:r>
      <w:r>
        <w:t>derzeit unter diese Verordnung fallenden fluorierten Treibhausgase</w:t>
      </w:r>
      <w:r w:rsidR="00575FF7">
        <w:t xml:space="preserve"> </w:t>
      </w:r>
      <w:r>
        <w:t>mit der Angabe ihres jeweiligen Treibhauspotenzials. Dieser</w:t>
      </w:r>
      <w:r w:rsidR="00575FF7">
        <w:t xml:space="preserve"> </w:t>
      </w:r>
      <w:r>
        <w:t>Anhang kann im Lichte der in Artikel 5 Absatz 3 des Kyoto-Protokolls vorgesehenen und von der Gemeinschaft und ihren</w:t>
      </w:r>
      <w:r w:rsidR="00575FF7">
        <w:t xml:space="preserve"> </w:t>
      </w:r>
      <w:r>
        <w:t>Mitgliedstaaten akzeptierten Überprüfungen überprüft und</w:t>
      </w:r>
      <w:r w:rsidR="00575FF7">
        <w:t xml:space="preserve"> </w:t>
      </w:r>
      <w:r>
        <w:t>gegebenenfalls aktual</w:t>
      </w:r>
      <w:r>
        <w:t>i</w:t>
      </w:r>
      <w:r>
        <w:t>siert werden.</w:t>
      </w:r>
    </w:p>
    <w:p w:rsidR="00B134F4" w:rsidRDefault="00B134F4" w:rsidP="00B134F4">
      <w:pPr>
        <w:pStyle w:val="GesAbsatz"/>
      </w:pPr>
      <w:r>
        <w:t>Diese Verordnung regelt die Reduzierung der Emissionen, die</w:t>
      </w:r>
      <w:r w:rsidR="00575FF7">
        <w:t xml:space="preserve"> </w:t>
      </w:r>
      <w:r>
        <w:t>Verwendung, die Rückgewinnung und die Zerstörung der in</w:t>
      </w:r>
      <w:r w:rsidR="00575FF7">
        <w:t xml:space="preserve"> </w:t>
      </w:r>
      <w:r>
        <w:t>Anhang I aufgelisteten fluorierten Treibhausgase, die Kennzeichnung</w:t>
      </w:r>
      <w:r w:rsidR="00575FF7">
        <w:t xml:space="preserve"> </w:t>
      </w:r>
      <w:r>
        <w:t>und die Entsorgung von Erzeugnissen und Einrichtungen,</w:t>
      </w:r>
      <w:r w:rsidR="00575FF7">
        <w:t xml:space="preserve"> </w:t>
      </w:r>
      <w:r>
        <w:t>die diese Gase enthalten, die Berichterstattung über diese Gase,</w:t>
      </w:r>
      <w:r w:rsidR="00575FF7">
        <w:t xml:space="preserve"> </w:t>
      </w:r>
      <w:r>
        <w:t>die Überwachung der in Artikel 8 genannten Verwendungen und</w:t>
      </w:r>
      <w:r w:rsidR="00575FF7">
        <w:t xml:space="preserve"> </w:t>
      </w:r>
      <w:r>
        <w:t>die Verbote des Inverkehrbringens von E</w:t>
      </w:r>
      <w:r>
        <w:t>r</w:t>
      </w:r>
      <w:r>
        <w:t>zeugnissen und</w:t>
      </w:r>
      <w:r w:rsidR="00575FF7">
        <w:t xml:space="preserve"> </w:t>
      </w:r>
      <w:r>
        <w:t>Einrichtungen gemäß Artikel 9 und Anhang II sowie die</w:t>
      </w:r>
      <w:r w:rsidR="00575FF7">
        <w:t xml:space="preserve"> </w:t>
      </w:r>
      <w:r>
        <w:t>Ausbildung und Zertifizierung des Personals und der Unternehmen,</w:t>
      </w:r>
      <w:r w:rsidR="00575FF7">
        <w:t xml:space="preserve"> </w:t>
      </w:r>
      <w:r>
        <w:t>das bzw. die die in dieser Verordnung vorgesehenen</w:t>
      </w:r>
      <w:r w:rsidR="00575FF7">
        <w:t xml:space="preserve"> </w:t>
      </w:r>
      <w:r>
        <w:t>Tätigkeiten wah</w:t>
      </w:r>
      <w:r>
        <w:t>r</w:t>
      </w:r>
      <w:r>
        <w:t>nimmt/wahrnehmen.</w:t>
      </w:r>
    </w:p>
    <w:p w:rsidR="00B134F4" w:rsidRDefault="00B134F4" w:rsidP="00B134F4">
      <w:pPr>
        <w:pStyle w:val="GesAbsatz"/>
      </w:pPr>
      <w:r>
        <w:t>Diese Verordnung gilt unbeschadet der Richtlinien 75/442/EWG,</w:t>
      </w:r>
      <w:r w:rsidR="00575FF7">
        <w:t xml:space="preserve"> </w:t>
      </w:r>
      <w:r>
        <w:t>96/61/EG, 2000/53/EG sowie 2002/96/EG.</w:t>
      </w:r>
    </w:p>
    <w:p w:rsidR="00B134F4" w:rsidRDefault="00B134F4" w:rsidP="00575FF7">
      <w:pPr>
        <w:pStyle w:val="berschrift2"/>
      </w:pPr>
      <w:bookmarkStart w:id="3" w:name="_Toc377990103"/>
      <w:r>
        <w:t>Artikel 2</w:t>
      </w:r>
      <w:r w:rsidR="00575FF7">
        <w:br/>
      </w:r>
      <w:r>
        <w:t>Begriffsbestimmungen</w:t>
      </w:r>
      <w:bookmarkEnd w:id="3"/>
    </w:p>
    <w:p w:rsidR="00B134F4" w:rsidRDefault="00B134F4" w:rsidP="00B134F4">
      <w:pPr>
        <w:pStyle w:val="GesAbsatz"/>
      </w:pPr>
      <w:r>
        <w:t>Im Sinne dieser Verordnung bezeichnet der Ausdruck</w:t>
      </w:r>
    </w:p>
    <w:p w:rsidR="00B134F4" w:rsidRDefault="00B134F4" w:rsidP="006D5B46">
      <w:pPr>
        <w:pStyle w:val="GesAbsatz"/>
        <w:ind w:left="426" w:hanging="426"/>
      </w:pPr>
      <w:r>
        <w:t>1.</w:t>
      </w:r>
      <w:r w:rsidR="00575FF7">
        <w:tab/>
      </w:r>
      <w:r>
        <w:t>„fluorierte Treibhausgase“ teilfluorierte Kohlenwasserstoffe</w:t>
      </w:r>
      <w:r w:rsidR="00575FF7">
        <w:t xml:space="preserve"> </w:t>
      </w:r>
      <w:r>
        <w:t>(HFKW), perfluorierte Kohlenwasserstoffe (FKW) und</w:t>
      </w:r>
      <w:r w:rsidR="00575FF7">
        <w:t xml:space="preserve"> </w:t>
      </w:r>
      <w:r>
        <w:t>Schwefelhexafluorid (SF</w:t>
      </w:r>
      <w:r w:rsidRPr="00575FF7">
        <w:rPr>
          <w:vertAlign w:val="subscript"/>
        </w:rPr>
        <w:t>6</w:t>
      </w:r>
      <w:r>
        <w:t>) gemäß Anhang I sowie Zubereitungen,</w:t>
      </w:r>
      <w:r w:rsidR="00575FF7">
        <w:t xml:space="preserve"> </w:t>
      </w:r>
      <w:r>
        <w:t>die diese Stoffe enthalten, wobei jedoch die in der</w:t>
      </w:r>
      <w:r w:rsidR="00575FF7">
        <w:t xml:space="preserve"> </w:t>
      </w:r>
      <w:r>
        <w:t>Verordnung (EG) Nr. 2037/2000 des Europäischen Parlaments</w:t>
      </w:r>
      <w:r w:rsidR="00575FF7">
        <w:t xml:space="preserve"> </w:t>
      </w:r>
      <w:r>
        <w:t>und des Rates vom 29. Juni 2000 über Stoffe, die</w:t>
      </w:r>
      <w:r w:rsidR="00575FF7">
        <w:t xml:space="preserve"> </w:t>
      </w:r>
      <w:r>
        <w:t>zum Abbau der Ozonschicht führen</w:t>
      </w:r>
      <w:r w:rsidR="00575FF7">
        <w:rPr>
          <w:rStyle w:val="Funotenzeichen"/>
        </w:rPr>
        <w:footnoteReference w:id="13"/>
      </w:r>
      <w:r>
        <w:t>, geregelten Stoffe</w:t>
      </w:r>
      <w:r w:rsidR="006D5B46">
        <w:t xml:space="preserve"> </w:t>
      </w:r>
      <w:r>
        <w:t>ausgeno</w:t>
      </w:r>
      <w:r>
        <w:t>m</w:t>
      </w:r>
      <w:r>
        <w:t>men sind;</w:t>
      </w:r>
    </w:p>
    <w:p w:rsidR="00B134F4" w:rsidRDefault="00B134F4" w:rsidP="006D5B46">
      <w:pPr>
        <w:pStyle w:val="GesAbsatz"/>
        <w:ind w:left="426" w:hanging="426"/>
      </w:pPr>
      <w:r>
        <w:lastRenderedPageBreak/>
        <w:t>2.</w:t>
      </w:r>
      <w:r w:rsidR="006D5B46">
        <w:tab/>
      </w:r>
      <w:r>
        <w:t>„teilfluorierter Kohlenwasserstoff“ eine organische Verbindung,</w:t>
      </w:r>
      <w:r w:rsidR="006D5B46">
        <w:t xml:space="preserve"> </w:t>
      </w:r>
      <w:r>
        <w:t>die aus Kohlenstoff, Wasserstoff und Fluor besteht</w:t>
      </w:r>
      <w:r w:rsidR="006D5B46">
        <w:t xml:space="preserve"> </w:t>
      </w:r>
      <w:r>
        <w:t>und in deren Molekül nicht mehr als sechs Kohlenstoffatome</w:t>
      </w:r>
      <w:r w:rsidR="006D5B46">
        <w:t xml:space="preserve"> </w:t>
      </w:r>
      <w:r>
        <w:t>enthalten sind;</w:t>
      </w:r>
    </w:p>
    <w:p w:rsidR="00B134F4" w:rsidRDefault="00B134F4" w:rsidP="006D5B46">
      <w:pPr>
        <w:pStyle w:val="GesAbsatz"/>
        <w:ind w:left="426" w:hanging="426"/>
      </w:pPr>
      <w:r>
        <w:t>3.</w:t>
      </w:r>
      <w:r w:rsidR="006D5B46">
        <w:tab/>
      </w:r>
      <w:r>
        <w:t>„perfluorierter Kohlenwasserstoff“ eine organische Verbindung,</w:t>
      </w:r>
      <w:r w:rsidR="006D5B46">
        <w:t xml:space="preserve"> </w:t>
      </w:r>
      <w:r>
        <w:t>die lediglich aus Kohlenstoff und Fluor besteht und in</w:t>
      </w:r>
      <w:r w:rsidR="006D5B46">
        <w:t xml:space="preserve"> </w:t>
      </w:r>
      <w:r>
        <w:t>deren Molekül nicht mehr als sechs Kohlenstoffatome</w:t>
      </w:r>
      <w:r w:rsidR="006D5B46">
        <w:t xml:space="preserve"> </w:t>
      </w:r>
      <w:r>
        <w:t>enthalten sind;</w:t>
      </w:r>
    </w:p>
    <w:p w:rsidR="00B134F4" w:rsidRDefault="00B134F4" w:rsidP="006D5B46">
      <w:pPr>
        <w:pStyle w:val="GesAbsatz"/>
        <w:ind w:left="426" w:hanging="426"/>
      </w:pPr>
      <w:r>
        <w:t>4.</w:t>
      </w:r>
      <w:r w:rsidR="006D5B46">
        <w:tab/>
      </w:r>
      <w:r>
        <w:t>„Treibhauspotenzial“ das klimatische Erwärmungspotenzial</w:t>
      </w:r>
      <w:r w:rsidR="006D5B46">
        <w:t xml:space="preserve"> </w:t>
      </w:r>
      <w:r>
        <w:t>eines fluorierten Treibhausgases im Ve</w:t>
      </w:r>
      <w:r>
        <w:t>r</w:t>
      </w:r>
      <w:r>
        <w:t>hältnis zu dem von</w:t>
      </w:r>
      <w:r w:rsidR="006D5B46">
        <w:t xml:space="preserve"> </w:t>
      </w:r>
      <w:r>
        <w:t>Kohlendioxid (CO</w:t>
      </w:r>
      <w:r w:rsidRPr="006D5B46">
        <w:rPr>
          <w:vertAlign w:val="subscript"/>
        </w:rPr>
        <w:t>2</w:t>
      </w:r>
      <w:r>
        <w:t xml:space="preserve">). Das Treibhauspotenzial (global </w:t>
      </w:r>
      <w:proofErr w:type="spellStart"/>
      <w:r w:rsidRPr="002B36D2">
        <w:t>warming</w:t>
      </w:r>
      <w:proofErr w:type="spellEnd"/>
      <w:r w:rsidR="006D5B46">
        <w:t xml:space="preserve"> </w:t>
      </w:r>
      <w:r>
        <w:t>potential, GWP) wird als das Erwärmungspotenzial</w:t>
      </w:r>
      <w:r w:rsidR="006D5B46">
        <w:t xml:space="preserve"> </w:t>
      </w:r>
      <w:r>
        <w:t>eines Kilogramms eines Gases bezogen auf einen Zeitraum</w:t>
      </w:r>
      <w:r w:rsidR="006D5B46">
        <w:t xml:space="preserve"> </w:t>
      </w:r>
      <w:r>
        <w:t>von 100 Ja</w:t>
      </w:r>
      <w:r>
        <w:t>h</w:t>
      </w:r>
      <w:r>
        <w:t>ren gegenüber dem entsprechenden Potenzial</w:t>
      </w:r>
      <w:r w:rsidR="006D5B46">
        <w:t xml:space="preserve"> </w:t>
      </w:r>
      <w:r>
        <w:t>eines Kilogramms CO</w:t>
      </w:r>
      <w:r w:rsidRPr="006D5B46">
        <w:rPr>
          <w:vertAlign w:val="subscript"/>
        </w:rPr>
        <w:t>2</w:t>
      </w:r>
      <w:r>
        <w:t xml:space="preserve"> berechnet. Die in Anhang I au</w:t>
      </w:r>
      <w:r>
        <w:t>f</w:t>
      </w:r>
      <w:r>
        <w:t>gelisteten</w:t>
      </w:r>
      <w:r w:rsidR="006D5B46">
        <w:t xml:space="preserve"> </w:t>
      </w:r>
      <w:r>
        <w:t>GWP-Werte sind die Werte, die im dritten</w:t>
      </w:r>
      <w:r w:rsidR="006D5B46">
        <w:t xml:space="preserve"> </w:t>
      </w:r>
      <w:r>
        <w:t>Bewertungsbericht (TAR) des Zwischenstaatlichen Ausschusses</w:t>
      </w:r>
      <w:r w:rsidR="006D5B46">
        <w:t xml:space="preserve"> </w:t>
      </w:r>
      <w:r>
        <w:t>für Klimaänderungen veröffentlicht wurden</w:t>
      </w:r>
      <w:r w:rsidR="006D5B46">
        <w:t xml:space="preserve"> </w:t>
      </w:r>
      <w:r>
        <w:t>(GWP-Werte des IPCC von 2001)</w:t>
      </w:r>
      <w:r w:rsidR="006D5B46">
        <w:rPr>
          <w:rStyle w:val="Funotenzeichen"/>
        </w:rPr>
        <w:footnoteReference w:id="14"/>
      </w:r>
      <w:r>
        <w:t>;</w:t>
      </w:r>
    </w:p>
    <w:p w:rsidR="00B134F4" w:rsidRDefault="00B134F4" w:rsidP="006D5B46">
      <w:pPr>
        <w:pStyle w:val="GesAbsatz"/>
        <w:ind w:left="426" w:hanging="426"/>
      </w:pPr>
      <w:r>
        <w:t>5.</w:t>
      </w:r>
      <w:r w:rsidR="006D5B46">
        <w:tab/>
      </w:r>
      <w:r>
        <w:t>„Zubereitung“ im Sinne der Verpflichtungen nach dieser</w:t>
      </w:r>
      <w:r w:rsidR="006D5B46">
        <w:t xml:space="preserve"> </w:t>
      </w:r>
      <w:r>
        <w:t>Verordnung mit Ausnahme der Zerstörung ein Gemisch aus</w:t>
      </w:r>
      <w:r w:rsidR="006D5B46">
        <w:t xml:space="preserve"> </w:t>
      </w:r>
      <w:r>
        <w:t>zwei oder mehr Stoffen, von denen mindestens einer ein</w:t>
      </w:r>
      <w:r w:rsidR="006D5B46">
        <w:t xml:space="preserve"> </w:t>
      </w:r>
      <w:r>
        <w:t>fluoriertes Treibhausgas ist, es sei denn, der Gesamtwert des</w:t>
      </w:r>
      <w:r w:rsidR="006D5B46">
        <w:t xml:space="preserve"> </w:t>
      </w:r>
      <w:r>
        <w:t>Treibhauspotenzials der Zubereitung beträgt weniger</w:t>
      </w:r>
      <w:r w:rsidR="006D5B46">
        <w:t xml:space="preserve"> </w:t>
      </w:r>
      <w:r>
        <w:t>als 150. Der G</w:t>
      </w:r>
      <w:r>
        <w:t>e</w:t>
      </w:r>
      <w:r>
        <w:t>samtwert des Treibhauspotenzials</w:t>
      </w:r>
      <w:r w:rsidR="006D5B46">
        <w:rPr>
          <w:rStyle w:val="Funotenzeichen"/>
        </w:rPr>
        <w:footnoteReference w:id="15"/>
      </w:r>
      <w:r>
        <w:t xml:space="preserve"> der</w:t>
      </w:r>
      <w:r w:rsidR="006D5B46">
        <w:t xml:space="preserve"> </w:t>
      </w:r>
      <w:r>
        <w:t>Zubereitung wird nach Anhang I Teil 2 bestimmt;</w:t>
      </w:r>
    </w:p>
    <w:p w:rsidR="00B134F4" w:rsidRDefault="00B134F4" w:rsidP="006D5B46">
      <w:pPr>
        <w:pStyle w:val="GesAbsatz"/>
        <w:ind w:left="426" w:hanging="426"/>
      </w:pPr>
      <w:r>
        <w:t>6.</w:t>
      </w:r>
      <w:r w:rsidR="006D5B46">
        <w:tab/>
      </w:r>
      <w:r>
        <w:t>„Betreiber“ die natürliche oder juristische Person, die die</w:t>
      </w:r>
      <w:r w:rsidR="006D5B46">
        <w:t xml:space="preserve"> </w:t>
      </w:r>
      <w:r>
        <w:t>tatsächliche Kontrolle über das technische Funktionieren</w:t>
      </w:r>
      <w:r w:rsidR="006D5B46">
        <w:t xml:space="preserve"> </w:t>
      </w:r>
      <w:r>
        <w:t>der unter diese Verordnung fallenden Einrichtungen und</w:t>
      </w:r>
      <w:r w:rsidR="006D5B46">
        <w:t xml:space="preserve"> </w:t>
      </w:r>
      <w:r>
        <w:t>Systeme ausübt; ein Mitglie</w:t>
      </w:r>
      <w:r>
        <w:t>d</w:t>
      </w:r>
      <w:r>
        <w:t>staat kann in bestimmten,</w:t>
      </w:r>
      <w:r w:rsidR="006D5B46">
        <w:t xml:space="preserve"> </w:t>
      </w:r>
      <w:r>
        <w:t>genau bezeichneten Situationen dem Eigentümer die</w:t>
      </w:r>
      <w:r w:rsidR="006D5B46">
        <w:t xml:space="preserve"> </w:t>
      </w:r>
      <w:r>
        <w:t>Pflichten des Betreibers übertragen;</w:t>
      </w:r>
    </w:p>
    <w:p w:rsidR="00B134F4" w:rsidRDefault="00B134F4" w:rsidP="006D5B46">
      <w:pPr>
        <w:pStyle w:val="GesAbsatz"/>
        <w:ind w:left="426" w:hanging="426"/>
      </w:pPr>
      <w:r>
        <w:t>7.</w:t>
      </w:r>
      <w:r w:rsidR="006D5B46">
        <w:tab/>
      </w:r>
      <w:r>
        <w:t>„Inverkehrbringen“ die entgeltliche oder unentgeltliche</w:t>
      </w:r>
      <w:r w:rsidR="006D5B46">
        <w:t xml:space="preserve"> </w:t>
      </w:r>
      <w:r>
        <w:t xml:space="preserve">Lieferung oder Bereitstellung </w:t>
      </w:r>
      <w:r w:rsidR="006D5B46">
        <w:t>-</w:t>
      </w:r>
      <w:r>
        <w:t xml:space="preserve"> erstmalig für Dritte in</w:t>
      </w:r>
      <w:r w:rsidR="006D5B46">
        <w:t xml:space="preserve"> </w:t>
      </w:r>
      <w:r>
        <w:t xml:space="preserve">der Gemeinschaft </w:t>
      </w:r>
      <w:r w:rsidR="006D5B46">
        <w:t>-</w:t>
      </w:r>
      <w:r>
        <w:t xml:space="preserve"> von Erzeugnissen und Einrichtungen,</w:t>
      </w:r>
      <w:r w:rsidR="006D5B46">
        <w:t xml:space="preserve"> </w:t>
      </w:r>
      <w:r>
        <w:t>die fluorierte Treibhausgase enthalten oder deren Funktionieren</w:t>
      </w:r>
      <w:r w:rsidR="006D5B46">
        <w:t xml:space="preserve"> </w:t>
      </w:r>
      <w:r>
        <w:t>von diesen Gasen abhängt, einschließlich Einfuhr</w:t>
      </w:r>
      <w:r w:rsidR="006D5B46">
        <w:t xml:space="preserve"> </w:t>
      </w:r>
      <w:r>
        <w:t>in das Zollgebiet der Gemei</w:t>
      </w:r>
      <w:r>
        <w:t>n</w:t>
      </w:r>
      <w:r>
        <w:t>schaft;</w:t>
      </w:r>
    </w:p>
    <w:p w:rsidR="00B134F4" w:rsidRDefault="00B134F4" w:rsidP="006D5B46">
      <w:pPr>
        <w:pStyle w:val="GesAbsatz"/>
        <w:ind w:left="426" w:hanging="426"/>
      </w:pPr>
      <w:r>
        <w:t>8.</w:t>
      </w:r>
      <w:r w:rsidR="006D5B46">
        <w:tab/>
      </w:r>
      <w:r>
        <w:t>„Verwendung“ den Einsatz fluorierter Treibhausgase bei der</w:t>
      </w:r>
      <w:r w:rsidR="006D5B46">
        <w:t xml:space="preserve"> </w:t>
      </w:r>
      <w:r>
        <w:t>Erzeugung, Befüllung, Instandhaltung oder Wartung von</w:t>
      </w:r>
      <w:r w:rsidR="006D5B46">
        <w:t xml:space="preserve"> </w:t>
      </w:r>
      <w:r>
        <w:t>Erzeugnissen und Einrichtungen, die unter diese Verordnung</w:t>
      </w:r>
      <w:r w:rsidR="006D5B46">
        <w:t xml:space="preserve"> </w:t>
      </w:r>
      <w:r>
        <w:t>fallen;</w:t>
      </w:r>
    </w:p>
    <w:p w:rsidR="00B134F4" w:rsidRDefault="00B134F4" w:rsidP="006D5B46">
      <w:pPr>
        <w:pStyle w:val="GesAbsatz"/>
        <w:ind w:left="426" w:hanging="426"/>
      </w:pPr>
      <w:r>
        <w:t>9.</w:t>
      </w:r>
      <w:r w:rsidR="006D5B46">
        <w:tab/>
      </w:r>
      <w:r>
        <w:t>„Wärmepumpe“ ein Gerät oder eine Anlage, das bzw. die</w:t>
      </w:r>
      <w:r w:rsidR="006D5B46">
        <w:t xml:space="preserve"> </w:t>
      </w:r>
      <w:r>
        <w:t>Wärme bei einem niedrigen Temperaturn</w:t>
      </w:r>
      <w:r>
        <w:t>i</w:t>
      </w:r>
      <w:r>
        <w:t>veau aus der Luft,</w:t>
      </w:r>
      <w:r w:rsidR="006D5B46">
        <w:t xml:space="preserve"> </w:t>
      </w:r>
      <w:r>
        <w:t>dem Wasser oder der Erde aufnimmt und Wärme abgibt;</w:t>
      </w:r>
    </w:p>
    <w:p w:rsidR="00B134F4" w:rsidRDefault="00B134F4" w:rsidP="006D5B46">
      <w:pPr>
        <w:pStyle w:val="GesAbsatz"/>
        <w:ind w:left="426" w:hanging="426"/>
      </w:pPr>
      <w:r>
        <w:t>10.</w:t>
      </w:r>
      <w:r w:rsidR="006D5B46">
        <w:tab/>
      </w:r>
      <w:r>
        <w:t xml:space="preserve">„Leckage-Erkennungssystem“ ein </w:t>
      </w:r>
      <w:r w:rsidR="00AF40E3" w:rsidRPr="00AF40E3">
        <w:t>kalibriertes</w:t>
      </w:r>
      <w:r w:rsidR="00AF40E3">
        <w:t xml:space="preserve"> </w:t>
      </w:r>
      <w:r>
        <w:t>mechanisches,</w:t>
      </w:r>
      <w:r w:rsidR="006D5B46">
        <w:t xml:space="preserve"> </w:t>
      </w:r>
      <w:r>
        <w:t>elektrisches oder elektronisches Gerät, das das Austreten</w:t>
      </w:r>
      <w:r w:rsidR="006D5B46">
        <w:t xml:space="preserve"> </w:t>
      </w:r>
      <w:r>
        <w:t>fluorierter Treibhausgase aus Lecks feststellt und bei einer</w:t>
      </w:r>
      <w:r w:rsidR="006D5B46">
        <w:t xml:space="preserve"> </w:t>
      </w:r>
      <w:r>
        <w:t>solchen Feststellung den Betreiber warnt;</w:t>
      </w:r>
    </w:p>
    <w:p w:rsidR="00B134F4" w:rsidRDefault="00B134F4" w:rsidP="006D5B46">
      <w:pPr>
        <w:pStyle w:val="GesAbsatz"/>
        <w:ind w:left="426" w:hanging="426"/>
      </w:pPr>
      <w:r>
        <w:t>11.</w:t>
      </w:r>
      <w:r w:rsidR="006D5B46">
        <w:tab/>
      </w:r>
      <w:r>
        <w:t>„hermetisch geschlossenes System“ ein System, bei dem alle</w:t>
      </w:r>
      <w:r w:rsidR="006D5B46">
        <w:t xml:space="preserve"> </w:t>
      </w:r>
      <w:r>
        <w:t>Bauteile, die Kältemittel enthalten, durch Schweißen, Löten</w:t>
      </w:r>
      <w:r w:rsidR="006D5B46">
        <w:t xml:space="preserve"> </w:t>
      </w:r>
      <w:r>
        <w:t>oder eine ähnliche dauerhafte Verbindung abgedichtet sind</w:t>
      </w:r>
      <w:r w:rsidR="006D5B46">
        <w:t xml:space="preserve"> </w:t>
      </w:r>
      <w:r>
        <w:t>und das auch gesicherte Ventile und gesicherte Zugangsstellen</w:t>
      </w:r>
      <w:r w:rsidR="006D5B46">
        <w:t xml:space="preserve"> </w:t>
      </w:r>
      <w:r>
        <w:t>für die Wartung enthalten kann, die einer ordnungsgemäßen</w:t>
      </w:r>
      <w:r w:rsidR="006D5B46">
        <w:t xml:space="preserve"> </w:t>
      </w:r>
      <w:r>
        <w:t>Reparatur oder Beseitigung dienen und die eine</w:t>
      </w:r>
      <w:r w:rsidR="006D5B46">
        <w:t xml:space="preserve"> </w:t>
      </w:r>
      <w:r>
        <w:t>geprüfte Leckagerate von weniger als drei Gramm pro Jahr</w:t>
      </w:r>
      <w:r w:rsidR="006D5B46">
        <w:t xml:space="preserve"> </w:t>
      </w:r>
      <w:r>
        <w:t>unter einem Druck von wenigstens einem Viertel des</w:t>
      </w:r>
      <w:r w:rsidR="006D5B46">
        <w:t xml:space="preserve"> </w:t>
      </w:r>
      <w:r>
        <w:t>höchstzulässigen Drucks haben;</w:t>
      </w:r>
    </w:p>
    <w:p w:rsidR="00B134F4" w:rsidRDefault="00B134F4" w:rsidP="006D5B46">
      <w:pPr>
        <w:pStyle w:val="GesAbsatz"/>
        <w:ind w:left="426" w:hanging="426"/>
      </w:pPr>
      <w:r>
        <w:t>12.</w:t>
      </w:r>
      <w:r w:rsidR="006D5B46">
        <w:tab/>
      </w:r>
      <w:r>
        <w:t>„Behälter“ ein Erzeugnis, das vorrangig zur Beförderung</w:t>
      </w:r>
      <w:r w:rsidR="006D5B46">
        <w:t xml:space="preserve"> </w:t>
      </w:r>
      <w:r>
        <w:t>oder zur Lagerung fluorierter Treibhausgase bestimmt ist;</w:t>
      </w:r>
    </w:p>
    <w:p w:rsidR="00B134F4" w:rsidRDefault="00B134F4" w:rsidP="006D5B46">
      <w:pPr>
        <w:pStyle w:val="GesAbsatz"/>
        <w:ind w:left="426" w:hanging="426"/>
      </w:pPr>
      <w:r>
        <w:t>13.</w:t>
      </w:r>
      <w:r w:rsidR="006D5B46">
        <w:tab/>
      </w:r>
      <w:r>
        <w:t>„nicht wieder auffüllbarer Behälter“ einen Behälter, der dazu</w:t>
      </w:r>
      <w:r w:rsidR="006D5B46">
        <w:t xml:space="preserve"> </w:t>
      </w:r>
      <w:r>
        <w:t>bestimmt ist, nicht wieder befüllt zu we</w:t>
      </w:r>
      <w:r>
        <w:t>r</w:t>
      </w:r>
      <w:r>
        <w:t>den, und für die</w:t>
      </w:r>
      <w:r w:rsidR="006D5B46">
        <w:t xml:space="preserve"> </w:t>
      </w:r>
      <w:r>
        <w:t>Wartung, Instandhaltung oder Befüllung von Kälteanlagen,</w:t>
      </w:r>
      <w:r w:rsidR="006D5B46">
        <w:t xml:space="preserve"> </w:t>
      </w:r>
      <w:r>
        <w:t>Klimaanlagen, Wärmepu</w:t>
      </w:r>
      <w:r>
        <w:t>m</w:t>
      </w:r>
      <w:r>
        <w:t>pen, Brandschutzsystemen oder</w:t>
      </w:r>
      <w:r w:rsidR="006D5B46">
        <w:t xml:space="preserve"> </w:t>
      </w:r>
      <w:r>
        <w:t>Hochspannungsschaltanlagen oder zur Lagerung oder</w:t>
      </w:r>
      <w:r w:rsidR="006D5B46">
        <w:t xml:space="preserve"> </w:t>
      </w:r>
      <w:r>
        <w:t>Beförderung von aus fluorierten Treibhausgasen hergestellten</w:t>
      </w:r>
      <w:r w:rsidR="006D5B46">
        <w:t xml:space="preserve"> </w:t>
      </w:r>
      <w:r>
        <w:t>Lösungsmitteln verwendet wird;</w:t>
      </w:r>
    </w:p>
    <w:p w:rsidR="00B134F4" w:rsidRDefault="00B134F4" w:rsidP="006D5B46">
      <w:pPr>
        <w:pStyle w:val="GesAbsatz"/>
        <w:ind w:left="426" w:hanging="426"/>
      </w:pPr>
      <w:r>
        <w:t>14.</w:t>
      </w:r>
      <w:r w:rsidR="006D5B46">
        <w:tab/>
      </w:r>
      <w:r>
        <w:t>„Rückgewinnung“ die Entnahme und Lagerung fluorierter</w:t>
      </w:r>
      <w:r w:rsidR="006D5B46">
        <w:t xml:space="preserve"> </w:t>
      </w:r>
      <w:r>
        <w:t>Treibhausgase z.B. aus Maschinen, Einric</w:t>
      </w:r>
      <w:r>
        <w:t>h</w:t>
      </w:r>
      <w:r>
        <w:t>tungen und</w:t>
      </w:r>
      <w:r w:rsidR="006D5B46">
        <w:t xml:space="preserve"> </w:t>
      </w:r>
      <w:r>
        <w:t>Behältern;</w:t>
      </w:r>
    </w:p>
    <w:p w:rsidR="00B134F4" w:rsidRDefault="00B134F4" w:rsidP="006D5B46">
      <w:pPr>
        <w:pStyle w:val="GesAbsatz"/>
        <w:ind w:left="426" w:hanging="426"/>
      </w:pPr>
      <w:r>
        <w:t>15.</w:t>
      </w:r>
      <w:r w:rsidR="006D5B46">
        <w:tab/>
      </w:r>
      <w:r>
        <w:t>„Recycling“ die Wiederverwendung eines rückgewonnenen</w:t>
      </w:r>
      <w:r w:rsidR="006D5B46">
        <w:t xml:space="preserve"> </w:t>
      </w:r>
      <w:r>
        <w:t>fluorierten Treibhausgases im Anschluss an ein grundlegendes</w:t>
      </w:r>
      <w:r w:rsidR="006D5B46">
        <w:t xml:space="preserve"> </w:t>
      </w:r>
      <w:r>
        <w:t>Reinigungsverfahren;</w:t>
      </w:r>
    </w:p>
    <w:p w:rsidR="00B134F4" w:rsidRDefault="00B134F4" w:rsidP="006D5B46">
      <w:pPr>
        <w:pStyle w:val="GesAbsatz"/>
        <w:ind w:left="426" w:hanging="426"/>
      </w:pPr>
      <w:r>
        <w:t>16.</w:t>
      </w:r>
      <w:r w:rsidR="006D5B46">
        <w:tab/>
      </w:r>
      <w:r>
        <w:t>„Aufarbeitung“ die Behandlung eines rückgewonnenen</w:t>
      </w:r>
      <w:r w:rsidR="006D5B46">
        <w:t xml:space="preserve"> </w:t>
      </w:r>
      <w:r>
        <w:t>fluorierten Treibhausgases, um den betreffenden Stoff</w:t>
      </w:r>
      <w:r w:rsidR="006D5B46">
        <w:t xml:space="preserve"> </w:t>
      </w:r>
      <w:r>
        <w:t>wieder auf einen festgelegten Standard zu bringen;</w:t>
      </w:r>
    </w:p>
    <w:p w:rsidR="00B134F4" w:rsidRDefault="00B134F4" w:rsidP="006D5B46">
      <w:pPr>
        <w:pStyle w:val="GesAbsatz"/>
        <w:ind w:left="426" w:hanging="426"/>
      </w:pPr>
      <w:r>
        <w:t>17.</w:t>
      </w:r>
      <w:r w:rsidR="006D5B46">
        <w:tab/>
      </w:r>
      <w:r>
        <w:t>„Zerstörung“ den Prozess, durch den ein fluoriertes Treibhausgas</w:t>
      </w:r>
      <w:r w:rsidR="006D5B46">
        <w:t xml:space="preserve"> </w:t>
      </w:r>
      <w:r>
        <w:t>zur Gänze oder zum größten Teil auf Dauer in</w:t>
      </w:r>
      <w:r w:rsidR="006D5B46">
        <w:t xml:space="preserve"> </w:t>
      </w:r>
      <w:r>
        <w:t>einen oder mehrere stabile Stoffe umgewandelt oder zerlegt</w:t>
      </w:r>
      <w:r w:rsidR="006D5B46">
        <w:t xml:space="preserve"> </w:t>
      </w:r>
      <w:r>
        <w:t>wird, bei denen es sich nicht um fluorierte Treibhausgase</w:t>
      </w:r>
      <w:r w:rsidR="006D5B46">
        <w:t xml:space="preserve"> </w:t>
      </w:r>
      <w:r>
        <w:t>handelt;</w:t>
      </w:r>
    </w:p>
    <w:p w:rsidR="00B134F4" w:rsidRDefault="00B134F4" w:rsidP="006D5B46">
      <w:pPr>
        <w:pStyle w:val="GesAbsatz"/>
        <w:ind w:left="426" w:hanging="426"/>
      </w:pPr>
      <w:r>
        <w:lastRenderedPageBreak/>
        <w:t>18.</w:t>
      </w:r>
      <w:r w:rsidR="006D5B46">
        <w:tab/>
      </w:r>
      <w:r>
        <w:t>„</w:t>
      </w:r>
      <w:r w:rsidR="00AF40E3" w:rsidRPr="00AF40E3">
        <w:t>ortsfeste Anlagen oder Einrichtungen</w:t>
      </w:r>
      <w:r w:rsidR="00AF40E3">
        <w:t>“</w:t>
      </w:r>
      <w:r w:rsidR="00AF40E3" w:rsidRPr="00AF40E3">
        <w:t xml:space="preserve"> Anlagen oder Einrichtungen, die</w:t>
      </w:r>
      <w:r w:rsidR="00AF40E3">
        <w:t xml:space="preserve"> </w:t>
      </w:r>
      <w:r>
        <w:t>während des Betriebs im No</w:t>
      </w:r>
      <w:r>
        <w:t>r</w:t>
      </w:r>
      <w:r>
        <w:t>malfall nicht in Bewegung</w:t>
      </w:r>
      <w:r w:rsidR="006D5B46">
        <w:t xml:space="preserve"> </w:t>
      </w:r>
      <w:r>
        <w:t>sind;</w:t>
      </w:r>
    </w:p>
    <w:p w:rsidR="00B134F4" w:rsidRDefault="00B134F4" w:rsidP="006D5B46">
      <w:pPr>
        <w:pStyle w:val="GesAbsatz"/>
        <w:ind w:left="426" w:hanging="426"/>
      </w:pPr>
      <w:r>
        <w:t>19.</w:t>
      </w:r>
      <w:r w:rsidR="006D5B46">
        <w:tab/>
      </w:r>
      <w:r>
        <w:t>„neuartige Aerosole“ die im Anhang zur Richtlinie 94/48/EG</w:t>
      </w:r>
      <w:r w:rsidR="006D5B46">
        <w:rPr>
          <w:rStyle w:val="Funotenzeichen"/>
        </w:rPr>
        <w:footnoteReference w:id="16"/>
      </w:r>
      <w:r>
        <w:t xml:space="preserve"> aufgeführten Aerosolgeneratoren, die für Unterhaltungs-</w:t>
      </w:r>
      <w:r w:rsidR="006D5B46">
        <w:t xml:space="preserve"> </w:t>
      </w:r>
      <w:r>
        <w:t>und Dekorationszwecke in den Verkehr gebracht</w:t>
      </w:r>
      <w:r w:rsidR="006D5B46">
        <w:t xml:space="preserve"> </w:t>
      </w:r>
      <w:r>
        <w:t>und an die breite Öffentlichkeit verkauft werden.</w:t>
      </w:r>
    </w:p>
    <w:p w:rsidR="00B134F4" w:rsidRDefault="00B134F4" w:rsidP="006D5B46">
      <w:pPr>
        <w:pStyle w:val="berschrift2"/>
      </w:pPr>
      <w:bookmarkStart w:id="4" w:name="_Toc377990104"/>
      <w:r>
        <w:t>Artikel 3</w:t>
      </w:r>
      <w:r w:rsidR="006D5B46">
        <w:br/>
      </w:r>
      <w:r>
        <w:t>Reduzierung der Emissionen</w:t>
      </w:r>
      <w:bookmarkEnd w:id="4"/>
    </w:p>
    <w:p w:rsidR="00B134F4" w:rsidRDefault="00B134F4" w:rsidP="00B134F4">
      <w:pPr>
        <w:pStyle w:val="GesAbsatz"/>
      </w:pPr>
      <w:r>
        <w:t>(1) Die Betreiber ortsfester Anwendungen in Form von Kälte</w:t>
      </w:r>
      <w:r w:rsidR="006D5B46">
        <w:t xml:space="preserve">- </w:t>
      </w:r>
      <w:r>
        <w:t>und</w:t>
      </w:r>
      <w:r w:rsidR="006D5B46">
        <w:t xml:space="preserve"> </w:t>
      </w:r>
      <w:r>
        <w:t>Klimaanlagen sowie Wärmepumpen, ei</w:t>
      </w:r>
      <w:r>
        <w:t>n</w:t>
      </w:r>
      <w:r>
        <w:t>schließlich deren</w:t>
      </w:r>
      <w:r w:rsidR="006D5B46">
        <w:t xml:space="preserve"> </w:t>
      </w:r>
      <w:r>
        <w:t>Kreisläufen, sowie Brandschutzsystemen, die in Anhang I aufgeführte</w:t>
      </w:r>
      <w:r w:rsidR="006D5B46">
        <w:t xml:space="preserve"> </w:t>
      </w:r>
      <w:r>
        <w:t>fluorierte Treibhau</w:t>
      </w:r>
      <w:r>
        <w:t>s</w:t>
      </w:r>
      <w:r>
        <w:t>gase enthalten, müssen unter Einsatz</w:t>
      </w:r>
      <w:r w:rsidR="006D5B46">
        <w:t xml:space="preserve"> </w:t>
      </w:r>
      <w:r>
        <w:t>aller technisch durchführbaren und nicht mit übermäßigen</w:t>
      </w:r>
      <w:r w:rsidR="006D5B46">
        <w:t xml:space="preserve"> </w:t>
      </w:r>
      <w:r>
        <w:t>Kosten verbundenen Maßnahmen</w:t>
      </w:r>
    </w:p>
    <w:p w:rsidR="00B134F4" w:rsidRDefault="00B134F4" w:rsidP="00B134F4">
      <w:pPr>
        <w:pStyle w:val="GesAbsatz"/>
      </w:pPr>
      <w:r>
        <w:t>a)</w:t>
      </w:r>
      <w:r w:rsidR="006D5B46">
        <w:tab/>
      </w:r>
      <w:r>
        <w:t>das Entweichen der Gase aus Lecks verhindern und</w:t>
      </w:r>
    </w:p>
    <w:p w:rsidR="00B134F4" w:rsidRDefault="00B134F4" w:rsidP="00AF40E3">
      <w:pPr>
        <w:pStyle w:val="GesAbsatz"/>
        <w:ind w:left="426" w:hanging="426"/>
      </w:pPr>
      <w:r>
        <w:t>b)</w:t>
      </w:r>
      <w:r w:rsidR="006D5B46">
        <w:tab/>
      </w:r>
      <w:r>
        <w:t>alle entdeckten Lecks, aus denen fluorierte Treibhausgase</w:t>
      </w:r>
      <w:r w:rsidR="006D5B46">
        <w:t xml:space="preserve"> </w:t>
      </w:r>
      <w:r>
        <w:t>entweichen, so rasch wie möglich repari</w:t>
      </w:r>
      <w:r>
        <w:t>e</w:t>
      </w:r>
      <w:r>
        <w:t>ren.</w:t>
      </w:r>
    </w:p>
    <w:p w:rsidR="00B134F4" w:rsidRDefault="00B134F4" w:rsidP="00B134F4">
      <w:pPr>
        <w:pStyle w:val="GesAbsatz"/>
      </w:pPr>
      <w:r>
        <w:t>(2) Die Betreiber der in Absatz 1 genannten Anwendungen</w:t>
      </w:r>
      <w:r w:rsidR="006D5B46">
        <w:t xml:space="preserve"> </w:t>
      </w:r>
      <w:r>
        <w:t>sorgen dafür, dass diese von zertifiziertem Pe</w:t>
      </w:r>
      <w:r>
        <w:t>r</w:t>
      </w:r>
      <w:r>
        <w:t>sonal, das den in</w:t>
      </w:r>
      <w:r w:rsidR="006D5B46">
        <w:t xml:space="preserve"> </w:t>
      </w:r>
      <w:r>
        <w:t>Artikel 5 genannten Anforderungen genügt, nach folgenden</w:t>
      </w:r>
      <w:r w:rsidR="006D5B46">
        <w:t xml:space="preserve"> </w:t>
      </w:r>
      <w:r>
        <w:t>Vorgaben auf Dichtheit kontro</w:t>
      </w:r>
      <w:r>
        <w:t>l</w:t>
      </w:r>
      <w:r>
        <w:t>liert werden:</w:t>
      </w:r>
    </w:p>
    <w:p w:rsidR="00B134F4" w:rsidRDefault="00B134F4" w:rsidP="006D5B46">
      <w:pPr>
        <w:pStyle w:val="GesAbsatz"/>
        <w:ind w:left="426" w:hanging="426"/>
      </w:pPr>
      <w:r>
        <w:t>a)</w:t>
      </w:r>
      <w:r w:rsidR="006D5B46">
        <w:tab/>
      </w:r>
      <w:r>
        <w:t>Anwendungen mit 3 kg fluorierten Treibhausgasen oder</w:t>
      </w:r>
      <w:r w:rsidR="006D5B46">
        <w:t xml:space="preserve"> </w:t>
      </w:r>
      <w:r>
        <w:t>mehr werden mindestens einmal alle zwölf Monate auf</w:t>
      </w:r>
      <w:r w:rsidR="006D5B46">
        <w:t xml:space="preserve"> </w:t>
      </w:r>
      <w:r>
        <w:t>Dichtheit kontrolliert; dies gilt nicht für Einrichtungen mit</w:t>
      </w:r>
      <w:r w:rsidR="006D5B46">
        <w:t xml:space="preserve"> </w:t>
      </w:r>
      <w:r>
        <w:t>hermetisch geschlossenen Syst</w:t>
      </w:r>
      <w:r>
        <w:t>e</w:t>
      </w:r>
      <w:r>
        <w:t>men, die als solche gekennzeichnet</w:t>
      </w:r>
      <w:r w:rsidR="006D5B46">
        <w:t xml:space="preserve"> </w:t>
      </w:r>
      <w:r>
        <w:t>sind und weniger als 6 kg fluorierte Treibhausgase</w:t>
      </w:r>
      <w:r w:rsidR="006D5B46">
        <w:t xml:space="preserve"> </w:t>
      </w:r>
      <w:r>
        <w:t>enthalten;</w:t>
      </w:r>
    </w:p>
    <w:p w:rsidR="00B134F4" w:rsidRDefault="00B134F4" w:rsidP="006D5B46">
      <w:pPr>
        <w:pStyle w:val="GesAbsatz"/>
        <w:ind w:left="426" w:hanging="426"/>
      </w:pPr>
      <w:r>
        <w:t>b)</w:t>
      </w:r>
      <w:r w:rsidR="006D5B46">
        <w:tab/>
      </w:r>
      <w:r>
        <w:t>Anwendungen mit 30 kg fluorierten Treibhausgasen oder</w:t>
      </w:r>
      <w:r w:rsidR="006D5B46">
        <w:t xml:space="preserve"> </w:t>
      </w:r>
      <w:r>
        <w:t>mehr werden mindestens einmal alle sechs Monate auf</w:t>
      </w:r>
      <w:r w:rsidR="006D5B46">
        <w:t xml:space="preserve"> </w:t>
      </w:r>
      <w:r>
        <w:t>Dichtheit kontrolliert;</w:t>
      </w:r>
    </w:p>
    <w:p w:rsidR="00B134F4" w:rsidRDefault="00B134F4" w:rsidP="006D5B46">
      <w:pPr>
        <w:pStyle w:val="GesAbsatz"/>
        <w:ind w:left="426" w:hanging="426"/>
      </w:pPr>
      <w:r>
        <w:t>c)</w:t>
      </w:r>
      <w:r w:rsidR="006D5B46">
        <w:tab/>
      </w:r>
      <w:r>
        <w:t>Anwendungen mit 300 kg fluorierten Treibhausgasen oder</w:t>
      </w:r>
      <w:r w:rsidR="006D5B46">
        <w:t xml:space="preserve"> </w:t>
      </w:r>
      <w:r>
        <w:t>mehr werden mindestens einmal alle drei Monate auf</w:t>
      </w:r>
      <w:r w:rsidR="006D5B46">
        <w:t xml:space="preserve"> </w:t>
      </w:r>
      <w:r>
        <w:t>Dichtheit kontrolliert.</w:t>
      </w:r>
    </w:p>
    <w:p w:rsidR="00B134F4" w:rsidRDefault="00B134F4" w:rsidP="00B134F4">
      <w:pPr>
        <w:pStyle w:val="GesAbsatz"/>
      </w:pPr>
      <w:r>
        <w:t>Nach der Reparatur eines Lecks werden die Anwendungen</w:t>
      </w:r>
      <w:r w:rsidR="006D5B46">
        <w:t xml:space="preserve"> </w:t>
      </w:r>
      <w:r>
        <w:t>innerhalb eines Monats auf Dichtheit kontrolliert, um sicherzustellen,</w:t>
      </w:r>
      <w:r w:rsidR="006D5B46">
        <w:t xml:space="preserve"> </w:t>
      </w:r>
      <w:r>
        <w:t>dass die Reparatur wirksam war.</w:t>
      </w:r>
    </w:p>
    <w:p w:rsidR="00B134F4" w:rsidRDefault="00B134F4" w:rsidP="00B134F4">
      <w:pPr>
        <w:pStyle w:val="GesAbsatz"/>
      </w:pPr>
      <w:r>
        <w:t>Im Sinne dieses Absatzes bedeutet „auf Dichtheit kontrolliert“,</w:t>
      </w:r>
      <w:r w:rsidR="006D5B46">
        <w:t xml:space="preserve"> </w:t>
      </w:r>
      <w:r>
        <w:t>dass die Einrichtung oder das System unter Verwendung direkter</w:t>
      </w:r>
      <w:r w:rsidR="006D5B46">
        <w:t xml:space="preserve"> </w:t>
      </w:r>
      <w:r>
        <w:t>oder indirekter Messmethoden auf Lecks hin untersucht wird,</w:t>
      </w:r>
      <w:r w:rsidR="006D5B46">
        <w:t xml:space="preserve"> </w:t>
      </w:r>
      <w:r>
        <w:t>wobei in erster Linie die Teile der Einrichtung oder des Systems,</w:t>
      </w:r>
      <w:r w:rsidR="006D5B46">
        <w:t xml:space="preserve"> </w:t>
      </w:r>
      <w:r>
        <w:t>an denen am ehesten Lecks auftreten können, zu prüfen sind. Die</w:t>
      </w:r>
      <w:r w:rsidR="006D5B46">
        <w:t xml:space="preserve"> </w:t>
      </w:r>
      <w:r>
        <w:t>direkten und indirekten Messmethoden der Kontrolle auf</w:t>
      </w:r>
      <w:r w:rsidR="006D5B46">
        <w:t xml:space="preserve"> </w:t>
      </w:r>
      <w:r>
        <w:t>Dichtheit werden in den in Absatz 7 genannten</w:t>
      </w:r>
      <w:r w:rsidR="006D5B46">
        <w:t xml:space="preserve"> </w:t>
      </w:r>
      <w:r>
        <w:t>Standardanforderungen für die Kontrolle auf Dichtheit im</w:t>
      </w:r>
      <w:r w:rsidR="006D5B46">
        <w:t xml:space="preserve"> </w:t>
      </w:r>
      <w:r>
        <w:t>Einzelnen festgelegt.</w:t>
      </w:r>
    </w:p>
    <w:p w:rsidR="00B134F4" w:rsidRDefault="00B134F4" w:rsidP="00B134F4">
      <w:pPr>
        <w:pStyle w:val="GesAbsatz"/>
      </w:pPr>
      <w:r>
        <w:t>(3) Die Betreiber der in Absatz 1 genannten Anwendungen, die</w:t>
      </w:r>
      <w:r w:rsidR="006D5B46">
        <w:t xml:space="preserve"> </w:t>
      </w:r>
      <w:r>
        <w:t>300 kg fluorierte Treibhausgase oder mehr enthalten, installieren</w:t>
      </w:r>
      <w:r w:rsidR="006D5B46">
        <w:t xml:space="preserve"> </w:t>
      </w:r>
      <w:r>
        <w:t>Leckage-Erkennungssysteme. Diese Leckage-Erkennungssysteme</w:t>
      </w:r>
      <w:r w:rsidR="006D5B46">
        <w:t xml:space="preserve"> </w:t>
      </w:r>
      <w:r>
        <w:t>werden minde</w:t>
      </w:r>
      <w:r>
        <w:t>s</w:t>
      </w:r>
      <w:r>
        <w:t>tens einmal alle zwölf Monate kontrolliert, um ihr</w:t>
      </w:r>
      <w:r w:rsidR="006D5B46">
        <w:t xml:space="preserve"> </w:t>
      </w:r>
      <w:r>
        <w:t>ordnungsgemäßes Funktionieren sicherzustellen. Im Fall von</w:t>
      </w:r>
      <w:r w:rsidR="006D5B46">
        <w:t xml:space="preserve"> </w:t>
      </w:r>
      <w:r>
        <w:t>Brandschutzsystemen, die vor dem 4. Juli 2007 installiert</w:t>
      </w:r>
      <w:r w:rsidR="006D5B46">
        <w:t xml:space="preserve"> </w:t>
      </w:r>
      <w:r>
        <w:t>wurden, müssen bis zum 4. Juli 2010 Leck</w:t>
      </w:r>
      <w:r>
        <w:t>a</w:t>
      </w:r>
      <w:r>
        <w:t>ge-Erkennungssysteme</w:t>
      </w:r>
      <w:r w:rsidR="006D5B46">
        <w:t xml:space="preserve"> </w:t>
      </w:r>
      <w:r>
        <w:t>installiert werden.</w:t>
      </w:r>
    </w:p>
    <w:p w:rsidR="00B134F4" w:rsidRDefault="00B134F4" w:rsidP="00B134F4">
      <w:pPr>
        <w:pStyle w:val="GesAbsatz"/>
      </w:pPr>
      <w:r>
        <w:t>(4) Ist ein ordnungsgemäß funktionierendes und geeignetes</w:t>
      </w:r>
      <w:r w:rsidR="006D5B46">
        <w:t xml:space="preserve"> </w:t>
      </w:r>
      <w:r>
        <w:t>Leckage-Erkennungssystem vorhanden, wird die Häufigkeit der</w:t>
      </w:r>
      <w:r w:rsidR="006D5B46">
        <w:t xml:space="preserve"> </w:t>
      </w:r>
      <w:r>
        <w:t>gemäß Absatz 2 Buchstaben b und c erforderlichen Kontrollmaßnahmen</w:t>
      </w:r>
      <w:r w:rsidR="006D5B46">
        <w:t xml:space="preserve"> </w:t>
      </w:r>
      <w:r>
        <w:t>halbiert.</w:t>
      </w:r>
    </w:p>
    <w:p w:rsidR="00B134F4" w:rsidRDefault="00B134F4" w:rsidP="00B134F4">
      <w:pPr>
        <w:pStyle w:val="GesAbsatz"/>
      </w:pPr>
      <w:r>
        <w:t>(5) Sofern bei Brandschutzsystemen ein Inspektionssystem</w:t>
      </w:r>
      <w:r w:rsidR="006D5B46">
        <w:t xml:space="preserve"> </w:t>
      </w:r>
      <w:r>
        <w:t>bereits vorhanden ist, das der ISO-Norm 14520 entspricht,</w:t>
      </w:r>
      <w:r w:rsidR="006D5B46">
        <w:t xml:space="preserve"> </w:t>
      </w:r>
      <w:r>
        <w:t>können diese Inspektionen auch die Anforderungen dieser</w:t>
      </w:r>
      <w:r w:rsidR="006D5B46">
        <w:t xml:space="preserve"> </w:t>
      </w:r>
      <w:r>
        <w:t>Verordnung erfüllen, wenn sie minde</w:t>
      </w:r>
      <w:r>
        <w:t>s</w:t>
      </w:r>
      <w:r>
        <w:t>tens ebenso häufig durchgeführt</w:t>
      </w:r>
      <w:r w:rsidR="006D5B46">
        <w:t xml:space="preserve"> </w:t>
      </w:r>
      <w:r>
        <w:t>werden.</w:t>
      </w:r>
    </w:p>
    <w:p w:rsidR="00B134F4" w:rsidRDefault="00B134F4" w:rsidP="00B134F4">
      <w:pPr>
        <w:pStyle w:val="GesAbsatz"/>
      </w:pPr>
      <w:r>
        <w:t>(6) Die Betreiber der in Absatz 1 genannten Anwendungen, die</w:t>
      </w:r>
      <w:r w:rsidR="006D5B46">
        <w:t xml:space="preserve"> </w:t>
      </w:r>
      <w:r>
        <w:t>3 kg fluorierte Treibhausgase oder mehr enthalten, führen über</w:t>
      </w:r>
      <w:r w:rsidR="006D5B46">
        <w:t xml:space="preserve"> </w:t>
      </w:r>
      <w:r>
        <w:t>Menge und Typ der verwendeten fluorierten Treibhausgase,</w:t>
      </w:r>
      <w:r w:rsidR="006D5B46">
        <w:t xml:space="preserve"> </w:t>
      </w:r>
      <w:r>
        <w:t>etwaige nachgefüllte Mengen und die bei Wartung, Instandhaltung</w:t>
      </w:r>
      <w:r w:rsidR="006D5B46">
        <w:t xml:space="preserve"> </w:t>
      </w:r>
      <w:r>
        <w:t>und endgültiger Entsorgung rückgewonnenen Mengen</w:t>
      </w:r>
      <w:r w:rsidR="006D5B46">
        <w:t xml:space="preserve"> </w:t>
      </w:r>
      <w:r>
        <w:t>Au</w:t>
      </w:r>
      <w:r>
        <w:t>f</w:t>
      </w:r>
      <w:r>
        <w:t>zeichnungen. Sie führen ferner Aufzeichnungen über andere</w:t>
      </w:r>
      <w:r w:rsidR="006D5B46">
        <w:t xml:space="preserve"> </w:t>
      </w:r>
      <w:r>
        <w:t>relevante Informationen, u. a. zur Identifizi</w:t>
      </w:r>
      <w:r>
        <w:t>e</w:t>
      </w:r>
      <w:r>
        <w:t>rung des Unternehmens</w:t>
      </w:r>
      <w:r w:rsidR="006D5B46">
        <w:t xml:space="preserve"> </w:t>
      </w:r>
      <w:r>
        <w:t>oder des technischen Personals, das die Wartung oder</w:t>
      </w:r>
      <w:r w:rsidR="006D5B46">
        <w:t xml:space="preserve"> </w:t>
      </w:r>
      <w:r>
        <w:t>Instandhaltung vorgeno</w:t>
      </w:r>
      <w:r>
        <w:t>m</w:t>
      </w:r>
      <w:r>
        <w:t>men hat; außerdem werden Aufzeichnungen</w:t>
      </w:r>
      <w:r w:rsidR="006D5B46">
        <w:t xml:space="preserve"> </w:t>
      </w:r>
      <w:r>
        <w:t>über die Termine und Ergebnisse der Kontrollmaßnahmen</w:t>
      </w:r>
      <w:r w:rsidR="006D5B46">
        <w:t xml:space="preserve"> </w:t>
      </w:r>
      <w:r>
        <w:t>gemäß den Absätzen 2, 3 und 4 sowie über einschlägige</w:t>
      </w:r>
      <w:r w:rsidR="006D5B46">
        <w:t xml:space="preserve"> </w:t>
      </w:r>
      <w:r>
        <w:t>Informationen zur Identifizierung der in Absatz 2 Buchstaben b</w:t>
      </w:r>
      <w:r w:rsidR="006D5B46">
        <w:t xml:space="preserve"> </w:t>
      </w:r>
      <w:r>
        <w:t>und c genannten einzelnen ortsfesten Ausrüstungen der Anlagen</w:t>
      </w:r>
      <w:r w:rsidR="006D5B46">
        <w:t xml:space="preserve"> </w:t>
      </w:r>
      <w:r>
        <w:t>geführt. Diese Aufzeichnu</w:t>
      </w:r>
      <w:r>
        <w:t>n</w:t>
      </w:r>
      <w:r>
        <w:t>gen werden der zuständigen Behörde</w:t>
      </w:r>
      <w:r w:rsidR="006D5B46">
        <w:t xml:space="preserve"> </w:t>
      </w:r>
      <w:r>
        <w:t>und der Kommission auf Verlangen zur Verfügung gestellt.</w:t>
      </w:r>
    </w:p>
    <w:p w:rsidR="00B134F4" w:rsidRDefault="00D7784A" w:rsidP="00D7784A">
      <w:pPr>
        <w:pStyle w:val="GesAbsatz"/>
      </w:pPr>
      <w:r>
        <w:lastRenderedPageBreak/>
        <w:t>(7) Die Kommission legt die Standardanforderungen für die Kontrolle auf Dichtheit für alle in Absatz 1 aufg</w:t>
      </w:r>
      <w:r>
        <w:t>e</w:t>
      </w:r>
      <w:r>
        <w:t>führten Anwendungen fest. Diese Maßnahmen zur Änderung nicht wesentlicher Bestimmungen dieser Ve</w:t>
      </w:r>
      <w:r>
        <w:t>r</w:t>
      </w:r>
      <w:r>
        <w:t>ordnung durch Ergänzung werden nach dem in Artikel 12 Absatz 3 genannten Regelungsverfahren mit Ko</w:t>
      </w:r>
      <w:r>
        <w:t>n</w:t>
      </w:r>
      <w:r>
        <w:t>trolle erlassen.</w:t>
      </w:r>
    </w:p>
    <w:p w:rsidR="00B134F4" w:rsidRDefault="00B134F4" w:rsidP="006D5B46">
      <w:pPr>
        <w:pStyle w:val="berschrift2"/>
      </w:pPr>
      <w:bookmarkStart w:id="5" w:name="_Toc377990105"/>
      <w:r>
        <w:t>Artikel 4</w:t>
      </w:r>
      <w:r w:rsidR="006D5B46">
        <w:br/>
      </w:r>
      <w:r>
        <w:t>Rückgewinnung</w:t>
      </w:r>
      <w:bookmarkEnd w:id="5"/>
    </w:p>
    <w:p w:rsidR="00B134F4" w:rsidRDefault="00B134F4" w:rsidP="00B134F4">
      <w:pPr>
        <w:pStyle w:val="GesAbsatz"/>
      </w:pPr>
      <w:r>
        <w:t xml:space="preserve">(1) Die Betreiber der folgenden Arten </w:t>
      </w:r>
      <w:r w:rsidR="00AF40E3" w:rsidRPr="00AF40E3">
        <w:t>ortsfester</w:t>
      </w:r>
      <w:r w:rsidR="00AF40E3">
        <w:t xml:space="preserve"> </w:t>
      </w:r>
      <w:r>
        <w:t>Einrichtungen</w:t>
      </w:r>
      <w:r w:rsidR="006D5B46">
        <w:t xml:space="preserve"> </w:t>
      </w:r>
      <w:r>
        <w:t>sind dafür verantwortlich, dass Vorkehrungen dafür getroffen</w:t>
      </w:r>
      <w:r w:rsidR="006D5B46">
        <w:t xml:space="preserve"> </w:t>
      </w:r>
      <w:r>
        <w:t>werden, dass die fluorierten Treibhausgase durch zertifiziertes</w:t>
      </w:r>
      <w:r w:rsidR="006D5B46">
        <w:t xml:space="preserve"> </w:t>
      </w:r>
      <w:r>
        <w:t>Personal, das den Anford</w:t>
      </w:r>
      <w:r>
        <w:t>e</w:t>
      </w:r>
      <w:r>
        <w:t>rungen nach Artikel 5 genügt,</w:t>
      </w:r>
      <w:r w:rsidR="006D5B46">
        <w:t xml:space="preserve"> </w:t>
      </w:r>
      <w:r>
        <w:t>ordnungsgemäß zurückgewonnen werden, um deren Recycling,</w:t>
      </w:r>
      <w:r w:rsidR="006D5B46">
        <w:t xml:space="preserve"> </w:t>
      </w:r>
      <w:r>
        <w:t>Aufarbeitung oder Zerstörung sicherzustellen:</w:t>
      </w:r>
    </w:p>
    <w:p w:rsidR="00B134F4" w:rsidRDefault="00B134F4" w:rsidP="00B134F4">
      <w:pPr>
        <w:pStyle w:val="GesAbsatz"/>
      </w:pPr>
      <w:r>
        <w:t>a)</w:t>
      </w:r>
      <w:r w:rsidR="006D5B46">
        <w:tab/>
      </w:r>
      <w:r>
        <w:t>Kältekreisläufe von Kälteanlagen, Klimaanlagen und Wärmepumpen;</w:t>
      </w:r>
    </w:p>
    <w:p w:rsidR="00B134F4" w:rsidRDefault="00B134F4" w:rsidP="00B134F4">
      <w:pPr>
        <w:pStyle w:val="GesAbsatz"/>
      </w:pPr>
      <w:r>
        <w:t>b)</w:t>
      </w:r>
      <w:r w:rsidR="006D5B46">
        <w:tab/>
      </w:r>
      <w:r>
        <w:t>Einrichtungen, die Lösungsmittel auf der Grundlage fluorierter</w:t>
      </w:r>
      <w:r w:rsidR="006D5B46">
        <w:t xml:space="preserve"> </w:t>
      </w:r>
      <w:r>
        <w:t>Treibhausgase enthalten;</w:t>
      </w:r>
    </w:p>
    <w:p w:rsidR="00B134F4" w:rsidRDefault="00B134F4" w:rsidP="00B134F4">
      <w:pPr>
        <w:pStyle w:val="GesAbsatz"/>
      </w:pPr>
      <w:r>
        <w:t>c)</w:t>
      </w:r>
      <w:r w:rsidR="006D5B46">
        <w:tab/>
      </w:r>
      <w:r>
        <w:t>Brandschutzsysteme und Feuerlöscher sowie</w:t>
      </w:r>
    </w:p>
    <w:p w:rsidR="00B134F4" w:rsidRDefault="00B134F4" w:rsidP="00B134F4">
      <w:pPr>
        <w:pStyle w:val="GesAbsatz"/>
      </w:pPr>
      <w:r>
        <w:t>d)</w:t>
      </w:r>
      <w:r w:rsidR="006D5B46">
        <w:tab/>
      </w:r>
      <w:r>
        <w:t>Hochspannungsschaltanlagen.</w:t>
      </w:r>
    </w:p>
    <w:p w:rsidR="00B134F4" w:rsidRDefault="00B134F4" w:rsidP="00B134F4">
      <w:pPr>
        <w:pStyle w:val="GesAbsatz"/>
      </w:pPr>
      <w:r>
        <w:t>(2) Wenn ein wieder auffüllbarer oder nicht wieder auffüllbarer</w:t>
      </w:r>
      <w:r w:rsidR="006D5B46">
        <w:t xml:space="preserve"> </w:t>
      </w:r>
      <w:r>
        <w:t>Behälter für fluorierte Treibhausgase das Ende seiner Produkt-Lebensdauer erreicht hat, so ist die Person, die den Behälter zu</w:t>
      </w:r>
      <w:r w:rsidR="006D5B46">
        <w:t xml:space="preserve"> </w:t>
      </w:r>
      <w:r>
        <w:t>Beförderungs- oder Lagerungszwecken verwendet, dafür verantwortlich,</w:t>
      </w:r>
      <w:r w:rsidR="006D5B46">
        <w:t xml:space="preserve"> </w:t>
      </w:r>
      <w:r>
        <w:t>dass Vorkehrungen für die ordnungsgemäße Rückg</w:t>
      </w:r>
      <w:r>
        <w:t>e</w:t>
      </w:r>
      <w:r>
        <w:t>winnung</w:t>
      </w:r>
      <w:r w:rsidR="006D5B46">
        <w:t xml:space="preserve"> </w:t>
      </w:r>
      <w:r>
        <w:t>etwaiger darin enthaltener Restgase getroffen werden,</w:t>
      </w:r>
      <w:r w:rsidR="006D5B46">
        <w:t xml:space="preserve"> </w:t>
      </w:r>
      <w:r>
        <w:t>um deren Recycling, Aufarbeitung oder Ze</w:t>
      </w:r>
      <w:r>
        <w:t>r</w:t>
      </w:r>
      <w:r>
        <w:t>störung sicherzustellen.</w:t>
      </w:r>
    </w:p>
    <w:p w:rsidR="00B134F4" w:rsidRDefault="00B134F4" w:rsidP="00B134F4">
      <w:pPr>
        <w:pStyle w:val="GesAbsatz"/>
      </w:pPr>
      <w:r>
        <w:t>(3) Die fluorierten Treibhausgase aus anderen Erzeugnissen</w:t>
      </w:r>
      <w:r w:rsidR="006D5B46">
        <w:t xml:space="preserve"> </w:t>
      </w:r>
      <w:r>
        <w:t>und Einrichtungen einschließlich mobiler Ei</w:t>
      </w:r>
      <w:r>
        <w:t>n</w:t>
      </w:r>
      <w:r>
        <w:t>richtungen, sofern</w:t>
      </w:r>
      <w:r w:rsidR="006D5B46">
        <w:t xml:space="preserve"> </w:t>
      </w:r>
      <w:r>
        <w:t>diese nicht für militärische Einsätze verwendet werden, werden,</w:t>
      </w:r>
      <w:r w:rsidR="006D5B46">
        <w:t xml:space="preserve"> </w:t>
      </w:r>
      <w:r>
        <w:t>soweit dies technisch durchführbar und nicht mit unverhältnismäßigen</w:t>
      </w:r>
      <w:r w:rsidR="006D5B46">
        <w:t xml:space="preserve"> </w:t>
      </w:r>
      <w:r>
        <w:t>Kosten verbunden ist, durch angemessen ausgebildetes</w:t>
      </w:r>
      <w:r w:rsidR="006D5B46">
        <w:t xml:space="preserve"> </w:t>
      </w:r>
      <w:r>
        <w:t>Personal zurückgewonnen, um deren Recycling,</w:t>
      </w:r>
      <w:r w:rsidR="006D5B46">
        <w:t xml:space="preserve"> </w:t>
      </w:r>
      <w:r>
        <w:t>Aufarbeitung oder Zerstörung sicherzustellen.</w:t>
      </w:r>
    </w:p>
    <w:p w:rsidR="00B134F4" w:rsidRDefault="00B134F4" w:rsidP="00B134F4">
      <w:pPr>
        <w:pStyle w:val="GesAbsatz"/>
      </w:pPr>
      <w:r>
        <w:t>(4) Die Rückgewinnung zum Zweck von Recycling, Aufarbeitung</w:t>
      </w:r>
      <w:r w:rsidR="006D5B46">
        <w:t xml:space="preserve"> </w:t>
      </w:r>
      <w:r>
        <w:t>oder Zerstörung fluorierter Treibhausgase gemäß den</w:t>
      </w:r>
      <w:r w:rsidR="006D5B46">
        <w:t xml:space="preserve"> </w:t>
      </w:r>
      <w:r>
        <w:t>Absätzen 1 bis 3 erfolgt vor der endgültigen Entsorgung der</w:t>
      </w:r>
      <w:r w:rsidR="006D5B46">
        <w:t xml:space="preserve"> </w:t>
      </w:r>
      <w:r>
        <w:t>betreffenden Einrichtungen und gegebenenfalls während der</w:t>
      </w:r>
      <w:r w:rsidR="006D5B46">
        <w:t xml:space="preserve"> </w:t>
      </w:r>
      <w:r>
        <w:t>Wartung und Instandhaltung.</w:t>
      </w:r>
    </w:p>
    <w:p w:rsidR="00B134F4" w:rsidRDefault="00B134F4" w:rsidP="006D5B46">
      <w:pPr>
        <w:pStyle w:val="berschrift2"/>
      </w:pPr>
      <w:bookmarkStart w:id="6" w:name="_Toc377990106"/>
      <w:r>
        <w:t>Artikel 5</w:t>
      </w:r>
      <w:r w:rsidR="006D5B46">
        <w:br/>
      </w:r>
      <w:r>
        <w:t>Ausbildung und Zertifizierung</w:t>
      </w:r>
      <w:bookmarkEnd w:id="6"/>
    </w:p>
    <w:p w:rsidR="00B134F4" w:rsidRDefault="00B134F4" w:rsidP="008C2F0A">
      <w:pPr>
        <w:pStyle w:val="GesAbsatz"/>
      </w:pPr>
      <w:r>
        <w:t xml:space="preserve">(1) </w:t>
      </w:r>
      <w:r w:rsidR="008C2F0A">
        <w:t>Die Kommission bestimmt auf der Grundlage der von den Mitgliedstaaten erhaltenen Informationen und unter Anhörung der einschlägigen Sektoren die Mindestanforderungen und die Bedingungen für die gege</w:t>
      </w:r>
      <w:r w:rsidR="008C2F0A">
        <w:t>n</w:t>
      </w:r>
      <w:r w:rsidR="008C2F0A">
        <w:t>seitige Anerkennung von Ausbildungsprogrammen und Zertifizierung für die Unternehmen und das betroff</w:t>
      </w:r>
      <w:r w:rsidR="008C2F0A">
        <w:t>e</w:t>
      </w:r>
      <w:r w:rsidR="008C2F0A">
        <w:t>ne Personal, die bzw. das mit der Installation, der Wartung oder Instandhaltung der unter Artikel 3 Absatz 1 fallenden Einrichtungen und Systeme befasst sind/ist, sowie für das Personal, das die in den Artikeln 3 und 4 vorgesehenen Tätigkeiten wahrnimmt. Diese Maßnahmen zur Änderung nicht wesentlicher Bestimmungen dieser Verordnung durch Ergänzung werden nach dem in Artikel 12 Absatz 3 genannten Regelungsverfa</w:t>
      </w:r>
      <w:r w:rsidR="008C2F0A">
        <w:t>h</w:t>
      </w:r>
      <w:r w:rsidR="008C2F0A">
        <w:t>ren mit Kontrolle erlassen.</w:t>
      </w:r>
    </w:p>
    <w:p w:rsidR="00B134F4" w:rsidRDefault="00B134F4" w:rsidP="00B134F4">
      <w:pPr>
        <w:pStyle w:val="GesAbsatz"/>
      </w:pPr>
      <w:r>
        <w:t>(2) Bis zum 4. Juli 2008 legen die Mitgliedstaaten auf der</w:t>
      </w:r>
      <w:r w:rsidR="006D5B46">
        <w:t xml:space="preserve"> </w:t>
      </w:r>
      <w:r>
        <w:t>Grundlage der in Absatz 1 genannten Mindesta</w:t>
      </w:r>
      <w:r>
        <w:t>n</w:t>
      </w:r>
      <w:r>
        <w:t>forderungen</w:t>
      </w:r>
      <w:r w:rsidR="006D5B46">
        <w:t xml:space="preserve"> </w:t>
      </w:r>
      <w:r>
        <w:t>ihre eigenen Ausbildungs- und Zertifizierungsanforderungen fest</w:t>
      </w:r>
      <w:r w:rsidR="006D5B46">
        <w:t xml:space="preserve"> </w:t>
      </w:r>
      <w:r>
        <w:t>oder passen diese an. Die Mitgliedstaaten teilen der Kommission</w:t>
      </w:r>
      <w:r w:rsidR="006D5B46">
        <w:t xml:space="preserve"> </w:t>
      </w:r>
      <w:r>
        <w:t>ihre Ausbildungs- und Zertifizierungsprogramme mit. Sie</w:t>
      </w:r>
      <w:r w:rsidR="006D5B46">
        <w:t xml:space="preserve"> </w:t>
      </w:r>
      <w:r>
        <w:t>erkennen die in einem anderen Mitgliedstaat ausgestellten</w:t>
      </w:r>
      <w:r w:rsidR="006D5B46">
        <w:t xml:space="preserve"> </w:t>
      </w:r>
      <w:r>
        <w:t>Zertifikate an und schränken die Dienstleistungs- oder Niede</w:t>
      </w:r>
      <w:r>
        <w:t>r</w:t>
      </w:r>
      <w:r>
        <w:t>lassungsfreiheit</w:t>
      </w:r>
      <w:r w:rsidR="006D5B46">
        <w:t xml:space="preserve"> </w:t>
      </w:r>
      <w:r>
        <w:t>nicht aus Gründen im Zusammenhang mit einer</w:t>
      </w:r>
      <w:r w:rsidR="006D5B46">
        <w:t xml:space="preserve"> </w:t>
      </w:r>
      <w:r>
        <w:t>Zertifizierung ein, die in einem anderen Mitgliedstaat ausgestellt</w:t>
      </w:r>
      <w:r w:rsidR="006D5B46">
        <w:t xml:space="preserve"> </w:t>
      </w:r>
      <w:r>
        <w:t>wurde.</w:t>
      </w:r>
    </w:p>
    <w:p w:rsidR="00B134F4" w:rsidRDefault="00B134F4" w:rsidP="00B134F4">
      <w:pPr>
        <w:pStyle w:val="GesAbsatz"/>
      </w:pPr>
      <w:r>
        <w:t>(3) Der Betreiber einer betroffenen Anwendung sorgt dafür,</w:t>
      </w:r>
      <w:r w:rsidR="006D5B46">
        <w:t xml:space="preserve"> </w:t>
      </w:r>
      <w:r>
        <w:t>dass das betroffene Personal die gemäß A</w:t>
      </w:r>
      <w:r>
        <w:t>b</w:t>
      </w:r>
      <w:r>
        <w:t>satz</w:t>
      </w:r>
      <w:r w:rsidR="006D5B46">
        <w:t> </w:t>
      </w:r>
      <w:r>
        <w:t>2 erforderliche</w:t>
      </w:r>
      <w:r w:rsidR="006D5B46">
        <w:t xml:space="preserve"> </w:t>
      </w:r>
      <w:r>
        <w:t>Zertifizierung erworben hat, was eine entsprechende Kenntnis</w:t>
      </w:r>
      <w:r w:rsidR="006D5B46">
        <w:t xml:space="preserve"> </w:t>
      </w:r>
      <w:r>
        <w:t>der geltenden Vorschri</w:t>
      </w:r>
      <w:r>
        <w:t>f</w:t>
      </w:r>
      <w:r>
        <w:t>ten und Normen sowie die erforderliche</w:t>
      </w:r>
      <w:r w:rsidR="006D5B46">
        <w:t xml:space="preserve"> </w:t>
      </w:r>
      <w:r>
        <w:t>Kompetenz für die Emissionsvermeidung und die Rückgewinnung</w:t>
      </w:r>
      <w:r w:rsidR="006D5B46">
        <w:t xml:space="preserve"> </w:t>
      </w:r>
      <w:r>
        <w:t>fluorierter Treibhausgase und für den sicheren Umgang mit</w:t>
      </w:r>
      <w:r w:rsidR="006D5B46">
        <w:t xml:space="preserve"> </w:t>
      </w:r>
      <w:r>
        <w:t>Einrichtungen der relevanten Art und Größe einschließt.</w:t>
      </w:r>
    </w:p>
    <w:p w:rsidR="00B134F4" w:rsidRDefault="00B134F4" w:rsidP="00B134F4">
      <w:pPr>
        <w:pStyle w:val="GesAbsatz"/>
      </w:pPr>
      <w:r>
        <w:t>(4) Bis zum 4. Juli 2009 sorgen die Mitgliedstaaten dafür, dass</w:t>
      </w:r>
      <w:r w:rsidR="006D5B46">
        <w:t xml:space="preserve"> </w:t>
      </w:r>
      <w:r>
        <w:t>die Unternehmen, die die in den Artikeln 3 und 4 genannten</w:t>
      </w:r>
      <w:r w:rsidR="006D5B46">
        <w:t xml:space="preserve"> </w:t>
      </w:r>
      <w:r>
        <w:t>Tätigkeiten durchführen, Lieferungen fluorierter Treibhausgase</w:t>
      </w:r>
      <w:r w:rsidR="006D5B46">
        <w:t xml:space="preserve"> </w:t>
      </w:r>
      <w:r>
        <w:t>nur annehmen, wenn ihr betreffendes Personal die in Absatz 2</w:t>
      </w:r>
      <w:r w:rsidR="006D5B46">
        <w:t xml:space="preserve"> </w:t>
      </w:r>
      <w:r>
        <w:t>dieses Artikels genannte Zertifizierung erhalten hat.</w:t>
      </w:r>
    </w:p>
    <w:p w:rsidR="00B134F4" w:rsidRDefault="00B134F4" w:rsidP="00B134F4">
      <w:pPr>
        <w:pStyle w:val="GesAbsatz"/>
      </w:pPr>
      <w:r>
        <w:t>(5) Die Kommission legt die Form der in Absatz 2 dieses</w:t>
      </w:r>
      <w:r w:rsidR="006D5B46">
        <w:t xml:space="preserve"> </w:t>
      </w:r>
      <w:r>
        <w:t>Artikels genannten Mitteilung bis zum 4. Juli 2007 nach dem in</w:t>
      </w:r>
      <w:r w:rsidR="006D5B46">
        <w:t xml:space="preserve"> </w:t>
      </w:r>
      <w:r>
        <w:t>Artikel 12 Absatz 2 genannten Verfahren fest.</w:t>
      </w:r>
    </w:p>
    <w:p w:rsidR="00B134F4" w:rsidRDefault="00B134F4" w:rsidP="006D5B46">
      <w:pPr>
        <w:pStyle w:val="berschrift2"/>
      </w:pPr>
      <w:bookmarkStart w:id="7" w:name="_Toc377990107"/>
      <w:r>
        <w:lastRenderedPageBreak/>
        <w:t>Artikel 6</w:t>
      </w:r>
      <w:r w:rsidR="006D5B46">
        <w:br/>
      </w:r>
      <w:r>
        <w:t>Berichterstattung</w:t>
      </w:r>
      <w:bookmarkEnd w:id="7"/>
    </w:p>
    <w:p w:rsidR="00B134F4" w:rsidRDefault="00B134F4" w:rsidP="00B134F4">
      <w:pPr>
        <w:pStyle w:val="GesAbsatz"/>
      </w:pPr>
      <w:r>
        <w:t>(1) Bis zum 31. März des Jahres 2008 und jedes folgenden</w:t>
      </w:r>
      <w:r w:rsidR="006D5B46">
        <w:t xml:space="preserve"> </w:t>
      </w:r>
      <w:r>
        <w:t>Jahres übermittelt jeder Hersteller, Importeur und Exporteur von</w:t>
      </w:r>
      <w:r w:rsidR="006D5B46">
        <w:t xml:space="preserve"> </w:t>
      </w:r>
      <w:r>
        <w:t>fluorierten Treibhausgasen der Kommission die nachstehenden</w:t>
      </w:r>
      <w:r w:rsidR="006D5B46">
        <w:t xml:space="preserve"> </w:t>
      </w:r>
      <w:r>
        <w:t>Angaben zum vorherg</w:t>
      </w:r>
      <w:r>
        <w:t>e</w:t>
      </w:r>
      <w:r>
        <w:t>henden Kalenderjahr als Bericht und leitet</w:t>
      </w:r>
      <w:r w:rsidR="006D5B46">
        <w:t xml:space="preserve"> </w:t>
      </w:r>
      <w:r>
        <w:t>die gleichen Angaben der zuständigen Behörde des betreffenden</w:t>
      </w:r>
      <w:r w:rsidR="006D5B46">
        <w:t xml:space="preserve"> </w:t>
      </w:r>
      <w:r>
        <w:t>Mitgliedstaates zu:</w:t>
      </w:r>
    </w:p>
    <w:p w:rsidR="00B134F4" w:rsidRDefault="00B134F4" w:rsidP="00E9189E">
      <w:pPr>
        <w:pStyle w:val="GesAbsatz"/>
        <w:ind w:left="426" w:hanging="426"/>
      </w:pPr>
      <w:r>
        <w:t>a)</w:t>
      </w:r>
      <w:r w:rsidR="006D5B46">
        <w:tab/>
      </w:r>
      <w:r>
        <w:t>Jeder Hersteller, der jährlich mehr als eine Tonne fluorierter</w:t>
      </w:r>
      <w:r w:rsidR="006D5B46">
        <w:t xml:space="preserve"> </w:t>
      </w:r>
      <w:r>
        <w:t>Treibhausgase produziert, teilt Folgendes mit:</w:t>
      </w:r>
    </w:p>
    <w:p w:rsidR="00B134F4" w:rsidRDefault="006D5B46" w:rsidP="00E9189E">
      <w:pPr>
        <w:pStyle w:val="GesAbsatz"/>
        <w:ind w:left="851" w:hanging="425"/>
      </w:pPr>
      <w:r>
        <w:t>-</w:t>
      </w:r>
      <w:r>
        <w:tab/>
      </w:r>
      <w:r w:rsidR="00B134F4">
        <w:t>seine Gesamtproduktion jedes fluorierten Treibhausgases</w:t>
      </w:r>
      <w:r>
        <w:t xml:space="preserve"> </w:t>
      </w:r>
      <w:r w:rsidR="00B134F4">
        <w:t>in der Gemeinschaft unter Angabe der Hauptkategorien</w:t>
      </w:r>
      <w:r>
        <w:t xml:space="preserve"> </w:t>
      </w:r>
      <w:r w:rsidR="00B134F4">
        <w:t>der Anwendungen (beispielsweise mobile</w:t>
      </w:r>
      <w:r>
        <w:t xml:space="preserve"> </w:t>
      </w:r>
      <w:r w:rsidR="00B134F4">
        <w:t>Klimaanlagen, Kälteanlagen, Klimaa</w:t>
      </w:r>
      <w:r w:rsidR="00B134F4">
        <w:t>n</w:t>
      </w:r>
      <w:r w:rsidR="00B134F4">
        <w:t>lagen, Schäume,</w:t>
      </w:r>
      <w:r>
        <w:t xml:space="preserve"> </w:t>
      </w:r>
      <w:r w:rsidR="00B134F4">
        <w:t>Aerosole, elektrische Geräte, Halbleiterherstellung,</w:t>
      </w:r>
      <w:r>
        <w:t xml:space="preserve"> </w:t>
      </w:r>
      <w:r w:rsidR="00B134F4">
        <w:t>Lösungsmittel und Bran</w:t>
      </w:r>
      <w:r w:rsidR="00B134F4">
        <w:t>d</w:t>
      </w:r>
      <w:r w:rsidR="00B134F4">
        <w:t>schutz), für die die Stoffe</w:t>
      </w:r>
      <w:r>
        <w:t xml:space="preserve"> </w:t>
      </w:r>
      <w:r w:rsidR="00B134F4">
        <w:t>voraussichtlich verwendet werden;</w:t>
      </w:r>
    </w:p>
    <w:p w:rsidR="00B134F4" w:rsidRDefault="006D5B46" w:rsidP="00E9189E">
      <w:pPr>
        <w:pStyle w:val="GesAbsatz"/>
        <w:ind w:left="851" w:hanging="425"/>
      </w:pPr>
      <w:r>
        <w:t>-</w:t>
      </w:r>
      <w:r>
        <w:tab/>
      </w:r>
      <w:r w:rsidR="00B134F4">
        <w:t>alle Mengen jedes fluorierten Treibhausgases, die er in</w:t>
      </w:r>
      <w:r>
        <w:t xml:space="preserve"> </w:t>
      </w:r>
      <w:r w:rsidR="00B134F4">
        <w:t>der Gemeinschaft in Verkehr gebracht hat;</w:t>
      </w:r>
    </w:p>
    <w:p w:rsidR="00B134F4" w:rsidRDefault="006D5B46" w:rsidP="00E9189E">
      <w:pPr>
        <w:pStyle w:val="GesAbsatz"/>
        <w:ind w:left="851" w:hanging="425"/>
      </w:pPr>
      <w:r>
        <w:t>-</w:t>
      </w:r>
      <w:r>
        <w:tab/>
      </w:r>
      <w:r w:rsidR="00B134F4">
        <w:t>alle Mengen jedes fluorierten Treibhausgases, das</w:t>
      </w:r>
      <w:r w:rsidR="00E9189E">
        <w:t xml:space="preserve"> </w:t>
      </w:r>
      <w:r w:rsidR="00B134F4">
        <w:t>recycelt, aufgearbeitet oder zerstört wurde.</w:t>
      </w:r>
    </w:p>
    <w:p w:rsidR="00B134F4" w:rsidRDefault="00B134F4" w:rsidP="00E9189E">
      <w:pPr>
        <w:pStyle w:val="GesAbsatz"/>
        <w:ind w:left="426" w:hanging="426"/>
      </w:pPr>
      <w:r>
        <w:t>b)</w:t>
      </w:r>
      <w:r w:rsidR="00E9189E">
        <w:tab/>
      </w:r>
      <w:r>
        <w:t>Jeder Importeur, der jährlich mehr als eine Tonne fluorierter</w:t>
      </w:r>
      <w:r w:rsidR="00E9189E">
        <w:t xml:space="preserve"> </w:t>
      </w:r>
      <w:r>
        <w:t xml:space="preserve">Treibhausgase einführt </w:t>
      </w:r>
      <w:r w:rsidR="00E9189E">
        <w:t>-</w:t>
      </w:r>
      <w:r>
        <w:t xml:space="preserve"> einschließlich der Hersteller, die</w:t>
      </w:r>
      <w:r w:rsidR="00E9189E">
        <w:t xml:space="preserve"> </w:t>
      </w:r>
      <w:r>
        <w:t xml:space="preserve">auch importieren </w:t>
      </w:r>
      <w:r w:rsidR="00E9189E">
        <w:t>-</w:t>
      </w:r>
      <w:r>
        <w:t xml:space="preserve"> teilt Folgendes mit:</w:t>
      </w:r>
    </w:p>
    <w:p w:rsidR="00B134F4" w:rsidRDefault="00E9189E" w:rsidP="00E9189E">
      <w:pPr>
        <w:pStyle w:val="GesAbsatz"/>
        <w:ind w:left="851" w:hanging="425"/>
      </w:pPr>
      <w:r>
        <w:t>-</w:t>
      </w:r>
      <w:r>
        <w:tab/>
      </w:r>
      <w:r w:rsidR="00B134F4">
        <w:t>die gesamte Menge jedes fluorierten Treibhausgases,</w:t>
      </w:r>
      <w:r>
        <w:t xml:space="preserve"> </w:t>
      </w:r>
      <w:r w:rsidR="00B134F4">
        <w:t>die er in die Gemeinschaft eingeführt oder dort in</w:t>
      </w:r>
      <w:r>
        <w:t xml:space="preserve"> </w:t>
      </w:r>
      <w:r w:rsidR="00B134F4">
        <w:t>Verkehr gebracht hat, unter getrennter Angabe der</w:t>
      </w:r>
      <w:r>
        <w:t xml:space="preserve"> </w:t>
      </w:r>
      <w:r w:rsidR="00B134F4">
        <w:t>Hauptkategorie der Anwendungen (be</w:t>
      </w:r>
      <w:r w:rsidR="00B134F4">
        <w:t>i</w:t>
      </w:r>
      <w:r w:rsidR="00B134F4">
        <w:t>spielsweise</w:t>
      </w:r>
      <w:r>
        <w:t xml:space="preserve"> </w:t>
      </w:r>
      <w:r w:rsidR="00B134F4">
        <w:t>mobile Klimaanlagen, Kälteanlagen, Klimaanlagen,</w:t>
      </w:r>
      <w:r>
        <w:t xml:space="preserve"> </w:t>
      </w:r>
      <w:r w:rsidR="00B134F4">
        <w:t>Schäume, Aerosole, elektrische Geräte, Halbleiterherstellung),</w:t>
      </w:r>
      <w:r>
        <w:t xml:space="preserve"> </w:t>
      </w:r>
      <w:r w:rsidR="00B134F4">
        <w:t>für die die Stoffe voraussichtlich verwendet</w:t>
      </w:r>
      <w:r>
        <w:t xml:space="preserve"> </w:t>
      </w:r>
      <w:r w:rsidR="00B134F4">
        <w:t>werden;</w:t>
      </w:r>
    </w:p>
    <w:p w:rsidR="00B134F4" w:rsidRDefault="00E9189E" w:rsidP="00E9189E">
      <w:pPr>
        <w:pStyle w:val="GesAbsatz"/>
        <w:ind w:left="851" w:hanging="425"/>
      </w:pPr>
      <w:r>
        <w:t>-</w:t>
      </w:r>
      <w:r>
        <w:tab/>
      </w:r>
      <w:r w:rsidR="00B134F4">
        <w:t>alle Mengen jedes gebrauchten fluorierten Treibhausgases,</w:t>
      </w:r>
      <w:r>
        <w:t xml:space="preserve"> </w:t>
      </w:r>
      <w:r w:rsidR="00B134F4">
        <w:t>die er zum Zwecke des Recyclings, der Aufarbeitung</w:t>
      </w:r>
      <w:r>
        <w:t xml:space="preserve"> </w:t>
      </w:r>
      <w:r w:rsidR="00B134F4">
        <w:t>oder der Zerstörung eingeführt hat.</w:t>
      </w:r>
    </w:p>
    <w:p w:rsidR="00B134F4" w:rsidRDefault="00B134F4" w:rsidP="00E9189E">
      <w:pPr>
        <w:pStyle w:val="GesAbsatz"/>
        <w:ind w:left="426" w:hanging="426"/>
      </w:pPr>
      <w:r>
        <w:t>c)</w:t>
      </w:r>
      <w:r w:rsidR="00E9189E">
        <w:tab/>
      </w:r>
      <w:r>
        <w:t>Jeder Exporteur, der jährlich mehr als eine Tonne fluorierter</w:t>
      </w:r>
      <w:r w:rsidR="00E9189E">
        <w:t xml:space="preserve"> </w:t>
      </w:r>
      <w:r>
        <w:t xml:space="preserve">Treibhausgase ausführt </w:t>
      </w:r>
      <w:r w:rsidR="00E9189E">
        <w:t>-</w:t>
      </w:r>
      <w:r>
        <w:t xml:space="preserve"> einschließlich der Hersteller, die</w:t>
      </w:r>
      <w:r w:rsidR="00E9189E">
        <w:t xml:space="preserve"> </w:t>
      </w:r>
      <w:r>
        <w:t xml:space="preserve">auch exportieren </w:t>
      </w:r>
      <w:r w:rsidR="00E9189E">
        <w:t>-</w:t>
      </w:r>
      <w:r>
        <w:t xml:space="preserve"> teilt Folgendes mit:</w:t>
      </w:r>
    </w:p>
    <w:p w:rsidR="00B134F4" w:rsidRDefault="00E9189E" w:rsidP="00E9189E">
      <w:pPr>
        <w:pStyle w:val="GesAbsatz"/>
        <w:ind w:left="851" w:hanging="425"/>
      </w:pPr>
      <w:r>
        <w:t>-</w:t>
      </w:r>
      <w:r>
        <w:tab/>
      </w:r>
      <w:r w:rsidR="00B134F4">
        <w:t>die Mengen jedes fluorierten Treibhausgases, die er aus</w:t>
      </w:r>
      <w:r>
        <w:t xml:space="preserve"> </w:t>
      </w:r>
      <w:r w:rsidR="00B134F4">
        <w:t>der Gemeinschaft ausgeführt hat;</w:t>
      </w:r>
    </w:p>
    <w:p w:rsidR="00B134F4" w:rsidRDefault="00E9189E" w:rsidP="00E9189E">
      <w:pPr>
        <w:pStyle w:val="GesAbsatz"/>
        <w:ind w:left="851" w:hanging="425"/>
      </w:pPr>
      <w:r>
        <w:t>-</w:t>
      </w:r>
      <w:r>
        <w:tab/>
      </w:r>
      <w:r w:rsidR="00B134F4">
        <w:t>alle Mengen jedes gebrauchten fluorierten Treibhausgases,</w:t>
      </w:r>
      <w:r>
        <w:t xml:space="preserve"> </w:t>
      </w:r>
      <w:r w:rsidR="00B134F4">
        <w:t>die er zum Zwecke des Recyclings, der Aufarbeitung</w:t>
      </w:r>
      <w:r>
        <w:t xml:space="preserve"> </w:t>
      </w:r>
      <w:r w:rsidR="00B134F4">
        <w:t>oder der Zerstörung ausgeführt hat.</w:t>
      </w:r>
    </w:p>
    <w:p w:rsidR="00B134F4" w:rsidRDefault="00B134F4" w:rsidP="00B134F4">
      <w:pPr>
        <w:pStyle w:val="GesAbsatz"/>
      </w:pPr>
      <w:r>
        <w:t>(2) Die Kommission legt die Form der in Absatz 1 genannten</w:t>
      </w:r>
      <w:r w:rsidR="00E9189E">
        <w:t xml:space="preserve"> </w:t>
      </w:r>
      <w:r>
        <w:t>Berichte bis zum 4. Juli 2007 nach dem in Art</w:t>
      </w:r>
      <w:r>
        <w:t>i</w:t>
      </w:r>
      <w:r>
        <w:t>kel 12 Absatz 2</w:t>
      </w:r>
      <w:r w:rsidR="00E9189E">
        <w:t xml:space="preserve"> </w:t>
      </w:r>
      <w:r>
        <w:t>genannten Verfahren fest.</w:t>
      </w:r>
    </w:p>
    <w:p w:rsidR="00B134F4" w:rsidRDefault="00B134F4" w:rsidP="00B134F4">
      <w:pPr>
        <w:pStyle w:val="GesAbsatz"/>
      </w:pPr>
      <w:r>
        <w:t>(3) Die Kommission trifft geeignete Maßnahmen, um die</w:t>
      </w:r>
      <w:r w:rsidR="00E9189E">
        <w:t xml:space="preserve"> </w:t>
      </w:r>
      <w:r>
        <w:t>Vertraulichkeit der ihr übermittelten Informationen zu schützen.</w:t>
      </w:r>
    </w:p>
    <w:p w:rsidR="00B134F4" w:rsidRDefault="00B134F4" w:rsidP="00B134F4">
      <w:pPr>
        <w:pStyle w:val="GesAbsatz"/>
      </w:pPr>
      <w:r>
        <w:t>(4) Die Mitgliedstaaten legen Berichterstattungssysteme für die</w:t>
      </w:r>
      <w:r w:rsidR="00E9189E">
        <w:t xml:space="preserve"> </w:t>
      </w:r>
      <w:r>
        <w:t>in dieser Verordnung aufgeführten einschl</w:t>
      </w:r>
      <w:r>
        <w:t>ä</w:t>
      </w:r>
      <w:r>
        <w:t>gigen Sektoren mit</w:t>
      </w:r>
      <w:r w:rsidR="00E9189E">
        <w:t xml:space="preserve"> </w:t>
      </w:r>
      <w:r>
        <w:t>dem Ziel fest, im Rahmen des Möglichen Emissionsdaten zu</w:t>
      </w:r>
      <w:r w:rsidR="00E9189E">
        <w:t xml:space="preserve"> </w:t>
      </w:r>
      <w:r>
        <w:t>gewinnen.</w:t>
      </w:r>
    </w:p>
    <w:p w:rsidR="00B134F4" w:rsidRDefault="00B134F4" w:rsidP="00E9189E">
      <w:pPr>
        <w:pStyle w:val="berschrift2"/>
      </w:pPr>
      <w:bookmarkStart w:id="8" w:name="_Toc377990108"/>
      <w:r>
        <w:t>Artikel 7</w:t>
      </w:r>
      <w:r w:rsidR="00E9189E">
        <w:br/>
      </w:r>
      <w:r>
        <w:t>Kennzeichnung</w:t>
      </w:r>
      <w:bookmarkEnd w:id="8"/>
    </w:p>
    <w:p w:rsidR="00B134F4" w:rsidRDefault="00B134F4" w:rsidP="00B134F4">
      <w:pPr>
        <w:pStyle w:val="GesAbsatz"/>
      </w:pPr>
      <w:r>
        <w:t>(1) Unbeschadet der Bestimmungen der Richtlinie 67/548/EWG</w:t>
      </w:r>
      <w:r w:rsidR="00836355">
        <w:rPr>
          <w:rStyle w:val="Funotenzeichen"/>
        </w:rPr>
        <w:footnoteReference w:id="17"/>
      </w:r>
      <w:r>
        <w:t xml:space="preserve"> und der Richtlinie 1999/45/EG</w:t>
      </w:r>
      <w:r w:rsidR="00836355">
        <w:rPr>
          <w:rStyle w:val="Funotenzeichen"/>
        </w:rPr>
        <w:footnoteReference w:id="18"/>
      </w:r>
      <w:r>
        <w:t xml:space="preserve"> in Bezug auf die</w:t>
      </w:r>
      <w:r w:rsidR="00836355">
        <w:t xml:space="preserve"> </w:t>
      </w:r>
      <w:r>
        <w:t>Kennzeichnung gefährlicher Stoffe und Zubereitungen dürfen die</w:t>
      </w:r>
      <w:r w:rsidR="00836355">
        <w:t xml:space="preserve"> </w:t>
      </w:r>
      <w:r>
        <w:t>in Absatz 2 aufgeführten Erzeu</w:t>
      </w:r>
      <w:r>
        <w:t>g</w:t>
      </w:r>
      <w:r>
        <w:t>nisse und Einrichtungen, die</w:t>
      </w:r>
      <w:r w:rsidR="00836355">
        <w:t xml:space="preserve"> </w:t>
      </w:r>
      <w:r>
        <w:t>fluorierte Treibhausgase enthalten, nicht in Verkehr gebracht</w:t>
      </w:r>
      <w:r w:rsidR="00836355">
        <w:t xml:space="preserve"> </w:t>
      </w:r>
      <w:r>
        <w:t>werden, wenn nicht die chemischen Bezeichnungen der</w:t>
      </w:r>
      <w:r w:rsidR="00836355">
        <w:t xml:space="preserve"> </w:t>
      </w:r>
      <w:r>
        <w:t>fluorierten Treibhausgase unter Verwendung der anerkannten</w:t>
      </w:r>
      <w:r w:rsidR="00836355">
        <w:t xml:space="preserve"> </w:t>
      </w:r>
      <w:r>
        <w:t>Industrienomenklatur als Kennzeichnung angebracht sind. Diese</w:t>
      </w:r>
      <w:r w:rsidR="00836355">
        <w:t xml:space="preserve"> </w:t>
      </w:r>
      <w:r>
        <w:t>Kennzeichnung enthält den deutlichen Hinweis, dass das</w:t>
      </w:r>
      <w:r w:rsidR="00836355">
        <w:t xml:space="preserve"> </w:t>
      </w:r>
      <w:r>
        <w:t>Erzeugnis oder die Einrichtung vom Kyoto-Protokoll erfasste</w:t>
      </w:r>
      <w:r w:rsidR="00836355">
        <w:t xml:space="preserve"> </w:t>
      </w:r>
      <w:r>
        <w:t>fluorierte Treibhausgase enthält, sowie deren Menge, wobei diese</w:t>
      </w:r>
      <w:r w:rsidR="00836355">
        <w:t xml:space="preserve"> </w:t>
      </w:r>
      <w:r>
        <w:t>Angaben deutlich lesbar und unverwischbar auf dem Erzeugnis</w:t>
      </w:r>
      <w:r w:rsidR="00836355">
        <w:t xml:space="preserve"> </w:t>
      </w:r>
      <w:r>
        <w:t>oder der Einrichtung in unmittelbarer Nähe der Wartungsstellen</w:t>
      </w:r>
      <w:r w:rsidR="00836355">
        <w:t xml:space="preserve"> </w:t>
      </w:r>
      <w:r>
        <w:t>für das Befüllen oder die Rückgewinnung der fluorierten</w:t>
      </w:r>
      <w:r w:rsidR="00836355">
        <w:t xml:space="preserve"> </w:t>
      </w:r>
      <w:r>
        <w:t>Treibhausgase oder auf dem Teil des Erzeugnisses oder der</w:t>
      </w:r>
      <w:r w:rsidR="00836355">
        <w:t xml:space="preserve"> </w:t>
      </w:r>
      <w:r>
        <w:t>Einrichtung, der das fluorierte Treibhausgas enthält, angebracht</w:t>
      </w:r>
      <w:r w:rsidR="00836355">
        <w:t xml:space="preserve"> </w:t>
      </w:r>
      <w:r>
        <w:t>sein müssen. Hermetisch geschlossene Systeme sind als solche zu</w:t>
      </w:r>
      <w:r w:rsidR="00836355">
        <w:t xml:space="preserve"> </w:t>
      </w:r>
      <w:r>
        <w:t>ken</w:t>
      </w:r>
      <w:r>
        <w:t>n</w:t>
      </w:r>
      <w:r>
        <w:t>zeichnen.</w:t>
      </w:r>
    </w:p>
    <w:p w:rsidR="00B134F4" w:rsidRDefault="00B134F4" w:rsidP="00B134F4">
      <w:pPr>
        <w:pStyle w:val="GesAbsatz"/>
      </w:pPr>
      <w:r>
        <w:lastRenderedPageBreak/>
        <w:t>Die zusammen mit diesen Erzeugnissen mitgelieferten Bedienungsanleitungen</w:t>
      </w:r>
      <w:r w:rsidR="00836355">
        <w:t xml:space="preserve"> </w:t>
      </w:r>
      <w:r>
        <w:t>enthalten Informationen über die fluorierten</w:t>
      </w:r>
      <w:r w:rsidR="00836355">
        <w:t xml:space="preserve"> </w:t>
      </w:r>
      <w:r>
        <w:t>Treibhausgase, einschließlich ihres Treibhauspotenzials.</w:t>
      </w:r>
    </w:p>
    <w:p w:rsidR="00B134F4" w:rsidRDefault="00B134F4" w:rsidP="00B134F4">
      <w:pPr>
        <w:pStyle w:val="GesAbsatz"/>
      </w:pPr>
      <w:r>
        <w:t>(2) Absatz 1 gilt für folgende Arten von Erzeugnissen und</w:t>
      </w:r>
      <w:r w:rsidR="00836355">
        <w:t xml:space="preserve"> </w:t>
      </w:r>
      <w:r>
        <w:t>Einrichtungen:</w:t>
      </w:r>
    </w:p>
    <w:p w:rsidR="00B134F4" w:rsidRDefault="00B134F4" w:rsidP="00836355">
      <w:pPr>
        <w:pStyle w:val="GesAbsatz"/>
        <w:ind w:left="426" w:hanging="426"/>
      </w:pPr>
      <w:r>
        <w:t>a)</w:t>
      </w:r>
      <w:r w:rsidR="00836355">
        <w:tab/>
      </w:r>
      <w:r>
        <w:t xml:space="preserve">Kältegeräte und </w:t>
      </w:r>
      <w:r w:rsidR="00836355">
        <w:t>-</w:t>
      </w:r>
      <w:r>
        <w:rPr>
          <w:rFonts w:cs="Arial"/>
        </w:rPr>
        <w:t>anlagen, die perfluorierte Kohlenwasserstoffe</w:t>
      </w:r>
      <w:r w:rsidR="00836355">
        <w:rPr>
          <w:rFonts w:cs="Arial"/>
        </w:rPr>
        <w:t xml:space="preserve"> </w:t>
      </w:r>
      <w:r>
        <w:t>oder Zubereitungen mit perfluorierten Kohlenwasserstoffen</w:t>
      </w:r>
      <w:r w:rsidR="00836355">
        <w:t xml:space="preserve"> </w:t>
      </w:r>
      <w:r>
        <w:t>enthalten;</w:t>
      </w:r>
    </w:p>
    <w:p w:rsidR="00B134F4" w:rsidRDefault="00B134F4" w:rsidP="00836355">
      <w:pPr>
        <w:pStyle w:val="GesAbsatz"/>
        <w:ind w:left="426" w:hanging="426"/>
      </w:pPr>
      <w:r>
        <w:t>b)</w:t>
      </w:r>
      <w:r w:rsidR="00836355">
        <w:tab/>
      </w:r>
      <w:r>
        <w:t xml:space="preserve">Kältegeräte und </w:t>
      </w:r>
      <w:r w:rsidR="00836355">
        <w:t>-</w:t>
      </w:r>
      <w:r>
        <w:rPr>
          <w:rFonts w:cs="Arial"/>
        </w:rPr>
        <w:t xml:space="preserve">anlagen sowie Klimaanlagen und </w:t>
      </w:r>
      <w:r w:rsidR="00836355">
        <w:rPr>
          <w:rFonts w:cs="Arial"/>
        </w:rPr>
        <w:t>-</w:t>
      </w:r>
      <w:r>
        <w:rPr>
          <w:rFonts w:cs="Arial"/>
        </w:rPr>
        <w:t>geräte</w:t>
      </w:r>
      <w:r w:rsidR="00836355">
        <w:rPr>
          <w:rFonts w:cs="Arial"/>
        </w:rPr>
        <w:t xml:space="preserve"> </w:t>
      </w:r>
      <w:r>
        <w:t>(außer solchen in Kraftfahrzeugen), Wärm</w:t>
      </w:r>
      <w:r>
        <w:t>e</w:t>
      </w:r>
      <w:r>
        <w:t>pumpen,</w:t>
      </w:r>
      <w:r w:rsidR="00836355">
        <w:t xml:space="preserve"> </w:t>
      </w:r>
      <w:r>
        <w:t>Brandschutzsysteme und Feuerlöscher, wenn der jeweilige</w:t>
      </w:r>
      <w:r w:rsidR="00836355">
        <w:t xml:space="preserve"> </w:t>
      </w:r>
      <w:r>
        <w:t>Erzeugnis- oder Einrichtungstyp teilfluorierte Kohlenwasserstoffe</w:t>
      </w:r>
      <w:r w:rsidR="00836355">
        <w:t xml:space="preserve"> </w:t>
      </w:r>
      <w:r>
        <w:t>oder Zubereitungen mit teilfluorierten Kohlenwasserstoffen</w:t>
      </w:r>
      <w:r w:rsidR="00836355">
        <w:t xml:space="preserve"> </w:t>
      </w:r>
      <w:r>
        <w:t>enthält;</w:t>
      </w:r>
    </w:p>
    <w:p w:rsidR="00B134F4" w:rsidRDefault="00B134F4" w:rsidP="00B134F4">
      <w:pPr>
        <w:pStyle w:val="GesAbsatz"/>
      </w:pPr>
      <w:r>
        <w:t>c)</w:t>
      </w:r>
      <w:r w:rsidR="00836355">
        <w:tab/>
      </w:r>
      <w:r>
        <w:t>Schaltanlagen, die Schwefelhexafluorid oder Zubereitungen</w:t>
      </w:r>
      <w:r w:rsidR="00836355">
        <w:t xml:space="preserve"> </w:t>
      </w:r>
      <w:r>
        <w:t>mit Schwefelhexafluorid enthalten;</w:t>
      </w:r>
    </w:p>
    <w:p w:rsidR="00B134F4" w:rsidRDefault="00B134F4" w:rsidP="00B134F4">
      <w:pPr>
        <w:pStyle w:val="GesAbsatz"/>
      </w:pPr>
      <w:r>
        <w:t>d)</w:t>
      </w:r>
      <w:r w:rsidR="00836355">
        <w:tab/>
      </w:r>
      <w:r>
        <w:t>alle Behälter für fluorierte Treibhausgase.</w:t>
      </w:r>
    </w:p>
    <w:p w:rsidR="008C2F0A" w:rsidRDefault="00B134F4" w:rsidP="008C2F0A">
      <w:pPr>
        <w:pStyle w:val="GesAbsatz"/>
      </w:pPr>
      <w:r>
        <w:t xml:space="preserve">(3) </w:t>
      </w:r>
      <w:r w:rsidR="008C2F0A">
        <w:t>Die Form der zu verwendenden Kennzeichnung wird nach dem in Artikel 12 Absatz 2 genannten Reg</w:t>
      </w:r>
      <w:r w:rsidR="008C2F0A">
        <w:t>e</w:t>
      </w:r>
      <w:r w:rsidR="008C2F0A">
        <w:t>lungsverfahren festgelegt.</w:t>
      </w:r>
    </w:p>
    <w:p w:rsidR="008C2F0A" w:rsidRDefault="008C2F0A" w:rsidP="008C2F0A">
      <w:pPr>
        <w:pStyle w:val="GesAbsatz"/>
      </w:pPr>
      <w:r>
        <w:t>Kennzeichnungsanforderungen zusätzlich zu den in Absatz 1 festgelegten werden gegebenenfalls festg</w:t>
      </w:r>
      <w:r>
        <w:t>e</w:t>
      </w:r>
      <w:r>
        <w:t>legt. Diese Maßnahmen zur Änderung nicht wesentlicher Bestimmungen dieser Verordnung durch Ergä</w:t>
      </w:r>
      <w:r>
        <w:t>n</w:t>
      </w:r>
      <w:r>
        <w:t>zung werden nach dem in Artikel 12 Absatz 3 genannten Regelungsverfahren mit Kontrolle erlassen.</w:t>
      </w:r>
    </w:p>
    <w:p w:rsidR="00B134F4" w:rsidRDefault="008C2F0A" w:rsidP="008C2F0A">
      <w:pPr>
        <w:pStyle w:val="GesAbsatz"/>
      </w:pPr>
      <w:r>
        <w:t>Bevor die Kommission dem in Artikel 12 Absatz 1 genannten Ausschuss einen Vorschlag vorlegt, prüft sie, ob die Aufnahme zusätzlicher Umweltinformation einschließlich des Treibhauspotenzials in die Kennzeic</w:t>
      </w:r>
      <w:r>
        <w:t>h</w:t>
      </w:r>
      <w:r>
        <w:t>nung erstrebenswert ist, wobei sie bestehende, für die in Absatz 2 genannten Erzeugnisse und Geräte ge</w:t>
      </w:r>
      <w:r>
        <w:t>l</w:t>
      </w:r>
      <w:r>
        <w:t>tende Kennzeichnungsanforderungen gebührend berücksichtigt.</w:t>
      </w:r>
    </w:p>
    <w:p w:rsidR="00B134F4" w:rsidRDefault="00B134F4" w:rsidP="00836355">
      <w:pPr>
        <w:pStyle w:val="berschrift2"/>
      </w:pPr>
      <w:bookmarkStart w:id="9" w:name="_Toc377990109"/>
      <w:r>
        <w:t>Artikel 8</w:t>
      </w:r>
      <w:r w:rsidR="00836355">
        <w:br/>
      </w:r>
      <w:r>
        <w:t>Beschränkung der Verwendung</w:t>
      </w:r>
      <w:bookmarkEnd w:id="9"/>
    </w:p>
    <w:p w:rsidR="00B134F4" w:rsidRDefault="00B134F4" w:rsidP="00B134F4">
      <w:pPr>
        <w:pStyle w:val="GesAbsatz"/>
      </w:pPr>
      <w:r>
        <w:t>(1) Die Verwendung von Schwefelhexafluorid oder von</w:t>
      </w:r>
      <w:r w:rsidR="00836355">
        <w:t xml:space="preserve"> </w:t>
      </w:r>
      <w:r>
        <w:t>Zubereitungen mit diesem Stoff für den Magnesiu</w:t>
      </w:r>
      <w:r>
        <w:t>m</w:t>
      </w:r>
      <w:r>
        <w:t>druckguss</w:t>
      </w:r>
      <w:r w:rsidR="00836355">
        <w:t xml:space="preserve"> </w:t>
      </w:r>
      <w:r>
        <w:t>ist ab dem 1. Januar 2008 untersagt, es sei denn, die dabei</w:t>
      </w:r>
      <w:r w:rsidR="00836355">
        <w:t xml:space="preserve"> </w:t>
      </w:r>
      <w:r>
        <w:t>verwendete Menge Schwefelhexafl</w:t>
      </w:r>
      <w:r>
        <w:t>u</w:t>
      </w:r>
      <w:r>
        <w:t>orids liegt unter 850 kg</w:t>
      </w:r>
      <w:r w:rsidR="00836355">
        <w:t xml:space="preserve"> </w:t>
      </w:r>
      <w:r>
        <w:t>jährlich.</w:t>
      </w:r>
    </w:p>
    <w:p w:rsidR="00B134F4" w:rsidRDefault="00B134F4" w:rsidP="00B134F4">
      <w:pPr>
        <w:pStyle w:val="GesAbsatz"/>
      </w:pPr>
      <w:r>
        <w:t>(2) Die Verwendung von Schwefelhexafluorid oder von</w:t>
      </w:r>
      <w:r w:rsidR="00836355">
        <w:t xml:space="preserve"> </w:t>
      </w:r>
      <w:r>
        <w:t>Zubereitungen mit diesem Stoff zum Füllen von Fahrzeugreifen</w:t>
      </w:r>
      <w:r w:rsidR="00836355">
        <w:t xml:space="preserve"> </w:t>
      </w:r>
      <w:r>
        <w:t>ist ab dem 4. Juli 2007 untersagt.</w:t>
      </w:r>
    </w:p>
    <w:p w:rsidR="00B134F4" w:rsidRDefault="00B134F4" w:rsidP="00836355">
      <w:pPr>
        <w:pStyle w:val="berschrift2"/>
      </w:pPr>
      <w:bookmarkStart w:id="10" w:name="_Toc377990110"/>
      <w:r>
        <w:t>Artikel 9</w:t>
      </w:r>
      <w:r w:rsidR="00836355">
        <w:br/>
      </w:r>
      <w:r>
        <w:t>Inverkehrbringen</w:t>
      </w:r>
      <w:bookmarkEnd w:id="10"/>
    </w:p>
    <w:p w:rsidR="00B134F4" w:rsidRDefault="00B134F4" w:rsidP="00B134F4">
      <w:pPr>
        <w:pStyle w:val="GesAbsatz"/>
      </w:pPr>
      <w:r>
        <w:t>(1) Das Inverkehrbringen der in Anhang II aufgeführten</w:t>
      </w:r>
      <w:r w:rsidR="00836355">
        <w:t xml:space="preserve"> </w:t>
      </w:r>
      <w:r>
        <w:t>Erzeugnisse und Einrichtungen, die fluorierte Trei</w:t>
      </w:r>
      <w:r>
        <w:t>b</w:t>
      </w:r>
      <w:r>
        <w:t>hausgase</w:t>
      </w:r>
      <w:r w:rsidR="00836355">
        <w:t xml:space="preserve"> </w:t>
      </w:r>
      <w:r>
        <w:t>enthalten oder zu ihrem Funktionieren benötigen, ist nach</w:t>
      </w:r>
      <w:r w:rsidR="00836355">
        <w:t xml:space="preserve"> </w:t>
      </w:r>
      <w:r>
        <w:t>Maßgabe dieses Anhangs untersagt.</w:t>
      </w:r>
    </w:p>
    <w:p w:rsidR="00B134F4" w:rsidRDefault="00B134F4" w:rsidP="00B134F4">
      <w:pPr>
        <w:pStyle w:val="GesAbsatz"/>
      </w:pPr>
      <w:r>
        <w:t>(2) Absatz 1 gilt nicht für Erzeugnisse und Einrichtungen, für</w:t>
      </w:r>
      <w:r w:rsidR="00836355">
        <w:t xml:space="preserve"> </w:t>
      </w:r>
      <w:r>
        <w:t>die nachgewiesen wird, dass sie vor dem I</w:t>
      </w:r>
      <w:r>
        <w:t>n</w:t>
      </w:r>
      <w:r>
        <w:t>krafttreten des</w:t>
      </w:r>
      <w:r w:rsidR="00836355">
        <w:t xml:space="preserve"> </w:t>
      </w:r>
      <w:r>
        <w:t>jeweiligen Verbots des Inverkehrbringens hergestellt worden sind.</w:t>
      </w:r>
    </w:p>
    <w:p w:rsidR="00B134F4" w:rsidRDefault="00B134F4" w:rsidP="00836355">
      <w:pPr>
        <w:pStyle w:val="GesAbsatz"/>
        <w:ind w:left="851" w:hanging="851"/>
      </w:pPr>
      <w:r>
        <w:t>(3)</w:t>
      </w:r>
      <w:r w:rsidR="00836355">
        <w:tab/>
      </w:r>
      <w:r>
        <w:t>a)</w:t>
      </w:r>
      <w:r w:rsidR="00836355">
        <w:tab/>
      </w:r>
      <w:r>
        <w:t>Hat ein Mitgliedstaat zum 31. Dezember 2005 einzelstaatliche</w:t>
      </w:r>
      <w:r w:rsidR="00836355">
        <w:t xml:space="preserve"> </w:t>
      </w:r>
      <w:r>
        <w:t>Maßnahmen erlassen, die strenger als die des</w:t>
      </w:r>
      <w:r w:rsidR="00836355">
        <w:t xml:space="preserve"> </w:t>
      </w:r>
      <w:r>
        <w:t>vorliegenden Artikels sind, die in den Geltungsbereich</w:t>
      </w:r>
      <w:r w:rsidR="00836355">
        <w:t xml:space="preserve"> </w:t>
      </w:r>
      <w:r>
        <w:t>dieser Verordnung fallen und die das Inverkehrbringen</w:t>
      </w:r>
      <w:r w:rsidR="00836355">
        <w:t xml:space="preserve"> </w:t>
      </w:r>
      <w:r>
        <w:t>von Erzeugnissen und Geräten betreffen, die fluorierte</w:t>
      </w:r>
      <w:r w:rsidR="00836355">
        <w:t xml:space="preserve"> </w:t>
      </w:r>
      <w:r>
        <w:t>Treibhausgase en</w:t>
      </w:r>
      <w:r>
        <w:t>t</w:t>
      </w:r>
      <w:r>
        <w:t>halten oder deren Funktionieren von</w:t>
      </w:r>
      <w:r w:rsidR="00836355">
        <w:t xml:space="preserve"> </w:t>
      </w:r>
      <w:r>
        <w:t>diesen Gasen abhängt, so kann dieser Mitgliedstaat</w:t>
      </w:r>
      <w:r w:rsidR="00836355">
        <w:t xml:space="preserve"> </w:t>
      </w:r>
      <w:r>
        <w:t>vorb</w:t>
      </w:r>
      <w:r>
        <w:t>e</w:t>
      </w:r>
      <w:r>
        <w:t>haltlich des Buchstabens b diese Maßnahmen bis</w:t>
      </w:r>
      <w:r w:rsidR="00836355">
        <w:t xml:space="preserve"> </w:t>
      </w:r>
      <w:r>
        <w:t>zum 31. Dezember 2012 beibehalten.</w:t>
      </w:r>
    </w:p>
    <w:p w:rsidR="00B134F4" w:rsidRDefault="00B134F4" w:rsidP="00836355">
      <w:pPr>
        <w:pStyle w:val="GesAbsatz"/>
        <w:ind w:left="851" w:hanging="425"/>
      </w:pPr>
      <w:r>
        <w:t>b)</w:t>
      </w:r>
      <w:r w:rsidR="00836355">
        <w:tab/>
      </w:r>
      <w:r>
        <w:t>Der betreffende Mitgliedstaat teilt die einzelstaatlichen</w:t>
      </w:r>
      <w:r w:rsidR="00836355">
        <w:t xml:space="preserve"> </w:t>
      </w:r>
      <w:r>
        <w:t>Maßnahmen mit einer Begründung vers</w:t>
      </w:r>
      <w:r>
        <w:t>e</w:t>
      </w:r>
      <w:r>
        <w:t>hen der</w:t>
      </w:r>
      <w:r w:rsidR="00836355">
        <w:t xml:space="preserve"> </w:t>
      </w:r>
      <w:r>
        <w:t>Kommission bis zum 4. Juli 2007 mit. Derartige</w:t>
      </w:r>
      <w:r w:rsidR="00836355">
        <w:t xml:space="preserve"> </w:t>
      </w:r>
      <w:r>
        <w:t>Maßnahmen haben dem Vertrag zu en</w:t>
      </w:r>
      <w:r>
        <w:t>t</w:t>
      </w:r>
      <w:r>
        <w:t>sprechen. Die</w:t>
      </w:r>
      <w:r w:rsidR="00836355">
        <w:t xml:space="preserve"> </w:t>
      </w:r>
      <w:r>
        <w:t>Kommission übermittelt dem in Artikel 12 Absatz 1</w:t>
      </w:r>
      <w:r w:rsidR="00836355">
        <w:t xml:space="preserve"> </w:t>
      </w:r>
      <w:r>
        <w:t>genannten Ausschuss einschl</w:t>
      </w:r>
      <w:r>
        <w:t>ä</w:t>
      </w:r>
      <w:r>
        <w:t>gige Informationen über</w:t>
      </w:r>
      <w:r w:rsidR="00836355">
        <w:t xml:space="preserve"> </w:t>
      </w:r>
      <w:r>
        <w:t>solche Maßnahmen.</w:t>
      </w:r>
    </w:p>
    <w:p w:rsidR="00B134F4" w:rsidRDefault="00B134F4" w:rsidP="00836355">
      <w:pPr>
        <w:pStyle w:val="berschrift2"/>
      </w:pPr>
      <w:bookmarkStart w:id="11" w:name="_Toc377990111"/>
      <w:r>
        <w:t>Artikel 10</w:t>
      </w:r>
      <w:r w:rsidR="00836355">
        <w:br/>
      </w:r>
      <w:r>
        <w:t>Überprüfung</w:t>
      </w:r>
      <w:bookmarkEnd w:id="11"/>
    </w:p>
    <w:p w:rsidR="00B134F4" w:rsidRDefault="00B134F4" w:rsidP="00B134F4">
      <w:pPr>
        <w:pStyle w:val="GesAbsatz"/>
      </w:pPr>
      <w:r>
        <w:t>(1) Auf der Grundlage von Fortschritten bei der Reduzierung</w:t>
      </w:r>
      <w:r w:rsidR="00632508">
        <w:t xml:space="preserve"> </w:t>
      </w:r>
      <w:r>
        <w:t xml:space="preserve">oder Substitution fluorierter Treibhausgase in Klimaanlagen </w:t>
      </w:r>
      <w:r w:rsidR="00632508">
        <w:t xml:space="preserve">- </w:t>
      </w:r>
      <w:r>
        <w:t>außer in Kraftfahrzeugen gemäß der Richtlinie 70/156/EWG des</w:t>
      </w:r>
      <w:r w:rsidR="00632508">
        <w:t xml:space="preserve"> </w:t>
      </w:r>
      <w:r>
        <w:t>Rates vom 6. Februar</w:t>
      </w:r>
      <w:r w:rsidR="00632508">
        <w:t> </w:t>
      </w:r>
      <w:r>
        <w:t>1970 zur Angleichung der Rechtsvorschriften</w:t>
      </w:r>
      <w:r w:rsidR="00632508">
        <w:t xml:space="preserve"> </w:t>
      </w:r>
      <w:r>
        <w:t>der Mitgliedstaaten über die Betriebserlaubnis für</w:t>
      </w:r>
      <w:r w:rsidR="00632508">
        <w:t xml:space="preserve"> </w:t>
      </w:r>
      <w:r>
        <w:t>Kraftfahrzeuge und Kraftfahrzeuganhänger</w:t>
      </w:r>
      <w:r w:rsidR="00632508">
        <w:rPr>
          <w:rStyle w:val="Funotenzeichen"/>
        </w:rPr>
        <w:footnoteReference w:id="19"/>
      </w:r>
      <w:r>
        <w:t xml:space="preserve"> </w:t>
      </w:r>
      <w:r w:rsidR="00632508">
        <w:t>-</w:t>
      </w:r>
      <w:r>
        <w:t xml:space="preserve"> und Kühlsystemen</w:t>
      </w:r>
      <w:r w:rsidR="00632508">
        <w:t xml:space="preserve"> </w:t>
      </w:r>
      <w:r>
        <w:t>in Verkehrsmitteln überprüft die Kommission diese</w:t>
      </w:r>
      <w:r w:rsidR="00632508">
        <w:t xml:space="preserve"> </w:t>
      </w:r>
      <w:r>
        <w:t>Ve</w:t>
      </w:r>
      <w:r>
        <w:t>r</w:t>
      </w:r>
      <w:r>
        <w:t>ordnung und veröffentlicht spätestens zum 31. Dezember</w:t>
      </w:r>
      <w:r w:rsidR="00632508">
        <w:t xml:space="preserve"> </w:t>
      </w:r>
      <w:r>
        <w:t>2007 einen entsprechenden Bericht. Sie fügt di</w:t>
      </w:r>
      <w:r>
        <w:t>e</w:t>
      </w:r>
      <w:r>
        <w:lastRenderedPageBreak/>
        <w:t>sem Bericht</w:t>
      </w:r>
      <w:r w:rsidR="00632508">
        <w:t xml:space="preserve"> </w:t>
      </w:r>
      <w:r>
        <w:t>gegebenenfalls bis zum 31. Dezember 2008 Vorschläge für</w:t>
      </w:r>
      <w:r w:rsidR="00632508">
        <w:t xml:space="preserve"> </w:t>
      </w:r>
      <w:r>
        <w:t>Rechtsvorschriften bei, und zwar auch für die Anwendung des</w:t>
      </w:r>
      <w:r w:rsidR="00632508">
        <w:t xml:space="preserve"> </w:t>
      </w:r>
      <w:r>
        <w:t xml:space="preserve">Artikels 3 auf Klimaanlagen </w:t>
      </w:r>
      <w:r w:rsidR="00632508">
        <w:t>-</w:t>
      </w:r>
      <w:r>
        <w:t xml:space="preserve"> außer in Kraftfahrzeugen gemäß</w:t>
      </w:r>
      <w:r w:rsidR="00632508">
        <w:t xml:space="preserve"> </w:t>
      </w:r>
      <w:r>
        <w:t xml:space="preserve">der Richtlinie 70/156/EWG </w:t>
      </w:r>
      <w:r w:rsidR="00632508">
        <w:t>-</w:t>
      </w:r>
      <w:r>
        <w:t xml:space="preserve"> und Kühlsysteme in Verkehrsmitteln.</w:t>
      </w:r>
    </w:p>
    <w:p w:rsidR="00B134F4" w:rsidRDefault="00B134F4" w:rsidP="00B134F4">
      <w:pPr>
        <w:pStyle w:val="GesAbsatz"/>
      </w:pPr>
      <w:r>
        <w:t>(2) Bis zum 4. Juli 2011 veröffentlicht die Kommission einen</w:t>
      </w:r>
      <w:r w:rsidR="00632508">
        <w:t xml:space="preserve"> </w:t>
      </w:r>
      <w:r>
        <w:t>Bericht auf der Grundlage der Erfahrungen bei der Anwendung</w:t>
      </w:r>
      <w:r w:rsidR="00632508">
        <w:t xml:space="preserve"> </w:t>
      </w:r>
      <w:r>
        <w:t>dieser Verordnung. Darin soll sie insbesondere</w:t>
      </w:r>
    </w:p>
    <w:p w:rsidR="00B134F4" w:rsidRDefault="00B134F4" w:rsidP="00632508">
      <w:pPr>
        <w:pStyle w:val="GesAbsatz"/>
        <w:ind w:left="426" w:hanging="426"/>
      </w:pPr>
      <w:r>
        <w:t>a)</w:t>
      </w:r>
      <w:r w:rsidR="00632508">
        <w:tab/>
      </w:r>
      <w:r>
        <w:t>die Auswirkungen der einschlägigen Bestimmungen auf die</w:t>
      </w:r>
      <w:r w:rsidR="00632508">
        <w:t xml:space="preserve"> </w:t>
      </w:r>
      <w:r>
        <w:t>Emissionen und projizierten Emissionen fluorierter Treibhausgase</w:t>
      </w:r>
      <w:r w:rsidR="00632508">
        <w:t xml:space="preserve"> </w:t>
      </w:r>
      <w:r>
        <w:t>beurteilen und ihre Kostenwirksamkeit untersuchen;</w:t>
      </w:r>
    </w:p>
    <w:p w:rsidR="00B134F4" w:rsidRDefault="00B134F4" w:rsidP="00632508">
      <w:pPr>
        <w:pStyle w:val="GesAbsatz"/>
        <w:ind w:left="426" w:hanging="426"/>
      </w:pPr>
      <w:r>
        <w:t>b)</w:t>
      </w:r>
      <w:r w:rsidR="00632508">
        <w:tab/>
      </w:r>
      <w:r>
        <w:t>unter Berücksichtigung künftiger Bewertungsberichte des</w:t>
      </w:r>
      <w:r w:rsidR="00632508">
        <w:t xml:space="preserve"> </w:t>
      </w:r>
      <w:r>
        <w:t>IPCC beurteilen, ob weitere fluorierte Trei</w:t>
      </w:r>
      <w:r>
        <w:t>b</w:t>
      </w:r>
      <w:r>
        <w:t>hausgase in</w:t>
      </w:r>
      <w:r w:rsidR="00632508">
        <w:t xml:space="preserve"> </w:t>
      </w:r>
      <w:r>
        <w:t>Anhang I aufgenommen werden sollten;</w:t>
      </w:r>
    </w:p>
    <w:p w:rsidR="00B134F4" w:rsidRDefault="00B134F4" w:rsidP="00632508">
      <w:pPr>
        <w:pStyle w:val="GesAbsatz"/>
        <w:ind w:left="426" w:hanging="426"/>
      </w:pPr>
      <w:r>
        <w:t>c)</w:t>
      </w:r>
      <w:r w:rsidR="00632508">
        <w:tab/>
      </w:r>
      <w:r>
        <w:t>die von den Mitgliedstaaten gemäß Artikel 5 Absatz 2</w:t>
      </w:r>
      <w:r w:rsidR="00632508">
        <w:t xml:space="preserve"> </w:t>
      </w:r>
      <w:r>
        <w:t>eingerichteten Ausbildungs- und Zertifizierung</w:t>
      </w:r>
      <w:r>
        <w:t>s</w:t>
      </w:r>
      <w:r>
        <w:t>programme</w:t>
      </w:r>
      <w:r w:rsidR="00632508">
        <w:t xml:space="preserve"> </w:t>
      </w:r>
      <w:r>
        <w:t>beurteilen;</w:t>
      </w:r>
    </w:p>
    <w:p w:rsidR="00B134F4" w:rsidRDefault="00B134F4" w:rsidP="00632508">
      <w:pPr>
        <w:pStyle w:val="GesAbsatz"/>
        <w:ind w:left="426" w:hanging="426"/>
      </w:pPr>
      <w:r>
        <w:t>d)</w:t>
      </w:r>
      <w:r w:rsidR="00632508">
        <w:tab/>
      </w:r>
      <w:r>
        <w:t>abschätzen, ob gemeinschaftliche Normen für die Überwachung</w:t>
      </w:r>
      <w:r w:rsidR="00632508">
        <w:t xml:space="preserve"> </w:t>
      </w:r>
      <w:r>
        <w:t>der Emissionen fluorierter Treibhau</w:t>
      </w:r>
      <w:r>
        <w:t>s</w:t>
      </w:r>
      <w:r>
        <w:t>gase aus</w:t>
      </w:r>
      <w:r w:rsidR="00632508">
        <w:t xml:space="preserve"> </w:t>
      </w:r>
      <w:r>
        <w:t xml:space="preserve">Erzeugnissen und Einrichtungen </w:t>
      </w:r>
      <w:r w:rsidR="00632508">
        <w:t>-</w:t>
      </w:r>
      <w:r>
        <w:t xml:space="preserve"> insbesondere in Bezug</w:t>
      </w:r>
      <w:r w:rsidR="00632508">
        <w:t xml:space="preserve"> </w:t>
      </w:r>
      <w:r>
        <w:t xml:space="preserve">auf Schäume </w:t>
      </w:r>
      <w:r w:rsidR="00632508">
        <w:t>-</w:t>
      </w:r>
      <w:r>
        <w:t xml:space="preserve"> erforderlich sind, einschließlich technischer</w:t>
      </w:r>
      <w:r w:rsidR="00632508">
        <w:t xml:space="preserve"> </w:t>
      </w:r>
      <w:r>
        <w:t>Anforderungen für die Auslegung von Erzeugnissen und</w:t>
      </w:r>
      <w:r w:rsidR="00632508">
        <w:t xml:space="preserve"> </w:t>
      </w:r>
      <w:r>
        <w:t>Einrichtungen;</w:t>
      </w:r>
    </w:p>
    <w:p w:rsidR="00B134F4" w:rsidRDefault="00B134F4" w:rsidP="00632508">
      <w:pPr>
        <w:pStyle w:val="GesAbsatz"/>
        <w:ind w:left="426" w:hanging="426"/>
      </w:pPr>
      <w:r>
        <w:t>e)</w:t>
      </w:r>
      <w:r w:rsidR="00632508">
        <w:tab/>
      </w:r>
      <w:r>
        <w:t>die Wirksamkeit der von den Betreibern gemäß Artikel 3</w:t>
      </w:r>
      <w:r w:rsidR="00632508">
        <w:t xml:space="preserve"> </w:t>
      </w:r>
      <w:r>
        <w:t>durchgeführten Reduzierungsmaßnahmen bewerten und</w:t>
      </w:r>
      <w:r w:rsidR="00632508">
        <w:t xml:space="preserve"> </w:t>
      </w:r>
      <w:r>
        <w:t>abschätzen, ob höchstzulässige Leckagewerte für Anlagen</w:t>
      </w:r>
      <w:r w:rsidR="00632508">
        <w:t xml:space="preserve"> </w:t>
      </w:r>
      <w:r>
        <w:t>festgelegt werden können;</w:t>
      </w:r>
    </w:p>
    <w:p w:rsidR="00B134F4" w:rsidRDefault="00B134F4" w:rsidP="00632508">
      <w:pPr>
        <w:pStyle w:val="GesAbsatz"/>
        <w:ind w:left="426" w:hanging="426"/>
      </w:pPr>
      <w:r>
        <w:t>f)</w:t>
      </w:r>
      <w:r w:rsidR="00632508">
        <w:tab/>
      </w:r>
      <w:r>
        <w:t>die Anforderungen an die Berichterstattung nach Artikel 6</w:t>
      </w:r>
      <w:r w:rsidR="00632508">
        <w:t xml:space="preserve"> </w:t>
      </w:r>
      <w:r>
        <w:t>Absatz 1, insbesondere die 1</w:t>
      </w:r>
      <w:r w:rsidR="00632508">
        <w:t>-</w:t>
      </w:r>
      <w:r>
        <w:rPr>
          <w:rFonts w:cs="Arial"/>
        </w:rPr>
        <w:t>Tonnen-Grenze, einer Bewertung</w:t>
      </w:r>
      <w:r w:rsidR="00632508">
        <w:rPr>
          <w:rFonts w:cs="Arial"/>
        </w:rPr>
        <w:t xml:space="preserve"> </w:t>
      </w:r>
      <w:r>
        <w:t>unterziehen und gegebenenfalls Änderungen vorschlagen,</w:t>
      </w:r>
      <w:r w:rsidR="00632508">
        <w:t xml:space="preserve"> </w:t>
      </w:r>
      <w:r>
        <w:t>damit die Einha</w:t>
      </w:r>
      <w:r>
        <w:t>l</w:t>
      </w:r>
      <w:r>
        <w:t>tung dieser Anforderungen in der</w:t>
      </w:r>
      <w:r w:rsidR="00632508">
        <w:t xml:space="preserve"> </w:t>
      </w:r>
      <w:r>
        <w:t>Praxis verbessert wird, und prüfen, ob es nötig ist, von den</w:t>
      </w:r>
      <w:r w:rsidR="00632508">
        <w:t xml:space="preserve"> </w:t>
      </w:r>
      <w:r>
        <w:t>zuständ</w:t>
      </w:r>
      <w:r>
        <w:t>i</w:t>
      </w:r>
      <w:r>
        <w:t>gen Behörden regelmäßig Berichte über geschätzte</w:t>
      </w:r>
      <w:r w:rsidR="00632508">
        <w:t xml:space="preserve"> </w:t>
      </w:r>
      <w:r>
        <w:t>Emissionen auf der Grundlage repräsentativer Pr</w:t>
      </w:r>
      <w:r>
        <w:t>o</w:t>
      </w:r>
      <w:r>
        <w:t>ben zu</w:t>
      </w:r>
      <w:r w:rsidR="00632508">
        <w:t xml:space="preserve"> </w:t>
      </w:r>
      <w:r>
        <w:t>erhalten;</w:t>
      </w:r>
    </w:p>
    <w:p w:rsidR="00B134F4" w:rsidRDefault="00B134F4" w:rsidP="00632508">
      <w:pPr>
        <w:pStyle w:val="GesAbsatz"/>
        <w:ind w:left="426" w:hanging="426"/>
      </w:pPr>
      <w:r>
        <w:t>g)</w:t>
      </w:r>
      <w:r w:rsidR="00632508">
        <w:tab/>
      </w:r>
      <w:r>
        <w:t>abschätzen, ob es erforderlich ist, Beschreibungen der</w:t>
      </w:r>
      <w:r w:rsidR="00632508">
        <w:t xml:space="preserve"> </w:t>
      </w:r>
      <w:r>
        <w:t>besten verfügbaren Technologien und besten Umweltpraktiken</w:t>
      </w:r>
      <w:r w:rsidR="00632508">
        <w:t xml:space="preserve"> </w:t>
      </w:r>
      <w:r>
        <w:t>zur Verhinderung und Minimierung von Emissionen</w:t>
      </w:r>
      <w:r w:rsidR="00632508">
        <w:t xml:space="preserve"> </w:t>
      </w:r>
      <w:r>
        <w:t>fluorierter Treibhausgase zu en</w:t>
      </w:r>
      <w:r>
        <w:t>t</w:t>
      </w:r>
      <w:r>
        <w:t>wickeln und zu</w:t>
      </w:r>
      <w:r w:rsidR="00632508">
        <w:t xml:space="preserve"> </w:t>
      </w:r>
      <w:r>
        <w:t>verbreiten;</w:t>
      </w:r>
    </w:p>
    <w:p w:rsidR="00B134F4" w:rsidRDefault="00B134F4" w:rsidP="00632508">
      <w:pPr>
        <w:pStyle w:val="GesAbsatz"/>
        <w:ind w:left="426" w:hanging="426"/>
      </w:pPr>
      <w:r>
        <w:t>h)</w:t>
      </w:r>
      <w:r w:rsidR="00632508">
        <w:tab/>
      </w:r>
      <w:r>
        <w:t xml:space="preserve">einen Überblick zur Entwicklung </w:t>
      </w:r>
      <w:r w:rsidR="00632508">
        <w:t>-</w:t>
      </w:r>
      <w:r>
        <w:t xml:space="preserve"> sowohl auf Gemeinschaftsebene</w:t>
      </w:r>
      <w:r w:rsidR="00632508">
        <w:t xml:space="preserve"> </w:t>
      </w:r>
      <w:r>
        <w:t xml:space="preserve">als auch auf internationaler Ebene </w:t>
      </w:r>
      <w:r w:rsidR="00632508">
        <w:t>-</w:t>
      </w:r>
      <w:r>
        <w:t xml:space="preserve"> des</w:t>
      </w:r>
      <w:r w:rsidR="00632508">
        <w:t xml:space="preserve"> </w:t>
      </w:r>
      <w:r>
        <w:t>Standes der Technik geben, insbesondere in Bezug auf</w:t>
      </w:r>
      <w:r w:rsidR="00632508">
        <w:t xml:space="preserve"> </w:t>
      </w:r>
      <w:r>
        <w:t>Schäume, gewonnene Erfahrungen, U</w:t>
      </w:r>
      <w:r>
        <w:t>m</w:t>
      </w:r>
      <w:r>
        <w:t>weltanforderungen</w:t>
      </w:r>
      <w:r w:rsidR="00632508">
        <w:t xml:space="preserve"> </w:t>
      </w:r>
      <w:r>
        <w:t>und Auswirkungen auf das Funktionieren des Binnenmarktes;</w:t>
      </w:r>
    </w:p>
    <w:p w:rsidR="00B134F4" w:rsidRDefault="00B134F4" w:rsidP="00632508">
      <w:pPr>
        <w:pStyle w:val="GesAbsatz"/>
        <w:ind w:left="426" w:hanging="426"/>
      </w:pPr>
      <w:r>
        <w:t>i)</w:t>
      </w:r>
      <w:r w:rsidR="00632508">
        <w:tab/>
      </w:r>
      <w:r>
        <w:t>abschätzen, ob die Ersetzung von Schwefelhexafluorid bei</w:t>
      </w:r>
      <w:r w:rsidR="00632508">
        <w:t xml:space="preserve"> </w:t>
      </w:r>
      <w:r>
        <w:t>Sandguss, Dauerformguss und Hochdruc</w:t>
      </w:r>
      <w:r>
        <w:t>k</w:t>
      </w:r>
      <w:r>
        <w:t>guss technisch</w:t>
      </w:r>
      <w:r w:rsidR="00632508">
        <w:t xml:space="preserve"> </w:t>
      </w:r>
      <w:r>
        <w:t>durchführbar und kosteneffizient ist, und gegebenenfalls</w:t>
      </w:r>
      <w:r w:rsidR="00632508">
        <w:t xml:space="preserve"> </w:t>
      </w:r>
      <w:r>
        <w:t>eine Überprüfung des Artikels 8 Absatz 1 zum 1. Januar</w:t>
      </w:r>
      <w:r w:rsidR="00632508">
        <w:t xml:space="preserve"> </w:t>
      </w:r>
      <w:r>
        <w:t>2009 vorschlagen und die Ausnahme nach Artikel 8</w:t>
      </w:r>
      <w:r w:rsidR="00632508">
        <w:t xml:space="preserve"> </w:t>
      </w:r>
      <w:r>
        <w:t>Absatz 1 bis zum 1. Jan</w:t>
      </w:r>
      <w:r>
        <w:t>u</w:t>
      </w:r>
      <w:r>
        <w:t>ar</w:t>
      </w:r>
      <w:r w:rsidR="00632508">
        <w:t> </w:t>
      </w:r>
      <w:r>
        <w:t>2010 im Lichte einer weiteren</w:t>
      </w:r>
      <w:r w:rsidR="00632508">
        <w:t xml:space="preserve"> </w:t>
      </w:r>
      <w:r>
        <w:t>Bewertung der verfügbaren Alternativen überprüfen;</w:t>
      </w:r>
    </w:p>
    <w:p w:rsidR="00B134F4" w:rsidRDefault="00B134F4" w:rsidP="00632508">
      <w:pPr>
        <w:pStyle w:val="GesAbsatz"/>
        <w:ind w:left="426" w:hanging="426"/>
      </w:pPr>
      <w:r>
        <w:t>j)</w:t>
      </w:r>
      <w:r w:rsidR="00632508">
        <w:tab/>
      </w:r>
      <w:r>
        <w:t>abschätzen, ob die Aufnahme weiterer Erzeugnisse und</w:t>
      </w:r>
      <w:r w:rsidR="00632508">
        <w:t xml:space="preserve"> </w:t>
      </w:r>
      <w:r>
        <w:t>Einrichtungen, die fluorierte Treibhausgase enthalten, in</w:t>
      </w:r>
      <w:r w:rsidR="00632508">
        <w:t xml:space="preserve"> </w:t>
      </w:r>
      <w:r>
        <w:t>Anhang II unter Berücksichtigung der Energieeffizienz</w:t>
      </w:r>
      <w:r w:rsidR="00632508">
        <w:t xml:space="preserve"> </w:t>
      </w:r>
      <w:r>
        <w:t>technisch durchführbar und koste</w:t>
      </w:r>
      <w:r>
        <w:t>n</w:t>
      </w:r>
      <w:r>
        <w:t>effizient ist, und gegebenenfalls</w:t>
      </w:r>
      <w:r w:rsidR="00632508">
        <w:t xml:space="preserve"> </w:t>
      </w:r>
      <w:r>
        <w:t>Vorschläge für eine entsprechende Ergänzung</w:t>
      </w:r>
      <w:r w:rsidR="00632508">
        <w:t xml:space="preserve"> </w:t>
      </w:r>
      <w:r>
        <w:t>von Anhang II unterbre</w:t>
      </w:r>
      <w:r>
        <w:t>i</w:t>
      </w:r>
      <w:r>
        <w:t>ten;</w:t>
      </w:r>
    </w:p>
    <w:p w:rsidR="00B134F4" w:rsidRDefault="00B134F4" w:rsidP="00632508">
      <w:pPr>
        <w:pStyle w:val="GesAbsatz"/>
        <w:ind w:left="426" w:hanging="426"/>
      </w:pPr>
      <w:r>
        <w:t>k)</w:t>
      </w:r>
      <w:r w:rsidR="00632508">
        <w:tab/>
      </w:r>
      <w:r>
        <w:t>beurteilen, ob Gemeinschaftsbestimmungen zum Treibhauspotenzial</w:t>
      </w:r>
      <w:r w:rsidR="00632508">
        <w:t xml:space="preserve"> </w:t>
      </w:r>
      <w:r>
        <w:t>fluorierter Treibhausgase geä</w:t>
      </w:r>
      <w:r>
        <w:t>n</w:t>
      </w:r>
      <w:r>
        <w:t>dert werden</w:t>
      </w:r>
      <w:r w:rsidR="00632508">
        <w:t xml:space="preserve"> </w:t>
      </w:r>
      <w:r>
        <w:t>sollten; bei Änderungen sollten die technischen und</w:t>
      </w:r>
      <w:r w:rsidR="00632508">
        <w:t xml:space="preserve"> </w:t>
      </w:r>
      <w:r>
        <w:t>wissenschaftlichen Entwicklungen s</w:t>
      </w:r>
      <w:r>
        <w:t>o</w:t>
      </w:r>
      <w:r>
        <w:t>wie das Erfordernis,</w:t>
      </w:r>
      <w:r w:rsidR="00632508">
        <w:t xml:space="preserve"> </w:t>
      </w:r>
      <w:r>
        <w:t>den Zeitrahmen für die industrielle Produktplanung zu</w:t>
      </w:r>
      <w:r w:rsidR="00632508">
        <w:t xml:space="preserve"> </w:t>
      </w:r>
      <w:r>
        <w:t>beachten, berücksichtigt werden;</w:t>
      </w:r>
    </w:p>
    <w:p w:rsidR="00B134F4" w:rsidRDefault="00B134F4" w:rsidP="00632508">
      <w:pPr>
        <w:pStyle w:val="GesAbsatz"/>
        <w:ind w:left="426" w:hanging="426"/>
      </w:pPr>
      <w:r>
        <w:t>l)</w:t>
      </w:r>
      <w:r w:rsidR="00632508">
        <w:tab/>
      </w:r>
      <w:r>
        <w:t>beurteilen, ob im Lichte bestehender und neuer internationaler</w:t>
      </w:r>
      <w:r w:rsidR="00632508">
        <w:t xml:space="preserve"> </w:t>
      </w:r>
      <w:r>
        <w:t>Verpflichtungen weiterer Handlungsb</w:t>
      </w:r>
      <w:r>
        <w:t>e</w:t>
      </w:r>
      <w:r>
        <w:t>darf für die</w:t>
      </w:r>
      <w:r w:rsidR="00632508">
        <w:t xml:space="preserve"> </w:t>
      </w:r>
      <w:r>
        <w:t>Gemeinschaft und ihre Mitgliedstaaten bezüglich Treibhausgasemissionen</w:t>
      </w:r>
      <w:r w:rsidR="00632508">
        <w:t xml:space="preserve"> </w:t>
      </w:r>
      <w:r>
        <w:t>besteht.</w:t>
      </w:r>
    </w:p>
    <w:p w:rsidR="00B134F4" w:rsidRDefault="00B134F4" w:rsidP="00B134F4">
      <w:pPr>
        <w:pStyle w:val="GesAbsatz"/>
      </w:pPr>
      <w:r>
        <w:t>(3) Die Kommission unterbreitet gegebenenfalls geeignete</w:t>
      </w:r>
      <w:r w:rsidR="00632508">
        <w:t xml:space="preserve"> </w:t>
      </w:r>
      <w:r>
        <w:t>Vorschläge zur Überprüfung der einschlägigen Bestimmungen</w:t>
      </w:r>
      <w:r w:rsidR="00632508">
        <w:t xml:space="preserve"> </w:t>
      </w:r>
      <w:r>
        <w:t>dieser Verordnung.</w:t>
      </w:r>
    </w:p>
    <w:p w:rsidR="00B134F4" w:rsidRDefault="00B134F4" w:rsidP="00632508">
      <w:pPr>
        <w:pStyle w:val="berschrift2"/>
      </w:pPr>
      <w:bookmarkStart w:id="12" w:name="_Toc377990112"/>
      <w:r>
        <w:t>Artikel 11</w:t>
      </w:r>
      <w:bookmarkEnd w:id="12"/>
    </w:p>
    <w:p w:rsidR="00B134F4" w:rsidRDefault="00B134F4" w:rsidP="00B134F4">
      <w:pPr>
        <w:pStyle w:val="GesAbsatz"/>
      </w:pPr>
      <w:r>
        <w:t>Unbeschadet des einschlägigen Gemeinschaftsrechts, insbesondere</w:t>
      </w:r>
      <w:r w:rsidR="00632508">
        <w:t xml:space="preserve"> </w:t>
      </w:r>
      <w:r>
        <w:t>der Gemeinschaftsvorschriften über staatliche Beihilfen und</w:t>
      </w:r>
      <w:r w:rsidR="00632508">
        <w:t xml:space="preserve"> </w:t>
      </w:r>
      <w:r>
        <w:t>der Richtlinie 98/34/EG des Europäischen Parlaments und des</w:t>
      </w:r>
      <w:r w:rsidR="00632508">
        <w:t xml:space="preserve"> </w:t>
      </w:r>
      <w:r>
        <w:t>Rates vom 22. J</w:t>
      </w:r>
      <w:r>
        <w:t>u</w:t>
      </w:r>
      <w:r>
        <w:t>ni</w:t>
      </w:r>
      <w:r w:rsidR="00632508">
        <w:t> </w:t>
      </w:r>
      <w:r>
        <w:t>1998 über ein Informationsverfahren auf</w:t>
      </w:r>
      <w:r w:rsidR="00632508">
        <w:t xml:space="preserve"> </w:t>
      </w:r>
      <w:r>
        <w:t>dem Gebiet der Normen und technischen Vorschriften</w:t>
      </w:r>
      <w:r w:rsidR="00632508">
        <w:rPr>
          <w:rStyle w:val="Funotenzeichen"/>
        </w:rPr>
        <w:footnoteReference w:id="20"/>
      </w:r>
      <w:r w:rsidR="00632508">
        <w:t xml:space="preserve"> </w:t>
      </w:r>
      <w:r>
        <w:t>können die Mitgliedstaaten das Inverkehrbringen von effizienten</w:t>
      </w:r>
      <w:r w:rsidR="00632508">
        <w:t xml:space="preserve"> </w:t>
      </w:r>
      <w:r>
        <w:t>und innovativen Erzeugnissen und Geräten, die Alternativen zu</w:t>
      </w:r>
      <w:r w:rsidR="00632508">
        <w:t xml:space="preserve"> </w:t>
      </w:r>
      <w:r>
        <w:t>Gasen mit hohem Treibhauspotenzial verwenden und die die</w:t>
      </w:r>
      <w:r w:rsidR="00632508">
        <w:t xml:space="preserve"> </w:t>
      </w:r>
      <w:r>
        <w:t>Auswirkungen auf das Klima weiter verringern, fördern.</w:t>
      </w:r>
    </w:p>
    <w:p w:rsidR="00B134F4" w:rsidRDefault="00B134F4" w:rsidP="00632508">
      <w:pPr>
        <w:pStyle w:val="berschrift2"/>
      </w:pPr>
      <w:bookmarkStart w:id="13" w:name="_Toc377990113"/>
      <w:r>
        <w:lastRenderedPageBreak/>
        <w:t>Artikel 12</w:t>
      </w:r>
      <w:r w:rsidR="00632508">
        <w:br/>
      </w:r>
      <w:r>
        <w:t>Ausschuss</w:t>
      </w:r>
      <w:bookmarkEnd w:id="13"/>
    </w:p>
    <w:p w:rsidR="00B134F4" w:rsidRDefault="00B134F4" w:rsidP="00B134F4">
      <w:pPr>
        <w:pStyle w:val="GesAbsatz"/>
      </w:pPr>
      <w:r>
        <w:t>(1) Die Kommission wird von dem nach Artikel 18 der</w:t>
      </w:r>
      <w:r w:rsidR="00632508">
        <w:t xml:space="preserve"> </w:t>
      </w:r>
      <w:r>
        <w:t>Verordnung (EG) Nr. 2037/2000 eingesetzten Au</w:t>
      </w:r>
      <w:r>
        <w:t>s</w:t>
      </w:r>
      <w:r>
        <w:t>schuss unterstützt.</w:t>
      </w:r>
    </w:p>
    <w:p w:rsidR="00B134F4" w:rsidRDefault="00B134F4" w:rsidP="00B134F4">
      <w:pPr>
        <w:pStyle w:val="GesAbsatz"/>
      </w:pPr>
      <w:r>
        <w:t>(2) Wird auf diesen Absatz Bezug genommen, so gelten die</w:t>
      </w:r>
      <w:r w:rsidR="00632508">
        <w:t xml:space="preserve"> </w:t>
      </w:r>
      <w:r>
        <w:t>Artikel 5 und 7 des Beschlusses 1999/468/EG unter Beachtung</w:t>
      </w:r>
      <w:r w:rsidR="00632508">
        <w:t xml:space="preserve"> </w:t>
      </w:r>
      <w:r>
        <w:t>von dessen Artikel 8.</w:t>
      </w:r>
    </w:p>
    <w:p w:rsidR="00B134F4" w:rsidRDefault="00B134F4" w:rsidP="00B134F4">
      <w:pPr>
        <w:pStyle w:val="GesAbsatz"/>
      </w:pPr>
      <w:r>
        <w:t>Der Zeitraum nach Artikel 5 Absatz 6 des Beschlusses 1999/468/EG wird auf drei Monate festgesetzt.</w:t>
      </w:r>
    </w:p>
    <w:p w:rsidR="00B134F4" w:rsidRDefault="00B134F4" w:rsidP="008C2F0A">
      <w:pPr>
        <w:pStyle w:val="GesAbsatz"/>
      </w:pPr>
      <w:r>
        <w:t xml:space="preserve">(3) </w:t>
      </w:r>
      <w:r w:rsidR="008C2F0A">
        <w:t>Wird auf diesen Absatz Bezug genommen, so gelten Artikel 5a Absätze 1 bis 4 und Artikel 7 des B</w:t>
      </w:r>
      <w:r w:rsidR="008C2F0A">
        <w:t>e</w:t>
      </w:r>
      <w:r w:rsidR="008C2F0A">
        <w:t>schlusses 1999/468/EG unter Beachtung von dessen Artikel 8.</w:t>
      </w:r>
    </w:p>
    <w:p w:rsidR="00B134F4" w:rsidRDefault="00B134F4" w:rsidP="00632508">
      <w:pPr>
        <w:pStyle w:val="berschrift2"/>
      </w:pPr>
      <w:bookmarkStart w:id="14" w:name="_Toc377990114"/>
      <w:r>
        <w:t>Artikel 13</w:t>
      </w:r>
      <w:r w:rsidR="00632508">
        <w:br/>
      </w:r>
      <w:r>
        <w:t>Sanktionen</w:t>
      </w:r>
      <w:bookmarkEnd w:id="14"/>
    </w:p>
    <w:p w:rsidR="00B134F4" w:rsidRDefault="00B134F4" w:rsidP="00B134F4">
      <w:pPr>
        <w:pStyle w:val="GesAbsatz"/>
      </w:pPr>
      <w:r>
        <w:t>(1) Die Mitgliedstaaten legen Vorschriften über Sanktionen fest,</w:t>
      </w:r>
      <w:r w:rsidR="00632508">
        <w:t xml:space="preserve"> </w:t>
      </w:r>
      <w:r>
        <w:t>die bei Verstößen gegen diese Verordnung zu verhängen sind,</w:t>
      </w:r>
      <w:r w:rsidR="00632508">
        <w:t xml:space="preserve"> </w:t>
      </w:r>
      <w:r>
        <w:t>und treffen die zu ihrer Anwendung erforderlichen Maßnahmen.</w:t>
      </w:r>
      <w:r w:rsidR="00632508">
        <w:t xml:space="preserve"> </w:t>
      </w:r>
      <w:r>
        <w:t>Die Sanktionen müssen wirksam, verhältnismäßig und abschre</w:t>
      </w:r>
      <w:r w:rsidR="00804A1C">
        <w:t>c</w:t>
      </w:r>
      <w:r>
        <w:t>kend</w:t>
      </w:r>
      <w:r w:rsidR="00632508">
        <w:t xml:space="preserve"> </w:t>
      </w:r>
      <w:r>
        <w:t>sein.</w:t>
      </w:r>
    </w:p>
    <w:p w:rsidR="00B134F4" w:rsidRDefault="00B134F4" w:rsidP="00B134F4">
      <w:pPr>
        <w:pStyle w:val="GesAbsatz"/>
      </w:pPr>
      <w:r>
        <w:t>(2) Die Mitgliedstaaten teilen der Kommission die Vorschriften</w:t>
      </w:r>
      <w:r w:rsidR="00632508">
        <w:t xml:space="preserve"> </w:t>
      </w:r>
      <w:r>
        <w:t>über die Sanktionen bis zum 4. Juli 2008 mit und teilen ihr</w:t>
      </w:r>
      <w:r w:rsidR="00632508">
        <w:t xml:space="preserve"> </w:t>
      </w:r>
      <w:r>
        <w:t>danach unverzüglich etwaige spätere Änderungen dieser Vorschriften</w:t>
      </w:r>
      <w:r w:rsidR="00632508">
        <w:t xml:space="preserve"> </w:t>
      </w:r>
      <w:r>
        <w:t>mit.</w:t>
      </w:r>
    </w:p>
    <w:p w:rsidR="00B134F4" w:rsidRDefault="00B134F4" w:rsidP="00632508">
      <w:pPr>
        <w:pStyle w:val="berschrift2"/>
      </w:pPr>
      <w:bookmarkStart w:id="15" w:name="_Toc377990115"/>
      <w:r>
        <w:t>Artikel 14</w:t>
      </w:r>
      <w:bookmarkEnd w:id="15"/>
    </w:p>
    <w:p w:rsidR="00B134F4" w:rsidRDefault="00B134F4" w:rsidP="00B134F4">
      <w:pPr>
        <w:pStyle w:val="GesAbsatz"/>
      </w:pPr>
      <w:r>
        <w:t>Unbeschadet des Artikels 9 Absatz 3 können die Mitgliedstaaten</w:t>
      </w:r>
      <w:r w:rsidR="00632508">
        <w:t xml:space="preserve"> </w:t>
      </w:r>
      <w:r>
        <w:t>verstärkte Schutzmaßnahmen nach den in Artikel 95 des</w:t>
      </w:r>
      <w:r w:rsidR="00632508">
        <w:t xml:space="preserve"> </w:t>
      </w:r>
      <w:r>
        <w:t>Vertrags genannten Verfahren bezüglich der Artikel 7, 8 und 9</w:t>
      </w:r>
      <w:r w:rsidR="00632508">
        <w:t xml:space="preserve"> </w:t>
      </w:r>
      <w:r>
        <w:t>dieser Verordnung und nach den in Artikel 176 des Vertrags</w:t>
      </w:r>
      <w:r w:rsidR="00632508">
        <w:t xml:space="preserve"> </w:t>
      </w:r>
      <w:r>
        <w:t>genannten Verfahren bezüglich anderer Artikel dieser Verordnung</w:t>
      </w:r>
      <w:r w:rsidR="00632508">
        <w:t xml:space="preserve"> </w:t>
      </w:r>
      <w:r>
        <w:t>beibeha</w:t>
      </w:r>
      <w:r>
        <w:t>l</w:t>
      </w:r>
      <w:r>
        <w:t>ten oder ergreifen.</w:t>
      </w:r>
    </w:p>
    <w:p w:rsidR="00B134F4" w:rsidRDefault="00B134F4" w:rsidP="00632508">
      <w:pPr>
        <w:pStyle w:val="berschrift2"/>
      </w:pPr>
      <w:bookmarkStart w:id="16" w:name="_Toc377990116"/>
      <w:r>
        <w:t>Artikel 15</w:t>
      </w:r>
      <w:r w:rsidR="00632508">
        <w:br/>
      </w:r>
      <w:r>
        <w:t>Inkrafttreten</w:t>
      </w:r>
      <w:bookmarkEnd w:id="16"/>
    </w:p>
    <w:p w:rsidR="00B134F4" w:rsidRDefault="00B134F4" w:rsidP="00B134F4">
      <w:pPr>
        <w:pStyle w:val="GesAbsatz"/>
      </w:pPr>
      <w:r>
        <w:t>Diese Verordnung tritt zwanzig Tage nach ihrer Veröffentlichung</w:t>
      </w:r>
      <w:r w:rsidR="00632508">
        <w:t xml:space="preserve"> </w:t>
      </w:r>
      <w:r>
        <w:t>im Amtsblatt der Europäischen Union in Kraft.</w:t>
      </w:r>
    </w:p>
    <w:p w:rsidR="00B134F4" w:rsidRDefault="00B134F4" w:rsidP="00B134F4">
      <w:pPr>
        <w:pStyle w:val="GesAbsatz"/>
      </w:pPr>
      <w:r>
        <w:t>Sie gilt ab dem 4. Juli 2007 mit Ausnahme des Artikels 9 und des</w:t>
      </w:r>
      <w:r w:rsidR="00632508">
        <w:t xml:space="preserve"> </w:t>
      </w:r>
      <w:r>
        <w:t>Anhangs II, welche ab dem 4. Juli 2006 gelten.</w:t>
      </w:r>
    </w:p>
    <w:p w:rsidR="00B134F4" w:rsidRDefault="00632508" w:rsidP="00632508">
      <w:pPr>
        <w:pStyle w:val="berschrift2"/>
        <w:jc w:val="left"/>
      </w:pPr>
      <w:r>
        <w:br w:type="page"/>
      </w:r>
      <w:bookmarkStart w:id="17" w:name="_Toc377990117"/>
      <w:r w:rsidR="00B134F4">
        <w:lastRenderedPageBreak/>
        <w:t>ANHANG I</w:t>
      </w:r>
      <w:bookmarkEnd w:id="17"/>
    </w:p>
    <w:p w:rsidR="00B134F4" w:rsidRPr="00632508" w:rsidRDefault="00B134F4" w:rsidP="00632508">
      <w:pPr>
        <w:pStyle w:val="GesAbsatz"/>
        <w:jc w:val="center"/>
        <w:rPr>
          <w:b/>
        </w:rPr>
      </w:pPr>
      <w:r w:rsidRPr="00632508">
        <w:rPr>
          <w:b/>
        </w:rPr>
        <w:t>TEIL 1</w:t>
      </w:r>
    </w:p>
    <w:p w:rsidR="00B134F4" w:rsidRPr="00632508" w:rsidRDefault="00B134F4" w:rsidP="00632508">
      <w:pPr>
        <w:pStyle w:val="GesAbsatz"/>
        <w:jc w:val="center"/>
        <w:rPr>
          <w:b/>
        </w:rPr>
      </w:pPr>
      <w:r w:rsidRPr="00632508">
        <w:rPr>
          <w:b/>
        </w:rPr>
        <w:t>In Artikel 2 Nummer 1 genannte fluorierte Treibhausgase</w:t>
      </w:r>
    </w:p>
    <w:p w:rsidR="00632508" w:rsidRDefault="00632508" w:rsidP="00B134F4">
      <w:pPr>
        <w:pStyle w:val="GesAbsatz"/>
      </w:pPr>
    </w:p>
    <w:tbl>
      <w:tblPr>
        <w:tblStyle w:val="Tabellenraster"/>
        <w:tblW w:w="0" w:type="auto"/>
        <w:tblLook w:val="01E0" w:firstRow="1" w:lastRow="1" w:firstColumn="1" w:lastColumn="1" w:noHBand="0" w:noVBand="0"/>
      </w:tblPr>
      <w:tblGrid>
        <w:gridCol w:w="2660"/>
        <w:gridCol w:w="2657"/>
        <w:gridCol w:w="2641"/>
      </w:tblGrid>
      <w:tr w:rsidR="006D447F" w:rsidRPr="006D447F" w:rsidTr="006D447F">
        <w:tc>
          <w:tcPr>
            <w:tcW w:w="2660" w:type="dxa"/>
          </w:tcPr>
          <w:p w:rsidR="006D447F" w:rsidRPr="006D447F" w:rsidRDefault="006D447F" w:rsidP="006D447F">
            <w:pPr>
              <w:pStyle w:val="GesAbsatz"/>
              <w:tabs>
                <w:tab w:val="clear" w:pos="425"/>
              </w:tabs>
              <w:jc w:val="center"/>
            </w:pPr>
            <w:r w:rsidRPr="006D447F">
              <w:t>Fluoriertes Treibhausgas</w:t>
            </w:r>
          </w:p>
        </w:tc>
        <w:tc>
          <w:tcPr>
            <w:tcW w:w="2657" w:type="dxa"/>
          </w:tcPr>
          <w:p w:rsidR="006D447F" w:rsidRPr="006D447F" w:rsidRDefault="006D447F" w:rsidP="006D447F">
            <w:pPr>
              <w:pStyle w:val="GesAbsatz"/>
              <w:tabs>
                <w:tab w:val="clear" w:pos="425"/>
              </w:tabs>
              <w:jc w:val="center"/>
            </w:pPr>
            <w:r w:rsidRPr="006D447F">
              <w:t>Chemische Formel</w:t>
            </w:r>
          </w:p>
        </w:tc>
        <w:tc>
          <w:tcPr>
            <w:tcW w:w="2641" w:type="dxa"/>
          </w:tcPr>
          <w:p w:rsidR="006D447F" w:rsidRPr="006D447F" w:rsidRDefault="006D447F" w:rsidP="006D447F">
            <w:pPr>
              <w:pStyle w:val="GesAbsatz"/>
              <w:tabs>
                <w:tab w:val="clear" w:pos="425"/>
              </w:tabs>
              <w:jc w:val="center"/>
            </w:pPr>
            <w:r w:rsidRPr="006D447F">
              <w:t>Treibhauspotenzial (GWP)</w:t>
            </w:r>
          </w:p>
        </w:tc>
      </w:tr>
      <w:tr w:rsidR="006D447F" w:rsidRPr="006D447F" w:rsidTr="006D447F">
        <w:tc>
          <w:tcPr>
            <w:tcW w:w="2660" w:type="dxa"/>
          </w:tcPr>
          <w:p w:rsidR="006D447F" w:rsidRPr="006D447F" w:rsidRDefault="006D447F" w:rsidP="006D447F">
            <w:pPr>
              <w:pStyle w:val="GesAbsatz"/>
              <w:tabs>
                <w:tab w:val="clear" w:pos="425"/>
              </w:tabs>
            </w:pPr>
            <w:r w:rsidRPr="006D447F">
              <w:t>Schwefelhexafluorid</w:t>
            </w:r>
          </w:p>
        </w:tc>
        <w:tc>
          <w:tcPr>
            <w:tcW w:w="2657" w:type="dxa"/>
          </w:tcPr>
          <w:p w:rsidR="006D447F" w:rsidRPr="006D447F" w:rsidRDefault="006D447F" w:rsidP="006D447F">
            <w:pPr>
              <w:pStyle w:val="GesAbsatz"/>
              <w:tabs>
                <w:tab w:val="clear" w:pos="425"/>
              </w:tabs>
              <w:jc w:val="center"/>
            </w:pPr>
            <w:r w:rsidRPr="006D447F">
              <w:t>SF</w:t>
            </w:r>
            <w:r w:rsidRPr="006D447F">
              <w:rPr>
                <w:vertAlign w:val="subscript"/>
              </w:rPr>
              <w:t>6</w:t>
            </w:r>
          </w:p>
        </w:tc>
        <w:tc>
          <w:tcPr>
            <w:tcW w:w="2641" w:type="dxa"/>
          </w:tcPr>
          <w:p w:rsidR="006D447F" w:rsidRPr="006D447F" w:rsidRDefault="006D447F" w:rsidP="006D447F">
            <w:pPr>
              <w:pStyle w:val="GesAbsatz"/>
              <w:tabs>
                <w:tab w:val="clear" w:pos="425"/>
              </w:tabs>
              <w:jc w:val="center"/>
            </w:pPr>
            <w:r w:rsidRPr="006D447F">
              <w:t>22200</w:t>
            </w:r>
          </w:p>
        </w:tc>
      </w:tr>
      <w:tr w:rsidR="006D447F" w:rsidRPr="00804A1C" w:rsidTr="006D447F">
        <w:tc>
          <w:tcPr>
            <w:tcW w:w="7958" w:type="dxa"/>
            <w:gridSpan w:val="3"/>
          </w:tcPr>
          <w:p w:rsidR="006D447F" w:rsidRPr="00804A1C" w:rsidRDefault="006D447F" w:rsidP="006D447F">
            <w:pPr>
              <w:pStyle w:val="GesAbsatz"/>
              <w:tabs>
                <w:tab w:val="clear" w:pos="425"/>
              </w:tabs>
              <w:rPr>
                <w:i/>
              </w:rPr>
            </w:pPr>
            <w:r w:rsidRPr="00804A1C">
              <w:rPr>
                <w:i/>
              </w:rPr>
              <w:t>Teilfluorierte Kohlenwasserstoffe (HFKW):</w:t>
            </w:r>
          </w:p>
        </w:tc>
      </w:tr>
      <w:tr w:rsidR="006D447F" w:rsidRPr="006D447F" w:rsidTr="006D447F">
        <w:tc>
          <w:tcPr>
            <w:tcW w:w="2660" w:type="dxa"/>
          </w:tcPr>
          <w:p w:rsidR="006D447F" w:rsidRPr="006D447F" w:rsidRDefault="006D447F" w:rsidP="006D447F">
            <w:pPr>
              <w:pStyle w:val="GesAbsatz"/>
              <w:tabs>
                <w:tab w:val="clear" w:pos="425"/>
              </w:tabs>
            </w:pPr>
            <w:r w:rsidRPr="006D447F">
              <w:t>HFKW-23</w:t>
            </w:r>
          </w:p>
        </w:tc>
        <w:tc>
          <w:tcPr>
            <w:tcW w:w="2657" w:type="dxa"/>
          </w:tcPr>
          <w:p w:rsidR="006D447F" w:rsidRPr="006D447F" w:rsidRDefault="006D447F" w:rsidP="006D447F">
            <w:pPr>
              <w:pStyle w:val="GesAbsatz"/>
              <w:tabs>
                <w:tab w:val="clear" w:pos="425"/>
              </w:tabs>
              <w:jc w:val="center"/>
            </w:pPr>
            <w:r w:rsidRPr="006D447F">
              <w:t>CHF</w:t>
            </w:r>
            <w:r w:rsidRPr="006D447F">
              <w:rPr>
                <w:vertAlign w:val="subscript"/>
              </w:rPr>
              <w:t>3</w:t>
            </w:r>
          </w:p>
        </w:tc>
        <w:tc>
          <w:tcPr>
            <w:tcW w:w="2641" w:type="dxa"/>
          </w:tcPr>
          <w:p w:rsidR="006D447F" w:rsidRPr="006D447F" w:rsidRDefault="006D447F" w:rsidP="006D447F">
            <w:pPr>
              <w:pStyle w:val="GesAbsatz"/>
              <w:tabs>
                <w:tab w:val="clear" w:pos="425"/>
              </w:tabs>
              <w:jc w:val="center"/>
            </w:pPr>
            <w:r w:rsidRPr="006D447F">
              <w:t>12000</w:t>
            </w:r>
          </w:p>
        </w:tc>
      </w:tr>
      <w:tr w:rsidR="006D447F" w:rsidRPr="006D447F" w:rsidTr="006D447F">
        <w:tc>
          <w:tcPr>
            <w:tcW w:w="2660" w:type="dxa"/>
          </w:tcPr>
          <w:p w:rsidR="006D447F" w:rsidRPr="006D447F" w:rsidRDefault="006D447F" w:rsidP="006D447F">
            <w:pPr>
              <w:pStyle w:val="GesAbsatz"/>
              <w:tabs>
                <w:tab w:val="clear" w:pos="425"/>
              </w:tabs>
            </w:pPr>
            <w:r w:rsidRPr="006D447F">
              <w:t>HFKW-32</w:t>
            </w:r>
          </w:p>
        </w:tc>
        <w:tc>
          <w:tcPr>
            <w:tcW w:w="2657" w:type="dxa"/>
          </w:tcPr>
          <w:p w:rsidR="006D447F" w:rsidRPr="006D447F" w:rsidRDefault="006D447F" w:rsidP="006D447F">
            <w:pPr>
              <w:pStyle w:val="GesAbsatz"/>
              <w:tabs>
                <w:tab w:val="clear" w:pos="425"/>
              </w:tabs>
              <w:jc w:val="center"/>
            </w:pPr>
            <w:r w:rsidRPr="006D447F">
              <w:t>CH</w:t>
            </w:r>
            <w:r w:rsidRPr="006D447F">
              <w:rPr>
                <w:vertAlign w:val="subscript"/>
              </w:rPr>
              <w:t>2</w:t>
            </w:r>
            <w:r w:rsidRPr="006D447F">
              <w:t>F</w:t>
            </w:r>
            <w:r w:rsidRPr="006D447F">
              <w:rPr>
                <w:vertAlign w:val="subscript"/>
              </w:rPr>
              <w:t>2</w:t>
            </w:r>
          </w:p>
        </w:tc>
        <w:tc>
          <w:tcPr>
            <w:tcW w:w="2641" w:type="dxa"/>
          </w:tcPr>
          <w:p w:rsidR="006D447F" w:rsidRPr="006D447F" w:rsidRDefault="006D447F" w:rsidP="006D447F">
            <w:pPr>
              <w:pStyle w:val="GesAbsatz"/>
              <w:tabs>
                <w:tab w:val="clear" w:pos="425"/>
              </w:tabs>
              <w:jc w:val="center"/>
            </w:pPr>
            <w:r w:rsidRPr="006D447F">
              <w:t>550</w:t>
            </w:r>
          </w:p>
        </w:tc>
      </w:tr>
      <w:tr w:rsidR="006D447F" w:rsidRPr="006D447F" w:rsidTr="006D447F">
        <w:tc>
          <w:tcPr>
            <w:tcW w:w="2660" w:type="dxa"/>
          </w:tcPr>
          <w:p w:rsidR="006D447F" w:rsidRPr="006D447F" w:rsidRDefault="006D447F" w:rsidP="006D447F">
            <w:pPr>
              <w:pStyle w:val="GesAbsatz"/>
              <w:tabs>
                <w:tab w:val="clear" w:pos="425"/>
              </w:tabs>
            </w:pPr>
            <w:r w:rsidRPr="006D447F">
              <w:t>HFKW-41</w:t>
            </w:r>
          </w:p>
        </w:tc>
        <w:tc>
          <w:tcPr>
            <w:tcW w:w="2657" w:type="dxa"/>
          </w:tcPr>
          <w:p w:rsidR="006D447F" w:rsidRPr="006D447F" w:rsidRDefault="006D447F" w:rsidP="006D447F">
            <w:pPr>
              <w:pStyle w:val="GesAbsatz"/>
              <w:tabs>
                <w:tab w:val="clear" w:pos="425"/>
              </w:tabs>
              <w:jc w:val="center"/>
            </w:pPr>
            <w:r w:rsidRPr="006D447F">
              <w:t>CH</w:t>
            </w:r>
            <w:r w:rsidRPr="006D447F">
              <w:rPr>
                <w:vertAlign w:val="subscript"/>
              </w:rPr>
              <w:t>3</w:t>
            </w:r>
            <w:r w:rsidRPr="006D447F">
              <w:t>F</w:t>
            </w:r>
          </w:p>
        </w:tc>
        <w:tc>
          <w:tcPr>
            <w:tcW w:w="2641" w:type="dxa"/>
          </w:tcPr>
          <w:p w:rsidR="006D447F" w:rsidRPr="006D447F" w:rsidRDefault="006D447F" w:rsidP="006D447F">
            <w:pPr>
              <w:pStyle w:val="GesAbsatz"/>
              <w:tabs>
                <w:tab w:val="clear" w:pos="425"/>
              </w:tabs>
              <w:jc w:val="center"/>
            </w:pPr>
            <w:r w:rsidRPr="006D447F">
              <w:t>97</w:t>
            </w:r>
          </w:p>
        </w:tc>
      </w:tr>
      <w:tr w:rsidR="006D447F" w:rsidRPr="006D447F" w:rsidTr="006D447F">
        <w:tc>
          <w:tcPr>
            <w:tcW w:w="2660" w:type="dxa"/>
          </w:tcPr>
          <w:p w:rsidR="006D447F" w:rsidRPr="006D447F" w:rsidRDefault="006D447F" w:rsidP="006D447F">
            <w:pPr>
              <w:pStyle w:val="GesAbsatz"/>
              <w:tabs>
                <w:tab w:val="clear" w:pos="425"/>
              </w:tabs>
            </w:pPr>
            <w:r w:rsidRPr="006D447F">
              <w:t>HFKW-43-10mee</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5</w:t>
            </w:r>
            <w:r w:rsidRPr="006D447F">
              <w:t>H</w:t>
            </w:r>
            <w:r w:rsidRPr="006D447F">
              <w:rPr>
                <w:vertAlign w:val="subscript"/>
              </w:rPr>
              <w:t>2</w:t>
            </w:r>
            <w:r w:rsidRPr="006D447F">
              <w:t>F</w:t>
            </w:r>
            <w:r w:rsidRPr="006D447F">
              <w:rPr>
                <w:vertAlign w:val="subscript"/>
              </w:rPr>
              <w:t>10</w:t>
            </w:r>
          </w:p>
        </w:tc>
        <w:tc>
          <w:tcPr>
            <w:tcW w:w="2641" w:type="dxa"/>
          </w:tcPr>
          <w:p w:rsidR="006D447F" w:rsidRPr="006D447F" w:rsidRDefault="006D447F" w:rsidP="006D447F">
            <w:pPr>
              <w:pStyle w:val="GesAbsatz"/>
              <w:tabs>
                <w:tab w:val="clear" w:pos="425"/>
              </w:tabs>
              <w:jc w:val="center"/>
            </w:pPr>
            <w:r w:rsidRPr="006D447F">
              <w:t>1500</w:t>
            </w:r>
          </w:p>
        </w:tc>
      </w:tr>
      <w:tr w:rsidR="006D447F" w:rsidRPr="006D447F" w:rsidTr="006D447F">
        <w:tc>
          <w:tcPr>
            <w:tcW w:w="2660" w:type="dxa"/>
          </w:tcPr>
          <w:p w:rsidR="006D447F" w:rsidRPr="006D447F" w:rsidRDefault="006D447F" w:rsidP="006D447F">
            <w:pPr>
              <w:pStyle w:val="GesAbsatz"/>
              <w:tabs>
                <w:tab w:val="clear" w:pos="425"/>
              </w:tabs>
            </w:pPr>
            <w:r w:rsidRPr="006D447F">
              <w:t>HFKW-125</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2</w:t>
            </w:r>
            <w:r w:rsidRPr="006D447F">
              <w:t>HF</w:t>
            </w:r>
            <w:r w:rsidRPr="006D447F">
              <w:rPr>
                <w:vertAlign w:val="subscript"/>
              </w:rPr>
              <w:t>5</w:t>
            </w:r>
          </w:p>
        </w:tc>
        <w:tc>
          <w:tcPr>
            <w:tcW w:w="2641" w:type="dxa"/>
          </w:tcPr>
          <w:p w:rsidR="006D447F" w:rsidRPr="006D447F" w:rsidRDefault="006D447F" w:rsidP="006D447F">
            <w:pPr>
              <w:pStyle w:val="GesAbsatz"/>
              <w:tabs>
                <w:tab w:val="clear" w:pos="425"/>
              </w:tabs>
              <w:jc w:val="center"/>
            </w:pPr>
            <w:r w:rsidRPr="006D447F">
              <w:t>3400</w:t>
            </w:r>
          </w:p>
        </w:tc>
      </w:tr>
      <w:tr w:rsidR="006D447F" w:rsidRPr="006D447F" w:rsidTr="006D447F">
        <w:tc>
          <w:tcPr>
            <w:tcW w:w="2660" w:type="dxa"/>
          </w:tcPr>
          <w:p w:rsidR="006D447F" w:rsidRPr="006D447F" w:rsidRDefault="006D447F" w:rsidP="006D447F">
            <w:pPr>
              <w:pStyle w:val="GesAbsatz"/>
              <w:tabs>
                <w:tab w:val="clear" w:pos="425"/>
              </w:tabs>
            </w:pPr>
            <w:r w:rsidRPr="006D447F">
              <w:t>HFKW-134</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2</w:t>
            </w:r>
            <w:r w:rsidRPr="006D447F">
              <w:t>H</w:t>
            </w:r>
            <w:r w:rsidRPr="006D447F">
              <w:rPr>
                <w:vertAlign w:val="subscript"/>
              </w:rPr>
              <w:t>2</w:t>
            </w:r>
            <w:r w:rsidRPr="006D447F">
              <w:t>F</w:t>
            </w:r>
            <w:r w:rsidRPr="006D447F">
              <w:rPr>
                <w:vertAlign w:val="subscript"/>
              </w:rPr>
              <w:t>4</w:t>
            </w:r>
          </w:p>
        </w:tc>
        <w:tc>
          <w:tcPr>
            <w:tcW w:w="2641" w:type="dxa"/>
          </w:tcPr>
          <w:p w:rsidR="006D447F" w:rsidRPr="006D447F" w:rsidRDefault="006D447F" w:rsidP="006D447F">
            <w:pPr>
              <w:pStyle w:val="GesAbsatz"/>
              <w:tabs>
                <w:tab w:val="clear" w:pos="425"/>
              </w:tabs>
              <w:jc w:val="center"/>
            </w:pPr>
            <w:r w:rsidRPr="006D447F">
              <w:t>1100</w:t>
            </w:r>
          </w:p>
        </w:tc>
      </w:tr>
      <w:tr w:rsidR="006D447F" w:rsidRPr="006D447F" w:rsidTr="006D447F">
        <w:tc>
          <w:tcPr>
            <w:tcW w:w="2660" w:type="dxa"/>
          </w:tcPr>
          <w:p w:rsidR="006D447F" w:rsidRPr="006D447F" w:rsidRDefault="006D447F" w:rsidP="006D447F">
            <w:pPr>
              <w:pStyle w:val="GesAbsatz"/>
              <w:tabs>
                <w:tab w:val="clear" w:pos="425"/>
              </w:tabs>
            </w:pPr>
            <w:r w:rsidRPr="006D447F">
              <w:t>HFKW-134a</w:t>
            </w:r>
          </w:p>
        </w:tc>
        <w:tc>
          <w:tcPr>
            <w:tcW w:w="2657" w:type="dxa"/>
          </w:tcPr>
          <w:p w:rsidR="006D447F" w:rsidRPr="006D447F" w:rsidRDefault="006D447F" w:rsidP="006D447F">
            <w:pPr>
              <w:pStyle w:val="GesAbsatz"/>
              <w:tabs>
                <w:tab w:val="clear" w:pos="425"/>
              </w:tabs>
              <w:jc w:val="center"/>
            </w:pPr>
            <w:r w:rsidRPr="006D447F">
              <w:t>CH</w:t>
            </w:r>
            <w:r w:rsidRPr="006D447F">
              <w:rPr>
                <w:vertAlign w:val="subscript"/>
              </w:rPr>
              <w:t>2</w:t>
            </w:r>
            <w:r w:rsidRPr="006D447F">
              <w:t>FCF</w:t>
            </w:r>
            <w:r w:rsidRPr="006D447F">
              <w:rPr>
                <w:vertAlign w:val="subscript"/>
              </w:rPr>
              <w:t>3</w:t>
            </w:r>
          </w:p>
        </w:tc>
        <w:tc>
          <w:tcPr>
            <w:tcW w:w="2641" w:type="dxa"/>
          </w:tcPr>
          <w:p w:rsidR="006D447F" w:rsidRPr="006D447F" w:rsidRDefault="006D447F" w:rsidP="006D447F">
            <w:pPr>
              <w:pStyle w:val="GesAbsatz"/>
              <w:tabs>
                <w:tab w:val="clear" w:pos="425"/>
              </w:tabs>
              <w:jc w:val="center"/>
            </w:pPr>
            <w:r w:rsidRPr="006D447F">
              <w:t>1300</w:t>
            </w:r>
          </w:p>
        </w:tc>
      </w:tr>
      <w:tr w:rsidR="006D447F" w:rsidRPr="006D447F" w:rsidTr="006D447F">
        <w:tc>
          <w:tcPr>
            <w:tcW w:w="2660" w:type="dxa"/>
          </w:tcPr>
          <w:p w:rsidR="006D447F" w:rsidRPr="006D447F" w:rsidRDefault="006D447F" w:rsidP="006D447F">
            <w:pPr>
              <w:pStyle w:val="GesAbsatz"/>
              <w:tabs>
                <w:tab w:val="clear" w:pos="425"/>
              </w:tabs>
            </w:pPr>
            <w:r w:rsidRPr="006D447F">
              <w:t>HFKW-152a</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2</w:t>
            </w:r>
            <w:r w:rsidRPr="006D447F">
              <w:t>H</w:t>
            </w:r>
            <w:r w:rsidRPr="006D447F">
              <w:rPr>
                <w:vertAlign w:val="subscript"/>
              </w:rPr>
              <w:t>4</w:t>
            </w:r>
            <w:r w:rsidRPr="006D447F">
              <w:t>F</w:t>
            </w:r>
            <w:r w:rsidRPr="006D447F">
              <w:rPr>
                <w:vertAlign w:val="subscript"/>
              </w:rPr>
              <w:t>2</w:t>
            </w:r>
          </w:p>
        </w:tc>
        <w:tc>
          <w:tcPr>
            <w:tcW w:w="2641" w:type="dxa"/>
          </w:tcPr>
          <w:p w:rsidR="006D447F" w:rsidRPr="006D447F" w:rsidRDefault="006D447F" w:rsidP="006D447F">
            <w:pPr>
              <w:pStyle w:val="GesAbsatz"/>
              <w:tabs>
                <w:tab w:val="clear" w:pos="425"/>
              </w:tabs>
              <w:jc w:val="center"/>
            </w:pPr>
            <w:r w:rsidRPr="006D447F">
              <w:t>120</w:t>
            </w:r>
          </w:p>
        </w:tc>
      </w:tr>
      <w:tr w:rsidR="006D447F" w:rsidRPr="006D447F" w:rsidTr="006D447F">
        <w:tc>
          <w:tcPr>
            <w:tcW w:w="2660" w:type="dxa"/>
          </w:tcPr>
          <w:p w:rsidR="006D447F" w:rsidRPr="006D447F" w:rsidRDefault="006D447F" w:rsidP="006D447F">
            <w:pPr>
              <w:pStyle w:val="GesAbsatz"/>
              <w:tabs>
                <w:tab w:val="clear" w:pos="425"/>
              </w:tabs>
            </w:pPr>
            <w:r w:rsidRPr="006D447F">
              <w:t>HFKW-143</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2</w:t>
            </w:r>
            <w:r w:rsidRPr="006D447F">
              <w:t>H</w:t>
            </w:r>
            <w:r w:rsidRPr="006D447F">
              <w:rPr>
                <w:vertAlign w:val="subscript"/>
              </w:rPr>
              <w:t>3</w:t>
            </w:r>
            <w:r w:rsidRPr="006D447F">
              <w:t>F</w:t>
            </w:r>
            <w:r w:rsidRPr="006D447F">
              <w:rPr>
                <w:vertAlign w:val="subscript"/>
              </w:rPr>
              <w:t>3</w:t>
            </w:r>
          </w:p>
        </w:tc>
        <w:tc>
          <w:tcPr>
            <w:tcW w:w="2641" w:type="dxa"/>
          </w:tcPr>
          <w:p w:rsidR="006D447F" w:rsidRPr="006D447F" w:rsidRDefault="006D447F" w:rsidP="006D447F">
            <w:pPr>
              <w:pStyle w:val="GesAbsatz"/>
              <w:tabs>
                <w:tab w:val="clear" w:pos="425"/>
              </w:tabs>
              <w:jc w:val="center"/>
            </w:pPr>
            <w:r w:rsidRPr="006D447F">
              <w:t>330</w:t>
            </w:r>
          </w:p>
        </w:tc>
      </w:tr>
      <w:tr w:rsidR="006D447F" w:rsidRPr="006D447F" w:rsidTr="006D447F">
        <w:tc>
          <w:tcPr>
            <w:tcW w:w="2660" w:type="dxa"/>
          </w:tcPr>
          <w:p w:rsidR="006D447F" w:rsidRPr="006D447F" w:rsidRDefault="006D447F" w:rsidP="006D447F">
            <w:pPr>
              <w:pStyle w:val="GesAbsatz"/>
              <w:tabs>
                <w:tab w:val="clear" w:pos="425"/>
              </w:tabs>
            </w:pPr>
            <w:r w:rsidRPr="006D447F">
              <w:t>HFKW-143a</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2</w:t>
            </w:r>
            <w:r w:rsidRPr="006D447F">
              <w:t>H</w:t>
            </w:r>
            <w:r w:rsidRPr="006D447F">
              <w:rPr>
                <w:vertAlign w:val="subscript"/>
              </w:rPr>
              <w:t>3</w:t>
            </w:r>
            <w:r w:rsidRPr="006D447F">
              <w:t>F</w:t>
            </w:r>
            <w:r w:rsidRPr="006D447F">
              <w:rPr>
                <w:vertAlign w:val="subscript"/>
              </w:rPr>
              <w:t>3</w:t>
            </w:r>
          </w:p>
        </w:tc>
        <w:tc>
          <w:tcPr>
            <w:tcW w:w="2641" w:type="dxa"/>
          </w:tcPr>
          <w:p w:rsidR="006D447F" w:rsidRPr="006D447F" w:rsidRDefault="006D447F" w:rsidP="006D447F">
            <w:pPr>
              <w:pStyle w:val="GesAbsatz"/>
              <w:tabs>
                <w:tab w:val="clear" w:pos="425"/>
              </w:tabs>
              <w:jc w:val="center"/>
            </w:pPr>
            <w:r w:rsidRPr="006D447F">
              <w:t>4300</w:t>
            </w:r>
          </w:p>
        </w:tc>
      </w:tr>
      <w:tr w:rsidR="006D447F" w:rsidRPr="006D447F" w:rsidTr="006D447F">
        <w:tc>
          <w:tcPr>
            <w:tcW w:w="2660" w:type="dxa"/>
          </w:tcPr>
          <w:p w:rsidR="006D447F" w:rsidRPr="006D447F" w:rsidRDefault="006D447F" w:rsidP="006D447F">
            <w:pPr>
              <w:pStyle w:val="GesAbsatz"/>
              <w:tabs>
                <w:tab w:val="clear" w:pos="425"/>
              </w:tabs>
            </w:pPr>
            <w:r w:rsidRPr="006D447F">
              <w:t>HFKW-227ea</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3</w:t>
            </w:r>
            <w:r w:rsidRPr="006D447F">
              <w:t>HF</w:t>
            </w:r>
            <w:r w:rsidRPr="006D447F">
              <w:rPr>
                <w:vertAlign w:val="subscript"/>
              </w:rPr>
              <w:t>7</w:t>
            </w:r>
          </w:p>
        </w:tc>
        <w:tc>
          <w:tcPr>
            <w:tcW w:w="2641" w:type="dxa"/>
          </w:tcPr>
          <w:p w:rsidR="006D447F" w:rsidRPr="006D447F" w:rsidRDefault="006D447F" w:rsidP="006D447F">
            <w:pPr>
              <w:pStyle w:val="GesAbsatz"/>
              <w:tabs>
                <w:tab w:val="clear" w:pos="425"/>
              </w:tabs>
              <w:jc w:val="center"/>
            </w:pPr>
            <w:r w:rsidRPr="006D447F">
              <w:t>3500</w:t>
            </w:r>
          </w:p>
        </w:tc>
      </w:tr>
      <w:tr w:rsidR="006D447F" w:rsidRPr="006D447F" w:rsidTr="006D447F">
        <w:tc>
          <w:tcPr>
            <w:tcW w:w="2660" w:type="dxa"/>
          </w:tcPr>
          <w:p w:rsidR="006D447F" w:rsidRPr="006D447F" w:rsidRDefault="006D447F" w:rsidP="006D447F">
            <w:pPr>
              <w:pStyle w:val="GesAbsatz"/>
              <w:tabs>
                <w:tab w:val="clear" w:pos="425"/>
              </w:tabs>
            </w:pPr>
            <w:r w:rsidRPr="006D447F">
              <w:t>HFKW-236cb</w:t>
            </w:r>
          </w:p>
        </w:tc>
        <w:tc>
          <w:tcPr>
            <w:tcW w:w="2657" w:type="dxa"/>
          </w:tcPr>
          <w:p w:rsidR="006D447F" w:rsidRPr="006D447F" w:rsidRDefault="006D447F" w:rsidP="006D447F">
            <w:pPr>
              <w:pStyle w:val="GesAbsatz"/>
              <w:tabs>
                <w:tab w:val="clear" w:pos="425"/>
              </w:tabs>
              <w:jc w:val="center"/>
            </w:pPr>
            <w:r w:rsidRPr="006D447F">
              <w:t>CH</w:t>
            </w:r>
            <w:r w:rsidRPr="006D447F">
              <w:rPr>
                <w:vertAlign w:val="subscript"/>
              </w:rPr>
              <w:t>2</w:t>
            </w:r>
            <w:r w:rsidRPr="006D447F">
              <w:t>FCF</w:t>
            </w:r>
            <w:r w:rsidRPr="006D447F">
              <w:rPr>
                <w:vertAlign w:val="subscript"/>
              </w:rPr>
              <w:t>2</w:t>
            </w:r>
            <w:r w:rsidRPr="006D447F">
              <w:t>CF</w:t>
            </w:r>
            <w:r w:rsidRPr="006D447F">
              <w:rPr>
                <w:vertAlign w:val="subscript"/>
              </w:rPr>
              <w:t>3</w:t>
            </w:r>
          </w:p>
        </w:tc>
        <w:tc>
          <w:tcPr>
            <w:tcW w:w="2641" w:type="dxa"/>
          </w:tcPr>
          <w:p w:rsidR="006D447F" w:rsidRPr="006D447F" w:rsidRDefault="006D447F" w:rsidP="006D447F">
            <w:pPr>
              <w:pStyle w:val="GesAbsatz"/>
              <w:tabs>
                <w:tab w:val="clear" w:pos="425"/>
              </w:tabs>
              <w:jc w:val="center"/>
            </w:pPr>
            <w:r w:rsidRPr="006D447F">
              <w:t>1300</w:t>
            </w:r>
          </w:p>
        </w:tc>
      </w:tr>
      <w:tr w:rsidR="006D447F" w:rsidRPr="006D447F" w:rsidTr="006D447F">
        <w:tc>
          <w:tcPr>
            <w:tcW w:w="2660" w:type="dxa"/>
          </w:tcPr>
          <w:p w:rsidR="006D447F" w:rsidRPr="006D447F" w:rsidRDefault="006D447F" w:rsidP="006D447F">
            <w:pPr>
              <w:pStyle w:val="GesAbsatz"/>
              <w:tabs>
                <w:tab w:val="clear" w:pos="425"/>
              </w:tabs>
            </w:pPr>
            <w:r w:rsidRPr="006D447F">
              <w:t>HFKW-236ea</w:t>
            </w:r>
          </w:p>
        </w:tc>
        <w:tc>
          <w:tcPr>
            <w:tcW w:w="2657" w:type="dxa"/>
          </w:tcPr>
          <w:p w:rsidR="006D447F" w:rsidRPr="006D447F" w:rsidRDefault="006D447F" w:rsidP="006D447F">
            <w:pPr>
              <w:pStyle w:val="GesAbsatz"/>
              <w:tabs>
                <w:tab w:val="clear" w:pos="425"/>
              </w:tabs>
              <w:jc w:val="center"/>
            </w:pPr>
            <w:r w:rsidRPr="006D447F">
              <w:t>CHF</w:t>
            </w:r>
            <w:r w:rsidRPr="006D447F">
              <w:rPr>
                <w:vertAlign w:val="subscript"/>
              </w:rPr>
              <w:t>2</w:t>
            </w:r>
            <w:r w:rsidRPr="006D447F">
              <w:t>CHFCF</w:t>
            </w:r>
            <w:r w:rsidRPr="006D447F">
              <w:rPr>
                <w:vertAlign w:val="subscript"/>
              </w:rPr>
              <w:t>3</w:t>
            </w:r>
          </w:p>
        </w:tc>
        <w:tc>
          <w:tcPr>
            <w:tcW w:w="2641" w:type="dxa"/>
          </w:tcPr>
          <w:p w:rsidR="006D447F" w:rsidRPr="006D447F" w:rsidRDefault="006D447F" w:rsidP="006D447F">
            <w:pPr>
              <w:pStyle w:val="GesAbsatz"/>
              <w:tabs>
                <w:tab w:val="clear" w:pos="425"/>
              </w:tabs>
              <w:jc w:val="center"/>
            </w:pPr>
            <w:r w:rsidRPr="006D447F">
              <w:t>1200</w:t>
            </w:r>
          </w:p>
        </w:tc>
      </w:tr>
      <w:tr w:rsidR="006D447F" w:rsidRPr="006D447F" w:rsidTr="006D447F">
        <w:tc>
          <w:tcPr>
            <w:tcW w:w="2660" w:type="dxa"/>
          </w:tcPr>
          <w:p w:rsidR="006D447F" w:rsidRPr="006D447F" w:rsidRDefault="006D447F" w:rsidP="006D447F">
            <w:pPr>
              <w:pStyle w:val="GesAbsatz"/>
              <w:tabs>
                <w:tab w:val="clear" w:pos="425"/>
              </w:tabs>
            </w:pPr>
            <w:r w:rsidRPr="006D447F">
              <w:t>HFKW-236fa</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3</w:t>
            </w:r>
            <w:r w:rsidRPr="006D447F">
              <w:t>H</w:t>
            </w:r>
            <w:r w:rsidRPr="006D447F">
              <w:rPr>
                <w:vertAlign w:val="subscript"/>
              </w:rPr>
              <w:t>2</w:t>
            </w:r>
            <w:r w:rsidRPr="006D447F">
              <w:t>F</w:t>
            </w:r>
            <w:r w:rsidRPr="006D447F">
              <w:rPr>
                <w:vertAlign w:val="subscript"/>
              </w:rPr>
              <w:t>6</w:t>
            </w:r>
          </w:p>
        </w:tc>
        <w:tc>
          <w:tcPr>
            <w:tcW w:w="2641" w:type="dxa"/>
          </w:tcPr>
          <w:p w:rsidR="006D447F" w:rsidRPr="006D447F" w:rsidRDefault="006D447F" w:rsidP="006D447F">
            <w:pPr>
              <w:pStyle w:val="GesAbsatz"/>
              <w:tabs>
                <w:tab w:val="clear" w:pos="425"/>
              </w:tabs>
              <w:jc w:val="center"/>
            </w:pPr>
            <w:r w:rsidRPr="006D447F">
              <w:t>9400</w:t>
            </w:r>
          </w:p>
        </w:tc>
      </w:tr>
      <w:tr w:rsidR="006D447F" w:rsidRPr="006D447F" w:rsidTr="006D447F">
        <w:tc>
          <w:tcPr>
            <w:tcW w:w="2660" w:type="dxa"/>
          </w:tcPr>
          <w:p w:rsidR="006D447F" w:rsidRPr="006D447F" w:rsidRDefault="006D447F" w:rsidP="006D447F">
            <w:pPr>
              <w:pStyle w:val="GesAbsatz"/>
              <w:tabs>
                <w:tab w:val="clear" w:pos="425"/>
              </w:tabs>
            </w:pPr>
            <w:r w:rsidRPr="006D447F">
              <w:t>HFKW-245ca</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3</w:t>
            </w:r>
            <w:r w:rsidRPr="006D447F">
              <w:t>H</w:t>
            </w:r>
            <w:r w:rsidRPr="006D447F">
              <w:rPr>
                <w:vertAlign w:val="subscript"/>
              </w:rPr>
              <w:t>3</w:t>
            </w:r>
            <w:r w:rsidRPr="006D447F">
              <w:t>F</w:t>
            </w:r>
            <w:r w:rsidRPr="006D447F">
              <w:rPr>
                <w:vertAlign w:val="subscript"/>
              </w:rPr>
              <w:t>5</w:t>
            </w:r>
          </w:p>
        </w:tc>
        <w:tc>
          <w:tcPr>
            <w:tcW w:w="2641" w:type="dxa"/>
          </w:tcPr>
          <w:p w:rsidR="006D447F" w:rsidRPr="006D447F" w:rsidRDefault="006D447F" w:rsidP="006D447F">
            <w:pPr>
              <w:pStyle w:val="GesAbsatz"/>
              <w:tabs>
                <w:tab w:val="clear" w:pos="425"/>
              </w:tabs>
              <w:jc w:val="center"/>
            </w:pPr>
            <w:r w:rsidRPr="006D447F">
              <w:t>640</w:t>
            </w:r>
          </w:p>
        </w:tc>
      </w:tr>
      <w:tr w:rsidR="006D447F" w:rsidRPr="006D447F" w:rsidTr="006D447F">
        <w:tc>
          <w:tcPr>
            <w:tcW w:w="2660" w:type="dxa"/>
          </w:tcPr>
          <w:p w:rsidR="006D447F" w:rsidRPr="006D447F" w:rsidRDefault="006D447F" w:rsidP="006D447F">
            <w:pPr>
              <w:pStyle w:val="GesAbsatz"/>
              <w:tabs>
                <w:tab w:val="clear" w:pos="425"/>
              </w:tabs>
            </w:pPr>
            <w:r w:rsidRPr="006D447F">
              <w:t>HFKW-245fa</w:t>
            </w:r>
          </w:p>
        </w:tc>
        <w:tc>
          <w:tcPr>
            <w:tcW w:w="2657" w:type="dxa"/>
          </w:tcPr>
          <w:p w:rsidR="006D447F" w:rsidRPr="006D447F" w:rsidRDefault="006D447F" w:rsidP="006D447F">
            <w:pPr>
              <w:pStyle w:val="GesAbsatz"/>
              <w:tabs>
                <w:tab w:val="clear" w:pos="425"/>
              </w:tabs>
              <w:jc w:val="center"/>
            </w:pPr>
            <w:r w:rsidRPr="006D447F">
              <w:t>CHF</w:t>
            </w:r>
            <w:r w:rsidRPr="006D447F">
              <w:rPr>
                <w:vertAlign w:val="subscript"/>
              </w:rPr>
              <w:t>2</w:t>
            </w:r>
            <w:r w:rsidRPr="006D447F">
              <w:t>CH</w:t>
            </w:r>
            <w:r w:rsidRPr="006D447F">
              <w:rPr>
                <w:vertAlign w:val="subscript"/>
              </w:rPr>
              <w:t>2</w:t>
            </w:r>
            <w:r w:rsidRPr="006D447F">
              <w:t>CF</w:t>
            </w:r>
            <w:r w:rsidRPr="006D447F">
              <w:rPr>
                <w:vertAlign w:val="subscript"/>
              </w:rPr>
              <w:t>3</w:t>
            </w:r>
          </w:p>
        </w:tc>
        <w:tc>
          <w:tcPr>
            <w:tcW w:w="2641" w:type="dxa"/>
          </w:tcPr>
          <w:p w:rsidR="006D447F" w:rsidRPr="006D447F" w:rsidRDefault="006D447F" w:rsidP="006D447F">
            <w:pPr>
              <w:pStyle w:val="GesAbsatz"/>
              <w:tabs>
                <w:tab w:val="clear" w:pos="425"/>
              </w:tabs>
              <w:jc w:val="center"/>
            </w:pPr>
            <w:r w:rsidRPr="006D447F">
              <w:t>950</w:t>
            </w:r>
          </w:p>
        </w:tc>
      </w:tr>
      <w:tr w:rsidR="006D447F" w:rsidRPr="006D447F" w:rsidTr="006D447F">
        <w:tc>
          <w:tcPr>
            <w:tcW w:w="2660" w:type="dxa"/>
          </w:tcPr>
          <w:p w:rsidR="006D447F" w:rsidRPr="006D447F" w:rsidRDefault="006D447F" w:rsidP="006D447F">
            <w:pPr>
              <w:pStyle w:val="GesAbsatz"/>
              <w:tabs>
                <w:tab w:val="clear" w:pos="425"/>
              </w:tabs>
            </w:pPr>
            <w:r w:rsidRPr="006D447F">
              <w:t>HFKW-365mfc</w:t>
            </w:r>
          </w:p>
        </w:tc>
        <w:tc>
          <w:tcPr>
            <w:tcW w:w="2657" w:type="dxa"/>
          </w:tcPr>
          <w:p w:rsidR="006D447F" w:rsidRPr="006D447F" w:rsidRDefault="006D447F" w:rsidP="006D447F">
            <w:pPr>
              <w:pStyle w:val="GesAbsatz"/>
              <w:tabs>
                <w:tab w:val="clear" w:pos="425"/>
              </w:tabs>
              <w:jc w:val="center"/>
            </w:pPr>
            <w:r w:rsidRPr="006D447F">
              <w:t>CF</w:t>
            </w:r>
            <w:r w:rsidRPr="006D447F">
              <w:rPr>
                <w:vertAlign w:val="subscript"/>
              </w:rPr>
              <w:t>3</w:t>
            </w:r>
            <w:r w:rsidRPr="006D447F">
              <w:t>CH</w:t>
            </w:r>
            <w:r w:rsidRPr="006D447F">
              <w:rPr>
                <w:vertAlign w:val="subscript"/>
              </w:rPr>
              <w:t>2</w:t>
            </w:r>
            <w:r w:rsidRPr="006D447F">
              <w:t>CF</w:t>
            </w:r>
            <w:r w:rsidRPr="006D447F">
              <w:rPr>
                <w:vertAlign w:val="subscript"/>
              </w:rPr>
              <w:t>2</w:t>
            </w:r>
            <w:r w:rsidRPr="006D447F">
              <w:t>CH</w:t>
            </w:r>
            <w:r w:rsidRPr="006D447F">
              <w:rPr>
                <w:vertAlign w:val="subscript"/>
              </w:rPr>
              <w:t>3</w:t>
            </w:r>
          </w:p>
        </w:tc>
        <w:tc>
          <w:tcPr>
            <w:tcW w:w="2641" w:type="dxa"/>
          </w:tcPr>
          <w:p w:rsidR="006D447F" w:rsidRPr="006D447F" w:rsidRDefault="006D447F" w:rsidP="006D447F">
            <w:pPr>
              <w:pStyle w:val="GesAbsatz"/>
              <w:tabs>
                <w:tab w:val="clear" w:pos="425"/>
              </w:tabs>
              <w:jc w:val="center"/>
            </w:pPr>
            <w:r w:rsidRPr="006D447F">
              <w:t>890</w:t>
            </w:r>
          </w:p>
        </w:tc>
      </w:tr>
      <w:tr w:rsidR="006D447F" w:rsidRPr="00804A1C" w:rsidTr="006D447F">
        <w:tc>
          <w:tcPr>
            <w:tcW w:w="7958" w:type="dxa"/>
            <w:gridSpan w:val="3"/>
          </w:tcPr>
          <w:p w:rsidR="006D447F" w:rsidRPr="00804A1C" w:rsidRDefault="006D447F" w:rsidP="006D447F">
            <w:pPr>
              <w:pStyle w:val="GesAbsatz"/>
              <w:tabs>
                <w:tab w:val="clear" w:pos="425"/>
              </w:tabs>
              <w:rPr>
                <w:i/>
              </w:rPr>
            </w:pPr>
            <w:r w:rsidRPr="00804A1C">
              <w:rPr>
                <w:i/>
              </w:rPr>
              <w:t>Perfluorierte Kohlenwasserstoffe (FKW):</w:t>
            </w:r>
          </w:p>
        </w:tc>
      </w:tr>
      <w:tr w:rsidR="006D447F" w:rsidRPr="006D447F" w:rsidTr="006D447F">
        <w:tc>
          <w:tcPr>
            <w:tcW w:w="2660" w:type="dxa"/>
          </w:tcPr>
          <w:p w:rsidR="006D447F" w:rsidRPr="006D447F" w:rsidRDefault="006D447F" w:rsidP="006D447F">
            <w:pPr>
              <w:pStyle w:val="GesAbsatz"/>
              <w:tabs>
                <w:tab w:val="clear" w:pos="425"/>
              </w:tabs>
            </w:pPr>
            <w:r w:rsidRPr="006D447F">
              <w:t>Perfluormethan</w:t>
            </w:r>
          </w:p>
        </w:tc>
        <w:tc>
          <w:tcPr>
            <w:tcW w:w="2657" w:type="dxa"/>
          </w:tcPr>
          <w:p w:rsidR="006D447F" w:rsidRPr="006D447F" w:rsidRDefault="006D447F" w:rsidP="006D447F">
            <w:pPr>
              <w:pStyle w:val="GesAbsatz"/>
              <w:tabs>
                <w:tab w:val="clear" w:pos="425"/>
              </w:tabs>
              <w:jc w:val="center"/>
            </w:pPr>
            <w:r w:rsidRPr="006D447F">
              <w:t>CF</w:t>
            </w:r>
            <w:r w:rsidRPr="006D447F">
              <w:rPr>
                <w:vertAlign w:val="subscript"/>
              </w:rPr>
              <w:t>4</w:t>
            </w:r>
          </w:p>
        </w:tc>
        <w:tc>
          <w:tcPr>
            <w:tcW w:w="2641" w:type="dxa"/>
          </w:tcPr>
          <w:p w:rsidR="006D447F" w:rsidRPr="006D447F" w:rsidRDefault="006D447F" w:rsidP="006D447F">
            <w:pPr>
              <w:pStyle w:val="GesAbsatz"/>
              <w:tabs>
                <w:tab w:val="clear" w:pos="425"/>
              </w:tabs>
              <w:jc w:val="center"/>
            </w:pPr>
            <w:r w:rsidRPr="006D447F">
              <w:t>5700</w:t>
            </w:r>
          </w:p>
        </w:tc>
      </w:tr>
      <w:tr w:rsidR="006D447F" w:rsidRPr="006D447F" w:rsidTr="006D447F">
        <w:tc>
          <w:tcPr>
            <w:tcW w:w="2660" w:type="dxa"/>
          </w:tcPr>
          <w:p w:rsidR="006D447F" w:rsidRPr="006D447F" w:rsidRDefault="006D447F" w:rsidP="006D447F">
            <w:pPr>
              <w:pStyle w:val="GesAbsatz"/>
              <w:tabs>
                <w:tab w:val="clear" w:pos="425"/>
              </w:tabs>
              <w:rPr>
                <w:lang w:val="en-GB"/>
              </w:rPr>
            </w:pPr>
            <w:r w:rsidRPr="006D447F">
              <w:rPr>
                <w:lang w:val="en-GB"/>
              </w:rPr>
              <w:t>Perf</w:t>
            </w:r>
            <w:r w:rsidR="00CE3C40">
              <w:rPr>
                <w:lang w:val="en-GB"/>
              </w:rPr>
              <w:t>l</w:t>
            </w:r>
            <w:r w:rsidRPr="006D447F">
              <w:rPr>
                <w:lang w:val="en-GB"/>
              </w:rPr>
              <w:t>uorethan</w:t>
            </w:r>
          </w:p>
        </w:tc>
        <w:tc>
          <w:tcPr>
            <w:tcW w:w="2657" w:type="dxa"/>
          </w:tcPr>
          <w:p w:rsidR="006D447F" w:rsidRPr="006D447F" w:rsidRDefault="006D447F" w:rsidP="006D447F">
            <w:pPr>
              <w:pStyle w:val="GesAbsatz"/>
              <w:tabs>
                <w:tab w:val="clear" w:pos="425"/>
              </w:tabs>
              <w:jc w:val="center"/>
              <w:rPr>
                <w:lang w:val="en-GB"/>
              </w:rPr>
            </w:pPr>
            <w:r w:rsidRPr="006D447F">
              <w:rPr>
                <w:lang w:val="en-GB"/>
              </w:rPr>
              <w:t>C</w:t>
            </w:r>
            <w:r w:rsidRPr="006D447F">
              <w:rPr>
                <w:vertAlign w:val="subscript"/>
                <w:lang w:val="en-GB"/>
              </w:rPr>
              <w:t>2</w:t>
            </w:r>
            <w:r w:rsidRPr="006D447F">
              <w:rPr>
                <w:lang w:val="en-GB"/>
              </w:rPr>
              <w:t>F</w:t>
            </w:r>
            <w:r w:rsidRPr="006D447F">
              <w:rPr>
                <w:vertAlign w:val="subscript"/>
                <w:lang w:val="en-GB"/>
              </w:rPr>
              <w:t>6</w:t>
            </w:r>
          </w:p>
        </w:tc>
        <w:tc>
          <w:tcPr>
            <w:tcW w:w="2641" w:type="dxa"/>
          </w:tcPr>
          <w:p w:rsidR="006D447F" w:rsidRPr="006D447F" w:rsidRDefault="006D447F" w:rsidP="006D447F">
            <w:pPr>
              <w:pStyle w:val="GesAbsatz"/>
              <w:tabs>
                <w:tab w:val="clear" w:pos="425"/>
              </w:tabs>
              <w:jc w:val="center"/>
              <w:rPr>
                <w:lang w:val="en-GB"/>
              </w:rPr>
            </w:pPr>
            <w:r w:rsidRPr="006D447F">
              <w:rPr>
                <w:lang w:val="en-GB"/>
              </w:rPr>
              <w:t>11900</w:t>
            </w:r>
          </w:p>
        </w:tc>
      </w:tr>
      <w:tr w:rsidR="006D447F" w:rsidRPr="006D447F" w:rsidTr="006D447F">
        <w:tc>
          <w:tcPr>
            <w:tcW w:w="2660" w:type="dxa"/>
          </w:tcPr>
          <w:p w:rsidR="006D447F" w:rsidRPr="006D447F" w:rsidRDefault="006D447F" w:rsidP="006D447F">
            <w:pPr>
              <w:pStyle w:val="GesAbsatz"/>
              <w:tabs>
                <w:tab w:val="clear" w:pos="425"/>
              </w:tabs>
            </w:pPr>
            <w:r w:rsidRPr="006D447F">
              <w:t xml:space="preserve">Perfluorpropan </w:t>
            </w:r>
          </w:p>
        </w:tc>
        <w:tc>
          <w:tcPr>
            <w:tcW w:w="2657" w:type="dxa"/>
          </w:tcPr>
          <w:p w:rsidR="006D447F" w:rsidRPr="006D447F" w:rsidRDefault="006D447F" w:rsidP="006D447F">
            <w:pPr>
              <w:pStyle w:val="GesAbsatz"/>
              <w:tabs>
                <w:tab w:val="clear" w:pos="425"/>
              </w:tabs>
              <w:jc w:val="center"/>
            </w:pPr>
            <w:r>
              <w:t>C</w:t>
            </w:r>
            <w:r w:rsidRPr="006D447F">
              <w:rPr>
                <w:vertAlign w:val="subscript"/>
              </w:rPr>
              <w:t>3</w:t>
            </w:r>
            <w:r w:rsidRPr="006D447F">
              <w:t>F</w:t>
            </w:r>
            <w:r w:rsidRPr="006D447F">
              <w:rPr>
                <w:vertAlign w:val="subscript"/>
              </w:rPr>
              <w:t>8</w:t>
            </w:r>
          </w:p>
        </w:tc>
        <w:tc>
          <w:tcPr>
            <w:tcW w:w="2641" w:type="dxa"/>
          </w:tcPr>
          <w:p w:rsidR="006D447F" w:rsidRPr="006D447F" w:rsidRDefault="006D447F" w:rsidP="006D447F">
            <w:pPr>
              <w:pStyle w:val="GesAbsatz"/>
              <w:tabs>
                <w:tab w:val="clear" w:pos="425"/>
              </w:tabs>
              <w:jc w:val="center"/>
            </w:pPr>
            <w:r w:rsidRPr="006D447F">
              <w:t>8600</w:t>
            </w:r>
          </w:p>
        </w:tc>
      </w:tr>
      <w:tr w:rsidR="006D447F" w:rsidRPr="006D447F" w:rsidTr="006D447F">
        <w:tc>
          <w:tcPr>
            <w:tcW w:w="2660" w:type="dxa"/>
          </w:tcPr>
          <w:p w:rsidR="006D447F" w:rsidRPr="006D447F" w:rsidRDefault="006D447F" w:rsidP="006D447F">
            <w:pPr>
              <w:pStyle w:val="GesAbsatz"/>
              <w:tabs>
                <w:tab w:val="clear" w:pos="425"/>
              </w:tabs>
            </w:pPr>
            <w:r w:rsidRPr="006D447F">
              <w:t>Perfluorbutan</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4</w:t>
            </w:r>
            <w:r w:rsidRPr="006D447F">
              <w:t>F</w:t>
            </w:r>
            <w:r w:rsidRPr="006D447F">
              <w:rPr>
                <w:vertAlign w:val="subscript"/>
              </w:rPr>
              <w:t>10</w:t>
            </w:r>
          </w:p>
        </w:tc>
        <w:tc>
          <w:tcPr>
            <w:tcW w:w="2641" w:type="dxa"/>
          </w:tcPr>
          <w:p w:rsidR="006D447F" w:rsidRPr="006D447F" w:rsidRDefault="006D447F" w:rsidP="006D447F">
            <w:pPr>
              <w:pStyle w:val="GesAbsatz"/>
              <w:tabs>
                <w:tab w:val="clear" w:pos="425"/>
              </w:tabs>
              <w:jc w:val="center"/>
            </w:pPr>
            <w:r w:rsidRPr="006D447F">
              <w:t>8600</w:t>
            </w:r>
          </w:p>
        </w:tc>
      </w:tr>
      <w:tr w:rsidR="006D447F" w:rsidRPr="006D447F" w:rsidTr="006D447F">
        <w:tc>
          <w:tcPr>
            <w:tcW w:w="2660" w:type="dxa"/>
          </w:tcPr>
          <w:p w:rsidR="006D447F" w:rsidRPr="006D447F" w:rsidRDefault="006D447F" w:rsidP="006D447F">
            <w:pPr>
              <w:pStyle w:val="GesAbsatz"/>
              <w:tabs>
                <w:tab w:val="clear" w:pos="425"/>
              </w:tabs>
            </w:pPr>
            <w:r w:rsidRPr="006D447F">
              <w:t>Perfluorpentan</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5</w:t>
            </w:r>
            <w:r w:rsidRPr="006D447F">
              <w:t>F</w:t>
            </w:r>
            <w:r w:rsidRPr="006D447F">
              <w:rPr>
                <w:vertAlign w:val="subscript"/>
              </w:rPr>
              <w:t>12</w:t>
            </w:r>
          </w:p>
        </w:tc>
        <w:tc>
          <w:tcPr>
            <w:tcW w:w="2641" w:type="dxa"/>
          </w:tcPr>
          <w:p w:rsidR="006D447F" w:rsidRPr="006D447F" w:rsidRDefault="006D447F" w:rsidP="006D447F">
            <w:pPr>
              <w:pStyle w:val="GesAbsatz"/>
              <w:tabs>
                <w:tab w:val="clear" w:pos="425"/>
              </w:tabs>
              <w:jc w:val="center"/>
            </w:pPr>
            <w:r w:rsidRPr="006D447F">
              <w:t>8900</w:t>
            </w:r>
          </w:p>
        </w:tc>
      </w:tr>
      <w:tr w:rsidR="006D447F" w:rsidRPr="006D447F" w:rsidTr="006D447F">
        <w:tc>
          <w:tcPr>
            <w:tcW w:w="2660" w:type="dxa"/>
          </w:tcPr>
          <w:p w:rsidR="006D447F" w:rsidRPr="006D447F" w:rsidRDefault="006D447F" w:rsidP="006D447F">
            <w:pPr>
              <w:pStyle w:val="GesAbsatz"/>
              <w:tabs>
                <w:tab w:val="clear" w:pos="425"/>
              </w:tabs>
            </w:pPr>
            <w:r w:rsidRPr="006D447F">
              <w:t>Perfluorhexan</w:t>
            </w:r>
          </w:p>
        </w:tc>
        <w:tc>
          <w:tcPr>
            <w:tcW w:w="2657" w:type="dxa"/>
          </w:tcPr>
          <w:p w:rsidR="006D447F" w:rsidRPr="006D447F" w:rsidRDefault="006D447F" w:rsidP="006D447F">
            <w:pPr>
              <w:pStyle w:val="GesAbsatz"/>
              <w:tabs>
                <w:tab w:val="clear" w:pos="425"/>
              </w:tabs>
              <w:jc w:val="center"/>
            </w:pPr>
            <w:r w:rsidRPr="006D447F">
              <w:t>C</w:t>
            </w:r>
            <w:r w:rsidRPr="006D447F">
              <w:rPr>
                <w:vertAlign w:val="subscript"/>
              </w:rPr>
              <w:t>6</w:t>
            </w:r>
            <w:r w:rsidRPr="006D447F">
              <w:t>F</w:t>
            </w:r>
            <w:r w:rsidRPr="006D447F">
              <w:rPr>
                <w:vertAlign w:val="subscript"/>
              </w:rPr>
              <w:t>14</w:t>
            </w:r>
          </w:p>
        </w:tc>
        <w:tc>
          <w:tcPr>
            <w:tcW w:w="2641" w:type="dxa"/>
          </w:tcPr>
          <w:p w:rsidR="006D447F" w:rsidRPr="006D447F" w:rsidRDefault="006D447F" w:rsidP="006D447F">
            <w:pPr>
              <w:pStyle w:val="GesAbsatz"/>
              <w:tabs>
                <w:tab w:val="clear" w:pos="425"/>
              </w:tabs>
              <w:jc w:val="center"/>
            </w:pPr>
            <w:r w:rsidRPr="006D447F">
              <w:t>9000</w:t>
            </w:r>
          </w:p>
        </w:tc>
      </w:tr>
      <w:tr w:rsidR="006D447F" w:rsidRPr="006D447F" w:rsidTr="006D447F">
        <w:tc>
          <w:tcPr>
            <w:tcW w:w="2660" w:type="dxa"/>
          </w:tcPr>
          <w:p w:rsidR="006D447F" w:rsidRPr="006D447F" w:rsidRDefault="006D447F" w:rsidP="006D447F">
            <w:pPr>
              <w:pStyle w:val="GesAbsatz"/>
              <w:tabs>
                <w:tab w:val="clear" w:pos="425"/>
              </w:tabs>
            </w:pPr>
            <w:r w:rsidRPr="006D447F">
              <w:t>Perfluorcyclobutan</w:t>
            </w:r>
          </w:p>
        </w:tc>
        <w:tc>
          <w:tcPr>
            <w:tcW w:w="2657" w:type="dxa"/>
          </w:tcPr>
          <w:p w:rsidR="006D447F" w:rsidRPr="006D447F" w:rsidRDefault="006D447F" w:rsidP="006D447F">
            <w:pPr>
              <w:pStyle w:val="GesAbsatz"/>
              <w:tabs>
                <w:tab w:val="clear" w:pos="425"/>
              </w:tabs>
              <w:jc w:val="center"/>
            </w:pPr>
            <w:r w:rsidRPr="006D447F">
              <w:t>c-C</w:t>
            </w:r>
            <w:r w:rsidRPr="006D447F">
              <w:rPr>
                <w:vertAlign w:val="subscript"/>
              </w:rPr>
              <w:t>4</w:t>
            </w:r>
            <w:r w:rsidRPr="006D447F">
              <w:t>F</w:t>
            </w:r>
            <w:r w:rsidRPr="006D447F">
              <w:rPr>
                <w:vertAlign w:val="subscript"/>
              </w:rPr>
              <w:t>8</w:t>
            </w:r>
          </w:p>
        </w:tc>
        <w:tc>
          <w:tcPr>
            <w:tcW w:w="2641" w:type="dxa"/>
          </w:tcPr>
          <w:p w:rsidR="006D447F" w:rsidRPr="006D447F" w:rsidRDefault="006D447F" w:rsidP="006D447F">
            <w:pPr>
              <w:pStyle w:val="GesAbsatz"/>
              <w:tabs>
                <w:tab w:val="clear" w:pos="425"/>
              </w:tabs>
              <w:jc w:val="center"/>
            </w:pPr>
            <w:r w:rsidRPr="006D447F">
              <w:t>10000</w:t>
            </w:r>
          </w:p>
        </w:tc>
      </w:tr>
    </w:tbl>
    <w:p w:rsidR="006D447F" w:rsidRDefault="006D447F" w:rsidP="00B134F4">
      <w:pPr>
        <w:pStyle w:val="GesAbsatz"/>
      </w:pPr>
    </w:p>
    <w:p w:rsidR="00B134F4" w:rsidRPr="006D447F" w:rsidRDefault="00B134F4" w:rsidP="006D447F">
      <w:pPr>
        <w:pStyle w:val="GesAbsatz"/>
        <w:jc w:val="center"/>
        <w:rPr>
          <w:b/>
        </w:rPr>
      </w:pPr>
      <w:r w:rsidRPr="006D447F">
        <w:rPr>
          <w:b/>
        </w:rPr>
        <w:t>TEIL 2</w:t>
      </w:r>
    </w:p>
    <w:p w:rsidR="00B134F4" w:rsidRPr="006D447F" w:rsidRDefault="00B134F4" w:rsidP="006D447F">
      <w:pPr>
        <w:pStyle w:val="GesAbsatz"/>
        <w:jc w:val="center"/>
        <w:rPr>
          <w:b/>
        </w:rPr>
      </w:pPr>
      <w:r w:rsidRPr="006D447F">
        <w:rPr>
          <w:b/>
        </w:rPr>
        <w:t>Methode zur Berechnung des Gesamtwertes des Treibhauspotenzials (GWP) einer Zubereitung</w:t>
      </w:r>
    </w:p>
    <w:p w:rsidR="00B134F4" w:rsidRDefault="00B134F4" w:rsidP="00B134F4">
      <w:pPr>
        <w:pStyle w:val="GesAbsatz"/>
      </w:pPr>
      <w:r>
        <w:t>Der Gesamtwert GWP einer Zubereitung ist ein massegemittelter Wert, der aus der Summe der Massena</w:t>
      </w:r>
      <w:r>
        <w:t>n</w:t>
      </w:r>
      <w:r>
        <w:t>teile der einzelnen</w:t>
      </w:r>
      <w:r w:rsidR="006D447F">
        <w:t xml:space="preserve"> </w:t>
      </w:r>
      <w:r>
        <w:t>Stoffe, multipliziert mit deren GWP-Werten, hergeleitet wird.</w:t>
      </w:r>
    </w:p>
    <w:p w:rsidR="00B134F4" w:rsidRDefault="00B134F4" w:rsidP="00B134F4">
      <w:pPr>
        <w:pStyle w:val="GesAbsatz"/>
      </w:pPr>
      <w:r>
        <w:lastRenderedPageBreak/>
        <w:t>Σ (Stoff X % × GWP) + (Stoff Y % × GWP) + ... (Stoff N % × GWP)</w:t>
      </w:r>
    </w:p>
    <w:p w:rsidR="00B134F4" w:rsidRDefault="00B134F4" w:rsidP="00B134F4">
      <w:pPr>
        <w:pStyle w:val="GesAbsatz"/>
      </w:pPr>
      <w:r>
        <w:t>Der Prozentsatz gibt den massemäßigen Anteil mit einer Massetoleranz von ± 1 % an.</w:t>
      </w:r>
    </w:p>
    <w:p w:rsidR="00B134F4" w:rsidRDefault="00B134F4" w:rsidP="00B134F4">
      <w:pPr>
        <w:pStyle w:val="GesAbsatz"/>
        <w:rPr>
          <w:rFonts w:cs="Arial"/>
        </w:rPr>
      </w:pPr>
      <w:r>
        <w:t>Beispiel: Anwendung der Formel auf ein angenommenes Gasgemisch aus 23 % HFKW</w:t>
      </w:r>
      <w:r w:rsidR="006D447F">
        <w:rPr>
          <w:rFonts w:cs="Arial"/>
        </w:rPr>
        <w:t>-</w:t>
      </w:r>
      <w:r>
        <w:rPr>
          <w:rFonts w:cs="Arial"/>
        </w:rPr>
        <w:t>32, 25 % HFKW</w:t>
      </w:r>
      <w:r w:rsidR="006D447F">
        <w:rPr>
          <w:rFonts w:cs="Arial"/>
        </w:rPr>
        <w:t>-</w:t>
      </w:r>
      <w:r>
        <w:rPr>
          <w:rFonts w:cs="Arial"/>
        </w:rPr>
        <w:t>125 and 52 %</w:t>
      </w:r>
      <w:r w:rsidR="006D447F">
        <w:rPr>
          <w:rFonts w:cs="Arial"/>
        </w:rPr>
        <w:t xml:space="preserve"> </w:t>
      </w:r>
      <w:r>
        <w:t>HFKW</w:t>
      </w:r>
      <w:r w:rsidR="006D447F">
        <w:rPr>
          <w:rFonts w:cs="Arial"/>
        </w:rPr>
        <w:t>-</w:t>
      </w:r>
      <w:r>
        <w:rPr>
          <w:rFonts w:cs="Arial"/>
        </w:rPr>
        <w:t>134a:</w:t>
      </w:r>
    </w:p>
    <w:p w:rsidR="00B134F4" w:rsidRDefault="00B134F4" w:rsidP="00B134F4">
      <w:pPr>
        <w:pStyle w:val="GesAbsatz"/>
      </w:pPr>
      <w:r>
        <w:t>Σ (23 % × 550) + (25 % × 3</w:t>
      </w:r>
      <w:r w:rsidR="006D447F">
        <w:t>.</w:t>
      </w:r>
      <w:r>
        <w:t>400) + (52 % × 1</w:t>
      </w:r>
      <w:r w:rsidR="006D447F">
        <w:t>.</w:t>
      </w:r>
      <w:r>
        <w:t>300)</w:t>
      </w:r>
    </w:p>
    <w:p w:rsidR="00B134F4" w:rsidRDefault="00B134F4" w:rsidP="00B134F4">
      <w:pPr>
        <w:pStyle w:val="GesAbsatz"/>
      </w:pPr>
      <w:r>
        <w:t>→ Gesamtwert GWP = 1</w:t>
      </w:r>
      <w:r w:rsidR="006D447F">
        <w:t>.</w:t>
      </w:r>
      <w:r>
        <w:t>652,5.</w:t>
      </w:r>
    </w:p>
    <w:p w:rsidR="00B134F4" w:rsidRDefault="00B134F4" w:rsidP="006D447F">
      <w:pPr>
        <w:pStyle w:val="berschrift2"/>
        <w:jc w:val="left"/>
      </w:pPr>
      <w:bookmarkStart w:id="18" w:name="_Toc377990118"/>
      <w:r>
        <w:t>ANHANG II</w:t>
      </w:r>
      <w:bookmarkEnd w:id="18"/>
    </w:p>
    <w:p w:rsidR="00B134F4" w:rsidRPr="006D447F" w:rsidRDefault="00B134F4" w:rsidP="006D447F">
      <w:pPr>
        <w:pStyle w:val="GesAbsatz"/>
        <w:jc w:val="center"/>
        <w:rPr>
          <w:b/>
        </w:rPr>
      </w:pPr>
      <w:r w:rsidRPr="006D447F">
        <w:rPr>
          <w:b/>
        </w:rPr>
        <w:t>Verbote des Inverkehrbringens gemäß Artikel 9</w:t>
      </w:r>
    </w:p>
    <w:p w:rsidR="006D447F" w:rsidRDefault="006D447F" w:rsidP="00B134F4">
      <w:pPr>
        <w:pStyle w:val="GesAbsatz"/>
      </w:pPr>
    </w:p>
    <w:tbl>
      <w:tblPr>
        <w:tblStyle w:val="Tabellenraster"/>
        <w:tblW w:w="0" w:type="auto"/>
        <w:tblLook w:val="01E0" w:firstRow="1" w:lastRow="1" w:firstColumn="1" w:lastColumn="1" w:noHBand="0" w:noVBand="0"/>
      </w:tblPr>
      <w:tblGrid>
        <w:gridCol w:w="3227"/>
        <w:gridCol w:w="4155"/>
        <w:gridCol w:w="2071"/>
      </w:tblGrid>
      <w:tr w:rsidR="006D447F" w:rsidRPr="006D447F" w:rsidTr="006D447F">
        <w:tc>
          <w:tcPr>
            <w:tcW w:w="3227" w:type="dxa"/>
          </w:tcPr>
          <w:p w:rsidR="006D447F" w:rsidRPr="006D447F" w:rsidRDefault="006D447F" w:rsidP="006D447F">
            <w:pPr>
              <w:pStyle w:val="GesAbsatz"/>
              <w:tabs>
                <w:tab w:val="clear" w:pos="425"/>
              </w:tabs>
            </w:pPr>
            <w:r w:rsidRPr="006D447F">
              <w:t>Fluorierte Treibhausgase</w:t>
            </w:r>
          </w:p>
        </w:tc>
        <w:tc>
          <w:tcPr>
            <w:tcW w:w="4155" w:type="dxa"/>
          </w:tcPr>
          <w:p w:rsidR="006D447F" w:rsidRPr="006D447F" w:rsidRDefault="006D447F" w:rsidP="006D447F">
            <w:pPr>
              <w:pStyle w:val="GesAbsatz"/>
              <w:tabs>
                <w:tab w:val="clear" w:pos="425"/>
              </w:tabs>
            </w:pPr>
            <w:r w:rsidRPr="006D447F">
              <w:t>Erzeugnisse und Einrichtungen</w:t>
            </w:r>
          </w:p>
        </w:tc>
        <w:tc>
          <w:tcPr>
            <w:tcW w:w="2071" w:type="dxa"/>
          </w:tcPr>
          <w:p w:rsidR="006D447F" w:rsidRPr="006D447F" w:rsidRDefault="006D447F" w:rsidP="006D447F">
            <w:pPr>
              <w:pStyle w:val="GesAbsatz"/>
              <w:tabs>
                <w:tab w:val="clear" w:pos="425"/>
              </w:tabs>
            </w:pPr>
            <w:r w:rsidRPr="006D447F">
              <w:t>Datum des Verbots</w:t>
            </w:r>
          </w:p>
        </w:tc>
      </w:tr>
      <w:tr w:rsidR="006D447F" w:rsidRPr="006D447F" w:rsidTr="006D447F">
        <w:tc>
          <w:tcPr>
            <w:tcW w:w="3227" w:type="dxa"/>
          </w:tcPr>
          <w:p w:rsidR="006D447F" w:rsidRPr="006D447F" w:rsidRDefault="006D447F" w:rsidP="006D447F">
            <w:pPr>
              <w:pStyle w:val="GesAbsatz"/>
              <w:tabs>
                <w:tab w:val="clear" w:pos="425"/>
              </w:tabs>
            </w:pPr>
            <w:r w:rsidRPr="006D447F">
              <w:t>Fluorierte Treibhausgase</w:t>
            </w:r>
          </w:p>
        </w:tc>
        <w:tc>
          <w:tcPr>
            <w:tcW w:w="4155" w:type="dxa"/>
          </w:tcPr>
          <w:p w:rsidR="006D447F" w:rsidRPr="006D447F" w:rsidRDefault="006D447F" w:rsidP="006D447F">
            <w:pPr>
              <w:pStyle w:val="GesAbsatz"/>
              <w:tabs>
                <w:tab w:val="clear" w:pos="425"/>
              </w:tabs>
            </w:pPr>
            <w:r w:rsidRPr="006D447F">
              <w:t>nicht wieder auffüllbare Behälter</w:t>
            </w:r>
          </w:p>
        </w:tc>
        <w:tc>
          <w:tcPr>
            <w:tcW w:w="2071" w:type="dxa"/>
          </w:tcPr>
          <w:p w:rsidR="006D447F" w:rsidRPr="006D447F" w:rsidRDefault="006D447F" w:rsidP="006D447F">
            <w:pPr>
              <w:pStyle w:val="GesAbsatz"/>
              <w:tabs>
                <w:tab w:val="clear" w:pos="425"/>
              </w:tabs>
            </w:pPr>
            <w:r w:rsidRPr="006D447F">
              <w:t>4. Juli 2007</w:t>
            </w:r>
          </w:p>
        </w:tc>
      </w:tr>
      <w:tr w:rsidR="006D447F" w:rsidRPr="006D447F" w:rsidTr="006D447F">
        <w:tc>
          <w:tcPr>
            <w:tcW w:w="3227" w:type="dxa"/>
          </w:tcPr>
          <w:p w:rsidR="006D447F" w:rsidRPr="006D447F" w:rsidRDefault="006D447F" w:rsidP="006D447F">
            <w:pPr>
              <w:pStyle w:val="GesAbsatz"/>
              <w:tabs>
                <w:tab w:val="clear" w:pos="425"/>
              </w:tabs>
            </w:pPr>
            <w:r w:rsidRPr="006D447F">
              <w:t>Teilfluorierte Kohlenwasserstoffe und perfluorierte Kohlenwasse</w:t>
            </w:r>
            <w:r w:rsidRPr="006D447F">
              <w:t>r</w:t>
            </w:r>
            <w:r w:rsidRPr="006D447F">
              <w:t>stoffe</w:t>
            </w:r>
          </w:p>
        </w:tc>
        <w:tc>
          <w:tcPr>
            <w:tcW w:w="4155" w:type="dxa"/>
          </w:tcPr>
          <w:p w:rsidR="006D447F" w:rsidRPr="006D447F" w:rsidRDefault="006D447F" w:rsidP="006D447F">
            <w:pPr>
              <w:pStyle w:val="GesAbsatz"/>
              <w:tabs>
                <w:tab w:val="clear" w:pos="425"/>
              </w:tabs>
            </w:pPr>
            <w:r w:rsidRPr="006D447F">
              <w:t>nicht geschlossene Direktverdampfungssy</w:t>
            </w:r>
            <w:r w:rsidRPr="006D447F">
              <w:t>s</w:t>
            </w:r>
            <w:r w:rsidRPr="006D447F">
              <w:t>teme, die Kältemittel enthalten</w:t>
            </w:r>
          </w:p>
        </w:tc>
        <w:tc>
          <w:tcPr>
            <w:tcW w:w="2071" w:type="dxa"/>
          </w:tcPr>
          <w:p w:rsidR="006D447F" w:rsidRPr="006D447F" w:rsidRDefault="006D447F" w:rsidP="006D447F">
            <w:pPr>
              <w:pStyle w:val="GesAbsatz"/>
              <w:tabs>
                <w:tab w:val="clear" w:pos="425"/>
              </w:tabs>
            </w:pPr>
            <w:r w:rsidRPr="006D447F">
              <w:t>4. Juli 2007</w:t>
            </w:r>
          </w:p>
        </w:tc>
      </w:tr>
      <w:tr w:rsidR="006D447F" w:rsidRPr="006D447F" w:rsidTr="006D447F">
        <w:tc>
          <w:tcPr>
            <w:tcW w:w="3227" w:type="dxa"/>
          </w:tcPr>
          <w:p w:rsidR="006D447F" w:rsidRPr="006D447F" w:rsidRDefault="006D447F" w:rsidP="006D447F">
            <w:pPr>
              <w:pStyle w:val="GesAbsatz"/>
              <w:tabs>
                <w:tab w:val="clear" w:pos="425"/>
              </w:tabs>
            </w:pPr>
            <w:r w:rsidRPr="006D447F">
              <w:t>Perfluorierte Kohlenwasserstoffe</w:t>
            </w:r>
          </w:p>
        </w:tc>
        <w:tc>
          <w:tcPr>
            <w:tcW w:w="4155" w:type="dxa"/>
          </w:tcPr>
          <w:p w:rsidR="006D447F" w:rsidRPr="006D447F" w:rsidRDefault="006D447F" w:rsidP="006D447F">
            <w:pPr>
              <w:pStyle w:val="GesAbsatz"/>
              <w:tabs>
                <w:tab w:val="clear" w:pos="425"/>
              </w:tabs>
            </w:pPr>
            <w:r w:rsidRPr="006D447F">
              <w:t>Brandschutzsysteme und Feuerlöscher</w:t>
            </w:r>
          </w:p>
        </w:tc>
        <w:tc>
          <w:tcPr>
            <w:tcW w:w="2071" w:type="dxa"/>
          </w:tcPr>
          <w:p w:rsidR="006D447F" w:rsidRPr="006D447F" w:rsidRDefault="006D447F" w:rsidP="006D447F">
            <w:pPr>
              <w:pStyle w:val="GesAbsatz"/>
              <w:tabs>
                <w:tab w:val="clear" w:pos="425"/>
              </w:tabs>
            </w:pPr>
            <w:r w:rsidRPr="006D447F">
              <w:t>4. Juli 2007</w:t>
            </w:r>
          </w:p>
        </w:tc>
      </w:tr>
      <w:tr w:rsidR="006D447F" w:rsidRPr="006D447F" w:rsidTr="006D447F">
        <w:tc>
          <w:tcPr>
            <w:tcW w:w="3227" w:type="dxa"/>
          </w:tcPr>
          <w:p w:rsidR="006D447F" w:rsidRPr="006D447F" w:rsidRDefault="006D447F" w:rsidP="006D447F">
            <w:pPr>
              <w:pStyle w:val="GesAbsatz"/>
              <w:tabs>
                <w:tab w:val="clear" w:pos="425"/>
              </w:tabs>
            </w:pPr>
            <w:r w:rsidRPr="006D447F">
              <w:t>Fluorierte Treibhausgase</w:t>
            </w:r>
          </w:p>
        </w:tc>
        <w:tc>
          <w:tcPr>
            <w:tcW w:w="4155" w:type="dxa"/>
          </w:tcPr>
          <w:p w:rsidR="006D447F" w:rsidRPr="006D447F" w:rsidRDefault="006D447F" w:rsidP="006D447F">
            <w:pPr>
              <w:pStyle w:val="GesAbsatz"/>
              <w:tabs>
                <w:tab w:val="clear" w:pos="425"/>
              </w:tabs>
            </w:pPr>
            <w:r w:rsidRPr="006D447F">
              <w:t>Fenster für Wohnhäuser</w:t>
            </w:r>
          </w:p>
        </w:tc>
        <w:tc>
          <w:tcPr>
            <w:tcW w:w="2071" w:type="dxa"/>
          </w:tcPr>
          <w:p w:rsidR="006D447F" w:rsidRPr="006D447F" w:rsidRDefault="006D447F" w:rsidP="006D447F">
            <w:pPr>
              <w:pStyle w:val="GesAbsatz"/>
              <w:tabs>
                <w:tab w:val="clear" w:pos="425"/>
              </w:tabs>
            </w:pPr>
            <w:r w:rsidRPr="006D447F">
              <w:t>4. Juli 2007</w:t>
            </w:r>
          </w:p>
        </w:tc>
      </w:tr>
      <w:tr w:rsidR="006D447F" w:rsidRPr="006D447F" w:rsidTr="006D447F">
        <w:tc>
          <w:tcPr>
            <w:tcW w:w="3227" w:type="dxa"/>
          </w:tcPr>
          <w:p w:rsidR="006D447F" w:rsidRPr="006D447F" w:rsidRDefault="006D447F" w:rsidP="006D447F">
            <w:pPr>
              <w:pStyle w:val="GesAbsatz"/>
              <w:tabs>
                <w:tab w:val="clear" w:pos="425"/>
              </w:tabs>
            </w:pPr>
            <w:r w:rsidRPr="006D447F">
              <w:t>Fluorierte Treibhausgase</w:t>
            </w:r>
          </w:p>
        </w:tc>
        <w:tc>
          <w:tcPr>
            <w:tcW w:w="4155" w:type="dxa"/>
          </w:tcPr>
          <w:p w:rsidR="006D447F" w:rsidRPr="006D447F" w:rsidRDefault="006D447F" w:rsidP="006D447F">
            <w:pPr>
              <w:pStyle w:val="GesAbsatz"/>
              <w:tabs>
                <w:tab w:val="clear" w:pos="425"/>
              </w:tabs>
            </w:pPr>
            <w:r w:rsidRPr="006D447F">
              <w:t>sonstige Fenster</w:t>
            </w:r>
          </w:p>
        </w:tc>
        <w:tc>
          <w:tcPr>
            <w:tcW w:w="2071" w:type="dxa"/>
          </w:tcPr>
          <w:p w:rsidR="006D447F" w:rsidRPr="006D447F" w:rsidRDefault="006D447F" w:rsidP="006D447F">
            <w:pPr>
              <w:pStyle w:val="GesAbsatz"/>
              <w:tabs>
                <w:tab w:val="clear" w:pos="425"/>
              </w:tabs>
            </w:pPr>
            <w:r w:rsidRPr="006D447F">
              <w:t>4. Juli 2008</w:t>
            </w:r>
          </w:p>
        </w:tc>
      </w:tr>
      <w:tr w:rsidR="006D447F" w:rsidRPr="006D447F" w:rsidTr="006D447F">
        <w:tc>
          <w:tcPr>
            <w:tcW w:w="3227" w:type="dxa"/>
          </w:tcPr>
          <w:p w:rsidR="006D447F" w:rsidRPr="006D447F" w:rsidRDefault="006D447F" w:rsidP="006D447F">
            <w:pPr>
              <w:pStyle w:val="GesAbsatz"/>
              <w:tabs>
                <w:tab w:val="clear" w:pos="425"/>
              </w:tabs>
            </w:pPr>
            <w:r w:rsidRPr="006D447F">
              <w:t>Fluorierte Treibhausgase</w:t>
            </w:r>
          </w:p>
        </w:tc>
        <w:tc>
          <w:tcPr>
            <w:tcW w:w="4155" w:type="dxa"/>
          </w:tcPr>
          <w:p w:rsidR="006D447F" w:rsidRPr="006D447F" w:rsidRDefault="006D447F" w:rsidP="006D447F">
            <w:pPr>
              <w:pStyle w:val="GesAbsatz"/>
              <w:tabs>
                <w:tab w:val="clear" w:pos="425"/>
              </w:tabs>
            </w:pPr>
            <w:r w:rsidRPr="006D447F">
              <w:t>Fußbekleidung</w:t>
            </w:r>
          </w:p>
        </w:tc>
        <w:tc>
          <w:tcPr>
            <w:tcW w:w="2071" w:type="dxa"/>
          </w:tcPr>
          <w:p w:rsidR="006D447F" w:rsidRPr="006D447F" w:rsidRDefault="006D447F" w:rsidP="006D447F">
            <w:pPr>
              <w:pStyle w:val="GesAbsatz"/>
              <w:tabs>
                <w:tab w:val="clear" w:pos="425"/>
              </w:tabs>
            </w:pPr>
            <w:r w:rsidRPr="006D447F">
              <w:t>4. Juli 2006</w:t>
            </w:r>
          </w:p>
        </w:tc>
      </w:tr>
      <w:tr w:rsidR="006D447F" w:rsidRPr="006D447F" w:rsidTr="006D447F">
        <w:tc>
          <w:tcPr>
            <w:tcW w:w="3227" w:type="dxa"/>
          </w:tcPr>
          <w:p w:rsidR="006D447F" w:rsidRPr="006D447F" w:rsidRDefault="006D447F" w:rsidP="006D447F">
            <w:pPr>
              <w:pStyle w:val="GesAbsatz"/>
              <w:tabs>
                <w:tab w:val="clear" w:pos="425"/>
              </w:tabs>
            </w:pPr>
            <w:r w:rsidRPr="006D447F">
              <w:t>Fluorierte Treibhausgase</w:t>
            </w:r>
          </w:p>
        </w:tc>
        <w:tc>
          <w:tcPr>
            <w:tcW w:w="4155" w:type="dxa"/>
          </w:tcPr>
          <w:p w:rsidR="006D447F" w:rsidRPr="006D447F" w:rsidRDefault="006D447F" w:rsidP="006D447F">
            <w:pPr>
              <w:pStyle w:val="GesAbsatz"/>
              <w:tabs>
                <w:tab w:val="clear" w:pos="425"/>
              </w:tabs>
            </w:pPr>
            <w:r w:rsidRPr="006D447F">
              <w:t>Reifen</w:t>
            </w:r>
          </w:p>
        </w:tc>
        <w:tc>
          <w:tcPr>
            <w:tcW w:w="2071" w:type="dxa"/>
          </w:tcPr>
          <w:p w:rsidR="006D447F" w:rsidRPr="006D447F" w:rsidRDefault="006D447F" w:rsidP="006D447F">
            <w:pPr>
              <w:pStyle w:val="GesAbsatz"/>
              <w:tabs>
                <w:tab w:val="clear" w:pos="425"/>
              </w:tabs>
            </w:pPr>
            <w:r w:rsidRPr="006D447F">
              <w:t>4. Juli 2007</w:t>
            </w:r>
          </w:p>
        </w:tc>
      </w:tr>
      <w:tr w:rsidR="006D447F" w:rsidRPr="006D447F" w:rsidTr="006D447F">
        <w:tc>
          <w:tcPr>
            <w:tcW w:w="3227" w:type="dxa"/>
          </w:tcPr>
          <w:p w:rsidR="006D447F" w:rsidRPr="006D447F" w:rsidRDefault="006D447F" w:rsidP="006D447F">
            <w:pPr>
              <w:pStyle w:val="GesAbsatz"/>
              <w:tabs>
                <w:tab w:val="clear" w:pos="425"/>
              </w:tabs>
            </w:pPr>
            <w:r w:rsidRPr="006D447F">
              <w:t>Fluorierte Treibhausgase</w:t>
            </w:r>
          </w:p>
        </w:tc>
        <w:tc>
          <w:tcPr>
            <w:tcW w:w="4155" w:type="dxa"/>
          </w:tcPr>
          <w:p w:rsidR="006D447F" w:rsidRPr="006D447F" w:rsidRDefault="006D447F" w:rsidP="006D447F">
            <w:pPr>
              <w:pStyle w:val="GesAbsatz"/>
              <w:tabs>
                <w:tab w:val="clear" w:pos="425"/>
              </w:tabs>
            </w:pPr>
            <w:r w:rsidRPr="006D447F">
              <w:t>Einkomponentenschäume, außer wenn zur Einhaltung nationaler Sicherheitsnormen erforderlich</w:t>
            </w:r>
          </w:p>
        </w:tc>
        <w:tc>
          <w:tcPr>
            <w:tcW w:w="2071" w:type="dxa"/>
          </w:tcPr>
          <w:p w:rsidR="006D447F" w:rsidRPr="006D447F" w:rsidRDefault="006D447F" w:rsidP="006D447F">
            <w:pPr>
              <w:pStyle w:val="GesAbsatz"/>
              <w:tabs>
                <w:tab w:val="clear" w:pos="425"/>
              </w:tabs>
            </w:pPr>
            <w:r w:rsidRPr="006D447F">
              <w:t>4. Juli 2008</w:t>
            </w:r>
          </w:p>
        </w:tc>
      </w:tr>
      <w:tr w:rsidR="006D447F" w:rsidRPr="006D447F" w:rsidTr="006D447F">
        <w:tc>
          <w:tcPr>
            <w:tcW w:w="3227" w:type="dxa"/>
          </w:tcPr>
          <w:p w:rsidR="006D447F" w:rsidRPr="006D447F" w:rsidRDefault="006D447F" w:rsidP="006D447F">
            <w:pPr>
              <w:pStyle w:val="GesAbsatz"/>
              <w:tabs>
                <w:tab w:val="clear" w:pos="425"/>
              </w:tabs>
            </w:pPr>
            <w:r w:rsidRPr="006D447F">
              <w:t>Teilfluorierte Kohlenwasserstoffe</w:t>
            </w:r>
          </w:p>
        </w:tc>
        <w:tc>
          <w:tcPr>
            <w:tcW w:w="4155" w:type="dxa"/>
          </w:tcPr>
          <w:p w:rsidR="006D447F" w:rsidRPr="006D447F" w:rsidRDefault="006D447F" w:rsidP="006D447F">
            <w:pPr>
              <w:pStyle w:val="GesAbsatz"/>
              <w:tabs>
                <w:tab w:val="clear" w:pos="425"/>
              </w:tabs>
            </w:pPr>
            <w:r w:rsidRPr="006D447F">
              <w:t>neuartige Aerosole</w:t>
            </w:r>
          </w:p>
        </w:tc>
        <w:tc>
          <w:tcPr>
            <w:tcW w:w="2071" w:type="dxa"/>
          </w:tcPr>
          <w:p w:rsidR="006D447F" w:rsidRPr="006D447F" w:rsidRDefault="006D447F" w:rsidP="006D447F">
            <w:pPr>
              <w:pStyle w:val="GesAbsatz"/>
              <w:tabs>
                <w:tab w:val="clear" w:pos="425"/>
              </w:tabs>
            </w:pPr>
            <w:r w:rsidRPr="006D447F">
              <w:t>4. Juli 2009</w:t>
            </w:r>
          </w:p>
        </w:tc>
      </w:tr>
    </w:tbl>
    <w:p w:rsidR="00406F32" w:rsidRDefault="00406F32"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Default="00CE3C40" w:rsidP="006D447F">
      <w:pPr>
        <w:pStyle w:val="GesAbsatz"/>
      </w:pPr>
    </w:p>
    <w:p w:rsidR="00CE3C40" w:rsidRPr="0063668C" w:rsidRDefault="00CE3C40" w:rsidP="006D447F">
      <w:pPr>
        <w:pStyle w:val="GesAbsatz"/>
      </w:pPr>
      <w:r>
        <w:t xml:space="preserve">Suchworte:   PFT    </w:t>
      </w:r>
    </w:p>
    <w:sectPr w:rsidR="00CE3C40" w:rsidRPr="0063668C">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3D" w:rsidRDefault="00EC523D">
      <w:r>
        <w:separator/>
      </w:r>
    </w:p>
  </w:endnote>
  <w:endnote w:type="continuationSeparator" w:id="0">
    <w:p w:rsidR="00EC523D" w:rsidRDefault="00EC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8A" w:rsidRDefault="00560B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60B8A" w:rsidRDefault="00560B8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8A" w:rsidRPr="0052780A" w:rsidRDefault="00560B8A" w:rsidP="0052780A">
    <w:pPr>
      <w:pStyle w:val="Fuzeile"/>
    </w:pPr>
    <w:r>
      <w:tab/>
      <w:t>17.05.2006 (ABl. L 161 v. 14.06.2006 S. 1</w:t>
    </w:r>
    <w:r w:rsidR="001810D3">
      <w:t xml:space="preserve">, ber. ABl. L </w:t>
    </w:r>
    <w:r w:rsidR="001810D3" w:rsidRPr="0052780A">
      <w:t>206 v. 02.08.2013 S. 18</w:t>
    </w:r>
    <w:r w:rsidRPr="0052780A">
      <w:t>)</w:t>
    </w:r>
    <w:r w:rsidRPr="0052780A">
      <w:tab/>
      <w:t xml:space="preserve">Seite </w:t>
    </w:r>
    <w:r w:rsidRPr="0052780A">
      <w:fldChar w:fldCharType="begin"/>
    </w:r>
    <w:r w:rsidRPr="0052780A">
      <w:instrText xml:space="preserve"> PAGE  \* MERGEFORMAT </w:instrText>
    </w:r>
    <w:r w:rsidRPr="0052780A">
      <w:fldChar w:fldCharType="separate"/>
    </w:r>
    <w:r w:rsidR="00C37F57">
      <w:rPr>
        <w:noProof/>
      </w:rPr>
      <w:t>1</w:t>
    </w:r>
    <w:r w:rsidRPr="0052780A">
      <w:fldChar w:fldCharType="end"/>
    </w:r>
  </w:p>
  <w:p w:rsidR="00560B8A" w:rsidRPr="00D7784A" w:rsidRDefault="00560B8A" w:rsidP="0052780A">
    <w:pPr>
      <w:pStyle w:val="Fuzeile"/>
      <w:rPr>
        <w:lang w:val="en-GB"/>
      </w:rPr>
    </w:pPr>
    <w:r w:rsidRPr="0052780A">
      <w:tab/>
    </w:r>
    <w:r w:rsidRPr="002B36D2">
      <w:rPr>
        <w:lang w:val="en-US"/>
      </w:rPr>
      <w:t>Stand 22.10.2008 (ABl. L 311</w:t>
    </w:r>
    <w:r w:rsidRPr="00D7784A">
      <w:rPr>
        <w:lang w:val="en-GB"/>
      </w:rPr>
      <w:t xml:space="preserve"> v. 21.11.2008 S.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3D" w:rsidRDefault="00EC523D">
      <w:r>
        <w:separator/>
      </w:r>
    </w:p>
  </w:footnote>
  <w:footnote w:type="continuationSeparator" w:id="0">
    <w:p w:rsidR="00EC523D" w:rsidRDefault="00EC523D">
      <w:r>
        <w:continuationSeparator/>
      </w:r>
    </w:p>
  </w:footnote>
  <w:footnote w:id="1">
    <w:p w:rsidR="00560B8A" w:rsidRDefault="00560B8A">
      <w:pPr>
        <w:pStyle w:val="Funotentext"/>
      </w:pPr>
      <w:r>
        <w:rPr>
          <w:rStyle w:val="Funotenzeichen"/>
        </w:rPr>
        <w:footnoteRef/>
      </w:r>
      <w:r>
        <w:t xml:space="preserve"> ABl. C 108 vom 30.4.2004, S. 62.</w:t>
      </w:r>
    </w:p>
  </w:footnote>
  <w:footnote w:id="2">
    <w:p w:rsidR="00560B8A" w:rsidRDefault="00560B8A">
      <w:pPr>
        <w:pStyle w:val="Funotentext"/>
      </w:pPr>
      <w:r>
        <w:rPr>
          <w:rStyle w:val="Funotenzeichen"/>
        </w:rPr>
        <w:footnoteRef/>
      </w:r>
      <w:r>
        <w:t xml:space="preserve"> Stellungnahme des Europäischen Parlaments vom 31. März 2004 (ABl. C 103 E vom 29.4.2004, S. 600), Gemeinsamer Standpunkt des Rates vom 21. Juni 2005 (ABl. C 183 E vom 26.7.2005, S. 1) und Standpunkt des Europäischen Parlaments vom 26. Oktober 2005 (noch nicht im Amtsblatt veröffentlicht). Legislative Entschließung des Europäischen Parlaments vom 6. April 2006 und Beschluss des Rates vom 25. April 2006.</w:t>
      </w:r>
    </w:p>
  </w:footnote>
  <w:footnote w:id="3">
    <w:p w:rsidR="00560B8A" w:rsidRDefault="00560B8A">
      <w:pPr>
        <w:pStyle w:val="Funotentext"/>
      </w:pPr>
      <w:r>
        <w:rPr>
          <w:rStyle w:val="Funotenzeichen"/>
        </w:rPr>
        <w:footnoteRef/>
      </w:r>
      <w:r>
        <w:t xml:space="preserve"> Beschluss Nr. 1600/2002/EG des Europäischen Parlaments und des Rates vom 22. Juli 2002 über das sechste Umweltaktionspr</w:t>
      </w:r>
      <w:r>
        <w:t>o</w:t>
      </w:r>
      <w:r>
        <w:t>gramm der Europäischen Gemeinschaft (ABl. L 242 vom 10.9.2002, S. 1).</w:t>
      </w:r>
    </w:p>
  </w:footnote>
  <w:footnote w:id="4">
    <w:p w:rsidR="00560B8A" w:rsidRDefault="00560B8A">
      <w:pPr>
        <w:pStyle w:val="Funotentext"/>
      </w:pPr>
      <w:r>
        <w:rPr>
          <w:rStyle w:val="Funotenzeichen"/>
        </w:rPr>
        <w:footnoteRef/>
      </w:r>
      <w:r>
        <w:t xml:space="preserve"> ABl. L 33 vom 7.2.1994, S. 11.</w:t>
      </w:r>
    </w:p>
  </w:footnote>
  <w:footnote w:id="5">
    <w:p w:rsidR="00560B8A" w:rsidRDefault="00560B8A">
      <w:pPr>
        <w:pStyle w:val="Funotentext"/>
      </w:pPr>
      <w:r>
        <w:rPr>
          <w:rStyle w:val="Funotenzeichen"/>
        </w:rPr>
        <w:footnoteRef/>
      </w:r>
      <w:r>
        <w:t xml:space="preserve"> ABl. L 130 vom 15.5.2002, S. 1.</w:t>
      </w:r>
    </w:p>
  </w:footnote>
  <w:footnote w:id="6">
    <w:p w:rsidR="00560B8A" w:rsidRDefault="00560B8A">
      <w:pPr>
        <w:pStyle w:val="Funotentext"/>
      </w:pPr>
      <w:r>
        <w:rPr>
          <w:rStyle w:val="Funotenzeichen"/>
        </w:rPr>
        <w:footnoteRef/>
      </w:r>
      <w:r>
        <w:t xml:space="preserve"> ABl. L 194 vom 25.7.1975, S. 39. Zuletzt geändert durch die Verordnung (EG) Nr. 1882/2003 des Europäischen Parlaments und des Rates (ABl. L 284 vom 31.10.2003, S. 1).</w:t>
      </w:r>
    </w:p>
  </w:footnote>
  <w:footnote w:id="7">
    <w:p w:rsidR="00560B8A" w:rsidRDefault="00560B8A">
      <w:pPr>
        <w:pStyle w:val="Funotentext"/>
      </w:pPr>
      <w:r>
        <w:rPr>
          <w:rStyle w:val="Funotenzeichen"/>
        </w:rPr>
        <w:footnoteRef/>
      </w:r>
      <w:r>
        <w:t xml:space="preserve"> ABl. L 257 vom 10.10.1996, S. 26. Zuletzt geändert durch die Verordnung (EG) Nr. 166/2006 des Europäischen Parlaments und des Rates (ABl. L 33 vom 4.2.2006, S. 1).</w:t>
      </w:r>
    </w:p>
  </w:footnote>
  <w:footnote w:id="8">
    <w:p w:rsidR="00560B8A" w:rsidRDefault="00560B8A">
      <w:pPr>
        <w:pStyle w:val="Funotentext"/>
      </w:pPr>
      <w:r>
        <w:rPr>
          <w:rStyle w:val="Funotenzeichen"/>
        </w:rPr>
        <w:footnoteRef/>
      </w:r>
      <w:r>
        <w:t xml:space="preserve"> ABl. L 269 vom 21.10.2000, S. 34. Zuletzt geändert durch die Entscheidung 2005/673/EG des Rates (ABl. L 254 vom 30.9.2005, S. 69).</w:t>
      </w:r>
    </w:p>
  </w:footnote>
  <w:footnote w:id="9">
    <w:p w:rsidR="00560B8A" w:rsidRDefault="00560B8A">
      <w:pPr>
        <w:pStyle w:val="Funotentext"/>
      </w:pPr>
      <w:r>
        <w:rPr>
          <w:rStyle w:val="Funotenzeichen"/>
        </w:rPr>
        <w:footnoteRef/>
      </w:r>
      <w:r>
        <w:t xml:space="preserve"> ABl. L 37 vom 13.2.2003, S. 24. Geändert durch die Richtlinie 2003/108/EG (ABl. L 345 vom 31.12.2003, S. 106).</w:t>
      </w:r>
    </w:p>
  </w:footnote>
  <w:footnote w:id="10">
    <w:p w:rsidR="00560B8A" w:rsidRDefault="00560B8A">
      <w:pPr>
        <w:pStyle w:val="Funotentext"/>
      </w:pPr>
      <w:r>
        <w:rPr>
          <w:rStyle w:val="Funotenzeichen"/>
        </w:rPr>
        <w:footnoteRef/>
      </w:r>
      <w:r>
        <w:t xml:space="preserve"> Noch nicht im Amtsblatt veröffentlicht.</w:t>
      </w:r>
    </w:p>
  </w:footnote>
  <w:footnote w:id="11">
    <w:p w:rsidR="00560B8A" w:rsidRDefault="00560B8A">
      <w:pPr>
        <w:pStyle w:val="Funotentext"/>
      </w:pPr>
      <w:r>
        <w:rPr>
          <w:rStyle w:val="Funotenzeichen"/>
        </w:rPr>
        <w:footnoteRef/>
      </w:r>
      <w:r>
        <w:t xml:space="preserve"> Siehe Seite 12 dieses Amtsblatts.</w:t>
      </w:r>
    </w:p>
  </w:footnote>
  <w:footnote w:id="12">
    <w:p w:rsidR="00560B8A" w:rsidRDefault="00560B8A">
      <w:pPr>
        <w:pStyle w:val="Funotentext"/>
      </w:pPr>
      <w:r>
        <w:rPr>
          <w:rStyle w:val="Funotenzeichen"/>
        </w:rPr>
        <w:footnoteRef/>
      </w:r>
      <w:r>
        <w:t xml:space="preserve"> ABl. L 184 vom 17.7.1999, S. 23.</w:t>
      </w:r>
    </w:p>
  </w:footnote>
  <w:footnote w:id="13">
    <w:p w:rsidR="00560B8A" w:rsidRDefault="00560B8A">
      <w:pPr>
        <w:pStyle w:val="Funotentext"/>
      </w:pPr>
      <w:r>
        <w:rPr>
          <w:rStyle w:val="Funotenzeichen"/>
        </w:rPr>
        <w:footnoteRef/>
      </w:r>
      <w:r>
        <w:t xml:space="preserve"> ABl. L 244 vom 29.9.2000, S. 1. Zuletzt geändert durch die Verordnung (EG) Nr. 29/2006 der Kommission (ABl. </w:t>
      </w:r>
      <w:r w:rsidRPr="00C77B3F">
        <w:rPr>
          <w:lang w:val="en-GB"/>
        </w:rPr>
        <w:t xml:space="preserve">L 6 </w:t>
      </w:r>
      <w:r w:rsidRPr="006D5B46">
        <w:t>vom</w:t>
      </w:r>
      <w:r>
        <w:rPr>
          <w:lang w:val="en-GB"/>
        </w:rPr>
        <w:t xml:space="preserve"> </w:t>
      </w:r>
      <w:r w:rsidRPr="00C77B3F">
        <w:rPr>
          <w:lang w:val="en-GB"/>
        </w:rPr>
        <w:t>11.1.2006, S. 27).</w:t>
      </w:r>
    </w:p>
  </w:footnote>
  <w:footnote w:id="14">
    <w:p w:rsidR="00560B8A" w:rsidRPr="002B36D2" w:rsidRDefault="00560B8A">
      <w:pPr>
        <w:pStyle w:val="Funotentext"/>
        <w:rPr>
          <w:lang w:val="en-US"/>
        </w:rPr>
      </w:pPr>
      <w:r>
        <w:rPr>
          <w:rStyle w:val="Funotenzeichen"/>
        </w:rPr>
        <w:footnoteRef/>
      </w:r>
      <w:r w:rsidRPr="006D5B46">
        <w:rPr>
          <w:lang w:val="en-GB"/>
        </w:rPr>
        <w:t xml:space="preserve"> </w:t>
      </w:r>
      <w:proofErr w:type="gramStart"/>
      <w:r w:rsidRPr="00C77B3F">
        <w:rPr>
          <w:lang w:val="en-GB"/>
        </w:rPr>
        <w:t>IPCC Third Assessment Climate Change 2001.</w:t>
      </w:r>
      <w:proofErr w:type="gramEnd"/>
      <w:r w:rsidRPr="00C77B3F">
        <w:rPr>
          <w:lang w:val="en-GB"/>
        </w:rPr>
        <w:t xml:space="preserve"> </w:t>
      </w:r>
      <w:proofErr w:type="gramStart"/>
      <w:r w:rsidRPr="00C77B3F">
        <w:rPr>
          <w:lang w:val="en-GB"/>
        </w:rPr>
        <w:t>A Report of the</w:t>
      </w:r>
      <w:r>
        <w:rPr>
          <w:lang w:val="en-GB"/>
        </w:rPr>
        <w:t xml:space="preserve"> </w:t>
      </w:r>
      <w:r w:rsidRPr="00C77B3F">
        <w:rPr>
          <w:lang w:val="en-GB"/>
        </w:rPr>
        <w:t>Intergovernmental Panel on Climate Change (http://www.ipcc.ch/pub/</w:t>
      </w:r>
      <w:r w:rsidRPr="006D5B46">
        <w:rPr>
          <w:lang w:val="en-GB"/>
        </w:rPr>
        <w:t>reports.htm).</w:t>
      </w:r>
      <w:proofErr w:type="gramEnd"/>
    </w:p>
  </w:footnote>
  <w:footnote w:id="15">
    <w:p w:rsidR="00560B8A" w:rsidRPr="002B36D2" w:rsidRDefault="00560B8A">
      <w:pPr>
        <w:pStyle w:val="Funotentext"/>
        <w:rPr>
          <w:lang w:val="en-US"/>
        </w:rPr>
      </w:pPr>
      <w:r>
        <w:rPr>
          <w:rStyle w:val="Funotenzeichen"/>
        </w:rPr>
        <w:footnoteRef/>
      </w:r>
      <w:r w:rsidRPr="002B36D2">
        <w:rPr>
          <w:lang w:val="en-US"/>
        </w:rPr>
        <w:t xml:space="preserve"> Zur Berechnung des Treibhauspotenzials von nicht fluorierten Treibhausgasen in Zubereitungen werden die Werte der ersten IPCC-Bewertung herangezogen; siehe: </w:t>
      </w:r>
      <w:r w:rsidRPr="0052780A">
        <w:rPr>
          <w:lang w:val="en-US"/>
        </w:rPr>
        <w:t>Climate</w:t>
      </w:r>
      <w:r w:rsidRPr="002B36D2">
        <w:rPr>
          <w:lang w:val="en-US"/>
        </w:rPr>
        <w:t xml:space="preserve"> Change, The IPCC Scientific Assessment, J. T. Houghton, G. J. Jenkins, J. J. Ephraums (ed.), Cambridge University Press, Cambridge (UK) 1990.</w:t>
      </w:r>
    </w:p>
  </w:footnote>
  <w:footnote w:id="16">
    <w:p w:rsidR="00560B8A" w:rsidRDefault="00560B8A">
      <w:pPr>
        <w:pStyle w:val="Funotentext"/>
      </w:pPr>
      <w:r>
        <w:rPr>
          <w:rStyle w:val="Funotenzeichen"/>
        </w:rPr>
        <w:footnoteRef/>
      </w:r>
      <w:r>
        <w:t xml:space="preserve"> Richtlinie 94/48/EG des Europäischen Parlaments und des Rates vom 7. Dezember 1994 zur dreizehnten Änderung der Richtlinie 76/769/EWG zur Angleichung der Rechts- und Verwaltungsvorschriften der Mitgliedstaaten für Beschränkungen des Inverkehrbringens und der Verwendung gewisser gefährlicher Stoffe und Zubereitungen (ABl. L 331 vom 21.12.1994, S. 7).</w:t>
      </w:r>
    </w:p>
  </w:footnote>
  <w:footnote w:id="17">
    <w:p w:rsidR="00560B8A" w:rsidRDefault="00560B8A">
      <w:pPr>
        <w:pStyle w:val="Funotentext"/>
      </w:pPr>
      <w:r>
        <w:rPr>
          <w:rStyle w:val="Funotenzeichen"/>
        </w:rPr>
        <w:footnoteRef/>
      </w:r>
      <w:r>
        <w:t xml:space="preserve"> Richtlinie 67/548/EWG des Rates vom 27. Juni 1967 zur Angleichung der Rechts- und Verwaltungsvorschriften für die Einstufung, Verpackung und Kennzeichnung gefährlicher Stoffe (ABl. 196 vom 16.8.1967, S. 1). Zuletzt geändert durch die Richtlinie 2004/73/EG der Kommission (ABl. L 152 vom 30.4.2004, S. 1).</w:t>
      </w:r>
    </w:p>
  </w:footnote>
  <w:footnote w:id="18">
    <w:p w:rsidR="00560B8A" w:rsidRDefault="00560B8A">
      <w:pPr>
        <w:pStyle w:val="Funotentext"/>
      </w:pPr>
      <w:r>
        <w:rPr>
          <w:rStyle w:val="Funotenzeichen"/>
        </w:rPr>
        <w:footnoteRef/>
      </w:r>
      <w:r>
        <w:t xml:space="preserve"> Richtlinie 1999/45/EG des Europäischen Parlaments und des Rates vom 31. Mai 1999 zur Angleichung der Rechts- und Verwa</w:t>
      </w:r>
      <w:r>
        <w:t>l</w:t>
      </w:r>
      <w:r>
        <w:t>tungsvorschriften der Mitgliedstaaten für die Einstufung, Verpackung und Kennzeichnung gefährlicher Zubereitungen (ABl. L 200 vom 30.7.1999, S. 1). Zuletzt geändert durch die Richtlinie 2006/8/EG der Kommission (ABl. L 19 vom 24.1.2006, S. 12).</w:t>
      </w:r>
    </w:p>
  </w:footnote>
  <w:footnote w:id="19">
    <w:p w:rsidR="00560B8A" w:rsidRDefault="00560B8A">
      <w:pPr>
        <w:pStyle w:val="Funotentext"/>
      </w:pPr>
      <w:r>
        <w:rPr>
          <w:rStyle w:val="Funotenzeichen"/>
        </w:rPr>
        <w:footnoteRef/>
      </w:r>
      <w:r>
        <w:t xml:space="preserve"> ABl. L 42 vom 23.2.1970, S. 1. Zuletzt geändert durch die Richtlinie 2005/64/EG des Europäischen Parlaments und des Rates (ABl. L 310 vom 25.11.2005, S. 10).</w:t>
      </w:r>
    </w:p>
  </w:footnote>
  <w:footnote w:id="20">
    <w:p w:rsidR="00560B8A" w:rsidRDefault="00560B8A">
      <w:pPr>
        <w:pStyle w:val="Funotentext"/>
      </w:pPr>
      <w:r>
        <w:rPr>
          <w:rStyle w:val="Funotenzeichen"/>
        </w:rPr>
        <w:footnoteRef/>
      </w:r>
      <w:r>
        <w:t xml:space="preserve"> ABl. L 204 vom 21.7.1998, S. 37. Zuletzt geändert durch die Beitrittsakte von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8A" w:rsidRDefault="00C37F57" w:rsidP="0052780A">
    <w:pPr>
      <w:pStyle w:val="Kopfzeile0"/>
    </w:pPr>
    <w:r>
      <w:t>Archiv6.77</w:t>
    </w:r>
  </w:p>
  <w:p w:rsidR="00560B8A" w:rsidRDefault="00560B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F4"/>
    <w:rsid w:val="0001451A"/>
    <w:rsid w:val="00077EF0"/>
    <w:rsid w:val="00093D90"/>
    <w:rsid w:val="00097194"/>
    <w:rsid w:val="000B208E"/>
    <w:rsid w:val="00150B0A"/>
    <w:rsid w:val="001615B4"/>
    <w:rsid w:val="001715DF"/>
    <w:rsid w:val="001810D3"/>
    <w:rsid w:val="0018399D"/>
    <w:rsid w:val="001C1083"/>
    <w:rsid w:val="00243AFC"/>
    <w:rsid w:val="002B3267"/>
    <w:rsid w:val="002B36D2"/>
    <w:rsid w:val="002C47E5"/>
    <w:rsid w:val="002D5542"/>
    <w:rsid w:val="003114DF"/>
    <w:rsid w:val="00313F0C"/>
    <w:rsid w:val="003A6E25"/>
    <w:rsid w:val="003B24A9"/>
    <w:rsid w:val="00404262"/>
    <w:rsid w:val="00406F32"/>
    <w:rsid w:val="00412824"/>
    <w:rsid w:val="00463F31"/>
    <w:rsid w:val="0047256A"/>
    <w:rsid w:val="004964D0"/>
    <w:rsid w:val="004F2A9F"/>
    <w:rsid w:val="0052780A"/>
    <w:rsid w:val="00557465"/>
    <w:rsid w:val="00560B8A"/>
    <w:rsid w:val="00575FF7"/>
    <w:rsid w:val="006242A7"/>
    <w:rsid w:val="00632508"/>
    <w:rsid w:val="0063668C"/>
    <w:rsid w:val="00666321"/>
    <w:rsid w:val="00697151"/>
    <w:rsid w:val="006D0AB0"/>
    <w:rsid w:val="006D447F"/>
    <w:rsid w:val="006D5B46"/>
    <w:rsid w:val="006F7DCB"/>
    <w:rsid w:val="007F5C17"/>
    <w:rsid w:val="00804A1C"/>
    <w:rsid w:val="00825D03"/>
    <w:rsid w:val="00836355"/>
    <w:rsid w:val="008542B8"/>
    <w:rsid w:val="008B789C"/>
    <w:rsid w:val="008C2F0A"/>
    <w:rsid w:val="008D6200"/>
    <w:rsid w:val="00927BA6"/>
    <w:rsid w:val="00963345"/>
    <w:rsid w:val="0098598C"/>
    <w:rsid w:val="00A95D02"/>
    <w:rsid w:val="00AB20F7"/>
    <w:rsid w:val="00AF40E3"/>
    <w:rsid w:val="00B134F4"/>
    <w:rsid w:val="00B466D3"/>
    <w:rsid w:val="00C37F57"/>
    <w:rsid w:val="00C77B3F"/>
    <w:rsid w:val="00CA24EE"/>
    <w:rsid w:val="00CD1DCB"/>
    <w:rsid w:val="00CE3C40"/>
    <w:rsid w:val="00D750EF"/>
    <w:rsid w:val="00D7784A"/>
    <w:rsid w:val="00D86C52"/>
    <w:rsid w:val="00DB2935"/>
    <w:rsid w:val="00DC1020"/>
    <w:rsid w:val="00DC310C"/>
    <w:rsid w:val="00E03BB2"/>
    <w:rsid w:val="00E0582B"/>
    <w:rsid w:val="00E751D6"/>
    <w:rsid w:val="00E9189E"/>
    <w:rsid w:val="00EB5006"/>
    <w:rsid w:val="00EC523D"/>
    <w:rsid w:val="00F61E0B"/>
    <w:rsid w:val="00F7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2780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2780A"/>
    <w:pPr>
      <w:keepNext/>
      <w:spacing w:after="120"/>
      <w:jc w:val="center"/>
      <w:outlineLvl w:val="0"/>
    </w:pPr>
    <w:rPr>
      <w:b/>
      <w:kern w:val="28"/>
      <w:sz w:val="28"/>
    </w:rPr>
  </w:style>
  <w:style w:type="paragraph" w:styleId="berschrift2">
    <w:name w:val="heading 2"/>
    <w:basedOn w:val="Standard"/>
    <w:next w:val="GesAbsatz"/>
    <w:qFormat/>
    <w:rsid w:val="0052780A"/>
    <w:pPr>
      <w:keepNext/>
      <w:spacing w:before="240"/>
      <w:jc w:val="center"/>
      <w:outlineLvl w:val="1"/>
    </w:pPr>
    <w:rPr>
      <w:b/>
      <w:sz w:val="24"/>
    </w:rPr>
  </w:style>
  <w:style w:type="paragraph" w:styleId="berschrift3">
    <w:name w:val="heading 3"/>
    <w:basedOn w:val="Standard"/>
    <w:next w:val="GesAbsatz"/>
    <w:qFormat/>
    <w:rsid w:val="0052780A"/>
    <w:pPr>
      <w:keepNext/>
      <w:spacing w:before="240" w:after="180"/>
      <w:jc w:val="center"/>
      <w:outlineLvl w:val="2"/>
    </w:pPr>
    <w:rPr>
      <w:b/>
    </w:rPr>
  </w:style>
  <w:style w:type="paragraph" w:styleId="berschrift4">
    <w:name w:val="heading 4"/>
    <w:basedOn w:val="Standard"/>
    <w:next w:val="Standard"/>
    <w:rsid w:val="0052780A"/>
    <w:pPr>
      <w:keepNext/>
      <w:spacing w:before="240"/>
      <w:outlineLvl w:val="3"/>
    </w:pPr>
  </w:style>
  <w:style w:type="paragraph" w:styleId="berschrift5">
    <w:name w:val="heading 5"/>
    <w:basedOn w:val="Standard"/>
    <w:next w:val="Standard"/>
    <w:rsid w:val="0052780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52780A"/>
    <w:pPr>
      <w:tabs>
        <w:tab w:val="center" w:pos="4536"/>
        <w:tab w:val="right" w:pos="9072"/>
      </w:tabs>
      <w:spacing w:before="0" w:after="120"/>
      <w:jc w:val="right"/>
    </w:pPr>
  </w:style>
  <w:style w:type="paragraph" w:styleId="Fuzeile">
    <w:name w:val="footer"/>
    <w:basedOn w:val="Standard"/>
    <w:qFormat/>
    <w:rsid w:val="0052780A"/>
    <w:pPr>
      <w:tabs>
        <w:tab w:val="clear" w:pos="425"/>
        <w:tab w:val="right" w:pos="8505"/>
        <w:tab w:val="right" w:pos="9639"/>
      </w:tabs>
      <w:spacing w:before="0" w:after="0"/>
      <w:jc w:val="left"/>
    </w:pPr>
    <w:rPr>
      <w:sz w:val="16"/>
    </w:rPr>
  </w:style>
  <w:style w:type="character" w:styleId="Seitenzahl">
    <w:name w:val="page number"/>
    <w:semiHidden/>
    <w:rsid w:val="0052780A"/>
    <w:rPr>
      <w:rFonts w:ascii="Arial" w:hAnsi="Arial"/>
      <w:sz w:val="16"/>
    </w:rPr>
  </w:style>
  <w:style w:type="paragraph" w:styleId="Verzeichnis2">
    <w:name w:val="toc 2"/>
    <w:basedOn w:val="Standard"/>
    <w:next w:val="Standard"/>
    <w:uiPriority w:val="39"/>
    <w:rsid w:val="0052780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2780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2780A"/>
    <w:pPr>
      <w:spacing w:before="0" w:after="0"/>
    </w:pPr>
    <w:rPr>
      <w:sz w:val="16"/>
    </w:rPr>
  </w:style>
  <w:style w:type="paragraph" w:styleId="Verzeichnis1">
    <w:name w:val="toc 1"/>
    <w:basedOn w:val="Verzeichnis3"/>
    <w:next w:val="Standard"/>
    <w:uiPriority w:val="39"/>
    <w:rsid w:val="0052780A"/>
    <w:pPr>
      <w:spacing w:before="120" w:after="120"/>
      <w:ind w:left="0"/>
    </w:pPr>
    <w:rPr>
      <w:b/>
      <w:i w:val="0"/>
      <w:caps/>
    </w:rPr>
  </w:style>
  <w:style w:type="paragraph" w:customStyle="1" w:styleId="GesAbsatz">
    <w:name w:val="GesAbsatz"/>
    <w:basedOn w:val="Standard"/>
    <w:qFormat/>
    <w:rsid w:val="0052780A"/>
    <w:pPr>
      <w:spacing w:before="100"/>
    </w:pPr>
    <w:rPr>
      <w:color w:val="000000"/>
    </w:rPr>
  </w:style>
  <w:style w:type="paragraph" w:styleId="Verzeichnis4">
    <w:name w:val="toc 4"/>
    <w:basedOn w:val="Standard"/>
    <w:next w:val="Standard"/>
    <w:semiHidden/>
    <w:rsid w:val="0052780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2780A"/>
    <w:rPr>
      <w:sz w:val="20"/>
      <w:szCs w:val="20"/>
      <w:vertAlign w:val="superscript"/>
    </w:rPr>
  </w:style>
  <w:style w:type="paragraph" w:styleId="Verzeichnis5">
    <w:name w:val="toc 5"/>
    <w:basedOn w:val="Standard"/>
    <w:next w:val="Standard"/>
    <w:semiHidden/>
    <w:rsid w:val="0052780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2780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2780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2780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2780A"/>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52780A"/>
    <w:rPr>
      <w:color w:val="0000FF"/>
      <w:u w:val="single"/>
    </w:rPr>
  </w:style>
  <w:style w:type="table" w:styleId="Tabellenraster">
    <w:name w:val="Table Grid"/>
    <w:basedOn w:val="NormaleTabelle"/>
    <w:rsid w:val="006D447F"/>
    <w:pPr>
      <w:tabs>
        <w:tab w:val="left" w:pos="425"/>
      </w:tabs>
      <w:overflowPunct w:val="0"/>
      <w:autoSpaceDE w:val="0"/>
      <w:autoSpaceDN w:val="0"/>
      <w:adjustRightInd w:val="0"/>
      <w:spacing w:before="60" w:after="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rsid w:val="00AF40E3"/>
    <w:rPr>
      <w:color w:val="800080"/>
      <w:u w:val="single"/>
    </w:rPr>
  </w:style>
  <w:style w:type="paragraph" w:customStyle="1" w:styleId="Kopfzeile0">
    <w:name w:val="Kopfzeile0"/>
    <w:basedOn w:val="Standard"/>
    <w:next w:val="Kopfzeile"/>
    <w:qFormat/>
    <w:rsid w:val="0052780A"/>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2780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2780A"/>
    <w:pPr>
      <w:keepNext/>
      <w:spacing w:after="120"/>
      <w:jc w:val="center"/>
      <w:outlineLvl w:val="0"/>
    </w:pPr>
    <w:rPr>
      <w:b/>
      <w:kern w:val="28"/>
      <w:sz w:val="28"/>
    </w:rPr>
  </w:style>
  <w:style w:type="paragraph" w:styleId="berschrift2">
    <w:name w:val="heading 2"/>
    <w:basedOn w:val="Standard"/>
    <w:next w:val="GesAbsatz"/>
    <w:qFormat/>
    <w:rsid w:val="0052780A"/>
    <w:pPr>
      <w:keepNext/>
      <w:spacing w:before="240"/>
      <w:jc w:val="center"/>
      <w:outlineLvl w:val="1"/>
    </w:pPr>
    <w:rPr>
      <w:b/>
      <w:sz w:val="24"/>
    </w:rPr>
  </w:style>
  <w:style w:type="paragraph" w:styleId="berschrift3">
    <w:name w:val="heading 3"/>
    <w:basedOn w:val="Standard"/>
    <w:next w:val="GesAbsatz"/>
    <w:qFormat/>
    <w:rsid w:val="0052780A"/>
    <w:pPr>
      <w:keepNext/>
      <w:spacing w:before="240" w:after="180"/>
      <w:jc w:val="center"/>
      <w:outlineLvl w:val="2"/>
    </w:pPr>
    <w:rPr>
      <w:b/>
    </w:rPr>
  </w:style>
  <w:style w:type="paragraph" w:styleId="berschrift4">
    <w:name w:val="heading 4"/>
    <w:basedOn w:val="Standard"/>
    <w:next w:val="Standard"/>
    <w:rsid w:val="0052780A"/>
    <w:pPr>
      <w:keepNext/>
      <w:spacing w:before="240"/>
      <w:outlineLvl w:val="3"/>
    </w:pPr>
  </w:style>
  <w:style w:type="paragraph" w:styleId="berschrift5">
    <w:name w:val="heading 5"/>
    <w:basedOn w:val="Standard"/>
    <w:next w:val="Standard"/>
    <w:rsid w:val="0052780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52780A"/>
    <w:pPr>
      <w:tabs>
        <w:tab w:val="center" w:pos="4536"/>
        <w:tab w:val="right" w:pos="9072"/>
      </w:tabs>
      <w:spacing w:before="0" w:after="120"/>
      <w:jc w:val="right"/>
    </w:pPr>
  </w:style>
  <w:style w:type="paragraph" w:styleId="Fuzeile">
    <w:name w:val="footer"/>
    <w:basedOn w:val="Standard"/>
    <w:qFormat/>
    <w:rsid w:val="0052780A"/>
    <w:pPr>
      <w:tabs>
        <w:tab w:val="clear" w:pos="425"/>
        <w:tab w:val="right" w:pos="8505"/>
        <w:tab w:val="right" w:pos="9639"/>
      </w:tabs>
      <w:spacing w:before="0" w:after="0"/>
      <w:jc w:val="left"/>
    </w:pPr>
    <w:rPr>
      <w:sz w:val="16"/>
    </w:rPr>
  </w:style>
  <w:style w:type="character" w:styleId="Seitenzahl">
    <w:name w:val="page number"/>
    <w:semiHidden/>
    <w:rsid w:val="0052780A"/>
    <w:rPr>
      <w:rFonts w:ascii="Arial" w:hAnsi="Arial"/>
      <w:sz w:val="16"/>
    </w:rPr>
  </w:style>
  <w:style w:type="paragraph" w:styleId="Verzeichnis2">
    <w:name w:val="toc 2"/>
    <w:basedOn w:val="Standard"/>
    <w:next w:val="Standard"/>
    <w:uiPriority w:val="39"/>
    <w:rsid w:val="0052780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2780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2780A"/>
    <w:pPr>
      <w:spacing w:before="0" w:after="0"/>
    </w:pPr>
    <w:rPr>
      <w:sz w:val="16"/>
    </w:rPr>
  </w:style>
  <w:style w:type="paragraph" w:styleId="Verzeichnis1">
    <w:name w:val="toc 1"/>
    <w:basedOn w:val="Verzeichnis3"/>
    <w:next w:val="Standard"/>
    <w:uiPriority w:val="39"/>
    <w:rsid w:val="0052780A"/>
    <w:pPr>
      <w:spacing w:before="120" w:after="120"/>
      <w:ind w:left="0"/>
    </w:pPr>
    <w:rPr>
      <w:b/>
      <w:i w:val="0"/>
      <w:caps/>
    </w:rPr>
  </w:style>
  <w:style w:type="paragraph" w:customStyle="1" w:styleId="GesAbsatz">
    <w:name w:val="GesAbsatz"/>
    <w:basedOn w:val="Standard"/>
    <w:qFormat/>
    <w:rsid w:val="0052780A"/>
    <w:pPr>
      <w:spacing w:before="100"/>
    </w:pPr>
    <w:rPr>
      <w:color w:val="000000"/>
    </w:rPr>
  </w:style>
  <w:style w:type="paragraph" w:styleId="Verzeichnis4">
    <w:name w:val="toc 4"/>
    <w:basedOn w:val="Standard"/>
    <w:next w:val="Standard"/>
    <w:semiHidden/>
    <w:rsid w:val="0052780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2780A"/>
    <w:rPr>
      <w:sz w:val="20"/>
      <w:szCs w:val="20"/>
      <w:vertAlign w:val="superscript"/>
    </w:rPr>
  </w:style>
  <w:style w:type="paragraph" w:styleId="Verzeichnis5">
    <w:name w:val="toc 5"/>
    <w:basedOn w:val="Standard"/>
    <w:next w:val="Standard"/>
    <w:semiHidden/>
    <w:rsid w:val="0052780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2780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2780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2780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2780A"/>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52780A"/>
    <w:rPr>
      <w:color w:val="0000FF"/>
      <w:u w:val="single"/>
    </w:rPr>
  </w:style>
  <w:style w:type="table" w:styleId="Tabellenraster">
    <w:name w:val="Table Grid"/>
    <w:basedOn w:val="NormaleTabelle"/>
    <w:rsid w:val="006D447F"/>
    <w:pPr>
      <w:tabs>
        <w:tab w:val="left" w:pos="425"/>
      </w:tabs>
      <w:overflowPunct w:val="0"/>
      <w:autoSpaceDE w:val="0"/>
      <w:autoSpaceDN w:val="0"/>
      <w:adjustRightInd w:val="0"/>
      <w:spacing w:before="60" w:after="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rsid w:val="00AF40E3"/>
    <w:rPr>
      <w:color w:val="800080"/>
      <w:u w:val="single"/>
    </w:rPr>
  </w:style>
  <w:style w:type="paragraph" w:customStyle="1" w:styleId="Kopfzeile0">
    <w:name w:val="Kopfzeile0"/>
    <w:basedOn w:val="Standard"/>
    <w:next w:val="Kopfzeile"/>
    <w:qFormat/>
    <w:rsid w:val="0052780A"/>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6:161:0001:0011:D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DE/TXT/PDF/?uri=CELEX:32006R0842R(01)&amp;from=DE" TargetMode="External"/><Relationship Id="rId4" Type="http://schemas.openxmlformats.org/officeDocument/2006/relationships/settings" Target="settings.xml"/><Relationship Id="rId9" Type="http://schemas.openxmlformats.org/officeDocument/2006/relationships/hyperlink" Target="http://eur-lex.europa.eu/LexUriServ/LexUriServ.do?uri=OJ:L:2008:311:0001:0054:DE: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98EB-8ED1-4A6E-9A74-99A11D3E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4949</Words>
  <Characters>34955</Characters>
  <Application>Microsoft Office Word</Application>
  <DocSecurity>0</DocSecurity>
  <Lines>291</Lines>
  <Paragraphs>79</Paragraphs>
  <ScaleCrop>false</ScaleCrop>
  <HeadingPairs>
    <vt:vector size="2" baseType="variant">
      <vt:variant>
        <vt:lpstr>Titel</vt:lpstr>
      </vt:variant>
      <vt:variant>
        <vt:i4>1</vt:i4>
      </vt:variant>
    </vt:vector>
  </HeadingPairs>
  <TitlesOfParts>
    <vt:vector size="1" baseType="lpstr">
      <vt:lpstr>I</vt:lpstr>
    </vt:vector>
  </TitlesOfParts>
  <Company>LANUV NRW</Company>
  <LinksUpToDate>false</LinksUpToDate>
  <CharactersWithSpaces>39825</CharactersWithSpaces>
  <SharedDoc>false</SharedDoc>
  <HLinks>
    <vt:vector size="126" baseType="variant">
      <vt:variant>
        <vt:i4>1703989</vt:i4>
      </vt:variant>
      <vt:variant>
        <vt:i4>113</vt:i4>
      </vt:variant>
      <vt:variant>
        <vt:i4>0</vt:i4>
      </vt:variant>
      <vt:variant>
        <vt:i4>5</vt:i4>
      </vt:variant>
      <vt:variant>
        <vt:lpwstr/>
      </vt:variant>
      <vt:variant>
        <vt:lpwstr>_Toc286221363</vt:lpwstr>
      </vt:variant>
      <vt:variant>
        <vt:i4>1703989</vt:i4>
      </vt:variant>
      <vt:variant>
        <vt:i4>107</vt:i4>
      </vt:variant>
      <vt:variant>
        <vt:i4>0</vt:i4>
      </vt:variant>
      <vt:variant>
        <vt:i4>5</vt:i4>
      </vt:variant>
      <vt:variant>
        <vt:lpwstr/>
      </vt:variant>
      <vt:variant>
        <vt:lpwstr>_Toc286221362</vt:lpwstr>
      </vt:variant>
      <vt:variant>
        <vt:i4>1703989</vt:i4>
      </vt:variant>
      <vt:variant>
        <vt:i4>101</vt:i4>
      </vt:variant>
      <vt:variant>
        <vt:i4>0</vt:i4>
      </vt:variant>
      <vt:variant>
        <vt:i4>5</vt:i4>
      </vt:variant>
      <vt:variant>
        <vt:lpwstr/>
      </vt:variant>
      <vt:variant>
        <vt:lpwstr>_Toc286221361</vt:lpwstr>
      </vt:variant>
      <vt:variant>
        <vt:i4>1703989</vt:i4>
      </vt:variant>
      <vt:variant>
        <vt:i4>95</vt:i4>
      </vt:variant>
      <vt:variant>
        <vt:i4>0</vt:i4>
      </vt:variant>
      <vt:variant>
        <vt:i4>5</vt:i4>
      </vt:variant>
      <vt:variant>
        <vt:lpwstr/>
      </vt:variant>
      <vt:variant>
        <vt:lpwstr>_Toc286221360</vt:lpwstr>
      </vt:variant>
      <vt:variant>
        <vt:i4>1638453</vt:i4>
      </vt:variant>
      <vt:variant>
        <vt:i4>89</vt:i4>
      </vt:variant>
      <vt:variant>
        <vt:i4>0</vt:i4>
      </vt:variant>
      <vt:variant>
        <vt:i4>5</vt:i4>
      </vt:variant>
      <vt:variant>
        <vt:lpwstr/>
      </vt:variant>
      <vt:variant>
        <vt:lpwstr>_Toc286221359</vt:lpwstr>
      </vt:variant>
      <vt:variant>
        <vt:i4>1638453</vt:i4>
      </vt:variant>
      <vt:variant>
        <vt:i4>83</vt:i4>
      </vt:variant>
      <vt:variant>
        <vt:i4>0</vt:i4>
      </vt:variant>
      <vt:variant>
        <vt:i4>5</vt:i4>
      </vt:variant>
      <vt:variant>
        <vt:lpwstr/>
      </vt:variant>
      <vt:variant>
        <vt:lpwstr>_Toc286221358</vt:lpwstr>
      </vt:variant>
      <vt:variant>
        <vt:i4>1638453</vt:i4>
      </vt:variant>
      <vt:variant>
        <vt:i4>77</vt:i4>
      </vt:variant>
      <vt:variant>
        <vt:i4>0</vt:i4>
      </vt:variant>
      <vt:variant>
        <vt:i4>5</vt:i4>
      </vt:variant>
      <vt:variant>
        <vt:lpwstr/>
      </vt:variant>
      <vt:variant>
        <vt:lpwstr>_Toc286221357</vt:lpwstr>
      </vt:variant>
      <vt:variant>
        <vt:i4>1638453</vt:i4>
      </vt:variant>
      <vt:variant>
        <vt:i4>71</vt:i4>
      </vt:variant>
      <vt:variant>
        <vt:i4>0</vt:i4>
      </vt:variant>
      <vt:variant>
        <vt:i4>5</vt:i4>
      </vt:variant>
      <vt:variant>
        <vt:lpwstr/>
      </vt:variant>
      <vt:variant>
        <vt:lpwstr>_Toc286221356</vt:lpwstr>
      </vt:variant>
      <vt:variant>
        <vt:i4>1638453</vt:i4>
      </vt:variant>
      <vt:variant>
        <vt:i4>65</vt:i4>
      </vt:variant>
      <vt:variant>
        <vt:i4>0</vt:i4>
      </vt:variant>
      <vt:variant>
        <vt:i4>5</vt:i4>
      </vt:variant>
      <vt:variant>
        <vt:lpwstr/>
      </vt:variant>
      <vt:variant>
        <vt:lpwstr>_Toc286221355</vt:lpwstr>
      </vt:variant>
      <vt:variant>
        <vt:i4>1638453</vt:i4>
      </vt:variant>
      <vt:variant>
        <vt:i4>59</vt:i4>
      </vt:variant>
      <vt:variant>
        <vt:i4>0</vt:i4>
      </vt:variant>
      <vt:variant>
        <vt:i4>5</vt:i4>
      </vt:variant>
      <vt:variant>
        <vt:lpwstr/>
      </vt:variant>
      <vt:variant>
        <vt:lpwstr>_Toc286221354</vt:lpwstr>
      </vt:variant>
      <vt:variant>
        <vt:i4>1638453</vt:i4>
      </vt:variant>
      <vt:variant>
        <vt:i4>53</vt:i4>
      </vt:variant>
      <vt:variant>
        <vt:i4>0</vt:i4>
      </vt:variant>
      <vt:variant>
        <vt:i4>5</vt:i4>
      </vt:variant>
      <vt:variant>
        <vt:lpwstr/>
      </vt:variant>
      <vt:variant>
        <vt:lpwstr>_Toc286221353</vt:lpwstr>
      </vt:variant>
      <vt:variant>
        <vt:i4>1638453</vt:i4>
      </vt:variant>
      <vt:variant>
        <vt:i4>47</vt:i4>
      </vt:variant>
      <vt:variant>
        <vt:i4>0</vt:i4>
      </vt:variant>
      <vt:variant>
        <vt:i4>5</vt:i4>
      </vt:variant>
      <vt:variant>
        <vt:lpwstr/>
      </vt:variant>
      <vt:variant>
        <vt:lpwstr>_Toc286221352</vt:lpwstr>
      </vt:variant>
      <vt:variant>
        <vt:i4>1638453</vt:i4>
      </vt:variant>
      <vt:variant>
        <vt:i4>41</vt:i4>
      </vt:variant>
      <vt:variant>
        <vt:i4>0</vt:i4>
      </vt:variant>
      <vt:variant>
        <vt:i4>5</vt:i4>
      </vt:variant>
      <vt:variant>
        <vt:lpwstr/>
      </vt:variant>
      <vt:variant>
        <vt:lpwstr>_Toc286221351</vt:lpwstr>
      </vt:variant>
      <vt:variant>
        <vt:i4>1638453</vt:i4>
      </vt:variant>
      <vt:variant>
        <vt:i4>35</vt:i4>
      </vt:variant>
      <vt:variant>
        <vt:i4>0</vt:i4>
      </vt:variant>
      <vt:variant>
        <vt:i4>5</vt:i4>
      </vt:variant>
      <vt:variant>
        <vt:lpwstr/>
      </vt:variant>
      <vt:variant>
        <vt:lpwstr>_Toc286221350</vt:lpwstr>
      </vt:variant>
      <vt:variant>
        <vt:i4>1572917</vt:i4>
      </vt:variant>
      <vt:variant>
        <vt:i4>29</vt:i4>
      </vt:variant>
      <vt:variant>
        <vt:i4>0</vt:i4>
      </vt:variant>
      <vt:variant>
        <vt:i4>5</vt:i4>
      </vt:variant>
      <vt:variant>
        <vt:lpwstr/>
      </vt:variant>
      <vt:variant>
        <vt:lpwstr>_Toc286221349</vt:lpwstr>
      </vt:variant>
      <vt:variant>
        <vt:i4>1572917</vt:i4>
      </vt:variant>
      <vt:variant>
        <vt:i4>23</vt:i4>
      </vt:variant>
      <vt:variant>
        <vt:i4>0</vt:i4>
      </vt:variant>
      <vt:variant>
        <vt:i4>5</vt:i4>
      </vt:variant>
      <vt:variant>
        <vt:lpwstr/>
      </vt:variant>
      <vt:variant>
        <vt:lpwstr>_Toc286221348</vt:lpwstr>
      </vt:variant>
      <vt:variant>
        <vt:i4>1572917</vt:i4>
      </vt:variant>
      <vt:variant>
        <vt:i4>17</vt:i4>
      </vt:variant>
      <vt:variant>
        <vt:i4>0</vt:i4>
      </vt:variant>
      <vt:variant>
        <vt:i4>5</vt:i4>
      </vt:variant>
      <vt:variant>
        <vt:lpwstr/>
      </vt:variant>
      <vt:variant>
        <vt:lpwstr>_Toc286221347</vt:lpwstr>
      </vt:variant>
      <vt:variant>
        <vt:i4>1572917</vt:i4>
      </vt:variant>
      <vt:variant>
        <vt:i4>11</vt:i4>
      </vt:variant>
      <vt:variant>
        <vt:i4>0</vt:i4>
      </vt:variant>
      <vt:variant>
        <vt:i4>5</vt:i4>
      </vt:variant>
      <vt:variant>
        <vt:lpwstr/>
      </vt:variant>
      <vt:variant>
        <vt:lpwstr>_Toc286221346</vt:lpwstr>
      </vt:variant>
      <vt:variant>
        <vt:i4>1441864</vt:i4>
      </vt:variant>
      <vt:variant>
        <vt:i4>6</vt:i4>
      </vt:variant>
      <vt:variant>
        <vt:i4>0</vt:i4>
      </vt:variant>
      <vt:variant>
        <vt:i4>5</vt:i4>
      </vt:variant>
      <vt:variant>
        <vt:lpwstr>http://eur-lex.europa.eu/JOHtml.do?uri=OJ:L:2013:206:SOM:DE:HTML</vt:lpwstr>
      </vt:variant>
      <vt:variant>
        <vt:lpwstr/>
      </vt:variant>
      <vt:variant>
        <vt:i4>5898266</vt:i4>
      </vt:variant>
      <vt:variant>
        <vt:i4>3</vt:i4>
      </vt:variant>
      <vt:variant>
        <vt:i4>0</vt:i4>
      </vt:variant>
      <vt:variant>
        <vt:i4>5</vt:i4>
      </vt:variant>
      <vt:variant>
        <vt:lpwstr>http://eur-lex.europa.eu/LexUriServ/LexUriServ.do?uri=OJ:L:2008:311:0001:0054:DE:PDF</vt:lpwstr>
      </vt:variant>
      <vt:variant>
        <vt:lpwstr/>
      </vt:variant>
      <vt:variant>
        <vt:i4>5832723</vt:i4>
      </vt:variant>
      <vt:variant>
        <vt:i4>0</vt:i4>
      </vt:variant>
      <vt:variant>
        <vt:i4>0</vt:i4>
      </vt:variant>
      <vt:variant>
        <vt:i4>5</vt:i4>
      </vt:variant>
      <vt:variant>
        <vt:lpwstr>http://eur-lex.europa.eu/LexUriServ/LexUriServ.do?uri=OJ:L:2006:161:0001:0011:DE:PDF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Np</dc:creator>
  <cp:lastModifiedBy>rueter</cp:lastModifiedBy>
  <cp:revision>2</cp:revision>
  <cp:lastPrinted>2004-12-14T12:08:00Z</cp:lastPrinted>
  <dcterms:created xsi:type="dcterms:W3CDTF">2014-12-11T12:55:00Z</dcterms:created>
  <dcterms:modified xsi:type="dcterms:W3CDTF">2014-12-11T12:55:00Z</dcterms:modified>
</cp:coreProperties>
</file>