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79" w:rsidRDefault="00461179">
      <w:pPr>
        <w:pStyle w:val="berschrift1"/>
        <w:rPr>
          <w:snapToGrid w:val="0"/>
        </w:rPr>
      </w:pPr>
      <w:bookmarkStart w:id="0" w:name="_Toc202752867"/>
      <w:r>
        <w:rPr>
          <w:snapToGrid w:val="0"/>
        </w:rPr>
        <w:t xml:space="preserve">RICHTLINIE </w:t>
      </w:r>
      <w:hyperlink r:id="rId8" w:history="1">
        <w:r w:rsidRPr="00105A62">
          <w:rPr>
            <w:rStyle w:val="Hyperlink"/>
            <w:snapToGrid w:val="0"/>
          </w:rPr>
          <w:t>1999/30/EG</w:t>
        </w:r>
      </w:hyperlink>
      <w:r>
        <w:rPr>
          <w:snapToGrid w:val="0"/>
        </w:rPr>
        <w:t xml:space="preserve"> DES RATES vom</w:t>
      </w:r>
      <w:bookmarkStart w:id="1" w:name="_GoBack"/>
      <w:bookmarkEnd w:id="1"/>
      <w:r>
        <w:rPr>
          <w:snapToGrid w:val="0"/>
        </w:rPr>
        <w:t xml:space="preserve"> </w:t>
      </w:r>
      <w:smartTag w:uri="urn:schemas-microsoft-com:office:smarttags" w:element="date">
        <w:smartTagPr>
          <w:attr w:name="ls" w:val="trans"/>
          <w:attr w:name="Month" w:val="4"/>
          <w:attr w:name="Day" w:val="22"/>
          <w:attr w:name="Year" w:val="1999"/>
        </w:smartTagPr>
        <w:r>
          <w:rPr>
            <w:snapToGrid w:val="0"/>
          </w:rPr>
          <w:t>22. April 1999</w:t>
        </w:r>
      </w:smartTag>
      <w:r>
        <w:rPr>
          <w:snapToGrid w:val="0"/>
        </w:rPr>
        <w:t xml:space="preserve"> über Grenzwerte für Schwefeldioxid, Stickstoffdioxid und Stickstoffoxide, Partikel und Blei in der Luft</w:t>
      </w:r>
      <w:bookmarkEnd w:id="0"/>
    </w:p>
    <w:p w:rsidR="00794EF3" w:rsidRPr="000F70E7" w:rsidRDefault="0063662F" w:rsidP="00794EF3">
      <w:pPr>
        <w:pStyle w:val="GesAbsatz"/>
        <w:jc w:val="left"/>
        <w:rPr>
          <w:b/>
          <w:i/>
          <w:snapToGrid w:val="0"/>
          <w:color w:val="FF0000"/>
          <w:sz w:val="22"/>
          <w:szCs w:val="22"/>
        </w:rPr>
      </w:pPr>
      <w:r>
        <w:rPr>
          <w:b/>
          <w:i/>
          <w:snapToGrid w:val="0"/>
          <w:color w:val="FF0000"/>
          <w:sz w:val="22"/>
          <w:szCs w:val="22"/>
        </w:rPr>
        <w:t>A</w:t>
      </w:r>
      <w:r w:rsidRPr="000F70E7">
        <w:rPr>
          <w:b/>
          <w:i/>
          <w:snapToGrid w:val="0"/>
          <w:color w:val="FF0000"/>
          <w:sz w:val="22"/>
          <w:szCs w:val="22"/>
        </w:rPr>
        <w:t xml:space="preserve">ufgehoben </w:t>
      </w:r>
      <w:r w:rsidR="00794EF3" w:rsidRPr="000F70E7">
        <w:rPr>
          <w:b/>
          <w:i/>
          <w:snapToGrid w:val="0"/>
          <w:color w:val="FF0000"/>
          <w:sz w:val="22"/>
          <w:szCs w:val="22"/>
        </w:rPr>
        <w:t>mit Wirkung zum 11.</w:t>
      </w:r>
      <w:r w:rsidR="00671371">
        <w:rPr>
          <w:b/>
          <w:i/>
          <w:snapToGrid w:val="0"/>
          <w:color w:val="FF0000"/>
          <w:sz w:val="22"/>
          <w:szCs w:val="22"/>
        </w:rPr>
        <w:t>0</w:t>
      </w:r>
      <w:r w:rsidR="00794EF3" w:rsidRPr="000F70E7">
        <w:rPr>
          <w:b/>
          <w:i/>
          <w:snapToGrid w:val="0"/>
          <w:color w:val="FF0000"/>
          <w:sz w:val="22"/>
          <w:szCs w:val="22"/>
        </w:rPr>
        <w:t xml:space="preserve">6.2010 </w:t>
      </w:r>
      <w:r w:rsidR="000F70E7" w:rsidRPr="000F70E7">
        <w:rPr>
          <w:b/>
          <w:i/>
          <w:snapToGrid w:val="0"/>
          <w:color w:val="FF0000"/>
          <w:sz w:val="22"/>
          <w:szCs w:val="22"/>
        </w:rPr>
        <w:t>gemäß</w:t>
      </w:r>
      <w:r w:rsidR="00794EF3" w:rsidRPr="000F70E7">
        <w:rPr>
          <w:b/>
          <w:i/>
          <w:snapToGrid w:val="0"/>
          <w:color w:val="FF0000"/>
          <w:sz w:val="22"/>
          <w:szCs w:val="22"/>
        </w:rPr>
        <w:t xml:space="preserve"> Richtlinie 2008/50/EG.</w:t>
      </w:r>
    </w:p>
    <w:p w:rsidR="00105A62" w:rsidRPr="00105A62" w:rsidRDefault="00105A62" w:rsidP="00105A62">
      <w:pPr>
        <w:pStyle w:val="GesAbsatz"/>
        <w:jc w:val="left"/>
        <w:rPr>
          <w:b/>
          <w:bCs/>
        </w:rPr>
      </w:pPr>
      <w:r>
        <w:rPr>
          <w:b/>
          <w:bCs/>
        </w:rPr>
        <w:t xml:space="preserve">Änderungen: </w:t>
      </w:r>
      <w:hyperlink r:id="rId9" w:history="1">
        <w:r w:rsidRPr="00105A62">
          <w:rPr>
            <w:rStyle w:val="Hyperlink"/>
          </w:rPr>
          <w:t>2001/744/EG</w:t>
        </w:r>
      </w:hyperlink>
      <w:r w:rsidRPr="00105A62">
        <w:t xml:space="preserve"> ABl. L 278 </w:t>
      </w:r>
      <w:r>
        <w:t xml:space="preserve">v. </w:t>
      </w:r>
      <w:r w:rsidRPr="00105A62">
        <w:t>23.10.2001 S. 35</w:t>
      </w:r>
      <w:r>
        <w:t>;</w:t>
      </w:r>
      <w:r w:rsidR="00FD30FA">
        <w:t xml:space="preserve"> </w:t>
      </w:r>
      <w:hyperlink r:id="rId10" w:history="1">
        <w:r w:rsidR="00FD30FA" w:rsidRPr="00FD30FA">
          <w:rPr>
            <w:rStyle w:val="Hyperlink"/>
          </w:rPr>
          <w:t>2008/50/EG</w:t>
        </w:r>
      </w:hyperlink>
      <w:r w:rsidR="00FD30FA">
        <w:t xml:space="preserve"> ABl. L 152 v. 11.06.2008 S. 12 Inkrafttreten 11.06.2008</w:t>
      </w:r>
      <w:r w:rsidR="00900C92">
        <w:t>;</w:t>
      </w:r>
    </w:p>
    <w:p w:rsidR="00461179" w:rsidRDefault="00461179">
      <w:pPr>
        <w:pStyle w:val="GesAbsatz"/>
        <w:jc w:val="center"/>
        <w:rPr>
          <w:b/>
          <w:bCs/>
          <w:sz w:val="22"/>
        </w:rPr>
      </w:pPr>
      <w:r>
        <w:rPr>
          <w:b/>
          <w:bCs/>
          <w:sz w:val="22"/>
        </w:rPr>
        <w:t>Inhalt:</w:t>
      </w:r>
    </w:p>
    <w:p w:rsidR="00C34469" w:rsidRDefault="00C34469">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202752867" w:history="1">
        <w:r w:rsidRPr="00E16774">
          <w:rPr>
            <w:rStyle w:val="Hyperlink"/>
            <w:noProof/>
            <w:snapToGrid w:val="0"/>
          </w:rPr>
          <w:t>RICHTLINIE 1999/30/EG DES RATES vom 22. April 1999 über Grenzwerte für Schwefel</w:t>
        </w:r>
        <w:r w:rsidR="00745002">
          <w:rPr>
            <w:rStyle w:val="Hyperlink"/>
            <w:noProof/>
            <w:snapToGrid w:val="0"/>
          </w:rPr>
          <w:softHyphen/>
        </w:r>
        <w:r w:rsidRPr="00E16774">
          <w:rPr>
            <w:rStyle w:val="Hyperlink"/>
            <w:noProof/>
            <w:snapToGrid w:val="0"/>
          </w:rPr>
          <w:t>dioxid, Stickstoffdioxid und Stickstoffoxide, Partikel und Blei in der Luft</w:t>
        </w:r>
        <w:r>
          <w:rPr>
            <w:noProof/>
            <w:webHidden/>
          </w:rPr>
          <w:tab/>
        </w:r>
        <w:r>
          <w:rPr>
            <w:noProof/>
            <w:webHidden/>
          </w:rPr>
          <w:fldChar w:fldCharType="begin"/>
        </w:r>
        <w:r>
          <w:rPr>
            <w:noProof/>
            <w:webHidden/>
          </w:rPr>
          <w:instrText xml:space="preserve"> PAGEREF _Toc202752867 \h </w:instrText>
        </w:r>
        <w:r>
          <w:rPr>
            <w:noProof/>
            <w:webHidden/>
          </w:rPr>
        </w:r>
        <w:r>
          <w:rPr>
            <w:noProof/>
            <w:webHidden/>
          </w:rPr>
          <w:fldChar w:fldCharType="separate"/>
        </w:r>
        <w:r>
          <w:rPr>
            <w:noProof/>
            <w:webHidden/>
          </w:rPr>
          <w:t>1</w:t>
        </w:r>
        <w:r>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68" w:history="1">
        <w:r w:rsidR="00C34469" w:rsidRPr="00E16774">
          <w:rPr>
            <w:rStyle w:val="Hyperlink"/>
            <w:noProof/>
            <w:snapToGrid w:val="0"/>
          </w:rPr>
          <w:t>Artikel 1 Ziele</w:t>
        </w:r>
        <w:r w:rsidR="00C34469">
          <w:rPr>
            <w:noProof/>
            <w:webHidden/>
          </w:rPr>
          <w:tab/>
        </w:r>
        <w:r w:rsidR="00C34469">
          <w:rPr>
            <w:noProof/>
            <w:webHidden/>
          </w:rPr>
          <w:fldChar w:fldCharType="begin"/>
        </w:r>
        <w:r w:rsidR="00C34469">
          <w:rPr>
            <w:noProof/>
            <w:webHidden/>
          </w:rPr>
          <w:instrText xml:space="preserve"> PAGEREF _Toc202752868 \h </w:instrText>
        </w:r>
        <w:r w:rsidR="00C34469">
          <w:rPr>
            <w:noProof/>
            <w:webHidden/>
          </w:rPr>
        </w:r>
        <w:r w:rsidR="00C34469">
          <w:rPr>
            <w:noProof/>
            <w:webHidden/>
          </w:rPr>
          <w:fldChar w:fldCharType="separate"/>
        </w:r>
        <w:r w:rsidR="00C34469">
          <w:rPr>
            <w:noProof/>
            <w:webHidden/>
          </w:rPr>
          <w:t>2</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69" w:history="1">
        <w:r w:rsidR="00C34469" w:rsidRPr="00E16774">
          <w:rPr>
            <w:rStyle w:val="Hyperlink"/>
            <w:noProof/>
            <w:snapToGrid w:val="0"/>
          </w:rPr>
          <w:t>Artikel 2 Begriffsbestimmungen</w:t>
        </w:r>
        <w:r w:rsidR="00C34469">
          <w:rPr>
            <w:noProof/>
            <w:webHidden/>
          </w:rPr>
          <w:tab/>
        </w:r>
        <w:r w:rsidR="00C34469">
          <w:rPr>
            <w:noProof/>
            <w:webHidden/>
          </w:rPr>
          <w:fldChar w:fldCharType="begin"/>
        </w:r>
        <w:r w:rsidR="00C34469">
          <w:rPr>
            <w:noProof/>
            <w:webHidden/>
          </w:rPr>
          <w:instrText xml:space="preserve"> PAGEREF _Toc202752869 \h </w:instrText>
        </w:r>
        <w:r w:rsidR="00C34469">
          <w:rPr>
            <w:noProof/>
            <w:webHidden/>
          </w:rPr>
        </w:r>
        <w:r w:rsidR="00C34469">
          <w:rPr>
            <w:noProof/>
            <w:webHidden/>
          </w:rPr>
          <w:fldChar w:fldCharType="separate"/>
        </w:r>
        <w:r w:rsidR="00C34469">
          <w:rPr>
            <w:noProof/>
            <w:webHidden/>
          </w:rPr>
          <w:t>3</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0" w:history="1">
        <w:r w:rsidR="00C34469" w:rsidRPr="00E16774">
          <w:rPr>
            <w:rStyle w:val="Hyperlink"/>
            <w:noProof/>
            <w:snapToGrid w:val="0"/>
          </w:rPr>
          <w:t>Artikel 3 Schwefeldioxid</w:t>
        </w:r>
        <w:r w:rsidR="00C34469">
          <w:rPr>
            <w:noProof/>
            <w:webHidden/>
          </w:rPr>
          <w:tab/>
        </w:r>
        <w:r w:rsidR="00C34469">
          <w:rPr>
            <w:noProof/>
            <w:webHidden/>
          </w:rPr>
          <w:fldChar w:fldCharType="begin"/>
        </w:r>
        <w:r w:rsidR="00C34469">
          <w:rPr>
            <w:noProof/>
            <w:webHidden/>
          </w:rPr>
          <w:instrText xml:space="preserve"> PAGEREF _Toc202752870 \h </w:instrText>
        </w:r>
        <w:r w:rsidR="00C34469">
          <w:rPr>
            <w:noProof/>
            <w:webHidden/>
          </w:rPr>
        </w:r>
        <w:r w:rsidR="00C34469">
          <w:rPr>
            <w:noProof/>
            <w:webHidden/>
          </w:rPr>
          <w:fldChar w:fldCharType="separate"/>
        </w:r>
        <w:r w:rsidR="00C34469">
          <w:rPr>
            <w:noProof/>
            <w:webHidden/>
          </w:rPr>
          <w:t>4</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1" w:history="1">
        <w:r w:rsidR="00C34469" w:rsidRPr="00E16774">
          <w:rPr>
            <w:rStyle w:val="Hyperlink"/>
            <w:noProof/>
            <w:snapToGrid w:val="0"/>
          </w:rPr>
          <w:t>Artikel 4 Stickstoffdioxid und Stickstoffoxide</w:t>
        </w:r>
        <w:r w:rsidR="00C34469">
          <w:rPr>
            <w:noProof/>
            <w:webHidden/>
          </w:rPr>
          <w:tab/>
        </w:r>
        <w:r w:rsidR="00C34469">
          <w:rPr>
            <w:noProof/>
            <w:webHidden/>
          </w:rPr>
          <w:fldChar w:fldCharType="begin"/>
        </w:r>
        <w:r w:rsidR="00C34469">
          <w:rPr>
            <w:noProof/>
            <w:webHidden/>
          </w:rPr>
          <w:instrText xml:space="preserve"> PAGEREF _Toc202752871 \h </w:instrText>
        </w:r>
        <w:r w:rsidR="00C34469">
          <w:rPr>
            <w:noProof/>
            <w:webHidden/>
          </w:rPr>
        </w:r>
        <w:r w:rsidR="00C34469">
          <w:rPr>
            <w:noProof/>
            <w:webHidden/>
          </w:rPr>
          <w:fldChar w:fldCharType="separate"/>
        </w:r>
        <w:r w:rsidR="00C34469">
          <w:rPr>
            <w:noProof/>
            <w:webHidden/>
          </w:rPr>
          <w:t>4</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2" w:history="1">
        <w:r w:rsidR="00C34469" w:rsidRPr="00E16774">
          <w:rPr>
            <w:rStyle w:val="Hyperlink"/>
            <w:noProof/>
            <w:snapToGrid w:val="0"/>
          </w:rPr>
          <w:t>Artikel 5 Partikel</w:t>
        </w:r>
        <w:r w:rsidR="00C34469">
          <w:rPr>
            <w:noProof/>
            <w:webHidden/>
          </w:rPr>
          <w:tab/>
        </w:r>
        <w:r w:rsidR="00C34469">
          <w:rPr>
            <w:noProof/>
            <w:webHidden/>
          </w:rPr>
          <w:fldChar w:fldCharType="begin"/>
        </w:r>
        <w:r w:rsidR="00C34469">
          <w:rPr>
            <w:noProof/>
            <w:webHidden/>
          </w:rPr>
          <w:instrText xml:space="preserve"> PAGEREF _Toc202752872 \h </w:instrText>
        </w:r>
        <w:r w:rsidR="00C34469">
          <w:rPr>
            <w:noProof/>
            <w:webHidden/>
          </w:rPr>
        </w:r>
        <w:r w:rsidR="00C34469">
          <w:rPr>
            <w:noProof/>
            <w:webHidden/>
          </w:rPr>
          <w:fldChar w:fldCharType="separate"/>
        </w:r>
        <w:r w:rsidR="00C34469">
          <w:rPr>
            <w:noProof/>
            <w:webHidden/>
          </w:rPr>
          <w:t>4</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3" w:history="1">
        <w:r w:rsidR="00C34469" w:rsidRPr="00E16774">
          <w:rPr>
            <w:rStyle w:val="Hyperlink"/>
            <w:noProof/>
            <w:snapToGrid w:val="0"/>
          </w:rPr>
          <w:t>Artikel 6 Blei</w:t>
        </w:r>
        <w:r w:rsidR="00C34469">
          <w:rPr>
            <w:noProof/>
            <w:webHidden/>
          </w:rPr>
          <w:tab/>
        </w:r>
        <w:r w:rsidR="00C34469">
          <w:rPr>
            <w:noProof/>
            <w:webHidden/>
          </w:rPr>
          <w:fldChar w:fldCharType="begin"/>
        </w:r>
        <w:r w:rsidR="00C34469">
          <w:rPr>
            <w:noProof/>
            <w:webHidden/>
          </w:rPr>
          <w:instrText xml:space="preserve"> PAGEREF _Toc202752873 \h </w:instrText>
        </w:r>
        <w:r w:rsidR="00C34469">
          <w:rPr>
            <w:noProof/>
            <w:webHidden/>
          </w:rPr>
        </w:r>
        <w:r w:rsidR="00C34469">
          <w:rPr>
            <w:noProof/>
            <w:webHidden/>
          </w:rPr>
          <w:fldChar w:fldCharType="separate"/>
        </w:r>
        <w:r w:rsidR="00C34469">
          <w:rPr>
            <w:noProof/>
            <w:webHidden/>
          </w:rPr>
          <w:t>5</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4" w:history="1">
        <w:r w:rsidR="00C34469" w:rsidRPr="00E16774">
          <w:rPr>
            <w:rStyle w:val="Hyperlink"/>
            <w:noProof/>
            <w:snapToGrid w:val="0"/>
          </w:rPr>
          <w:t>Artikel 7</w:t>
        </w:r>
        <w:r w:rsidR="00C34469" w:rsidRPr="00E16774">
          <w:rPr>
            <w:rStyle w:val="Hyperlink"/>
            <w:i/>
            <w:noProof/>
            <w:snapToGrid w:val="0"/>
          </w:rPr>
          <w:t xml:space="preserve"> </w:t>
        </w:r>
        <w:r w:rsidR="00C34469" w:rsidRPr="00E16774">
          <w:rPr>
            <w:rStyle w:val="Hyperlink"/>
            <w:noProof/>
            <w:snapToGrid w:val="0"/>
          </w:rPr>
          <w:t>Beurteilung der Konzentrationen</w:t>
        </w:r>
        <w:r w:rsidR="00C34469">
          <w:rPr>
            <w:noProof/>
            <w:webHidden/>
          </w:rPr>
          <w:tab/>
        </w:r>
        <w:r w:rsidR="00C34469">
          <w:rPr>
            <w:noProof/>
            <w:webHidden/>
          </w:rPr>
          <w:fldChar w:fldCharType="begin"/>
        </w:r>
        <w:r w:rsidR="00C34469">
          <w:rPr>
            <w:noProof/>
            <w:webHidden/>
          </w:rPr>
          <w:instrText xml:space="preserve"> PAGEREF _Toc202752874 \h </w:instrText>
        </w:r>
        <w:r w:rsidR="00C34469">
          <w:rPr>
            <w:noProof/>
            <w:webHidden/>
          </w:rPr>
        </w:r>
        <w:r w:rsidR="00C34469">
          <w:rPr>
            <w:noProof/>
            <w:webHidden/>
          </w:rPr>
          <w:fldChar w:fldCharType="separate"/>
        </w:r>
        <w:r w:rsidR="00C34469">
          <w:rPr>
            <w:noProof/>
            <w:webHidden/>
          </w:rPr>
          <w:t>5</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5" w:history="1">
        <w:r w:rsidR="00C34469" w:rsidRPr="00E16774">
          <w:rPr>
            <w:rStyle w:val="Hyperlink"/>
            <w:noProof/>
            <w:snapToGrid w:val="0"/>
          </w:rPr>
          <w:t>Artikel 8 Unterrichtung der Öffentlichkeit</w:t>
        </w:r>
        <w:r w:rsidR="00C34469">
          <w:rPr>
            <w:noProof/>
            <w:webHidden/>
          </w:rPr>
          <w:tab/>
        </w:r>
        <w:r w:rsidR="00C34469">
          <w:rPr>
            <w:noProof/>
            <w:webHidden/>
          </w:rPr>
          <w:fldChar w:fldCharType="begin"/>
        </w:r>
        <w:r w:rsidR="00C34469">
          <w:rPr>
            <w:noProof/>
            <w:webHidden/>
          </w:rPr>
          <w:instrText xml:space="preserve"> PAGEREF _Toc202752875 \h </w:instrText>
        </w:r>
        <w:r w:rsidR="00C34469">
          <w:rPr>
            <w:noProof/>
            <w:webHidden/>
          </w:rPr>
        </w:r>
        <w:r w:rsidR="00C34469">
          <w:rPr>
            <w:noProof/>
            <w:webHidden/>
          </w:rPr>
          <w:fldChar w:fldCharType="separate"/>
        </w:r>
        <w:r w:rsidR="00C34469">
          <w:rPr>
            <w:noProof/>
            <w:webHidden/>
          </w:rPr>
          <w:t>6</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6" w:history="1">
        <w:r w:rsidR="00C34469" w:rsidRPr="00E16774">
          <w:rPr>
            <w:rStyle w:val="Hyperlink"/>
            <w:noProof/>
            <w:snapToGrid w:val="0"/>
          </w:rPr>
          <w:t>Artikel 9 Aufhebung von Bestimmungen und Übergangsregelung</w:t>
        </w:r>
        <w:r w:rsidR="00C34469">
          <w:rPr>
            <w:noProof/>
            <w:webHidden/>
          </w:rPr>
          <w:tab/>
        </w:r>
        <w:r w:rsidR="00C34469">
          <w:rPr>
            <w:noProof/>
            <w:webHidden/>
          </w:rPr>
          <w:fldChar w:fldCharType="begin"/>
        </w:r>
        <w:r w:rsidR="00C34469">
          <w:rPr>
            <w:noProof/>
            <w:webHidden/>
          </w:rPr>
          <w:instrText xml:space="preserve"> PAGEREF _Toc202752876 \h </w:instrText>
        </w:r>
        <w:r w:rsidR="00C34469">
          <w:rPr>
            <w:noProof/>
            <w:webHidden/>
          </w:rPr>
        </w:r>
        <w:r w:rsidR="00C34469">
          <w:rPr>
            <w:noProof/>
            <w:webHidden/>
          </w:rPr>
          <w:fldChar w:fldCharType="separate"/>
        </w:r>
        <w:r w:rsidR="00C34469">
          <w:rPr>
            <w:noProof/>
            <w:webHidden/>
          </w:rPr>
          <w:t>6</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7" w:history="1">
        <w:r w:rsidR="00C34469" w:rsidRPr="00E16774">
          <w:rPr>
            <w:rStyle w:val="Hyperlink"/>
            <w:noProof/>
            <w:snapToGrid w:val="0"/>
          </w:rPr>
          <w:t>Artikel 10 Bericht und Revision</w:t>
        </w:r>
        <w:r w:rsidR="00C34469">
          <w:rPr>
            <w:noProof/>
            <w:webHidden/>
          </w:rPr>
          <w:tab/>
        </w:r>
        <w:r w:rsidR="00C34469">
          <w:rPr>
            <w:noProof/>
            <w:webHidden/>
          </w:rPr>
          <w:fldChar w:fldCharType="begin"/>
        </w:r>
        <w:r w:rsidR="00C34469">
          <w:rPr>
            <w:noProof/>
            <w:webHidden/>
          </w:rPr>
          <w:instrText xml:space="preserve"> PAGEREF _Toc202752877 \h </w:instrText>
        </w:r>
        <w:r w:rsidR="00C34469">
          <w:rPr>
            <w:noProof/>
            <w:webHidden/>
          </w:rPr>
        </w:r>
        <w:r w:rsidR="00C34469">
          <w:rPr>
            <w:noProof/>
            <w:webHidden/>
          </w:rPr>
          <w:fldChar w:fldCharType="separate"/>
        </w:r>
        <w:r w:rsidR="00C34469">
          <w:rPr>
            <w:noProof/>
            <w:webHidden/>
          </w:rPr>
          <w:t>7</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8" w:history="1">
        <w:r w:rsidR="00C34469" w:rsidRPr="00E16774">
          <w:rPr>
            <w:rStyle w:val="Hyperlink"/>
            <w:noProof/>
            <w:snapToGrid w:val="0"/>
          </w:rPr>
          <w:t>Artikel 11 Sanktionen</w:t>
        </w:r>
        <w:r w:rsidR="00C34469">
          <w:rPr>
            <w:noProof/>
            <w:webHidden/>
          </w:rPr>
          <w:tab/>
        </w:r>
        <w:r w:rsidR="00C34469">
          <w:rPr>
            <w:noProof/>
            <w:webHidden/>
          </w:rPr>
          <w:fldChar w:fldCharType="begin"/>
        </w:r>
        <w:r w:rsidR="00C34469">
          <w:rPr>
            <w:noProof/>
            <w:webHidden/>
          </w:rPr>
          <w:instrText xml:space="preserve"> PAGEREF _Toc202752878 \h </w:instrText>
        </w:r>
        <w:r w:rsidR="00C34469">
          <w:rPr>
            <w:noProof/>
            <w:webHidden/>
          </w:rPr>
        </w:r>
        <w:r w:rsidR="00C34469">
          <w:rPr>
            <w:noProof/>
            <w:webHidden/>
          </w:rPr>
          <w:fldChar w:fldCharType="separate"/>
        </w:r>
        <w:r w:rsidR="00C34469">
          <w:rPr>
            <w:noProof/>
            <w:webHidden/>
          </w:rPr>
          <w:t>8</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79" w:history="1">
        <w:r w:rsidR="00C34469" w:rsidRPr="00E16774">
          <w:rPr>
            <w:rStyle w:val="Hyperlink"/>
            <w:noProof/>
          </w:rPr>
          <w:t>Artikel 12 Umsetzung</w:t>
        </w:r>
        <w:r w:rsidR="00C34469">
          <w:rPr>
            <w:noProof/>
            <w:webHidden/>
          </w:rPr>
          <w:tab/>
        </w:r>
        <w:r w:rsidR="00C34469">
          <w:rPr>
            <w:noProof/>
            <w:webHidden/>
          </w:rPr>
          <w:fldChar w:fldCharType="begin"/>
        </w:r>
        <w:r w:rsidR="00C34469">
          <w:rPr>
            <w:noProof/>
            <w:webHidden/>
          </w:rPr>
          <w:instrText xml:space="preserve"> PAGEREF _Toc202752879 \h </w:instrText>
        </w:r>
        <w:r w:rsidR="00C34469">
          <w:rPr>
            <w:noProof/>
            <w:webHidden/>
          </w:rPr>
        </w:r>
        <w:r w:rsidR="00C34469">
          <w:rPr>
            <w:noProof/>
            <w:webHidden/>
          </w:rPr>
          <w:fldChar w:fldCharType="separate"/>
        </w:r>
        <w:r w:rsidR="00C34469">
          <w:rPr>
            <w:noProof/>
            <w:webHidden/>
          </w:rPr>
          <w:t>8</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0" w:history="1">
        <w:r w:rsidR="00C34469" w:rsidRPr="00E16774">
          <w:rPr>
            <w:rStyle w:val="Hyperlink"/>
            <w:noProof/>
            <w:snapToGrid w:val="0"/>
          </w:rPr>
          <w:t>Artikel 13 Inkrafttreten</w:t>
        </w:r>
        <w:r w:rsidR="00C34469">
          <w:rPr>
            <w:noProof/>
            <w:webHidden/>
          </w:rPr>
          <w:tab/>
        </w:r>
        <w:r w:rsidR="00C34469">
          <w:rPr>
            <w:noProof/>
            <w:webHidden/>
          </w:rPr>
          <w:fldChar w:fldCharType="begin"/>
        </w:r>
        <w:r w:rsidR="00C34469">
          <w:rPr>
            <w:noProof/>
            <w:webHidden/>
          </w:rPr>
          <w:instrText xml:space="preserve"> PAGEREF _Toc202752880 \h </w:instrText>
        </w:r>
        <w:r w:rsidR="00C34469">
          <w:rPr>
            <w:noProof/>
            <w:webHidden/>
          </w:rPr>
        </w:r>
        <w:r w:rsidR="00C34469">
          <w:rPr>
            <w:noProof/>
            <w:webHidden/>
          </w:rPr>
          <w:fldChar w:fldCharType="separate"/>
        </w:r>
        <w:r w:rsidR="00C34469">
          <w:rPr>
            <w:noProof/>
            <w:webHidden/>
          </w:rPr>
          <w:t>8</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1" w:history="1">
        <w:r w:rsidR="00C34469" w:rsidRPr="00E16774">
          <w:rPr>
            <w:rStyle w:val="Hyperlink"/>
            <w:noProof/>
            <w:snapToGrid w:val="0"/>
          </w:rPr>
          <w:t>Artikel 14 Adressaten</w:t>
        </w:r>
        <w:r w:rsidR="00C34469">
          <w:rPr>
            <w:noProof/>
            <w:webHidden/>
          </w:rPr>
          <w:tab/>
        </w:r>
        <w:r w:rsidR="00C34469">
          <w:rPr>
            <w:noProof/>
            <w:webHidden/>
          </w:rPr>
          <w:fldChar w:fldCharType="begin"/>
        </w:r>
        <w:r w:rsidR="00C34469">
          <w:rPr>
            <w:noProof/>
            <w:webHidden/>
          </w:rPr>
          <w:instrText xml:space="preserve"> PAGEREF _Toc202752881 \h </w:instrText>
        </w:r>
        <w:r w:rsidR="00C34469">
          <w:rPr>
            <w:noProof/>
            <w:webHidden/>
          </w:rPr>
        </w:r>
        <w:r w:rsidR="00C34469">
          <w:rPr>
            <w:noProof/>
            <w:webHidden/>
          </w:rPr>
          <w:fldChar w:fldCharType="separate"/>
        </w:r>
        <w:r w:rsidR="00C34469">
          <w:rPr>
            <w:noProof/>
            <w:webHidden/>
          </w:rPr>
          <w:t>8</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2" w:history="1">
        <w:r w:rsidR="00C34469" w:rsidRPr="00E16774">
          <w:rPr>
            <w:rStyle w:val="Hyperlink"/>
            <w:noProof/>
            <w:snapToGrid w:val="0"/>
          </w:rPr>
          <w:t>ANHANG I GRENZWERTE UND ALARMSCHWELLE FÜR SCHWEFELDIOXID</w:t>
        </w:r>
        <w:r w:rsidR="00C34469">
          <w:rPr>
            <w:noProof/>
            <w:webHidden/>
          </w:rPr>
          <w:tab/>
        </w:r>
        <w:r w:rsidR="00C34469">
          <w:rPr>
            <w:noProof/>
            <w:webHidden/>
          </w:rPr>
          <w:fldChar w:fldCharType="begin"/>
        </w:r>
        <w:r w:rsidR="00C34469">
          <w:rPr>
            <w:noProof/>
            <w:webHidden/>
          </w:rPr>
          <w:instrText xml:space="preserve"> PAGEREF _Toc202752882 \h </w:instrText>
        </w:r>
        <w:r w:rsidR="00C34469">
          <w:rPr>
            <w:noProof/>
            <w:webHidden/>
          </w:rPr>
        </w:r>
        <w:r w:rsidR="00C34469">
          <w:rPr>
            <w:noProof/>
            <w:webHidden/>
          </w:rPr>
          <w:fldChar w:fldCharType="separate"/>
        </w:r>
        <w:r w:rsidR="00C34469">
          <w:rPr>
            <w:noProof/>
            <w:webHidden/>
          </w:rPr>
          <w:t>9</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3" w:history="1">
        <w:r w:rsidR="00C34469" w:rsidRPr="00E16774">
          <w:rPr>
            <w:rStyle w:val="Hyperlink"/>
            <w:noProof/>
            <w:snapToGrid w:val="0"/>
          </w:rPr>
          <w:t>ANHANG II GRENZWERTE FÜR STICKSTOFFDIOXID (NO</w:t>
        </w:r>
        <w:r w:rsidR="00C34469" w:rsidRPr="00E16774">
          <w:rPr>
            <w:rStyle w:val="Hyperlink"/>
            <w:noProof/>
            <w:snapToGrid w:val="0"/>
            <w:vertAlign w:val="subscript"/>
          </w:rPr>
          <w:t>2</w:t>
        </w:r>
        <w:r w:rsidR="00C34469" w:rsidRPr="00E16774">
          <w:rPr>
            <w:rStyle w:val="Hyperlink"/>
            <w:noProof/>
            <w:snapToGrid w:val="0"/>
          </w:rPr>
          <w:t xml:space="preserve"> )UND STICKSTOFFOXIDE (NO</w:t>
        </w:r>
        <w:r w:rsidR="00C34469" w:rsidRPr="00E16774">
          <w:rPr>
            <w:rStyle w:val="Hyperlink"/>
            <w:noProof/>
            <w:snapToGrid w:val="0"/>
            <w:vertAlign w:val="subscript"/>
          </w:rPr>
          <w:t>x</w:t>
        </w:r>
        <w:r w:rsidR="00C34469" w:rsidRPr="00E16774">
          <w:rPr>
            <w:rStyle w:val="Hyperlink"/>
            <w:noProof/>
            <w:snapToGrid w:val="0"/>
          </w:rPr>
          <w:t xml:space="preserve"> )UND ALARMSCHWELLE FÜR STICKSTOFFDIOXID</w:t>
        </w:r>
        <w:r w:rsidR="00C34469">
          <w:rPr>
            <w:noProof/>
            <w:webHidden/>
          </w:rPr>
          <w:tab/>
        </w:r>
        <w:r w:rsidR="00C34469">
          <w:rPr>
            <w:noProof/>
            <w:webHidden/>
          </w:rPr>
          <w:fldChar w:fldCharType="begin"/>
        </w:r>
        <w:r w:rsidR="00C34469">
          <w:rPr>
            <w:noProof/>
            <w:webHidden/>
          </w:rPr>
          <w:instrText xml:space="preserve"> PAGEREF _Toc202752883 \h </w:instrText>
        </w:r>
        <w:r w:rsidR="00C34469">
          <w:rPr>
            <w:noProof/>
            <w:webHidden/>
          </w:rPr>
        </w:r>
        <w:r w:rsidR="00C34469">
          <w:rPr>
            <w:noProof/>
            <w:webHidden/>
          </w:rPr>
          <w:fldChar w:fldCharType="separate"/>
        </w:r>
        <w:r w:rsidR="00C34469">
          <w:rPr>
            <w:noProof/>
            <w:webHidden/>
          </w:rPr>
          <w:t>10</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4" w:history="1">
        <w:r w:rsidR="00C34469" w:rsidRPr="00E16774">
          <w:rPr>
            <w:rStyle w:val="Hyperlink"/>
            <w:noProof/>
            <w:snapToGrid w:val="0"/>
          </w:rPr>
          <w:t>ANHANG III GRENZWERTE FÜR PARTIKEL (PM10)</w:t>
        </w:r>
        <w:r w:rsidR="00C34469">
          <w:rPr>
            <w:noProof/>
            <w:webHidden/>
          </w:rPr>
          <w:tab/>
        </w:r>
        <w:r w:rsidR="00C34469">
          <w:rPr>
            <w:noProof/>
            <w:webHidden/>
          </w:rPr>
          <w:fldChar w:fldCharType="begin"/>
        </w:r>
        <w:r w:rsidR="00C34469">
          <w:rPr>
            <w:noProof/>
            <w:webHidden/>
          </w:rPr>
          <w:instrText xml:space="preserve"> PAGEREF _Toc202752884 \h </w:instrText>
        </w:r>
        <w:r w:rsidR="00C34469">
          <w:rPr>
            <w:noProof/>
            <w:webHidden/>
          </w:rPr>
        </w:r>
        <w:r w:rsidR="00C34469">
          <w:rPr>
            <w:noProof/>
            <w:webHidden/>
          </w:rPr>
          <w:fldChar w:fldCharType="separate"/>
        </w:r>
        <w:r w:rsidR="00C34469">
          <w:rPr>
            <w:noProof/>
            <w:webHidden/>
          </w:rPr>
          <w:t>11</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5" w:history="1">
        <w:r w:rsidR="00C34469" w:rsidRPr="00E16774">
          <w:rPr>
            <w:rStyle w:val="Hyperlink"/>
            <w:noProof/>
            <w:snapToGrid w:val="0"/>
          </w:rPr>
          <w:t>ANHANG IV GRENZWERT FÜR BLEI</w:t>
        </w:r>
        <w:r w:rsidR="00C34469">
          <w:rPr>
            <w:noProof/>
            <w:webHidden/>
          </w:rPr>
          <w:tab/>
        </w:r>
        <w:r w:rsidR="00C34469">
          <w:rPr>
            <w:noProof/>
            <w:webHidden/>
          </w:rPr>
          <w:fldChar w:fldCharType="begin"/>
        </w:r>
        <w:r w:rsidR="00C34469">
          <w:rPr>
            <w:noProof/>
            <w:webHidden/>
          </w:rPr>
          <w:instrText xml:space="preserve"> PAGEREF _Toc202752885 \h </w:instrText>
        </w:r>
        <w:r w:rsidR="00C34469">
          <w:rPr>
            <w:noProof/>
            <w:webHidden/>
          </w:rPr>
        </w:r>
        <w:r w:rsidR="00C34469">
          <w:rPr>
            <w:noProof/>
            <w:webHidden/>
          </w:rPr>
          <w:fldChar w:fldCharType="separate"/>
        </w:r>
        <w:r w:rsidR="00C34469">
          <w:rPr>
            <w:noProof/>
            <w:webHidden/>
          </w:rPr>
          <w:t>12</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6" w:history="1">
        <w:r w:rsidR="00C34469" w:rsidRPr="00E16774">
          <w:rPr>
            <w:rStyle w:val="Hyperlink"/>
            <w:noProof/>
            <w:snapToGrid w:val="0"/>
          </w:rPr>
          <w:t>ANHANG V Ermittlung der Anforderungen für die Beurteilung der Konzentration von Schwefeldioxid, Stickstoffdioxid (NO</w:t>
        </w:r>
        <w:r w:rsidR="00C34469" w:rsidRPr="00E16774">
          <w:rPr>
            <w:rStyle w:val="Hyperlink"/>
            <w:noProof/>
            <w:snapToGrid w:val="0"/>
            <w:vertAlign w:val="subscript"/>
          </w:rPr>
          <w:t>2</w:t>
        </w:r>
        <w:r w:rsidR="00C34469" w:rsidRPr="00E16774">
          <w:rPr>
            <w:rStyle w:val="Hyperlink"/>
            <w:noProof/>
            <w:snapToGrid w:val="0"/>
          </w:rPr>
          <w:t>),und Stickstoffoxiden (NO</w:t>
        </w:r>
        <w:r w:rsidR="00C34469" w:rsidRPr="00E16774">
          <w:rPr>
            <w:rStyle w:val="Hyperlink"/>
            <w:noProof/>
            <w:snapToGrid w:val="0"/>
            <w:vertAlign w:val="subscript"/>
          </w:rPr>
          <w:t>x</w:t>
        </w:r>
        <w:r w:rsidR="00C34469" w:rsidRPr="00E16774">
          <w:rPr>
            <w:rStyle w:val="Hyperlink"/>
            <w:noProof/>
            <w:snapToGrid w:val="0"/>
          </w:rPr>
          <w:t>), Partikeln (PM</w:t>
        </w:r>
        <w:r w:rsidR="00C34469" w:rsidRPr="00E16774">
          <w:rPr>
            <w:rStyle w:val="Hyperlink"/>
            <w:noProof/>
            <w:snapToGrid w:val="0"/>
            <w:vertAlign w:val="subscript"/>
          </w:rPr>
          <w:t>10</w:t>
        </w:r>
        <w:r w:rsidR="00C34469" w:rsidRPr="00E16774">
          <w:rPr>
            <w:rStyle w:val="Hyperlink"/>
            <w:noProof/>
            <w:snapToGrid w:val="0"/>
          </w:rPr>
          <w:t>) und Blei in der Luft innerhalb eines Gebiets oder Ballungsraums</w:t>
        </w:r>
        <w:r w:rsidR="00C34469">
          <w:rPr>
            <w:noProof/>
            <w:webHidden/>
          </w:rPr>
          <w:tab/>
        </w:r>
        <w:r w:rsidR="00C34469">
          <w:rPr>
            <w:noProof/>
            <w:webHidden/>
          </w:rPr>
          <w:fldChar w:fldCharType="begin"/>
        </w:r>
        <w:r w:rsidR="00C34469">
          <w:rPr>
            <w:noProof/>
            <w:webHidden/>
          </w:rPr>
          <w:instrText xml:space="preserve"> PAGEREF _Toc202752886 \h </w:instrText>
        </w:r>
        <w:r w:rsidR="00C34469">
          <w:rPr>
            <w:noProof/>
            <w:webHidden/>
          </w:rPr>
        </w:r>
        <w:r w:rsidR="00C34469">
          <w:rPr>
            <w:noProof/>
            <w:webHidden/>
          </w:rPr>
          <w:fldChar w:fldCharType="separate"/>
        </w:r>
        <w:r w:rsidR="00C34469">
          <w:rPr>
            <w:noProof/>
            <w:webHidden/>
          </w:rPr>
          <w:t>13</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7" w:history="1">
        <w:r w:rsidR="00C34469" w:rsidRPr="00E16774">
          <w:rPr>
            <w:rStyle w:val="Hyperlink"/>
            <w:noProof/>
            <w:snapToGrid w:val="0"/>
          </w:rPr>
          <w:t xml:space="preserve">ANHANG VI </w:t>
        </w:r>
        <w:r w:rsidR="00C34469" w:rsidRPr="00E16774">
          <w:rPr>
            <w:rStyle w:val="Hyperlink"/>
            <w:caps/>
            <w:noProof/>
            <w:snapToGrid w:val="0"/>
          </w:rPr>
          <w:t>Lage der Probenahmestellen</w:t>
        </w:r>
        <w:r w:rsidR="00C34469" w:rsidRPr="00E16774">
          <w:rPr>
            <w:rStyle w:val="Hyperlink"/>
            <w:noProof/>
            <w:snapToGrid w:val="0"/>
          </w:rPr>
          <w:t xml:space="preserve"> FÜR MESSUNGEN VON SCHWEFELDIOXID, STICKSTOFFDIOXID UND STICKSTOFFOXIDEN, PARTIKELN UND BLEI IN DER LUFT</w:t>
        </w:r>
        <w:r w:rsidR="00C34469">
          <w:rPr>
            <w:noProof/>
            <w:webHidden/>
          </w:rPr>
          <w:tab/>
        </w:r>
        <w:r w:rsidR="00C34469">
          <w:rPr>
            <w:noProof/>
            <w:webHidden/>
          </w:rPr>
          <w:fldChar w:fldCharType="begin"/>
        </w:r>
        <w:r w:rsidR="00C34469">
          <w:rPr>
            <w:noProof/>
            <w:webHidden/>
          </w:rPr>
          <w:instrText xml:space="preserve"> PAGEREF _Toc202752887 \h </w:instrText>
        </w:r>
        <w:r w:rsidR="00C34469">
          <w:rPr>
            <w:noProof/>
            <w:webHidden/>
          </w:rPr>
        </w:r>
        <w:r w:rsidR="00C34469">
          <w:rPr>
            <w:noProof/>
            <w:webHidden/>
          </w:rPr>
          <w:fldChar w:fldCharType="separate"/>
        </w:r>
        <w:r w:rsidR="00C34469">
          <w:rPr>
            <w:noProof/>
            <w:webHidden/>
          </w:rPr>
          <w:t>15</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8" w:history="1">
        <w:r w:rsidR="00C34469" w:rsidRPr="00E16774">
          <w:rPr>
            <w:rStyle w:val="Hyperlink"/>
            <w:noProof/>
            <w:snapToGrid w:val="0"/>
          </w:rPr>
          <w:t>ANHANG VII KRITERIEN FÜR DIE FESTLEGUNG DER MINDESTZAHL DER PROBENAHMESTELLEN FÜR ORTSFESTE MESSUNGEN VON SCHWEFELDIOXID (SO</w:t>
        </w:r>
        <w:r w:rsidR="00C34469" w:rsidRPr="00E16774">
          <w:rPr>
            <w:rStyle w:val="Hyperlink"/>
            <w:noProof/>
            <w:snapToGrid w:val="0"/>
            <w:vertAlign w:val="subscript"/>
          </w:rPr>
          <w:t>2</w:t>
        </w:r>
        <w:r w:rsidR="00C34469" w:rsidRPr="00E16774">
          <w:rPr>
            <w:rStyle w:val="Hyperlink"/>
            <w:noProof/>
            <w:snapToGrid w:val="0"/>
          </w:rPr>
          <w:t>), STICKSTOFFDIOXID (NO</w:t>
        </w:r>
        <w:r w:rsidR="00C34469" w:rsidRPr="00E16774">
          <w:rPr>
            <w:rStyle w:val="Hyperlink"/>
            <w:noProof/>
            <w:snapToGrid w:val="0"/>
            <w:vertAlign w:val="subscript"/>
          </w:rPr>
          <w:t>2</w:t>
        </w:r>
        <w:r w:rsidR="00C34469" w:rsidRPr="00E16774">
          <w:rPr>
            <w:rStyle w:val="Hyperlink"/>
            <w:noProof/>
            <w:snapToGrid w:val="0"/>
          </w:rPr>
          <w:t>) UND STICKSTOFFOXIDEN (NO</w:t>
        </w:r>
        <w:r w:rsidR="00C34469" w:rsidRPr="00E16774">
          <w:rPr>
            <w:rStyle w:val="Hyperlink"/>
            <w:noProof/>
            <w:snapToGrid w:val="0"/>
            <w:vertAlign w:val="subscript"/>
          </w:rPr>
          <w:t>x</w:t>
        </w:r>
        <w:r w:rsidR="00C34469" w:rsidRPr="00E16774">
          <w:rPr>
            <w:rStyle w:val="Hyperlink"/>
            <w:noProof/>
            <w:snapToGrid w:val="0"/>
          </w:rPr>
          <w:t>), PARTIKELN UND BLEI IN DER LUFT</w:t>
        </w:r>
        <w:r w:rsidR="00C34469">
          <w:rPr>
            <w:noProof/>
            <w:webHidden/>
          </w:rPr>
          <w:tab/>
        </w:r>
        <w:r w:rsidR="00C34469">
          <w:rPr>
            <w:noProof/>
            <w:webHidden/>
          </w:rPr>
          <w:fldChar w:fldCharType="begin"/>
        </w:r>
        <w:r w:rsidR="00C34469">
          <w:rPr>
            <w:noProof/>
            <w:webHidden/>
          </w:rPr>
          <w:instrText xml:space="preserve"> PAGEREF _Toc202752888 \h </w:instrText>
        </w:r>
        <w:r w:rsidR="00C34469">
          <w:rPr>
            <w:noProof/>
            <w:webHidden/>
          </w:rPr>
        </w:r>
        <w:r w:rsidR="00C34469">
          <w:rPr>
            <w:noProof/>
            <w:webHidden/>
          </w:rPr>
          <w:fldChar w:fldCharType="separate"/>
        </w:r>
        <w:r w:rsidR="00C34469">
          <w:rPr>
            <w:noProof/>
            <w:webHidden/>
          </w:rPr>
          <w:t>17</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89" w:history="1">
        <w:r w:rsidR="00C34469" w:rsidRPr="00E16774">
          <w:rPr>
            <w:rStyle w:val="Hyperlink"/>
            <w:noProof/>
            <w:snapToGrid w:val="0"/>
          </w:rPr>
          <w:t>ANHANG VIII DATENQUALITÄTSZIELE UND ZUSAMMENSTELLUNG DER ERGEBNISSE DER LUFTQUALITÄTSBEURTEILUNG</w:t>
        </w:r>
        <w:r w:rsidR="00C34469">
          <w:rPr>
            <w:noProof/>
            <w:webHidden/>
          </w:rPr>
          <w:tab/>
        </w:r>
        <w:r w:rsidR="00C34469">
          <w:rPr>
            <w:noProof/>
            <w:webHidden/>
          </w:rPr>
          <w:fldChar w:fldCharType="begin"/>
        </w:r>
        <w:r w:rsidR="00C34469">
          <w:rPr>
            <w:noProof/>
            <w:webHidden/>
          </w:rPr>
          <w:instrText xml:space="preserve"> PAGEREF _Toc202752889 \h </w:instrText>
        </w:r>
        <w:r w:rsidR="00C34469">
          <w:rPr>
            <w:noProof/>
            <w:webHidden/>
          </w:rPr>
        </w:r>
        <w:r w:rsidR="00C34469">
          <w:rPr>
            <w:noProof/>
            <w:webHidden/>
          </w:rPr>
          <w:fldChar w:fldCharType="separate"/>
        </w:r>
        <w:r w:rsidR="00C34469">
          <w:rPr>
            <w:noProof/>
            <w:webHidden/>
          </w:rPr>
          <w:t>18</w:t>
        </w:r>
        <w:r w:rsidR="00C34469">
          <w:rPr>
            <w:noProof/>
            <w:webHidden/>
          </w:rPr>
          <w:fldChar w:fldCharType="end"/>
        </w:r>
      </w:hyperlink>
    </w:p>
    <w:p w:rsidR="00C34469" w:rsidRDefault="00D871B8">
      <w:pPr>
        <w:pStyle w:val="Verzeichnis2"/>
        <w:tabs>
          <w:tab w:val="clear" w:pos="9638"/>
          <w:tab w:val="right" w:leader="dot" w:pos="9627"/>
        </w:tabs>
        <w:rPr>
          <w:smallCaps w:val="0"/>
          <w:noProof/>
          <w:sz w:val="24"/>
          <w:szCs w:val="24"/>
        </w:rPr>
      </w:pPr>
      <w:hyperlink w:anchor="_Toc202752890" w:history="1">
        <w:r w:rsidR="00C34469" w:rsidRPr="00E16774">
          <w:rPr>
            <w:rStyle w:val="Hyperlink"/>
            <w:noProof/>
            <w:snapToGrid w:val="0"/>
          </w:rPr>
          <w:t>ANHANG IX REFERENZMETHODEN FÜR DIE BEURTEILUNG DER KONZENTRATION VON SCHWEFELDIOXID, STICKSTOFFDIOXID UND STICKSTOFFOXIDEN, PARTIKELN (PM10 und PM2,5) UND BLEI</w:t>
        </w:r>
        <w:r w:rsidR="00C34469">
          <w:rPr>
            <w:noProof/>
            <w:webHidden/>
          </w:rPr>
          <w:tab/>
        </w:r>
        <w:r w:rsidR="00C34469">
          <w:rPr>
            <w:noProof/>
            <w:webHidden/>
          </w:rPr>
          <w:fldChar w:fldCharType="begin"/>
        </w:r>
        <w:r w:rsidR="00C34469">
          <w:rPr>
            <w:noProof/>
            <w:webHidden/>
          </w:rPr>
          <w:instrText xml:space="preserve"> PAGEREF _Toc202752890 \h </w:instrText>
        </w:r>
        <w:r w:rsidR="00C34469">
          <w:rPr>
            <w:noProof/>
            <w:webHidden/>
          </w:rPr>
        </w:r>
        <w:r w:rsidR="00C34469">
          <w:rPr>
            <w:noProof/>
            <w:webHidden/>
          </w:rPr>
          <w:fldChar w:fldCharType="separate"/>
        </w:r>
        <w:r w:rsidR="00C34469">
          <w:rPr>
            <w:noProof/>
            <w:webHidden/>
          </w:rPr>
          <w:t>20</w:t>
        </w:r>
        <w:r w:rsidR="00C34469">
          <w:rPr>
            <w:noProof/>
            <w:webHidden/>
          </w:rPr>
          <w:fldChar w:fldCharType="end"/>
        </w:r>
      </w:hyperlink>
    </w:p>
    <w:p w:rsidR="00461179" w:rsidRDefault="00C34469">
      <w:pPr>
        <w:jc w:val="center"/>
      </w:pPr>
      <w:r>
        <w:rPr>
          <w:rFonts w:ascii="Times New Roman" w:hAnsi="Times New Roman"/>
          <w:b/>
          <w:bCs/>
          <w:caps/>
        </w:rPr>
        <w:fldChar w:fldCharType="end"/>
      </w:r>
    </w:p>
    <w:p w:rsidR="00461179" w:rsidRDefault="00461179">
      <w:pPr>
        <w:pStyle w:val="GesAbsatz"/>
        <w:rPr>
          <w:snapToGrid w:val="0"/>
        </w:rPr>
      </w:pPr>
      <w:r>
        <w:rPr>
          <w:snapToGrid w:val="0"/>
        </w:rPr>
        <w:t xml:space="preserve">DER RAT DER EUROPÄISCHEN UNION </w:t>
      </w:r>
    </w:p>
    <w:p w:rsidR="00461179" w:rsidRDefault="00461179">
      <w:pPr>
        <w:pStyle w:val="GesAbsatz"/>
        <w:rPr>
          <w:snapToGrid w:val="0"/>
        </w:rPr>
      </w:pPr>
      <w:r>
        <w:rPr>
          <w:snapToGrid w:val="0"/>
        </w:rPr>
        <w:t>gestützt auf den Vertrag zur Gründung der Europäischen Gemeinschaft, insbesondere auf Artikel 130s A</w:t>
      </w:r>
      <w:r>
        <w:rPr>
          <w:snapToGrid w:val="0"/>
        </w:rPr>
        <w:t>b</w:t>
      </w:r>
      <w:r>
        <w:rPr>
          <w:snapToGrid w:val="0"/>
        </w:rPr>
        <w:t>satz 1,</w:t>
      </w:r>
    </w:p>
    <w:p w:rsidR="00461179" w:rsidRDefault="00461179">
      <w:pPr>
        <w:pStyle w:val="GesAbsatz"/>
        <w:rPr>
          <w:snapToGrid w:val="0"/>
        </w:rPr>
      </w:pPr>
      <w:r>
        <w:rPr>
          <w:snapToGrid w:val="0"/>
        </w:rPr>
        <w:t>auf Vorschlag der Kommission</w:t>
      </w:r>
      <w:r>
        <w:rPr>
          <w:rStyle w:val="Funotenzeichen"/>
        </w:rPr>
        <w:footnoteReference w:customMarkFollows="1" w:id="1"/>
        <w:t>(1</w:t>
      </w:r>
      <w:r>
        <w:rPr>
          <w:rStyle w:val="Funotenzeichen"/>
          <w:snapToGrid w:val="0"/>
        </w:rPr>
        <w:t>)</w:t>
      </w:r>
      <w:r>
        <w:rPr>
          <w:snapToGrid w:val="0"/>
        </w:rPr>
        <w:t>, nach Stellungnahme des Wirtschafts- und Sozialausschusses</w:t>
      </w:r>
      <w:r>
        <w:rPr>
          <w:rStyle w:val="Funotenzeichen"/>
        </w:rPr>
        <w:footnoteReference w:customMarkFollows="1" w:id="2"/>
        <w:t>(2</w:t>
      </w:r>
      <w:r>
        <w:rPr>
          <w:rStyle w:val="Funotenzeichen"/>
          <w:snapToGrid w:val="0"/>
        </w:rPr>
        <w:t>)</w:t>
      </w:r>
      <w:r>
        <w:rPr>
          <w:snapToGrid w:val="0"/>
        </w:rPr>
        <w:t>,</w:t>
      </w:r>
    </w:p>
    <w:p w:rsidR="00461179" w:rsidRDefault="00461179">
      <w:pPr>
        <w:pStyle w:val="GesAbsatz"/>
        <w:rPr>
          <w:snapToGrid w:val="0"/>
        </w:rPr>
      </w:pPr>
      <w:r>
        <w:rPr>
          <w:snapToGrid w:val="0"/>
        </w:rPr>
        <w:t>gemäß dem Verfahren des Artikels 189c des Vertrags</w:t>
      </w:r>
      <w:r>
        <w:rPr>
          <w:rStyle w:val="Funotenzeichen"/>
        </w:rPr>
        <w:footnoteReference w:customMarkFollows="1" w:id="3"/>
        <w:t>(3</w:t>
      </w:r>
      <w:r>
        <w:rPr>
          <w:rStyle w:val="Funotenzeichen"/>
          <w:snapToGrid w:val="0"/>
        </w:rPr>
        <w:t>)</w:t>
      </w:r>
      <w:r>
        <w:rPr>
          <w:snapToGrid w:val="0"/>
        </w:rPr>
        <w:t>,</w:t>
      </w:r>
    </w:p>
    <w:p w:rsidR="00461179" w:rsidRDefault="00461179">
      <w:pPr>
        <w:pStyle w:val="GesAbsatz"/>
        <w:rPr>
          <w:snapToGrid w:val="0"/>
        </w:rPr>
      </w:pPr>
      <w:r>
        <w:rPr>
          <w:snapToGrid w:val="0"/>
        </w:rPr>
        <w:t>in Erwägung nachstehender Gründe:</w:t>
      </w:r>
    </w:p>
    <w:p w:rsidR="00461179" w:rsidRDefault="00461179">
      <w:pPr>
        <w:pStyle w:val="GesAbsatz"/>
        <w:rPr>
          <w:snapToGrid w:val="0"/>
        </w:rPr>
      </w:pPr>
      <w:r>
        <w:rPr>
          <w:snapToGrid w:val="0"/>
        </w:rPr>
        <w:lastRenderedPageBreak/>
        <w:t>(1) Auf der Grundlage der in Artikel 130r des Vertrags niedergelegten Grundsätze sieht das Programm der Europäischen Gemeinschaft für Umweltpolitik und Maßnahmen im Hinblick auf eine dauerhafte und umwel</w:t>
      </w:r>
      <w:r>
        <w:rPr>
          <w:snapToGrid w:val="0"/>
        </w:rPr>
        <w:t>t</w:t>
      </w:r>
      <w:r>
        <w:rPr>
          <w:snapToGrid w:val="0"/>
        </w:rPr>
        <w:t>gerechte Entwicklung (fünftes Umweltaktionsprogramm)</w:t>
      </w:r>
      <w:r>
        <w:rPr>
          <w:rStyle w:val="Funotenzeichen"/>
        </w:rPr>
        <w:footnoteReference w:customMarkFollows="1" w:id="4"/>
        <w:t>(4</w:t>
      </w:r>
      <w:r>
        <w:rPr>
          <w:rStyle w:val="Funotenzeichen"/>
          <w:snapToGrid w:val="0"/>
        </w:rPr>
        <w:t>)</w:t>
      </w:r>
      <w:r>
        <w:rPr>
          <w:snapToGrid w:val="0"/>
        </w:rPr>
        <w:t xml:space="preserve"> insbesondere Änderungen der bestehenden Rechtsvorschriften für Luftschadstoffe vor. Das genannte Programm empfiehlt die Aufstellung langfristiger Luftqualitätsziele.</w:t>
      </w:r>
    </w:p>
    <w:p w:rsidR="00461179" w:rsidRDefault="00461179">
      <w:pPr>
        <w:pStyle w:val="GesAbsatz"/>
        <w:rPr>
          <w:snapToGrid w:val="0"/>
        </w:rPr>
      </w:pPr>
      <w:r>
        <w:rPr>
          <w:snapToGrid w:val="0"/>
        </w:rPr>
        <w:t xml:space="preserve">(2) Nach Artikel 129 des Vertrags sind die Erfordernisse im Bereich des Gesundheitsschutzes Bestandteil der anderen Politiken der Gemeinschaft. Gemäß Artikel 3 Buchstabe o) des Vertrags </w:t>
      </w:r>
      <w:proofErr w:type="spellStart"/>
      <w:r>
        <w:rPr>
          <w:snapToGrid w:val="0"/>
        </w:rPr>
        <w:t>umfaßt</w:t>
      </w:r>
      <w:proofErr w:type="spellEnd"/>
      <w:r>
        <w:rPr>
          <w:snapToGrid w:val="0"/>
        </w:rPr>
        <w:t xml:space="preserve"> die Tätigkeit der Gemeinschaft einen Beitrag zur Erreichung eines hohen Gesundheitsschutzniveaus.</w:t>
      </w:r>
    </w:p>
    <w:p w:rsidR="00461179" w:rsidRDefault="00461179">
      <w:pPr>
        <w:pStyle w:val="GesAbsatz"/>
        <w:rPr>
          <w:snapToGrid w:val="0"/>
        </w:rPr>
      </w:pPr>
      <w:r>
        <w:rPr>
          <w:snapToGrid w:val="0"/>
        </w:rPr>
        <w:t xml:space="preserve">(3) Gemäß Artikel 4 Absatz 5 der Richtlinie 96/62/EG des Rates vom </w:t>
      </w:r>
      <w:smartTag w:uri="urn:schemas-microsoft-com:office:smarttags" w:element="date">
        <w:smartTagPr>
          <w:attr w:name="ls" w:val="trans"/>
          <w:attr w:name="Month" w:val="9"/>
          <w:attr w:name="Day" w:val="27"/>
          <w:attr w:name="Year" w:val="1996"/>
        </w:smartTagPr>
        <w:r>
          <w:rPr>
            <w:snapToGrid w:val="0"/>
          </w:rPr>
          <w:t>27. September 1996</w:t>
        </w:r>
      </w:smartTag>
      <w:r>
        <w:rPr>
          <w:snapToGrid w:val="0"/>
        </w:rPr>
        <w:t xml:space="preserve"> über die Beurte</w:t>
      </w:r>
      <w:r>
        <w:rPr>
          <w:snapToGrid w:val="0"/>
        </w:rPr>
        <w:t>i</w:t>
      </w:r>
      <w:r>
        <w:rPr>
          <w:snapToGrid w:val="0"/>
        </w:rPr>
        <w:t>lung und die Kontrolle der Luftqualität</w:t>
      </w:r>
      <w:r>
        <w:rPr>
          <w:rStyle w:val="Funotenzeichen"/>
        </w:rPr>
        <w:footnoteReference w:customMarkFollows="1" w:id="5"/>
        <w:t>(5)</w:t>
      </w:r>
      <w:r>
        <w:rPr>
          <w:snapToGrid w:val="0"/>
        </w:rPr>
        <w:t xml:space="preserve"> </w:t>
      </w:r>
      <w:proofErr w:type="spellStart"/>
      <w:r>
        <w:rPr>
          <w:snapToGrid w:val="0"/>
        </w:rPr>
        <w:t>erläßt</w:t>
      </w:r>
      <w:proofErr w:type="spellEnd"/>
      <w:r>
        <w:rPr>
          <w:snapToGrid w:val="0"/>
        </w:rPr>
        <w:t xml:space="preserve"> der Rat die in Absatz 1 dieses Artikels vorgesehenen Recht</w:t>
      </w:r>
      <w:r>
        <w:rPr>
          <w:snapToGrid w:val="0"/>
        </w:rPr>
        <w:t>s</w:t>
      </w:r>
      <w:r>
        <w:rPr>
          <w:snapToGrid w:val="0"/>
        </w:rPr>
        <w:t>vorschriften und die in den Absätzen 3 und 4 dieses Artikels vorgesehenen Bestimmungen.</w:t>
      </w:r>
    </w:p>
    <w:p w:rsidR="00461179" w:rsidRDefault="00461179">
      <w:pPr>
        <w:pStyle w:val="GesAbsatz"/>
        <w:rPr>
          <w:snapToGrid w:val="0"/>
        </w:rPr>
      </w:pPr>
      <w:r>
        <w:rPr>
          <w:snapToGrid w:val="0"/>
        </w:rPr>
        <w:t>(4) Bei den in dieser Richtlinie festgesetzten Grenzwerten handelt es sich um Mindestanforderungen. G</w:t>
      </w:r>
      <w:r>
        <w:rPr>
          <w:snapToGrid w:val="0"/>
        </w:rPr>
        <w:t>e</w:t>
      </w:r>
      <w:r>
        <w:rPr>
          <w:snapToGrid w:val="0"/>
        </w:rPr>
        <w:t>mäß Artikel 130t des Vertrags können die Mitgliedstaaten verstärkte Schutzmaßnahmen beibehalten oder ergreifen. Strengere Grenzwerte können insbesondere zum Schutz der Gesundheit von besonders gefäh</w:t>
      </w:r>
      <w:r>
        <w:rPr>
          <w:snapToGrid w:val="0"/>
        </w:rPr>
        <w:t>r</w:t>
      </w:r>
      <w:r>
        <w:rPr>
          <w:snapToGrid w:val="0"/>
        </w:rPr>
        <w:t>deten Personengruppen, wie Kinder und Krankenhauspatienten, festgelegt werden. Die Mitgliedstaaten kö</w:t>
      </w:r>
      <w:r>
        <w:rPr>
          <w:snapToGrid w:val="0"/>
        </w:rPr>
        <w:t>n</w:t>
      </w:r>
      <w:r>
        <w:rPr>
          <w:snapToGrid w:val="0"/>
        </w:rPr>
        <w:t xml:space="preserve">nen vorsehen, </w:t>
      </w:r>
      <w:proofErr w:type="spellStart"/>
      <w:r>
        <w:rPr>
          <w:snapToGrid w:val="0"/>
        </w:rPr>
        <w:t>daß</w:t>
      </w:r>
      <w:proofErr w:type="spellEnd"/>
      <w:r>
        <w:rPr>
          <w:snapToGrid w:val="0"/>
        </w:rPr>
        <w:t xml:space="preserve"> die Grenzwerte zu einem früheren Zeitpunkt eingehalten werden müssen, als dies in dieser Richtlinie vorgesehen ist. </w:t>
      </w:r>
    </w:p>
    <w:p w:rsidR="00461179" w:rsidRDefault="00461179">
      <w:pPr>
        <w:pStyle w:val="GesAbsatz"/>
        <w:rPr>
          <w:snapToGrid w:val="0"/>
        </w:rPr>
      </w:pPr>
      <w:r>
        <w:rPr>
          <w:snapToGrid w:val="0"/>
        </w:rPr>
        <w:t>(5) Die Ökosysteme sollten gegen die schädlichen Wirkungen von Schwefeldioxid geschützt werden. Die Vegetation sollte gegen die schädlichen Wirkungen von Stickstoffoxiden geschützt werden. Verschiedene Arten von Partikeln können sich auf unterschiedliche Weise schädlich auf die menschliche Gesundheit au</w:t>
      </w:r>
      <w:r>
        <w:rPr>
          <w:snapToGrid w:val="0"/>
        </w:rPr>
        <w:t>s</w:t>
      </w:r>
      <w:r>
        <w:rPr>
          <w:snapToGrid w:val="0"/>
        </w:rPr>
        <w:t xml:space="preserve">wirken. Es liegen Beweise dafür vor, </w:t>
      </w:r>
      <w:proofErr w:type="spellStart"/>
      <w:r>
        <w:rPr>
          <w:snapToGrid w:val="0"/>
        </w:rPr>
        <w:t>daß</w:t>
      </w:r>
      <w:proofErr w:type="spellEnd"/>
      <w:r>
        <w:rPr>
          <w:snapToGrid w:val="0"/>
        </w:rPr>
        <w:t xml:space="preserve"> die Risiken für die menschliche Gesundheit, die von Partikeln ant</w:t>
      </w:r>
      <w:r>
        <w:rPr>
          <w:snapToGrid w:val="0"/>
        </w:rPr>
        <w:t>h</w:t>
      </w:r>
      <w:r>
        <w:rPr>
          <w:snapToGrid w:val="0"/>
        </w:rPr>
        <w:t>ropogenen Ursprungs ausgehen, größer sind als die Risiken von auf natürliche Weise in der Luft vorko</w:t>
      </w:r>
      <w:r>
        <w:rPr>
          <w:snapToGrid w:val="0"/>
        </w:rPr>
        <w:t>m</w:t>
      </w:r>
      <w:r>
        <w:rPr>
          <w:snapToGrid w:val="0"/>
        </w:rPr>
        <w:t>menden Partikeln.</w:t>
      </w:r>
    </w:p>
    <w:p w:rsidR="00461179" w:rsidRDefault="00461179">
      <w:pPr>
        <w:pStyle w:val="GesAbsatz"/>
        <w:rPr>
          <w:snapToGrid w:val="0"/>
        </w:rPr>
      </w:pPr>
      <w:r>
        <w:rPr>
          <w:snapToGrid w:val="0"/>
        </w:rPr>
        <w:t>(7) Die Richtlinie 96/62/EG schreibt, um die Einhaltung der Grenzwerte ab den festgelegten Zeitpunkten zu gewährleisten, die Erstellung von Aktionsplänen für Gebiete vor, in denen die Schadstoffkonzentration in der Luft die Grenzwerte zuzüglich zeitlich befristeter Toleranzmargen überschreitet. Soweit sie sich auf Partikel beziehen, sollten diese Aktionspläne und andere Reduzierungsstrategien darauf abzielen, die Konzentration von Feinstaub im Rahmen der Reduzierung der Konzentration von Partikeln insgesamt zu verringern.</w:t>
      </w:r>
    </w:p>
    <w:p w:rsidR="00461179" w:rsidRDefault="00461179">
      <w:pPr>
        <w:pStyle w:val="GesAbsatz"/>
        <w:rPr>
          <w:snapToGrid w:val="0"/>
        </w:rPr>
      </w:pPr>
      <w:r>
        <w:rPr>
          <w:snapToGrid w:val="0"/>
        </w:rPr>
        <w:t xml:space="preserve">(8) Die Richtlinie 96/62/EG bestimmt, </w:t>
      </w:r>
      <w:proofErr w:type="spellStart"/>
      <w:r>
        <w:rPr>
          <w:snapToGrid w:val="0"/>
        </w:rPr>
        <w:t>daß</w:t>
      </w:r>
      <w:proofErr w:type="spellEnd"/>
      <w:r>
        <w:rPr>
          <w:snapToGrid w:val="0"/>
        </w:rPr>
        <w:t xml:space="preserve"> die quantifizierten Grenzwerte und Alarmschwellen auf den A</w:t>
      </w:r>
      <w:r>
        <w:rPr>
          <w:snapToGrid w:val="0"/>
        </w:rPr>
        <w:t>r</w:t>
      </w:r>
      <w:r>
        <w:rPr>
          <w:snapToGrid w:val="0"/>
        </w:rPr>
        <w:t xml:space="preserve">beitsergebnissen von auf diesem Gebiet tätigen internationalen wissenschaftlichen Gremien basieren sollen. Außerdem soll die Kommission bei der Überprüfung der Grundlagen für die Festlegung der Grenzwerte und Alarmschwellen den jüngsten wissenschaftlichen Forschungsergebnissen in den betreffenden Bereichen der Epidemiologie und Umweltforschung sowie den jüngsten Fortschritten bei den </w:t>
      </w:r>
      <w:proofErr w:type="spellStart"/>
      <w:r>
        <w:rPr>
          <w:snapToGrid w:val="0"/>
        </w:rPr>
        <w:t>Meßverfahren</w:t>
      </w:r>
      <w:proofErr w:type="spellEnd"/>
      <w:r>
        <w:rPr>
          <w:snapToGrid w:val="0"/>
        </w:rPr>
        <w:t xml:space="preserve"> Rechnung tragen. Um die Revision dieser Richtlinie im Jahr 2003 zu erleichtern, sollten die Kommission und die Mi</w:t>
      </w:r>
      <w:r>
        <w:rPr>
          <w:snapToGrid w:val="0"/>
        </w:rPr>
        <w:t>t</w:t>
      </w:r>
      <w:r>
        <w:rPr>
          <w:snapToGrid w:val="0"/>
        </w:rPr>
        <w:t>gliedstaaten erwägen, die Forschung über die Auswirkungen der genannten Schadstoffe, nämlich Schwefe</w:t>
      </w:r>
      <w:r>
        <w:rPr>
          <w:snapToGrid w:val="0"/>
        </w:rPr>
        <w:t>l</w:t>
      </w:r>
      <w:r>
        <w:rPr>
          <w:snapToGrid w:val="0"/>
        </w:rPr>
        <w:t>dioxid, Stickstoffdioxid und Stickstoffoxide, Partikel und Blei, zu fördern.</w:t>
      </w:r>
    </w:p>
    <w:p w:rsidR="00461179" w:rsidRDefault="00461179">
      <w:pPr>
        <w:pStyle w:val="GesAbsatz"/>
        <w:rPr>
          <w:snapToGrid w:val="0"/>
        </w:rPr>
      </w:pPr>
      <w:r>
        <w:rPr>
          <w:snapToGrid w:val="0"/>
        </w:rPr>
        <w:t xml:space="preserve">(10) Eine standardisierte, genaue </w:t>
      </w:r>
      <w:proofErr w:type="spellStart"/>
      <w:r>
        <w:rPr>
          <w:snapToGrid w:val="0"/>
        </w:rPr>
        <w:t>Meßtechnik</w:t>
      </w:r>
      <w:proofErr w:type="spellEnd"/>
      <w:r>
        <w:rPr>
          <w:snapToGrid w:val="0"/>
        </w:rPr>
        <w:t xml:space="preserve"> und gemeinsame Kriterien für die Wahl des Standorts der </w:t>
      </w:r>
      <w:proofErr w:type="spellStart"/>
      <w:r>
        <w:rPr>
          <w:snapToGrid w:val="0"/>
        </w:rPr>
        <w:t>Meßstationen</w:t>
      </w:r>
      <w:proofErr w:type="spellEnd"/>
      <w:r>
        <w:rPr>
          <w:snapToGrid w:val="0"/>
        </w:rPr>
        <w:t xml:space="preserve"> sind für die Beurteilung der Luftqualität im Hinblick auf gemeinschaftsweit vergleichbare Daten von grundlegender Bedeutung.</w:t>
      </w:r>
    </w:p>
    <w:p w:rsidR="00461179" w:rsidRDefault="00461179">
      <w:pPr>
        <w:pStyle w:val="GesAbsatz"/>
        <w:rPr>
          <w:snapToGrid w:val="0"/>
        </w:rPr>
      </w:pPr>
      <w:r>
        <w:rPr>
          <w:snapToGrid w:val="0"/>
        </w:rPr>
        <w:t>(11) Gemäß Artikel 12 Absatz 1 der Richtlinie 96/62/EG dürfen sich die zur Anpassung an den wissenschaf</w:t>
      </w:r>
      <w:r>
        <w:rPr>
          <w:snapToGrid w:val="0"/>
        </w:rPr>
        <w:t>t</w:t>
      </w:r>
      <w:r>
        <w:rPr>
          <w:snapToGrid w:val="0"/>
        </w:rPr>
        <w:t>lichen und technischen Fortschritt erforderlichen Änderungen allein auf die Kriterien und Techniken zur Beu</w:t>
      </w:r>
      <w:r>
        <w:rPr>
          <w:snapToGrid w:val="0"/>
        </w:rPr>
        <w:t>r</w:t>
      </w:r>
      <w:r>
        <w:rPr>
          <w:snapToGrid w:val="0"/>
        </w:rPr>
        <w:t>teilung der Konzentrationen von Schwefeldioxid, Stickstoffdioxid und Stickstoffoxiden, Partikeln und Blei in der Luft und/oder die Einzelheiten für die Übermittlung der Informationen an die Kommission beziehen und darf die Anpassung keine direkte oder indirekte Änderung der Grenzwerte oder Alarmschwellen zur Folge haben.</w:t>
      </w:r>
    </w:p>
    <w:p w:rsidR="00461179" w:rsidRDefault="00461179">
      <w:pPr>
        <w:pStyle w:val="GesAbsatz"/>
        <w:rPr>
          <w:snapToGrid w:val="0"/>
        </w:rPr>
      </w:pPr>
      <w:r>
        <w:rPr>
          <w:snapToGrid w:val="0"/>
        </w:rPr>
        <w:t>(12) Aktuelle Informationen über die Konzentration von Schwefeldioxid, Stickstoffdioxid und Stickstoffoxiden, Partikeln und Blei in der Luft sollten der Öffentlichkeit ohne weiteres zugänglich sein .</w:t>
      </w:r>
    </w:p>
    <w:p w:rsidR="00461179" w:rsidRDefault="00461179">
      <w:pPr>
        <w:pStyle w:val="GesAbsatz"/>
        <w:rPr>
          <w:snapToGrid w:val="0"/>
        </w:rPr>
      </w:pPr>
      <w:r>
        <w:rPr>
          <w:snapToGrid w:val="0"/>
        </w:rPr>
        <w:t>HAT FOLGENDE RICHTLINIE ERLASSEN:</w:t>
      </w:r>
    </w:p>
    <w:p w:rsidR="00461179" w:rsidRDefault="00461179" w:rsidP="00A47F6D">
      <w:pPr>
        <w:pStyle w:val="berschrift2"/>
        <w:rPr>
          <w:snapToGrid w:val="0"/>
        </w:rPr>
      </w:pPr>
      <w:bookmarkStart w:id="2" w:name="_Toc202752868"/>
      <w:r>
        <w:rPr>
          <w:snapToGrid w:val="0"/>
        </w:rPr>
        <w:t>Artikel 1</w:t>
      </w:r>
      <w:r>
        <w:rPr>
          <w:snapToGrid w:val="0"/>
        </w:rPr>
        <w:br/>
        <w:t>Ziele</w:t>
      </w:r>
      <w:bookmarkEnd w:id="2"/>
    </w:p>
    <w:p w:rsidR="00461179" w:rsidRDefault="00461179">
      <w:pPr>
        <w:pStyle w:val="GesAbsatz"/>
        <w:rPr>
          <w:snapToGrid w:val="0"/>
        </w:rPr>
      </w:pPr>
      <w:r>
        <w:rPr>
          <w:snapToGrid w:val="0"/>
        </w:rPr>
        <w:t>Ziele dieser Richtlinie sind:</w:t>
      </w:r>
    </w:p>
    <w:p w:rsidR="00461179" w:rsidRDefault="00461179">
      <w:pPr>
        <w:pStyle w:val="GesAbsatz"/>
        <w:rPr>
          <w:snapToGrid w:val="0"/>
        </w:rPr>
      </w:pPr>
      <w:r>
        <w:rPr>
          <w:snapToGrid w:val="0"/>
        </w:rPr>
        <w:lastRenderedPageBreak/>
        <w:t>Festlegung von Grenzwerten und gegebenenfalls Alarmschwellen für die Konzentrationen von Schwefeldi</w:t>
      </w:r>
      <w:r>
        <w:rPr>
          <w:snapToGrid w:val="0"/>
        </w:rPr>
        <w:t>o</w:t>
      </w:r>
      <w:r>
        <w:rPr>
          <w:snapToGrid w:val="0"/>
        </w:rPr>
        <w:t>xid, Stickstoffdioxid und Stickstoffoxiden, Partikeln und Blei in der Luft im Hinblick auf die Vermeidung, Ve</w:t>
      </w:r>
      <w:r>
        <w:rPr>
          <w:snapToGrid w:val="0"/>
        </w:rPr>
        <w:t>r</w:t>
      </w:r>
      <w:r>
        <w:rPr>
          <w:snapToGrid w:val="0"/>
        </w:rPr>
        <w:t>hütung oder Verringerung schädlicher Auswirkungen auf die menschliche Gesundheit und die Umwelt insg</w:t>
      </w:r>
      <w:r>
        <w:rPr>
          <w:snapToGrid w:val="0"/>
        </w:rPr>
        <w:t>e</w:t>
      </w:r>
      <w:r>
        <w:rPr>
          <w:snapToGrid w:val="0"/>
        </w:rPr>
        <w:t>samt;</w:t>
      </w:r>
    </w:p>
    <w:p w:rsidR="00461179" w:rsidRDefault="00461179">
      <w:pPr>
        <w:pStyle w:val="GesAbsatz"/>
        <w:rPr>
          <w:snapToGrid w:val="0"/>
        </w:rPr>
      </w:pPr>
      <w:r>
        <w:rPr>
          <w:snapToGrid w:val="0"/>
        </w:rPr>
        <w:t>Beurteilung der Konzentrationen von Schwefeldioxid, Stickstoffdioxid und Stickstoffoxiden, Partikeln und Blei in der Luft anhand einheitlicher Methoden und Kriterien;</w:t>
      </w:r>
    </w:p>
    <w:p w:rsidR="00461179" w:rsidRDefault="00461179">
      <w:pPr>
        <w:pStyle w:val="GesAbsatz"/>
        <w:rPr>
          <w:snapToGrid w:val="0"/>
        </w:rPr>
      </w:pPr>
      <w:r>
        <w:rPr>
          <w:snapToGrid w:val="0"/>
        </w:rPr>
        <w:t>Zusammenstellung von sachdienlichen Informationen über die Konzentrationen von Schwefeldioxid, Stic</w:t>
      </w:r>
      <w:r>
        <w:rPr>
          <w:snapToGrid w:val="0"/>
        </w:rPr>
        <w:t>k</w:t>
      </w:r>
      <w:r>
        <w:rPr>
          <w:snapToGrid w:val="0"/>
        </w:rPr>
        <w:t xml:space="preserve">stoffdioxid und Stickstoffoxiden, Partikeln und Blei in der Luft und Sicherstellung, </w:t>
      </w:r>
      <w:proofErr w:type="spellStart"/>
      <w:r>
        <w:rPr>
          <w:snapToGrid w:val="0"/>
        </w:rPr>
        <w:t>daß</w:t>
      </w:r>
      <w:proofErr w:type="spellEnd"/>
      <w:r>
        <w:rPr>
          <w:snapToGrid w:val="0"/>
        </w:rPr>
        <w:t xml:space="preserve"> diese der Öffentlichkeit zugänglich gemacht werden;</w:t>
      </w:r>
    </w:p>
    <w:p w:rsidR="00461179" w:rsidRDefault="00461179">
      <w:pPr>
        <w:pStyle w:val="GesAbsatz"/>
        <w:rPr>
          <w:snapToGrid w:val="0"/>
        </w:rPr>
      </w:pPr>
      <w:r>
        <w:rPr>
          <w:snapToGrid w:val="0"/>
        </w:rPr>
        <w:t>Erhaltung der Luftqualität dort, wo sie gut ist, und Verbesserung der Luftqualität, wo dies hinsichtlich der Belastung mit Schwefeldioxid, Stickstoffdioxid und Stickstoffoxiden, Partikeln und Blei nicht der Fall ist.</w:t>
      </w:r>
    </w:p>
    <w:p w:rsidR="00461179" w:rsidRDefault="00461179" w:rsidP="00A47F6D">
      <w:pPr>
        <w:pStyle w:val="berschrift2"/>
        <w:rPr>
          <w:snapToGrid w:val="0"/>
        </w:rPr>
      </w:pPr>
      <w:bookmarkStart w:id="3" w:name="_Toc202752869"/>
      <w:r>
        <w:rPr>
          <w:snapToGrid w:val="0"/>
        </w:rPr>
        <w:t>Artikel 2</w:t>
      </w:r>
      <w:r>
        <w:rPr>
          <w:snapToGrid w:val="0"/>
        </w:rPr>
        <w:br/>
        <w:t>Begriffsbestimmungen</w:t>
      </w:r>
      <w:bookmarkEnd w:id="3"/>
    </w:p>
    <w:p w:rsidR="00461179" w:rsidRDefault="00461179">
      <w:pPr>
        <w:pStyle w:val="GesAbsatz"/>
        <w:rPr>
          <w:snapToGrid w:val="0"/>
        </w:rPr>
      </w:pPr>
      <w:r>
        <w:rPr>
          <w:snapToGrid w:val="0"/>
        </w:rPr>
        <w:t xml:space="preserve">Im Sinne dieser Richtlinie bezeichnet der Ausdruck </w:t>
      </w:r>
    </w:p>
    <w:p w:rsidR="00461179" w:rsidRDefault="00461179">
      <w:pPr>
        <w:pStyle w:val="GesAbsatz"/>
        <w:ind w:left="426" w:hanging="426"/>
        <w:rPr>
          <w:snapToGrid w:val="0"/>
        </w:rPr>
      </w:pPr>
      <w:r>
        <w:rPr>
          <w:snapToGrid w:val="0"/>
        </w:rPr>
        <w:t>1.</w:t>
      </w:r>
      <w:r>
        <w:rPr>
          <w:snapToGrid w:val="0"/>
        </w:rPr>
        <w:tab/>
        <w:t xml:space="preserve">„Luft“ die Außenluft der Troposphäre mit Ausnahme der Luft an Arbeitsplätzen; </w:t>
      </w:r>
    </w:p>
    <w:p w:rsidR="00461179" w:rsidRDefault="00461179">
      <w:pPr>
        <w:pStyle w:val="GesAbsatz"/>
        <w:ind w:left="426" w:hanging="426"/>
        <w:rPr>
          <w:snapToGrid w:val="0"/>
        </w:rPr>
      </w:pPr>
      <w:r>
        <w:rPr>
          <w:snapToGrid w:val="0"/>
        </w:rPr>
        <w:t>2.</w:t>
      </w:r>
      <w:r>
        <w:rPr>
          <w:snapToGrid w:val="0"/>
        </w:rPr>
        <w:tab/>
        <w:t>„Schadstoff“ jeden vom Menschen direkt oder indirekt in die Luft emittierten Stoff, der schädliche Au</w:t>
      </w:r>
      <w:r>
        <w:rPr>
          <w:snapToGrid w:val="0"/>
        </w:rPr>
        <w:t>s</w:t>
      </w:r>
      <w:r>
        <w:rPr>
          <w:snapToGrid w:val="0"/>
        </w:rPr>
        <w:t>wirkungen auf die menschliche Gesundheit und/ oder die Umwelt insgesamt haben kann;</w:t>
      </w:r>
    </w:p>
    <w:p w:rsidR="00461179" w:rsidRDefault="00461179">
      <w:pPr>
        <w:pStyle w:val="GesAbsatz"/>
        <w:ind w:left="426" w:hanging="426"/>
        <w:rPr>
          <w:snapToGrid w:val="0"/>
        </w:rPr>
      </w:pPr>
      <w:r>
        <w:rPr>
          <w:snapToGrid w:val="0"/>
        </w:rPr>
        <w:t>3.</w:t>
      </w:r>
      <w:r>
        <w:rPr>
          <w:snapToGrid w:val="0"/>
        </w:rPr>
        <w:tab/>
        <w:t>„Wert“ die Konzentration eines Schadstoffs in der Luft oder die Ablagerung eines Schadstoffs auf b</w:t>
      </w:r>
      <w:r>
        <w:rPr>
          <w:snapToGrid w:val="0"/>
        </w:rPr>
        <w:t>e</w:t>
      </w:r>
      <w:r>
        <w:rPr>
          <w:snapToGrid w:val="0"/>
        </w:rPr>
        <w:t>stimmten Flächen in einem bestimmten Zeitraum;</w:t>
      </w:r>
    </w:p>
    <w:p w:rsidR="00461179" w:rsidRDefault="00461179">
      <w:pPr>
        <w:pStyle w:val="GesAbsatz"/>
        <w:ind w:left="426" w:hanging="426"/>
        <w:rPr>
          <w:snapToGrid w:val="0"/>
        </w:rPr>
      </w:pPr>
      <w:r>
        <w:rPr>
          <w:snapToGrid w:val="0"/>
        </w:rPr>
        <w:t>4.</w:t>
      </w:r>
      <w:r>
        <w:rPr>
          <w:snapToGrid w:val="0"/>
        </w:rPr>
        <w:tab/>
        <w:t>„Beurteilung“ alle Verfahren zur Messung, Berechnung, Vorhersage oder Schätzung der Schadstoffwe</w:t>
      </w:r>
      <w:r>
        <w:rPr>
          <w:snapToGrid w:val="0"/>
        </w:rPr>
        <w:t>r</w:t>
      </w:r>
      <w:r>
        <w:rPr>
          <w:snapToGrid w:val="0"/>
        </w:rPr>
        <w:t>te in der Luft;</w:t>
      </w:r>
    </w:p>
    <w:p w:rsidR="00461179" w:rsidRDefault="00461179">
      <w:pPr>
        <w:pStyle w:val="GesAbsatz"/>
        <w:ind w:left="426" w:hanging="426"/>
        <w:rPr>
          <w:snapToGrid w:val="0"/>
        </w:rPr>
      </w:pPr>
      <w:r>
        <w:rPr>
          <w:snapToGrid w:val="0"/>
        </w:rPr>
        <w:t>5.</w:t>
      </w:r>
      <w:r>
        <w:rPr>
          <w:snapToGrid w:val="0"/>
        </w:rPr>
        <w:tab/>
        <w:t>„Grenzwert“ einen Wert, der aufgrund wissenschaftlicher Erkenntnisse mit dem Ziel festgelegt wird,  schädliche Auswirkungen auf die menschliche Gesundheit und/oder die Umwelt insgesamt zu verme</w:t>
      </w:r>
      <w:r>
        <w:rPr>
          <w:snapToGrid w:val="0"/>
        </w:rPr>
        <w:t>i</w:t>
      </w:r>
      <w:r>
        <w:rPr>
          <w:snapToGrid w:val="0"/>
        </w:rPr>
        <w:t xml:space="preserve">den, zu verhüten oder zu verringern, und der innerhalb eines bestimmten Zeitraums erreicht werden </w:t>
      </w:r>
      <w:proofErr w:type="spellStart"/>
      <w:r>
        <w:rPr>
          <w:snapToGrid w:val="0"/>
        </w:rPr>
        <w:t>muß</w:t>
      </w:r>
      <w:proofErr w:type="spellEnd"/>
      <w:r>
        <w:rPr>
          <w:snapToGrid w:val="0"/>
        </w:rPr>
        <w:t xml:space="preserve"> und danach nicht überschritten werden darf;</w:t>
      </w:r>
    </w:p>
    <w:p w:rsidR="00461179" w:rsidRDefault="00461179">
      <w:pPr>
        <w:pStyle w:val="GesAbsatz"/>
        <w:ind w:left="426" w:hanging="426"/>
        <w:rPr>
          <w:snapToGrid w:val="0"/>
        </w:rPr>
      </w:pPr>
      <w:r>
        <w:rPr>
          <w:snapToGrid w:val="0"/>
        </w:rPr>
        <w:t>6.</w:t>
      </w:r>
      <w:r>
        <w:rPr>
          <w:snapToGrid w:val="0"/>
        </w:rPr>
        <w:tab/>
        <w:t>„Alarmschwelle“ einen Wert, bei dessen Überschreitung bei kurzfristiger Exposition eine Gefahr für die menschliche Gesundheit besteht und bei dem die Mitgliedstaaten umgehend Maßnahmen gemäß der Richtlinie 96/62/EG ergreifen;</w:t>
      </w:r>
    </w:p>
    <w:p w:rsidR="00461179" w:rsidRDefault="00461179">
      <w:pPr>
        <w:pStyle w:val="GesAbsatz"/>
        <w:ind w:left="426" w:hanging="426"/>
        <w:rPr>
          <w:snapToGrid w:val="0"/>
        </w:rPr>
      </w:pPr>
      <w:r>
        <w:rPr>
          <w:snapToGrid w:val="0"/>
        </w:rPr>
        <w:t>7.</w:t>
      </w:r>
      <w:r>
        <w:rPr>
          <w:snapToGrid w:val="0"/>
        </w:rPr>
        <w:tab/>
        <w:t xml:space="preserve">„Toleranzmarge“ den Prozentsatz des Grenzwerts, um den dieser unter den in der Richtlinie 96/62/EG festgelegten Bedingungen überschritten werden darf; </w:t>
      </w:r>
    </w:p>
    <w:p w:rsidR="00461179" w:rsidRDefault="00461179">
      <w:pPr>
        <w:pStyle w:val="GesAbsatz"/>
        <w:ind w:left="426" w:hanging="426"/>
        <w:rPr>
          <w:snapToGrid w:val="0"/>
        </w:rPr>
      </w:pPr>
      <w:r>
        <w:rPr>
          <w:snapToGrid w:val="0"/>
        </w:rPr>
        <w:t>8.</w:t>
      </w:r>
      <w:r>
        <w:rPr>
          <w:snapToGrid w:val="0"/>
        </w:rPr>
        <w:tab/>
        <w:t>„Gebiet“ einen von den Mitgliedstaaten abgegrenzten Teil ihres Hoheitsgebiets;</w:t>
      </w:r>
    </w:p>
    <w:p w:rsidR="00461179" w:rsidRDefault="00461179">
      <w:pPr>
        <w:pStyle w:val="GesAbsatz"/>
        <w:ind w:left="426" w:hanging="426"/>
        <w:rPr>
          <w:snapToGrid w:val="0"/>
        </w:rPr>
      </w:pPr>
      <w:r>
        <w:rPr>
          <w:snapToGrid w:val="0"/>
        </w:rPr>
        <w:t>9.</w:t>
      </w:r>
      <w:r>
        <w:rPr>
          <w:snapToGrid w:val="0"/>
        </w:rPr>
        <w:tab/>
        <w:t>„Ballungsraum“ ein Gebiet mit mehr als 250 000 Einwohnern oder, falls 250 000 oder weniger Einwo</w:t>
      </w:r>
      <w:r>
        <w:rPr>
          <w:snapToGrid w:val="0"/>
        </w:rPr>
        <w:t>h</w:t>
      </w:r>
      <w:r>
        <w:rPr>
          <w:snapToGrid w:val="0"/>
        </w:rPr>
        <w:t>ner in dem Gebiet wohnen, einer Bevölkerungsdichte pro km</w:t>
      </w:r>
      <w:r>
        <w:rPr>
          <w:snapToGrid w:val="0"/>
          <w:vertAlign w:val="superscript"/>
        </w:rPr>
        <w:t>2</w:t>
      </w:r>
      <w:r>
        <w:rPr>
          <w:snapToGrid w:val="0"/>
        </w:rPr>
        <w:t>, die nach Auffassung der Mitgliedstaaten die Beurteilung und die Kontrolle der Luftqualität rechtfertigt.</w:t>
      </w:r>
    </w:p>
    <w:p w:rsidR="00461179" w:rsidRDefault="00461179">
      <w:pPr>
        <w:pStyle w:val="GesAbsatz"/>
        <w:ind w:left="426" w:hanging="426"/>
        <w:rPr>
          <w:snapToGrid w:val="0"/>
        </w:rPr>
      </w:pPr>
      <w:r>
        <w:rPr>
          <w:snapToGrid w:val="0"/>
        </w:rPr>
        <w:t>10.</w:t>
      </w:r>
      <w:r>
        <w:rPr>
          <w:snapToGrid w:val="0"/>
        </w:rPr>
        <w:tab/>
        <w:t>„Stickstoffoxide“ die Summe von Stickstoffmonoxid und Stickstoffdioxid, ermittelt durch die Addition als Teile auf 1 Mrd. Teile und ausgedrückt als Stickstoffdioxid in µg/m</w:t>
      </w:r>
      <w:r>
        <w:rPr>
          <w:snapToGrid w:val="0"/>
          <w:vertAlign w:val="superscript"/>
        </w:rPr>
        <w:t>3</w:t>
      </w:r>
      <w:r>
        <w:rPr>
          <w:snapToGrid w:val="0"/>
        </w:rPr>
        <w:t xml:space="preserve"> ;</w:t>
      </w:r>
    </w:p>
    <w:p w:rsidR="00461179" w:rsidRDefault="00461179">
      <w:pPr>
        <w:pStyle w:val="GesAbsatz"/>
        <w:ind w:left="426" w:hanging="426"/>
        <w:rPr>
          <w:snapToGrid w:val="0"/>
        </w:rPr>
      </w:pPr>
      <w:r>
        <w:rPr>
          <w:snapToGrid w:val="0"/>
        </w:rPr>
        <w:t>11.</w:t>
      </w:r>
      <w:r>
        <w:rPr>
          <w:snapToGrid w:val="0"/>
        </w:rPr>
        <w:tab/>
        <w:t>„PM</w:t>
      </w:r>
      <w:r>
        <w:rPr>
          <w:snapToGrid w:val="0"/>
          <w:vertAlign w:val="subscript"/>
        </w:rPr>
        <w:t>10</w:t>
      </w:r>
      <w:r>
        <w:rPr>
          <w:snapToGrid w:val="0"/>
        </w:rPr>
        <w:t xml:space="preserve"> “die Partikel, die einen größenselektierenden </w:t>
      </w:r>
      <w:proofErr w:type="spellStart"/>
      <w:r>
        <w:rPr>
          <w:snapToGrid w:val="0"/>
        </w:rPr>
        <w:t>Lufteinlaß</w:t>
      </w:r>
      <w:proofErr w:type="spellEnd"/>
      <w:r>
        <w:rPr>
          <w:snapToGrid w:val="0"/>
        </w:rPr>
        <w:t xml:space="preserve"> passieren, der für einen aerodynam</w:t>
      </w:r>
      <w:r>
        <w:rPr>
          <w:snapToGrid w:val="0"/>
        </w:rPr>
        <w:t>i</w:t>
      </w:r>
      <w:r>
        <w:rPr>
          <w:snapToGrid w:val="0"/>
        </w:rPr>
        <w:t>schen Durchmesser von 10 µm eine Abscheidewirksamkeit von 50 % aufweist;</w:t>
      </w:r>
    </w:p>
    <w:p w:rsidR="00461179" w:rsidRDefault="00461179">
      <w:pPr>
        <w:pStyle w:val="GesAbsatz"/>
        <w:ind w:left="426" w:hanging="426"/>
        <w:rPr>
          <w:snapToGrid w:val="0"/>
        </w:rPr>
      </w:pPr>
      <w:r>
        <w:rPr>
          <w:snapToGrid w:val="0"/>
        </w:rPr>
        <w:t>12.</w:t>
      </w:r>
      <w:r>
        <w:rPr>
          <w:snapToGrid w:val="0"/>
        </w:rPr>
        <w:tab/>
        <w:t>„PM</w:t>
      </w:r>
      <w:r>
        <w:rPr>
          <w:snapToGrid w:val="0"/>
          <w:vertAlign w:val="subscript"/>
        </w:rPr>
        <w:t>2,5</w:t>
      </w:r>
      <w:r>
        <w:rPr>
          <w:snapToGrid w:val="0"/>
        </w:rPr>
        <w:t xml:space="preserve"> “die Partikel, die einen größenselektierenden </w:t>
      </w:r>
      <w:proofErr w:type="spellStart"/>
      <w:r>
        <w:rPr>
          <w:snapToGrid w:val="0"/>
        </w:rPr>
        <w:t>Lufteinlaß</w:t>
      </w:r>
      <w:proofErr w:type="spellEnd"/>
      <w:r>
        <w:rPr>
          <w:snapToGrid w:val="0"/>
        </w:rPr>
        <w:t xml:space="preserve"> passieren, der für einen aerodynam</w:t>
      </w:r>
      <w:r>
        <w:rPr>
          <w:snapToGrid w:val="0"/>
        </w:rPr>
        <w:t>i</w:t>
      </w:r>
      <w:r>
        <w:rPr>
          <w:snapToGrid w:val="0"/>
        </w:rPr>
        <w:t>schen Durchmesser von 2,5 µm eine Abscheidewirksamkeit von 50 % aufweist;</w:t>
      </w:r>
    </w:p>
    <w:p w:rsidR="00461179" w:rsidRDefault="00461179">
      <w:pPr>
        <w:pStyle w:val="GesAbsatz"/>
        <w:ind w:left="426" w:hanging="426"/>
        <w:rPr>
          <w:snapToGrid w:val="0"/>
        </w:rPr>
      </w:pPr>
      <w:r>
        <w:rPr>
          <w:snapToGrid w:val="0"/>
        </w:rPr>
        <w:t>13.</w:t>
      </w:r>
      <w:r>
        <w:rPr>
          <w:snapToGrid w:val="0"/>
        </w:rPr>
        <w:tab/>
        <w:t>„obere Beurteilungsschwelle “einen Wert gemäß Anhang V,  unterhalb dessen nach Artikel 6 Absatz 3 der Richtlinie 96/62/EG eine Kombination von Messungen und Modellrechnungen zur Beurteilung der Luftqualität angewandt werden kann;</w:t>
      </w:r>
    </w:p>
    <w:p w:rsidR="00461179" w:rsidRDefault="00461179">
      <w:pPr>
        <w:pStyle w:val="GesAbsatz"/>
        <w:ind w:left="426" w:hanging="426"/>
      </w:pPr>
      <w:r>
        <w:rPr>
          <w:snapToGrid w:val="0"/>
        </w:rPr>
        <w:t>14.</w:t>
      </w:r>
      <w:r>
        <w:rPr>
          <w:snapToGrid w:val="0"/>
        </w:rPr>
        <w:tab/>
        <w:t>„untere Beurteilungsschwelle “einen Wert gemäß Anhang V, unterhalb dessen nach Artikel 6 Absatz 4 der Richtlinie 96/62/EG für die Beurteilung der Luftqualität nur Modellrechnungen oder Techniken der objektiven Schätzung angewandt zu werden brauchen;</w:t>
      </w:r>
    </w:p>
    <w:p w:rsidR="00461179" w:rsidRDefault="00461179">
      <w:pPr>
        <w:pStyle w:val="GesAbsatz"/>
        <w:ind w:left="426" w:hanging="426"/>
        <w:rPr>
          <w:snapToGrid w:val="0"/>
        </w:rPr>
      </w:pPr>
      <w:r>
        <w:rPr>
          <w:snapToGrid w:val="0"/>
        </w:rPr>
        <w:t>15.</w:t>
      </w:r>
      <w:r>
        <w:rPr>
          <w:snapToGrid w:val="0"/>
        </w:rPr>
        <w:tab/>
        <w:t>„Naturereignis “Vulkanausbrüche, Erdbeben, geothermische Aktivitäten, Freilandbrände, Stürme oder die atmosphärische Aufwirbelung oder der atmosphärische Transport natürlicher Partikel aus Trocke</w:t>
      </w:r>
      <w:r>
        <w:rPr>
          <w:snapToGrid w:val="0"/>
        </w:rPr>
        <w:t>n</w:t>
      </w:r>
      <w:r>
        <w:rPr>
          <w:snapToGrid w:val="0"/>
        </w:rPr>
        <w:t>gebieten;</w:t>
      </w:r>
    </w:p>
    <w:p w:rsidR="00461179" w:rsidRDefault="00461179">
      <w:pPr>
        <w:pStyle w:val="GesAbsatz"/>
        <w:ind w:left="426" w:hanging="426"/>
        <w:rPr>
          <w:snapToGrid w:val="0"/>
        </w:rPr>
      </w:pPr>
      <w:r>
        <w:rPr>
          <w:snapToGrid w:val="0"/>
        </w:rPr>
        <w:t>16.</w:t>
      </w:r>
      <w:r>
        <w:rPr>
          <w:snapToGrid w:val="0"/>
        </w:rPr>
        <w:tab/>
        <w:t>„ortsfeste Messungen “Messungen, die nach Artikel 6 Absatz 5 der Richtlinie 96/62/EG vorgenommen werden.</w:t>
      </w:r>
    </w:p>
    <w:p w:rsidR="00461179" w:rsidRDefault="00461179" w:rsidP="00A47F6D">
      <w:pPr>
        <w:pStyle w:val="berschrift2"/>
        <w:rPr>
          <w:snapToGrid w:val="0"/>
        </w:rPr>
      </w:pPr>
      <w:bookmarkStart w:id="4" w:name="_Toc202752870"/>
      <w:r>
        <w:rPr>
          <w:snapToGrid w:val="0"/>
        </w:rPr>
        <w:lastRenderedPageBreak/>
        <w:t>Artikel 3</w:t>
      </w:r>
      <w:r>
        <w:rPr>
          <w:snapToGrid w:val="0"/>
        </w:rPr>
        <w:br/>
        <w:t>Schwefeldioxid</w:t>
      </w:r>
      <w:bookmarkEnd w:id="4"/>
    </w:p>
    <w:p w:rsidR="00461179" w:rsidRDefault="00461179">
      <w:pPr>
        <w:pStyle w:val="GesAbsatz"/>
        <w:rPr>
          <w:snapToGrid w:val="0"/>
        </w:rPr>
      </w:pPr>
      <w:r>
        <w:rPr>
          <w:snapToGrid w:val="0"/>
        </w:rPr>
        <w:t xml:space="preserve">(1) Die Mitgliedstaaten treffen die erforderlichen Maßnahmen, um sicherzustellen, </w:t>
      </w:r>
      <w:proofErr w:type="spellStart"/>
      <w:r>
        <w:rPr>
          <w:snapToGrid w:val="0"/>
        </w:rPr>
        <w:t>daß</w:t>
      </w:r>
      <w:proofErr w:type="spellEnd"/>
      <w:r>
        <w:rPr>
          <w:snapToGrid w:val="0"/>
        </w:rPr>
        <w:t xml:space="preserve"> die gemäß Artikel 7 beurteilten Schwefeldioxidkonzentrationen in der Luft die Grenzwerte des Anhangs I Abschnitt I ab den dort genannten Zeitpunkten nicht überschreiten. Die in Anhang I Abschnitt I festgelegten Toleranzmargen sind gemäß Artikel 8 der Richtlinie 96/62/EG anzuwenden.</w:t>
      </w:r>
    </w:p>
    <w:p w:rsidR="00461179" w:rsidRDefault="00461179">
      <w:pPr>
        <w:pStyle w:val="GesAbsatz"/>
        <w:rPr>
          <w:snapToGrid w:val="0"/>
        </w:rPr>
      </w:pPr>
      <w:r>
        <w:rPr>
          <w:snapToGrid w:val="0"/>
        </w:rPr>
        <w:t>(2) Die Alarmschwelle für die Schwefeldioxidkonzentrationen in der Luft ist in Anhang I Abschnitt II festg</w:t>
      </w:r>
      <w:r>
        <w:rPr>
          <w:snapToGrid w:val="0"/>
        </w:rPr>
        <w:t>e</w:t>
      </w:r>
      <w:r>
        <w:rPr>
          <w:snapToGrid w:val="0"/>
        </w:rPr>
        <w:t>legt.</w:t>
      </w:r>
    </w:p>
    <w:p w:rsidR="00461179" w:rsidRDefault="00461179">
      <w:pPr>
        <w:pStyle w:val="GesAbsatz"/>
        <w:rPr>
          <w:snapToGrid w:val="0"/>
        </w:rPr>
      </w:pPr>
      <w:r>
        <w:rPr>
          <w:snapToGrid w:val="0"/>
        </w:rPr>
        <w:t>(3) Um die Kommission bei der Erstellung des Berichts gemäß Artikel 10 zu unterstützen, zeichnen die Mi</w:t>
      </w:r>
      <w:r>
        <w:rPr>
          <w:snapToGrid w:val="0"/>
        </w:rPr>
        <w:t>t</w:t>
      </w:r>
      <w:r>
        <w:rPr>
          <w:snapToGrid w:val="0"/>
        </w:rPr>
        <w:t xml:space="preserve">gliedstaaten, soweit praktikabel, bis zum </w:t>
      </w:r>
      <w:smartTag w:uri="urn:schemas-microsoft-com:office:smarttags" w:element="date">
        <w:smartTagPr>
          <w:attr w:name="ls" w:val="trans"/>
          <w:attr w:name="Month" w:val="12"/>
          <w:attr w:name="Day" w:val="31"/>
          <w:attr w:name="Year" w:val="2003"/>
        </w:smartTagPr>
        <w:r>
          <w:rPr>
            <w:snapToGrid w:val="0"/>
          </w:rPr>
          <w:t>31. Dezember 2003</w:t>
        </w:r>
      </w:smartTag>
      <w:r>
        <w:rPr>
          <w:snapToGrid w:val="0"/>
        </w:rPr>
        <w:t xml:space="preserve"> Daten über die Schwefeldioxidkonzentration als Zehnminutenmittelwerte an einigen </w:t>
      </w:r>
      <w:proofErr w:type="spellStart"/>
      <w:r>
        <w:rPr>
          <w:snapToGrid w:val="0"/>
        </w:rPr>
        <w:t>Meßstationen</w:t>
      </w:r>
      <w:proofErr w:type="spellEnd"/>
      <w:r>
        <w:rPr>
          <w:snapToGrid w:val="0"/>
        </w:rPr>
        <w:t xml:space="preserve"> auf, die von ihnen als repräsentativ für die Luftqualität in nahe bei Emissionsquellen gelegenen bewohnten Gebieten ausgewählt wurden und an denen stündlich gemittelte Konzentrationen gemessen werden. Die Mitgliedstaaten teilen der Kommission zu diesen ausg</w:t>
      </w:r>
      <w:r>
        <w:rPr>
          <w:snapToGrid w:val="0"/>
        </w:rPr>
        <w:t>e</w:t>
      </w:r>
      <w:r>
        <w:rPr>
          <w:snapToGrid w:val="0"/>
        </w:rPr>
        <w:t xml:space="preserve">wählten </w:t>
      </w:r>
      <w:proofErr w:type="spellStart"/>
      <w:r>
        <w:rPr>
          <w:snapToGrid w:val="0"/>
        </w:rPr>
        <w:t>Meßstationen</w:t>
      </w:r>
      <w:proofErr w:type="spellEnd"/>
      <w:r>
        <w:rPr>
          <w:snapToGrid w:val="0"/>
        </w:rPr>
        <w:t xml:space="preserve"> bei der Übermittlung der Angaben über die stündlich gemittelten Konzentrationen gemäß Artikel 11 Nummer 1 der Richtlinie 96/62/EG auch mit, wie oft die über zehn Minuten gemittelten Konzentrationswerte 500 µg/m</w:t>
      </w:r>
      <w:r>
        <w:rPr>
          <w:snapToGrid w:val="0"/>
          <w:vertAlign w:val="superscript"/>
        </w:rPr>
        <w:t>3</w:t>
      </w:r>
      <w:r>
        <w:rPr>
          <w:snapToGrid w:val="0"/>
        </w:rPr>
        <w:t xml:space="preserve"> überschritten haben, an wie vielen Tagen innerhalb des Kalenderjahres dies vorkam, an wie vielen dieser Tage gleichzeitig die stündlich gemittelten Konzentrationen an Schwefeldioxid 350 µg/m</w:t>
      </w:r>
      <w:r>
        <w:rPr>
          <w:snapToGrid w:val="0"/>
          <w:vertAlign w:val="superscript"/>
        </w:rPr>
        <w:t>3</w:t>
      </w:r>
      <w:r>
        <w:rPr>
          <w:snapToGrid w:val="0"/>
        </w:rPr>
        <w:t xml:space="preserve"> überschritten haben und welche über zehn Minuten gemittelte Höchstkonzentration gemessen wurde.</w:t>
      </w:r>
    </w:p>
    <w:p w:rsidR="00461179" w:rsidRDefault="00461179">
      <w:pPr>
        <w:pStyle w:val="GesAbsatz"/>
        <w:rPr>
          <w:snapToGrid w:val="0"/>
        </w:rPr>
      </w:pPr>
      <w:r>
        <w:rPr>
          <w:snapToGrid w:val="0"/>
        </w:rPr>
        <w:t>(4) Die Mitgliedstaaten können Gebiete oder Ballungsräume benennen, in denen die Grenzwerte für Schw</w:t>
      </w:r>
      <w:r>
        <w:rPr>
          <w:snapToGrid w:val="0"/>
        </w:rPr>
        <w:t>e</w:t>
      </w:r>
      <w:r>
        <w:rPr>
          <w:snapToGrid w:val="0"/>
        </w:rPr>
        <w:t xml:space="preserve">feldioxid gemäß Anhang I Abschnitt I aufgrund der Konzentrationen von Schwefeldioxid in der Luft, die aus natürlichen Quellen stammen, überschritten werden. Die Mitgliedstaaten übermitteln der Kommission eine Liste dieser Gebiete und Ballungsräume zusammen mit Informationen über die dortigen Konzentrationen und Quellen von Schwefeldioxid. Bei der Unterrichtung der Kommission gemäß Artikel 11 Nummer 1 der Richtlinie 96/62/EG erbringen die Mitgliedstaaten die erforderlichen Nachweise dafür, </w:t>
      </w:r>
      <w:proofErr w:type="spellStart"/>
      <w:r>
        <w:rPr>
          <w:snapToGrid w:val="0"/>
        </w:rPr>
        <w:t>daß</w:t>
      </w:r>
      <w:proofErr w:type="spellEnd"/>
      <w:r>
        <w:rPr>
          <w:snapToGrid w:val="0"/>
        </w:rPr>
        <w:t xml:space="preserve"> die Überschre</w:t>
      </w:r>
      <w:r>
        <w:rPr>
          <w:snapToGrid w:val="0"/>
        </w:rPr>
        <w:t>i</w:t>
      </w:r>
      <w:r>
        <w:rPr>
          <w:snapToGrid w:val="0"/>
        </w:rPr>
        <w:t>tungen aus natürlichen Quellen stammen. Innerhalb dieser Gebiete oder Ballungsräume sind die Mitglie</w:t>
      </w:r>
      <w:r>
        <w:rPr>
          <w:snapToGrid w:val="0"/>
        </w:rPr>
        <w:t>d</w:t>
      </w:r>
      <w:r>
        <w:rPr>
          <w:snapToGrid w:val="0"/>
        </w:rPr>
        <w:t xml:space="preserve">staaten nur dann zur Durchführung von </w:t>
      </w:r>
      <w:proofErr w:type="spellStart"/>
      <w:r>
        <w:rPr>
          <w:snapToGrid w:val="0"/>
        </w:rPr>
        <w:t>Maßnahmeplänen</w:t>
      </w:r>
      <w:proofErr w:type="spellEnd"/>
      <w:r>
        <w:rPr>
          <w:snapToGrid w:val="0"/>
        </w:rPr>
        <w:t xml:space="preserve"> gemäß Artikel 8 Absatz 3 der Richtlinie 96/62/EG verpflichtet, wenn die in Anhang I Abschnitt I genannten Grenzwerte aufgrund von anthropogenen Emissi</w:t>
      </w:r>
      <w:r>
        <w:rPr>
          <w:snapToGrid w:val="0"/>
        </w:rPr>
        <w:t>o</w:t>
      </w:r>
      <w:r>
        <w:rPr>
          <w:snapToGrid w:val="0"/>
        </w:rPr>
        <w:t>nen überschritten werden.</w:t>
      </w:r>
    </w:p>
    <w:p w:rsidR="00461179" w:rsidRDefault="00461179" w:rsidP="00A47F6D">
      <w:pPr>
        <w:pStyle w:val="berschrift2"/>
        <w:rPr>
          <w:snapToGrid w:val="0"/>
        </w:rPr>
      </w:pPr>
      <w:bookmarkStart w:id="5" w:name="_Toc202752871"/>
      <w:r>
        <w:rPr>
          <w:snapToGrid w:val="0"/>
        </w:rPr>
        <w:t>Artikel 4</w:t>
      </w:r>
      <w:r>
        <w:rPr>
          <w:snapToGrid w:val="0"/>
        </w:rPr>
        <w:br/>
        <w:t>Stickstoffdioxid und Stickstoffoxide</w:t>
      </w:r>
      <w:bookmarkEnd w:id="5"/>
    </w:p>
    <w:p w:rsidR="00461179" w:rsidRDefault="00461179">
      <w:pPr>
        <w:pStyle w:val="GesAbsatz"/>
        <w:rPr>
          <w:snapToGrid w:val="0"/>
        </w:rPr>
      </w:pPr>
      <w:r>
        <w:rPr>
          <w:snapToGrid w:val="0"/>
        </w:rPr>
        <w:t xml:space="preserve">(1) Die Mitgliedstaaten treffen die erforderlichen Maßnahmen, um sicherzustellen, </w:t>
      </w:r>
      <w:proofErr w:type="spellStart"/>
      <w:r>
        <w:rPr>
          <w:snapToGrid w:val="0"/>
        </w:rPr>
        <w:t>daß</w:t>
      </w:r>
      <w:proofErr w:type="spellEnd"/>
      <w:r>
        <w:rPr>
          <w:snapToGrid w:val="0"/>
        </w:rPr>
        <w:t xml:space="preserve"> die gemäß Artikel 7 beurteilten Konzentrationen von Stickstoffdioxid und gegebenenfalls Stickstoffoxiden in der Luft die Gren</w:t>
      </w:r>
      <w:r>
        <w:rPr>
          <w:snapToGrid w:val="0"/>
        </w:rPr>
        <w:t>z</w:t>
      </w:r>
      <w:r>
        <w:rPr>
          <w:snapToGrid w:val="0"/>
        </w:rPr>
        <w:t>werte des Anhangs II Abschnitt I ab den dort genannten Zeitpunkten nicht überschreiten.</w:t>
      </w:r>
    </w:p>
    <w:p w:rsidR="00461179" w:rsidRDefault="00461179">
      <w:pPr>
        <w:pStyle w:val="GesAbsatz"/>
        <w:rPr>
          <w:snapToGrid w:val="0"/>
        </w:rPr>
      </w:pPr>
      <w:r>
        <w:rPr>
          <w:snapToGrid w:val="0"/>
        </w:rPr>
        <w:t>Die in Anhang II Abschnitt I festgelegten Toleranzmargen sind gemäß Artikel 8 der Richtlinie 96/62/EG a</w:t>
      </w:r>
      <w:r>
        <w:rPr>
          <w:snapToGrid w:val="0"/>
        </w:rPr>
        <w:t>n</w:t>
      </w:r>
      <w:r>
        <w:rPr>
          <w:snapToGrid w:val="0"/>
        </w:rPr>
        <w:t>zuwenden.</w:t>
      </w:r>
    </w:p>
    <w:p w:rsidR="00461179" w:rsidRDefault="00461179">
      <w:pPr>
        <w:pStyle w:val="GesAbsatz"/>
        <w:rPr>
          <w:snapToGrid w:val="0"/>
        </w:rPr>
      </w:pPr>
      <w:r>
        <w:rPr>
          <w:snapToGrid w:val="0"/>
        </w:rPr>
        <w:t>(2) Die Alarmschwelle für die Stickstoffdioxidkonzentrationen in der Luft ist in Anhang II Abschnitt II festg</w:t>
      </w:r>
      <w:r>
        <w:rPr>
          <w:snapToGrid w:val="0"/>
        </w:rPr>
        <w:t>e</w:t>
      </w:r>
      <w:r>
        <w:rPr>
          <w:snapToGrid w:val="0"/>
        </w:rPr>
        <w:t>legt.</w:t>
      </w:r>
    </w:p>
    <w:p w:rsidR="00461179" w:rsidRDefault="00461179" w:rsidP="00A47F6D">
      <w:pPr>
        <w:pStyle w:val="berschrift2"/>
        <w:rPr>
          <w:snapToGrid w:val="0"/>
        </w:rPr>
      </w:pPr>
      <w:bookmarkStart w:id="6" w:name="_Toc202752872"/>
      <w:r>
        <w:rPr>
          <w:snapToGrid w:val="0"/>
        </w:rPr>
        <w:t>Artikel 5</w:t>
      </w:r>
      <w:r>
        <w:rPr>
          <w:snapToGrid w:val="0"/>
        </w:rPr>
        <w:br/>
        <w:t>Partikel</w:t>
      </w:r>
      <w:bookmarkEnd w:id="6"/>
    </w:p>
    <w:p w:rsidR="00461179" w:rsidRDefault="00461179">
      <w:pPr>
        <w:pStyle w:val="GesAbsatz"/>
        <w:rPr>
          <w:snapToGrid w:val="0"/>
        </w:rPr>
      </w:pPr>
      <w:r>
        <w:rPr>
          <w:snapToGrid w:val="0"/>
        </w:rPr>
        <w:t xml:space="preserve">(1) Die Mitgliedstaaten treffen die erforderlichen Maßnahmen, um sicherzustellen, </w:t>
      </w:r>
      <w:proofErr w:type="spellStart"/>
      <w:r>
        <w:rPr>
          <w:snapToGrid w:val="0"/>
        </w:rPr>
        <w:t>daß</w:t>
      </w:r>
      <w:proofErr w:type="spellEnd"/>
      <w:r>
        <w:rPr>
          <w:snapToGrid w:val="0"/>
        </w:rPr>
        <w:t xml:space="preserve"> die gemäß Artikel 7 beurteilten PM</w:t>
      </w:r>
      <w:r>
        <w:rPr>
          <w:snapToGrid w:val="0"/>
          <w:vertAlign w:val="subscript"/>
        </w:rPr>
        <w:t>10</w:t>
      </w:r>
      <w:r>
        <w:rPr>
          <w:snapToGrid w:val="0"/>
        </w:rPr>
        <w:t>-Konzentrationen in der Luft die Grenzwerte des Anhangs III Abschnitt I ab den dort genan</w:t>
      </w:r>
      <w:r>
        <w:rPr>
          <w:snapToGrid w:val="0"/>
        </w:rPr>
        <w:t>n</w:t>
      </w:r>
      <w:r>
        <w:rPr>
          <w:snapToGrid w:val="0"/>
        </w:rPr>
        <w:t xml:space="preserve">ten Zeitpunkten nicht überschreiten. </w:t>
      </w:r>
    </w:p>
    <w:p w:rsidR="00461179" w:rsidRDefault="00461179">
      <w:pPr>
        <w:pStyle w:val="GesAbsatz"/>
        <w:rPr>
          <w:snapToGrid w:val="0"/>
        </w:rPr>
      </w:pPr>
      <w:r>
        <w:rPr>
          <w:snapToGrid w:val="0"/>
        </w:rPr>
        <w:t>Die in Anhang III Abschnitt I festgelegten Toleranzmargen, sind gemäß Artikel 8 der Richtlinie 96/62/EG anzuwenden.</w:t>
      </w:r>
    </w:p>
    <w:p w:rsidR="00461179" w:rsidRDefault="00461179">
      <w:pPr>
        <w:pStyle w:val="GesAbsatz"/>
        <w:rPr>
          <w:snapToGrid w:val="0"/>
        </w:rPr>
      </w:pPr>
      <w:r>
        <w:rPr>
          <w:snapToGrid w:val="0"/>
        </w:rPr>
        <w:t xml:space="preserve">(2) Die Mitgliedstaaten stellen sicher, </w:t>
      </w:r>
      <w:proofErr w:type="spellStart"/>
      <w:r>
        <w:rPr>
          <w:snapToGrid w:val="0"/>
        </w:rPr>
        <w:t>daß</w:t>
      </w:r>
      <w:proofErr w:type="spellEnd"/>
      <w:r>
        <w:rPr>
          <w:snapToGrid w:val="0"/>
        </w:rPr>
        <w:t xml:space="preserve"> </w:t>
      </w:r>
      <w:proofErr w:type="spellStart"/>
      <w:r>
        <w:rPr>
          <w:snapToGrid w:val="0"/>
        </w:rPr>
        <w:t>Meßstationen</w:t>
      </w:r>
      <w:proofErr w:type="spellEnd"/>
      <w:r>
        <w:rPr>
          <w:snapToGrid w:val="0"/>
        </w:rPr>
        <w:t xml:space="preserve"> zur Bereitstellung von Daten zur PM</w:t>
      </w:r>
      <w:r>
        <w:rPr>
          <w:snapToGrid w:val="0"/>
          <w:vertAlign w:val="subscript"/>
        </w:rPr>
        <w:t>2,5</w:t>
      </w:r>
      <w:r>
        <w:rPr>
          <w:snapToGrid w:val="0"/>
        </w:rPr>
        <w:t xml:space="preserve">-Konzentration eingerichtet und betrieben werden. </w:t>
      </w:r>
      <w:proofErr w:type="spellStart"/>
      <w:r>
        <w:rPr>
          <w:snapToGrid w:val="0"/>
        </w:rPr>
        <w:t>AnzahI</w:t>
      </w:r>
      <w:proofErr w:type="spellEnd"/>
      <w:r>
        <w:rPr>
          <w:snapToGrid w:val="0"/>
        </w:rPr>
        <w:t xml:space="preserve"> und Lage der </w:t>
      </w:r>
      <w:proofErr w:type="spellStart"/>
      <w:r>
        <w:rPr>
          <w:snapToGrid w:val="0"/>
        </w:rPr>
        <w:t>Meßstationen</w:t>
      </w:r>
      <w:proofErr w:type="spellEnd"/>
      <w:r>
        <w:rPr>
          <w:snapToGrid w:val="0"/>
        </w:rPr>
        <w:t xml:space="preserve"> für die PM</w:t>
      </w:r>
      <w:r>
        <w:rPr>
          <w:snapToGrid w:val="0"/>
          <w:vertAlign w:val="subscript"/>
        </w:rPr>
        <w:t>2,5</w:t>
      </w:r>
      <w:r>
        <w:rPr>
          <w:snapToGrid w:val="0"/>
        </w:rPr>
        <w:t xml:space="preserve">-Konzentration sind vom Mitgliedstaat so festzulegen, </w:t>
      </w:r>
      <w:proofErr w:type="spellStart"/>
      <w:r>
        <w:rPr>
          <w:snapToGrid w:val="0"/>
        </w:rPr>
        <w:t>daß</w:t>
      </w:r>
      <w:proofErr w:type="spellEnd"/>
      <w:r>
        <w:rPr>
          <w:snapToGrid w:val="0"/>
        </w:rPr>
        <w:t xml:space="preserve"> die PM</w:t>
      </w:r>
      <w:r>
        <w:rPr>
          <w:snapToGrid w:val="0"/>
          <w:vertAlign w:val="subscript"/>
        </w:rPr>
        <w:t>2,5</w:t>
      </w:r>
      <w:r>
        <w:rPr>
          <w:snapToGrid w:val="0"/>
        </w:rPr>
        <w:t>-Konzentration innerhalb des Mitglie</w:t>
      </w:r>
      <w:r>
        <w:rPr>
          <w:snapToGrid w:val="0"/>
        </w:rPr>
        <w:t>d</w:t>
      </w:r>
      <w:r>
        <w:rPr>
          <w:snapToGrid w:val="0"/>
        </w:rPr>
        <w:t xml:space="preserve">staats repräsentativ </w:t>
      </w:r>
      <w:proofErr w:type="spellStart"/>
      <w:r>
        <w:rPr>
          <w:snapToGrid w:val="0"/>
        </w:rPr>
        <w:t>erfaßt</w:t>
      </w:r>
      <w:proofErr w:type="spellEnd"/>
      <w:r>
        <w:rPr>
          <w:snapToGrid w:val="0"/>
        </w:rPr>
        <w:t xml:space="preserve"> wird. Soweit möglich, werden die Probenahmestellen mit den Probenahmestellen für die PM</w:t>
      </w:r>
      <w:r>
        <w:rPr>
          <w:snapToGrid w:val="0"/>
          <w:vertAlign w:val="subscript"/>
        </w:rPr>
        <w:t>10</w:t>
      </w:r>
      <w:r>
        <w:rPr>
          <w:snapToGrid w:val="0"/>
        </w:rPr>
        <w:t>-Konzentration zusammengelegt.</w:t>
      </w:r>
    </w:p>
    <w:p w:rsidR="00461179" w:rsidRDefault="00461179">
      <w:pPr>
        <w:pStyle w:val="GesAbsatz"/>
        <w:rPr>
          <w:snapToGrid w:val="0"/>
        </w:rPr>
      </w:pPr>
      <w:r>
        <w:rPr>
          <w:snapToGrid w:val="0"/>
        </w:rPr>
        <w:t>Die Mitgliedstaaten übermitteln der Kommission jährlich innerhalb von neun Monaten nach Jahresende A</w:t>
      </w:r>
      <w:r>
        <w:rPr>
          <w:snapToGrid w:val="0"/>
        </w:rPr>
        <w:t>n</w:t>
      </w:r>
      <w:r>
        <w:rPr>
          <w:snapToGrid w:val="0"/>
        </w:rPr>
        <w:t>gaben zum arithmetischen Mittel, zum Median, zum 98. Perzentil und zur Höchstkonzentration, die anhand der 24-Stunden-Meßwerte der PM</w:t>
      </w:r>
      <w:r>
        <w:rPr>
          <w:snapToGrid w:val="0"/>
          <w:vertAlign w:val="subscript"/>
        </w:rPr>
        <w:t>2,5</w:t>
      </w:r>
      <w:r>
        <w:rPr>
          <w:snapToGrid w:val="0"/>
        </w:rPr>
        <w:t xml:space="preserve">-Konzentration in dem betreffenden Jahr berechnet wurden. Das 98. Perzentil ist gemäß der Methode zu berechnen, die in Anhang I Abschnitt 4 der Entscheidung 97/101/EG </w:t>
      </w:r>
      <w:r>
        <w:rPr>
          <w:snapToGrid w:val="0"/>
        </w:rPr>
        <w:lastRenderedPageBreak/>
        <w:t xml:space="preserve">des Rates vom </w:t>
      </w:r>
      <w:smartTag w:uri="urn:schemas-microsoft-com:office:smarttags" w:element="date">
        <w:smartTagPr>
          <w:attr w:name="ls" w:val="trans"/>
          <w:attr w:name="Month" w:val="1"/>
          <w:attr w:name="Day" w:val="27"/>
          <w:attr w:name="Year" w:val="1997"/>
        </w:smartTagPr>
        <w:r>
          <w:rPr>
            <w:snapToGrid w:val="0"/>
          </w:rPr>
          <w:t>27. Januar 1997</w:t>
        </w:r>
      </w:smartTag>
      <w:r>
        <w:rPr>
          <w:snapToGrid w:val="0"/>
        </w:rPr>
        <w:t xml:space="preserve"> zur Schaffung eines Austausches von Informationen und Daten aus den Netzen und Einzelstationen zur Messung der Luftverschmutzung in den Mitgliedstaaten</w:t>
      </w:r>
      <w:r>
        <w:rPr>
          <w:rStyle w:val="Funotenzeichen"/>
        </w:rPr>
        <w:footnoteReference w:customMarkFollows="1" w:id="6"/>
        <w:t>(1</w:t>
      </w:r>
      <w:r>
        <w:rPr>
          <w:rStyle w:val="Funotenzeichen"/>
          <w:snapToGrid w:val="0"/>
        </w:rPr>
        <w:t>)</w:t>
      </w:r>
      <w:r>
        <w:rPr>
          <w:snapToGrid w:val="0"/>
        </w:rPr>
        <w:t xml:space="preserve"> angegeben ist.</w:t>
      </w:r>
    </w:p>
    <w:p w:rsidR="00461179" w:rsidRDefault="00461179">
      <w:pPr>
        <w:pStyle w:val="GesAbsatz"/>
        <w:rPr>
          <w:snapToGrid w:val="0"/>
        </w:rPr>
      </w:pPr>
      <w:r>
        <w:rPr>
          <w:snapToGrid w:val="0"/>
        </w:rPr>
        <w:t>(3) PM</w:t>
      </w:r>
      <w:r>
        <w:rPr>
          <w:snapToGrid w:val="0"/>
          <w:vertAlign w:val="subscript"/>
        </w:rPr>
        <w:t>10</w:t>
      </w:r>
      <w:r>
        <w:rPr>
          <w:snapToGrid w:val="0"/>
        </w:rPr>
        <w:t>-Maßnahmepläne, die gemäß Artikel 8 der Richtlinie 96/62/EG erstellt werden, und allgemeine Str</w:t>
      </w:r>
      <w:r>
        <w:rPr>
          <w:snapToGrid w:val="0"/>
        </w:rPr>
        <w:t>a</w:t>
      </w:r>
      <w:r>
        <w:rPr>
          <w:snapToGrid w:val="0"/>
        </w:rPr>
        <w:t>tegien zur Verringerung der PM</w:t>
      </w:r>
      <w:r>
        <w:rPr>
          <w:snapToGrid w:val="0"/>
          <w:vertAlign w:val="subscript"/>
        </w:rPr>
        <w:t>10</w:t>
      </w:r>
      <w:r>
        <w:rPr>
          <w:snapToGrid w:val="0"/>
        </w:rPr>
        <w:t>-Konzentration müssen auch auf die Verringerung der PM</w:t>
      </w:r>
      <w:r>
        <w:rPr>
          <w:snapToGrid w:val="0"/>
          <w:vertAlign w:val="subscript"/>
        </w:rPr>
        <w:t>2,5</w:t>
      </w:r>
      <w:r>
        <w:rPr>
          <w:snapToGrid w:val="0"/>
        </w:rPr>
        <w:t>-Konzentration abzielen.</w:t>
      </w:r>
    </w:p>
    <w:p w:rsidR="00461179" w:rsidRDefault="00461179">
      <w:pPr>
        <w:pStyle w:val="GesAbsatz"/>
        <w:rPr>
          <w:snapToGrid w:val="0"/>
        </w:rPr>
      </w:pPr>
      <w:r>
        <w:rPr>
          <w:snapToGrid w:val="0"/>
        </w:rPr>
        <w:t>(4) Wenn die in Anhang III Abschnitt I genannten PM</w:t>
      </w:r>
      <w:r>
        <w:rPr>
          <w:snapToGrid w:val="0"/>
          <w:vertAlign w:val="subscript"/>
        </w:rPr>
        <w:t>10</w:t>
      </w:r>
      <w:r>
        <w:rPr>
          <w:snapToGrid w:val="0"/>
        </w:rPr>
        <w:t xml:space="preserve"> -Grenzwerte durch PM</w:t>
      </w:r>
      <w:r>
        <w:rPr>
          <w:snapToGrid w:val="0"/>
          <w:vertAlign w:val="subscript"/>
        </w:rPr>
        <w:t>10</w:t>
      </w:r>
      <w:r>
        <w:rPr>
          <w:snapToGrid w:val="0"/>
        </w:rPr>
        <w:t xml:space="preserve">-Konzentrationen in der Luft infolge von Naturereignissen überschritten werden, die gegenüber dem normalen, durch natürliche Quellen bedingten Hintergrundwert zu signifikant höheren Konzentrationen führen, unterrichten die Mitgliedstaaten die Kommission gemäß Artikel 11 Nummer 1 der Richtlinie 96/62/EG unter Beibringung des erforderlichen Nachweises, </w:t>
      </w:r>
      <w:proofErr w:type="spellStart"/>
      <w:r>
        <w:rPr>
          <w:snapToGrid w:val="0"/>
        </w:rPr>
        <w:t>daß</w:t>
      </w:r>
      <w:proofErr w:type="spellEnd"/>
      <w:r>
        <w:rPr>
          <w:snapToGrid w:val="0"/>
        </w:rPr>
        <w:t xml:space="preserve"> diese Überschreitungen auf Naturereignisse zurückgehen. In diesen Fällen sind die Mi</w:t>
      </w:r>
      <w:r>
        <w:rPr>
          <w:snapToGrid w:val="0"/>
        </w:rPr>
        <w:t>t</w:t>
      </w:r>
      <w:r>
        <w:rPr>
          <w:snapToGrid w:val="0"/>
        </w:rPr>
        <w:t xml:space="preserve">gliedstaaten zur Durchführung von </w:t>
      </w:r>
      <w:proofErr w:type="spellStart"/>
      <w:r>
        <w:rPr>
          <w:snapToGrid w:val="0"/>
        </w:rPr>
        <w:t>Maßnahmeplänen</w:t>
      </w:r>
      <w:proofErr w:type="spellEnd"/>
      <w:r>
        <w:rPr>
          <w:snapToGrid w:val="0"/>
        </w:rPr>
        <w:t xml:space="preserve"> gemäß Artikel 8 Absatz 3 der Richtlinie 96/62/EG nur dann verpflichtet, wenn die Überschreitung der in Anhang III Abschnitt I genannten Grenzwerte auf andere Ursachen als Naturereignisse zurückzuführen ist.</w:t>
      </w:r>
    </w:p>
    <w:p w:rsidR="00461179" w:rsidRDefault="00461179">
      <w:pPr>
        <w:pStyle w:val="GesAbsatz"/>
        <w:rPr>
          <w:snapToGrid w:val="0"/>
        </w:rPr>
      </w:pPr>
      <w:r>
        <w:rPr>
          <w:snapToGrid w:val="0"/>
        </w:rPr>
        <w:t>(5) Die Mitgliedstaaten können Gebiete oder Ballungsräume benennen, in denen die PM</w:t>
      </w:r>
      <w:r>
        <w:rPr>
          <w:snapToGrid w:val="0"/>
          <w:vertAlign w:val="subscript"/>
        </w:rPr>
        <w:t>10</w:t>
      </w:r>
      <w:r>
        <w:rPr>
          <w:snapToGrid w:val="0"/>
        </w:rPr>
        <w:t>-Konzentration in der Luft infolge der Aufwirbelung von Partikeln nach einer Streuung von Straßen mit Sand im Winter die in Anhang III Abschnitt I aufgeführten PM</w:t>
      </w:r>
      <w:r>
        <w:rPr>
          <w:snapToGrid w:val="0"/>
          <w:vertAlign w:val="subscript"/>
        </w:rPr>
        <w:t>10</w:t>
      </w:r>
      <w:r>
        <w:rPr>
          <w:snapToGrid w:val="0"/>
        </w:rPr>
        <w:t>-Grenzwerte überschreitet. Die Mitgliedstaaten übermitteln der Kommission eine Liste dieser Gebiete und Ballungsräume zusammen mit Informationen über die dortigen Konzentrationen und Quellen von PM</w:t>
      </w:r>
      <w:r>
        <w:rPr>
          <w:snapToGrid w:val="0"/>
          <w:vertAlign w:val="subscript"/>
        </w:rPr>
        <w:t>10</w:t>
      </w:r>
      <w:r>
        <w:rPr>
          <w:snapToGrid w:val="0"/>
        </w:rPr>
        <w:t>.</w:t>
      </w:r>
      <w:r w:rsidR="00A47F6D">
        <w:rPr>
          <w:snapToGrid w:val="0"/>
        </w:rPr>
        <w:t xml:space="preserve"> </w:t>
      </w:r>
      <w:r>
        <w:rPr>
          <w:snapToGrid w:val="0"/>
        </w:rPr>
        <w:t xml:space="preserve">Bei der Unterrichtung der Kommission gemäß Artikel 11 Nummer 1 der Richtlinie 96/62/EG erbringen die Mitgliedstaaten die erforderlichen Nachweise dafür, </w:t>
      </w:r>
      <w:proofErr w:type="spellStart"/>
      <w:r>
        <w:rPr>
          <w:snapToGrid w:val="0"/>
        </w:rPr>
        <w:t>daß</w:t>
      </w:r>
      <w:proofErr w:type="spellEnd"/>
      <w:r>
        <w:rPr>
          <w:snapToGrid w:val="0"/>
        </w:rPr>
        <w:t xml:space="preserve"> die Übe</w:t>
      </w:r>
      <w:r>
        <w:rPr>
          <w:snapToGrid w:val="0"/>
        </w:rPr>
        <w:t>r</w:t>
      </w:r>
      <w:r>
        <w:rPr>
          <w:snapToGrid w:val="0"/>
        </w:rPr>
        <w:t>schreitungen auf derartige aufgewirbelte Partikel zurückzuführen sind und angemessene Maßnahmen zur Verringerung der Konzentrationen getroffen worden sind.</w:t>
      </w:r>
    </w:p>
    <w:p w:rsidR="00461179" w:rsidRDefault="00461179">
      <w:pPr>
        <w:pStyle w:val="GesAbsatz"/>
        <w:rPr>
          <w:snapToGrid w:val="0"/>
        </w:rPr>
      </w:pPr>
      <w:r>
        <w:rPr>
          <w:snapToGrid w:val="0"/>
        </w:rPr>
        <w:t xml:space="preserve">Innerhalb dieser Gebiete oder Ballungsräume sind die Mitgliedstaaten nur dann zur Durchführung von </w:t>
      </w:r>
      <w:proofErr w:type="spellStart"/>
      <w:r>
        <w:rPr>
          <w:snapToGrid w:val="0"/>
        </w:rPr>
        <w:t>Ma</w:t>
      </w:r>
      <w:r>
        <w:rPr>
          <w:snapToGrid w:val="0"/>
        </w:rPr>
        <w:t>ß</w:t>
      </w:r>
      <w:r>
        <w:rPr>
          <w:snapToGrid w:val="0"/>
        </w:rPr>
        <w:t>nahmeplänen</w:t>
      </w:r>
      <w:proofErr w:type="spellEnd"/>
      <w:r>
        <w:rPr>
          <w:snapToGrid w:val="0"/>
        </w:rPr>
        <w:t xml:space="preserve"> gemäß Artikel 8 Absatz 3 der Richtlinie 96/62/EG verpflichtet, wenn die in Anhang III A</w:t>
      </w:r>
      <w:r>
        <w:rPr>
          <w:snapToGrid w:val="0"/>
        </w:rPr>
        <w:t>b</w:t>
      </w:r>
      <w:r>
        <w:rPr>
          <w:snapToGrid w:val="0"/>
        </w:rPr>
        <w:t>schnitt I genannten Grenzwerte aufgrund von PM</w:t>
      </w:r>
      <w:r>
        <w:rPr>
          <w:snapToGrid w:val="0"/>
          <w:vertAlign w:val="subscript"/>
        </w:rPr>
        <w:t>10</w:t>
      </w:r>
      <w:r>
        <w:rPr>
          <w:snapToGrid w:val="0"/>
        </w:rPr>
        <w:t>-Werten überschritten werden, die auf andere Ursachen als auf die Streuung von Straßen mit Sand im Winter zurückzuführen sind.</w:t>
      </w:r>
    </w:p>
    <w:p w:rsidR="00461179" w:rsidRDefault="00461179" w:rsidP="00A47F6D">
      <w:pPr>
        <w:pStyle w:val="berschrift2"/>
        <w:rPr>
          <w:snapToGrid w:val="0"/>
        </w:rPr>
      </w:pPr>
      <w:bookmarkStart w:id="7" w:name="_Toc202752873"/>
      <w:r>
        <w:rPr>
          <w:snapToGrid w:val="0"/>
        </w:rPr>
        <w:t>Artikel 6</w:t>
      </w:r>
      <w:r>
        <w:rPr>
          <w:snapToGrid w:val="0"/>
        </w:rPr>
        <w:br/>
        <w:t>Blei</w:t>
      </w:r>
      <w:bookmarkEnd w:id="7"/>
    </w:p>
    <w:p w:rsidR="00461179" w:rsidRDefault="00461179">
      <w:pPr>
        <w:pStyle w:val="GesAbsatz"/>
        <w:rPr>
          <w:snapToGrid w:val="0"/>
        </w:rPr>
      </w:pPr>
      <w:r>
        <w:rPr>
          <w:snapToGrid w:val="0"/>
        </w:rPr>
        <w:t xml:space="preserve">Die Mitgliedstaaten treffen die erforderlichen Maßnahmen, um sicherzustellen, </w:t>
      </w:r>
      <w:proofErr w:type="spellStart"/>
      <w:r>
        <w:rPr>
          <w:snapToGrid w:val="0"/>
        </w:rPr>
        <w:t>daß</w:t>
      </w:r>
      <w:proofErr w:type="spellEnd"/>
      <w:r>
        <w:rPr>
          <w:snapToGrid w:val="0"/>
        </w:rPr>
        <w:t xml:space="preserve"> die gemäß Artikel 7 beu</w:t>
      </w:r>
      <w:r>
        <w:rPr>
          <w:snapToGrid w:val="0"/>
        </w:rPr>
        <w:t>r</w:t>
      </w:r>
      <w:r>
        <w:rPr>
          <w:snapToGrid w:val="0"/>
        </w:rPr>
        <w:t>teilten Bleikonzentrationen in der Luft die Grenzwerte des Anhangs IV Abschnitt I ab den dort genannten Zeitpunkten nicht überschreiten.</w:t>
      </w:r>
    </w:p>
    <w:p w:rsidR="00461179" w:rsidRDefault="00461179">
      <w:pPr>
        <w:pStyle w:val="GesAbsatz"/>
        <w:rPr>
          <w:snapToGrid w:val="0"/>
        </w:rPr>
      </w:pPr>
      <w:r>
        <w:rPr>
          <w:snapToGrid w:val="0"/>
        </w:rPr>
        <w:t>Die in Anhang IV Abschnitt I festgelegten Toleranzmargen sind gemäß Artikel 8 der Richtlinie 96/62/EG a</w:t>
      </w:r>
      <w:r>
        <w:rPr>
          <w:snapToGrid w:val="0"/>
        </w:rPr>
        <w:t>n</w:t>
      </w:r>
      <w:r>
        <w:rPr>
          <w:snapToGrid w:val="0"/>
        </w:rPr>
        <w:t>zuwenden.</w:t>
      </w:r>
    </w:p>
    <w:p w:rsidR="00461179" w:rsidRDefault="00461179" w:rsidP="00A47F6D">
      <w:pPr>
        <w:pStyle w:val="berschrift2"/>
        <w:rPr>
          <w:snapToGrid w:val="0"/>
        </w:rPr>
      </w:pPr>
      <w:bookmarkStart w:id="8" w:name="_Toc202752874"/>
      <w:r>
        <w:rPr>
          <w:snapToGrid w:val="0"/>
        </w:rPr>
        <w:t>Artikel 7</w:t>
      </w:r>
      <w:r>
        <w:rPr>
          <w:i/>
          <w:snapToGrid w:val="0"/>
        </w:rPr>
        <w:br/>
      </w:r>
      <w:r>
        <w:rPr>
          <w:snapToGrid w:val="0"/>
        </w:rPr>
        <w:t>Beurteilung der Konzentrationen</w:t>
      </w:r>
      <w:bookmarkEnd w:id="8"/>
    </w:p>
    <w:p w:rsidR="00461179" w:rsidRDefault="00461179">
      <w:pPr>
        <w:pStyle w:val="GesAbsatz"/>
        <w:rPr>
          <w:snapToGrid w:val="0"/>
        </w:rPr>
      </w:pPr>
      <w:r>
        <w:rPr>
          <w:snapToGrid w:val="0"/>
        </w:rPr>
        <w:t>(1) Untere und obere Beurteilungsschwellen im Sinne von Artikel 6 der Richtlinie 96/62/EG sind für Schw</w:t>
      </w:r>
      <w:r>
        <w:rPr>
          <w:snapToGrid w:val="0"/>
        </w:rPr>
        <w:t>e</w:t>
      </w:r>
      <w:r>
        <w:rPr>
          <w:snapToGrid w:val="0"/>
        </w:rPr>
        <w:t>feldioxid, Stickstoffdioxid und Stickstoffoxide, Partikel und Blei in Anhang V Abschnitt I festgelegt.</w:t>
      </w:r>
    </w:p>
    <w:p w:rsidR="00461179" w:rsidRDefault="00461179">
      <w:pPr>
        <w:pStyle w:val="GesAbsatz"/>
        <w:rPr>
          <w:snapToGrid w:val="0"/>
        </w:rPr>
      </w:pPr>
      <w:r>
        <w:rPr>
          <w:snapToGrid w:val="0"/>
        </w:rPr>
        <w:t>Die Einstufung jedes Gebiets oder Ballungsraums für die Zwecke der Anwendung von Artikel 6 der Richtlinie 96/62/EG ist spätestens alle fünf Jahre gemäß dem in Anhang V Abschnitt II festgelegten Verfahren zu überprüfen. Die Einstufung wird bei signifikanten Änderungen der Aktivitäten, die für die Konzentrationen von Schwefeldioxid, Stickstoffdioxid oder gegebenenfalls Stickstoffoxiden, Partikeln oder Blei in der Luft relevant sind, früher überprüft.</w:t>
      </w:r>
    </w:p>
    <w:p w:rsidR="00461179" w:rsidRDefault="00461179">
      <w:pPr>
        <w:pStyle w:val="GesAbsatz"/>
        <w:rPr>
          <w:snapToGrid w:val="0"/>
        </w:rPr>
      </w:pPr>
      <w:r>
        <w:rPr>
          <w:snapToGrid w:val="0"/>
        </w:rPr>
        <w:t>(2) In Anhang VI sind Kriterien für die Festlegung des Standorts von Probenahmestellen zur Messung von Schwefeldioxid, Stickstoffdioxid und Stickstoffoxiden, Partikeln und Blei in der Luft festgelegt. In Anhang VII ist die Mindestzahl der Probenahmestellen für die ortsfeste Messung der Konzentrationen jedes relevanten Schadstoffs festgelegt, die in jedem Gebiet oder Ballungsraum einzurichten sind, in dem Messungen vorg</w:t>
      </w:r>
      <w:r>
        <w:rPr>
          <w:snapToGrid w:val="0"/>
        </w:rPr>
        <w:t>e</w:t>
      </w:r>
      <w:r>
        <w:rPr>
          <w:snapToGrid w:val="0"/>
        </w:rPr>
        <w:t>nommen werden müssen, sofern Daten über die Konzentrationen in dem Gebiet oder Ballungsraum au</w:t>
      </w:r>
      <w:r>
        <w:rPr>
          <w:snapToGrid w:val="0"/>
        </w:rPr>
        <w:t>s</w:t>
      </w:r>
      <w:r>
        <w:rPr>
          <w:snapToGrid w:val="0"/>
        </w:rPr>
        <w:t>schließlich durch Messungen gewonnen werden.</w:t>
      </w:r>
    </w:p>
    <w:p w:rsidR="00461179" w:rsidRDefault="00461179">
      <w:pPr>
        <w:pStyle w:val="GesAbsatz"/>
        <w:rPr>
          <w:snapToGrid w:val="0"/>
        </w:rPr>
      </w:pPr>
      <w:r>
        <w:rPr>
          <w:snapToGrid w:val="0"/>
        </w:rPr>
        <w:t xml:space="preserve">(3) In Gebieten und Ballungsräumen, in denen Informationen von ortsfesten </w:t>
      </w:r>
      <w:proofErr w:type="spellStart"/>
      <w:r>
        <w:rPr>
          <w:snapToGrid w:val="0"/>
        </w:rPr>
        <w:t>Meßstationen</w:t>
      </w:r>
      <w:proofErr w:type="spellEnd"/>
      <w:r>
        <w:rPr>
          <w:snapToGrid w:val="0"/>
        </w:rPr>
        <w:t xml:space="preserve"> durch Informati</w:t>
      </w:r>
      <w:r>
        <w:rPr>
          <w:snapToGrid w:val="0"/>
        </w:rPr>
        <w:t>o</w:t>
      </w:r>
      <w:r>
        <w:rPr>
          <w:snapToGrid w:val="0"/>
        </w:rPr>
        <w:t xml:space="preserve">nen aus anderen Quellen wie Emissionskatastern, orientierenden Messungen oder Luftqualitätsmodellen ergänzt werden, müssen die Zahl ortsfester </w:t>
      </w:r>
      <w:proofErr w:type="spellStart"/>
      <w:r>
        <w:rPr>
          <w:snapToGrid w:val="0"/>
        </w:rPr>
        <w:t>Meßstationen</w:t>
      </w:r>
      <w:proofErr w:type="spellEnd"/>
      <w:r>
        <w:rPr>
          <w:snapToGrid w:val="0"/>
        </w:rPr>
        <w:t xml:space="preserve"> und die räumliche Auflösung anderer Techniken ausreichen, um die Konzentrationen von Luftschadstoffen im Einklang mit Anhang VI Abschnitt I und Anhang VIII Abschnitt I ermitteln zu können.</w:t>
      </w:r>
    </w:p>
    <w:p w:rsidR="00461179" w:rsidRDefault="00461179">
      <w:pPr>
        <w:pStyle w:val="GesAbsatz"/>
        <w:rPr>
          <w:snapToGrid w:val="0"/>
        </w:rPr>
      </w:pPr>
      <w:r>
        <w:rPr>
          <w:snapToGrid w:val="0"/>
        </w:rPr>
        <w:lastRenderedPageBreak/>
        <w:t>(4) Für Gebiete und Ballungsräume, für die keine Messungen verlangt werden, können Modellrechnungen oder Techniken der objektiven Schätzung angewandt werden.</w:t>
      </w:r>
    </w:p>
    <w:p w:rsidR="00461179" w:rsidRDefault="00461179">
      <w:pPr>
        <w:pStyle w:val="GesAbsatz"/>
        <w:rPr>
          <w:snapToGrid w:val="0"/>
        </w:rPr>
      </w:pPr>
      <w:r>
        <w:rPr>
          <w:snapToGrid w:val="0"/>
        </w:rPr>
        <w:t>(5) Die Referenzmethoden für die Analyse von Schwefeldioxid, Stickstoffdioxid und Stickstoffoxiden sowie für die Probenahme und Analyse von Blei sind in Anhang IX Abschnitt I bis III festgelegt.</w:t>
      </w:r>
    </w:p>
    <w:p w:rsidR="00461179" w:rsidRDefault="00461179">
      <w:pPr>
        <w:pStyle w:val="GesAbsatz"/>
        <w:rPr>
          <w:snapToGrid w:val="0"/>
        </w:rPr>
      </w:pPr>
      <w:r>
        <w:rPr>
          <w:snapToGrid w:val="0"/>
        </w:rPr>
        <w:t>Die Referenzmethode für die Probenahme und Messung der PM</w:t>
      </w:r>
      <w:r>
        <w:rPr>
          <w:snapToGrid w:val="0"/>
          <w:vertAlign w:val="subscript"/>
        </w:rPr>
        <w:t>10</w:t>
      </w:r>
      <w:r>
        <w:rPr>
          <w:snapToGrid w:val="0"/>
        </w:rPr>
        <w:t>-Konzentration ist in Anhang IX Abschnitt IV festgelegt. Die vorläufige Referenzmethode für die Probenahme und Messung der PM</w:t>
      </w:r>
      <w:r>
        <w:rPr>
          <w:snapToGrid w:val="0"/>
          <w:vertAlign w:val="subscript"/>
        </w:rPr>
        <w:t>25</w:t>
      </w:r>
      <w:r>
        <w:rPr>
          <w:snapToGrid w:val="0"/>
        </w:rPr>
        <w:t>-Konzentration ist in Anhang IX Abschnitt V festgelegt.</w:t>
      </w:r>
    </w:p>
    <w:p w:rsidR="00461179" w:rsidRDefault="00461179">
      <w:pPr>
        <w:pStyle w:val="GesAbsatz"/>
        <w:rPr>
          <w:snapToGrid w:val="0"/>
        </w:rPr>
      </w:pPr>
      <w:r>
        <w:rPr>
          <w:snapToGrid w:val="0"/>
        </w:rPr>
        <w:t>Die Referenztechniken für die Modellierung der Luftqualität sind in Anhang IX Abschnitt VI festgelegt.</w:t>
      </w:r>
    </w:p>
    <w:p w:rsidR="00461179" w:rsidRDefault="00461179">
      <w:pPr>
        <w:pStyle w:val="GesAbsatz"/>
        <w:rPr>
          <w:snapToGrid w:val="0"/>
        </w:rPr>
      </w:pPr>
      <w:r>
        <w:rPr>
          <w:snapToGrid w:val="0"/>
        </w:rPr>
        <w:t>(6) Der Zeitpunkt, bis zu dem die Mitgliedstaaten der Kommission nach Artikel 11 Nummer 1 Buchstabe d) der Richtlinie 96/62/EG mitteilen, welche Methoden zur vorläufigen Beurteilung der Luftqualität verwendet wurden, ist 18 Monate nach Inkrafttreten der Richtlinie.</w:t>
      </w:r>
    </w:p>
    <w:p w:rsidR="00461179" w:rsidRDefault="00461179">
      <w:pPr>
        <w:pStyle w:val="GesAbsatz"/>
        <w:rPr>
          <w:snapToGrid w:val="0"/>
        </w:rPr>
      </w:pPr>
      <w:r>
        <w:rPr>
          <w:snapToGrid w:val="0"/>
        </w:rPr>
        <w:t xml:space="preserve">(7) </w:t>
      </w:r>
      <w:r w:rsidR="00FD30FA">
        <w:rPr>
          <w:snapToGrid w:val="0"/>
        </w:rPr>
        <w:t>(gestrichen)</w:t>
      </w:r>
    </w:p>
    <w:p w:rsidR="00461179" w:rsidRDefault="00461179" w:rsidP="00A47F6D">
      <w:pPr>
        <w:pStyle w:val="berschrift2"/>
        <w:rPr>
          <w:snapToGrid w:val="0"/>
        </w:rPr>
      </w:pPr>
      <w:bookmarkStart w:id="9" w:name="_Toc202752875"/>
      <w:r>
        <w:rPr>
          <w:snapToGrid w:val="0"/>
        </w:rPr>
        <w:t>Artikel 8</w:t>
      </w:r>
      <w:r>
        <w:rPr>
          <w:snapToGrid w:val="0"/>
        </w:rPr>
        <w:br/>
        <w:t>Unterrichtung der Öffentlichkeit</w:t>
      </w:r>
      <w:bookmarkEnd w:id="9"/>
    </w:p>
    <w:p w:rsidR="00461179" w:rsidRDefault="00461179">
      <w:pPr>
        <w:pStyle w:val="GesAbsatz"/>
        <w:rPr>
          <w:snapToGrid w:val="0"/>
        </w:rPr>
      </w:pPr>
      <w:r>
        <w:rPr>
          <w:snapToGrid w:val="0"/>
        </w:rPr>
        <w:t xml:space="preserve">(1) Die Mitgliedstaaten stellen sicher, </w:t>
      </w:r>
      <w:proofErr w:type="spellStart"/>
      <w:r>
        <w:rPr>
          <w:snapToGrid w:val="0"/>
        </w:rPr>
        <w:t>daß</w:t>
      </w:r>
      <w:proofErr w:type="spellEnd"/>
      <w:r>
        <w:rPr>
          <w:snapToGrid w:val="0"/>
        </w:rPr>
        <w:t xml:space="preserve"> der Öffentlichkeit sowie relevanten Organisationen wie Umwel</w:t>
      </w:r>
      <w:r>
        <w:rPr>
          <w:snapToGrid w:val="0"/>
        </w:rPr>
        <w:t>t</w:t>
      </w:r>
      <w:r>
        <w:rPr>
          <w:snapToGrid w:val="0"/>
        </w:rPr>
        <w:t xml:space="preserve">schutzorganisationen, Verbraucherverbänden, Interessenvertretungen gefährdeter Personengruppen und anderen mit dem Gesundheitsschutz </w:t>
      </w:r>
      <w:proofErr w:type="spellStart"/>
      <w:r>
        <w:rPr>
          <w:snapToGrid w:val="0"/>
        </w:rPr>
        <w:t>befaßten</w:t>
      </w:r>
      <w:proofErr w:type="spellEnd"/>
      <w:r>
        <w:rPr>
          <w:snapToGrid w:val="0"/>
        </w:rPr>
        <w:t xml:space="preserve"> relevanten Stellen zum Beispiel durch Rundfunk, Presse, Anzeigetafeln oder Computernetzdienste routinemäßig aktuelle Informationen über die Konzentrationen von Schwefeldioxid, Stickstoffdioxid und Stickstoffoxiden, Partikeln und Blei in der Luft zur Verfügung gestellt werden.</w:t>
      </w:r>
    </w:p>
    <w:p w:rsidR="00461179" w:rsidRDefault="00461179">
      <w:pPr>
        <w:pStyle w:val="GesAbsatz"/>
        <w:rPr>
          <w:snapToGrid w:val="0"/>
        </w:rPr>
      </w:pPr>
      <w:r>
        <w:rPr>
          <w:snapToGrid w:val="0"/>
        </w:rPr>
        <w:t>Informationen über die Konzentrationen von Schwefeldioxid, Stickstoffdioxiden und Partikeln in der Luft we</w:t>
      </w:r>
      <w:r>
        <w:rPr>
          <w:snapToGrid w:val="0"/>
        </w:rPr>
        <w:t>r</w:t>
      </w:r>
      <w:r>
        <w:rPr>
          <w:snapToGrid w:val="0"/>
        </w:rPr>
        <w:t>den mindestens auf täglicher Basis aktualisiert und bei stündlich gemittelten Werten für Schwefeldioxid und Stickstoffdioxid werden die Informationen, soweit dies praktisch möglich ist, auf stündlicher Basis aktualisiert. Informationen über die Konzentrationen von Blei in der Luft werden auf Dreimonatsgrundlage aktualisiert.</w:t>
      </w:r>
    </w:p>
    <w:p w:rsidR="00461179" w:rsidRDefault="00461179">
      <w:pPr>
        <w:pStyle w:val="GesAbsatz"/>
        <w:rPr>
          <w:snapToGrid w:val="0"/>
        </w:rPr>
      </w:pPr>
      <w:r>
        <w:rPr>
          <w:snapToGrid w:val="0"/>
        </w:rPr>
        <w:t>Im Rahmen dieser Information sind mindestens alle Überschreitungen der Konzentrationen bei den Grenz- werten und Alarmschwellen anzugeben, die sich über die in den Anhängen I bis IV angegebenen Mitt</w:t>
      </w:r>
      <w:r>
        <w:rPr>
          <w:snapToGrid w:val="0"/>
        </w:rPr>
        <w:t>e</w:t>
      </w:r>
      <w:r>
        <w:rPr>
          <w:snapToGrid w:val="0"/>
        </w:rPr>
        <w:t xml:space="preserve">lungszeiträume ergeben haben. Ferner ist für eine Kurzbewertung in </w:t>
      </w:r>
      <w:proofErr w:type="spellStart"/>
      <w:r>
        <w:rPr>
          <w:snapToGrid w:val="0"/>
        </w:rPr>
        <w:t>bezug</w:t>
      </w:r>
      <w:proofErr w:type="spellEnd"/>
      <w:r>
        <w:rPr>
          <w:snapToGrid w:val="0"/>
        </w:rPr>
        <w:t xml:space="preserve"> auf Grenzwerte und Alar</w:t>
      </w:r>
      <w:r>
        <w:rPr>
          <w:snapToGrid w:val="0"/>
        </w:rPr>
        <w:t>m</w:t>
      </w:r>
      <w:r>
        <w:rPr>
          <w:snapToGrid w:val="0"/>
        </w:rPr>
        <w:t>schwellen sowie für angemessene Unterrichtung über gesundheitliche Auswirkungen zu sorgen.</w:t>
      </w:r>
    </w:p>
    <w:p w:rsidR="00461179" w:rsidRDefault="00461179">
      <w:pPr>
        <w:pStyle w:val="GesAbsatz"/>
        <w:rPr>
          <w:snapToGrid w:val="0"/>
        </w:rPr>
      </w:pPr>
      <w:r>
        <w:rPr>
          <w:snapToGrid w:val="0"/>
        </w:rPr>
        <w:t>(2) Werden Pläne oder Programme nach Artikel 8 Absatz 3 der Richtlinie 96/62/EG, einschließlich Plänen oder Programmen nach Artikel 3 Absatz 4, Artikel 5 Absatz 4 und Artikel 5 Absatz 5 dieser Richtlinie, der Öffentlichkeit zugänglich gemacht, so macht der Mitgliedstaat sie auch den in Absatz 1 genannten Organis</w:t>
      </w:r>
      <w:r>
        <w:rPr>
          <w:snapToGrid w:val="0"/>
        </w:rPr>
        <w:t>a</w:t>
      </w:r>
      <w:r>
        <w:rPr>
          <w:snapToGrid w:val="0"/>
        </w:rPr>
        <w:t>tionen zugänglich.</w:t>
      </w:r>
    </w:p>
    <w:p w:rsidR="00461179" w:rsidRDefault="00461179">
      <w:pPr>
        <w:pStyle w:val="GesAbsatz"/>
        <w:rPr>
          <w:snapToGrid w:val="0"/>
        </w:rPr>
      </w:pPr>
      <w:r>
        <w:rPr>
          <w:snapToGrid w:val="0"/>
        </w:rPr>
        <w:t>(3) Bei Überschreitung der Alarmschwelle gemäß Anhang I Abschnitt II und Anhang II Abschnitt II müssen die der Öffentlichkeit gemäß Artikel 10 der Richtlinie 96/62/EG bekanntzugebenden Mindestangaben auf jeden Fall die in Anhang I Abschnitt III und Anhang II Abschnitt III genannten Informationen enthalten.</w:t>
      </w:r>
    </w:p>
    <w:p w:rsidR="00461179" w:rsidRDefault="00461179">
      <w:pPr>
        <w:pStyle w:val="GesAbsatz"/>
        <w:rPr>
          <w:snapToGrid w:val="0"/>
        </w:rPr>
      </w:pPr>
      <w:r>
        <w:rPr>
          <w:snapToGrid w:val="0"/>
        </w:rPr>
        <w:t>(4) Die der Öffentlichkeit und den relevanten Organisationen nach den Absätzen 1 und 3 zur Verfügung g</w:t>
      </w:r>
      <w:r>
        <w:rPr>
          <w:snapToGrid w:val="0"/>
        </w:rPr>
        <w:t>e</w:t>
      </w:r>
      <w:r>
        <w:rPr>
          <w:snapToGrid w:val="0"/>
        </w:rPr>
        <w:t>stellten Informationen müssen klar, verständlich und zugänglich sein.</w:t>
      </w:r>
    </w:p>
    <w:p w:rsidR="00461179" w:rsidRDefault="00461179" w:rsidP="00A47F6D">
      <w:pPr>
        <w:pStyle w:val="berschrift2"/>
        <w:rPr>
          <w:snapToGrid w:val="0"/>
        </w:rPr>
      </w:pPr>
      <w:bookmarkStart w:id="10" w:name="_Toc202752876"/>
      <w:r>
        <w:rPr>
          <w:snapToGrid w:val="0"/>
        </w:rPr>
        <w:t>Artikel 9</w:t>
      </w:r>
      <w:r>
        <w:rPr>
          <w:snapToGrid w:val="0"/>
        </w:rPr>
        <w:br/>
        <w:t>Aufhebung von Bestimmungen und Übergangsregelung</w:t>
      </w:r>
      <w:bookmarkEnd w:id="10"/>
    </w:p>
    <w:p w:rsidR="00461179" w:rsidRDefault="00461179">
      <w:pPr>
        <w:pStyle w:val="GesAbsatz"/>
        <w:rPr>
          <w:snapToGrid w:val="0"/>
        </w:rPr>
      </w:pPr>
      <w:r>
        <w:rPr>
          <w:snapToGrid w:val="0"/>
        </w:rPr>
        <w:t xml:space="preserve">(1) Die Richtlinie 80/779/EWG des Rates vom </w:t>
      </w:r>
      <w:smartTag w:uri="urn:schemas-microsoft-com:office:smarttags" w:element="date">
        <w:smartTagPr>
          <w:attr w:name="ls" w:val="trans"/>
          <w:attr w:name="Month" w:val="7"/>
          <w:attr w:name="Day" w:val="15"/>
          <w:attr w:name="Year" w:val="1980"/>
        </w:smartTagPr>
        <w:r>
          <w:rPr>
            <w:snapToGrid w:val="0"/>
          </w:rPr>
          <w:t>15. Juli 1980</w:t>
        </w:r>
      </w:smartTag>
      <w:r>
        <w:rPr>
          <w:snapToGrid w:val="0"/>
        </w:rPr>
        <w:t xml:space="preserve"> über Grenzwerte und Leitwerte der Luftqualität für Schwefeldioxid und Schwefelstaub</w:t>
      </w:r>
      <w:r>
        <w:rPr>
          <w:rStyle w:val="Funotenzeichen"/>
        </w:rPr>
        <w:footnoteReference w:customMarkFollows="1" w:id="7"/>
        <w:t>(1</w:t>
      </w:r>
      <w:r>
        <w:rPr>
          <w:rStyle w:val="Funotenzeichen"/>
          <w:snapToGrid w:val="0"/>
        </w:rPr>
        <w:t>)</w:t>
      </w:r>
      <w:r>
        <w:rPr>
          <w:snapToGrid w:val="0"/>
        </w:rPr>
        <w:t xml:space="preserve"> wird mit Wirkung vom </w:t>
      </w:r>
      <w:smartTag w:uri="urn:schemas-microsoft-com:office:smarttags" w:element="date">
        <w:smartTagPr>
          <w:attr w:name="ls" w:val="trans"/>
          <w:attr w:name="Month" w:val="7"/>
          <w:attr w:name="Day" w:val="19"/>
          <w:attr w:name="Year" w:val="2001"/>
        </w:smartTagPr>
        <w:r>
          <w:rPr>
            <w:snapToGrid w:val="0"/>
          </w:rPr>
          <w:t>19. Juli 2001</w:t>
        </w:r>
      </w:smartTag>
      <w:r>
        <w:rPr>
          <w:snapToGrid w:val="0"/>
        </w:rPr>
        <w:t xml:space="preserve"> aufgehoben, ausgenommen </w:t>
      </w:r>
      <w:r>
        <w:t>Artikel1</w:t>
      </w:r>
      <w:r>
        <w:rPr>
          <w:snapToGrid w:val="0"/>
        </w:rPr>
        <w:t xml:space="preserve">, Artikel 2 Absatz 1, Artikel 3 Absatz 1, Artikel 9, Artikel 15 und Artikel 16 sowie die Anhänge I, III b und IV, die mit Wirkung vom </w:t>
      </w:r>
      <w:smartTag w:uri="urn:schemas-microsoft-com:office:smarttags" w:element="date">
        <w:smartTagPr>
          <w:attr w:name="ls" w:val="trans"/>
          <w:attr w:name="Month" w:val="1"/>
          <w:attr w:name="Day" w:val="1"/>
          <w:attr w:name="Year" w:val="2005"/>
        </w:smartTagPr>
        <w:r>
          <w:rPr>
            <w:snapToGrid w:val="0"/>
          </w:rPr>
          <w:t>1. Januar 2005</w:t>
        </w:r>
      </w:smartTag>
      <w:r>
        <w:rPr>
          <w:snapToGrid w:val="0"/>
        </w:rPr>
        <w:t xml:space="preserve"> aufgehoben werden.</w:t>
      </w:r>
    </w:p>
    <w:p w:rsidR="00461179" w:rsidRDefault="00461179">
      <w:pPr>
        <w:pStyle w:val="GesAbsatz"/>
        <w:rPr>
          <w:snapToGrid w:val="0"/>
        </w:rPr>
      </w:pPr>
      <w:r>
        <w:rPr>
          <w:snapToGrid w:val="0"/>
        </w:rPr>
        <w:t xml:space="preserve">(2) Die Richtlinie 82/884/EWG des Rates vom </w:t>
      </w:r>
      <w:smartTag w:uri="urn:schemas-microsoft-com:office:smarttags" w:element="date">
        <w:smartTagPr>
          <w:attr w:name="ls" w:val="trans"/>
          <w:attr w:name="Month" w:val="12"/>
          <w:attr w:name="Day" w:val="3"/>
          <w:attr w:name="Year" w:val="1982"/>
        </w:smartTagPr>
        <w:r>
          <w:rPr>
            <w:snapToGrid w:val="0"/>
          </w:rPr>
          <w:t>3. Dezember 1982</w:t>
        </w:r>
      </w:smartTag>
      <w:r>
        <w:rPr>
          <w:snapToGrid w:val="0"/>
        </w:rPr>
        <w:t xml:space="preserve"> betreffend einen Grenzwert für den Ble</w:t>
      </w:r>
      <w:r>
        <w:rPr>
          <w:snapToGrid w:val="0"/>
        </w:rPr>
        <w:t>i</w:t>
      </w:r>
      <w:r>
        <w:rPr>
          <w:snapToGrid w:val="0"/>
        </w:rPr>
        <w:t xml:space="preserve">gehalt in der Luft </w:t>
      </w:r>
      <w:r>
        <w:rPr>
          <w:rStyle w:val="Funotenzeichen"/>
        </w:rPr>
        <w:footnoteReference w:customMarkFollows="1" w:id="8"/>
        <w:t>(2</w:t>
      </w:r>
      <w:r>
        <w:rPr>
          <w:rStyle w:val="Funotenzeichen"/>
          <w:snapToGrid w:val="0"/>
        </w:rPr>
        <w:t>)</w:t>
      </w:r>
      <w:r>
        <w:rPr>
          <w:snapToGrid w:val="0"/>
        </w:rPr>
        <w:t xml:space="preserve"> wird mit Wirkung vom </w:t>
      </w:r>
      <w:smartTag w:uri="urn:schemas-microsoft-com:office:smarttags" w:element="date">
        <w:smartTagPr>
          <w:attr w:name="ls" w:val="trans"/>
          <w:attr w:name="Month" w:val="7"/>
          <w:attr w:name="Day" w:val="19"/>
          <w:attr w:name="Year" w:val="2001"/>
        </w:smartTagPr>
        <w:r>
          <w:rPr>
            <w:snapToGrid w:val="0"/>
          </w:rPr>
          <w:t>19.Juli 2001</w:t>
        </w:r>
      </w:smartTag>
      <w:r>
        <w:rPr>
          <w:snapToGrid w:val="0"/>
        </w:rPr>
        <w:t xml:space="preserve"> aufgehoben, ausgenommen Artikel 1, Artikel 2, Artikel 3 Absatz 1, Artikel 7, Artikel 12 und Artikel 13, die mit Wirkung vom </w:t>
      </w:r>
      <w:smartTag w:uri="urn:schemas-microsoft-com:office:smarttags" w:element="date">
        <w:smartTagPr>
          <w:attr w:name="ls" w:val="trans"/>
          <w:attr w:name="Month" w:val="1"/>
          <w:attr w:name="Day" w:val="1"/>
          <w:attr w:name="Year" w:val="2005"/>
        </w:smartTagPr>
        <w:r>
          <w:rPr>
            <w:snapToGrid w:val="0"/>
          </w:rPr>
          <w:t>1. Januar 2005</w:t>
        </w:r>
      </w:smartTag>
      <w:r>
        <w:rPr>
          <w:snapToGrid w:val="0"/>
        </w:rPr>
        <w:t xml:space="preserve"> aufgehoben werden.</w:t>
      </w:r>
    </w:p>
    <w:p w:rsidR="00461179" w:rsidRDefault="00461179">
      <w:pPr>
        <w:pStyle w:val="GesAbsatz"/>
        <w:rPr>
          <w:snapToGrid w:val="0"/>
        </w:rPr>
      </w:pPr>
      <w:r>
        <w:rPr>
          <w:snapToGrid w:val="0"/>
        </w:rPr>
        <w:t xml:space="preserve">(3) Die Richtlinie 85/203/EWG des Rates vom </w:t>
      </w:r>
      <w:smartTag w:uri="urn:schemas-microsoft-com:office:smarttags" w:element="date">
        <w:smartTagPr>
          <w:attr w:name="ls" w:val="trans"/>
          <w:attr w:name="Month" w:val="3"/>
          <w:attr w:name="Day" w:val="7"/>
          <w:attr w:name="Year" w:val="1985"/>
        </w:smartTagPr>
        <w:r>
          <w:rPr>
            <w:snapToGrid w:val="0"/>
          </w:rPr>
          <w:t>7. März 1985</w:t>
        </w:r>
      </w:smartTag>
      <w:r>
        <w:rPr>
          <w:snapToGrid w:val="0"/>
        </w:rPr>
        <w:t xml:space="preserve"> über Luftqualitätsnormen für Stickstoffdioxid </w:t>
      </w:r>
      <w:r>
        <w:rPr>
          <w:rStyle w:val="Funotenzeichen"/>
        </w:rPr>
        <w:footnoteReference w:customMarkFollows="1" w:id="9"/>
        <w:t>(3)</w:t>
      </w:r>
      <w:r>
        <w:rPr>
          <w:snapToGrid w:val="0"/>
        </w:rPr>
        <w:t xml:space="preserve"> wird mit Wirkung vom </w:t>
      </w:r>
      <w:smartTag w:uri="urn:schemas-microsoft-com:office:smarttags" w:element="date">
        <w:smartTagPr>
          <w:attr w:name="ls" w:val="trans"/>
          <w:attr w:name="Month" w:val="7"/>
          <w:attr w:name="Day" w:val="19"/>
          <w:attr w:name="Year" w:val="2001"/>
        </w:smartTagPr>
        <w:r>
          <w:rPr>
            <w:snapToGrid w:val="0"/>
          </w:rPr>
          <w:t>19. Juli 2001</w:t>
        </w:r>
      </w:smartTag>
      <w:r>
        <w:rPr>
          <w:snapToGrid w:val="0"/>
        </w:rPr>
        <w:t xml:space="preserve"> aufgehoben, ausgenommen Artikel 1 Absatz 1 erster Gedankenstrich, </w:t>
      </w:r>
      <w:r>
        <w:rPr>
          <w:snapToGrid w:val="0"/>
        </w:rPr>
        <w:lastRenderedPageBreak/>
        <w:t>Artikel 1 Absatz 2, Artikel 2 erster Gedankenstrich, Artikel 3 Absatz 1, Artikel 5, Artikel 9, Artikel 15, Art</w:t>
      </w:r>
      <w:r>
        <w:rPr>
          <w:snapToGrid w:val="0"/>
        </w:rPr>
        <w:t>i</w:t>
      </w:r>
      <w:r>
        <w:rPr>
          <w:snapToGrid w:val="0"/>
        </w:rPr>
        <w:t xml:space="preserve">kel 16 und Anhang I, die mit Wirkung vom </w:t>
      </w:r>
      <w:smartTag w:uri="urn:schemas-microsoft-com:office:smarttags" w:element="date">
        <w:smartTagPr>
          <w:attr w:name="ls" w:val="trans"/>
          <w:attr w:name="Month" w:val="1"/>
          <w:attr w:name="Day" w:val="1"/>
          <w:attr w:name="Year" w:val="2010"/>
        </w:smartTagPr>
        <w:r>
          <w:rPr>
            <w:snapToGrid w:val="0"/>
          </w:rPr>
          <w:t>1. Januar 2010</w:t>
        </w:r>
      </w:smartTag>
      <w:r>
        <w:rPr>
          <w:snapToGrid w:val="0"/>
        </w:rPr>
        <w:t xml:space="preserve"> aufgehoben werden.</w:t>
      </w:r>
    </w:p>
    <w:p w:rsidR="00461179" w:rsidRDefault="00461179">
      <w:pPr>
        <w:pStyle w:val="GesAbsatz"/>
        <w:rPr>
          <w:snapToGrid w:val="0"/>
        </w:rPr>
      </w:pPr>
      <w:r>
        <w:rPr>
          <w:snapToGrid w:val="0"/>
        </w:rPr>
        <w:t xml:space="preserve">(4) Ab </w:t>
      </w:r>
      <w:smartTag w:uri="urn:schemas-microsoft-com:office:smarttags" w:element="date">
        <w:smartTagPr>
          <w:attr w:name="ls" w:val="trans"/>
          <w:attr w:name="Month" w:val="7"/>
          <w:attr w:name="Day" w:val="19"/>
          <w:attr w:name="Year" w:val="2001"/>
        </w:smartTagPr>
        <w:r>
          <w:rPr>
            <w:snapToGrid w:val="0"/>
          </w:rPr>
          <w:t>19. Juli 2001</w:t>
        </w:r>
      </w:smartTag>
      <w:r>
        <w:rPr>
          <w:snapToGrid w:val="0"/>
        </w:rPr>
        <w:t xml:space="preserve"> verwenden die Mitgliedstaaten </w:t>
      </w:r>
      <w:proofErr w:type="spellStart"/>
      <w:r>
        <w:rPr>
          <w:snapToGrid w:val="0"/>
        </w:rPr>
        <w:t>Meßstationen</w:t>
      </w:r>
      <w:proofErr w:type="spellEnd"/>
      <w:r>
        <w:rPr>
          <w:snapToGrid w:val="0"/>
        </w:rPr>
        <w:t xml:space="preserve"> und sonstige Methoden zur Beurteilung der Luftqualität gemäß den Anforderungen dieser Richtlinie, um die Konzentrationen von Schwefeldioxid, Stickstoffdioxid und Blei in der Luft zu beurteilen und Daten zum Nachweis der Einhaltung der Grenzwerte, die in der Richtlinie 80/779/EWG, der Richtlinie 82/884/EWG und der Richtlinie 85/203/EWG festgelegt sind, zu erfassen, bis die in diesen Richtlinien festgelegten Grenzwerte nicht mehr anwendbar sind.</w:t>
      </w:r>
    </w:p>
    <w:p w:rsidR="00461179" w:rsidRDefault="00461179">
      <w:pPr>
        <w:pStyle w:val="GesAbsatz"/>
        <w:rPr>
          <w:snapToGrid w:val="0"/>
        </w:rPr>
      </w:pPr>
      <w:r>
        <w:rPr>
          <w:snapToGrid w:val="0"/>
        </w:rPr>
        <w:t xml:space="preserve">(5) Ab </w:t>
      </w:r>
      <w:smartTag w:uri="urn:schemas-microsoft-com:office:smarttags" w:element="date">
        <w:smartTagPr>
          <w:attr w:name="ls" w:val="trans"/>
          <w:attr w:name="Month" w:val="7"/>
          <w:attr w:name="Day" w:val="19"/>
          <w:attr w:name="Year" w:val="2001"/>
        </w:smartTagPr>
        <w:r>
          <w:rPr>
            <w:snapToGrid w:val="0"/>
          </w:rPr>
          <w:t>19. Juli 2001</w:t>
        </w:r>
      </w:smartTag>
      <w:r>
        <w:rPr>
          <w:snapToGrid w:val="0"/>
        </w:rPr>
        <w:t xml:space="preserve"> können die Mitgliedstaaten </w:t>
      </w:r>
      <w:proofErr w:type="spellStart"/>
      <w:r>
        <w:rPr>
          <w:snapToGrid w:val="0"/>
        </w:rPr>
        <w:t>Meßstationen</w:t>
      </w:r>
      <w:proofErr w:type="spellEnd"/>
      <w:r>
        <w:rPr>
          <w:snapToGrid w:val="0"/>
        </w:rPr>
        <w:t xml:space="preserve"> und sonstige Methoden zur Beurteilung der Luftqualität gemäß den Anforderungen dieser Richtlinie in </w:t>
      </w:r>
      <w:proofErr w:type="spellStart"/>
      <w:r>
        <w:rPr>
          <w:snapToGrid w:val="0"/>
        </w:rPr>
        <w:t>bezug</w:t>
      </w:r>
      <w:proofErr w:type="spellEnd"/>
      <w:r>
        <w:rPr>
          <w:snapToGrid w:val="0"/>
        </w:rPr>
        <w:t xml:space="preserve"> auf PM</w:t>
      </w:r>
      <w:r>
        <w:rPr>
          <w:snapToGrid w:val="0"/>
          <w:vertAlign w:val="subscript"/>
        </w:rPr>
        <w:t>10</w:t>
      </w:r>
      <w:r>
        <w:rPr>
          <w:snapToGrid w:val="0"/>
        </w:rPr>
        <w:t xml:space="preserve">-Konzentrationen verwenden, um die Konzentrationen von Schwebestaub zu erfassen und die Einhaltung der Grenzwerte für Schwebestaub insgesamt,  die in Anhang IV der Richtlinie 80/779/EWG festgelegt sind, nachzuweisen, wobei jedoch für die Zwecke des betreffenden Nachweises die so </w:t>
      </w:r>
      <w:proofErr w:type="spellStart"/>
      <w:r>
        <w:rPr>
          <w:snapToGrid w:val="0"/>
        </w:rPr>
        <w:t>erfaßten</w:t>
      </w:r>
      <w:proofErr w:type="spellEnd"/>
      <w:r>
        <w:rPr>
          <w:snapToGrid w:val="0"/>
        </w:rPr>
        <w:t xml:space="preserve"> Daten mit dem Faktor 1,2 zu multiplizieren sind.</w:t>
      </w:r>
    </w:p>
    <w:p w:rsidR="00461179" w:rsidRDefault="00461179">
      <w:pPr>
        <w:pStyle w:val="GesAbsatz"/>
        <w:rPr>
          <w:snapToGrid w:val="0"/>
        </w:rPr>
      </w:pPr>
      <w:r>
        <w:rPr>
          <w:snapToGrid w:val="0"/>
        </w:rPr>
        <w:t>(6) In dem auf das Ende jedes Jahres folgenden Neunmonatszeitraum unterrichten die Mitgliedstaaten nach dem Verfahren des Artikels 11 der Richtlinie 96/62/EG die Kommission bis zu dem Zeitpunkt, zu dem die einschlägigen Grenzwerte nicht mehr anwendbar sind, über alle Überschreitungen der in den Richtlinien 80/779/EWG, 82/884/EWG und 85/203/EWG festgelegten Grenzwerte und übermitteln ihr gleichzeitig die aufgezeichneten Werte, die Gründe für alle Fälle von Überschreitungen und die zur Vermeidung von erne</w:t>
      </w:r>
      <w:r>
        <w:rPr>
          <w:snapToGrid w:val="0"/>
        </w:rPr>
        <w:t>u</w:t>
      </w:r>
      <w:r>
        <w:rPr>
          <w:snapToGrid w:val="0"/>
        </w:rPr>
        <w:t>ten Überschreitungen ergriffenen Maßnahmen.</w:t>
      </w:r>
    </w:p>
    <w:p w:rsidR="00461179" w:rsidRDefault="00461179">
      <w:pPr>
        <w:pStyle w:val="GesAbsatz"/>
        <w:rPr>
          <w:snapToGrid w:val="0"/>
        </w:rPr>
      </w:pPr>
      <w:r>
        <w:rPr>
          <w:snapToGrid w:val="0"/>
        </w:rPr>
        <w:t>(7) In den Gebieten,  in denen die betreffenden Mitgliedstaaten es für erforderlich halten, einen vorhersehb</w:t>
      </w:r>
      <w:r>
        <w:rPr>
          <w:snapToGrid w:val="0"/>
        </w:rPr>
        <w:t>a</w:t>
      </w:r>
      <w:r>
        <w:rPr>
          <w:snapToGrid w:val="0"/>
        </w:rPr>
        <w:t>ren Anstieg der Verschmutzung durch Schwefeldioxid, Stickstoffoxide oder Schwebstaub zu begrenzen oder zu verhüten, können sie weiterhin die in Anhang II der Richtlinie 80/779/EWG und Anhang II der Richtlinie 85/203/EWG festgelegten Leitwerte für den Schutz von Ökosystemen anwenden.</w:t>
      </w:r>
    </w:p>
    <w:p w:rsidR="00461179" w:rsidRDefault="00461179" w:rsidP="00A47F6D">
      <w:pPr>
        <w:pStyle w:val="berschrift2"/>
        <w:rPr>
          <w:snapToGrid w:val="0"/>
        </w:rPr>
      </w:pPr>
      <w:bookmarkStart w:id="11" w:name="_Toc202752877"/>
      <w:r>
        <w:rPr>
          <w:snapToGrid w:val="0"/>
        </w:rPr>
        <w:t>Artikel 10</w:t>
      </w:r>
      <w:r>
        <w:rPr>
          <w:snapToGrid w:val="0"/>
        </w:rPr>
        <w:br/>
        <w:t>Bericht und Revision</w:t>
      </w:r>
      <w:bookmarkEnd w:id="11"/>
    </w:p>
    <w:p w:rsidR="00461179" w:rsidRDefault="00461179">
      <w:pPr>
        <w:pStyle w:val="GesAbsatz"/>
        <w:rPr>
          <w:snapToGrid w:val="0"/>
        </w:rPr>
      </w:pPr>
      <w:r>
        <w:rPr>
          <w:snapToGrid w:val="0"/>
        </w:rPr>
        <w:t xml:space="preserve">Die Kommission legt dem Europäischen Parlament und dem Rat bis </w:t>
      </w:r>
      <w:smartTag w:uri="urn:schemas-microsoft-com:office:smarttags" w:element="date">
        <w:smartTagPr>
          <w:attr w:name="ls" w:val="trans"/>
          <w:attr w:name="Month" w:val="12"/>
          <w:attr w:name="Day" w:val="31"/>
          <w:attr w:name="Year" w:val="2003"/>
        </w:smartTagPr>
        <w:r>
          <w:rPr>
            <w:snapToGrid w:val="0"/>
          </w:rPr>
          <w:t>31. Dezember 2003</w:t>
        </w:r>
      </w:smartTag>
      <w:r>
        <w:rPr>
          <w:snapToGrid w:val="0"/>
        </w:rPr>
        <w:t xml:space="preserve"> einen Bericht über die Erfahrungen bei der Anwendung der vorliegenden Richtlinie vor, insbesondere über die neuesten wi</w:t>
      </w:r>
      <w:r>
        <w:rPr>
          <w:snapToGrid w:val="0"/>
        </w:rPr>
        <w:t>s</w:t>
      </w:r>
      <w:r>
        <w:rPr>
          <w:snapToGrid w:val="0"/>
        </w:rPr>
        <w:t>senschaftlichen Forschungsergebnisse hinsichtlich der Folgen der Einwirkung von Schwefeldioxid, Stic</w:t>
      </w:r>
      <w:r>
        <w:rPr>
          <w:snapToGrid w:val="0"/>
        </w:rPr>
        <w:t>k</w:t>
      </w:r>
      <w:r>
        <w:rPr>
          <w:snapToGrid w:val="0"/>
        </w:rPr>
        <w:t>stoffdioxid, Stickstoffoxiden, verschiedenen Partikelfraktionen und Blei für die menschliche Gesundheit und für Ökosysteme sowie über technologische Entwicklungen einschließlich der Fortschritte bei den Methoden zur Messung und in sonstiger Weise vorgenommenen Beurteilung der Konzentrationen von Partikeln in der Luft und der Ablagerung von Partikeln und Blei auf Oberflächen.</w:t>
      </w:r>
    </w:p>
    <w:p w:rsidR="00461179" w:rsidRDefault="00461179">
      <w:pPr>
        <w:pStyle w:val="GesAbsatz"/>
        <w:rPr>
          <w:snapToGrid w:val="0"/>
        </w:rPr>
      </w:pPr>
      <w:r>
        <w:rPr>
          <w:snapToGrid w:val="0"/>
        </w:rPr>
        <w:t>Um ein hohes Schutzniveau für die menschliche Gesundheit und die Umwelt beizubehalten, werden unter Berücksichtigung der in den Mitgliedstaaten bei der Anwendung dieser Richtlinie gemachten Erfahrungen . insbesondere auch unter Berücksichtigung der in Anhang VI festgelegten Bedingungen, unter denen die Messungen stattgefunden haben .diesem Bericht, falls angemessen, Vorschläge zur Änderung der Richtlinie beigefügt. Die Kommission wird insbesondere die PM</w:t>
      </w:r>
      <w:r>
        <w:rPr>
          <w:snapToGrid w:val="0"/>
          <w:vertAlign w:val="subscript"/>
        </w:rPr>
        <w:t>10</w:t>
      </w:r>
      <w:r>
        <w:rPr>
          <w:snapToGrid w:val="0"/>
        </w:rPr>
        <w:t>-Grenzwerte für die zweite Stufe dahingehend übe</w:t>
      </w:r>
      <w:r>
        <w:rPr>
          <w:snapToGrid w:val="0"/>
        </w:rPr>
        <w:t>r</w:t>
      </w:r>
      <w:r>
        <w:rPr>
          <w:snapToGrid w:val="0"/>
        </w:rPr>
        <w:t>prüfen, ob sie verbindlich vorgeschrieben werden sollen, und prüfen, ob die Grenzwerte für die zweite Stufe und gegebenenfalls für die erste Stufe zu bestätigen oder zu ändern sind. Ferner wird die Kommission, s</w:t>
      </w:r>
      <w:r>
        <w:rPr>
          <w:snapToGrid w:val="0"/>
        </w:rPr>
        <w:t>o</w:t>
      </w:r>
      <w:r>
        <w:rPr>
          <w:snapToGrid w:val="0"/>
        </w:rPr>
        <w:t>weit angebracht, besondere Aufmerksamkeit auf die Festlegung der PM</w:t>
      </w:r>
      <w:r>
        <w:rPr>
          <w:snapToGrid w:val="0"/>
          <w:vertAlign w:val="subscript"/>
        </w:rPr>
        <w:t>2,5</w:t>
      </w:r>
      <w:r>
        <w:rPr>
          <w:snapToGrid w:val="0"/>
        </w:rPr>
        <w:t>-Grenzwerte oder auch der Grenzwerte für andere Partikelfraktionen verwenden und die Kommission wird den für Stickstoffdioxid ge</w:t>
      </w:r>
      <w:r>
        <w:rPr>
          <w:snapToGrid w:val="0"/>
        </w:rPr>
        <w:t>l</w:t>
      </w:r>
      <w:r>
        <w:rPr>
          <w:snapToGrid w:val="0"/>
        </w:rPr>
        <w:t>tenden Jahresgrenzwert für den Schutz der menschlichen Gesundheit überprüfen und einen Vorschlag zur Bestätigung oder Änderung dieses Wertes machen. Sie wird außerdem den 1-Stundengrenzwert für Stic</w:t>
      </w:r>
      <w:r>
        <w:rPr>
          <w:snapToGrid w:val="0"/>
        </w:rPr>
        <w:t>k</w:t>
      </w:r>
      <w:r>
        <w:rPr>
          <w:snapToGrid w:val="0"/>
        </w:rPr>
        <w:t>stoffdioxid unter Berücksichtigung der Leitlinien der Weltgesundheitsorganisation überprüfen und überlegen, ob der Grenzwert bestätigt oder geändert werden sollte.</w:t>
      </w:r>
    </w:p>
    <w:p w:rsidR="00461179" w:rsidRDefault="00461179">
      <w:pPr>
        <w:pStyle w:val="GesAbsatz"/>
        <w:rPr>
          <w:snapToGrid w:val="0"/>
        </w:rPr>
      </w:pPr>
      <w:r>
        <w:rPr>
          <w:snapToGrid w:val="0"/>
        </w:rPr>
        <w:t>Die Kommission wird auch überlegen, ob gegebenenfalls Alarmschwellen für PM</w:t>
      </w:r>
      <w:r>
        <w:rPr>
          <w:snapToGrid w:val="0"/>
          <w:vertAlign w:val="subscript"/>
        </w:rPr>
        <w:t>10</w:t>
      </w:r>
      <w:r>
        <w:rPr>
          <w:snapToGrid w:val="0"/>
        </w:rPr>
        <w:t>, PM</w:t>
      </w:r>
      <w:r>
        <w:rPr>
          <w:snapToGrid w:val="0"/>
          <w:vertAlign w:val="subscript"/>
        </w:rPr>
        <w:t>2,5</w:t>
      </w:r>
      <w:r>
        <w:rPr>
          <w:snapToGrid w:val="0"/>
        </w:rPr>
        <w:t xml:space="preserve"> oder Partikelfrakt</w:t>
      </w:r>
      <w:r>
        <w:rPr>
          <w:snapToGrid w:val="0"/>
        </w:rPr>
        <w:t>i</w:t>
      </w:r>
      <w:r>
        <w:rPr>
          <w:snapToGrid w:val="0"/>
        </w:rPr>
        <w:t>onen festgesetzt werden können, die mit den Werten für andere in dieser Richtlinie aufgeführten Schadstoffe vereinbar sind.</w:t>
      </w:r>
    </w:p>
    <w:p w:rsidR="00461179" w:rsidRDefault="00461179" w:rsidP="00A47F6D">
      <w:pPr>
        <w:pStyle w:val="berschrift2"/>
        <w:rPr>
          <w:snapToGrid w:val="0"/>
        </w:rPr>
      </w:pPr>
      <w:bookmarkStart w:id="12" w:name="_Toc202752878"/>
      <w:r>
        <w:rPr>
          <w:snapToGrid w:val="0"/>
        </w:rPr>
        <w:t>Artikel 11</w:t>
      </w:r>
      <w:r>
        <w:rPr>
          <w:snapToGrid w:val="0"/>
        </w:rPr>
        <w:br/>
        <w:t>Sanktionen</w:t>
      </w:r>
      <w:bookmarkEnd w:id="12"/>
    </w:p>
    <w:p w:rsidR="00461179" w:rsidRDefault="00461179">
      <w:pPr>
        <w:pStyle w:val="GesAbsatz"/>
        <w:rPr>
          <w:snapToGrid w:val="0"/>
        </w:rPr>
      </w:pPr>
      <w:r>
        <w:rPr>
          <w:snapToGrid w:val="0"/>
        </w:rPr>
        <w:t>Die Mitgliedstaaten legen die Sanktionen für Verstöße gegen die im Rahmen dieser Richtlinie erlassenen innerstaatlichen Rechtsvorschriften fest. Die Sanktionen müssen wirksam, verhältnismäßig und abschr</w:t>
      </w:r>
      <w:r>
        <w:rPr>
          <w:snapToGrid w:val="0"/>
        </w:rPr>
        <w:t>e</w:t>
      </w:r>
      <w:r>
        <w:rPr>
          <w:snapToGrid w:val="0"/>
        </w:rPr>
        <w:t>ckend sein.</w:t>
      </w:r>
    </w:p>
    <w:p w:rsidR="00461179" w:rsidRDefault="00461179" w:rsidP="00A47F6D">
      <w:pPr>
        <w:pStyle w:val="berschrift2"/>
      </w:pPr>
      <w:bookmarkStart w:id="13" w:name="_Toc202752879"/>
      <w:r>
        <w:lastRenderedPageBreak/>
        <w:t>Artikel 12</w:t>
      </w:r>
      <w:r>
        <w:br/>
        <w:t>Umsetzung</w:t>
      </w:r>
      <w:bookmarkEnd w:id="13"/>
    </w:p>
    <w:p w:rsidR="00461179" w:rsidRDefault="00461179">
      <w:pPr>
        <w:pStyle w:val="GesAbsatz"/>
        <w:rPr>
          <w:snapToGrid w:val="0"/>
        </w:rPr>
      </w:pPr>
      <w:r>
        <w:rPr>
          <w:snapToGrid w:val="0"/>
        </w:rPr>
        <w:t xml:space="preserve">(1) Die Mitgliedstaaten setzen die Rechts- und Verwaltungsvorschriften in Kraft, die erforderlich sind, um dieser Richtlinie bis </w:t>
      </w:r>
      <w:smartTag w:uri="urn:schemas-microsoft-com:office:smarttags" w:element="date">
        <w:smartTagPr>
          <w:attr w:name="ls" w:val="trans"/>
          <w:attr w:name="Month" w:val="7"/>
          <w:attr w:name="Day" w:val="19"/>
          <w:attr w:name="Year" w:val="2001"/>
        </w:smartTagPr>
        <w:r>
          <w:rPr>
            <w:snapToGrid w:val="0"/>
          </w:rPr>
          <w:t>19. Juli 2001</w:t>
        </w:r>
      </w:smartTag>
      <w:r>
        <w:rPr>
          <w:snapToGrid w:val="0"/>
        </w:rPr>
        <w:t xml:space="preserve"> nachzukommen. Sie setzen die Kommission unverzüglich davon in Kenn</w:t>
      </w:r>
      <w:r>
        <w:rPr>
          <w:snapToGrid w:val="0"/>
        </w:rPr>
        <w:t>t</w:t>
      </w:r>
      <w:r>
        <w:rPr>
          <w:snapToGrid w:val="0"/>
        </w:rPr>
        <w:t>nis.</w:t>
      </w:r>
    </w:p>
    <w:p w:rsidR="00461179" w:rsidRDefault="00461179">
      <w:pPr>
        <w:pStyle w:val="GesAbsatz"/>
        <w:rPr>
          <w:snapToGrid w:val="0"/>
        </w:rPr>
      </w:pPr>
      <w:r>
        <w:rPr>
          <w:snapToGrid w:val="0"/>
        </w:rPr>
        <w:t>Wenn die Mitgliedstaaten derartige Vorschriften erlassen, nehmen sie in den Vorschriften selbst oder durch einen Hinweis bei der amtlichen Veröffentlichung auf diese Richtlinie Bezug. Die Mitgliedstaaten regeln die Einzelheiten der Bezugnahme.</w:t>
      </w:r>
    </w:p>
    <w:p w:rsidR="00461179" w:rsidRDefault="00461179">
      <w:pPr>
        <w:pStyle w:val="GesAbsatz"/>
        <w:rPr>
          <w:snapToGrid w:val="0"/>
        </w:rPr>
      </w:pPr>
      <w:r>
        <w:rPr>
          <w:snapToGrid w:val="0"/>
        </w:rPr>
        <w:t>(2) Die Mitgliedstaaten teilen der Kommission den Wortlaut der wichtigsten innerstaatlichen Rechtsvorschri</w:t>
      </w:r>
      <w:r>
        <w:rPr>
          <w:snapToGrid w:val="0"/>
        </w:rPr>
        <w:t>f</w:t>
      </w:r>
      <w:r>
        <w:rPr>
          <w:snapToGrid w:val="0"/>
        </w:rPr>
        <w:t>ten mit, die sie auf dem unter diese Richtlinie fallenden Gebiet erlassen.</w:t>
      </w:r>
    </w:p>
    <w:p w:rsidR="00461179" w:rsidRDefault="00461179" w:rsidP="00A47F6D">
      <w:pPr>
        <w:pStyle w:val="berschrift2"/>
        <w:rPr>
          <w:snapToGrid w:val="0"/>
        </w:rPr>
      </w:pPr>
      <w:bookmarkStart w:id="14" w:name="_Toc202752880"/>
      <w:r>
        <w:rPr>
          <w:snapToGrid w:val="0"/>
        </w:rPr>
        <w:t>Artikel 13</w:t>
      </w:r>
      <w:r>
        <w:rPr>
          <w:snapToGrid w:val="0"/>
        </w:rPr>
        <w:br/>
        <w:t>Inkrafttreten</w:t>
      </w:r>
      <w:bookmarkEnd w:id="14"/>
    </w:p>
    <w:p w:rsidR="00461179" w:rsidRDefault="00461179">
      <w:pPr>
        <w:pStyle w:val="GesAbsatz"/>
        <w:rPr>
          <w:snapToGrid w:val="0"/>
        </w:rPr>
      </w:pPr>
      <w:r>
        <w:rPr>
          <w:snapToGrid w:val="0"/>
        </w:rPr>
        <w:t xml:space="preserve">Diese Richtlinie tritt am zwanzigsten Tag nach ihrer Veröffentlichung im </w:t>
      </w:r>
      <w:r>
        <w:rPr>
          <w:i/>
          <w:snapToGrid w:val="0"/>
        </w:rPr>
        <w:t>Amtsblatt der Europäischen G</w:t>
      </w:r>
      <w:r>
        <w:rPr>
          <w:i/>
          <w:snapToGrid w:val="0"/>
        </w:rPr>
        <w:t>e</w:t>
      </w:r>
      <w:r>
        <w:rPr>
          <w:i/>
          <w:snapToGrid w:val="0"/>
        </w:rPr>
        <w:t xml:space="preserve">meinschaften </w:t>
      </w:r>
      <w:r>
        <w:rPr>
          <w:snapToGrid w:val="0"/>
        </w:rPr>
        <w:t>in Kraft.</w:t>
      </w:r>
    </w:p>
    <w:p w:rsidR="00461179" w:rsidRDefault="00461179" w:rsidP="00A47F6D">
      <w:pPr>
        <w:pStyle w:val="berschrift2"/>
        <w:rPr>
          <w:snapToGrid w:val="0"/>
        </w:rPr>
      </w:pPr>
      <w:bookmarkStart w:id="15" w:name="_Toc202752881"/>
      <w:r>
        <w:rPr>
          <w:snapToGrid w:val="0"/>
        </w:rPr>
        <w:t>Artikel 14</w:t>
      </w:r>
      <w:r>
        <w:rPr>
          <w:snapToGrid w:val="0"/>
        </w:rPr>
        <w:br/>
        <w:t>Adressaten</w:t>
      </w:r>
      <w:bookmarkEnd w:id="15"/>
    </w:p>
    <w:p w:rsidR="00461179" w:rsidRDefault="00461179">
      <w:pPr>
        <w:pStyle w:val="GesAbsatz"/>
      </w:pPr>
      <w:r>
        <w:t>Diese Richtlinie ist an die Mitgliedstaaten gerichtet.</w:t>
      </w:r>
    </w:p>
    <w:p w:rsidR="00461179" w:rsidRDefault="00461179">
      <w:pPr>
        <w:pStyle w:val="berschrift2"/>
        <w:jc w:val="left"/>
        <w:rPr>
          <w:snapToGrid w:val="0"/>
        </w:rPr>
      </w:pPr>
      <w:r>
        <w:br w:type="page"/>
      </w:r>
      <w:bookmarkStart w:id="16" w:name="_Toc202752882"/>
      <w:r>
        <w:rPr>
          <w:snapToGrid w:val="0"/>
        </w:rPr>
        <w:lastRenderedPageBreak/>
        <w:t>ANHANG I</w:t>
      </w:r>
      <w:r>
        <w:rPr>
          <w:snapToGrid w:val="0"/>
        </w:rPr>
        <w:br/>
        <w:t>GRENZWERTE UND ALARMSCHWELLE FÜR SCHWEFELDIOXID</w:t>
      </w:r>
      <w:bookmarkEnd w:id="16"/>
    </w:p>
    <w:p w:rsidR="00461179" w:rsidRDefault="00461179">
      <w:pPr>
        <w:pStyle w:val="GesAbsatz"/>
        <w:tabs>
          <w:tab w:val="clear" w:pos="425"/>
          <w:tab w:val="left" w:pos="567"/>
        </w:tabs>
        <w:rPr>
          <w:b/>
          <w:snapToGrid w:val="0"/>
        </w:rPr>
      </w:pPr>
      <w:r>
        <w:rPr>
          <w:b/>
          <w:snapToGrid w:val="0"/>
        </w:rPr>
        <w:t>I.</w:t>
      </w:r>
      <w:r>
        <w:rPr>
          <w:snapToGrid w:val="0"/>
        </w:rPr>
        <w:tab/>
      </w:r>
      <w:r>
        <w:rPr>
          <w:b/>
          <w:snapToGrid w:val="0"/>
        </w:rPr>
        <w:t>Grenzwerte für Schwefeldioxid</w:t>
      </w:r>
    </w:p>
    <w:p w:rsidR="00461179" w:rsidRDefault="00461179">
      <w:pPr>
        <w:pStyle w:val="GesAbsatz"/>
        <w:ind w:left="567"/>
        <w:rPr>
          <w:snapToGrid w:val="0"/>
        </w:rPr>
      </w:pPr>
      <w:r>
        <w:rPr>
          <w:snapToGrid w:val="0"/>
        </w:rPr>
        <w:t>Grenzwerte werden in µg/m</w:t>
      </w:r>
      <w:r>
        <w:rPr>
          <w:snapToGrid w:val="0"/>
          <w:vertAlign w:val="superscript"/>
        </w:rPr>
        <w:t>3</w:t>
      </w:r>
      <w:r>
        <w:rPr>
          <w:snapToGrid w:val="0"/>
        </w:rPr>
        <w:t xml:space="preserve"> .Das Volumen bezieht sich auf den Normzustand bei einer Temperatur von 293 K und einem Druck von 101,3 kPa.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572"/>
        <w:gridCol w:w="1955"/>
        <w:gridCol w:w="1955"/>
        <w:gridCol w:w="1955"/>
      </w:tblGrid>
      <w:tr w:rsidR="00461179">
        <w:tc>
          <w:tcPr>
            <w:tcW w:w="2268" w:type="dxa"/>
            <w:tcBorders>
              <w:left w:val="nil"/>
            </w:tcBorders>
          </w:tcPr>
          <w:p w:rsidR="00461179" w:rsidRDefault="00461179">
            <w:pPr>
              <w:pStyle w:val="GesAbsatz"/>
              <w:rPr>
                <w:snapToGrid w:val="0"/>
              </w:rPr>
            </w:pPr>
          </w:p>
        </w:tc>
        <w:tc>
          <w:tcPr>
            <w:tcW w:w="1572" w:type="dxa"/>
          </w:tcPr>
          <w:p w:rsidR="00461179" w:rsidRDefault="00461179">
            <w:pPr>
              <w:pStyle w:val="GesAbsatz"/>
              <w:rPr>
                <w:snapToGrid w:val="0"/>
              </w:rPr>
            </w:pPr>
            <w:r>
              <w:rPr>
                <w:snapToGrid w:val="0"/>
              </w:rPr>
              <w:t>Mittelungszei</w:t>
            </w:r>
            <w:r>
              <w:rPr>
                <w:snapToGrid w:val="0"/>
              </w:rPr>
              <w:t>t</w:t>
            </w:r>
            <w:r>
              <w:rPr>
                <w:snapToGrid w:val="0"/>
              </w:rPr>
              <w:t>raum</w:t>
            </w:r>
          </w:p>
        </w:tc>
        <w:tc>
          <w:tcPr>
            <w:tcW w:w="1955" w:type="dxa"/>
          </w:tcPr>
          <w:p w:rsidR="00461179" w:rsidRDefault="00461179">
            <w:pPr>
              <w:pStyle w:val="GesAbsatz"/>
              <w:rPr>
                <w:snapToGrid w:val="0"/>
              </w:rPr>
            </w:pPr>
            <w:r>
              <w:rPr>
                <w:snapToGrid w:val="0"/>
              </w:rPr>
              <w:t>Grenzwert</w:t>
            </w:r>
          </w:p>
        </w:tc>
        <w:tc>
          <w:tcPr>
            <w:tcW w:w="1955" w:type="dxa"/>
          </w:tcPr>
          <w:p w:rsidR="00461179" w:rsidRDefault="00461179">
            <w:pPr>
              <w:pStyle w:val="GesAbsatz"/>
              <w:rPr>
                <w:snapToGrid w:val="0"/>
              </w:rPr>
            </w:pPr>
            <w:r>
              <w:rPr>
                <w:snapToGrid w:val="0"/>
              </w:rPr>
              <w:t>Toleranzmarge</w:t>
            </w:r>
          </w:p>
        </w:tc>
        <w:tc>
          <w:tcPr>
            <w:tcW w:w="1955" w:type="dxa"/>
            <w:tcBorders>
              <w:right w:val="nil"/>
            </w:tcBorders>
          </w:tcPr>
          <w:p w:rsidR="00461179" w:rsidRDefault="00461179">
            <w:pPr>
              <w:pStyle w:val="GesAbsatz"/>
              <w:rPr>
                <w:snapToGrid w:val="0"/>
              </w:rPr>
            </w:pPr>
            <w:r>
              <w:rPr>
                <w:snapToGrid w:val="0"/>
              </w:rPr>
              <w:t>Zeitpunkt, zu dem der Grenzwert zu erreiche ist</w:t>
            </w:r>
          </w:p>
        </w:tc>
      </w:tr>
      <w:tr w:rsidR="00461179">
        <w:tc>
          <w:tcPr>
            <w:tcW w:w="2268" w:type="dxa"/>
            <w:tcBorders>
              <w:left w:val="nil"/>
            </w:tcBorders>
          </w:tcPr>
          <w:p w:rsidR="00461179" w:rsidRDefault="00461179">
            <w:pPr>
              <w:pStyle w:val="GesAbsatz"/>
              <w:numPr>
                <w:ilvl w:val="0"/>
                <w:numId w:val="38"/>
              </w:numPr>
              <w:tabs>
                <w:tab w:val="clear" w:pos="425"/>
                <w:tab w:val="clear" w:pos="720"/>
              </w:tabs>
              <w:ind w:left="290" w:hanging="240"/>
              <w:rPr>
                <w:snapToGrid w:val="0"/>
              </w:rPr>
            </w:pPr>
            <w:r>
              <w:rPr>
                <w:snapToGrid w:val="0"/>
              </w:rPr>
              <w:t>1-Stunden-Grenzwert für den Schutz der mensc</w:t>
            </w:r>
            <w:r>
              <w:rPr>
                <w:snapToGrid w:val="0"/>
              </w:rPr>
              <w:t>h</w:t>
            </w:r>
            <w:r>
              <w:rPr>
                <w:snapToGrid w:val="0"/>
              </w:rPr>
              <w:t>lichen Gesundheit</w:t>
            </w:r>
          </w:p>
        </w:tc>
        <w:tc>
          <w:tcPr>
            <w:tcW w:w="1572" w:type="dxa"/>
          </w:tcPr>
          <w:p w:rsidR="00461179" w:rsidRDefault="00461179">
            <w:pPr>
              <w:pStyle w:val="GesAbsatz"/>
              <w:rPr>
                <w:snapToGrid w:val="0"/>
              </w:rPr>
            </w:pPr>
            <w:r>
              <w:rPr>
                <w:snapToGrid w:val="0"/>
              </w:rPr>
              <w:t>1 Stunde</w:t>
            </w:r>
          </w:p>
        </w:tc>
        <w:tc>
          <w:tcPr>
            <w:tcW w:w="1955" w:type="dxa"/>
          </w:tcPr>
          <w:p w:rsidR="00461179" w:rsidRDefault="00461179">
            <w:pPr>
              <w:pStyle w:val="GesAbsatz"/>
              <w:jc w:val="left"/>
              <w:rPr>
                <w:snapToGrid w:val="0"/>
              </w:rPr>
            </w:pPr>
            <w:r>
              <w:rPr>
                <w:snapToGrid w:val="0"/>
              </w:rPr>
              <w:t>350 µg/m</w:t>
            </w:r>
            <w:r>
              <w:rPr>
                <w:snapToGrid w:val="0"/>
                <w:vertAlign w:val="superscript"/>
              </w:rPr>
              <w:t>3</w:t>
            </w:r>
            <w:r>
              <w:rPr>
                <w:snapToGrid w:val="0"/>
              </w:rPr>
              <w:t xml:space="preserve"> dürfen nicht öfter als 24mal im Kalenderjahr überschritten we</w:t>
            </w:r>
            <w:r>
              <w:rPr>
                <w:snapToGrid w:val="0"/>
              </w:rPr>
              <w:t>r</w:t>
            </w:r>
            <w:r>
              <w:rPr>
                <w:snapToGrid w:val="0"/>
              </w:rPr>
              <w:t>den</w:t>
            </w:r>
          </w:p>
        </w:tc>
        <w:tc>
          <w:tcPr>
            <w:tcW w:w="1955" w:type="dxa"/>
          </w:tcPr>
          <w:p w:rsidR="00461179" w:rsidRDefault="00461179">
            <w:pPr>
              <w:pStyle w:val="GesAbsatz"/>
              <w:jc w:val="left"/>
              <w:rPr>
                <w:snapToGrid w:val="0"/>
              </w:rPr>
            </w:pPr>
            <w:r>
              <w:rPr>
                <w:snapToGrid w:val="0"/>
              </w:rPr>
              <w:t>150 µg/m</w:t>
            </w:r>
            <w:r>
              <w:rPr>
                <w:snapToGrid w:val="0"/>
                <w:vertAlign w:val="superscript"/>
              </w:rPr>
              <w:t>3</w:t>
            </w:r>
            <w:r>
              <w:rPr>
                <w:snapToGrid w:val="0"/>
              </w:rPr>
              <w:t xml:space="preserve"> (43 %) bei Inkrafttreten dieser Richtlinie, lineare Reduzierung am </w:t>
            </w:r>
            <w:smartTag w:uri="urn:schemas-microsoft-com:office:smarttags" w:element="date">
              <w:smartTagPr>
                <w:attr w:name="ls" w:val="trans"/>
                <w:attr w:name="Month" w:val="1"/>
                <w:attr w:name="Day" w:val="1"/>
                <w:attr w:name="Year" w:val="2001"/>
              </w:smartTagPr>
              <w:r>
                <w:rPr>
                  <w:snapToGrid w:val="0"/>
                </w:rPr>
                <w:t>1. Januar 2001</w:t>
              </w:r>
            </w:smartTag>
            <w:r>
              <w:rPr>
                <w:snapToGrid w:val="0"/>
              </w:rPr>
              <w:t xml:space="preserve"> und alle 12 Monate danach um einen gleichen jährlichen Prozentsatz bis auf 0 % am </w:t>
            </w:r>
            <w:smartTag w:uri="urn:schemas-microsoft-com:office:smarttags" w:element="date">
              <w:smartTagPr>
                <w:attr w:name="ls" w:val="trans"/>
                <w:attr w:name="Month" w:val="1"/>
                <w:attr w:name="Day" w:val="1"/>
                <w:attr w:name="Year" w:val="2005"/>
              </w:smartTagPr>
              <w:r>
                <w:rPr>
                  <w:snapToGrid w:val="0"/>
                </w:rPr>
                <w:t>1. Januar 2005</w:t>
              </w:r>
            </w:smartTag>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1"/>
                <w:attr w:name="Day" w:val="1"/>
                <w:attr w:name="Year" w:val="2005"/>
              </w:smartTagPr>
              <w:r>
                <w:rPr>
                  <w:snapToGrid w:val="0"/>
                </w:rPr>
                <w:t>1. Januar 2005</w:t>
              </w:r>
            </w:smartTag>
          </w:p>
          <w:p w:rsidR="00461179" w:rsidRDefault="00461179">
            <w:pPr>
              <w:pStyle w:val="GesAbsatz"/>
              <w:rPr>
                <w:snapToGrid w:val="0"/>
              </w:rPr>
            </w:pPr>
          </w:p>
        </w:tc>
      </w:tr>
      <w:tr w:rsidR="00461179">
        <w:tc>
          <w:tcPr>
            <w:tcW w:w="2268" w:type="dxa"/>
            <w:tcBorders>
              <w:left w:val="nil"/>
            </w:tcBorders>
          </w:tcPr>
          <w:p w:rsidR="00461179" w:rsidRDefault="00461179">
            <w:pPr>
              <w:pStyle w:val="GesAbsatz"/>
              <w:numPr>
                <w:ilvl w:val="0"/>
                <w:numId w:val="38"/>
              </w:numPr>
              <w:tabs>
                <w:tab w:val="clear" w:pos="425"/>
                <w:tab w:val="clear" w:pos="720"/>
              </w:tabs>
              <w:ind w:left="290" w:hanging="240"/>
              <w:jc w:val="left"/>
              <w:rPr>
                <w:snapToGrid w:val="0"/>
              </w:rPr>
            </w:pPr>
            <w:r>
              <w:rPr>
                <w:snapToGrid w:val="0"/>
              </w:rPr>
              <w:t>1-Tages-Grenzwert für den Schutz der menschlichen G</w:t>
            </w:r>
            <w:r>
              <w:rPr>
                <w:snapToGrid w:val="0"/>
              </w:rPr>
              <w:t>e</w:t>
            </w:r>
            <w:r>
              <w:rPr>
                <w:snapToGrid w:val="0"/>
              </w:rPr>
              <w:t>sundheit</w:t>
            </w:r>
          </w:p>
        </w:tc>
        <w:tc>
          <w:tcPr>
            <w:tcW w:w="1572" w:type="dxa"/>
          </w:tcPr>
          <w:p w:rsidR="00461179" w:rsidRDefault="00461179">
            <w:pPr>
              <w:pStyle w:val="GesAbsatz"/>
              <w:rPr>
                <w:snapToGrid w:val="0"/>
              </w:rPr>
            </w:pPr>
            <w:r>
              <w:rPr>
                <w:snapToGrid w:val="0"/>
              </w:rPr>
              <w:t>24 Stunden</w:t>
            </w:r>
          </w:p>
        </w:tc>
        <w:tc>
          <w:tcPr>
            <w:tcW w:w="1955" w:type="dxa"/>
          </w:tcPr>
          <w:p w:rsidR="00461179" w:rsidRDefault="00461179">
            <w:pPr>
              <w:pStyle w:val="GesAbsatz"/>
              <w:jc w:val="left"/>
              <w:rPr>
                <w:snapToGrid w:val="0"/>
              </w:rPr>
            </w:pPr>
            <w:r>
              <w:rPr>
                <w:snapToGrid w:val="0"/>
              </w:rPr>
              <w:t>125 µg/m</w:t>
            </w:r>
            <w:r>
              <w:rPr>
                <w:snapToGrid w:val="0"/>
                <w:vertAlign w:val="superscript"/>
              </w:rPr>
              <w:t>3</w:t>
            </w:r>
            <w:r>
              <w:rPr>
                <w:snapToGrid w:val="0"/>
              </w:rPr>
              <w:t xml:space="preserve"> dürfen nicht öfter als dre</w:t>
            </w:r>
            <w:r>
              <w:rPr>
                <w:snapToGrid w:val="0"/>
              </w:rPr>
              <w:t>i</w:t>
            </w:r>
            <w:r>
              <w:rPr>
                <w:snapToGrid w:val="0"/>
              </w:rPr>
              <w:t>mal im Kalenderjahr überschritten we</w:t>
            </w:r>
            <w:r>
              <w:rPr>
                <w:snapToGrid w:val="0"/>
              </w:rPr>
              <w:t>r</w:t>
            </w:r>
            <w:r>
              <w:rPr>
                <w:snapToGrid w:val="0"/>
              </w:rPr>
              <w:t>den</w:t>
            </w:r>
          </w:p>
        </w:tc>
        <w:tc>
          <w:tcPr>
            <w:tcW w:w="1955" w:type="dxa"/>
          </w:tcPr>
          <w:p w:rsidR="00461179" w:rsidRDefault="00461179">
            <w:pPr>
              <w:pStyle w:val="GesAbsatz"/>
              <w:rPr>
                <w:snapToGrid w:val="0"/>
              </w:rPr>
            </w:pPr>
            <w:r>
              <w:rPr>
                <w:snapToGrid w:val="0"/>
              </w:rPr>
              <w:t>keine</w:t>
            </w:r>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1"/>
                <w:attr w:name="Day" w:val="1"/>
                <w:attr w:name="Year" w:val="2005"/>
              </w:smartTagPr>
              <w:r>
                <w:rPr>
                  <w:snapToGrid w:val="0"/>
                </w:rPr>
                <w:t>1. Januar 2005</w:t>
              </w:r>
            </w:smartTag>
          </w:p>
        </w:tc>
      </w:tr>
      <w:tr w:rsidR="00461179">
        <w:tc>
          <w:tcPr>
            <w:tcW w:w="2268" w:type="dxa"/>
            <w:tcBorders>
              <w:left w:val="nil"/>
            </w:tcBorders>
          </w:tcPr>
          <w:p w:rsidR="00461179" w:rsidRDefault="00461179">
            <w:pPr>
              <w:pStyle w:val="GesAbsatz"/>
              <w:numPr>
                <w:ilvl w:val="0"/>
                <w:numId w:val="38"/>
              </w:numPr>
              <w:tabs>
                <w:tab w:val="clear" w:pos="425"/>
                <w:tab w:val="clear" w:pos="720"/>
              </w:tabs>
              <w:ind w:left="290" w:hanging="240"/>
              <w:jc w:val="left"/>
              <w:rPr>
                <w:snapToGrid w:val="0"/>
              </w:rPr>
            </w:pPr>
            <w:r>
              <w:rPr>
                <w:snapToGrid w:val="0"/>
              </w:rPr>
              <w:t>Grenzwert für den Schutz von Öko-Systemen</w:t>
            </w:r>
          </w:p>
        </w:tc>
        <w:tc>
          <w:tcPr>
            <w:tcW w:w="1572" w:type="dxa"/>
          </w:tcPr>
          <w:p w:rsidR="00461179" w:rsidRDefault="00461179">
            <w:pPr>
              <w:pStyle w:val="GesAbsatz"/>
              <w:jc w:val="left"/>
              <w:rPr>
                <w:snapToGrid w:val="0"/>
              </w:rPr>
            </w:pPr>
            <w:r>
              <w:rPr>
                <w:snapToGrid w:val="0"/>
              </w:rPr>
              <w:t>Kalenderjahr und Winter (1. Oktober bis 31. März)</w:t>
            </w:r>
          </w:p>
        </w:tc>
        <w:tc>
          <w:tcPr>
            <w:tcW w:w="1955" w:type="dxa"/>
          </w:tcPr>
          <w:p w:rsidR="00461179" w:rsidRDefault="00461179">
            <w:pPr>
              <w:pStyle w:val="GesAbsatz"/>
              <w:rPr>
                <w:snapToGrid w:val="0"/>
              </w:rPr>
            </w:pPr>
            <w:r>
              <w:rPr>
                <w:snapToGrid w:val="0"/>
              </w:rPr>
              <w:t>20 µg/m</w:t>
            </w:r>
            <w:r>
              <w:rPr>
                <w:snapToGrid w:val="0"/>
                <w:vertAlign w:val="superscript"/>
              </w:rPr>
              <w:t>3</w:t>
            </w:r>
          </w:p>
        </w:tc>
        <w:tc>
          <w:tcPr>
            <w:tcW w:w="1955" w:type="dxa"/>
          </w:tcPr>
          <w:p w:rsidR="00461179" w:rsidRDefault="00461179">
            <w:pPr>
              <w:pStyle w:val="GesAbsatz"/>
              <w:rPr>
                <w:snapToGrid w:val="0"/>
              </w:rPr>
            </w:pPr>
            <w:r>
              <w:rPr>
                <w:snapToGrid w:val="0"/>
              </w:rPr>
              <w:t>keine</w:t>
            </w:r>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7"/>
                <w:attr w:name="Day" w:val="19"/>
                <w:attr w:name="Year" w:val="2001"/>
              </w:smartTagPr>
              <w:r>
                <w:rPr>
                  <w:snapToGrid w:val="0"/>
                </w:rPr>
                <w:t>19. Juli 2001</w:t>
              </w:r>
            </w:smartTag>
          </w:p>
        </w:tc>
      </w:tr>
    </w:tbl>
    <w:p w:rsidR="00461179" w:rsidRDefault="00461179">
      <w:pPr>
        <w:pStyle w:val="GesAbsatz"/>
        <w:rPr>
          <w:snapToGrid w:val="0"/>
        </w:rPr>
      </w:pPr>
    </w:p>
    <w:p w:rsidR="00461179" w:rsidRDefault="00461179">
      <w:pPr>
        <w:pStyle w:val="GesAbsatz"/>
        <w:tabs>
          <w:tab w:val="clear" w:pos="425"/>
          <w:tab w:val="left" w:pos="567"/>
        </w:tabs>
        <w:rPr>
          <w:b/>
          <w:snapToGrid w:val="0"/>
        </w:rPr>
      </w:pPr>
      <w:r>
        <w:rPr>
          <w:b/>
          <w:snapToGrid w:val="0"/>
        </w:rPr>
        <w:t>II.</w:t>
      </w:r>
      <w:r>
        <w:rPr>
          <w:snapToGrid w:val="0"/>
        </w:rPr>
        <w:tab/>
      </w:r>
      <w:r>
        <w:rPr>
          <w:b/>
          <w:snapToGrid w:val="0"/>
        </w:rPr>
        <w:t>Alarmstufe für Schwefeldioxid</w:t>
      </w:r>
    </w:p>
    <w:p w:rsidR="00461179" w:rsidRDefault="00461179">
      <w:pPr>
        <w:pStyle w:val="GesAbsatz"/>
        <w:ind w:left="567"/>
        <w:rPr>
          <w:snapToGrid w:val="0"/>
        </w:rPr>
      </w:pPr>
      <w:r>
        <w:rPr>
          <w:snapToGrid w:val="0"/>
        </w:rPr>
        <w:t>500 µg/m</w:t>
      </w:r>
      <w:r>
        <w:rPr>
          <w:snapToGrid w:val="0"/>
          <w:vertAlign w:val="superscript"/>
        </w:rPr>
        <w:t>3</w:t>
      </w:r>
      <w:r>
        <w:rPr>
          <w:snapToGrid w:val="0"/>
        </w:rPr>
        <w:t>, drei aufeinanderfolgende Stunden lang an Orten gemessen, die für die Luftqualität in e</w:t>
      </w:r>
      <w:r>
        <w:rPr>
          <w:snapToGrid w:val="0"/>
        </w:rPr>
        <w:t>i</w:t>
      </w:r>
      <w:r>
        <w:rPr>
          <w:snapToGrid w:val="0"/>
        </w:rPr>
        <w:t>nem Bereich von mindestens 100 km</w:t>
      </w:r>
      <w:r>
        <w:rPr>
          <w:snapToGrid w:val="0"/>
          <w:vertAlign w:val="superscript"/>
        </w:rPr>
        <w:t>2</w:t>
      </w:r>
      <w:r>
        <w:t>,</w:t>
      </w:r>
      <w:r>
        <w:rPr>
          <w:snapToGrid w:val="0"/>
        </w:rPr>
        <w:t xml:space="preserve"> oder im gesamten Gebiet oder Ballungsraum, ,je nachdem welche Fläche kleiner ist, repräsentativ sind.</w:t>
      </w:r>
    </w:p>
    <w:p w:rsidR="00461179" w:rsidRDefault="00461179">
      <w:pPr>
        <w:pStyle w:val="GesAbsatz"/>
        <w:tabs>
          <w:tab w:val="clear" w:pos="425"/>
          <w:tab w:val="left" w:pos="567"/>
        </w:tabs>
        <w:rPr>
          <w:b/>
          <w:snapToGrid w:val="0"/>
        </w:rPr>
      </w:pPr>
      <w:r>
        <w:rPr>
          <w:b/>
          <w:snapToGrid w:val="0"/>
        </w:rPr>
        <w:t>III.</w:t>
      </w:r>
      <w:r>
        <w:rPr>
          <w:snapToGrid w:val="0"/>
        </w:rPr>
        <w:tab/>
      </w:r>
      <w:r>
        <w:rPr>
          <w:b/>
          <w:snapToGrid w:val="0"/>
        </w:rPr>
        <w:t>Mindestinformation der Öffentlichkeit bei Überschreiten der Alarmschwelle für Schwefeldioxid</w:t>
      </w:r>
    </w:p>
    <w:p w:rsidR="00461179" w:rsidRDefault="00461179">
      <w:pPr>
        <w:pStyle w:val="GesAbsatz"/>
        <w:ind w:left="567"/>
        <w:rPr>
          <w:snapToGrid w:val="0"/>
        </w:rPr>
      </w:pPr>
      <w:r>
        <w:rPr>
          <w:snapToGrid w:val="0"/>
        </w:rPr>
        <w:t>Die Informationen, die der Öffentlichkeit zugänglich zu machen sind, sollten mindestens folgende Punkte umfassen:</w:t>
      </w:r>
    </w:p>
    <w:p w:rsidR="00461179" w:rsidRDefault="00461179">
      <w:pPr>
        <w:pStyle w:val="GesAbsatz"/>
        <w:numPr>
          <w:ilvl w:val="0"/>
          <w:numId w:val="39"/>
        </w:numPr>
        <w:rPr>
          <w:snapToGrid w:val="0"/>
        </w:rPr>
      </w:pPr>
      <w:r>
        <w:rPr>
          <w:snapToGrid w:val="0"/>
        </w:rPr>
        <w:t>Datum, Uhrzeit und Ort der Überschreitung sowie die Gründe für diese Überschreitungen, sofern bekannt;</w:t>
      </w:r>
    </w:p>
    <w:p w:rsidR="00461179" w:rsidRDefault="00461179">
      <w:pPr>
        <w:pStyle w:val="GesAbsatz"/>
        <w:numPr>
          <w:ilvl w:val="0"/>
          <w:numId w:val="39"/>
        </w:numPr>
        <w:rPr>
          <w:snapToGrid w:val="0"/>
        </w:rPr>
      </w:pPr>
      <w:r>
        <w:rPr>
          <w:snapToGrid w:val="0"/>
        </w:rPr>
        <w:t>Vorhersagen:</w:t>
      </w:r>
    </w:p>
    <w:p w:rsidR="00461179" w:rsidRDefault="00461179">
      <w:pPr>
        <w:pStyle w:val="GesAbsatz"/>
        <w:numPr>
          <w:ilvl w:val="0"/>
          <w:numId w:val="39"/>
        </w:numPr>
        <w:tabs>
          <w:tab w:val="clear" w:pos="425"/>
          <w:tab w:val="clear" w:pos="927"/>
        </w:tabs>
        <w:ind w:left="1320"/>
        <w:rPr>
          <w:snapToGrid w:val="0"/>
        </w:rPr>
      </w:pPr>
      <w:r>
        <w:rPr>
          <w:snapToGrid w:val="0"/>
        </w:rPr>
        <w:t>Änderungen der Konzentration (Verbesserung, Stabilisierung oder Verschlechterung)sowie die Gründe für diese Änderungen;</w:t>
      </w:r>
    </w:p>
    <w:p w:rsidR="00461179" w:rsidRDefault="00461179">
      <w:pPr>
        <w:pStyle w:val="GesAbsatz"/>
        <w:numPr>
          <w:ilvl w:val="0"/>
          <w:numId w:val="39"/>
        </w:numPr>
        <w:tabs>
          <w:tab w:val="clear" w:pos="425"/>
          <w:tab w:val="clear" w:pos="927"/>
        </w:tabs>
        <w:ind w:left="1320"/>
        <w:rPr>
          <w:snapToGrid w:val="0"/>
        </w:rPr>
      </w:pPr>
      <w:r>
        <w:rPr>
          <w:snapToGrid w:val="0"/>
        </w:rPr>
        <w:t>betroffener geographischer Bereich;</w:t>
      </w:r>
    </w:p>
    <w:p w:rsidR="00461179" w:rsidRDefault="00461179">
      <w:pPr>
        <w:pStyle w:val="GesAbsatz"/>
        <w:numPr>
          <w:ilvl w:val="0"/>
          <w:numId w:val="39"/>
        </w:numPr>
        <w:tabs>
          <w:tab w:val="clear" w:pos="425"/>
          <w:tab w:val="clear" w:pos="927"/>
        </w:tabs>
        <w:ind w:left="1320"/>
        <w:rPr>
          <w:snapToGrid w:val="0"/>
        </w:rPr>
      </w:pPr>
      <w:r>
        <w:rPr>
          <w:snapToGrid w:val="0"/>
        </w:rPr>
        <w:t>Dauer der Überschreitung;</w:t>
      </w:r>
    </w:p>
    <w:p w:rsidR="00461179" w:rsidRDefault="00461179">
      <w:pPr>
        <w:pStyle w:val="GesAbsatz"/>
        <w:numPr>
          <w:ilvl w:val="0"/>
          <w:numId w:val="39"/>
        </w:numPr>
        <w:tabs>
          <w:tab w:val="clear" w:pos="425"/>
          <w:tab w:val="clear" w:pos="927"/>
        </w:tabs>
        <w:ind w:left="1320"/>
        <w:rPr>
          <w:snapToGrid w:val="0"/>
        </w:rPr>
      </w:pPr>
      <w:r>
        <w:rPr>
          <w:snapToGrid w:val="0"/>
        </w:rPr>
        <w:t>gegen die Überschreitung potentiell empfindliche Personengruppen;</w:t>
      </w:r>
    </w:p>
    <w:p w:rsidR="00461179" w:rsidRDefault="00461179">
      <w:pPr>
        <w:pStyle w:val="GesAbsatz"/>
        <w:numPr>
          <w:ilvl w:val="0"/>
          <w:numId w:val="39"/>
        </w:numPr>
        <w:tabs>
          <w:tab w:val="clear" w:pos="425"/>
          <w:tab w:val="clear" w:pos="927"/>
        </w:tabs>
        <w:ind w:left="1320"/>
        <w:rPr>
          <w:snapToGrid w:val="0"/>
        </w:rPr>
      </w:pPr>
      <w:r>
        <w:rPr>
          <w:snapToGrid w:val="0"/>
        </w:rPr>
        <w:t>von den betroffenen empfindlichen Personengruppen vorbeugend zu ergreifende Maßna</w:t>
      </w:r>
      <w:r>
        <w:rPr>
          <w:snapToGrid w:val="0"/>
        </w:rPr>
        <w:t>h</w:t>
      </w:r>
      <w:r>
        <w:rPr>
          <w:snapToGrid w:val="0"/>
        </w:rPr>
        <w:t>men.</w:t>
      </w:r>
    </w:p>
    <w:p w:rsidR="00461179" w:rsidRDefault="00461179">
      <w:pPr>
        <w:pStyle w:val="berschrift2"/>
        <w:jc w:val="left"/>
        <w:rPr>
          <w:snapToGrid w:val="0"/>
        </w:rPr>
      </w:pPr>
      <w:r>
        <w:rPr>
          <w:snapToGrid w:val="0"/>
        </w:rPr>
        <w:br w:type="page"/>
      </w:r>
      <w:bookmarkStart w:id="17" w:name="_Toc202752883"/>
      <w:r>
        <w:rPr>
          <w:snapToGrid w:val="0"/>
        </w:rPr>
        <w:lastRenderedPageBreak/>
        <w:t>ANHANG II</w:t>
      </w:r>
      <w:r>
        <w:rPr>
          <w:snapToGrid w:val="0"/>
        </w:rPr>
        <w:br/>
        <w:t>GRENZWERTE FÜR STICKSTOFFDIOXID (NO</w:t>
      </w:r>
      <w:r>
        <w:rPr>
          <w:snapToGrid w:val="0"/>
          <w:vertAlign w:val="subscript"/>
        </w:rPr>
        <w:t>2</w:t>
      </w:r>
      <w:r>
        <w:rPr>
          <w:snapToGrid w:val="0"/>
        </w:rPr>
        <w:t xml:space="preserve"> )UND STICKSTOFFOXIDE (NO</w:t>
      </w:r>
      <w:r>
        <w:rPr>
          <w:snapToGrid w:val="0"/>
          <w:vertAlign w:val="subscript"/>
        </w:rPr>
        <w:t>x</w:t>
      </w:r>
      <w:r>
        <w:rPr>
          <w:snapToGrid w:val="0"/>
        </w:rPr>
        <w:t xml:space="preserve"> )UND ALARMSCHWELLE FÜR STICKSTOFFDIOXID</w:t>
      </w:r>
      <w:bookmarkEnd w:id="17"/>
    </w:p>
    <w:p w:rsidR="00461179" w:rsidRDefault="00461179">
      <w:pPr>
        <w:pStyle w:val="GesAbsatz"/>
      </w:pPr>
    </w:p>
    <w:p w:rsidR="00461179" w:rsidRDefault="00461179">
      <w:pPr>
        <w:pStyle w:val="GesAbsatz"/>
        <w:rPr>
          <w:b/>
          <w:snapToGrid w:val="0"/>
        </w:rPr>
      </w:pPr>
      <w:r>
        <w:rPr>
          <w:b/>
          <w:snapToGrid w:val="0"/>
        </w:rPr>
        <w:t>I.</w:t>
      </w:r>
      <w:r>
        <w:rPr>
          <w:b/>
          <w:snapToGrid w:val="0"/>
          <w:sz w:val="24"/>
        </w:rPr>
        <w:tab/>
      </w:r>
      <w:r>
        <w:rPr>
          <w:b/>
          <w:snapToGrid w:val="0"/>
        </w:rPr>
        <w:t>Grenzwerte für Stickstoffdioxid und Stickstoffoxide</w:t>
      </w:r>
    </w:p>
    <w:p w:rsidR="00461179" w:rsidRDefault="00461179">
      <w:pPr>
        <w:pStyle w:val="GesAbsatz"/>
        <w:ind w:left="426"/>
        <w:rPr>
          <w:snapToGrid w:val="0"/>
        </w:rPr>
      </w:pPr>
      <w:r>
        <w:rPr>
          <w:snapToGrid w:val="0"/>
        </w:rPr>
        <w:t>Grenzwerte werden in µg/m</w:t>
      </w:r>
      <w:r>
        <w:rPr>
          <w:snapToGrid w:val="0"/>
          <w:vertAlign w:val="superscript"/>
        </w:rPr>
        <w:t xml:space="preserve">3 </w:t>
      </w:r>
      <w:r>
        <w:rPr>
          <w:snapToGrid w:val="0"/>
        </w:rPr>
        <w:t>angegeben. Das Volumen bezieht sich auf den Normzustand bei einer Temperatur von 293 K und einem Druck von 101,3 kPa.</w:t>
      </w:r>
    </w:p>
    <w:tbl>
      <w:tblPr>
        <w:tblW w:w="951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528"/>
        <w:gridCol w:w="1955"/>
        <w:gridCol w:w="1955"/>
        <w:gridCol w:w="1955"/>
      </w:tblGrid>
      <w:tr w:rsidR="00461179">
        <w:tc>
          <w:tcPr>
            <w:tcW w:w="2126" w:type="dxa"/>
            <w:tcBorders>
              <w:left w:val="nil"/>
            </w:tcBorders>
          </w:tcPr>
          <w:p w:rsidR="00461179" w:rsidRDefault="00461179">
            <w:pPr>
              <w:pStyle w:val="GesAbsatz"/>
              <w:rPr>
                <w:snapToGrid w:val="0"/>
              </w:rPr>
            </w:pPr>
          </w:p>
        </w:tc>
        <w:tc>
          <w:tcPr>
            <w:tcW w:w="1528" w:type="dxa"/>
          </w:tcPr>
          <w:p w:rsidR="00461179" w:rsidRDefault="00461179">
            <w:pPr>
              <w:pStyle w:val="GesAbsatz"/>
              <w:rPr>
                <w:snapToGrid w:val="0"/>
              </w:rPr>
            </w:pPr>
            <w:r>
              <w:rPr>
                <w:snapToGrid w:val="0"/>
              </w:rPr>
              <w:t>Mittelungszei</w:t>
            </w:r>
            <w:r>
              <w:rPr>
                <w:snapToGrid w:val="0"/>
              </w:rPr>
              <w:t>t</w:t>
            </w:r>
            <w:r>
              <w:rPr>
                <w:snapToGrid w:val="0"/>
              </w:rPr>
              <w:t>raum</w:t>
            </w:r>
          </w:p>
        </w:tc>
        <w:tc>
          <w:tcPr>
            <w:tcW w:w="1955" w:type="dxa"/>
          </w:tcPr>
          <w:p w:rsidR="00461179" w:rsidRDefault="00461179">
            <w:pPr>
              <w:pStyle w:val="GesAbsatz"/>
              <w:rPr>
                <w:snapToGrid w:val="0"/>
              </w:rPr>
            </w:pPr>
            <w:r>
              <w:rPr>
                <w:snapToGrid w:val="0"/>
              </w:rPr>
              <w:t>Grenzwert</w:t>
            </w:r>
          </w:p>
        </w:tc>
        <w:tc>
          <w:tcPr>
            <w:tcW w:w="1955" w:type="dxa"/>
          </w:tcPr>
          <w:p w:rsidR="00461179" w:rsidRDefault="00461179">
            <w:pPr>
              <w:pStyle w:val="GesAbsatz"/>
              <w:rPr>
                <w:snapToGrid w:val="0"/>
              </w:rPr>
            </w:pPr>
            <w:r>
              <w:rPr>
                <w:snapToGrid w:val="0"/>
              </w:rPr>
              <w:t>Toleranzmarge</w:t>
            </w:r>
          </w:p>
        </w:tc>
        <w:tc>
          <w:tcPr>
            <w:tcW w:w="1955" w:type="dxa"/>
            <w:tcBorders>
              <w:right w:val="nil"/>
            </w:tcBorders>
          </w:tcPr>
          <w:p w:rsidR="00461179" w:rsidRDefault="00461179">
            <w:pPr>
              <w:pStyle w:val="GesAbsatz"/>
              <w:jc w:val="left"/>
              <w:rPr>
                <w:snapToGrid w:val="0"/>
              </w:rPr>
            </w:pPr>
            <w:r>
              <w:rPr>
                <w:snapToGrid w:val="0"/>
              </w:rPr>
              <w:t>Zeitpunkt, bis zu dem der Grenzwert zu erreichen ist</w:t>
            </w:r>
          </w:p>
        </w:tc>
      </w:tr>
      <w:tr w:rsidR="00461179">
        <w:trPr>
          <w:trHeight w:val="1579"/>
        </w:trPr>
        <w:tc>
          <w:tcPr>
            <w:tcW w:w="2126" w:type="dxa"/>
            <w:tcBorders>
              <w:left w:val="nil"/>
            </w:tcBorders>
          </w:tcPr>
          <w:p w:rsidR="00461179" w:rsidRDefault="00461179">
            <w:pPr>
              <w:pStyle w:val="GesAbsatz"/>
              <w:numPr>
                <w:ilvl w:val="0"/>
                <w:numId w:val="37"/>
              </w:numPr>
              <w:tabs>
                <w:tab w:val="clear" w:pos="425"/>
                <w:tab w:val="clear" w:pos="720"/>
              </w:tabs>
              <w:ind w:left="224" w:hanging="224"/>
              <w:jc w:val="left"/>
              <w:rPr>
                <w:snapToGrid w:val="0"/>
              </w:rPr>
            </w:pPr>
            <w:r>
              <w:rPr>
                <w:snapToGrid w:val="0"/>
              </w:rPr>
              <w:t>Stunden Grenzwert für den Schutz der mensch</w:t>
            </w:r>
            <w:r>
              <w:rPr>
                <w:snapToGrid w:val="0"/>
              </w:rPr>
              <w:softHyphen/>
              <w:t>lichen G</w:t>
            </w:r>
            <w:r>
              <w:rPr>
                <w:snapToGrid w:val="0"/>
              </w:rPr>
              <w:t>e</w:t>
            </w:r>
            <w:r>
              <w:rPr>
                <w:snapToGrid w:val="0"/>
              </w:rPr>
              <w:t>sund</w:t>
            </w:r>
            <w:r>
              <w:rPr>
                <w:snapToGrid w:val="0"/>
              </w:rPr>
              <w:softHyphen/>
              <w:t>heit</w:t>
            </w:r>
          </w:p>
        </w:tc>
        <w:tc>
          <w:tcPr>
            <w:tcW w:w="1528" w:type="dxa"/>
          </w:tcPr>
          <w:p w:rsidR="00461179" w:rsidRDefault="00461179">
            <w:pPr>
              <w:pStyle w:val="GesAbsatz"/>
              <w:rPr>
                <w:snapToGrid w:val="0"/>
              </w:rPr>
            </w:pPr>
            <w:r>
              <w:rPr>
                <w:snapToGrid w:val="0"/>
              </w:rPr>
              <w:t>1 Stunde</w:t>
            </w:r>
          </w:p>
        </w:tc>
        <w:tc>
          <w:tcPr>
            <w:tcW w:w="1955" w:type="dxa"/>
          </w:tcPr>
          <w:p w:rsidR="00461179" w:rsidRDefault="00461179">
            <w:pPr>
              <w:pStyle w:val="GesAbsatz"/>
              <w:jc w:val="left"/>
              <w:rPr>
                <w:snapToGrid w:val="0"/>
              </w:rPr>
            </w:pPr>
            <w:r>
              <w:rPr>
                <w:snapToGrid w:val="0"/>
              </w:rPr>
              <w:t>200 µg/m</w:t>
            </w:r>
            <w:r>
              <w:rPr>
                <w:snapToGrid w:val="0"/>
                <w:vertAlign w:val="superscript"/>
              </w:rPr>
              <w:t xml:space="preserve">3 </w:t>
            </w:r>
            <w:r>
              <w:rPr>
                <w:snapToGrid w:val="0"/>
              </w:rPr>
              <w:t>NO</w:t>
            </w:r>
            <w:r>
              <w:rPr>
                <w:snapToGrid w:val="0"/>
                <w:vertAlign w:val="subscript"/>
              </w:rPr>
              <w:t>2</w:t>
            </w:r>
            <w:r>
              <w:rPr>
                <w:snapToGrid w:val="0"/>
              </w:rPr>
              <w:t xml:space="preserve"> dü</w:t>
            </w:r>
            <w:r>
              <w:rPr>
                <w:snapToGrid w:val="0"/>
              </w:rPr>
              <w:t>r</w:t>
            </w:r>
            <w:r>
              <w:rPr>
                <w:snapToGrid w:val="0"/>
              </w:rPr>
              <w:t>fen nicht öfter als 18mal im Kalende</w:t>
            </w:r>
            <w:r>
              <w:rPr>
                <w:snapToGrid w:val="0"/>
              </w:rPr>
              <w:t>r</w:t>
            </w:r>
            <w:r>
              <w:rPr>
                <w:snapToGrid w:val="0"/>
              </w:rPr>
              <w:t>jahr überschritten werden</w:t>
            </w:r>
          </w:p>
        </w:tc>
        <w:tc>
          <w:tcPr>
            <w:tcW w:w="1955" w:type="dxa"/>
          </w:tcPr>
          <w:p w:rsidR="00461179" w:rsidRDefault="00461179">
            <w:pPr>
              <w:pStyle w:val="GesAbsatz"/>
              <w:rPr>
                <w:snapToGrid w:val="0"/>
              </w:rPr>
            </w:pPr>
            <w:r>
              <w:rPr>
                <w:snapToGrid w:val="0"/>
              </w:rPr>
              <w:t>50 % bei Inkrafttr</w:t>
            </w:r>
            <w:r>
              <w:rPr>
                <w:snapToGrid w:val="0"/>
              </w:rPr>
              <w:t>e</w:t>
            </w:r>
            <w:r>
              <w:rPr>
                <w:snapToGrid w:val="0"/>
              </w:rPr>
              <w:t xml:space="preserve">ten dieser Richtlinie, lineare Reduzierung am </w:t>
            </w:r>
            <w:smartTag w:uri="urn:schemas-microsoft-com:office:smarttags" w:element="date">
              <w:smartTagPr>
                <w:attr w:name="ls" w:val="trans"/>
                <w:attr w:name="Month" w:val="1"/>
                <w:attr w:name="Day" w:val="1"/>
                <w:attr w:name="Year" w:val="2001"/>
              </w:smartTagPr>
              <w:r>
                <w:rPr>
                  <w:snapToGrid w:val="0"/>
                </w:rPr>
                <w:t>1. Januar 2001</w:t>
              </w:r>
            </w:smartTag>
            <w:r>
              <w:rPr>
                <w:snapToGrid w:val="0"/>
              </w:rPr>
              <w:t xml:space="preserve"> und alle 12 Monate danach bis auf 0 % am </w:t>
            </w:r>
            <w:smartTag w:uri="urn:schemas-microsoft-com:office:smarttags" w:element="date">
              <w:smartTagPr>
                <w:attr w:name="ls" w:val="trans"/>
                <w:attr w:name="Month" w:val="1"/>
                <w:attr w:name="Day" w:val="1"/>
                <w:attr w:name="Year" w:val="2010"/>
              </w:smartTagPr>
              <w:r>
                <w:rPr>
                  <w:snapToGrid w:val="0"/>
                </w:rPr>
                <w:t>1. Januar 2010</w:t>
              </w:r>
            </w:smartTag>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1"/>
                <w:attr w:name="Day" w:val="1"/>
                <w:attr w:name="Year" w:val="2010"/>
              </w:smartTagPr>
              <w:r>
                <w:rPr>
                  <w:snapToGrid w:val="0"/>
                </w:rPr>
                <w:t>1. Januar 2010</w:t>
              </w:r>
            </w:smartTag>
          </w:p>
        </w:tc>
      </w:tr>
      <w:tr w:rsidR="00461179">
        <w:tc>
          <w:tcPr>
            <w:tcW w:w="2126" w:type="dxa"/>
            <w:tcBorders>
              <w:left w:val="nil"/>
            </w:tcBorders>
          </w:tcPr>
          <w:p w:rsidR="00461179" w:rsidRDefault="00461179">
            <w:pPr>
              <w:pStyle w:val="GesAbsatz"/>
              <w:numPr>
                <w:ilvl w:val="0"/>
                <w:numId w:val="37"/>
              </w:numPr>
              <w:tabs>
                <w:tab w:val="clear" w:pos="425"/>
                <w:tab w:val="clear" w:pos="720"/>
              </w:tabs>
              <w:ind w:left="224" w:hanging="240"/>
              <w:jc w:val="left"/>
              <w:rPr>
                <w:snapToGrid w:val="0"/>
              </w:rPr>
            </w:pPr>
            <w:r>
              <w:rPr>
                <w:snapToGrid w:val="0"/>
              </w:rPr>
              <w:t>Jahresgrenzwert für den Schutz der menschlichen G</w:t>
            </w:r>
            <w:r>
              <w:rPr>
                <w:snapToGrid w:val="0"/>
              </w:rPr>
              <w:t>e</w:t>
            </w:r>
            <w:r>
              <w:rPr>
                <w:snapToGrid w:val="0"/>
              </w:rPr>
              <w:t>sundheit</w:t>
            </w:r>
          </w:p>
        </w:tc>
        <w:tc>
          <w:tcPr>
            <w:tcW w:w="1528" w:type="dxa"/>
          </w:tcPr>
          <w:p w:rsidR="00461179" w:rsidRDefault="00461179">
            <w:pPr>
              <w:pStyle w:val="GesAbsatz"/>
              <w:rPr>
                <w:snapToGrid w:val="0"/>
              </w:rPr>
            </w:pPr>
            <w:r>
              <w:rPr>
                <w:snapToGrid w:val="0"/>
              </w:rPr>
              <w:t>Kalenderjahr</w:t>
            </w:r>
          </w:p>
        </w:tc>
        <w:tc>
          <w:tcPr>
            <w:tcW w:w="1955" w:type="dxa"/>
          </w:tcPr>
          <w:p w:rsidR="00461179" w:rsidRDefault="00461179">
            <w:pPr>
              <w:pStyle w:val="GesAbsatz"/>
              <w:rPr>
                <w:snapToGrid w:val="0"/>
              </w:rPr>
            </w:pPr>
            <w:r>
              <w:rPr>
                <w:snapToGrid w:val="0"/>
              </w:rPr>
              <w:t>40 µg/m</w:t>
            </w:r>
            <w:r>
              <w:rPr>
                <w:snapToGrid w:val="0"/>
                <w:vertAlign w:val="superscript"/>
              </w:rPr>
              <w:t xml:space="preserve">3 </w:t>
            </w:r>
            <w:r>
              <w:rPr>
                <w:snapToGrid w:val="0"/>
              </w:rPr>
              <w:t>NO</w:t>
            </w:r>
            <w:r>
              <w:rPr>
                <w:snapToGrid w:val="0"/>
                <w:vertAlign w:val="subscript"/>
              </w:rPr>
              <w:t>2</w:t>
            </w:r>
          </w:p>
        </w:tc>
        <w:tc>
          <w:tcPr>
            <w:tcW w:w="1955" w:type="dxa"/>
          </w:tcPr>
          <w:p w:rsidR="00461179" w:rsidRDefault="00461179">
            <w:pPr>
              <w:pStyle w:val="GesAbsatz"/>
              <w:rPr>
                <w:snapToGrid w:val="0"/>
              </w:rPr>
            </w:pPr>
            <w:r>
              <w:rPr>
                <w:snapToGrid w:val="0"/>
              </w:rPr>
              <w:t>50 % bei Inkrafttr</w:t>
            </w:r>
            <w:r>
              <w:rPr>
                <w:snapToGrid w:val="0"/>
              </w:rPr>
              <w:t>e</w:t>
            </w:r>
            <w:r>
              <w:rPr>
                <w:snapToGrid w:val="0"/>
              </w:rPr>
              <w:t xml:space="preserve">ten dieser Richtlinie, lineare Reduzierung am </w:t>
            </w:r>
            <w:smartTag w:uri="urn:schemas-microsoft-com:office:smarttags" w:element="date">
              <w:smartTagPr>
                <w:attr w:name="ls" w:val="trans"/>
                <w:attr w:name="Month" w:val="1"/>
                <w:attr w:name="Day" w:val="1"/>
                <w:attr w:name="Year" w:val="2001"/>
              </w:smartTagPr>
              <w:r>
                <w:rPr>
                  <w:snapToGrid w:val="0"/>
                </w:rPr>
                <w:t>1. Januar 2001</w:t>
              </w:r>
            </w:smartTag>
            <w:r>
              <w:rPr>
                <w:snapToGrid w:val="0"/>
              </w:rPr>
              <w:t xml:space="preserve"> und alle 12 Monate danach bis auf 0 % am </w:t>
            </w:r>
            <w:smartTag w:uri="urn:schemas-microsoft-com:office:smarttags" w:element="date">
              <w:smartTagPr>
                <w:attr w:name="ls" w:val="trans"/>
                <w:attr w:name="Month" w:val="1"/>
                <w:attr w:name="Day" w:val="1"/>
                <w:attr w:name="Year" w:val="2010"/>
              </w:smartTagPr>
              <w:r>
                <w:rPr>
                  <w:snapToGrid w:val="0"/>
                </w:rPr>
                <w:t>1. Januar 2010</w:t>
              </w:r>
            </w:smartTag>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1"/>
                <w:attr w:name="Day" w:val="1"/>
                <w:attr w:name="Year" w:val="2010"/>
              </w:smartTagPr>
              <w:r>
                <w:rPr>
                  <w:snapToGrid w:val="0"/>
                </w:rPr>
                <w:t>1. Januar 2010</w:t>
              </w:r>
            </w:smartTag>
          </w:p>
        </w:tc>
      </w:tr>
      <w:tr w:rsidR="00461179">
        <w:trPr>
          <w:trHeight w:val="896"/>
        </w:trPr>
        <w:tc>
          <w:tcPr>
            <w:tcW w:w="2126" w:type="dxa"/>
            <w:tcBorders>
              <w:left w:val="nil"/>
            </w:tcBorders>
          </w:tcPr>
          <w:p w:rsidR="00461179" w:rsidRDefault="00461179">
            <w:pPr>
              <w:pStyle w:val="GesAbsatz"/>
              <w:numPr>
                <w:ilvl w:val="0"/>
                <w:numId w:val="37"/>
              </w:numPr>
              <w:tabs>
                <w:tab w:val="clear" w:pos="425"/>
                <w:tab w:val="clear" w:pos="720"/>
              </w:tabs>
              <w:ind w:left="224" w:hanging="240"/>
              <w:jc w:val="left"/>
              <w:rPr>
                <w:snapToGrid w:val="0"/>
              </w:rPr>
            </w:pPr>
            <w:r>
              <w:rPr>
                <w:snapToGrid w:val="0"/>
              </w:rPr>
              <w:t>Jahresgrenzwert für den Schutz der Vegetation</w:t>
            </w:r>
          </w:p>
        </w:tc>
        <w:tc>
          <w:tcPr>
            <w:tcW w:w="1528" w:type="dxa"/>
          </w:tcPr>
          <w:p w:rsidR="00461179" w:rsidRDefault="00461179">
            <w:pPr>
              <w:pStyle w:val="GesAbsatz"/>
              <w:rPr>
                <w:snapToGrid w:val="0"/>
              </w:rPr>
            </w:pPr>
            <w:r>
              <w:rPr>
                <w:snapToGrid w:val="0"/>
              </w:rPr>
              <w:t>Kalenderjahr</w:t>
            </w:r>
          </w:p>
        </w:tc>
        <w:tc>
          <w:tcPr>
            <w:tcW w:w="1955" w:type="dxa"/>
          </w:tcPr>
          <w:p w:rsidR="00461179" w:rsidRDefault="00461179">
            <w:pPr>
              <w:pStyle w:val="GesAbsatz"/>
              <w:rPr>
                <w:snapToGrid w:val="0"/>
                <w:lang w:val="en-GB"/>
              </w:rPr>
            </w:pPr>
            <w:r>
              <w:rPr>
                <w:snapToGrid w:val="0"/>
                <w:lang w:val="en-GB"/>
              </w:rPr>
              <w:t>30 µg/m</w:t>
            </w:r>
            <w:r>
              <w:rPr>
                <w:snapToGrid w:val="0"/>
                <w:vertAlign w:val="superscript"/>
                <w:lang w:val="en-GB"/>
              </w:rPr>
              <w:t xml:space="preserve">3 </w:t>
            </w:r>
            <w:r>
              <w:rPr>
                <w:snapToGrid w:val="0"/>
                <w:lang w:val="en-GB"/>
              </w:rPr>
              <w:t>NO</w:t>
            </w:r>
            <w:r>
              <w:rPr>
                <w:snapToGrid w:val="0"/>
                <w:vertAlign w:val="subscript"/>
                <w:lang w:val="en-GB"/>
              </w:rPr>
              <w:t>x</w:t>
            </w:r>
          </w:p>
        </w:tc>
        <w:tc>
          <w:tcPr>
            <w:tcW w:w="1955" w:type="dxa"/>
          </w:tcPr>
          <w:p w:rsidR="00461179" w:rsidRDefault="00461179">
            <w:pPr>
              <w:pStyle w:val="GesAbsatz"/>
              <w:rPr>
                <w:snapToGrid w:val="0"/>
              </w:rPr>
            </w:pPr>
            <w:r>
              <w:rPr>
                <w:snapToGrid w:val="0"/>
              </w:rPr>
              <w:t>Keine</w:t>
            </w:r>
          </w:p>
        </w:tc>
        <w:tc>
          <w:tcPr>
            <w:tcW w:w="1955" w:type="dxa"/>
            <w:tcBorders>
              <w:right w:val="nil"/>
            </w:tcBorders>
          </w:tcPr>
          <w:p w:rsidR="00461179" w:rsidRDefault="00461179">
            <w:pPr>
              <w:pStyle w:val="GesAbsatz"/>
              <w:rPr>
                <w:snapToGrid w:val="0"/>
              </w:rPr>
            </w:pPr>
            <w:smartTag w:uri="urn:schemas-microsoft-com:office:smarttags" w:element="date">
              <w:smartTagPr>
                <w:attr w:name="ls" w:val="trans"/>
                <w:attr w:name="Month" w:val="7"/>
                <w:attr w:name="Day" w:val="19"/>
                <w:attr w:name="Year" w:val="2001"/>
              </w:smartTagPr>
              <w:r>
                <w:rPr>
                  <w:snapToGrid w:val="0"/>
                </w:rPr>
                <w:t>19. Juli 2001</w:t>
              </w:r>
            </w:smartTag>
          </w:p>
        </w:tc>
      </w:tr>
    </w:tbl>
    <w:p w:rsidR="00461179" w:rsidRDefault="00461179">
      <w:pPr>
        <w:pStyle w:val="GesAbsatz"/>
      </w:pPr>
    </w:p>
    <w:p w:rsidR="00461179" w:rsidRDefault="00461179">
      <w:pPr>
        <w:pStyle w:val="GesAbsatz"/>
        <w:rPr>
          <w:b/>
          <w:snapToGrid w:val="0"/>
        </w:rPr>
      </w:pPr>
      <w:r>
        <w:rPr>
          <w:b/>
          <w:snapToGrid w:val="0"/>
        </w:rPr>
        <w:t>II.</w:t>
      </w:r>
      <w:r>
        <w:rPr>
          <w:snapToGrid w:val="0"/>
        </w:rPr>
        <w:tab/>
      </w:r>
      <w:r>
        <w:rPr>
          <w:b/>
          <w:snapToGrid w:val="0"/>
        </w:rPr>
        <w:t>Alarmschwelle für Stickstoffdioxid</w:t>
      </w:r>
    </w:p>
    <w:p w:rsidR="00461179" w:rsidRDefault="00461179">
      <w:pPr>
        <w:pStyle w:val="GesAbsatz"/>
        <w:ind w:left="426"/>
        <w:rPr>
          <w:snapToGrid w:val="0"/>
        </w:rPr>
      </w:pPr>
      <w:r>
        <w:rPr>
          <w:snapToGrid w:val="0"/>
        </w:rPr>
        <w:t>400 µg/m</w:t>
      </w:r>
      <w:r>
        <w:rPr>
          <w:snapToGrid w:val="0"/>
          <w:vertAlign w:val="superscript"/>
        </w:rPr>
        <w:t>3</w:t>
      </w:r>
      <w:r>
        <w:rPr>
          <w:snapToGrid w:val="0"/>
        </w:rPr>
        <w:t>, drei aufeinanderfolgende Stunden lang an Orten gemessen, die für die Luftqualität in einem Bereich von mindestens 100 km</w:t>
      </w:r>
      <w:r>
        <w:rPr>
          <w:snapToGrid w:val="0"/>
          <w:vertAlign w:val="superscript"/>
        </w:rPr>
        <w:t>2</w:t>
      </w:r>
      <w:r>
        <w:rPr>
          <w:snapToGrid w:val="0"/>
        </w:rPr>
        <w:t>, oder im gesamten Gebiet oder Ballungsraum, je nachdem welche Fläche kleiner ist, repräsentativ sind.</w:t>
      </w:r>
    </w:p>
    <w:p w:rsidR="00461179" w:rsidRDefault="00461179">
      <w:pPr>
        <w:pStyle w:val="GesAbsatz"/>
        <w:rPr>
          <w:b/>
          <w:snapToGrid w:val="0"/>
        </w:rPr>
      </w:pPr>
      <w:r>
        <w:rPr>
          <w:b/>
          <w:snapToGrid w:val="0"/>
        </w:rPr>
        <w:t>III.</w:t>
      </w:r>
      <w:r>
        <w:rPr>
          <w:snapToGrid w:val="0"/>
        </w:rPr>
        <w:tab/>
      </w:r>
      <w:r>
        <w:rPr>
          <w:b/>
          <w:snapToGrid w:val="0"/>
        </w:rPr>
        <w:t>Mindestinformation der Öffentlichkeit bei Überschreiten der Alarmschwelle für Stickstoffdioxid</w:t>
      </w:r>
    </w:p>
    <w:p w:rsidR="00461179" w:rsidRDefault="00461179">
      <w:pPr>
        <w:pStyle w:val="GesAbsatz"/>
        <w:ind w:left="426"/>
        <w:rPr>
          <w:snapToGrid w:val="0"/>
        </w:rPr>
      </w:pPr>
      <w:r>
        <w:rPr>
          <w:snapToGrid w:val="0"/>
        </w:rPr>
        <w:t>Die Informationen, die der Öffentlichkeit zugänglich zu machen sind, sollten mindestens folgende Pun</w:t>
      </w:r>
      <w:r>
        <w:rPr>
          <w:snapToGrid w:val="0"/>
        </w:rPr>
        <w:t>k</w:t>
      </w:r>
      <w:r>
        <w:rPr>
          <w:snapToGrid w:val="0"/>
        </w:rPr>
        <w:t>te umfassen:</w:t>
      </w:r>
    </w:p>
    <w:p w:rsidR="00461179" w:rsidRDefault="00461179">
      <w:pPr>
        <w:pStyle w:val="GesAbsatz"/>
        <w:numPr>
          <w:ilvl w:val="0"/>
          <w:numId w:val="40"/>
        </w:numPr>
        <w:rPr>
          <w:snapToGrid w:val="0"/>
        </w:rPr>
      </w:pPr>
      <w:r>
        <w:rPr>
          <w:snapToGrid w:val="0"/>
        </w:rPr>
        <w:t>Datum, Uhrzeit und Ort der Überschreitung sowie die Gründe für diese Überschreitung, sofern b</w:t>
      </w:r>
      <w:r>
        <w:rPr>
          <w:snapToGrid w:val="0"/>
        </w:rPr>
        <w:t>e</w:t>
      </w:r>
      <w:r>
        <w:rPr>
          <w:snapToGrid w:val="0"/>
        </w:rPr>
        <w:t>kannt;</w:t>
      </w:r>
    </w:p>
    <w:p w:rsidR="00461179" w:rsidRDefault="00461179">
      <w:pPr>
        <w:pStyle w:val="GesAbsatz"/>
        <w:numPr>
          <w:ilvl w:val="0"/>
          <w:numId w:val="40"/>
        </w:numPr>
        <w:rPr>
          <w:snapToGrid w:val="0"/>
        </w:rPr>
      </w:pPr>
      <w:r>
        <w:rPr>
          <w:snapToGrid w:val="0"/>
        </w:rPr>
        <w:t>Vorhersagen:</w:t>
      </w:r>
    </w:p>
    <w:p w:rsidR="00461179" w:rsidRDefault="00461179">
      <w:pPr>
        <w:pStyle w:val="GesAbsatz"/>
        <w:numPr>
          <w:ilvl w:val="0"/>
          <w:numId w:val="40"/>
        </w:numPr>
        <w:tabs>
          <w:tab w:val="clear" w:pos="425"/>
          <w:tab w:val="clear" w:pos="786"/>
        </w:tabs>
        <w:ind w:left="1080"/>
        <w:rPr>
          <w:snapToGrid w:val="0"/>
        </w:rPr>
      </w:pPr>
      <w:r>
        <w:rPr>
          <w:snapToGrid w:val="0"/>
        </w:rPr>
        <w:t>Änderungen der Konzentration (Verbesserung, Stabilisierung oder Verschlechterung) sowie die Gründe für diese Änderungen;</w:t>
      </w:r>
    </w:p>
    <w:p w:rsidR="00461179" w:rsidRDefault="00461179">
      <w:pPr>
        <w:pStyle w:val="GesAbsatz"/>
        <w:numPr>
          <w:ilvl w:val="0"/>
          <w:numId w:val="40"/>
        </w:numPr>
        <w:tabs>
          <w:tab w:val="clear" w:pos="425"/>
          <w:tab w:val="clear" w:pos="786"/>
        </w:tabs>
        <w:ind w:left="1080"/>
        <w:rPr>
          <w:snapToGrid w:val="0"/>
        </w:rPr>
      </w:pPr>
      <w:r>
        <w:rPr>
          <w:snapToGrid w:val="0"/>
        </w:rPr>
        <w:t>betroffener geographischer Bereich;</w:t>
      </w:r>
    </w:p>
    <w:p w:rsidR="00461179" w:rsidRDefault="00461179">
      <w:pPr>
        <w:pStyle w:val="GesAbsatz"/>
        <w:numPr>
          <w:ilvl w:val="0"/>
          <w:numId w:val="40"/>
        </w:numPr>
        <w:tabs>
          <w:tab w:val="clear" w:pos="425"/>
          <w:tab w:val="clear" w:pos="786"/>
        </w:tabs>
        <w:ind w:left="1080"/>
        <w:rPr>
          <w:snapToGrid w:val="0"/>
        </w:rPr>
      </w:pPr>
      <w:r>
        <w:rPr>
          <w:snapToGrid w:val="0"/>
        </w:rPr>
        <w:t>Dauer der Überschreitung;</w:t>
      </w:r>
    </w:p>
    <w:p w:rsidR="00461179" w:rsidRDefault="00461179">
      <w:pPr>
        <w:pStyle w:val="GesAbsatz"/>
        <w:numPr>
          <w:ilvl w:val="0"/>
          <w:numId w:val="40"/>
        </w:numPr>
        <w:tabs>
          <w:tab w:val="clear" w:pos="425"/>
          <w:tab w:val="clear" w:pos="786"/>
        </w:tabs>
        <w:ind w:left="840" w:hanging="840"/>
        <w:rPr>
          <w:snapToGrid w:val="0"/>
        </w:rPr>
      </w:pPr>
      <w:r>
        <w:rPr>
          <w:snapToGrid w:val="0"/>
        </w:rPr>
        <w:t>gegen die Überschreitung potentiell empfindliche Personengruppen;</w:t>
      </w:r>
    </w:p>
    <w:p w:rsidR="00461179" w:rsidRDefault="00461179">
      <w:pPr>
        <w:pStyle w:val="GesAbsatz"/>
        <w:numPr>
          <w:ilvl w:val="0"/>
          <w:numId w:val="40"/>
        </w:numPr>
        <w:tabs>
          <w:tab w:val="clear" w:pos="425"/>
          <w:tab w:val="clear" w:pos="786"/>
        </w:tabs>
        <w:ind w:left="840" w:hanging="840"/>
        <w:rPr>
          <w:snapToGrid w:val="0"/>
        </w:rPr>
      </w:pPr>
      <w:r>
        <w:rPr>
          <w:snapToGrid w:val="0"/>
        </w:rPr>
        <w:t>von den betroffenen empfindlichen Personengruppen vorbeugend zu ergreifende Maßnahmen.</w:t>
      </w:r>
    </w:p>
    <w:p w:rsidR="00461179" w:rsidRDefault="00461179">
      <w:pPr>
        <w:pStyle w:val="berschrift2"/>
        <w:jc w:val="left"/>
        <w:rPr>
          <w:snapToGrid w:val="0"/>
        </w:rPr>
      </w:pPr>
      <w:r>
        <w:rPr>
          <w:snapToGrid w:val="0"/>
        </w:rPr>
        <w:br w:type="page"/>
      </w:r>
      <w:bookmarkStart w:id="18" w:name="_Toc202752884"/>
      <w:r>
        <w:rPr>
          <w:snapToGrid w:val="0"/>
        </w:rPr>
        <w:lastRenderedPageBreak/>
        <w:t>ANHANG III</w:t>
      </w:r>
      <w:r>
        <w:rPr>
          <w:snapToGrid w:val="0"/>
        </w:rPr>
        <w:br/>
        <w:t>GRENZWERTE FÜR PARTIKEL (PM</w:t>
      </w:r>
      <w:r>
        <w:rPr>
          <w:snapToGrid w:val="0"/>
          <w:sz w:val="10"/>
        </w:rPr>
        <w:t>10</w:t>
      </w:r>
      <w:r>
        <w:rPr>
          <w:snapToGrid w:val="0"/>
        </w:rPr>
        <w:t>)</w:t>
      </w:r>
      <w:bookmarkEnd w:id="18"/>
    </w:p>
    <w:p w:rsidR="00461179" w:rsidRDefault="0046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55"/>
        <w:gridCol w:w="1955"/>
        <w:gridCol w:w="1955"/>
        <w:gridCol w:w="1955"/>
      </w:tblGrid>
      <w:tr w:rsidR="00461179">
        <w:tc>
          <w:tcPr>
            <w:tcW w:w="2480" w:type="dxa"/>
            <w:tcBorders>
              <w:left w:val="nil"/>
              <w:bottom w:val="nil"/>
            </w:tcBorders>
          </w:tcPr>
          <w:p w:rsidR="00461179" w:rsidRDefault="00461179">
            <w:pPr>
              <w:pStyle w:val="GesAbsatz"/>
              <w:jc w:val="center"/>
            </w:pPr>
          </w:p>
        </w:tc>
        <w:tc>
          <w:tcPr>
            <w:tcW w:w="1955" w:type="dxa"/>
            <w:tcBorders>
              <w:bottom w:val="nil"/>
            </w:tcBorders>
          </w:tcPr>
          <w:p w:rsidR="00461179" w:rsidRDefault="00461179">
            <w:pPr>
              <w:pStyle w:val="GesAbsatz"/>
              <w:jc w:val="center"/>
            </w:pPr>
            <w:r>
              <w:t>Mittelungszeitraum</w:t>
            </w:r>
          </w:p>
        </w:tc>
        <w:tc>
          <w:tcPr>
            <w:tcW w:w="1955" w:type="dxa"/>
            <w:tcBorders>
              <w:bottom w:val="nil"/>
            </w:tcBorders>
          </w:tcPr>
          <w:p w:rsidR="00461179" w:rsidRDefault="00461179">
            <w:pPr>
              <w:pStyle w:val="GesAbsatz"/>
              <w:jc w:val="center"/>
            </w:pPr>
            <w:r>
              <w:t>Grenzwert</w:t>
            </w:r>
          </w:p>
        </w:tc>
        <w:tc>
          <w:tcPr>
            <w:tcW w:w="1955" w:type="dxa"/>
            <w:tcBorders>
              <w:bottom w:val="nil"/>
            </w:tcBorders>
          </w:tcPr>
          <w:p w:rsidR="00461179" w:rsidRDefault="00461179">
            <w:pPr>
              <w:pStyle w:val="GesAbsatz"/>
              <w:jc w:val="center"/>
            </w:pPr>
            <w:r>
              <w:t>Toleranzmarge</w:t>
            </w:r>
          </w:p>
        </w:tc>
        <w:tc>
          <w:tcPr>
            <w:tcW w:w="1955" w:type="dxa"/>
            <w:tcBorders>
              <w:bottom w:val="nil"/>
              <w:right w:val="nil"/>
            </w:tcBorders>
          </w:tcPr>
          <w:p w:rsidR="00461179" w:rsidRDefault="00461179">
            <w:pPr>
              <w:pStyle w:val="GesAbsatz"/>
              <w:jc w:val="center"/>
            </w:pPr>
            <w:r>
              <w:t>Zeitpunkt, bis zu dem der Grenzwert zu erreichen ist</w:t>
            </w:r>
          </w:p>
        </w:tc>
      </w:tr>
      <w:tr w:rsidR="00461179">
        <w:trPr>
          <w:cantSplit/>
        </w:trPr>
        <w:tc>
          <w:tcPr>
            <w:tcW w:w="10300" w:type="dxa"/>
            <w:gridSpan w:val="5"/>
            <w:tcBorders>
              <w:left w:val="nil"/>
              <w:right w:val="nil"/>
            </w:tcBorders>
          </w:tcPr>
          <w:p w:rsidR="00461179" w:rsidRDefault="00461179">
            <w:pPr>
              <w:pStyle w:val="GesAbsatz"/>
              <w:tabs>
                <w:tab w:val="clear" w:pos="425"/>
              </w:tabs>
            </w:pPr>
            <w:r>
              <w:t>Stufe 1</w:t>
            </w:r>
          </w:p>
        </w:tc>
      </w:tr>
      <w:tr w:rsidR="00461179">
        <w:tc>
          <w:tcPr>
            <w:tcW w:w="2480" w:type="dxa"/>
            <w:tcBorders>
              <w:left w:val="nil"/>
            </w:tcBorders>
          </w:tcPr>
          <w:p w:rsidR="00461179" w:rsidRDefault="00461179">
            <w:pPr>
              <w:pStyle w:val="GesAbsatz"/>
              <w:numPr>
                <w:ilvl w:val="0"/>
                <w:numId w:val="19"/>
              </w:numPr>
              <w:tabs>
                <w:tab w:val="clear" w:pos="360"/>
                <w:tab w:val="clear" w:pos="425"/>
              </w:tabs>
              <w:ind w:left="284" w:hanging="284"/>
              <w:jc w:val="left"/>
            </w:pPr>
            <w:r>
              <w:rPr>
                <w:snapToGrid w:val="0"/>
              </w:rPr>
              <w:t>24-Stunden Grenzwert für den Schutz der menschlichen G</w:t>
            </w:r>
            <w:r>
              <w:rPr>
                <w:snapToGrid w:val="0"/>
              </w:rPr>
              <w:t>e</w:t>
            </w:r>
            <w:r>
              <w:rPr>
                <w:snapToGrid w:val="0"/>
              </w:rPr>
              <w:t>sundheit</w:t>
            </w:r>
          </w:p>
        </w:tc>
        <w:tc>
          <w:tcPr>
            <w:tcW w:w="1955" w:type="dxa"/>
          </w:tcPr>
          <w:p w:rsidR="00461179" w:rsidRDefault="00461179">
            <w:pPr>
              <w:pStyle w:val="GesAbsatz"/>
            </w:pPr>
            <w:r>
              <w:t>24 Stunden</w:t>
            </w:r>
          </w:p>
        </w:tc>
        <w:tc>
          <w:tcPr>
            <w:tcW w:w="1955" w:type="dxa"/>
          </w:tcPr>
          <w:p w:rsidR="00461179" w:rsidRDefault="00461179">
            <w:pPr>
              <w:pStyle w:val="GesAbsatz"/>
            </w:pPr>
            <w:r>
              <w:rPr>
                <w:snapToGrid w:val="0"/>
              </w:rPr>
              <w:t>50 µg/m</w:t>
            </w:r>
            <w:r>
              <w:rPr>
                <w:snapToGrid w:val="0"/>
                <w:vertAlign w:val="superscript"/>
              </w:rPr>
              <w:t>3</w:t>
            </w:r>
            <w:r>
              <w:rPr>
                <w:snapToGrid w:val="0"/>
              </w:rPr>
              <w:t xml:space="preserve"> PM</w:t>
            </w:r>
            <w:r>
              <w:rPr>
                <w:snapToGrid w:val="0"/>
                <w:vertAlign w:val="subscript"/>
              </w:rPr>
              <w:t>10</w:t>
            </w:r>
            <w:r>
              <w:rPr>
                <w:snapToGrid w:val="0"/>
              </w:rPr>
              <w:t xml:space="preserve"> dü</w:t>
            </w:r>
            <w:r>
              <w:rPr>
                <w:snapToGrid w:val="0"/>
              </w:rPr>
              <w:t>r</w:t>
            </w:r>
            <w:r>
              <w:rPr>
                <w:snapToGrid w:val="0"/>
              </w:rPr>
              <w:t>fen nicht öfter als 35mal im Jahr übe</w:t>
            </w:r>
            <w:r>
              <w:rPr>
                <w:snapToGrid w:val="0"/>
              </w:rPr>
              <w:t>r</w:t>
            </w:r>
            <w:r>
              <w:rPr>
                <w:snapToGrid w:val="0"/>
              </w:rPr>
              <w:t>schritten werden</w:t>
            </w:r>
          </w:p>
        </w:tc>
        <w:tc>
          <w:tcPr>
            <w:tcW w:w="1955" w:type="dxa"/>
          </w:tcPr>
          <w:p w:rsidR="00461179" w:rsidRDefault="00461179">
            <w:pPr>
              <w:pStyle w:val="GesAbsatz"/>
            </w:pPr>
            <w:r>
              <w:rPr>
                <w:snapToGrid w:val="0"/>
              </w:rPr>
              <w:t>50 % bei Inkrafttr</w:t>
            </w:r>
            <w:r>
              <w:rPr>
                <w:snapToGrid w:val="0"/>
              </w:rPr>
              <w:t>e</w:t>
            </w:r>
            <w:r>
              <w:rPr>
                <w:snapToGrid w:val="0"/>
              </w:rPr>
              <w:t xml:space="preserve">ten dieser Richtlinie, lineare Reduzierung am </w:t>
            </w:r>
            <w:smartTag w:uri="urn:schemas-microsoft-com:office:smarttags" w:element="date">
              <w:smartTagPr>
                <w:attr w:name="ls" w:val="trans"/>
                <w:attr w:name="Month" w:val="1"/>
                <w:attr w:name="Day" w:val="1"/>
                <w:attr w:name="Year" w:val="2001"/>
              </w:smartTagPr>
              <w:r>
                <w:rPr>
                  <w:snapToGrid w:val="0"/>
                </w:rPr>
                <w:t>1.Januar 2001</w:t>
              </w:r>
            </w:smartTag>
            <w:r>
              <w:rPr>
                <w:snapToGrid w:val="0"/>
              </w:rPr>
              <w:t xml:space="preserve"> und alle 12 Monate danach um einen gleichen jährlichen Prozentsatz bis auf 0 % am </w:t>
            </w:r>
            <w:smartTag w:uri="urn:schemas-microsoft-com:office:smarttags" w:element="date">
              <w:smartTagPr>
                <w:attr w:name="ls" w:val="trans"/>
                <w:attr w:name="Month" w:val="1"/>
                <w:attr w:name="Day" w:val="1"/>
                <w:attr w:name="Year" w:val="2005"/>
              </w:smartTagPr>
              <w:r>
                <w:rPr>
                  <w:snapToGrid w:val="0"/>
                </w:rPr>
                <w:t>1. Januar 2005</w:t>
              </w:r>
            </w:smartTag>
          </w:p>
        </w:tc>
        <w:tc>
          <w:tcPr>
            <w:tcW w:w="1955" w:type="dxa"/>
            <w:tcBorders>
              <w:right w:val="nil"/>
            </w:tcBorders>
          </w:tcPr>
          <w:p w:rsidR="00461179" w:rsidRDefault="00461179">
            <w:pPr>
              <w:pStyle w:val="GesAbsatz"/>
            </w:pPr>
            <w:smartTag w:uri="urn:schemas-microsoft-com:office:smarttags" w:element="date">
              <w:smartTagPr>
                <w:attr w:name="ls" w:val="trans"/>
                <w:attr w:name="Month" w:val="1"/>
                <w:attr w:name="Day" w:val="1"/>
                <w:attr w:name="Year" w:val="2005"/>
              </w:smartTagPr>
              <w:r>
                <w:t>1. Januar 2005</w:t>
              </w:r>
            </w:smartTag>
          </w:p>
        </w:tc>
      </w:tr>
      <w:tr w:rsidR="00461179">
        <w:tc>
          <w:tcPr>
            <w:tcW w:w="2480" w:type="dxa"/>
            <w:tcBorders>
              <w:left w:val="nil"/>
              <w:bottom w:val="nil"/>
            </w:tcBorders>
          </w:tcPr>
          <w:p w:rsidR="00461179" w:rsidRDefault="00461179">
            <w:pPr>
              <w:pStyle w:val="GesAbsatz"/>
              <w:numPr>
                <w:ilvl w:val="0"/>
                <w:numId w:val="19"/>
              </w:numPr>
              <w:tabs>
                <w:tab w:val="clear" w:pos="360"/>
                <w:tab w:val="clear" w:pos="425"/>
              </w:tabs>
              <w:ind w:left="284" w:hanging="284"/>
              <w:jc w:val="left"/>
            </w:pPr>
            <w:r>
              <w:rPr>
                <w:snapToGrid w:val="0"/>
              </w:rPr>
              <w:t>Jahresgrenzwert für den Schutz der menschlichen Gesund</w:t>
            </w:r>
            <w:r>
              <w:rPr>
                <w:snapToGrid w:val="0"/>
              </w:rPr>
              <w:softHyphen/>
              <w:t>heit</w:t>
            </w:r>
          </w:p>
        </w:tc>
        <w:tc>
          <w:tcPr>
            <w:tcW w:w="1955" w:type="dxa"/>
            <w:tcBorders>
              <w:bottom w:val="nil"/>
            </w:tcBorders>
          </w:tcPr>
          <w:p w:rsidR="00461179" w:rsidRDefault="00461179">
            <w:pPr>
              <w:pStyle w:val="GesAbsatz"/>
            </w:pPr>
            <w:r>
              <w:t>Kalenderjahr</w:t>
            </w:r>
          </w:p>
        </w:tc>
        <w:tc>
          <w:tcPr>
            <w:tcW w:w="1955" w:type="dxa"/>
            <w:tcBorders>
              <w:bottom w:val="nil"/>
            </w:tcBorders>
          </w:tcPr>
          <w:p w:rsidR="00461179" w:rsidRDefault="00461179">
            <w:pPr>
              <w:pStyle w:val="GesAbsatz"/>
            </w:pPr>
            <w:r>
              <w:rPr>
                <w:snapToGrid w:val="0"/>
              </w:rPr>
              <w:t>40 µg/m</w:t>
            </w:r>
            <w:r>
              <w:rPr>
                <w:snapToGrid w:val="0"/>
                <w:vertAlign w:val="superscript"/>
              </w:rPr>
              <w:t>3</w:t>
            </w:r>
            <w:r>
              <w:rPr>
                <w:snapToGrid w:val="0"/>
              </w:rPr>
              <w:t xml:space="preserve"> PM</w:t>
            </w:r>
            <w:r>
              <w:rPr>
                <w:snapToGrid w:val="0"/>
                <w:vertAlign w:val="subscript"/>
              </w:rPr>
              <w:t>10</w:t>
            </w:r>
          </w:p>
        </w:tc>
        <w:tc>
          <w:tcPr>
            <w:tcW w:w="1955" w:type="dxa"/>
            <w:tcBorders>
              <w:bottom w:val="nil"/>
            </w:tcBorders>
          </w:tcPr>
          <w:p w:rsidR="00461179" w:rsidRDefault="00461179">
            <w:pPr>
              <w:pStyle w:val="GesAbsatz"/>
            </w:pPr>
            <w:r>
              <w:rPr>
                <w:snapToGrid w:val="0"/>
              </w:rPr>
              <w:t>20 % bei Inkrafttr</w:t>
            </w:r>
            <w:r>
              <w:rPr>
                <w:snapToGrid w:val="0"/>
              </w:rPr>
              <w:t>e</w:t>
            </w:r>
            <w:r>
              <w:rPr>
                <w:snapToGrid w:val="0"/>
              </w:rPr>
              <w:t xml:space="preserve">ten dieser Richtlinie, lineare Reduzierung am 1. Januar 2001 und alle 12 Monate danach um einen gleichen jährlichen Prozentsatz bis auf 0 % am </w:t>
            </w:r>
            <w:smartTag w:uri="urn:schemas-microsoft-com:office:smarttags" w:element="date">
              <w:smartTagPr>
                <w:attr w:name="ls" w:val="trans"/>
                <w:attr w:name="Month" w:val="1"/>
                <w:attr w:name="Day" w:val="1"/>
                <w:attr w:name="Year" w:val="2005"/>
              </w:smartTagPr>
              <w:r>
                <w:rPr>
                  <w:snapToGrid w:val="0"/>
                </w:rPr>
                <w:t>1. Januar 2005</w:t>
              </w:r>
            </w:smartTag>
          </w:p>
        </w:tc>
        <w:tc>
          <w:tcPr>
            <w:tcW w:w="1955" w:type="dxa"/>
            <w:tcBorders>
              <w:bottom w:val="nil"/>
              <w:right w:val="nil"/>
            </w:tcBorders>
          </w:tcPr>
          <w:p w:rsidR="00461179" w:rsidRDefault="00461179">
            <w:pPr>
              <w:pStyle w:val="GesAbsatz"/>
            </w:pPr>
            <w:smartTag w:uri="urn:schemas-microsoft-com:office:smarttags" w:element="date">
              <w:smartTagPr>
                <w:attr w:name="ls" w:val="trans"/>
                <w:attr w:name="Month" w:val="1"/>
                <w:attr w:name="Day" w:val="1"/>
                <w:attr w:name="Year" w:val="2005"/>
              </w:smartTagPr>
              <w:r>
                <w:t>1. Januar 2005</w:t>
              </w:r>
            </w:smartTag>
          </w:p>
        </w:tc>
      </w:tr>
      <w:tr w:rsidR="00461179">
        <w:trPr>
          <w:cantSplit/>
        </w:trPr>
        <w:tc>
          <w:tcPr>
            <w:tcW w:w="10300" w:type="dxa"/>
            <w:gridSpan w:val="5"/>
            <w:tcBorders>
              <w:left w:val="nil"/>
              <w:right w:val="nil"/>
            </w:tcBorders>
          </w:tcPr>
          <w:p w:rsidR="00461179" w:rsidRDefault="00461179">
            <w:pPr>
              <w:pStyle w:val="GesAbsatz"/>
            </w:pPr>
            <w:r>
              <w:t xml:space="preserve">Stufe 2 </w:t>
            </w:r>
            <w:r>
              <w:rPr>
                <w:rStyle w:val="Funotenzeichen"/>
              </w:rPr>
              <w:footnoteReference w:customMarkFollows="1" w:id="10"/>
              <w:t>(1)</w:t>
            </w:r>
          </w:p>
        </w:tc>
      </w:tr>
      <w:tr w:rsidR="00461179">
        <w:tc>
          <w:tcPr>
            <w:tcW w:w="2480" w:type="dxa"/>
            <w:tcBorders>
              <w:left w:val="nil"/>
            </w:tcBorders>
          </w:tcPr>
          <w:p w:rsidR="00461179" w:rsidRDefault="00461179">
            <w:pPr>
              <w:pStyle w:val="GesAbsatz"/>
              <w:numPr>
                <w:ilvl w:val="0"/>
                <w:numId w:val="20"/>
              </w:numPr>
              <w:tabs>
                <w:tab w:val="clear" w:pos="360"/>
                <w:tab w:val="clear" w:pos="425"/>
              </w:tabs>
              <w:ind w:left="284" w:hanging="284"/>
              <w:jc w:val="left"/>
            </w:pPr>
            <w:r>
              <w:rPr>
                <w:snapToGrid w:val="0"/>
              </w:rPr>
              <w:t>24-Stunden-Grenzwert für den Schutz der menschlichen G</w:t>
            </w:r>
            <w:r>
              <w:rPr>
                <w:snapToGrid w:val="0"/>
              </w:rPr>
              <w:t>e</w:t>
            </w:r>
            <w:r>
              <w:rPr>
                <w:snapToGrid w:val="0"/>
              </w:rPr>
              <w:t>sundheit</w:t>
            </w:r>
          </w:p>
        </w:tc>
        <w:tc>
          <w:tcPr>
            <w:tcW w:w="1955" w:type="dxa"/>
          </w:tcPr>
          <w:p w:rsidR="00461179" w:rsidRDefault="00461179">
            <w:pPr>
              <w:pStyle w:val="GesAbsatz"/>
            </w:pPr>
            <w:r>
              <w:t>24 Stunden</w:t>
            </w:r>
          </w:p>
        </w:tc>
        <w:tc>
          <w:tcPr>
            <w:tcW w:w="1955" w:type="dxa"/>
          </w:tcPr>
          <w:p w:rsidR="00461179" w:rsidRDefault="00461179">
            <w:pPr>
              <w:pStyle w:val="GesAbsatz"/>
            </w:pPr>
            <w:r>
              <w:rPr>
                <w:snapToGrid w:val="0"/>
              </w:rPr>
              <w:t>50 µg/m</w:t>
            </w:r>
            <w:r>
              <w:rPr>
                <w:snapToGrid w:val="0"/>
                <w:vertAlign w:val="superscript"/>
              </w:rPr>
              <w:t>3</w:t>
            </w:r>
            <w:r>
              <w:rPr>
                <w:snapToGrid w:val="0"/>
              </w:rPr>
              <w:t xml:space="preserve"> PM</w:t>
            </w:r>
            <w:r>
              <w:rPr>
                <w:snapToGrid w:val="0"/>
                <w:vertAlign w:val="subscript"/>
              </w:rPr>
              <w:t>10</w:t>
            </w:r>
            <w:r>
              <w:rPr>
                <w:snapToGrid w:val="0"/>
              </w:rPr>
              <w:t xml:space="preserve"> dü</w:t>
            </w:r>
            <w:r>
              <w:rPr>
                <w:snapToGrid w:val="0"/>
              </w:rPr>
              <w:t>r</w:t>
            </w:r>
            <w:r>
              <w:rPr>
                <w:snapToGrid w:val="0"/>
              </w:rPr>
              <w:t>fen nicht öfter als 7mal im Jahr übe</w:t>
            </w:r>
            <w:r>
              <w:rPr>
                <w:snapToGrid w:val="0"/>
              </w:rPr>
              <w:t>r</w:t>
            </w:r>
            <w:r>
              <w:rPr>
                <w:snapToGrid w:val="0"/>
              </w:rPr>
              <w:t>schritten werden</w:t>
            </w:r>
          </w:p>
        </w:tc>
        <w:tc>
          <w:tcPr>
            <w:tcW w:w="1955" w:type="dxa"/>
          </w:tcPr>
          <w:p w:rsidR="00461179" w:rsidRDefault="00461179">
            <w:pPr>
              <w:pStyle w:val="GesAbsatz"/>
            </w:pPr>
            <w:r>
              <w:rPr>
                <w:snapToGrid w:val="0"/>
              </w:rPr>
              <w:t>aus Daten abzule</w:t>
            </w:r>
            <w:r>
              <w:rPr>
                <w:snapToGrid w:val="0"/>
              </w:rPr>
              <w:t>i</w:t>
            </w:r>
            <w:r>
              <w:rPr>
                <w:snapToGrid w:val="0"/>
              </w:rPr>
              <w:t>ten, gleichwertig mit dem Grenzwert der Stufe 1</w:t>
            </w:r>
          </w:p>
        </w:tc>
        <w:tc>
          <w:tcPr>
            <w:tcW w:w="1955" w:type="dxa"/>
            <w:tcBorders>
              <w:right w:val="nil"/>
            </w:tcBorders>
          </w:tcPr>
          <w:p w:rsidR="00461179" w:rsidRDefault="00461179">
            <w:pPr>
              <w:pStyle w:val="GesAbsatz"/>
            </w:pPr>
            <w:smartTag w:uri="urn:schemas-microsoft-com:office:smarttags" w:element="date">
              <w:smartTagPr>
                <w:attr w:name="ls" w:val="trans"/>
                <w:attr w:name="Month" w:val="1"/>
                <w:attr w:name="Day" w:val="1"/>
                <w:attr w:name="Year" w:val="2010"/>
              </w:smartTagPr>
              <w:r>
                <w:t>1. Januar 2010</w:t>
              </w:r>
            </w:smartTag>
          </w:p>
        </w:tc>
      </w:tr>
      <w:tr w:rsidR="00461179">
        <w:tc>
          <w:tcPr>
            <w:tcW w:w="2480" w:type="dxa"/>
            <w:tcBorders>
              <w:left w:val="nil"/>
            </w:tcBorders>
          </w:tcPr>
          <w:p w:rsidR="00461179" w:rsidRDefault="00461179">
            <w:pPr>
              <w:pStyle w:val="GesAbsatz"/>
              <w:numPr>
                <w:ilvl w:val="0"/>
                <w:numId w:val="20"/>
              </w:numPr>
              <w:tabs>
                <w:tab w:val="clear" w:pos="360"/>
                <w:tab w:val="clear" w:pos="425"/>
              </w:tabs>
              <w:ind w:left="284" w:hanging="284"/>
              <w:jc w:val="left"/>
            </w:pPr>
            <w:r>
              <w:rPr>
                <w:snapToGrid w:val="0"/>
              </w:rPr>
              <w:t>Jahresgrenzwert für den Schutz der menschlichen G</w:t>
            </w:r>
            <w:r>
              <w:rPr>
                <w:snapToGrid w:val="0"/>
              </w:rPr>
              <w:t>e</w:t>
            </w:r>
            <w:r>
              <w:rPr>
                <w:snapToGrid w:val="0"/>
              </w:rPr>
              <w:t>sundheit</w:t>
            </w:r>
          </w:p>
        </w:tc>
        <w:tc>
          <w:tcPr>
            <w:tcW w:w="1955" w:type="dxa"/>
          </w:tcPr>
          <w:p w:rsidR="00461179" w:rsidRDefault="00461179">
            <w:pPr>
              <w:pStyle w:val="GesAbsatz"/>
            </w:pPr>
            <w:r>
              <w:t>Kalenderjahr</w:t>
            </w:r>
          </w:p>
        </w:tc>
        <w:tc>
          <w:tcPr>
            <w:tcW w:w="1955" w:type="dxa"/>
          </w:tcPr>
          <w:p w:rsidR="00461179" w:rsidRDefault="00461179">
            <w:pPr>
              <w:pStyle w:val="GesAbsatz"/>
            </w:pPr>
            <w:r>
              <w:rPr>
                <w:snapToGrid w:val="0"/>
              </w:rPr>
              <w:t>20 µg/m</w:t>
            </w:r>
            <w:r>
              <w:rPr>
                <w:snapToGrid w:val="0"/>
                <w:vertAlign w:val="superscript"/>
              </w:rPr>
              <w:t>3</w:t>
            </w:r>
            <w:r>
              <w:rPr>
                <w:snapToGrid w:val="0"/>
              </w:rPr>
              <w:t xml:space="preserve"> PM10</w:t>
            </w:r>
          </w:p>
        </w:tc>
        <w:tc>
          <w:tcPr>
            <w:tcW w:w="1955" w:type="dxa"/>
          </w:tcPr>
          <w:p w:rsidR="00461179" w:rsidRDefault="00461179">
            <w:pPr>
              <w:pStyle w:val="GesAbsatz"/>
            </w:pPr>
            <w:r>
              <w:rPr>
                <w:snapToGrid w:val="0"/>
              </w:rPr>
              <w:t xml:space="preserve">50 % am </w:t>
            </w:r>
            <w:smartTag w:uri="urn:schemas-microsoft-com:office:smarttags" w:element="date">
              <w:smartTagPr>
                <w:attr w:name="ls" w:val="trans"/>
                <w:attr w:name="Month" w:val="1"/>
                <w:attr w:name="Day" w:val="1"/>
                <w:attr w:name="Year" w:val="2005"/>
              </w:smartTagPr>
              <w:r>
                <w:rPr>
                  <w:snapToGrid w:val="0"/>
                </w:rPr>
                <w:t>1.Januar 2005</w:t>
              </w:r>
            </w:smartTag>
            <w:r>
              <w:rPr>
                <w:snapToGrid w:val="0"/>
              </w:rPr>
              <w:t>, lineare Red</w:t>
            </w:r>
            <w:r>
              <w:rPr>
                <w:snapToGrid w:val="0"/>
              </w:rPr>
              <w:t>u</w:t>
            </w:r>
            <w:r>
              <w:rPr>
                <w:snapToGrid w:val="0"/>
              </w:rPr>
              <w:t>zierung alle 12 M</w:t>
            </w:r>
            <w:r>
              <w:rPr>
                <w:snapToGrid w:val="0"/>
              </w:rPr>
              <w:t>o</w:t>
            </w:r>
            <w:r>
              <w:rPr>
                <w:snapToGrid w:val="0"/>
              </w:rPr>
              <w:t>nate danach um einen gleichen jäh</w:t>
            </w:r>
            <w:r>
              <w:rPr>
                <w:snapToGrid w:val="0"/>
              </w:rPr>
              <w:t>r</w:t>
            </w:r>
            <w:r>
              <w:rPr>
                <w:snapToGrid w:val="0"/>
              </w:rPr>
              <w:t xml:space="preserve">lichen Prozentsatz bis auf 0 % am </w:t>
            </w:r>
            <w:smartTag w:uri="urn:schemas-microsoft-com:office:smarttags" w:element="date">
              <w:smartTagPr>
                <w:attr w:name="ls" w:val="trans"/>
                <w:attr w:name="Month" w:val="1"/>
                <w:attr w:name="Day" w:val="1"/>
                <w:attr w:name="Year" w:val="2010"/>
              </w:smartTagPr>
              <w:r>
                <w:rPr>
                  <w:snapToGrid w:val="0"/>
                </w:rPr>
                <w:t>1. Januar 2010</w:t>
              </w:r>
            </w:smartTag>
          </w:p>
        </w:tc>
        <w:tc>
          <w:tcPr>
            <w:tcW w:w="1955" w:type="dxa"/>
            <w:tcBorders>
              <w:right w:val="nil"/>
            </w:tcBorders>
          </w:tcPr>
          <w:p w:rsidR="00461179" w:rsidRDefault="00461179">
            <w:pPr>
              <w:pStyle w:val="GesAbsatz"/>
            </w:pPr>
            <w:smartTag w:uri="urn:schemas-microsoft-com:office:smarttags" w:element="date">
              <w:smartTagPr>
                <w:attr w:name="ls" w:val="trans"/>
                <w:attr w:name="Month" w:val="1"/>
                <w:attr w:name="Day" w:val="1"/>
                <w:attr w:name="Year" w:val="2010"/>
              </w:smartTagPr>
              <w:r>
                <w:t>1. Januar 2010</w:t>
              </w:r>
            </w:smartTag>
          </w:p>
        </w:tc>
      </w:tr>
    </w:tbl>
    <w:p w:rsidR="00461179" w:rsidRDefault="00461179">
      <w:pPr>
        <w:pStyle w:val="GesAbsatz"/>
      </w:pPr>
    </w:p>
    <w:p w:rsidR="00461179" w:rsidRDefault="00461179">
      <w:pPr>
        <w:pStyle w:val="berschrift2"/>
        <w:jc w:val="left"/>
        <w:rPr>
          <w:snapToGrid w:val="0"/>
        </w:rPr>
      </w:pPr>
      <w:r>
        <w:br w:type="page"/>
      </w:r>
      <w:bookmarkStart w:id="19" w:name="_Toc202752885"/>
      <w:r>
        <w:rPr>
          <w:snapToGrid w:val="0"/>
        </w:rPr>
        <w:lastRenderedPageBreak/>
        <w:t>ANHANG IV</w:t>
      </w:r>
      <w:r>
        <w:rPr>
          <w:snapToGrid w:val="0"/>
        </w:rPr>
        <w:br/>
        <w:t>GRENZWERT FÜR BLEI</w:t>
      </w:r>
      <w:bookmarkEnd w:id="19"/>
    </w:p>
    <w:p w:rsidR="00461179" w:rsidRDefault="0046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842"/>
        <w:gridCol w:w="1276"/>
        <w:gridCol w:w="2268"/>
        <w:gridCol w:w="2268"/>
      </w:tblGrid>
      <w:tr w:rsidR="00461179">
        <w:tc>
          <w:tcPr>
            <w:tcW w:w="2197" w:type="dxa"/>
            <w:tcBorders>
              <w:left w:val="nil"/>
            </w:tcBorders>
          </w:tcPr>
          <w:p w:rsidR="00461179" w:rsidRDefault="00461179" w:rsidP="00A47F6D">
            <w:pPr>
              <w:pStyle w:val="GesAbsatz"/>
            </w:pPr>
          </w:p>
        </w:tc>
        <w:tc>
          <w:tcPr>
            <w:tcW w:w="1842" w:type="dxa"/>
          </w:tcPr>
          <w:p w:rsidR="00461179" w:rsidRDefault="00461179" w:rsidP="00A47F6D">
            <w:pPr>
              <w:pStyle w:val="GesAbsatz"/>
            </w:pPr>
            <w:r>
              <w:t>Mittelungszeitraum</w:t>
            </w:r>
          </w:p>
        </w:tc>
        <w:tc>
          <w:tcPr>
            <w:tcW w:w="1276" w:type="dxa"/>
          </w:tcPr>
          <w:p w:rsidR="00461179" w:rsidRDefault="00461179" w:rsidP="00A47F6D">
            <w:pPr>
              <w:pStyle w:val="GesAbsatz"/>
            </w:pPr>
            <w:r>
              <w:t>Grenzwert</w:t>
            </w:r>
          </w:p>
        </w:tc>
        <w:tc>
          <w:tcPr>
            <w:tcW w:w="2268" w:type="dxa"/>
          </w:tcPr>
          <w:p w:rsidR="00461179" w:rsidRDefault="00461179" w:rsidP="00A47F6D">
            <w:pPr>
              <w:pStyle w:val="GesAbsatz"/>
            </w:pPr>
            <w:r>
              <w:t>Toleranzmarge</w:t>
            </w:r>
          </w:p>
        </w:tc>
        <w:tc>
          <w:tcPr>
            <w:tcW w:w="2268" w:type="dxa"/>
            <w:tcBorders>
              <w:right w:val="nil"/>
            </w:tcBorders>
          </w:tcPr>
          <w:p w:rsidR="00461179" w:rsidRDefault="00461179" w:rsidP="00A47F6D">
            <w:pPr>
              <w:pStyle w:val="GesAbsatz"/>
            </w:pPr>
            <w:r>
              <w:t>Zeitpunkt, bis zu dem der Grenzwert zu erre</w:t>
            </w:r>
            <w:r>
              <w:t>i</w:t>
            </w:r>
            <w:r>
              <w:t>chen ist</w:t>
            </w:r>
          </w:p>
        </w:tc>
      </w:tr>
      <w:tr w:rsidR="00461179">
        <w:tc>
          <w:tcPr>
            <w:tcW w:w="2197" w:type="dxa"/>
            <w:tcBorders>
              <w:left w:val="nil"/>
            </w:tcBorders>
          </w:tcPr>
          <w:p w:rsidR="00461179" w:rsidRDefault="00461179">
            <w:pPr>
              <w:pStyle w:val="GesAbsatz"/>
              <w:jc w:val="left"/>
            </w:pPr>
            <w:r>
              <w:rPr>
                <w:snapToGrid w:val="0"/>
              </w:rPr>
              <w:t>Jahresgrenzwert für den Schutz der menschlichen G</w:t>
            </w:r>
            <w:r>
              <w:rPr>
                <w:snapToGrid w:val="0"/>
              </w:rPr>
              <w:t>e</w:t>
            </w:r>
            <w:r>
              <w:rPr>
                <w:snapToGrid w:val="0"/>
              </w:rPr>
              <w:t>sundheit</w:t>
            </w:r>
          </w:p>
        </w:tc>
        <w:tc>
          <w:tcPr>
            <w:tcW w:w="1842" w:type="dxa"/>
          </w:tcPr>
          <w:p w:rsidR="00461179" w:rsidRDefault="00461179">
            <w:pPr>
              <w:pStyle w:val="GesAbsatz"/>
            </w:pPr>
            <w:r>
              <w:rPr>
                <w:snapToGrid w:val="0"/>
              </w:rPr>
              <w:t>Kalenderjahr</w:t>
            </w:r>
          </w:p>
        </w:tc>
        <w:tc>
          <w:tcPr>
            <w:tcW w:w="1276" w:type="dxa"/>
          </w:tcPr>
          <w:p w:rsidR="00461179" w:rsidRDefault="00461179">
            <w:pPr>
              <w:pStyle w:val="GesAbsatz"/>
            </w:pPr>
            <w:r>
              <w:rPr>
                <w:snapToGrid w:val="0"/>
              </w:rPr>
              <w:t>0,5 µg/m</w:t>
            </w:r>
            <w:r>
              <w:rPr>
                <w:snapToGrid w:val="0"/>
                <w:vertAlign w:val="superscript"/>
              </w:rPr>
              <w:t xml:space="preserve">3 </w:t>
            </w:r>
            <w:r>
              <w:rPr>
                <w:rStyle w:val="Funotenzeichen"/>
              </w:rPr>
              <w:footnoteReference w:customMarkFollows="1" w:id="11"/>
              <w:t>(1)</w:t>
            </w:r>
          </w:p>
        </w:tc>
        <w:tc>
          <w:tcPr>
            <w:tcW w:w="2268" w:type="dxa"/>
          </w:tcPr>
          <w:p w:rsidR="00461179" w:rsidRDefault="00461179">
            <w:pPr>
              <w:pStyle w:val="GesAbsatz"/>
              <w:jc w:val="left"/>
            </w:pPr>
            <w:r>
              <w:rPr>
                <w:snapToGrid w:val="0"/>
              </w:rPr>
              <w:t>100 % bei Inkrafttreten dieser Richtlinie, Red</w:t>
            </w:r>
            <w:r>
              <w:rPr>
                <w:snapToGrid w:val="0"/>
              </w:rPr>
              <w:t>u</w:t>
            </w:r>
            <w:r>
              <w:rPr>
                <w:snapToGrid w:val="0"/>
              </w:rPr>
              <w:t xml:space="preserve">zierung am </w:t>
            </w:r>
            <w:smartTag w:uri="urn:schemas-microsoft-com:office:smarttags" w:element="date">
              <w:smartTagPr>
                <w:attr w:name="ls" w:val="trans"/>
                <w:attr w:name="Month" w:val="1"/>
                <w:attr w:name="Day" w:val="1"/>
                <w:attr w:name="Year" w:val="2001"/>
              </w:smartTagPr>
              <w:r>
                <w:rPr>
                  <w:snapToGrid w:val="0"/>
                </w:rPr>
                <w:t>1. Jan</w:t>
              </w:r>
              <w:r>
                <w:rPr>
                  <w:snapToGrid w:val="0"/>
                </w:rPr>
                <w:t>u</w:t>
              </w:r>
              <w:r>
                <w:rPr>
                  <w:snapToGrid w:val="0"/>
                </w:rPr>
                <w:t>ar 2001</w:t>
              </w:r>
            </w:smartTag>
            <w:r>
              <w:rPr>
                <w:snapToGrid w:val="0"/>
              </w:rPr>
              <w:t xml:space="preserve"> und alle 12 Monate danach um einen gleichen jährl</w:t>
            </w:r>
            <w:r>
              <w:rPr>
                <w:snapToGrid w:val="0"/>
              </w:rPr>
              <w:t>i</w:t>
            </w:r>
            <w:r>
              <w:rPr>
                <w:snapToGrid w:val="0"/>
              </w:rPr>
              <w:t xml:space="preserve">chen Prozentsatz bis auf 0 % am </w:t>
            </w:r>
            <w:smartTag w:uri="urn:schemas-microsoft-com:office:smarttags" w:element="date">
              <w:smartTagPr>
                <w:attr w:name="ls" w:val="trans"/>
                <w:attr w:name="Month" w:val="1"/>
                <w:attr w:name="Day" w:val="1"/>
                <w:attr w:name="Year" w:val="2005"/>
              </w:smartTagPr>
              <w:r>
                <w:rPr>
                  <w:snapToGrid w:val="0"/>
                </w:rPr>
                <w:t>1. Jan</w:t>
              </w:r>
              <w:r>
                <w:rPr>
                  <w:snapToGrid w:val="0"/>
                </w:rPr>
                <w:t>u</w:t>
              </w:r>
              <w:r>
                <w:rPr>
                  <w:snapToGrid w:val="0"/>
                </w:rPr>
                <w:t>ar 2005</w:t>
              </w:r>
            </w:smartTag>
            <w:r>
              <w:rPr>
                <w:snapToGrid w:val="0"/>
              </w:rPr>
              <w:t xml:space="preserve"> oder </w:t>
            </w:r>
            <w:smartTag w:uri="urn:schemas-microsoft-com:office:smarttags" w:element="date">
              <w:smartTagPr>
                <w:attr w:name="ls" w:val="trans"/>
                <w:attr w:name="Month" w:val="1"/>
                <w:attr w:name="Day" w:val="1"/>
                <w:attr w:name="Year" w:val="2010"/>
              </w:smartTagPr>
              <w:r>
                <w:rPr>
                  <w:snapToGrid w:val="0"/>
                </w:rPr>
                <w:t>1. Jan</w:t>
              </w:r>
              <w:r>
                <w:rPr>
                  <w:snapToGrid w:val="0"/>
                </w:rPr>
                <w:t>u</w:t>
              </w:r>
              <w:r>
                <w:rPr>
                  <w:snapToGrid w:val="0"/>
                </w:rPr>
                <w:t>ar 2010</w:t>
              </w:r>
            </w:smartTag>
            <w:r>
              <w:rPr>
                <w:snapToGrid w:val="0"/>
              </w:rPr>
              <w:t xml:space="preserve"> in unmittelbarer Nachbarschaft b</w:t>
            </w:r>
            <w:r>
              <w:rPr>
                <w:snapToGrid w:val="0"/>
              </w:rPr>
              <w:t>e</w:t>
            </w:r>
            <w:r>
              <w:rPr>
                <w:snapToGrid w:val="0"/>
              </w:rPr>
              <w:t>stimmter punktueller Quellen, die der Ko</w:t>
            </w:r>
            <w:r>
              <w:rPr>
                <w:snapToGrid w:val="0"/>
              </w:rPr>
              <w:t>m</w:t>
            </w:r>
            <w:r>
              <w:rPr>
                <w:snapToGrid w:val="0"/>
              </w:rPr>
              <w:t>mission mitgeteilt we</w:t>
            </w:r>
            <w:r>
              <w:rPr>
                <w:snapToGrid w:val="0"/>
              </w:rPr>
              <w:t>r</w:t>
            </w:r>
            <w:r>
              <w:rPr>
                <w:snapToGrid w:val="0"/>
              </w:rPr>
              <w:t>den müssen.</w:t>
            </w:r>
          </w:p>
        </w:tc>
        <w:tc>
          <w:tcPr>
            <w:tcW w:w="2268" w:type="dxa"/>
            <w:tcBorders>
              <w:right w:val="nil"/>
            </w:tcBorders>
          </w:tcPr>
          <w:p w:rsidR="00461179" w:rsidRDefault="00461179">
            <w:pPr>
              <w:pStyle w:val="GesAbsatz"/>
              <w:jc w:val="left"/>
            </w:pPr>
            <w:smartTag w:uri="urn:schemas-microsoft-com:office:smarttags" w:element="date">
              <w:smartTagPr>
                <w:attr w:name="ls" w:val="trans"/>
                <w:attr w:name="Month" w:val="1"/>
                <w:attr w:name="Day" w:val="1"/>
                <w:attr w:name="Year" w:val="2005"/>
              </w:smartTagPr>
              <w:r>
                <w:rPr>
                  <w:snapToGrid w:val="0"/>
                </w:rPr>
                <w:t>1. Januar 2005</w:t>
              </w:r>
            </w:smartTag>
            <w:r>
              <w:rPr>
                <w:snapToGrid w:val="0"/>
              </w:rPr>
              <w:t xml:space="preserve"> oder 1. Januar 2010 in u</w:t>
            </w:r>
            <w:r>
              <w:rPr>
                <w:snapToGrid w:val="0"/>
              </w:rPr>
              <w:t>n</w:t>
            </w:r>
            <w:r>
              <w:rPr>
                <w:snapToGrid w:val="0"/>
              </w:rPr>
              <w:t>mittelbarer Nachba</w:t>
            </w:r>
            <w:r>
              <w:rPr>
                <w:snapToGrid w:val="0"/>
              </w:rPr>
              <w:t>r</w:t>
            </w:r>
            <w:r>
              <w:rPr>
                <w:snapToGrid w:val="0"/>
              </w:rPr>
              <w:t>schaft bestimmter i</w:t>
            </w:r>
            <w:r>
              <w:rPr>
                <w:snapToGrid w:val="0"/>
              </w:rPr>
              <w:t>n</w:t>
            </w:r>
            <w:r>
              <w:rPr>
                <w:snapToGrid w:val="0"/>
              </w:rPr>
              <w:t>dustrieller Quellen an Standorten, die durch jahrzehntelange indus</w:t>
            </w:r>
            <w:r>
              <w:rPr>
                <w:snapToGrid w:val="0"/>
              </w:rPr>
              <w:t>t</w:t>
            </w:r>
            <w:r>
              <w:rPr>
                <w:snapToGrid w:val="0"/>
              </w:rPr>
              <w:t>rielle Tätigkeit belastet worden sind. Diese Quellen sind der Ko</w:t>
            </w:r>
            <w:r>
              <w:rPr>
                <w:snapToGrid w:val="0"/>
              </w:rPr>
              <w:t>m</w:t>
            </w:r>
            <w:r>
              <w:rPr>
                <w:snapToGrid w:val="0"/>
              </w:rPr>
              <w:t xml:space="preserve">mission bis </w:t>
            </w:r>
            <w:smartTag w:uri="urn:schemas-microsoft-com:office:smarttags" w:element="date">
              <w:smartTagPr>
                <w:attr w:name="ls" w:val="trans"/>
                <w:attr w:name="Month" w:val="7"/>
                <w:attr w:name="Day" w:val="19"/>
                <w:attr w:name="Year" w:val="2001"/>
              </w:smartTagPr>
              <w:r>
                <w:rPr>
                  <w:snapToGrid w:val="0"/>
                </w:rPr>
                <w:t>19. Juli 2001</w:t>
              </w:r>
            </w:smartTag>
            <w:r>
              <w:rPr>
                <w:rStyle w:val="Funotenzeichen"/>
              </w:rPr>
              <w:footnoteReference w:customMarkFollows="1" w:id="12"/>
              <w:t>(2)</w:t>
            </w:r>
            <w:r>
              <w:t xml:space="preserve"> </w:t>
            </w:r>
            <w:r>
              <w:rPr>
                <w:snapToGrid w:val="0"/>
              </w:rPr>
              <w:t xml:space="preserve">mitzuteilen. In diesen Fällen beträgt der Grenzwert ab </w:t>
            </w:r>
            <w:smartTag w:uri="urn:schemas-microsoft-com:office:smarttags" w:element="date">
              <w:smartTagPr>
                <w:attr w:name="ls" w:val="trans"/>
                <w:attr w:name="Month" w:val="1"/>
                <w:attr w:name="Day" w:val="1"/>
                <w:attr w:name="Year" w:val="2005"/>
              </w:smartTagPr>
              <w:r>
                <w:rPr>
                  <w:snapToGrid w:val="0"/>
                </w:rPr>
                <w:t>1. Januar 2005</w:t>
              </w:r>
            </w:smartTag>
            <w:r>
              <w:rPr>
                <w:snapToGrid w:val="0"/>
              </w:rPr>
              <w:t xml:space="preserve"> 1,0</w:t>
            </w:r>
            <w:r>
              <w:t> </w:t>
            </w:r>
            <w:r>
              <w:rPr>
                <w:snapToGrid w:val="0"/>
              </w:rPr>
              <w:t>µg/m</w:t>
            </w:r>
            <w:r>
              <w:rPr>
                <w:snapToGrid w:val="0"/>
                <w:vertAlign w:val="superscript"/>
              </w:rPr>
              <w:t>3</w:t>
            </w:r>
            <w:r>
              <w:rPr>
                <w:snapToGrid w:val="0"/>
              </w:rPr>
              <w:t>.</w:t>
            </w:r>
          </w:p>
        </w:tc>
      </w:tr>
    </w:tbl>
    <w:p w:rsidR="00461179" w:rsidRDefault="00461179"/>
    <w:p w:rsidR="00461179" w:rsidRDefault="00461179">
      <w:pPr>
        <w:pStyle w:val="berschrift2"/>
        <w:jc w:val="left"/>
        <w:rPr>
          <w:snapToGrid w:val="0"/>
        </w:rPr>
      </w:pPr>
      <w:r>
        <w:br w:type="page"/>
      </w:r>
      <w:bookmarkStart w:id="20" w:name="_Toc202752886"/>
      <w:r>
        <w:rPr>
          <w:snapToGrid w:val="0"/>
        </w:rPr>
        <w:lastRenderedPageBreak/>
        <w:t>ANHANG V</w:t>
      </w:r>
      <w:r>
        <w:rPr>
          <w:snapToGrid w:val="0"/>
        </w:rPr>
        <w:br/>
        <w:t>Ermittlung der Anforderungen für die Beurteilung der Konzentration von Schwefe</w:t>
      </w:r>
      <w:r>
        <w:rPr>
          <w:snapToGrid w:val="0"/>
        </w:rPr>
        <w:t>l</w:t>
      </w:r>
      <w:r>
        <w:rPr>
          <w:snapToGrid w:val="0"/>
        </w:rPr>
        <w:t>dioxid, Stickstoffdioxid (NO</w:t>
      </w:r>
      <w:r>
        <w:rPr>
          <w:snapToGrid w:val="0"/>
          <w:vertAlign w:val="subscript"/>
        </w:rPr>
        <w:t>2</w:t>
      </w:r>
      <w:r>
        <w:rPr>
          <w:snapToGrid w:val="0"/>
        </w:rPr>
        <w:t>),und Stickstoffoxiden (NO</w:t>
      </w:r>
      <w:r>
        <w:rPr>
          <w:snapToGrid w:val="0"/>
          <w:vertAlign w:val="subscript"/>
        </w:rPr>
        <w:t>x</w:t>
      </w:r>
      <w:r>
        <w:rPr>
          <w:snapToGrid w:val="0"/>
        </w:rPr>
        <w:t>), Partikeln (PM</w:t>
      </w:r>
      <w:r>
        <w:rPr>
          <w:snapToGrid w:val="0"/>
          <w:vertAlign w:val="subscript"/>
        </w:rPr>
        <w:t>10</w:t>
      </w:r>
      <w:r>
        <w:rPr>
          <w:snapToGrid w:val="0"/>
        </w:rPr>
        <w:t>) und Blei in der Luft innerhalb eines Gebiets oder Ballungsraums</w:t>
      </w:r>
      <w:bookmarkEnd w:id="20"/>
    </w:p>
    <w:p w:rsidR="00461179" w:rsidRDefault="00461179"/>
    <w:p w:rsidR="00461179" w:rsidRDefault="00461179">
      <w:pPr>
        <w:pStyle w:val="GesAbsatz"/>
        <w:rPr>
          <w:snapToGrid w:val="0"/>
        </w:rPr>
      </w:pPr>
      <w:r>
        <w:rPr>
          <w:snapToGrid w:val="0"/>
        </w:rPr>
        <w:t>I.</w:t>
      </w:r>
      <w:r>
        <w:rPr>
          <w:snapToGrid w:val="0"/>
        </w:rPr>
        <w:tab/>
        <w:t>Obere und untere Beurteilungsschwellen</w:t>
      </w:r>
    </w:p>
    <w:p w:rsidR="00461179" w:rsidRDefault="00461179">
      <w:pPr>
        <w:pStyle w:val="GesAbsatz"/>
        <w:ind w:firstLine="426"/>
        <w:rPr>
          <w:snapToGrid w:val="0"/>
        </w:rPr>
      </w:pPr>
      <w:r>
        <w:rPr>
          <w:snapToGrid w:val="0"/>
        </w:rPr>
        <w:t>Es gelten die folgenden oberen und unteren Beurteilungsschwellen:</w:t>
      </w:r>
    </w:p>
    <w:p w:rsidR="00461179" w:rsidRDefault="00461179">
      <w:pPr>
        <w:pStyle w:val="GesAbsatz"/>
        <w:numPr>
          <w:ilvl w:val="0"/>
          <w:numId w:val="21"/>
        </w:numPr>
        <w:rPr>
          <w:snapToGrid w:val="0"/>
        </w:rPr>
      </w:pPr>
      <w:r>
        <w:rPr>
          <w:snapToGrid w:val="0"/>
        </w:rPr>
        <w:t>SCHWEFELDIOXID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394"/>
        <w:gridCol w:w="2268"/>
      </w:tblGrid>
      <w:tr w:rsidR="00461179">
        <w:tc>
          <w:tcPr>
            <w:tcW w:w="2835" w:type="dxa"/>
          </w:tcPr>
          <w:p w:rsidR="00461179" w:rsidRDefault="00461179">
            <w:pPr>
              <w:pStyle w:val="GesAbsatz"/>
              <w:jc w:val="center"/>
            </w:pPr>
          </w:p>
        </w:tc>
        <w:tc>
          <w:tcPr>
            <w:tcW w:w="4394" w:type="dxa"/>
          </w:tcPr>
          <w:p w:rsidR="00461179" w:rsidRDefault="00461179">
            <w:pPr>
              <w:pStyle w:val="GesAbsatz"/>
              <w:jc w:val="center"/>
            </w:pPr>
            <w:r>
              <w:t>Gesundheitsschutz</w:t>
            </w:r>
          </w:p>
        </w:tc>
        <w:tc>
          <w:tcPr>
            <w:tcW w:w="2268" w:type="dxa"/>
          </w:tcPr>
          <w:p w:rsidR="00461179" w:rsidRDefault="00461179">
            <w:pPr>
              <w:pStyle w:val="GesAbsatz"/>
              <w:jc w:val="center"/>
            </w:pPr>
            <w:r>
              <w:t>Ökosystemschutz</w:t>
            </w:r>
          </w:p>
        </w:tc>
      </w:tr>
      <w:tr w:rsidR="00461179">
        <w:tc>
          <w:tcPr>
            <w:tcW w:w="2835" w:type="dxa"/>
          </w:tcPr>
          <w:p w:rsidR="00461179" w:rsidRDefault="00461179">
            <w:pPr>
              <w:pStyle w:val="GesAbsatz"/>
            </w:pPr>
            <w:r>
              <w:t>Obere Beurteilungsschwelle</w:t>
            </w:r>
          </w:p>
        </w:tc>
        <w:tc>
          <w:tcPr>
            <w:tcW w:w="4394" w:type="dxa"/>
          </w:tcPr>
          <w:p w:rsidR="00461179" w:rsidRDefault="00461179">
            <w:pPr>
              <w:pStyle w:val="GesAbsatz"/>
            </w:pPr>
            <w:r>
              <w:rPr>
                <w:snapToGrid w:val="0"/>
              </w:rPr>
              <w:t>60 % des 24-Stunden-Grenzwerts (75 µg/m</w:t>
            </w:r>
            <w:r>
              <w:rPr>
                <w:snapToGrid w:val="0"/>
                <w:vertAlign w:val="superscript"/>
              </w:rPr>
              <w:t>3</w:t>
            </w:r>
            <w:r>
              <w:rPr>
                <w:snapToGrid w:val="0"/>
              </w:rPr>
              <w:t xml:space="preserve"> dürfen nicht öfter als dreimal im Kalenderjahr überschritten werden)</w:t>
            </w:r>
          </w:p>
        </w:tc>
        <w:tc>
          <w:tcPr>
            <w:tcW w:w="2268" w:type="dxa"/>
          </w:tcPr>
          <w:p w:rsidR="00461179" w:rsidRDefault="00461179" w:rsidP="00FA5FD2">
            <w:pPr>
              <w:pStyle w:val="GesAbsatz"/>
              <w:ind w:right="-212"/>
              <w:jc w:val="left"/>
            </w:pPr>
            <w:r>
              <w:rPr>
                <w:snapToGrid w:val="0"/>
              </w:rPr>
              <w:t>60 % des Wintergren</w:t>
            </w:r>
            <w:r>
              <w:rPr>
                <w:snapToGrid w:val="0"/>
              </w:rPr>
              <w:t>z</w:t>
            </w:r>
            <w:r>
              <w:rPr>
                <w:snapToGrid w:val="0"/>
              </w:rPr>
              <w:t>werts 12 µg/m</w:t>
            </w:r>
            <w:r>
              <w:rPr>
                <w:snapToGrid w:val="0"/>
                <w:vertAlign w:val="superscript"/>
              </w:rPr>
              <w:t>3</w:t>
            </w:r>
            <w:r>
              <w:rPr>
                <w:snapToGrid w:val="0"/>
              </w:rPr>
              <w:t xml:space="preserve"> )</w:t>
            </w:r>
          </w:p>
        </w:tc>
      </w:tr>
      <w:tr w:rsidR="00461179">
        <w:tc>
          <w:tcPr>
            <w:tcW w:w="2835" w:type="dxa"/>
          </w:tcPr>
          <w:p w:rsidR="00461179" w:rsidRDefault="00461179">
            <w:pPr>
              <w:pStyle w:val="GesAbsatz"/>
            </w:pPr>
            <w:r>
              <w:t>Untere Beurteilungsschwelle</w:t>
            </w:r>
          </w:p>
        </w:tc>
        <w:tc>
          <w:tcPr>
            <w:tcW w:w="4394" w:type="dxa"/>
          </w:tcPr>
          <w:p w:rsidR="00461179" w:rsidRDefault="00461179">
            <w:pPr>
              <w:pStyle w:val="GesAbsatz"/>
            </w:pPr>
            <w:r>
              <w:rPr>
                <w:snapToGrid w:val="0"/>
              </w:rPr>
              <w:t>40 % des 24-Stunden-Grenzwerts (50 µg/m</w:t>
            </w:r>
            <w:r>
              <w:rPr>
                <w:snapToGrid w:val="0"/>
                <w:vertAlign w:val="superscript"/>
              </w:rPr>
              <w:t>3</w:t>
            </w:r>
            <w:r>
              <w:rPr>
                <w:snapToGrid w:val="0"/>
              </w:rPr>
              <w:t xml:space="preserve"> dürfen nicht öfter als dreimal im Kalenderjahr überschritten werden)</w:t>
            </w:r>
          </w:p>
        </w:tc>
        <w:tc>
          <w:tcPr>
            <w:tcW w:w="2268" w:type="dxa"/>
          </w:tcPr>
          <w:p w:rsidR="00461179" w:rsidRDefault="00461179">
            <w:pPr>
              <w:pStyle w:val="GesAbsatz"/>
              <w:jc w:val="left"/>
            </w:pPr>
            <w:r>
              <w:rPr>
                <w:snapToGrid w:val="0"/>
              </w:rPr>
              <w:t>40 % des Wintergren</w:t>
            </w:r>
            <w:r>
              <w:rPr>
                <w:snapToGrid w:val="0"/>
              </w:rPr>
              <w:t>z</w:t>
            </w:r>
            <w:r>
              <w:rPr>
                <w:snapToGrid w:val="0"/>
              </w:rPr>
              <w:t>werts (8 µg/m</w:t>
            </w:r>
            <w:r>
              <w:rPr>
                <w:snapToGrid w:val="0"/>
                <w:vertAlign w:val="superscript"/>
              </w:rPr>
              <w:t>3</w:t>
            </w:r>
            <w:r>
              <w:rPr>
                <w:snapToGrid w:val="0"/>
              </w:rPr>
              <w:t xml:space="preserve"> )</w:t>
            </w:r>
          </w:p>
        </w:tc>
      </w:tr>
    </w:tbl>
    <w:p w:rsidR="00461179" w:rsidRDefault="00461179">
      <w:pPr>
        <w:pStyle w:val="GesAbsatz"/>
        <w:ind w:left="426"/>
      </w:pPr>
    </w:p>
    <w:p w:rsidR="00461179" w:rsidRDefault="00461179">
      <w:pPr>
        <w:pStyle w:val="GesAbsatz"/>
        <w:numPr>
          <w:ilvl w:val="0"/>
          <w:numId w:val="21"/>
        </w:numPr>
        <w:rPr>
          <w:snapToGrid w:val="0"/>
        </w:rPr>
      </w:pPr>
      <w:r>
        <w:rPr>
          <w:snapToGrid w:val="0"/>
        </w:rPr>
        <w:t>STICKSTOFFDIOXID UND STICKSTOFFOXIDE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409"/>
        <w:gridCol w:w="1985"/>
        <w:gridCol w:w="2268"/>
      </w:tblGrid>
      <w:tr w:rsidR="00461179">
        <w:tc>
          <w:tcPr>
            <w:tcW w:w="2835" w:type="dxa"/>
          </w:tcPr>
          <w:p w:rsidR="00461179" w:rsidRDefault="00461179">
            <w:pPr>
              <w:pStyle w:val="GesAbsatz"/>
            </w:pPr>
          </w:p>
        </w:tc>
        <w:tc>
          <w:tcPr>
            <w:tcW w:w="2409" w:type="dxa"/>
          </w:tcPr>
          <w:p w:rsidR="00461179" w:rsidRDefault="00461179">
            <w:pPr>
              <w:pStyle w:val="GesAbsatz"/>
              <w:jc w:val="left"/>
            </w:pPr>
            <w:r>
              <w:rPr>
                <w:snapToGrid w:val="0"/>
              </w:rPr>
              <w:t>1-Stunden-Grenzwert für den Schutz der mensc</w:t>
            </w:r>
            <w:r>
              <w:rPr>
                <w:snapToGrid w:val="0"/>
              </w:rPr>
              <w:t>h</w:t>
            </w:r>
            <w:r>
              <w:rPr>
                <w:snapToGrid w:val="0"/>
              </w:rPr>
              <w:t>lichen Gesundheit (NO</w:t>
            </w:r>
            <w:r>
              <w:rPr>
                <w:snapToGrid w:val="0"/>
                <w:vertAlign w:val="subscript"/>
              </w:rPr>
              <w:t>2</w:t>
            </w:r>
            <w:r>
              <w:rPr>
                <w:snapToGrid w:val="0"/>
              </w:rPr>
              <w:t>)</w:t>
            </w:r>
          </w:p>
        </w:tc>
        <w:tc>
          <w:tcPr>
            <w:tcW w:w="1985" w:type="dxa"/>
          </w:tcPr>
          <w:p w:rsidR="00461179" w:rsidRDefault="00461179">
            <w:pPr>
              <w:pStyle w:val="GesAbsatz"/>
              <w:jc w:val="left"/>
            </w:pPr>
            <w:r>
              <w:rPr>
                <w:snapToGrid w:val="0"/>
              </w:rPr>
              <w:t>Jahresgrenzwert für den Schutz der menschlichen G</w:t>
            </w:r>
            <w:r>
              <w:rPr>
                <w:snapToGrid w:val="0"/>
              </w:rPr>
              <w:t>e</w:t>
            </w:r>
            <w:r>
              <w:rPr>
                <w:snapToGrid w:val="0"/>
              </w:rPr>
              <w:t>sundheit (NO</w:t>
            </w:r>
            <w:r>
              <w:rPr>
                <w:snapToGrid w:val="0"/>
                <w:vertAlign w:val="subscript"/>
              </w:rPr>
              <w:t>2</w:t>
            </w:r>
            <w:r>
              <w:rPr>
                <w:snapToGrid w:val="0"/>
              </w:rPr>
              <w:t>)</w:t>
            </w:r>
          </w:p>
        </w:tc>
        <w:tc>
          <w:tcPr>
            <w:tcW w:w="2268" w:type="dxa"/>
          </w:tcPr>
          <w:p w:rsidR="00461179" w:rsidRDefault="00461179">
            <w:pPr>
              <w:pStyle w:val="GesAbsatz"/>
              <w:jc w:val="left"/>
            </w:pPr>
            <w:r>
              <w:rPr>
                <w:snapToGrid w:val="0"/>
              </w:rPr>
              <w:t>Jahresgrenzwert für den Schutz der Veget</w:t>
            </w:r>
            <w:r>
              <w:rPr>
                <w:snapToGrid w:val="0"/>
              </w:rPr>
              <w:t>a</w:t>
            </w:r>
            <w:r>
              <w:rPr>
                <w:snapToGrid w:val="0"/>
              </w:rPr>
              <w:t>tion (NO</w:t>
            </w:r>
            <w:r>
              <w:rPr>
                <w:snapToGrid w:val="0"/>
                <w:vertAlign w:val="subscript"/>
              </w:rPr>
              <w:t>x</w:t>
            </w:r>
            <w:r>
              <w:rPr>
                <w:snapToGrid w:val="0"/>
              </w:rPr>
              <w:t>)</w:t>
            </w:r>
          </w:p>
        </w:tc>
      </w:tr>
      <w:tr w:rsidR="00461179">
        <w:tc>
          <w:tcPr>
            <w:tcW w:w="2835" w:type="dxa"/>
          </w:tcPr>
          <w:p w:rsidR="00461179" w:rsidRDefault="00461179">
            <w:pPr>
              <w:pStyle w:val="GesAbsatz"/>
            </w:pPr>
            <w:r>
              <w:t>Obere Beurteilungsschwelle</w:t>
            </w:r>
          </w:p>
        </w:tc>
        <w:tc>
          <w:tcPr>
            <w:tcW w:w="2409" w:type="dxa"/>
          </w:tcPr>
          <w:p w:rsidR="00461179" w:rsidRDefault="00461179">
            <w:pPr>
              <w:pStyle w:val="GesAbsatz"/>
              <w:jc w:val="left"/>
            </w:pPr>
            <w:r>
              <w:rPr>
                <w:snapToGrid w:val="0"/>
              </w:rPr>
              <w:t>70 % des Grenzwerts 140 µg/m</w:t>
            </w:r>
            <w:r>
              <w:rPr>
                <w:snapToGrid w:val="0"/>
                <w:vertAlign w:val="superscript"/>
              </w:rPr>
              <w:t>3</w:t>
            </w:r>
            <w:r>
              <w:rPr>
                <w:snapToGrid w:val="0"/>
              </w:rPr>
              <w:t xml:space="preserve"> dürfen nicht öfter als 18mal im Kale</w:t>
            </w:r>
            <w:r>
              <w:rPr>
                <w:snapToGrid w:val="0"/>
              </w:rPr>
              <w:t>n</w:t>
            </w:r>
            <w:r>
              <w:rPr>
                <w:snapToGrid w:val="0"/>
              </w:rPr>
              <w:t>derjahr überschritten werden)</w:t>
            </w:r>
          </w:p>
        </w:tc>
        <w:tc>
          <w:tcPr>
            <w:tcW w:w="1985" w:type="dxa"/>
          </w:tcPr>
          <w:p w:rsidR="00461179" w:rsidRDefault="00461179">
            <w:pPr>
              <w:pStyle w:val="GesAbsatz"/>
              <w:jc w:val="left"/>
            </w:pPr>
            <w:r>
              <w:rPr>
                <w:snapToGrid w:val="0"/>
              </w:rPr>
              <w:t>80 % des Gren</w:t>
            </w:r>
            <w:r>
              <w:rPr>
                <w:snapToGrid w:val="0"/>
              </w:rPr>
              <w:t>z</w:t>
            </w:r>
            <w:r>
              <w:rPr>
                <w:snapToGrid w:val="0"/>
              </w:rPr>
              <w:t>werts 32 µg/m</w:t>
            </w:r>
            <w:r>
              <w:rPr>
                <w:snapToGrid w:val="0"/>
                <w:vertAlign w:val="superscript"/>
              </w:rPr>
              <w:t>3</w:t>
            </w:r>
            <w:r>
              <w:rPr>
                <w:snapToGrid w:val="0"/>
              </w:rPr>
              <w:t>)</w:t>
            </w:r>
          </w:p>
        </w:tc>
        <w:tc>
          <w:tcPr>
            <w:tcW w:w="2268" w:type="dxa"/>
          </w:tcPr>
          <w:p w:rsidR="00461179" w:rsidRDefault="00461179">
            <w:pPr>
              <w:pStyle w:val="GesAbsatz"/>
              <w:jc w:val="left"/>
            </w:pPr>
            <w:r>
              <w:rPr>
                <w:snapToGrid w:val="0"/>
              </w:rPr>
              <w:t>80 % des Grenzwerts (24 µg/m</w:t>
            </w:r>
            <w:r>
              <w:rPr>
                <w:snapToGrid w:val="0"/>
                <w:vertAlign w:val="superscript"/>
              </w:rPr>
              <w:t>3</w:t>
            </w:r>
            <w:r>
              <w:rPr>
                <w:snapToGrid w:val="0"/>
              </w:rPr>
              <w:t>)</w:t>
            </w:r>
          </w:p>
        </w:tc>
      </w:tr>
      <w:tr w:rsidR="00461179">
        <w:tc>
          <w:tcPr>
            <w:tcW w:w="2835" w:type="dxa"/>
          </w:tcPr>
          <w:p w:rsidR="00461179" w:rsidRDefault="00461179">
            <w:pPr>
              <w:pStyle w:val="GesAbsatz"/>
            </w:pPr>
            <w:r>
              <w:t>Untere Beurteilungsschwelle</w:t>
            </w:r>
          </w:p>
        </w:tc>
        <w:tc>
          <w:tcPr>
            <w:tcW w:w="2409" w:type="dxa"/>
          </w:tcPr>
          <w:p w:rsidR="00461179" w:rsidRDefault="00461179">
            <w:pPr>
              <w:pStyle w:val="GesAbsatz"/>
              <w:jc w:val="left"/>
            </w:pPr>
            <w:r>
              <w:rPr>
                <w:snapToGrid w:val="0"/>
              </w:rPr>
              <w:t>50 % des Grenzwerts 100 µg/m</w:t>
            </w:r>
            <w:r>
              <w:rPr>
                <w:snapToGrid w:val="0"/>
                <w:vertAlign w:val="superscript"/>
              </w:rPr>
              <w:t>3</w:t>
            </w:r>
            <w:r>
              <w:rPr>
                <w:snapToGrid w:val="0"/>
              </w:rPr>
              <w:t xml:space="preserve"> dürfen nicht öfter als 18mal im Kale</w:t>
            </w:r>
            <w:r>
              <w:rPr>
                <w:snapToGrid w:val="0"/>
              </w:rPr>
              <w:t>n</w:t>
            </w:r>
            <w:r>
              <w:rPr>
                <w:snapToGrid w:val="0"/>
              </w:rPr>
              <w:t>derjahr überschritten werden)</w:t>
            </w:r>
          </w:p>
        </w:tc>
        <w:tc>
          <w:tcPr>
            <w:tcW w:w="1985" w:type="dxa"/>
          </w:tcPr>
          <w:p w:rsidR="00461179" w:rsidRDefault="00461179">
            <w:pPr>
              <w:pStyle w:val="GesAbsatz"/>
              <w:jc w:val="left"/>
            </w:pPr>
            <w:r>
              <w:rPr>
                <w:snapToGrid w:val="0"/>
              </w:rPr>
              <w:t>65 % des Gren</w:t>
            </w:r>
            <w:r>
              <w:rPr>
                <w:snapToGrid w:val="0"/>
              </w:rPr>
              <w:t>z</w:t>
            </w:r>
            <w:r>
              <w:rPr>
                <w:snapToGrid w:val="0"/>
              </w:rPr>
              <w:t>werts 26 µg/m</w:t>
            </w:r>
            <w:r>
              <w:rPr>
                <w:snapToGrid w:val="0"/>
                <w:vertAlign w:val="superscript"/>
              </w:rPr>
              <w:t>3</w:t>
            </w:r>
            <w:r>
              <w:rPr>
                <w:snapToGrid w:val="0"/>
              </w:rPr>
              <w:t>)</w:t>
            </w:r>
          </w:p>
        </w:tc>
        <w:tc>
          <w:tcPr>
            <w:tcW w:w="2268" w:type="dxa"/>
          </w:tcPr>
          <w:p w:rsidR="00461179" w:rsidRDefault="00461179">
            <w:pPr>
              <w:pStyle w:val="GesAbsatz"/>
              <w:jc w:val="left"/>
            </w:pPr>
            <w:r>
              <w:rPr>
                <w:snapToGrid w:val="0"/>
              </w:rPr>
              <w:t>65 % des Grenzwerts 19,5 µg/m</w:t>
            </w:r>
            <w:r>
              <w:rPr>
                <w:snapToGrid w:val="0"/>
                <w:vertAlign w:val="superscript"/>
              </w:rPr>
              <w:t>3</w:t>
            </w:r>
            <w:r>
              <w:rPr>
                <w:snapToGrid w:val="0"/>
              </w:rPr>
              <w:t>)</w:t>
            </w:r>
          </w:p>
        </w:tc>
      </w:tr>
    </w:tbl>
    <w:p w:rsidR="00461179" w:rsidRDefault="00461179">
      <w:pPr>
        <w:pStyle w:val="GesAbsatz"/>
        <w:ind w:left="426"/>
      </w:pPr>
    </w:p>
    <w:p w:rsidR="00461179" w:rsidRDefault="00461179">
      <w:pPr>
        <w:pStyle w:val="GesAbsatz"/>
        <w:ind w:firstLine="426"/>
        <w:rPr>
          <w:snapToGrid w:val="0"/>
        </w:rPr>
      </w:pPr>
      <w:r>
        <w:rPr>
          <w:snapToGrid w:val="0"/>
        </w:rPr>
        <w:t>c) PARTIKEL</w:t>
      </w:r>
    </w:p>
    <w:p w:rsidR="00461179" w:rsidRDefault="00461179">
      <w:pPr>
        <w:pStyle w:val="GesAbsatz"/>
        <w:ind w:left="426"/>
        <w:rPr>
          <w:snapToGrid w:val="0"/>
        </w:rPr>
      </w:pPr>
      <w:r>
        <w:rPr>
          <w:snapToGrid w:val="0"/>
        </w:rPr>
        <w:t>Die oberen und unteren PM</w:t>
      </w:r>
      <w:r>
        <w:rPr>
          <w:snapToGrid w:val="0"/>
          <w:vertAlign w:val="subscript"/>
        </w:rPr>
        <w:t>10</w:t>
      </w:r>
      <w:r>
        <w:rPr>
          <w:snapToGrid w:val="0"/>
        </w:rPr>
        <w:t>-Beurteilungsschwellen beruhen auf den Richtgrenzwerten für den 1. Januar 2010.</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260"/>
        <w:gridCol w:w="3259"/>
      </w:tblGrid>
      <w:tr w:rsidR="00461179">
        <w:tc>
          <w:tcPr>
            <w:tcW w:w="2835" w:type="dxa"/>
          </w:tcPr>
          <w:p w:rsidR="00461179" w:rsidRDefault="00461179">
            <w:pPr>
              <w:pStyle w:val="GesAbsatz"/>
            </w:pPr>
          </w:p>
        </w:tc>
        <w:tc>
          <w:tcPr>
            <w:tcW w:w="3260" w:type="dxa"/>
          </w:tcPr>
          <w:p w:rsidR="00461179" w:rsidRDefault="00461179">
            <w:pPr>
              <w:jc w:val="center"/>
            </w:pPr>
            <w:r>
              <w:rPr>
                <w:snapToGrid w:val="0"/>
              </w:rPr>
              <w:t>24-Stunden-Mittelwert</w:t>
            </w:r>
          </w:p>
        </w:tc>
        <w:tc>
          <w:tcPr>
            <w:tcW w:w="3259" w:type="dxa"/>
          </w:tcPr>
          <w:p w:rsidR="00461179" w:rsidRDefault="00461179">
            <w:pPr>
              <w:pStyle w:val="GesAbsatz"/>
              <w:jc w:val="center"/>
            </w:pPr>
            <w:r>
              <w:rPr>
                <w:snapToGrid w:val="0"/>
              </w:rPr>
              <w:t>Jahresmittelwert</w:t>
            </w:r>
          </w:p>
        </w:tc>
      </w:tr>
      <w:tr w:rsidR="00461179">
        <w:tc>
          <w:tcPr>
            <w:tcW w:w="2835" w:type="dxa"/>
          </w:tcPr>
          <w:p w:rsidR="00461179" w:rsidRDefault="00461179">
            <w:pPr>
              <w:pStyle w:val="GesAbsatz"/>
            </w:pPr>
            <w:r>
              <w:t>Obere Beurteilungsschwelle</w:t>
            </w:r>
          </w:p>
        </w:tc>
        <w:tc>
          <w:tcPr>
            <w:tcW w:w="3260" w:type="dxa"/>
          </w:tcPr>
          <w:p w:rsidR="00461179" w:rsidRDefault="00461179">
            <w:pPr>
              <w:pStyle w:val="GesAbsatz"/>
            </w:pPr>
            <w:r>
              <w:rPr>
                <w:snapToGrid w:val="0"/>
              </w:rPr>
              <w:t>60 %des Grenzwerts (30 µg/m</w:t>
            </w:r>
            <w:r>
              <w:rPr>
                <w:snapToGrid w:val="0"/>
                <w:vertAlign w:val="superscript"/>
              </w:rPr>
              <w:t>3</w:t>
            </w:r>
            <w:r>
              <w:rPr>
                <w:snapToGrid w:val="0"/>
              </w:rPr>
              <w:t xml:space="preserve"> dürfen nicht öfter als 7mal im K</w:t>
            </w:r>
            <w:r>
              <w:rPr>
                <w:snapToGrid w:val="0"/>
              </w:rPr>
              <w:t>a</w:t>
            </w:r>
            <w:r>
              <w:rPr>
                <w:snapToGrid w:val="0"/>
              </w:rPr>
              <w:t>lenderjahr überschritten werden)</w:t>
            </w:r>
          </w:p>
        </w:tc>
        <w:tc>
          <w:tcPr>
            <w:tcW w:w="3259" w:type="dxa"/>
          </w:tcPr>
          <w:p w:rsidR="00461179" w:rsidRDefault="00461179">
            <w:pPr>
              <w:pStyle w:val="GesAbsatz"/>
            </w:pPr>
            <w:r>
              <w:rPr>
                <w:snapToGrid w:val="0"/>
              </w:rPr>
              <w:t>70 % des Grenzwerts (14 µg/m</w:t>
            </w:r>
            <w:r>
              <w:rPr>
                <w:snapToGrid w:val="0"/>
                <w:vertAlign w:val="superscript"/>
              </w:rPr>
              <w:t>3</w:t>
            </w:r>
            <w:r>
              <w:rPr>
                <w:snapToGrid w:val="0"/>
              </w:rPr>
              <w:t>)</w:t>
            </w:r>
          </w:p>
        </w:tc>
      </w:tr>
      <w:tr w:rsidR="00461179">
        <w:tc>
          <w:tcPr>
            <w:tcW w:w="2835" w:type="dxa"/>
          </w:tcPr>
          <w:p w:rsidR="00461179" w:rsidRDefault="00461179">
            <w:pPr>
              <w:pStyle w:val="GesAbsatz"/>
            </w:pPr>
            <w:r>
              <w:t>Untere Beurteilungsschwelle</w:t>
            </w:r>
          </w:p>
        </w:tc>
        <w:tc>
          <w:tcPr>
            <w:tcW w:w="3260" w:type="dxa"/>
          </w:tcPr>
          <w:p w:rsidR="00461179" w:rsidRDefault="00461179">
            <w:pPr>
              <w:pStyle w:val="GesAbsatz"/>
            </w:pPr>
            <w:r>
              <w:rPr>
                <w:snapToGrid w:val="0"/>
              </w:rPr>
              <w:t>40 % des Grenzwerts (20 µg/m</w:t>
            </w:r>
            <w:r>
              <w:rPr>
                <w:snapToGrid w:val="0"/>
                <w:vertAlign w:val="superscript"/>
              </w:rPr>
              <w:t>3</w:t>
            </w:r>
            <w:r>
              <w:rPr>
                <w:snapToGrid w:val="0"/>
              </w:rPr>
              <w:t xml:space="preserve"> dürfen nicht öfter als 7mal im K</w:t>
            </w:r>
            <w:r>
              <w:rPr>
                <w:snapToGrid w:val="0"/>
              </w:rPr>
              <w:t>a</w:t>
            </w:r>
            <w:r>
              <w:rPr>
                <w:snapToGrid w:val="0"/>
              </w:rPr>
              <w:t>lenderjahr überschritten werden)</w:t>
            </w:r>
          </w:p>
        </w:tc>
        <w:tc>
          <w:tcPr>
            <w:tcW w:w="3259" w:type="dxa"/>
          </w:tcPr>
          <w:p w:rsidR="00461179" w:rsidRDefault="00461179">
            <w:pPr>
              <w:pStyle w:val="GesAbsatz"/>
            </w:pPr>
            <w:r>
              <w:rPr>
                <w:snapToGrid w:val="0"/>
              </w:rPr>
              <w:t>50 % des Grenzwerts (10 µg/m</w:t>
            </w:r>
            <w:r>
              <w:rPr>
                <w:snapToGrid w:val="0"/>
                <w:vertAlign w:val="superscript"/>
              </w:rPr>
              <w:t>3</w:t>
            </w:r>
            <w:r>
              <w:rPr>
                <w:snapToGrid w:val="0"/>
              </w:rPr>
              <w:t>)</w:t>
            </w:r>
          </w:p>
        </w:tc>
      </w:tr>
    </w:tbl>
    <w:p w:rsidR="00461179" w:rsidRDefault="00461179">
      <w:pPr>
        <w:ind w:left="426"/>
      </w:pPr>
    </w:p>
    <w:p w:rsidR="00461179" w:rsidRDefault="00461179">
      <w:pPr>
        <w:numPr>
          <w:ilvl w:val="0"/>
          <w:numId w:val="23"/>
        </w:numPr>
      </w:pPr>
      <w:r>
        <w:br w:type="page"/>
      </w:r>
      <w:r>
        <w:lastRenderedPageBreak/>
        <w:t>BLEI</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467"/>
      </w:tblGrid>
      <w:tr w:rsidR="00461179">
        <w:tc>
          <w:tcPr>
            <w:tcW w:w="4888" w:type="dxa"/>
          </w:tcPr>
          <w:p w:rsidR="00461179" w:rsidRDefault="00461179">
            <w:pPr>
              <w:pStyle w:val="GesAbsatz"/>
            </w:pPr>
          </w:p>
        </w:tc>
        <w:tc>
          <w:tcPr>
            <w:tcW w:w="4467" w:type="dxa"/>
          </w:tcPr>
          <w:p w:rsidR="00461179" w:rsidRDefault="00461179">
            <w:pPr>
              <w:pStyle w:val="GesAbsatz"/>
              <w:jc w:val="center"/>
            </w:pPr>
            <w:r>
              <w:t>Jahresmittelwert</w:t>
            </w:r>
          </w:p>
        </w:tc>
      </w:tr>
      <w:tr w:rsidR="00461179">
        <w:tc>
          <w:tcPr>
            <w:tcW w:w="4888" w:type="dxa"/>
          </w:tcPr>
          <w:p w:rsidR="00461179" w:rsidRDefault="00461179">
            <w:pPr>
              <w:pStyle w:val="GesAbsatz"/>
            </w:pPr>
            <w:r>
              <w:t>Obere Beurteilungsschwelle</w:t>
            </w:r>
          </w:p>
        </w:tc>
        <w:tc>
          <w:tcPr>
            <w:tcW w:w="4467" w:type="dxa"/>
          </w:tcPr>
          <w:p w:rsidR="00461179" w:rsidRDefault="00461179">
            <w:pPr>
              <w:pStyle w:val="GesAbsatz"/>
            </w:pPr>
            <w:r>
              <w:rPr>
                <w:snapToGrid w:val="0"/>
              </w:rPr>
              <w:t>70 % des Grenzwerts (0,35 µg/m</w:t>
            </w:r>
            <w:r>
              <w:rPr>
                <w:snapToGrid w:val="0"/>
                <w:vertAlign w:val="superscript"/>
              </w:rPr>
              <w:t>3</w:t>
            </w:r>
            <w:r>
              <w:rPr>
                <w:snapToGrid w:val="0"/>
              </w:rPr>
              <w:t>)</w:t>
            </w:r>
          </w:p>
        </w:tc>
      </w:tr>
      <w:tr w:rsidR="00461179">
        <w:tc>
          <w:tcPr>
            <w:tcW w:w="4888" w:type="dxa"/>
          </w:tcPr>
          <w:p w:rsidR="00461179" w:rsidRDefault="00461179">
            <w:pPr>
              <w:pStyle w:val="GesAbsatz"/>
            </w:pPr>
            <w:r>
              <w:t>Untere Beurteilungsschwelle</w:t>
            </w:r>
          </w:p>
        </w:tc>
        <w:tc>
          <w:tcPr>
            <w:tcW w:w="4467" w:type="dxa"/>
          </w:tcPr>
          <w:p w:rsidR="00461179" w:rsidRDefault="00461179">
            <w:pPr>
              <w:pStyle w:val="GesAbsatz"/>
            </w:pPr>
            <w:r>
              <w:rPr>
                <w:snapToGrid w:val="0"/>
              </w:rPr>
              <w:t>50 % des Grenzwerts (0,25 µg/m</w:t>
            </w:r>
            <w:r>
              <w:rPr>
                <w:snapToGrid w:val="0"/>
                <w:vertAlign w:val="superscript"/>
              </w:rPr>
              <w:t>3</w:t>
            </w:r>
            <w:r>
              <w:rPr>
                <w:snapToGrid w:val="0"/>
              </w:rPr>
              <w:t>)</w:t>
            </w:r>
          </w:p>
        </w:tc>
      </w:tr>
    </w:tbl>
    <w:p w:rsidR="00461179" w:rsidRDefault="00461179">
      <w:pPr>
        <w:pStyle w:val="GesAbsatz"/>
        <w:ind w:left="426"/>
      </w:pPr>
    </w:p>
    <w:p w:rsidR="00461179" w:rsidRDefault="00461179">
      <w:pPr>
        <w:pStyle w:val="GesAbsatz"/>
        <w:ind w:left="426" w:hanging="426"/>
        <w:rPr>
          <w:b/>
          <w:snapToGrid w:val="0"/>
        </w:rPr>
      </w:pPr>
      <w:r>
        <w:rPr>
          <w:b/>
          <w:snapToGrid w:val="0"/>
        </w:rPr>
        <w:t>II.</w:t>
      </w:r>
      <w:r>
        <w:rPr>
          <w:b/>
          <w:snapToGrid w:val="0"/>
        </w:rPr>
        <w:tab/>
        <w:t>Ermittlung der Überschreitung der oberen und unteren Beurteilungsschwellen</w:t>
      </w:r>
    </w:p>
    <w:p w:rsidR="00461179" w:rsidRDefault="00461179">
      <w:pPr>
        <w:pStyle w:val="GesAbsatz"/>
        <w:ind w:left="426"/>
        <w:rPr>
          <w:snapToGrid w:val="0"/>
        </w:rPr>
      </w:pPr>
      <w:r>
        <w:rPr>
          <w:snapToGrid w:val="0"/>
        </w:rPr>
        <w:t>Die Überschreitung der oberen und unteren Beurteilungsschwellen ist aufgrund der Konzentration wä</w:t>
      </w:r>
      <w:r>
        <w:rPr>
          <w:snapToGrid w:val="0"/>
        </w:rPr>
        <w:t>h</w:t>
      </w:r>
      <w:r>
        <w:rPr>
          <w:snapToGrid w:val="0"/>
        </w:rPr>
        <w:t>rend der vorhergehenden fünf Jahre zu ermitteln, sofern entsprechende Daten vorliegen. Eine Beurte</w:t>
      </w:r>
      <w:r>
        <w:rPr>
          <w:snapToGrid w:val="0"/>
        </w:rPr>
        <w:t>i</w:t>
      </w:r>
      <w:r>
        <w:rPr>
          <w:snapToGrid w:val="0"/>
        </w:rPr>
        <w:t>lungsschwelle gilt als überschritten, falls sie in mindestens drei dieser fünf vorhergehenden Jahre übe</w:t>
      </w:r>
      <w:r>
        <w:rPr>
          <w:snapToGrid w:val="0"/>
        </w:rPr>
        <w:t>r</w:t>
      </w:r>
      <w:r>
        <w:rPr>
          <w:snapToGrid w:val="0"/>
        </w:rPr>
        <w:t>schritten wurde.</w:t>
      </w:r>
    </w:p>
    <w:p w:rsidR="00461179" w:rsidRDefault="00461179">
      <w:pPr>
        <w:pStyle w:val="GesAbsatz"/>
        <w:ind w:left="426"/>
        <w:rPr>
          <w:snapToGrid w:val="0"/>
        </w:rPr>
      </w:pPr>
      <w:r>
        <w:rPr>
          <w:snapToGrid w:val="0"/>
        </w:rPr>
        <w:t>Liegen lediglich Daten für weniger als fünf vorhergehende Jahre vor, können die Mitgliedstaaten die E</w:t>
      </w:r>
      <w:r>
        <w:rPr>
          <w:snapToGrid w:val="0"/>
        </w:rPr>
        <w:t>r</w:t>
      </w:r>
      <w:r>
        <w:rPr>
          <w:snapToGrid w:val="0"/>
        </w:rPr>
        <w:t>gebnisse von kurzzeitigen Messkampagnen während derjenigen Jahreszeit und an denjenigen Stellen, die für die höchsten Schadstoffwerte typisch sein dürften, mit Informationen aus Emissionskatastern und Modellen verbinden, um die Überschreitungen der oberen und unteren Beurteilungsschwellen zu ermitteln.</w:t>
      </w:r>
    </w:p>
    <w:p w:rsidR="00461179" w:rsidRDefault="00461179">
      <w:pPr>
        <w:pStyle w:val="berschrift2"/>
        <w:jc w:val="left"/>
        <w:rPr>
          <w:snapToGrid w:val="0"/>
        </w:rPr>
      </w:pPr>
      <w:r>
        <w:rPr>
          <w:snapToGrid w:val="0"/>
        </w:rPr>
        <w:br w:type="page"/>
      </w:r>
      <w:bookmarkStart w:id="21" w:name="_Toc202752887"/>
      <w:r>
        <w:rPr>
          <w:snapToGrid w:val="0"/>
        </w:rPr>
        <w:lastRenderedPageBreak/>
        <w:t>ANHANG VI</w:t>
      </w:r>
      <w:r>
        <w:rPr>
          <w:snapToGrid w:val="0"/>
        </w:rPr>
        <w:br/>
      </w:r>
      <w:r>
        <w:rPr>
          <w:caps/>
          <w:snapToGrid w:val="0"/>
        </w:rPr>
        <w:t>Lage der Probenahmestellen</w:t>
      </w:r>
      <w:r>
        <w:rPr>
          <w:snapToGrid w:val="0"/>
        </w:rPr>
        <w:t xml:space="preserve"> FÜR MESSUNGEN VON SCHWEFELDIOXID,</w:t>
      </w:r>
      <w:r>
        <w:rPr>
          <w:b w:val="0"/>
          <w:snapToGrid w:val="0"/>
        </w:rPr>
        <w:t xml:space="preserve"> </w:t>
      </w:r>
      <w:r>
        <w:rPr>
          <w:snapToGrid w:val="0"/>
        </w:rPr>
        <w:t>STICKSTOFFDIOXID UND STICKSTOFFOXIDEN,</w:t>
      </w:r>
      <w:r>
        <w:rPr>
          <w:b w:val="0"/>
          <w:snapToGrid w:val="0"/>
        </w:rPr>
        <w:t xml:space="preserve"> </w:t>
      </w:r>
      <w:r>
        <w:rPr>
          <w:snapToGrid w:val="0"/>
        </w:rPr>
        <w:t>PARTIKELN UND BLEI IN DER LUFT</w:t>
      </w:r>
      <w:bookmarkEnd w:id="21"/>
    </w:p>
    <w:p w:rsidR="00461179" w:rsidRDefault="00461179">
      <w:pPr>
        <w:pStyle w:val="GesAbsatz"/>
        <w:rPr>
          <w:snapToGrid w:val="0"/>
        </w:rPr>
      </w:pPr>
      <w:r>
        <w:rPr>
          <w:snapToGrid w:val="0"/>
        </w:rPr>
        <w:t>Die folgenden Kriterien gelten für ortsfeste Messungen.</w:t>
      </w:r>
    </w:p>
    <w:p w:rsidR="00461179" w:rsidRDefault="00461179">
      <w:pPr>
        <w:pStyle w:val="GesAbsatz"/>
        <w:rPr>
          <w:b/>
          <w:snapToGrid w:val="0"/>
        </w:rPr>
      </w:pPr>
      <w:r>
        <w:rPr>
          <w:snapToGrid w:val="0"/>
        </w:rPr>
        <w:t>I.</w:t>
      </w:r>
      <w:r>
        <w:rPr>
          <w:snapToGrid w:val="0"/>
        </w:rPr>
        <w:tab/>
      </w:r>
      <w:r>
        <w:rPr>
          <w:b/>
          <w:snapToGrid w:val="0"/>
        </w:rPr>
        <w:t>Großräumige Standortkriterien</w:t>
      </w:r>
    </w:p>
    <w:p w:rsidR="00461179" w:rsidRDefault="00461179">
      <w:pPr>
        <w:pStyle w:val="GesAbsatz"/>
        <w:rPr>
          <w:snapToGrid w:val="0"/>
        </w:rPr>
      </w:pPr>
      <w:r>
        <w:rPr>
          <w:snapToGrid w:val="0"/>
        </w:rPr>
        <w:tab/>
        <w:t>a)</w:t>
      </w:r>
      <w:r>
        <w:rPr>
          <w:snapToGrid w:val="0"/>
        </w:rPr>
        <w:tab/>
        <w:t>Schutz der menschlichen Gesundheit</w:t>
      </w:r>
    </w:p>
    <w:p w:rsidR="00461179" w:rsidRDefault="00461179">
      <w:pPr>
        <w:pStyle w:val="GesAbsatz"/>
        <w:ind w:left="709"/>
        <w:rPr>
          <w:snapToGrid w:val="0"/>
        </w:rPr>
      </w:pPr>
      <w:r>
        <w:rPr>
          <w:snapToGrid w:val="0"/>
        </w:rPr>
        <w:t>Die Probenahmestellen, an denen Messungen zum Schutz der menschlichen Gesundheit vorg</w:t>
      </w:r>
      <w:r>
        <w:rPr>
          <w:snapToGrid w:val="0"/>
        </w:rPr>
        <w:t>e</w:t>
      </w:r>
      <w:r>
        <w:rPr>
          <w:snapToGrid w:val="0"/>
        </w:rPr>
        <w:t xml:space="preserve">nommen werden, sollten so gelegt werden, </w:t>
      </w:r>
      <w:proofErr w:type="spellStart"/>
      <w:r>
        <w:rPr>
          <w:snapToGrid w:val="0"/>
        </w:rPr>
        <w:t>daß</w:t>
      </w:r>
      <w:proofErr w:type="spellEnd"/>
      <w:r>
        <w:rPr>
          <w:snapToGrid w:val="0"/>
        </w:rPr>
        <w:t xml:space="preserve"> </w:t>
      </w:r>
    </w:p>
    <w:p w:rsidR="00461179" w:rsidRDefault="00461179">
      <w:pPr>
        <w:pStyle w:val="GesAbsatz"/>
        <w:numPr>
          <w:ilvl w:val="0"/>
          <w:numId w:val="24"/>
        </w:numPr>
        <w:tabs>
          <w:tab w:val="clear" w:pos="425"/>
          <w:tab w:val="clear" w:pos="720"/>
        </w:tabs>
        <w:ind w:left="993" w:hanging="284"/>
        <w:rPr>
          <w:snapToGrid w:val="0"/>
        </w:rPr>
      </w:pPr>
      <w:r>
        <w:rPr>
          <w:snapToGrid w:val="0"/>
        </w:rPr>
        <w:t>Daten zu den Bereichen innerhalb von Gebieten und Ballungsräumen gewonnen werden, in d</w:t>
      </w:r>
      <w:r>
        <w:rPr>
          <w:snapToGrid w:val="0"/>
        </w:rPr>
        <w:t>e</w:t>
      </w:r>
      <w:r>
        <w:rPr>
          <w:snapToGrid w:val="0"/>
        </w:rPr>
        <w:t>nen die höchsten Konzentrationen auftreten, denen die Bevölkerung wahrscheinlich direkt oder indirekt über einen im Verhältnis zur Mittelungszeit der betreffenden Grenzwerte signifikanten Zeitraum ausgesetzt sein wird;</w:t>
      </w:r>
    </w:p>
    <w:p w:rsidR="00461179" w:rsidRDefault="00461179">
      <w:pPr>
        <w:pStyle w:val="GesAbsatz"/>
        <w:numPr>
          <w:ilvl w:val="0"/>
          <w:numId w:val="24"/>
        </w:numPr>
        <w:tabs>
          <w:tab w:val="clear" w:pos="425"/>
          <w:tab w:val="clear" w:pos="720"/>
        </w:tabs>
        <w:ind w:left="993" w:hanging="284"/>
        <w:rPr>
          <w:snapToGrid w:val="0"/>
        </w:rPr>
      </w:pPr>
      <w:r>
        <w:rPr>
          <w:snapToGrid w:val="0"/>
        </w:rPr>
        <w:t>Daten zu Konzentrationen in anderen Bereichen innerhalb von Gebieten und Ballungsräumen gewonnen werden, die für die Exposition der Bevölkerung im allgemeinen repräsentativ sind.</w:t>
      </w:r>
    </w:p>
    <w:p w:rsidR="00461179" w:rsidRDefault="00461179">
      <w:pPr>
        <w:pStyle w:val="GesAbsatz"/>
        <w:ind w:left="709"/>
        <w:rPr>
          <w:snapToGrid w:val="0"/>
        </w:rPr>
      </w:pPr>
      <w:r>
        <w:rPr>
          <w:snapToGrid w:val="0"/>
        </w:rPr>
        <w:t xml:space="preserve">Die Probenahmestellen sollten im allgemeinen so gelegt werden, </w:t>
      </w:r>
      <w:proofErr w:type="spellStart"/>
      <w:r>
        <w:rPr>
          <w:snapToGrid w:val="0"/>
        </w:rPr>
        <w:t>daß</w:t>
      </w:r>
      <w:proofErr w:type="spellEnd"/>
      <w:r>
        <w:rPr>
          <w:snapToGrid w:val="0"/>
        </w:rPr>
        <w:t xml:space="preserve"> die Messung sehr begrenzter und kleinräumiger Umweltbedingungen in ihrer unmittelbaren Nähe vermieden wird. Als Anhalt</w:t>
      </w:r>
      <w:r>
        <w:rPr>
          <w:snapToGrid w:val="0"/>
        </w:rPr>
        <w:t>s</w:t>
      </w:r>
      <w:r>
        <w:rPr>
          <w:snapToGrid w:val="0"/>
        </w:rPr>
        <w:t xml:space="preserve">punkt gilt, </w:t>
      </w:r>
      <w:proofErr w:type="spellStart"/>
      <w:r>
        <w:rPr>
          <w:snapToGrid w:val="0"/>
        </w:rPr>
        <w:t>daß</w:t>
      </w:r>
      <w:proofErr w:type="spellEnd"/>
      <w:r>
        <w:rPr>
          <w:snapToGrid w:val="0"/>
        </w:rPr>
        <w:t xml:space="preserve"> eine Probenahmestelle so gelegen sein sollte, </w:t>
      </w:r>
      <w:proofErr w:type="spellStart"/>
      <w:r>
        <w:rPr>
          <w:snapToGrid w:val="0"/>
        </w:rPr>
        <w:t>daß</w:t>
      </w:r>
      <w:proofErr w:type="spellEnd"/>
      <w:r>
        <w:rPr>
          <w:snapToGrid w:val="0"/>
        </w:rPr>
        <w:t xml:space="preserve"> sie für die Luftqualität in einem umgebenden Bereich von mindestens 200 m</w:t>
      </w:r>
      <w:r>
        <w:rPr>
          <w:snapToGrid w:val="0"/>
          <w:vertAlign w:val="superscript"/>
        </w:rPr>
        <w:t>2</w:t>
      </w:r>
      <w:r>
        <w:rPr>
          <w:snapToGrid w:val="0"/>
        </w:rPr>
        <w:t xml:space="preserve"> bei Probenahmestellen für den Verkehr und mehreren Quadratkilometern bei Probenahmestellen für städtische Hintergrundquellen repräsentativ ist.</w:t>
      </w:r>
    </w:p>
    <w:p w:rsidR="00461179" w:rsidRDefault="00461179">
      <w:pPr>
        <w:pStyle w:val="GesAbsatz"/>
        <w:ind w:left="709"/>
        <w:rPr>
          <w:snapToGrid w:val="0"/>
        </w:rPr>
      </w:pPr>
      <w:r>
        <w:rPr>
          <w:snapToGrid w:val="0"/>
        </w:rPr>
        <w:t>Die Probenahmestellen sollten soweit wie möglich auch für ähnliche Standorte repräsentativ sein, die nicht in ihrer unmittelbaren Nähe gelegen sind.</w:t>
      </w:r>
    </w:p>
    <w:p w:rsidR="00461179" w:rsidRDefault="00461179">
      <w:pPr>
        <w:pStyle w:val="GesAbsatz"/>
        <w:ind w:left="709"/>
        <w:rPr>
          <w:snapToGrid w:val="0"/>
        </w:rPr>
      </w:pPr>
      <w:r>
        <w:rPr>
          <w:snapToGrid w:val="0"/>
        </w:rPr>
        <w:t xml:space="preserve">Es ist zu berücksichtigen, </w:t>
      </w:r>
      <w:proofErr w:type="spellStart"/>
      <w:r>
        <w:rPr>
          <w:snapToGrid w:val="0"/>
        </w:rPr>
        <w:t>daß</w:t>
      </w:r>
      <w:proofErr w:type="spellEnd"/>
      <w:r>
        <w:rPr>
          <w:snapToGrid w:val="0"/>
        </w:rPr>
        <w:t xml:space="preserve"> Probenahmestellen auf Inseln angelegt werden müssen, falls dies für den Schutz der menschlichen Gesundheit erforderlich ist.</w:t>
      </w:r>
    </w:p>
    <w:p w:rsidR="00461179" w:rsidRDefault="00461179">
      <w:pPr>
        <w:pStyle w:val="GesAbsatz"/>
        <w:ind w:left="709" w:hanging="709"/>
        <w:rPr>
          <w:snapToGrid w:val="0"/>
        </w:rPr>
      </w:pPr>
      <w:r>
        <w:rPr>
          <w:snapToGrid w:val="0"/>
        </w:rPr>
        <w:tab/>
        <w:t>b)</w:t>
      </w:r>
      <w:r>
        <w:rPr>
          <w:snapToGrid w:val="0"/>
        </w:rPr>
        <w:tab/>
        <w:t>Schutz von Ökosystemen und Schutz der Vegetation</w:t>
      </w:r>
    </w:p>
    <w:p w:rsidR="00461179" w:rsidRDefault="00461179">
      <w:pPr>
        <w:pStyle w:val="GesAbsatz"/>
        <w:ind w:left="709"/>
        <w:rPr>
          <w:snapToGrid w:val="0"/>
        </w:rPr>
      </w:pPr>
      <w:r>
        <w:rPr>
          <w:snapToGrid w:val="0"/>
        </w:rPr>
        <w:t xml:space="preserve">Die Probenahmestellen, an denen Messungen zum Schutz von Ökosystemen oder zum Schutz der Vegetation vorgenommen werden, sollten so gelegt werden, </w:t>
      </w:r>
      <w:proofErr w:type="spellStart"/>
      <w:r>
        <w:rPr>
          <w:snapToGrid w:val="0"/>
        </w:rPr>
        <w:t>daß</w:t>
      </w:r>
      <w:proofErr w:type="spellEnd"/>
      <w:r>
        <w:rPr>
          <w:snapToGrid w:val="0"/>
        </w:rPr>
        <w:t xml:space="preserve"> sie mehr als 20 km von Ballung</w:t>
      </w:r>
      <w:r>
        <w:rPr>
          <w:snapToGrid w:val="0"/>
        </w:rPr>
        <w:t>s</w:t>
      </w:r>
      <w:r>
        <w:rPr>
          <w:snapToGrid w:val="0"/>
        </w:rPr>
        <w:t xml:space="preserve">räumen oder 5 km von anderen bebauten Gebieten, Industrieanlagen oder Straßen entfernt sind. Als Anhaltspunkt gilt, </w:t>
      </w:r>
      <w:proofErr w:type="spellStart"/>
      <w:r>
        <w:rPr>
          <w:snapToGrid w:val="0"/>
        </w:rPr>
        <w:t>daß</w:t>
      </w:r>
      <w:proofErr w:type="spellEnd"/>
      <w:r>
        <w:rPr>
          <w:snapToGrid w:val="0"/>
        </w:rPr>
        <w:t xml:space="preserve"> eine Probenahmestelle so gelegen sein sollte, </w:t>
      </w:r>
      <w:proofErr w:type="spellStart"/>
      <w:r>
        <w:rPr>
          <w:snapToGrid w:val="0"/>
        </w:rPr>
        <w:t>daß</w:t>
      </w:r>
      <w:proofErr w:type="spellEnd"/>
      <w:r>
        <w:rPr>
          <w:snapToGrid w:val="0"/>
        </w:rPr>
        <w:t xml:space="preserve"> sie für die Luftqualität in einem umgebenden Bereich von mindestens 1 000 km</w:t>
      </w:r>
      <w:r>
        <w:rPr>
          <w:snapToGrid w:val="0"/>
          <w:vertAlign w:val="superscript"/>
        </w:rPr>
        <w:t>2</w:t>
      </w:r>
      <w:r>
        <w:rPr>
          <w:snapToGrid w:val="0"/>
        </w:rPr>
        <w:t xml:space="preserve"> repräsentativ ist. Die Mitgliedstaaten können unter Berücksichtigung der geographischen Gegebenheiten vorsehen, </w:t>
      </w:r>
      <w:proofErr w:type="spellStart"/>
      <w:r>
        <w:rPr>
          <w:snapToGrid w:val="0"/>
        </w:rPr>
        <w:t>daß</w:t>
      </w:r>
      <w:proofErr w:type="spellEnd"/>
      <w:r>
        <w:rPr>
          <w:snapToGrid w:val="0"/>
        </w:rPr>
        <w:t xml:space="preserve"> eine Probenahmestelle in geringerer Entfernung gelegen oder für die Luftqualität in einem kleineren umgebenden Bereich repräsentativ ist.</w:t>
      </w:r>
    </w:p>
    <w:p w:rsidR="00461179" w:rsidRDefault="00461179">
      <w:pPr>
        <w:pStyle w:val="GesAbsatz"/>
        <w:ind w:firstLine="709"/>
        <w:rPr>
          <w:snapToGrid w:val="0"/>
        </w:rPr>
      </w:pPr>
      <w:r>
        <w:rPr>
          <w:snapToGrid w:val="0"/>
        </w:rPr>
        <w:t xml:space="preserve">Es ist zu berücksichtigen, </w:t>
      </w:r>
      <w:proofErr w:type="spellStart"/>
      <w:r>
        <w:rPr>
          <w:snapToGrid w:val="0"/>
        </w:rPr>
        <w:t>daß</w:t>
      </w:r>
      <w:proofErr w:type="spellEnd"/>
      <w:r>
        <w:rPr>
          <w:snapToGrid w:val="0"/>
        </w:rPr>
        <w:t xml:space="preserve"> die Luftqualität auf Inseln bewertet werden </w:t>
      </w:r>
      <w:proofErr w:type="spellStart"/>
      <w:r>
        <w:rPr>
          <w:snapToGrid w:val="0"/>
        </w:rPr>
        <w:t>muß</w:t>
      </w:r>
      <w:proofErr w:type="spellEnd"/>
      <w:r>
        <w:rPr>
          <w:snapToGrid w:val="0"/>
        </w:rPr>
        <w:t>.</w:t>
      </w:r>
    </w:p>
    <w:p w:rsidR="00461179" w:rsidRDefault="00461179">
      <w:pPr>
        <w:pStyle w:val="GesAbsatz"/>
        <w:rPr>
          <w:b/>
          <w:snapToGrid w:val="0"/>
        </w:rPr>
      </w:pPr>
      <w:r>
        <w:rPr>
          <w:b/>
          <w:snapToGrid w:val="0"/>
        </w:rPr>
        <w:t xml:space="preserve">II. </w:t>
      </w:r>
      <w:r>
        <w:rPr>
          <w:b/>
          <w:snapToGrid w:val="0"/>
        </w:rPr>
        <w:tab/>
        <w:t>Lokale Standortkriterien</w:t>
      </w:r>
    </w:p>
    <w:p w:rsidR="00461179" w:rsidRDefault="00461179">
      <w:pPr>
        <w:pStyle w:val="GesAbsatz"/>
        <w:ind w:firstLine="426"/>
        <w:rPr>
          <w:snapToGrid w:val="0"/>
        </w:rPr>
      </w:pPr>
      <w:r>
        <w:rPr>
          <w:snapToGrid w:val="0"/>
        </w:rPr>
        <w:t>Die folgenden Leitlinien sollten berücksichtigt werden, soweit dies praktisch möglich ist:</w:t>
      </w:r>
    </w:p>
    <w:p w:rsidR="00461179" w:rsidRDefault="00461179">
      <w:pPr>
        <w:pStyle w:val="GesAbsatz"/>
        <w:numPr>
          <w:ilvl w:val="0"/>
          <w:numId w:val="25"/>
        </w:numPr>
        <w:tabs>
          <w:tab w:val="clear" w:pos="360"/>
          <w:tab w:val="clear" w:pos="425"/>
        </w:tabs>
        <w:ind w:left="709" w:hanging="283"/>
        <w:rPr>
          <w:snapToGrid w:val="0"/>
        </w:rPr>
      </w:pPr>
      <w:r>
        <w:rPr>
          <w:snapToGrid w:val="0"/>
        </w:rPr>
        <w:t xml:space="preserve">Der Luftstrom um den </w:t>
      </w:r>
      <w:proofErr w:type="spellStart"/>
      <w:r>
        <w:rPr>
          <w:snapToGrid w:val="0"/>
        </w:rPr>
        <w:t>Meßeinlaß</w:t>
      </w:r>
      <w:proofErr w:type="spellEnd"/>
      <w:r>
        <w:rPr>
          <w:snapToGrid w:val="0"/>
        </w:rPr>
        <w:t xml:space="preserve"> darf nicht beeinträchtigt werden, und es dürfen keine den Luftstrom beeinflussenden Hindernisse in der Nähe des </w:t>
      </w:r>
      <w:proofErr w:type="spellStart"/>
      <w:r>
        <w:rPr>
          <w:snapToGrid w:val="0"/>
        </w:rPr>
        <w:t>Meßeinlasses</w:t>
      </w:r>
      <w:proofErr w:type="spellEnd"/>
      <w:r>
        <w:rPr>
          <w:snapToGrid w:val="0"/>
        </w:rPr>
        <w:t xml:space="preserve"> vorhanden sein (die </w:t>
      </w:r>
      <w:proofErr w:type="spellStart"/>
      <w:r>
        <w:rPr>
          <w:snapToGrid w:val="0"/>
        </w:rPr>
        <w:t>Meßsonde</w:t>
      </w:r>
      <w:proofErr w:type="spellEnd"/>
      <w:r>
        <w:rPr>
          <w:snapToGrid w:val="0"/>
        </w:rPr>
        <w:t xml:space="preserve"> </w:t>
      </w:r>
      <w:proofErr w:type="spellStart"/>
      <w:r>
        <w:rPr>
          <w:snapToGrid w:val="0"/>
        </w:rPr>
        <w:t>muß</w:t>
      </w:r>
      <w:proofErr w:type="spellEnd"/>
      <w:r>
        <w:rPr>
          <w:snapToGrid w:val="0"/>
        </w:rPr>
        <w:t xml:space="preserve"> in der Regel einige Meter von Gebäuden, Balkonen, Bäumen und anderen Hindernissen sowie im Fall von Probenahmestellen für die Luftqualität an der Baufluchtlinie mindestens 0,5 m vom nächsten Gebäude entfernt sein).</w:t>
      </w:r>
    </w:p>
    <w:p w:rsidR="00461179" w:rsidRDefault="00461179">
      <w:pPr>
        <w:pStyle w:val="GesAbsatz"/>
        <w:numPr>
          <w:ilvl w:val="0"/>
          <w:numId w:val="27"/>
        </w:numPr>
        <w:tabs>
          <w:tab w:val="clear" w:pos="360"/>
          <w:tab w:val="clear" w:pos="425"/>
        </w:tabs>
        <w:ind w:left="709" w:hanging="283"/>
        <w:rPr>
          <w:snapToGrid w:val="0"/>
        </w:rPr>
      </w:pPr>
      <w:r>
        <w:rPr>
          <w:snapToGrid w:val="0"/>
        </w:rPr>
        <w:t xml:space="preserve">Im allgemeinen sollte der </w:t>
      </w:r>
      <w:proofErr w:type="spellStart"/>
      <w:r>
        <w:rPr>
          <w:snapToGrid w:val="0"/>
        </w:rPr>
        <w:t>Meßeinlaß</w:t>
      </w:r>
      <w:proofErr w:type="spellEnd"/>
      <w:r>
        <w:rPr>
          <w:snapToGrid w:val="0"/>
        </w:rPr>
        <w:t xml:space="preserve"> in einer Höhe zwischen 1,5 m (</w:t>
      </w:r>
      <w:proofErr w:type="spellStart"/>
      <w:r>
        <w:rPr>
          <w:snapToGrid w:val="0"/>
        </w:rPr>
        <w:t>Atemzone</w:t>
      </w:r>
      <w:proofErr w:type="spellEnd"/>
      <w:r>
        <w:rPr>
          <w:snapToGrid w:val="0"/>
        </w:rPr>
        <w:t>) und 4 m über dem Boden angeordnet sein. Eine höhere Lage des Einlasses (bis zu 8 m) kann unter Umständen ang</w:t>
      </w:r>
      <w:r>
        <w:rPr>
          <w:snapToGrid w:val="0"/>
        </w:rPr>
        <w:t>e</w:t>
      </w:r>
      <w:r>
        <w:rPr>
          <w:snapToGrid w:val="0"/>
        </w:rPr>
        <w:t xml:space="preserve">zeigt sein. Ein höhergelegener </w:t>
      </w:r>
      <w:proofErr w:type="spellStart"/>
      <w:r>
        <w:rPr>
          <w:snapToGrid w:val="0"/>
        </w:rPr>
        <w:t>Einlaß</w:t>
      </w:r>
      <w:proofErr w:type="spellEnd"/>
      <w:r>
        <w:rPr>
          <w:snapToGrid w:val="0"/>
        </w:rPr>
        <w:t xml:space="preserve"> kann auch angezeigt sein, wenn die </w:t>
      </w:r>
      <w:proofErr w:type="spellStart"/>
      <w:r>
        <w:rPr>
          <w:snapToGrid w:val="0"/>
        </w:rPr>
        <w:t>Meßstation</w:t>
      </w:r>
      <w:proofErr w:type="spellEnd"/>
      <w:r>
        <w:rPr>
          <w:snapToGrid w:val="0"/>
        </w:rPr>
        <w:t xml:space="preserve"> für ein größ</w:t>
      </w:r>
      <w:r>
        <w:rPr>
          <w:snapToGrid w:val="0"/>
        </w:rPr>
        <w:t>e</w:t>
      </w:r>
      <w:r>
        <w:rPr>
          <w:snapToGrid w:val="0"/>
        </w:rPr>
        <w:t>res Gebiet repräsentativ ist.</w:t>
      </w:r>
    </w:p>
    <w:p w:rsidR="00461179" w:rsidRDefault="00461179">
      <w:pPr>
        <w:pStyle w:val="GesAbsatz"/>
        <w:numPr>
          <w:ilvl w:val="0"/>
          <w:numId w:val="27"/>
        </w:numPr>
        <w:tabs>
          <w:tab w:val="clear" w:pos="360"/>
          <w:tab w:val="clear" w:pos="425"/>
        </w:tabs>
        <w:ind w:left="709" w:hanging="283"/>
        <w:rPr>
          <w:snapToGrid w:val="0"/>
        </w:rPr>
      </w:pPr>
      <w:r>
        <w:rPr>
          <w:snapToGrid w:val="0"/>
        </w:rPr>
        <w:t xml:space="preserve">Der </w:t>
      </w:r>
      <w:proofErr w:type="spellStart"/>
      <w:r>
        <w:rPr>
          <w:snapToGrid w:val="0"/>
        </w:rPr>
        <w:t>Meßeinlaß</w:t>
      </w:r>
      <w:proofErr w:type="spellEnd"/>
      <w:r>
        <w:rPr>
          <w:snapToGrid w:val="0"/>
        </w:rPr>
        <w:t xml:space="preserve"> darf nicht in nächster Nähe von Quellen </w:t>
      </w:r>
      <w:proofErr w:type="spellStart"/>
      <w:r>
        <w:rPr>
          <w:snapToGrid w:val="0"/>
        </w:rPr>
        <w:t>plaziert</w:t>
      </w:r>
      <w:proofErr w:type="spellEnd"/>
      <w:r>
        <w:rPr>
          <w:snapToGrid w:val="0"/>
        </w:rPr>
        <w:t xml:space="preserve"> werden, um die unmittelbare Einle</w:t>
      </w:r>
      <w:r>
        <w:rPr>
          <w:snapToGrid w:val="0"/>
        </w:rPr>
        <w:t>i</w:t>
      </w:r>
      <w:r>
        <w:rPr>
          <w:snapToGrid w:val="0"/>
        </w:rPr>
        <w:t>tung von Emissionen, die nicht mit der Umgebungsluft vermischt sind, zu vermeiden.</w:t>
      </w:r>
    </w:p>
    <w:p w:rsidR="00461179" w:rsidRDefault="00461179">
      <w:pPr>
        <w:pStyle w:val="GesAbsatz"/>
        <w:numPr>
          <w:ilvl w:val="0"/>
          <w:numId w:val="27"/>
        </w:numPr>
        <w:tabs>
          <w:tab w:val="clear" w:pos="360"/>
          <w:tab w:val="clear" w:pos="425"/>
        </w:tabs>
        <w:ind w:left="709" w:hanging="283"/>
        <w:rPr>
          <w:snapToGrid w:val="0"/>
        </w:rPr>
      </w:pPr>
      <w:r>
        <w:rPr>
          <w:snapToGrid w:val="0"/>
        </w:rPr>
        <w:t xml:space="preserve">Die Abluftleitung der </w:t>
      </w:r>
      <w:proofErr w:type="spellStart"/>
      <w:r>
        <w:rPr>
          <w:snapToGrid w:val="0"/>
        </w:rPr>
        <w:t>Meßstation</w:t>
      </w:r>
      <w:proofErr w:type="spellEnd"/>
      <w:r>
        <w:rPr>
          <w:snapToGrid w:val="0"/>
        </w:rPr>
        <w:t xml:space="preserve"> ist so zu legen, </w:t>
      </w:r>
      <w:proofErr w:type="spellStart"/>
      <w:r>
        <w:rPr>
          <w:snapToGrid w:val="0"/>
        </w:rPr>
        <w:t>daß</w:t>
      </w:r>
      <w:proofErr w:type="spellEnd"/>
      <w:r>
        <w:rPr>
          <w:snapToGrid w:val="0"/>
        </w:rPr>
        <w:t xml:space="preserve"> ein Wiedereintritt der Abluft in den </w:t>
      </w:r>
      <w:proofErr w:type="spellStart"/>
      <w:r>
        <w:rPr>
          <w:snapToGrid w:val="0"/>
        </w:rPr>
        <w:t>Meßeinlaß</w:t>
      </w:r>
      <w:proofErr w:type="spellEnd"/>
      <w:r>
        <w:rPr>
          <w:snapToGrid w:val="0"/>
        </w:rPr>
        <w:t xml:space="preserve"> vermieden wird.</w:t>
      </w:r>
    </w:p>
    <w:p w:rsidR="00461179" w:rsidRDefault="00461179">
      <w:pPr>
        <w:pStyle w:val="GesAbsatz"/>
        <w:numPr>
          <w:ilvl w:val="0"/>
          <w:numId w:val="29"/>
        </w:numPr>
        <w:tabs>
          <w:tab w:val="clear" w:pos="360"/>
          <w:tab w:val="clear" w:pos="425"/>
        </w:tabs>
        <w:ind w:left="709" w:hanging="283"/>
        <w:rPr>
          <w:snapToGrid w:val="0"/>
        </w:rPr>
      </w:pPr>
      <w:r>
        <w:rPr>
          <w:snapToGrid w:val="0"/>
        </w:rPr>
        <w:br w:type="page"/>
      </w:r>
      <w:proofErr w:type="spellStart"/>
      <w:r>
        <w:rPr>
          <w:snapToGrid w:val="0"/>
        </w:rPr>
        <w:lastRenderedPageBreak/>
        <w:t>Meßstationen</w:t>
      </w:r>
      <w:proofErr w:type="spellEnd"/>
      <w:r>
        <w:rPr>
          <w:snapToGrid w:val="0"/>
        </w:rPr>
        <w:t xml:space="preserve"> für den Verkehr sollten</w:t>
      </w:r>
    </w:p>
    <w:p w:rsidR="00461179" w:rsidRDefault="00461179">
      <w:pPr>
        <w:pStyle w:val="GesAbsatz"/>
        <w:numPr>
          <w:ilvl w:val="0"/>
          <w:numId w:val="28"/>
        </w:numPr>
        <w:tabs>
          <w:tab w:val="clear" w:pos="360"/>
          <w:tab w:val="clear" w:pos="425"/>
        </w:tabs>
        <w:ind w:left="993" w:hanging="284"/>
        <w:rPr>
          <w:snapToGrid w:val="0"/>
        </w:rPr>
      </w:pPr>
      <w:r>
        <w:rPr>
          <w:snapToGrid w:val="0"/>
        </w:rPr>
        <w:t xml:space="preserve">in </w:t>
      </w:r>
      <w:proofErr w:type="spellStart"/>
      <w:r>
        <w:rPr>
          <w:snapToGrid w:val="0"/>
        </w:rPr>
        <w:t>bezug</w:t>
      </w:r>
      <w:proofErr w:type="spellEnd"/>
      <w:r>
        <w:rPr>
          <w:snapToGrid w:val="0"/>
        </w:rPr>
        <w:t xml:space="preserve"> auf alle Schadstoffe mindestens 25 m von großen Kreuzungen und mindestens 4 m von der Mitte der nächstgelegenen Fahrspur entfernt sein;</w:t>
      </w:r>
    </w:p>
    <w:p w:rsidR="00461179" w:rsidRDefault="00461179">
      <w:pPr>
        <w:pStyle w:val="GesAbsatz"/>
        <w:numPr>
          <w:ilvl w:val="0"/>
          <w:numId w:val="28"/>
        </w:numPr>
        <w:tabs>
          <w:tab w:val="clear" w:pos="360"/>
          <w:tab w:val="clear" w:pos="425"/>
        </w:tabs>
        <w:ind w:left="993" w:hanging="284"/>
        <w:rPr>
          <w:snapToGrid w:val="0"/>
        </w:rPr>
      </w:pPr>
      <w:r>
        <w:rPr>
          <w:snapToGrid w:val="0"/>
        </w:rPr>
        <w:t>für Stickstoffdioxid-Messungen höchstens 5 m vom Fahrbahnrand entfernt sein;</w:t>
      </w:r>
    </w:p>
    <w:p w:rsidR="00461179" w:rsidRDefault="00461179">
      <w:pPr>
        <w:pStyle w:val="GesAbsatz"/>
        <w:numPr>
          <w:ilvl w:val="0"/>
          <w:numId w:val="28"/>
        </w:numPr>
        <w:tabs>
          <w:tab w:val="clear" w:pos="360"/>
          <w:tab w:val="clear" w:pos="425"/>
        </w:tabs>
        <w:ind w:left="993" w:hanging="284"/>
        <w:rPr>
          <w:snapToGrid w:val="0"/>
        </w:rPr>
      </w:pPr>
      <w:r>
        <w:rPr>
          <w:snapToGrid w:val="0"/>
        </w:rPr>
        <w:t xml:space="preserve">zur Messung von Partikeln und Blei so gelegen sein, </w:t>
      </w:r>
      <w:proofErr w:type="spellStart"/>
      <w:r>
        <w:rPr>
          <w:snapToGrid w:val="0"/>
        </w:rPr>
        <w:t>daß</w:t>
      </w:r>
      <w:proofErr w:type="spellEnd"/>
      <w:r>
        <w:rPr>
          <w:snapToGrid w:val="0"/>
        </w:rPr>
        <w:t xml:space="preserve"> sie für die Luftqualität nahe der Ba</w:t>
      </w:r>
      <w:r>
        <w:rPr>
          <w:snapToGrid w:val="0"/>
        </w:rPr>
        <w:t>u</w:t>
      </w:r>
      <w:r>
        <w:rPr>
          <w:snapToGrid w:val="0"/>
        </w:rPr>
        <w:t>fluchtlinie repräsentativ sind.</w:t>
      </w:r>
    </w:p>
    <w:p w:rsidR="00461179" w:rsidRDefault="00461179">
      <w:pPr>
        <w:pStyle w:val="GesAbsatz"/>
        <w:tabs>
          <w:tab w:val="clear" w:pos="425"/>
        </w:tabs>
        <w:ind w:left="426" w:firstLine="283"/>
        <w:rPr>
          <w:snapToGrid w:val="0"/>
        </w:rPr>
      </w:pPr>
      <w:r>
        <w:rPr>
          <w:snapToGrid w:val="0"/>
        </w:rPr>
        <w:t>Die folgenden Faktoren sind unter Umständen ebenfalls zu berücksichtigen:</w:t>
      </w:r>
    </w:p>
    <w:p w:rsidR="00461179" w:rsidRDefault="00461179">
      <w:pPr>
        <w:pStyle w:val="GesAbsatz"/>
        <w:numPr>
          <w:ilvl w:val="0"/>
          <w:numId w:val="28"/>
        </w:numPr>
        <w:tabs>
          <w:tab w:val="clear" w:pos="360"/>
          <w:tab w:val="clear" w:pos="425"/>
        </w:tabs>
        <w:ind w:left="993" w:hanging="283"/>
        <w:rPr>
          <w:snapToGrid w:val="0"/>
        </w:rPr>
      </w:pPr>
      <w:r>
        <w:rPr>
          <w:snapToGrid w:val="0"/>
        </w:rPr>
        <w:t>Störquellen;</w:t>
      </w:r>
    </w:p>
    <w:p w:rsidR="00461179" w:rsidRDefault="00461179">
      <w:pPr>
        <w:pStyle w:val="GesAbsatz"/>
        <w:numPr>
          <w:ilvl w:val="0"/>
          <w:numId w:val="28"/>
        </w:numPr>
        <w:tabs>
          <w:tab w:val="clear" w:pos="360"/>
          <w:tab w:val="clear" w:pos="425"/>
        </w:tabs>
        <w:ind w:left="993" w:hanging="283"/>
        <w:rPr>
          <w:snapToGrid w:val="0"/>
        </w:rPr>
      </w:pPr>
      <w:r>
        <w:rPr>
          <w:snapToGrid w:val="0"/>
        </w:rPr>
        <w:t>Sicherheit gegen äußeren Eingriff;</w:t>
      </w:r>
    </w:p>
    <w:p w:rsidR="00461179" w:rsidRDefault="00461179">
      <w:pPr>
        <w:pStyle w:val="GesAbsatz"/>
        <w:numPr>
          <w:ilvl w:val="0"/>
          <w:numId w:val="28"/>
        </w:numPr>
        <w:tabs>
          <w:tab w:val="clear" w:pos="360"/>
          <w:tab w:val="clear" w:pos="425"/>
        </w:tabs>
        <w:ind w:left="993" w:hanging="283"/>
        <w:rPr>
          <w:snapToGrid w:val="0"/>
        </w:rPr>
      </w:pPr>
      <w:r>
        <w:rPr>
          <w:snapToGrid w:val="0"/>
        </w:rPr>
        <w:t>Zugänglichkeit;</w:t>
      </w:r>
    </w:p>
    <w:p w:rsidR="00461179" w:rsidRDefault="00461179">
      <w:pPr>
        <w:pStyle w:val="GesAbsatz"/>
        <w:numPr>
          <w:ilvl w:val="0"/>
          <w:numId w:val="28"/>
        </w:numPr>
        <w:tabs>
          <w:tab w:val="clear" w:pos="360"/>
          <w:tab w:val="clear" w:pos="425"/>
        </w:tabs>
        <w:ind w:left="993" w:hanging="283"/>
        <w:rPr>
          <w:snapToGrid w:val="0"/>
        </w:rPr>
      </w:pPr>
      <w:r>
        <w:rPr>
          <w:snapToGrid w:val="0"/>
        </w:rPr>
        <w:t>vorhandene elektrische Versorgung und Telekommunikationsleitungen;</w:t>
      </w:r>
    </w:p>
    <w:p w:rsidR="00461179" w:rsidRDefault="00461179">
      <w:pPr>
        <w:pStyle w:val="GesAbsatz"/>
        <w:numPr>
          <w:ilvl w:val="0"/>
          <w:numId w:val="28"/>
        </w:numPr>
        <w:tabs>
          <w:tab w:val="clear" w:pos="360"/>
          <w:tab w:val="clear" w:pos="425"/>
        </w:tabs>
        <w:ind w:left="993" w:hanging="283"/>
        <w:rPr>
          <w:snapToGrid w:val="0"/>
        </w:rPr>
      </w:pPr>
      <w:r>
        <w:rPr>
          <w:snapToGrid w:val="0"/>
        </w:rPr>
        <w:t xml:space="preserve">Sichtbarkeit der </w:t>
      </w:r>
      <w:proofErr w:type="spellStart"/>
      <w:r>
        <w:rPr>
          <w:snapToGrid w:val="0"/>
        </w:rPr>
        <w:t>Meßstation</w:t>
      </w:r>
      <w:proofErr w:type="spellEnd"/>
      <w:r>
        <w:rPr>
          <w:snapToGrid w:val="0"/>
        </w:rPr>
        <w:t xml:space="preserve"> in der Umgebung;</w:t>
      </w:r>
    </w:p>
    <w:p w:rsidR="00461179" w:rsidRDefault="00461179">
      <w:pPr>
        <w:pStyle w:val="GesAbsatz"/>
        <w:numPr>
          <w:ilvl w:val="0"/>
          <w:numId w:val="28"/>
        </w:numPr>
        <w:tabs>
          <w:tab w:val="clear" w:pos="360"/>
          <w:tab w:val="clear" w:pos="425"/>
        </w:tabs>
        <w:ind w:left="993" w:hanging="283"/>
        <w:rPr>
          <w:snapToGrid w:val="0"/>
        </w:rPr>
      </w:pPr>
      <w:r>
        <w:rPr>
          <w:snapToGrid w:val="0"/>
        </w:rPr>
        <w:t>Sicherheit der Öffentlichkeit und des Betriebspersonals;</w:t>
      </w:r>
    </w:p>
    <w:p w:rsidR="00461179" w:rsidRDefault="00461179">
      <w:pPr>
        <w:pStyle w:val="GesAbsatz"/>
        <w:numPr>
          <w:ilvl w:val="0"/>
          <w:numId w:val="28"/>
        </w:numPr>
        <w:tabs>
          <w:tab w:val="clear" w:pos="360"/>
          <w:tab w:val="clear" w:pos="425"/>
        </w:tabs>
        <w:ind w:left="993" w:hanging="283"/>
        <w:rPr>
          <w:snapToGrid w:val="0"/>
        </w:rPr>
      </w:pPr>
      <w:r>
        <w:rPr>
          <w:snapToGrid w:val="0"/>
        </w:rPr>
        <w:t xml:space="preserve">Zusammenlegung der </w:t>
      </w:r>
      <w:proofErr w:type="spellStart"/>
      <w:r>
        <w:rPr>
          <w:snapToGrid w:val="0"/>
        </w:rPr>
        <w:t>Meßstellen</w:t>
      </w:r>
      <w:proofErr w:type="spellEnd"/>
      <w:r>
        <w:rPr>
          <w:snapToGrid w:val="0"/>
        </w:rPr>
        <w:t xml:space="preserve"> für verschiedene Schadstoffe;</w:t>
      </w:r>
    </w:p>
    <w:p w:rsidR="00461179" w:rsidRDefault="00461179">
      <w:pPr>
        <w:pStyle w:val="GesAbsatz"/>
        <w:numPr>
          <w:ilvl w:val="0"/>
          <w:numId w:val="28"/>
        </w:numPr>
        <w:tabs>
          <w:tab w:val="clear" w:pos="360"/>
          <w:tab w:val="clear" w:pos="425"/>
        </w:tabs>
        <w:ind w:left="993" w:hanging="283"/>
        <w:rPr>
          <w:snapToGrid w:val="0"/>
        </w:rPr>
      </w:pPr>
      <w:r>
        <w:rPr>
          <w:snapToGrid w:val="0"/>
        </w:rPr>
        <w:t>bebauungsplanerische Anforderungen.</w:t>
      </w:r>
    </w:p>
    <w:p w:rsidR="00461179" w:rsidRDefault="00461179">
      <w:pPr>
        <w:pStyle w:val="GesAbsatz"/>
        <w:tabs>
          <w:tab w:val="clear" w:pos="425"/>
          <w:tab w:val="left" w:pos="709"/>
        </w:tabs>
        <w:rPr>
          <w:b/>
          <w:snapToGrid w:val="0"/>
        </w:rPr>
      </w:pPr>
      <w:r>
        <w:rPr>
          <w:b/>
          <w:snapToGrid w:val="0"/>
        </w:rPr>
        <w:t>III.</w:t>
      </w:r>
      <w:r>
        <w:rPr>
          <w:b/>
          <w:snapToGrid w:val="0"/>
        </w:rPr>
        <w:tab/>
        <w:t>Dokumentation und Überprüfung der Standortwahl</w:t>
      </w:r>
    </w:p>
    <w:p w:rsidR="00461179" w:rsidRDefault="00461179">
      <w:pPr>
        <w:pStyle w:val="GesAbsatz"/>
        <w:tabs>
          <w:tab w:val="clear" w:pos="425"/>
        </w:tabs>
        <w:ind w:left="709"/>
        <w:rPr>
          <w:snapToGrid w:val="0"/>
        </w:rPr>
      </w:pPr>
      <w:r>
        <w:rPr>
          <w:snapToGrid w:val="0"/>
        </w:rPr>
        <w:t xml:space="preserve">Die Verfahren für die Standortwahl sind in der Einstufungsphase vollständig zu dokumentieren, z.B. mit Fotografien der Umgebung in den Haupthimmelsrichtungen und einer detaillierten Karte. Die Standorte sollten regelmäßig überprüft und wiederholt dokumentiert werden, damit sichergestellt ist, </w:t>
      </w:r>
      <w:proofErr w:type="spellStart"/>
      <w:r>
        <w:rPr>
          <w:snapToGrid w:val="0"/>
        </w:rPr>
        <w:t>daß</w:t>
      </w:r>
      <w:proofErr w:type="spellEnd"/>
      <w:r>
        <w:rPr>
          <w:snapToGrid w:val="0"/>
        </w:rPr>
        <w:t xml:space="preserve"> die Kriterien für die Standortwahl weiterhin erfüllt sind.</w:t>
      </w:r>
    </w:p>
    <w:p w:rsidR="00461179" w:rsidRDefault="00461179">
      <w:pPr>
        <w:pStyle w:val="berschrift2"/>
        <w:jc w:val="left"/>
        <w:rPr>
          <w:snapToGrid w:val="0"/>
        </w:rPr>
      </w:pPr>
      <w:r>
        <w:rPr>
          <w:snapToGrid w:val="0"/>
        </w:rPr>
        <w:br w:type="page"/>
      </w:r>
      <w:bookmarkStart w:id="22" w:name="_Toc202752888"/>
      <w:r>
        <w:rPr>
          <w:snapToGrid w:val="0"/>
        </w:rPr>
        <w:lastRenderedPageBreak/>
        <w:t>ANHANG VII</w:t>
      </w:r>
      <w:r>
        <w:rPr>
          <w:snapToGrid w:val="0"/>
        </w:rPr>
        <w:br/>
        <w:t>KRITERIEN FÜR DIE FESTLEGUNG DER MINDESTZAHL DER PROBENAHME</w:t>
      </w:r>
      <w:r>
        <w:rPr>
          <w:snapToGrid w:val="0"/>
        </w:rPr>
        <w:softHyphen/>
        <w:t>STEL</w:t>
      </w:r>
      <w:r>
        <w:rPr>
          <w:snapToGrid w:val="0"/>
        </w:rPr>
        <w:softHyphen/>
        <w:t>LEN FÜR ORTSFESTE MESSUNGEN VON SCHWEFELDIOXID (SO</w:t>
      </w:r>
      <w:r>
        <w:rPr>
          <w:snapToGrid w:val="0"/>
          <w:vertAlign w:val="subscript"/>
        </w:rPr>
        <w:t>2</w:t>
      </w:r>
      <w:r>
        <w:rPr>
          <w:snapToGrid w:val="0"/>
        </w:rPr>
        <w:t>), STICKSTOFF</w:t>
      </w:r>
      <w:r>
        <w:rPr>
          <w:snapToGrid w:val="0"/>
        </w:rPr>
        <w:softHyphen/>
        <w:t>DIOXID (NO</w:t>
      </w:r>
      <w:r>
        <w:rPr>
          <w:snapToGrid w:val="0"/>
          <w:vertAlign w:val="subscript"/>
        </w:rPr>
        <w:t>2</w:t>
      </w:r>
      <w:r>
        <w:rPr>
          <w:snapToGrid w:val="0"/>
        </w:rPr>
        <w:t>) UND STICKSTOFFOXIDEN (NO</w:t>
      </w:r>
      <w:r>
        <w:rPr>
          <w:snapToGrid w:val="0"/>
          <w:vertAlign w:val="subscript"/>
        </w:rPr>
        <w:t>x</w:t>
      </w:r>
      <w:r>
        <w:rPr>
          <w:snapToGrid w:val="0"/>
        </w:rPr>
        <w:t>), PARTIKELN UND BLEI IN DER LUFT</w:t>
      </w:r>
      <w:bookmarkEnd w:id="22"/>
    </w:p>
    <w:p w:rsidR="00461179" w:rsidRDefault="00461179">
      <w:pPr>
        <w:pStyle w:val="GesAbsatz"/>
      </w:pPr>
    </w:p>
    <w:p w:rsidR="00461179" w:rsidRDefault="00461179">
      <w:pPr>
        <w:pStyle w:val="GesAbsatz"/>
        <w:ind w:left="426" w:hanging="426"/>
        <w:rPr>
          <w:snapToGrid w:val="0"/>
        </w:rPr>
      </w:pPr>
      <w:r>
        <w:rPr>
          <w:snapToGrid w:val="0"/>
        </w:rPr>
        <w:t>I.</w:t>
      </w:r>
      <w:r>
        <w:rPr>
          <w:snapToGrid w:val="0"/>
        </w:rPr>
        <w:tab/>
        <w:t>Mindestzahl der Probenahmestellen für ortsfeste Messungen zur Beurteilung der Einhaltung von Grenzwerten für den Schutz der menschlichen Gesundheit und von Alarmschwellen in Gebieten und Ballungsräumen, in denen ortsfeste Messungen die einzige Informationsquelle darstellen</w:t>
      </w:r>
    </w:p>
    <w:p w:rsidR="00461179" w:rsidRDefault="00461179">
      <w:pPr>
        <w:pStyle w:val="GesAbsatz"/>
        <w:numPr>
          <w:ilvl w:val="0"/>
          <w:numId w:val="30"/>
        </w:numPr>
        <w:rPr>
          <w:i/>
          <w:snapToGrid w:val="0"/>
        </w:rPr>
      </w:pPr>
      <w:r>
        <w:rPr>
          <w:i/>
          <w:snapToGrid w:val="0"/>
        </w:rPr>
        <w:t>Diffuse Quellen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461179">
        <w:trPr>
          <w:trHeight w:val="345"/>
        </w:trPr>
        <w:tc>
          <w:tcPr>
            <w:tcW w:w="2268" w:type="dxa"/>
            <w:tcBorders>
              <w:left w:val="nil"/>
            </w:tcBorders>
          </w:tcPr>
          <w:p w:rsidR="00461179" w:rsidRDefault="00461179">
            <w:pPr>
              <w:pStyle w:val="GesAbsatz"/>
              <w:jc w:val="center"/>
              <w:rPr>
                <w:b/>
                <w:sz w:val="18"/>
              </w:rPr>
            </w:pPr>
            <w:r>
              <w:rPr>
                <w:b/>
                <w:snapToGrid w:val="0"/>
                <w:sz w:val="18"/>
              </w:rPr>
              <w:t>Bevölkerung des Ba</w:t>
            </w:r>
            <w:r>
              <w:rPr>
                <w:b/>
                <w:snapToGrid w:val="0"/>
                <w:sz w:val="18"/>
              </w:rPr>
              <w:t>l</w:t>
            </w:r>
            <w:r>
              <w:rPr>
                <w:b/>
                <w:snapToGrid w:val="0"/>
                <w:sz w:val="18"/>
              </w:rPr>
              <w:t>lungsraums oder G</w:t>
            </w:r>
            <w:r>
              <w:rPr>
                <w:b/>
                <w:snapToGrid w:val="0"/>
                <w:sz w:val="18"/>
              </w:rPr>
              <w:t>e</w:t>
            </w:r>
            <w:r>
              <w:rPr>
                <w:b/>
                <w:snapToGrid w:val="0"/>
                <w:sz w:val="18"/>
              </w:rPr>
              <w:t>biets (Tausend)</w:t>
            </w:r>
          </w:p>
        </w:tc>
        <w:tc>
          <w:tcPr>
            <w:tcW w:w="2268" w:type="dxa"/>
          </w:tcPr>
          <w:p w:rsidR="00461179" w:rsidRDefault="00461179">
            <w:pPr>
              <w:pStyle w:val="GesAbsatz"/>
              <w:jc w:val="center"/>
              <w:rPr>
                <w:b/>
                <w:sz w:val="18"/>
              </w:rPr>
            </w:pPr>
            <w:r>
              <w:rPr>
                <w:b/>
                <w:snapToGrid w:val="0"/>
                <w:sz w:val="18"/>
              </w:rPr>
              <w:t>Falls die Konzentration die obere Beurteilung</w:t>
            </w:r>
            <w:r>
              <w:rPr>
                <w:b/>
                <w:snapToGrid w:val="0"/>
                <w:sz w:val="18"/>
              </w:rPr>
              <w:t>s</w:t>
            </w:r>
            <w:r>
              <w:rPr>
                <w:b/>
                <w:snapToGrid w:val="0"/>
                <w:sz w:val="18"/>
              </w:rPr>
              <w:t>schwelle überschreitet</w:t>
            </w:r>
          </w:p>
        </w:tc>
        <w:tc>
          <w:tcPr>
            <w:tcW w:w="2268" w:type="dxa"/>
          </w:tcPr>
          <w:p w:rsidR="00461179" w:rsidRDefault="00461179">
            <w:pPr>
              <w:pStyle w:val="GesAbsatz"/>
              <w:jc w:val="center"/>
              <w:rPr>
                <w:b/>
                <w:sz w:val="18"/>
              </w:rPr>
            </w:pPr>
            <w:r>
              <w:rPr>
                <w:b/>
                <w:snapToGrid w:val="0"/>
                <w:sz w:val="18"/>
              </w:rPr>
              <w:t>Falls die maximale Ko</w:t>
            </w:r>
            <w:r>
              <w:rPr>
                <w:b/>
                <w:snapToGrid w:val="0"/>
                <w:sz w:val="18"/>
              </w:rPr>
              <w:t>n</w:t>
            </w:r>
            <w:r>
              <w:rPr>
                <w:b/>
                <w:snapToGrid w:val="0"/>
                <w:sz w:val="18"/>
              </w:rPr>
              <w:t>zentration zwischen der oberen und der unteren Beurteilungsschwelle liegt</w:t>
            </w:r>
          </w:p>
        </w:tc>
        <w:tc>
          <w:tcPr>
            <w:tcW w:w="2268" w:type="dxa"/>
            <w:tcBorders>
              <w:right w:val="nil"/>
            </w:tcBorders>
          </w:tcPr>
          <w:p w:rsidR="00461179" w:rsidRDefault="00461179">
            <w:pPr>
              <w:pStyle w:val="GesAbsatz"/>
              <w:jc w:val="center"/>
              <w:rPr>
                <w:b/>
                <w:sz w:val="18"/>
              </w:rPr>
            </w:pPr>
            <w:r>
              <w:rPr>
                <w:b/>
                <w:snapToGrid w:val="0"/>
                <w:sz w:val="18"/>
              </w:rPr>
              <w:t>Für SO</w:t>
            </w:r>
            <w:r>
              <w:rPr>
                <w:b/>
                <w:snapToGrid w:val="0"/>
                <w:sz w:val="18"/>
                <w:vertAlign w:val="subscript"/>
              </w:rPr>
              <w:t>2</w:t>
            </w:r>
            <w:r>
              <w:rPr>
                <w:b/>
                <w:snapToGrid w:val="0"/>
                <w:sz w:val="18"/>
              </w:rPr>
              <w:t xml:space="preserve"> und NO</w:t>
            </w:r>
            <w:r>
              <w:rPr>
                <w:b/>
                <w:snapToGrid w:val="0"/>
                <w:sz w:val="18"/>
                <w:vertAlign w:val="subscript"/>
              </w:rPr>
              <w:t>2</w:t>
            </w:r>
            <w:r>
              <w:rPr>
                <w:b/>
                <w:snapToGrid w:val="0"/>
                <w:sz w:val="18"/>
              </w:rPr>
              <w:t xml:space="preserve"> in Ba</w:t>
            </w:r>
            <w:r>
              <w:rPr>
                <w:b/>
                <w:snapToGrid w:val="0"/>
                <w:sz w:val="18"/>
              </w:rPr>
              <w:t>l</w:t>
            </w:r>
            <w:r>
              <w:rPr>
                <w:b/>
                <w:snapToGrid w:val="0"/>
                <w:sz w:val="18"/>
              </w:rPr>
              <w:t>lungsräumen, in denen die maximale Konzentr</w:t>
            </w:r>
            <w:r>
              <w:rPr>
                <w:b/>
                <w:snapToGrid w:val="0"/>
                <w:sz w:val="18"/>
              </w:rPr>
              <w:t>a</w:t>
            </w:r>
            <w:r>
              <w:rPr>
                <w:b/>
                <w:snapToGrid w:val="0"/>
                <w:sz w:val="18"/>
              </w:rPr>
              <w:t xml:space="preserve">tion unter der unteren </w:t>
            </w:r>
            <w:proofErr w:type="spellStart"/>
            <w:r>
              <w:rPr>
                <w:b/>
                <w:snapToGrid w:val="0"/>
                <w:sz w:val="18"/>
              </w:rPr>
              <w:t>Beurteilungs</w:t>
            </w:r>
            <w:r>
              <w:rPr>
                <w:b/>
                <w:snapToGrid w:val="0"/>
                <w:sz w:val="18"/>
              </w:rPr>
              <w:softHyphen/>
              <w:t>schwelle</w:t>
            </w:r>
            <w:proofErr w:type="spellEnd"/>
            <w:r>
              <w:rPr>
                <w:b/>
                <w:snapToGrid w:val="0"/>
                <w:sz w:val="18"/>
              </w:rPr>
              <w:t xml:space="preserve"> liegt</w:t>
            </w:r>
          </w:p>
        </w:tc>
      </w:tr>
      <w:tr w:rsidR="00461179">
        <w:trPr>
          <w:trHeight w:val="345"/>
        </w:trPr>
        <w:tc>
          <w:tcPr>
            <w:tcW w:w="2268" w:type="dxa"/>
            <w:tcBorders>
              <w:left w:val="nil"/>
            </w:tcBorders>
          </w:tcPr>
          <w:p w:rsidR="00461179" w:rsidRDefault="00461179">
            <w:pPr>
              <w:pStyle w:val="GesAbsatz"/>
              <w:jc w:val="center"/>
            </w:pPr>
            <w:r>
              <w:t>0 - 250</w:t>
            </w:r>
          </w:p>
        </w:tc>
        <w:tc>
          <w:tcPr>
            <w:tcW w:w="2268" w:type="dxa"/>
          </w:tcPr>
          <w:p w:rsidR="00461179" w:rsidRDefault="00461179">
            <w:pPr>
              <w:pStyle w:val="GesAbsatz"/>
              <w:jc w:val="center"/>
            </w:pPr>
            <w:r>
              <w:t>1</w:t>
            </w:r>
          </w:p>
        </w:tc>
        <w:tc>
          <w:tcPr>
            <w:tcW w:w="2268" w:type="dxa"/>
          </w:tcPr>
          <w:p w:rsidR="00461179" w:rsidRDefault="00461179">
            <w:pPr>
              <w:pStyle w:val="GesAbsatz"/>
              <w:jc w:val="center"/>
            </w:pPr>
            <w:r>
              <w:t>1</w:t>
            </w:r>
          </w:p>
        </w:tc>
        <w:tc>
          <w:tcPr>
            <w:tcW w:w="2268" w:type="dxa"/>
            <w:tcBorders>
              <w:right w:val="nil"/>
            </w:tcBorders>
          </w:tcPr>
          <w:p w:rsidR="00461179" w:rsidRDefault="00461179">
            <w:pPr>
              <w:pStyle w:val="GesAbsatz"/>
              <w:jc w:val="center"/>
            </w:pPr>
            <w:r>
              <w:rPr>
                <w:snapToGrid w:val="0"/>
              </w:rPr>
              <w:t>nicht</w:t>
            </w:r>
            <w:r>
              <w:t xml:space="preserve"> anwendbar</w:t>
            </w:r>
          </w:p>
        </w:tc>
      </w:tr>
      <w:tr w:rsidR="00461179">
        <w:trPr>
          <w:trHeight w:val="345"/>
        </w:trPr>
        <w:tc>
          <w:tcPr>
            <w:tcW w:w="2268" w:type="dxa"/>
            <w:tcBorders>
              <w:left w:val="nil"/>
            </w:tcBorders>
          </w:tcPr>
          <w:p w:rsidR="00461179" w:rsidRDefault="00461179">
            <w:pPr>
              <w:pStyle w:val="GesAbsatz"/>
              <w:jc w:val="center"/>
            </w:pPr>
            <w:r>
              <w:t>250 - 499</w:t>
            </w:r>
          </w:p>
        </w:tc>
        <w:tc>
          <w:tcPr>
            <w:tcW w:w="2268" w:type="dxa"/>
          </w:tcPr>
          <w:p w:rsidR="00461179" w:rsidRDefault="00461179">
            <w:pPr>
              <w:pStyle w:val="GesAbsatz"/>
              <w:jc w:val="center"/>
            </w:pPr>
            <w:r>
              <w:t>2</w:t>
            </w:r>
          </w:p>
        </w:tc>
        <w:tc>
          <w:tcPr>
            <w:tcW w:w="2268" w:type="dxa"/>
          </w:tcPr>
          <w:p w:rsidR="00461179" w:rsidRDefault="00461179">
            <w:pPr>
              <w:pStyle w:val="GesAbsatz"/>
              <w:jc w:val="center"/>
            </w:pPr>
            <w:r>
              <w:t>1</w:t>
            </w:r>
          </w:p>
        </w:tc>
        <w:tc>
          <w:tcPr>
            <w:tcW w:w="2268" w:type="dxa"/>
            <w:tcBorders>
              <w:right w:val="nil"/>
            </w:tcBorders>
          </w:tcPr>
          <w:p w:rsidR="00461179" w:rsidRDefault="00461179">
            <w:pPr>
              <w:pStyle w:val="GesAbsatz"/>
              <w:jc w:val="center"/>
            </w:pPr>
            <w:r>
              <w:t>1</w:t>
            </w:r>
          </w:p>
        </w:tc>
      </w:tr>
      <w:tr w:rsidR="00461179">
        <w:trPr>
          <w:trHeight w:val="345"/>
        </w:trPr>
        <w:tc>
          <w:tcPr>
            <w:tcW w:w="2268" w:type="dxa"/>
            <w:tcBorders>
              <w:left w:val="nil"/>
            </w:tcBorders>
          </w:tcPr>
          <w:p w:rsidR="00461179" w:rsidRDefault="00461179">
            <w:pPr>
              <w:pStyle w:val="GesAbsatz"/>
              <w:jc w:val="center"/>
            </w:pPr>
            <w:r>
              <w:t>500 - 749</w:t>
            </w:r>
          </w:p>
        </w:tc>
        <w:tc>
          <w:tcPr>
            <w:tcW w:w="2268" w:type="dxa"/>
          </w:tcPr>
          <w:p w:rsidR="00461179" w:rsidRDefault="00461179">
            <w:pPr>
              <w:pStyle w:val="GesAbsatz"/>
              <w:jc w:val="center"/>
            </w:pPr>
            <w:r>
              <w:t>2</w:t>
            </w:r>
          </w:p>
        </w:tc>
        <w:tc>
          <w:tcPr>
            <w:tcW w:w="2268" w:type="dxa"/>
          </w:tcPr>
          <w:p w:rsidR="00461179" w:rsidRDefault="00461179">
            <w:pPr>
              <w:pStyle w:val="GesAbsatz"/>
              <w:jc w:val="center"/>
            </w:pPr>
            <w:r>
              <w:t>1</w:t>
            </w:r>
          </w:p>
        </w:tc>
        <w:tc>
          <w:tcPr>
            <w:tcW w:w="2268" w:type="dxa"/>
            <w:tcBorders>
              <w:right w:val="nil"/>
            </w:tcBorders>
          </w:tcPr>
          <w:p w:rsidR="00461179" w:rsidRDefault="00461179">
            <w:pPr>
              <w:pStyle w:val="GesAbsatz"/>
              <w:jc w:val="center"/>
            </w:pPr>
            <w:r>
              <w:t>1</w:t>
            </w:r>
          </w:p>
        </w:tc>
      </w:tr>
      <w:tr w:rsidR="00461179">
        <w:trPr>
          <w:trHeight w:val="345"/>
        </w:trPr>
        <w:tc>
          <w:tcPr>
            <w:tcW w:w="2268" w:type="dxa"/>
            <w:tcBorders>
              <w:left w:val="nil"/>
            </w:tcBorders>
          </w:tcPr>
          <w:p w:rsidR="00461179" w:rsidRDefault="00461179">
            <w:pPr>
              <w:pStyle w:val="GesAbsatz"/>
              <w:jc w:val="center"/>
            </w:pPr>
            <w:r>
              <w:t>750 - 999</w:t>
            </w:r>
          </w:p>
        </w:tc>
        <w:tc>
          <w:tcPr>
            <w:tcW w:w="2268" w:type="dxa"/>
          </w:tcPr>
          <w:p w:rsidR="00461179" w:rsidRDefault="00461179">
            <w:pPr>
              <w:pStyle w:val="GesAbsatz"/>
              <w:jc w:val="center"/>
            </w:pPr>
            <w:r>
              <w:t>3</w:t>
            </w:r>
          </w:p>
        </w:tc>
        <w:tc>
          <w:tcPr>
            <w:tcW w:w="2268" w:type="dxa"/>
          </w:tcPr>
          <w:p w:rsidR="00461179" w:rsidRDefault="00461179">
            <w:pPr>
              <w:pStyle w:val="GesAbsatz"/>
              <w:jc w:val="center"/>
            </w:pPr>
            <w:r>
              <w:t>1</w:t>
            </w:r>
          </w:p>
        </w:tc>
        <w:tc>
          <w:tcPr>
            <w:tcW w:w="2268" w:type="dxa"/>
            <w:tcBorders>
              <w:right w:val="nil"/>
            </w:tcBorders>
          </w:tcPr>
          <w:p w:rsidR="00461179" w:rsidRDefault="00461179">
            <w:pPr>
              <w:pStyle w:val="GesAbsatz"/>
              <w:jc w:val="center"/>
            </w:pPr>
            <w:r>
              <w:t>1</w:t>
            </w:r>
          </w:p>
        </w:tc>
      </w:tr>
      <w:tr w:rsidR="00461179">
        <w:trPr>
          <w:trHeight w:val="345"/>
        </w:trPr>
        <w:tc>
          <w:tcPr>
            <w:tcW w:w="2268" w:type="dxa"/>
            <w:tcBorders>
              <w:left w:val="nil"/>
            </w:tcBorders>
          </w:tcPr>
          <w:p w:rsidR="00461179" w:rsidRDefault="00461179">
            <w:pPr>
              <w:pStyle w:val="GesAbsatz"/>
              <w:jc w:val="center"/>
            </w:pPr>
            <w:r>
              <w:t>1000 - 1499</w:t>
            </w:r>
          </w:p>
        </w:tc>
        <w:tc>
          <w:tcPr>
            <w:tcW w:w="2268" w:type="dxa"/>
          </w:tcPr>
          <w:p w:rsidR="00461179" w:rsidRDefault="00461179">
            <w:pPr>
              <w:pStyle w:val="GesAbsatz"/>
              <w:jc w:val="center"/>
            </w:pPr>
            <w:r>
              <w:t>4</w:t>
            </w:r>
          </w:p>
        </w:tc>
        <w:tc>
          <w:tcPr>
            <w:tcW w:w="2268" w:type="dxa"/>
          </w:tcPr>
          <w:p w:rsidR="00461179" w:rsidRDefault="00461179">
            <w:pPr>
              <w:pStyle w:val="GesAbsatz"/>
              <w:jc w:val="center"/>
            </w:pPr>
            <w:r>
              <w:t>2</w:t>
            </w:r>
          </w:p>
        </w:tc>
        <w:tc>
          <w:tcPr>
            <w:tcW w:w="2268" w:type="dxa"/>
            <w:tcBorders>
              <w:right w:val="nil"/>
            </w:tcBorders>
          </w:tcPr>
          <w:p w:rsidR="00461179" w:rsidRDefault="00461179">
            <w:pPr>
              <w:pStyle w:val="GesAbsatz"/>
              <w:jc w:val="center"/>
            </w:pPr>
            <w:r>
              <w:t>1</w:t>
            </w:r>
          </w:p>
        </w:tc>
      </w:tr>
      <w:tr w:rsidR="00461179">
        <w:trPr>
          <w:trHeight w:val="345"/>
        </w:trPr>
        <w:tc>
          <w:tcPr>
            <w:tcW w:w="2268" w:type="dxa"/>
            <w:tcBorders>
              <w:left w:val="nil"/>
            </w:tcBorders>
          </w:tcPr>
          <w:p w:rsidR="00461179" w:rsidRDefault="00461179">
            <w:pPr>
              <w:pStyle w:val="GesAbsatz"/>
              <w:jc w:val="center"/>
            </w:pPr>
            <w:r>
              <w:t xml:space="preserve">1500 -1999 </w:t>
            </w:r>
          </w:p>
        </w:tc>
        <w:tc>
          <w:tcPr>
            <w:tcW w:w="2268" w:type="dxa"/>
          </w:tcPr>
          <w:p w:rsidR="00461179" w:rsidRDefault="00461179">
            <w:pPr>
              <w:pStyle w:val="GesAbsatz"/>
              <w:jc w:val="center"/>
            </w:pPr>
            <w:r>
              <w:t>5</w:t>
            </w:r>
          </w:p>
        </w:tc>
        <w:tc>
          <w:tcPr>
            <w:tcW w:w="2268" w:type="dxa"/>
          </w:tcPr>
          <w:p w:rsidR="00461179" w:rsidRDefault="00461179">
            <w:pPr>
              <w:pStyle w:val="GesAbsatz"/>
              <w:jc w:val="center"/>
            </w:pPr>
            <w:r>
              <w:t>2</w:t>
            </w:r>
          </w:p>
        </w:tc>
        <w:tc>
          <w:tcPr>
            <w:tcW w:w="2268" w:type="dxa"/>
            <w:tcBorders>
              <w:right w:val="nil"/>
            </w:tcBorders>
          </w:tcPr>
          <w:p w:rsidR="00461179" w:rsidRDefault="00461179">
            <w:pPr>
              <w:pStyle w:val="GesAbsatz"/>
              <w:jc w:val="center"/>
            </w:pPr>
            <w:r>
              <w:t>1</w:t>
            </w:r>
          </w:p>
        </w:tc>
      </w:tr>
      <w:tr w:rsidR="00461179">
        <w:trPr>
          <w:trHeight w:val="345"/>
        </w:trPr>
        <w:tc>
          <w:tcPr>
            <w:tcW w:w="2268" w:type="dxa"/>
            <w:tcBorders>
              <w:left w:val="nil"/>
            </w:tcBorders>
          </w:tcPr>
          <w:p w:rsidR="00461179" w:rsidRDefault="00461179">
            <w:pPr>
              <w:pStyle w:val="GesAbsatz"/>
              <w:jc w:val="center"/>
            </w:pPr>
            <w:r>
              <w:t>2000 - 2749</w:t>
            </w:r>
          </w:p>
        </w:tc>
        <w:tc>
          <w:tcPr>
            <w:tcW w:w="2268" w:type="dxa"/>
          </w:tcPr>
          <w:p w:rsidR="00461179" w:rsidRDefault="00461179">
            <w:pPr>
              <w:pStyle w:val="GesAbsatz"/>
              <w:jc w:val="center"/>
            </w:pPr>
            <w:r>
              <w:t>6</w:t>
            </w:r>
          </w:p>
        </w:tc>
        <w:tc>
          <w:tcPr>
            <w:tcW w:w="2268" w:type="dxa"/>
          </w:tcPr>
          <w:p w:rsidR="00461179" w:rsidRDefault="00461179">
            <w:pPr>
              <w:pStyle w:val="GesAbsatz"/>
              <w:jc w:val="center"/>
            </w:pPr>
            <w:r>
              <w:t>3</w:t>
            </w:r>
          </w:p>
        </w:tc>
        <w:tc>
          <w:tcPr>
            <w:tcW w:w="2268" w:type="dxa"/>
            <w:tcBorders>
              <w:right w:val="nil"/>
            </w:tcBorders>
          </w:tcPr>
          <w:p w:rsidR="00461179" w:rsidRDefault="00461179">
            <w:pPr>
              <w:pStyle w:val="GesAbsatz"/>
              <w:jc w:val="center"/>
            </w:pPr>
            <w:r>
              <w:t>2</w:t>
            </w:r>
          </w:p>
        </w:tc>
      </w:tr>
      <w:tr w:rsidR="00461179">
        <w:trPr>
          <w:trHeight w:val="345"/>
        </w:trPr>
        <w:tc>
          <w:tcPr>
            <w:tcW w:w="2268" w:type="dxa"/>
            <w:tcBorders>
              <w:left w:val="nil"/>
            </w:tcBorders>
          </w:tcPr>
          <w:p w:rsidR="00461179" w:rsidRDefault="00461179">
            <w:pPr>
              <w:pStyle w:val="GesAbsatz"/>
              <w:jc w:val="center"/>
            </w:pPr>
            <w:r>
              <w:t>2750 - 3749</w:t>
            </w:r>
          </w:p>
        </w:tc>
        <w:tc>
          <w:tcPr>
            <w:tcW w:w="2268" w:type="dxa"/>
          </w:tcPr>
          <w:p w:rsidR="00461179" w:rsidRDefault="00461179">
            <w:pPr>
              <w:pStyle w:val="GesAbsatz"/>
              <w:jc w:val="center"/>
            </w:pPr>
            <w:r>
              <w:t>7</w:t>
            </w:r>
          </w:p>
        </w:tc>
        <w:tc>
          <w:tcPr>
            <w:tcW w:w="2268" w:type="dxa"/>
          </w:tcPr>
          <w:p w:rsidR="00461179" w:rsidRDefault="00461179">
            <w:pPr>
              <w:pStyle w:val="GesAbsatz"/>
              <w:jc w:val="center"/>
            </w:pPr>
            <w:r>
              <w:t>3</w:t>
            </w:r>
          </w:p>
        </w:tc>
        <w:tc>
          <w:tcPr>
            <w:tcW w:w="2268" w:type="dxa"/>
            <w:tcBorders>
              <w:right w:val="nil"/>
            </w:tcBorders>
          </w:tcPr>
          <w:p w:rsidR="00461179" w:rsidRDefault="00461179">
            <w:pPr>
              <w:pStyle w:val="GesAbsatz"/>
              <w:jc w:val="center"/>
            </w:pPr>
            <w:r>
              <w:t>2</w:t>
            </w:r>
          </w:p>
        </w:tc>
      </w:tr>
      <w:tr w:rsidR="00461179">
        <w:trPr>
          <w:trHeight w:val="345"/>
        </w:trPr>
        <w:tc>
          <w:tcPr>
            <w:tcW w:w="2268" w:type="dxa"/>
            <w:tcBorders>
              <w:left w:val="nil"/>
            </w:tcBorders>
          </w:tcPr>
          <w:p w:rsidR="00461179" w:rsidRDefault="00461179">
            <w:pPr>
              <w:pStyle w:val="GesAbsatz"/>
              <w:jc w:val="center"/>
            </w:pPr>
            <w:r>
              <w:t>3750 - 4749</w:t>
            </w:r>
          </w:p>
        </w:tc>
        <w:tc>
          <w:tcPr>
            <w:tcW w:w="2268" w:type="dxa"/>
          </w:tcPr>
          <w:p w:rsidR="00461179" w:rsidRDefault="00461179">
            <w:pPr>
              <w:pStyle w:val="GesAbsatz"/>
              <w:jc w:val="center"/>
            </w:pPr>
            <w:r>
              <w:t>8</w:t>
            </w:r>
          </w:p>
        </w:tc>
        <w:tc>
          <w:tcPr>
            <w:tcW w:w="2268" w:type="dxa"/>
          </w:tcPr>
          <w:p w:rsidR="00461179" w:rsidRDefault="00461179">
            <w:pPr>
              <w:pStyle w:val="GesAbsatz"/>
              <w:jc w:val="center"/>
            </w:pPr>
            <w:r>
              <w:t>4</w:t>
            </w:r>
          </w:p>
        </w:tc>
        <w:tc>
          <w:tcPr>
            <w:tcW w:w="2268" w:type="dxa"/>
            <w:tcBorders>
              <w:right w:val="nil"/>
            </w:tcBorders>
          </w:tcPr>
          <w:p w:rsidR="00461179" w:rsidRDefault="00461179">
            <w:pPr>
              <w:pStyle w:val="GesAbsatz"/>
              <w:jc w:val="center"/>
            </w:pPr>
            <w:r>
              <w:t>2</w:t>
            </w:r>
          </w:p>
        </w:tc>
      </w:tr>
      <w:tr w:rsidR="00461179">
        <w:trPr>
          <w:trHeight w:val="345"/>
        </w:trPr>
        <w:tc>
          <w:tcPr>
            <w:tcW w:w="2268" w:type="dxa"/>
            <w:tcBorders>
              <w:left w:val="nil"/>
            </w:tcBorders>
          </w:tcPr>
          <w:p w:rsidR="00461179" w:rsidRDefault="00461179">
            <w:pPr>
              <w:pStyle w:val="GesAbsatz"/>
              <w:jc w:val="center"/>
            </w:pPr>
            <w:r>
              <w:t>4750 - 5999</w:t>
            </w:r>
          </w:p>
        </w:tc>
        <w:tc>
          <w:tcPr>
            <w:tcW w:w="2268" w:type="dxa"/>
          </w:tcPr>
          <w:p w:rsidR="00461179" w:rsidRDefault="00461179">
            <w:pPr>
              <w:pStyle w:val="GesAbsatz"/>
              <w:jc w:val="center"/>
            </w:pPr>
            <w:r>
              <w:t>9</w:t>
            </w:r>
          </w:p>
        </w:tc>
        <w:tc>
          <w:tcPr>
            <w:tcW w:w="2268" w:type="dxa"/>
          </w:tcPr>
          <w:p w:rsidR="00461179" w:rsidRDefault="00461179">
            <w:pPr>
              <w:pStyle w:val="GesAbsatz"/>
              <w:jc w:val="center"/>
            </w:pPr>
            <w:r>
              <w:t>4</w:t>
            </w:r>
          </w:p>
        </w:tc>
        <w:tc>
          <w:tcPr>
            <w:tcW w:w="2268" w:type="dxa"/>
            <w:tcBorders>
              <w:right w:val="nil"/>
            </w:tcBorders>
          </w:tcPr>
          <w:p w:rsidR="00461179" w:rsidRDefault="00461179">
            <w:pPr>
              <w:pStyle w:val="GesAbsatz"/>
              <w:jc w:val="center"/>
            </w:pPr>
            <w:r>
              <w:t>2</w:t>
            </w:r>
          </w:p>
        </w:tc>
      </w:tr>
      <w:tr w:rsidR="00461179">
        <w:trPr>
          <w:trHeight w:val="345"/>
        </w:trPr>
        <w:tc>
          <w:tcPr>
            <w:tcW w:w="2268" w:type="dxa"/>
            <w:tcBorders>
              <w:left w:val="nil"/>
            </w:tcBorders>
          </w:tcPr>
          <w:p w:rsidR="00461179" w:rsidRDefault="00461179">
            <w:pPr>
              <w:pStyle w:val="GesAbsatz"/>
              <w:jc w:val="center"/>
            </w:pPr>
            <w:r>
              <w:t>&gt; 6000</w:t>
            </w:r>
          </w:p>
        </w:tc>
        <w:tc>
          <w:tcPr>
            <w:tcW w:w="2268" w:type="dxa"/>
          </w:tcPr>
          <w:p w:rsidR="00461179" w:rsidRDefault="00461179">
            <w:pPr>
              <w:pStyle w:val="GesAbsatz"/>
              <w:jc w:val="center"/>
            </w:pPr>
            <w:r>
              <w:t>10</w:t>
            </w:r>
          </w:p>
        </w:tc>
        <w:tc>
          <w:tcPr>
            <w:tcW w:w="2268" w:type="dxa"/>
          </w:tcPr>
          <w:p w:rsidR="00461179" w:rsidRDefault="00461179">
            <w:pPr>
              <w:pStyle w:val="GesAbsatz"/>
              <w:jc w:val="center"/>
            </w:pPr>
            <w:r>
              <w:t>5</w:t>
            </w:r>
          </w:p>
        </w:tc>
        <w:tc>
          <w:tcPr>
            <w:tcW w:w="2268" w:type="dxa"/>
            <w:tcBorders>
              <w:right w:val="nil"/>
            </w:tcBorders>
          </w:tcPr>
          <w:p w:rsidR="00461179" w:rsidRDefault="00461179">
            <w:pPr>
              <w:pStyle w:val="GesAbsatz"/>
              <w:jc w:val="center"/>
            </w:pPr>
            <w:r>
              <w:t>3</w:t>
            </w:r>
          </w:p>
        </w:tc>
      </w:tr>
      <w:tr w:rsidR="00461179">
        <w:trPr>
          <w:trHeight w:val="345"/>
        </w:trPr>
        <w:tc>
          <w:tcPr>
            <w:tcW w:w="2268" w:type="dxa"/>
            <w:tcBorders>
              <w:left w:val="nil"/>
            </w:tcBorders>
          </w:tcPr>
          <w:p w:rsidR="00461179" w:rsidRDefault="00461179">
            <w:pPr>
              <w:pStyle w:val="GesAbsatz"/>
              <w:jc w:val="center"/>
            </w:pPr>
          </w:p>
        </w:tc>
        <w:tc>
          <w:tcPr>
            <w:tcW w:w="2268" w:type="dxa"/>
          </w:tcPr>
          <w:p w:rsidR="00461179" w:rsidRDefault="00461179" w:rsidP="007A03E5">
            <w:pPr>
              <w:pStyle w:val="GesAbsatz"/>
              <w:jc w:val="left"/>
              <w:rPr>
                <w:sz w:val="18"/>
              </w:rPr>
            </w:pPr>
            <w:r>
              <w:rPr>
                <w:snapToGrid w:val="0"/>
                <w:sz w:val="18"/>
              </w:rPr>
              <w:t>Für NO</w:t>
            </w:r>
            <w:r>
              <w:rPr>
                <w:snapToGrid w:val="0"/>
                <w:sz w:val="18"/>
                <w:vertAlign w:val="subscript"/>
              </w:rPr>
              <w:t>2</w:t>
            </w:r>
            <w:r>
              <w:rPr>
                <w:snapToGrid w:val="0"/>
                <w:sz w:val="18"/>
              </w:rPr>
              <w:t xml:space="preserve"> und Partikel:</w:t>
            </w:r>
            <w:r>
              <w:rPr>
                <w:snapToGrid w:val="0"/>
                <w:sz w:val="18"/>
              </w:rPr>
              <w:br/>
              <w:t xml:space="preserve">einschließlich mindestens einer </w:t>
            </w:r>
            <w:proofErr w:type="spellStart"/>
            <w:r>
              <w:rPr>
                <w:snapToGrid w:val="0"/>
                <w:sz w:val="18"/>
              </w:rPr>
              <w:t>Meßstation</w:t>
            </w:r>
            <w:proofErr w:type="spellEnd"/>
            <w:r>
              <w:rPr>
                <w:snapToGrid w:val="0"/>
                <w:sz w:val="18"/>
              </w:rPr>
              <w:t xml:space="preserve"> für stä</w:t>
            </w:r>
            <w:r>
              <w:rPr>
                <w:snapToGrid w:val="0"/>
                <w:sz w:val="18"/>
              </w:rPr>
              <w:t>d</w:t>
            </w:r>
            <w:r>
              <w:rPr>
                <w:snapToGrid w:val="0"/>
                <w:sz w:val="18"/>
              </w:rPr>
              <w:t xml:space="preserve">tische Hintergrundquellen und einer </w:t>
            </w:r>
            <w:proofErr w:type="spellStart"/>
            <w:r>
              <w:rPr>
                <w:snapToGrid w:val="0"/>
                <w:sz w:val="18"/>
              </w:rPr>
              <w:t>Meßstation</w:t>
            </w:r>
            <w:proofErr w:type="spellEnd"/>
            <w:r>
              <w:rPr>
                <w:snapToGrid w:val="0"/>
                <w:sz w:val="18"/>
              </w:rPr>
              <w:t xml:space="preserve"> für den Verkehr</w:t>
            </w:r>
          </w:p>
        </w:tc>
        <w:tc>
          <w:tcPr>
            <w:tcW w:w="2268" w:type="dxa"/>
          </w:tcPr>
          <w:p w:rsidR="00461179" w:rsidRDefault="00461179">
            <w:pPr>
              <w:pStyle w:val="GesAbsatz"/>
              <w:jc w:val="center"/>
            </w:pPr>
          </w:p>
        </w:tc>
        <w:tc>
          <w:tcPr>
            <w:tcW w:w="2268" w:type="dxa"/>
            <w:tcBorders>
              <w:right w:val="nil"/>
            </w:tcBorders>
          </w:tcPr>
          <w:p w:rsidR="00461179" w:rsidRDefault="00461179">
            <w:pPr>
              <w:pStyle w:val="GesAbsatz"/>
              <w:jc w:val="center"/>
            </w:pPr>
          </w:p>
        </w:tc>
      </w:tr>
    </w:tbl>
    <w:p w:rsidR="00461179" w:rsidRDefault="00461179">
      <w:pPr>
        <w:pStyle w:val="GesAbsatz"/>
        <w:tabs>
          <w:tab w:val="clear" w:pos="425"/>
        </w:tabs>
        <w:ind w:left="709" w:hanging="283"/>
      </w:pPr>
    </w:p>
    <w:p w:rsidR="00461179" w:rsidRDefault="00461179">
      <w:pPr>
        <w:pStyle w:val="GesAbsatz"/>
        <w:numPr>
          <w:ilvl w:val="0"/>
          <w:numId w:val="30"/>
        </w:numPr>
        <w:tabs>
          <w:tab w:val="clear" w:pos="425"/>
        </w:tabs>
      </w:pPr>
      <w:r>
        <w:rPr>
          <w:i/>
        </w:rPr>
        <w:t>Punktquellen</w:t>
      </w:r>
    </w:p>
    <w:p w:rsidR="00461179" w:rsidRDefault="00461179">
      <w:pPr>
        <w:pStyle w:val="GesAbsatz"/>
        <w:ind w:left="426"/>
        <w:rPr>
          <w:snapToGrid w:val="0"/>
        </w:rPr>
      </w:pPr>
      <w:r>
        <w:rPr>
          <w:snapToGrid w:val="0"/>
        </w:rPr>
        <w:t>Zur Beurteilung der Luftverschmutzung in der Nähe von Punktquellen sollte die Zahl der Probenahm</w:t>
      </w:r>
      <w:r>
        <w:rPr>
          <w:snapToGrid w:val="0"/>
        </w:rPr>
        <w:t>e</w:t>
      </w:r>
      <w:r>
        <w:rPr>
          <w:snapToGrid w:val="0"/>
        </w:rPr>
        <w:t>stellen für ortsfeste Messungen unter Berücksichtigung der Emissionsdichte, der wahrscheinlichen Ve</w:t>
      </w:r>
      <w:r>
        <w:rPr>
          <w:snapToGrid w:val="0"/>
        </w:rPr>
        <w:t>r</w:t>
      </w:r>
      <w:r>
        <w:rPr>
          <w:snapToGrid w:val="0"/>
        </w:rPr>
        <w:t>teilung der Luftschadstoffe und der möglichen Exposition der Bevölkerung berechnet werden.</w:t>
      </w:r>
    </w:p>
    <w:p w:rsidR="00461179" w:rsidRDefault="00461179">
      <w:pPr>
        <w:pStyle w:val="GesAbsatz"/>
        <w:ind w:left="426"/>
        <w:rPr>
          <w:snapToGrid w:val="0"/>
        </w:rPr>
      </w:pPr>
    </w:p>
    <w:p w:rsidR="00461179" w:rsidRDefault="00461179">
      <w:pPr>
        <w:pStyle w:val="GesAbsatz"/>
        <w:numPr>
          <w:ilvl w:val="0"/>
          <w:numId w:val="32"/>
        </w:numPr>
        <w:tabs>
          <w:tab w:val="clear" w:pos="425"/>
          <w:tab w:val="clear" w:pos="720"/>
        </w:tabs>
        <w:ind w:left="426" w:hanging="426"/>
        <w:rPr>
          <w:snapToGrid w:val="0"/>
        </w:rPr>
      </w:pPr>
      <w:r>
        <w:rPr>
          <w:b/>
          <w:snapToGrid w:val="0"/>
        </w:rPr>
        <w:t>Mindestzahl der Probenahmestellen für ortsfeste Messungen zur Beurteilung der Einhaltung von Grenzwerten für den Schutz von Ökosystemen oder der Vegetation in anderen Gebieten als Ba</w:t>
      </w:r>
      <w:r>
        <w:rPr>
          <w:b/>
          <w:snapToGrid w:val="0"/>
        </w:rPr>
        <w:t>l</w:t>
      </w:r>
      <w:r>
        <w:rPr>
          <w:b/>
          <w:snapToGrid w:val="0"/>
        </w:rPr>
        <w:t>lungsräumen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394"/>
      </w:tblGrid>
      <w:tr w:rsidR="00461179">
        <w:tc>
          <w:tcPr>
            <w:tcW w:w="4819" w:type="dxa"/>
          </w:tcPr>
          <w:p w:rsidR="00461179" w:rsidRDefault="00461179">
            <w:pPr>
              <w:pStyle w:val="GesAbsatz"/>
              <w:tabs>
                <w:tab w:val="clear" w:pos="425"/>
              </w:tabs>
              <w:jc w:val="center"/>
              <w:rPr>
                <w:sz w:val="18"/>
              </w:rPr>
            </w:pPr>
            <w:r>
              <w:rPr>
                <w:snapToGrid w:val="0"/>
                <w:sz w:val="18"/>
              </w:rPr>
              <w:t>Falls die maximale Konzentration die obere Beurteilung</w:t>
            </w:r>
            <w:r>
              <w:rPr>
                <w:snapToGrid w:val="0"/>
                <w:sz w:val="18"/>
              </w:rPr>
              <w:t>s</w:t>
            </w:r>
            <w:r>
              <w:rPr>
                <w:snapToGrid w:val="0"/>
                <w:sz w:val="18"/>
              </w:rPr>
              <w:t>schwelle überschreitet</w:t>
            </w:r>
          </w:p>
        </w:tc>
        <w:tc>
          <w:tcPr>
            <w:tcW w:w="4394" w:type="dxa"/>
          </w:tcPr>
          <w:p w:rsidR="00461179" w:rsidRDefault="00461179">
            <w:pPr>
              <w:pStyle w:val="GesAbsatz"/>
              <w:tabs>
                <w:tab w:val="clear" w:pos="425"/>
              </w:tabs>
              <w:jc w:val="center"/>
              <w:rPr>
                <w:sz w:val="18"/>
              </w:rPr>
            </w:pPr>
            <w:r>
              <w:rPr>
                <w:snapToGrid w:val="0"/>
                <w:sz w:val="18"/>
              </w:rPr>
              <w:t>Falls die maximale Konzentration zwischen der ob</w:t>
            </w:r>
            <w:r>
              <w:rPr>
                <w:snapToGrid w:val="0"/>
                <w:sz w:val="18"/>
              </w:rPr>
              <w:t>e</w:t>
            </w:r>
            <w:r>
              <w:rPr>
                <w:snapToGrid w:val="0"/>
                <w:sz w:val="18"/>
              </w:rPr>
              <w:t>ren und der unteren Beurteilungsschwelle liegt</w:t>
            </w:r>
          </w:p>
        </w:tc>
      </w:tr>
      <w:tr w:rsidR="00461179">
        <w:tc>
          <w:tcPr>
            <w:tcW w:w="4819" w:type="dxa"/>
          </w:tcPr>
          <w:p w:rsidR="00461179" w:rsidRDefault="00461179">
            <w:pPr>
              <w:pStyle w:val="GesAbsatz"/>
              <w:tabs>
                <w:tab w:val="clear" w:pos="425"/>
              </w:tabs>
              <w:rPr>
                <w:sz w:val="18"/>
              </w:rPr>
            </w:pPr>
            <w:r>
              <w:rPr>
                <w:snapToGrid w:val="0"/>
                <w:sz w:val="18"/>
              </w:rPr>
              <w:t>1 Station je 20 000 km</w:t>
            </w:r>
            <w:r>
              <w:rPr>
                <w:snapToGrid w:val="0"/>
                <w:sz w:val="18"/>
                <w:vertAlign w:val="superscript"/>
              </w:rPr>
              <w:t>2</w:t>
            </w:r>
          </w:p>
        </w:tc>
        <w:tc>
          <w:tcPr>
            <w:tcW w:w="4394" w:type="dxa"/>
          </w:tcPr>
          <w:p w:rsidR="00461179" w:rsidRDefault="00461179">
            <w:pPr>
              <w:pStyle w:val="GesAbsatz"/>
              <w:tabs>
                <w:tab w:val="clear" w:pos="425"/>
              </w:tabs>
              <w:rPr>
                <w:sz w:val="18"/>
              </w:rPr>
            </w:pPr>
            <w:r>
              <w:rPr>
                <w:snapToGrid w:val="0"/>
                <w:sz w:val="18"/>
              </w:rPr>
              <w:t>1 Station je 40 000 km</w:t>
            </w:r>
            <w:r>
              <w:rPr>
                <w:snapToGrid w:val="0"/>
                <w:sz w:val="18"/>
                <w:vertAlign w:val="superscript"/>
              </w:rPr>
              <w:t>2</w:t>
            </w:r>
          </w:p>
        </w:tc>
      </w:tr>
    </w:tbl>
    <w:p w:rsidR="00461179" w:rsidRDefault="00461179">
      <w:pPr>
        <w:ind w:left="1134" w:hanging="708"/>
        <w:rPr>
          <w:snapToGrid w:val="0"/>
        </w:rPr>
      </w:pPr>
    </w:p>
    <w:p w:rsidR="00461179" w:rsidRDefault="00461179">
      <w:pPr>
        <w:ind w:left="426"/>
        <w:rPr>
          <w:snapToGrid w:val="0"/>
        </w:rPr>
      </w:pPr>
      <w:r>
        <w:rPr>
          <w:snapToGrid w:val="0"/>
        </w:rPr>
        <w:lastRenderedPageBreak/>
        <w:t>Im Falle von Inselgebieten sollte die Zahl der Probenahmestellen unter Berücksichtigung der wah</w:t>
      </w:r>
      <w:r>
        <w:rPr>
          <w:snapToGrid w:val="0"/>
        </w:rPr>
        <w:t>r</w:t>
      </w:r>
      <w:r>
        <w:rPr>
          <w:snapToGrid w:val="0"/>
        </w:rPr>
        <w:t>scheinlichen Verteilung der Luftschadstoffe und der möglichen Exposition der Ökosysteme oder der Vegetation berechnet werden.</w:t>
      </w:r>
    </w:p>
    <w:p w:rsidR="00461179" w:rsidRDefault="00461179">
      <w:pPr>
        <w:pStyle w:val="berschrift2"/>
        <w:jc w:val="left"/>
        <w:rPr>
          <w:snapToGrid w:val="0"/>
        </w:rPr>
      </w:pPr>
      <w:r>
        <w:rPr>
          <w:snapToGrid w:val="0"/>
        </w:rPr>
        <w:br w:type="page"/>
      </w:r>
      <w:bookmarkStart w:id="23" w:name="_Toc202752889"/>
      <w:r>
        <w:rPr>
          <w:snapToGrid w:val="0"/>
        </w:rPr>
        <w:lastRenderedPageBreak/>
        <w:t>ANHANG VIII</w:t>
      </w:r>
      <w:r>
        <w:rPr>
          <w:snapToGrid w:val="0"/>
        </w:rPr>
        <w:br/>
        <w:t>DATENQUALITÄTSZIELE UND ZUSAMMENSTELLUNG DER ERGEBNISSE DER LUFTQUALITÄTSBEURTEILUNG</w:t>
      </w:r>
      <w:bookmarkEnd w:id="23"/>
      <w:r>
        <w:rPr>
          <w:snapToGrid w:val="0"/>
        </w:rPr>
        <w:t xml:space="preserve"> </w:t>
      </w:r>
    </w:p>
    <w:p w:rsidR="00461179" w:rsidRDefault="00461179">
      <w:pPr>
        <w:pStyle w:val="GesAbsatz"/>
        <w:rPr>
          <w:b/>
          <w:snapToGrid w:val="0"/>
        </w:rPr>
      </w:pPr>
      <w:r>
        <w:rPr>
          <w:b/>
          <w:snapToGrid w:val="0"/>
        </w:rPr>
        <w:t>I.</w:t>
      </w:r>
      <w:r>
        <w:rPr>
          <w:b/>
          <w:snapToGrid w:val="0"/>
        </w:rPr>
        <w:tab/>
        <w:t>Datenqualitätsziele</w:t>
      </w:r>
    </w:p>
    <w:p w:rsidR="00461179" w:rsidRDefault="00461179">
      <w:pPr>
        <w:pStyle w:val="GesAbsatz"/>
        <w:ind w:left="426"/>
        <w:rPr>
          <w:snapToGrid w:val="0"/>
        </w:rPr>
      </w:pPr>
      <w:r>
        <w:rPr>
          <w:snapToGrid w:val="0"/>
        </w:rPr>
        <w:t>Die folgenden Ziele für die Datenqualität hinsichtlich der erforderlichen Genauigkeit der Beurteilungsm</w:t>
      </w:r>
      <w:r>
        <w:rPr>
          <w:snapToGrid w:val="0"/>
        </w:rPr>
        <w:t>e</w:t>
      </w:r>
      <w:r>
        <w:rPr>
          <w:snapToGrid w:val="0"/>
        </w:rPr>
        <w:t xml:space="preserve">thoden sowie der Mindestzeitdauer und der </w:t>
      </w:r>
      <w:proofErr w:type="spellStart"/>
      <w:r>
        <w:rPr>
          <w:snapToGrid w:val="0"/>
        </w:rPr>
        <w:t>Meßdatenerfassung</w:t>
      </w:r>
      <w:proofErr w:type="spellEnd"/>
      <w:r>
        <w:rPr>
          <w:snapToGrid w:val="0"/>
        </w:rPr>
        <w:t xml:space="preserve"> dienen als Richtschnur für Qualitätss</w:t>
      </w:r>
      <w:r>
        <w:rPr>
          <w:snapToGrid w:val="0"/>
        </w:rPr>
        <w:t>i</w:t>
      </w:r>
      <w:r>
        <w:rPr>
          <w:snapToGrid w:val="0"/>
        </w:rPr>
        <w:t>cherungsprogramme.</w:t>
      </w:r>
    </w:p>
    <w:p w:rsidR="00461179" w:rsidRDefault="00461179">
      <w:pPr>
        <w:pStyle w:val="GesAbsatz"/>
        <w:ind w:left="426"/>
        <w:rPr>
          <w:snapToGrid w:val="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118"/>
        <w:gridCol w:w="3119"/>
      </w:tblGrid>
      <w:tr w:rsidR="00461179">
        <w:tc>
          <w:tcPr>
            <w:tcW w:w="2835" w:type="dxa"/>
          </w:tcPr>
          <w:p w:rsidR="00461179" w:rsidRDefault="00461179">
            <w:pPr>
              <w:pStyle w:val="GesAbsatz"/>
            </w:pPr>
          </w:p>
        </w:tc>
        <w:tc>
          <w:tcPr>
            <w:tcW w:w="3118" w:type="dxa"/>
          </w:tcPr>
          <w:p w:rsidR="00461179" w:rsidRDefault="00461179">
            <w:pPr>
              <w:pStyle w:val="GesAbsatz"/>
              <w:jc w:val="center"/>
            </w:pPr>
            <w:r>
              <w:rPr>
                <w:snapToGrid w:val="0"/>
              </w:rPr>
              <w:t>Schwefeldioxid, Stickstoffdioxid und Stickstoffoxide</w:t>
            </w:r>
          </w:p>
        </w:tc>
        <w:tc>
          <w:tcPr>
            <w:tcW w:w="3119" w:type="dxa"/>
          </w:tcPr>
          <w:p w:rsidR="00461179" w:rsidRDefault="00461179">
            <w:pPr>
              <w:pStyle w:val="GesAbsatz"/>
            </w:pPr>
            <w:r>
              <w:rPr>
                <w:snapToGrid w:val="0"/>
              </w:rPr>
              <w:t>Partikel und Blei</w:t>
            </w:r>
          </w:p>
        </w:tc>
      </w:tr>
      <w:tr w:rsidR="00461179">
        <w:tc>
          <w:tcPr>
            <w:tcW w:w="2835" w:type="dxa"/>
          </w:tcPr>
          <w:p w:rsidR="00461179" w:rsidRDefault="00461179">
            <w:pPr>
              <w:pStyle w:val="GesAbsatz"/>
              <w:ind w:left="355" w:hanging="355"/>
              <w:jc w:val="left"/>
            </w:pPr>
            <w:r>
              <w:rPr>
                <w:snapToGrid w:val="0"/>
              </w:rPr>
              <w:t xml:space="preserve">Kontinuierliche Messung </w:t>
            </w:r>
            <w:r>
              <w:rPr>
                <w:snapToGrid w:val="0"/>
              </w:rPr>
              <w:br/>
              <w:t xml:space="preserve">Genauigkeit </w:t>
            </w:r>
            <w:r>
              <w:rPr>
                <w:snapToGrid w:val="0"/>
              </w:rPr>
              <w:br/>
              <w:t>Mindestdatenerfassung</w:t>
            </w:r>
          </w:p>
        </w:tc>
        <w:tc>
          <w:tcPr>
            <w:tcW w:w="3118" w:type="dxa"/>
          </w:tcPr>
          <w:p w:rsidR="00461179" w:rsidRDefault="00461179">
            <w:pPr>
              <w:pStyle w:val="GesAbsatz"/>
              <w:jc w:val="left"/>
            </w:pPr>
            <w:r>
              <w:br/>
              <w:t>15 %</w:t>
            </w:r>
            <w:r>
              <w:br/>
              <w:t>90 %</w:t>
            </w:r>
          </w:p>
        </w:tc>
        <w:tc>
          <w:tcPr>
            <w:tcW w:w="3119" w:type="dxa"/>
          </w:tcPr>
          <w:p w:rsidR="00461179" w:rsidRDefault="00461179">
            <w:pPr>
              <w:pStyle w:val="GesAbsatz"/>
              <w:jc w:val="left"/>
            </w:pPr>
            <w:r>
              <w:br/>
              <w:t>25 %</w:t>
            </w:r>
            <w:r>
              <w:br/>
              <w:t>90 %</w:t>
            </w:r>
          </w:p>
        </w:tc>
      </w:tr>
      <w:tr w:rsidR="00461179">
        <w:tc>
          <w:tcPr>
            <w:tcW w:w="2835" w:type="dxa"/>
          </w:tcPr>
          <w:p w:rsidR="00461179" w:rsidRDefault="00461179">
            <w:pPr>
              <w:pStyle w:val="GesAbsatz"/>
              <w:ind w:left="355" w:hanging="355"/>
              <w:jc w:val="left"/>
            </w:pPr>
            <w:r>
              <w:rPr>
                <w:snapToGrid w:val="0"/>
              </w:rPr>
              <w:t>Orientierende Messung</w:t>
            </w:r>
            <w:r>
              <w:rPr>
                <w:snapToGrid w:val="0"/>
              </w:rPr>
              <w:br/>
              <w:t>Genauigkeit</w:t>
            </w:r>
            <w:r>
              <w:rPr>
                <w:snapToGrid w:val="0"/>
              </w:rPr>
              <w:br/>
              <w:t>Mindestdatenerfassung</w:t>
            </w:r>
            <w:r>
              <w:rPr>
                <w:snapToGrid w:val="0"/>
              </w:rPr>
              <w:br/>
              <w:t>Mindestzeitdauer</w:t>
            </w:r>
          </w:p>
        </w:tc>
        <w:tc>
          <w:tcPr>
            <w:tcW w:w="3118" w:type="dxa"/>
          </w:tcPr>
          <w:p w:rsidR="00461179" w:rsidRDefault="00461179">
            <w:pPr>
              <w:pStyle w:val="GesAbsatz"/>
              <w:jc w:val="left"/>
            </w:pPr>
            <w:r>
              <w:rPr>
                <w:snapToGrid w:val="0"/>
              </w:rPr>
              <w:br/>
              <w:t>25 %</w:t>
            </w:r>
            <w:r>
              <w:rPr>
                <w:snapToGrid w:val="0"/>
              </w:rPr>
              <w:br/>
              <w:t>90 %</w:t>
            </w:r>
            <w:r>
              <w:rPr>
                <w:snapToGrid w:val="0"/>
              </w:rPr>
              <w:br/>
              <w:t>14 % (eine Messung wöchentlich nach dem Zufallsprinzip gleic</w:t>
            </w:r>
            <w:r>
              <w:rPr>
                <w:snapToGrid w:val="0"/>
              </w:rPr>
              <w:t>h</w:t>
            </w:r>
            <w:r>
              <w:rPr>
                <w:snapToGrid w:val="0"/>
              </w:rPr>
              <w:t>mäßig über das Jahr verteilt oder acht Wochen gleichmäßig über das Jahr verteilt)</w:t>
            </w:r>
          </w:p>
        </w:tc>
        <w:tc>
          <w:tcPr>
            <w:tcW w:w="3119" w:type="dxa"/>
          </w:tcPr>
          <w:p w:rsidR="00461179" w:rsidRDefault="00461179">
            <w:pPr>
              <w:pStyle w:val="GesAbsatz"/>
              <w:jc w:val="left"/>
            </w:pPr>
            <w:r>
              <w:rPr>
                <w:snapToGrid w:val="0"/>
              </w:rPr>
              <w:br/>
              <w:t>50 %</w:t>
            </w:r>
            <w:r>
              <w:rPr>
                <w:snapToGrid w:val="0"/>
              </w:rPr>
              <w:br/>
              <w:t>90 %</w:t>
            </w:r>
            <w:r>
              <w:rPr>
                <w:snapToGrid w:val="0"/>
              </w:rPr>
              <w:br/>
              <w:t>14 % (eine Messung wöchentlich nach dem Zufallsprinzip gleic</w:t>
            </w:r>
            <w:r>
              <w:rPr>
                <w:snapToGrid w:val="0"/>
              </w:rPr>
              <w:t>h</w:t>
            </w:r>
            <w:r>
              <w:rPr>
                <w:snapToGrid w:val="0"/>
              </w:rPr>
              <w:t>mäßig über das Jahr verteilt oder acht Wochen gleichmäßig über das Jahr verteilt)</w:t>
            </w:r>
          </w:p>
        </w:tc>
      </w:tr>
      <w:tr w:rsidR="00461179">
        <w:tc>
          <w:tcPr>
            <w:tcW w:w="2835" w:type="dxa"/>
          </w:tcPr>
          <w:p w:rsidR="00461179" w:rsidRDefault="00461179">
            <w:pPr>
              <w:pStyle w:val="GesAbsatz"/>
              <w:ind w:left="355" w:hanging="355"/>
            </w:pPr>
            <w:r>
              <w:rPr>
                <w:snapToGrid w:val="0"/>
              </w:rPr>
              <w:t>Modellberechnung</w:t>
            </w:r>
            <w:r>
              <w:rPr>
                <w:snapToGrid w:val="0"/>
              </w:rPr>
              <w:br/>
              <w:t>Genauigkeit:</w:t>
            </w:r>
            <w:r>
              <w:rPr>
                <w:snapToGrid w:val="0"/>
              </w:rPr>
              <w:br/>
              <w:t>Stundenmittelwerte</w:t>
            </w:r>
            <w:r>
              <w:rPr>
                <w:snapToGrid w:val="0"/>
              </w:rPr>
              <w:br/>
              <w:t>Tagesmittelwerte</w:t>
            </w:r>
            <w:r>
              <w:rPr>
                <w:snapToGrid w:val="0"/>
              </w:rPr>
              <w:br/>
              <w:t>Jahresmittelwerte</w:t>
            </w:r>
          </w:p>
        </w:tc>
        <w:tc>
          <w:tcPr>
            <w:tcW w:w="3118" w:type="dxa"/>
          </w:tcPr>
          <w:p w:rsidR="00461179" w:rsidRDefault="00461179">
            <w:pPr>
              <w:pStyle w:val="GesAbsatz"/>
              <w:jc w:val="left"/>
            </w:pPr>
            <w:r>
              <w:br/>
            </w:r>
            <w:r>
              <w:br/>
              <w:t>50 - 60 %</w:t>
            </w:r>
            <w:r>
              <w:br/>
              <w:t>50 %</w:t>
            </w:r>
            <w:r>
              <w:br/>
              <w:t>30 %</w:t>
            </w:r>
          </w:p>
        </w:tc>
        <w:tc>
          <w:tcPr>
            <w:tcW w:w="3119" w:type="dxa"/>
          </w:tcPr>
          <w:p w:rsidR="00461179" w:rsidRDefault="00461179">
            <w:pPr>
              <w:pStyle w:val="GesAbsatz"/>
              <w:jc w:val="left"/>
            </w:pPr>
            <w:r>
              <w:br/>
            </w:r>
            <w:r>
              <w:br/>
            </w:r>
            <w:r>
              <w:br/>
              <w:t xml:space="preserve">noch nicht festgelegt </w:t>
            </w:r>
            <w:r>
              <w:br/>
              <w:t>50 %</w:t>
            </w:r>
          </w:p>
        </w:tc>
      </w:tr>
      <w:tr w:rsidR="00461179">
        <w:tc>
          <w:tcPr>
            <w:tcW w:w="2835" w:type="dxa"/>
          </w:tcPr>
          <w:p w:rsidR="00461179" w:rsidRDefault="00461179">
            <w:pPr>
              <w:pStyle w:val="GesAbsatz"/>
              <w:ind w:left="355" w:hanging="355"/>
              <w:jc w:val="left"/>
            </w:pPr>
            <w:r>
              <w:rPr>
                <w:snapToGrid w:val="0"/>
              </w:rPr>
              <w:t>Objektive Schätzung</w:t>
            </w:r>
            <w:r>
              <w:rPr>
                <w:snapToGrid w:val="0"/>
              </w:rPr>
              <w:br/>
              <w:t>Genauigkeit</w:t>
            </w:r>
          </w:p>
        </w:tc>
        <w:tc>
          <w:tcPr>
            <w:tcW w:w="3118" w:type="dxa"/>
          </w:tcPr>
          <w:p w:rsidR="00461179" w:rsidRDefault="00461179">
            <w:pPr>
              <w:pStyle w:val="GesAbsatz"/>
              <w:jc w:val="left"/>
            </w:pPr>
            <w:r>
              <w:br/>
              <w:t>75 %</w:t>
            </w:r>
          </w:p>
        </w:tc>
        <w:tc>
          <w:tcPr>
            <w:tcW w:w="3119" w:type="dxa"/>
          </w:tcPr>
          <w:p w:rsidR="00461179" w:rsidRDefault="00461179">
            <w:pPr>
              <w:pStyle w:val="GesAbsatz"/>
              <w:jc w:val="left"/>
            </w:pPr>
            <w:r>
              <w:br/>
              <w:t>100 %</w:t>
            </w:r>
          </w:p>
        </w:tc>
      </w:tr>
    </w:tbl>
    <w:p w:rsidR="00461179" w:rsidRDefault="00461179">
      <w:pPr>
        <w:pStyle w:val="GesAbsatz"/>
        <w:ind w:left="426"/>
      </w:pPr>
    </w:p>
    <w:p w:rsidR="00461179" w:rsidRDefault="00461179">
      <w:pPr>
        <w:pStyle w:val="GesAbsatz"/>
        <w:rPr>
          <w:snapToGrid w:val="0"/>
        </w:rPr>
      </w:pPr>
      <w:r>
        <w:rPr>
          <w:snapToGrid w:val="0"/>
        </w:rPr>
        <w:t xml:space="preserve">Die </w:t>
      </w:r>
      <w:proofErr w:type="spellStart"/>
      <w:r>
        <w:rPr>
          <w:snapToGrid w:val="0"/>
        </w:rPr>
        <w:t>Meßgenauigkeit</w:t>
      </w:r>
      <w:proofErr w:type="spellEnd"/>
      <w:r>
        <w:rPr>
          <w:snapToGrid w:val="0"/>
        </w:rPr>
        <w:t xml:space="preserve"> ist definiert im „Leitfaden zur Angabe der Unsicherheit beim Messen “(ISO 1993) oder in ISO 5725-1 „Genauigkeit (Richtigkeit und Präzision) von </w:t>
      </w:r>
      <w:proofErr w:type="spellStart"/>
      <w:r>
        <w:rPr>
          <w:snapToGrid w:val="0"/>
        </w:rPr>
        <w:t>Meßverfahren</w:t>
      </w:r>
      <w:proofErr w:type="spellEnd"/>
      <w:r>
        <w:rPr>
          <w:snapToGrid w:val="0"/>
        </w:rPr>
        <w:t xml:space="preserve"> und </w:t>
      </w:r>
      <w:proofErr w:type="spellStart"/>
      <w:r>
        <w:rPr>
          <w:snapToGrid w:val="0"/>
        </w:rPr>
        <w:t>Meßergebnissen</w:t>
      </w:r>
      <w:proofErr w:type="spellEnd"/>
      <w:r>
        <w:rPr>
          <w:snapToGrid w:val="0"/>
        </w:rPr>
        <w:t xml:space="preserve">“ (1994).Die Prozentangaben in der Tabelle gelten für Einzelmessungen, gemittelt über den betreffenden Zeitraum in </w:t>
      </w:r>
      <w:proofErr w:type="spellStart"/>
      <w:r>
        <w:rPr>
          <w:snapToGrid w:val="0"/>
        </w:rPr>
        <w:t>bezug</w:t>
      </w:r>
      <w:proofErr w:type="spellEnd"/>
      <w:r>
        <w:rPr>
          <w:snapToGrid w:val="0"/>
        </w:rPr>
        <w:t xml:space="preserve"> auf den Grenzwert bei einem Vertrauensbereich von 95 % (systematische Abweichung + zweimalige Standardabweichung). Die Genauigkeit von kontinuierlichen Messungen sollte so interpretiert werden, </w:t>
      </w:r>
      <w:proofErr w:type="spellStart"/>
      <w:r>
        <w:rPr>
          <w:snapToGrid w:val="0"/>
        </w:rPr>
        <w:t>daß</w:t>
      </w:r>
      <w:proofErr w:type="spellEnd"/>
      <w:r>
        <w:rPr>
          <w:snapToGrid w:val="0"/>
        </w:rPr>
        <w:t xml:space="preserve"> sie in der Nähe des jeweiligen Grenzwertes gilt. </w:t>
      </w:r>
    </w:p>
    <w:p w:rsidR="00461179" w:rsidRDefault="00461179">
      <w:pPr>
        <w:pStyle w:val="GesAbsatz"/>
        <w:rPr>
          <w:snapToGrid w:val="0"/>
        </w:rPr>
      </w:pPr>
      <w:r>
        <w:rPr>
          <w:snapToGrid w:val="0"/>
        </w:rPr>
        <w:t>Die Genauigkeit von Modellberechnungen und objektiven Schätzungen ist definiert als die größte Abwe</w:t>
      </w:r>
      <w:r>
        <w:rPr>
          <w:snapToGrid w:val="0"/>
        </w:rPr>
        <w:t>i</w:t>
      </w:r>
      <w:r>
        <w:rPr>
          <w:snapToGrid w:val="0"/>
        </w:rPr>
        <w:t xml:space="preserve">chung der gemessenen und berechneten Konzentrationswerte über den betreffenden Zeitraum in </w:t>
      </w:r>
      <w:proofErr w:type="spellStart"/>
      <w:r>
        <w:rPr>
          <w:snapToGrid w:val="0"/>
        </w:rPr>
        <w:t>bezug</w:t>
      </w:r>
      <w:proofErr w:type="spellEnd"/>
      <w:r>
        <w:rPr>
          <w:snapToGrid w:val="0"/>
        </w:rPr>
        <w:t xml:space="preserve"> auf den Grenzwert, ohne </w:t>
      </w:r>
      <w:proofErr w:type="spellStart"/>
      <w:r>
        <w:rPr>
          <w:snapToGrid w:val="0"/>
        </w:rPr>
        <w:t>daß</w:t>
      </w:r>
      <w:proofErr w:type="spellEnd"/>
      <w:r>
        <w:rPr>
          <w:snapToGrid w:val="0"/>
        </w:rPr>
        <w:t xml:space="preserve"> die zeitliche Abfolge der Ereignisse berücksichtigt wird. </w:t>
      </w:r>
    </w:p>
    <w:p w:rsidR="00461179" w:rsidRDefault="00461179">
      <w:pPr>
        <w:pStyle w:val="GesAbsatz"/>
        <w:rPr>
          <w:snapToGrid w:val="0"/>
        </w:rPr>
      </w:pPr>
      <w:r>
        <w:rPr>
          <w:snapToGrid w:val="0"/>
        </w:rPr>
        <w:t>Die Anforderungen für die Mindestdatenerfassung und die Mindestzeitdauer erstrecken sich nicht auf Date</w:t>
      </w:r>
      <w:r>
        <w:rPr>
          <w:snapToGrid w:val="0"/>
        </w:rPr>
        <w:t>n</w:t>
      </w:r>
      <w:r>
        <w:rPr>
          <w:snapToGrid w:val="0"/>
        </w:rPr>
        <w:t xml:space="preserve">verlust aufgrund der regelmäßigen Kalibrierung oder der üblichen Wartung der </w:t>
      </w:r>
      <w:proofErr w:type="spellStart"/>
      <w:r>
        <w:rPr>
          <w:snapToGrid w:val="0"/>
        </w:rPr>
        <w:t>Meßgeräte</w:t>
      </w:r>
      <w:proofErr w:type="spellEnd"/>
      <w:r>
        <w:rPr>
          <w:snapToGrid w:val="0"/>
        </w:rPr>
        <w:t>.</w:t>
      </w:r>
    </w:p>
    <w:p w:rsidR="00461179" w:rsidRDefault="00461179">
      <w:pPr>
        <w:pStyle w:val="GesAbsatz"/>
        <w:rPr>
          <w:snapToGrid w:val="0"/>
        </w:rPr>
      </w:pPr>
      <w:r>
        <w:rPr>
          <w:snapToGrid w:val="0"/>
        </w:rPr>
        <w:t>Bei Partikeln und Blei können die Mitgliedstaaten jedoch Stichprobenmessungen anstelle von kontinuierl</w:t>
      </w:r>
      <w:r>
        <w:rPr>
          <w:snapToGrid w:val="0"/>
        </w:rPr>
        <w:t>i</w:t>
      </w:r>
      <w:r>
        <w:rPr>
          <w:snapToGrid w:val="0"/>
        </w:rPr>
        <w:t xml:space="preserve">chen Messungen durchführen, wenn sie der Kommission gegenüber nachweisen können, </w:t>
      </w:r>
      <w:proofErr w:type="spellStart"/>
      <w:r>
        <w:rPr>
          <w:snapToGrid w:val="0"/>
        </w:rPr>
        <w:t>daß</w:t>
      </w:r>
      <w:proofErr w:type="spellEnd"/>
      <w:r>
        <w:rPr>
          <w:snapToGrid w:val="0"/>
        </w:rPr>
        <w:t xml:space="preserve"> die Genaui</w:t>
      </w:r>
      <w:r>
        <w:rPr>
          <w:snapToGrid w:val="0"/>
        </w:rPr>
        <w:t>g</w:t>
      </w:r>
      <w:r>
        <w:rPr>
          <w:snapToGrid w:val="0"/>
        </w:rPr>
        <w:t xml:space="preserve">keit mit einem Vertrauensbereich von 95 % in </w:t>
      </w:r>
      <w:proofErr w:type="spellStart"/>
      <w:r>
        <w:rPr>
          <w:snapToGrid w:val="0"/>
        </w:rPr>
        <w:t>bezug</w:t>
      </w:r>
      <w:proofErr w:type="spellEnd"/>
      <w:r>
        <w:rPr>
          <w:snapToGrid w:val="0"/>
        </w:rPr>
        <w:t xml:space="preserve"> auf kontinuierliche Messungen bei 10 % liegt. Stichpr</w:t>
      </w:r>
      <w:r>
        <w:rPr>
          <w:snapToGrid w:val="0"/>
        </w:rPr>
        <w:t>o</w:t>
      </w:r>
      <w:r>
        <w:rPr>
          <w:snapToGrid w:val="0"/>
        </w:rPr>
        <w:t>benmessungen sind gleichmäßig über das Jahr zu verteilen.</w:t>
      </w:r>
    </w:p>
    <w:p w:rsidR="00461179" w:rsidRDefault="00461179">
      <w:pPr>
        <w:pStyle w:val="GesAbsatz"/>
        <w:rPr>
          <w:b/>
          <w:snapToGrid w:val="0"/>
        </w:rPr>
      </w:pPr>
      <w:r>
        <w:rPr>
          <w:snapToGrid w:val="0"/>
        </w:rPr>
        <w:br w:type="page"/>
      </w:r>
      <w:r>
        <w:rPr>
          <w:b/>
          <w:snapToGrid w:val="0"/>
        </w:rPr>
        <w:lastRenderedPageBreak/>
        <w:t>II.</w:t>
      </w:r>
      <w:r>
        <w:rPr>
          <w:b/>
          <w:snapToGrid w:val="0"/>
        </w:rPr>
        <w:tab/>
        <w:t>Ergebnisse der Luftqualitätsbeurteilung</w:t>
      </w:r>
    </w:p>
    <w:p w:rsidR="00461179" w:rsidRDefault="00461179">
      <w:pPr>
        <w:pStyle w:val="GesAbsatz"/>
        <w:ind w:left="426"/>
        <w:rPr>
          <w:snapToGrid w:val="0"/>
        </w:rPr>
      </w:pPr>
      <w:r>
        <w:rPr>
          <w:snapToGrid w:val="0"/>
        </w:rPr>
        <w:t>Die folgenden Informationen sollten für Gebiete oder Ballungsräume zusammengestellt werden, in d</w:t>
      </w:r>
      <w:r>
        <w:rPr>
          <w:snapToGrid w:val="0"/>
        </w:rPr>
        <w:t>e</w:t>
      </w:r>
      <w:r>
        <w:rPr>
          <w:snapToGrid w:val="0"/>
        </w:rPr>
        <w:t xml:space="preserve">nen anstelle von Messungen andere Datenquellen als ergänzende Information zu </w:t>
      </w:r>
      <w:proofErr w:type="spellStart"/>
      <w:r>
        <w:rPr>
          <w:snapToGrid w:val="0"/>
        </w:rPr>
        <w:t>Meßdaten</w:t>
      </w:r>
      <w:proofErr w:type="spellEnd"/>
      <w:r>
        <w:rPr>
          <w:snapToGrid w:val="0"/>
        </w:rPr>
        <w:t xml:space="preserve"> oder als a</w:t>
      </w:r>
      <w:r>
        <w:rPr>
          <w:snapToGrid w:val="0"/>
        </w:rPr>
        <w:t>l</w:t>
      </w:r>
      <w:r>
        <w:rPr>
          <w:snapToGrid w:val="0"/>
        </w:rPr>
        <w:t>leiniges Mittel zur Luftqualitätsbeurteilung genutzt werden:</w:t>
      </w:r>
    </w:p>
    <w:p w:rsidR="00461179" w:rsidRDefault="00461179">
      <w:pPr>
        <w:pStyle w:val="GesAbsatz"/>
        <w:numPr>
          <w:ilvl w:val="0"/>
          <w:numId w:val="33"/>
        </w:numPr>
        <w:tabs>
          <w:tab w:val="clear" w:pos="360"/>
          <w:tab w:val="clear" w:pos="425"/>
        </w:tabs>
        <w:ind w:left="567"/>
        <w:rPr>
          <w:snapToGrid w:val="0"/>
        </w:rPr>
      </w:pPr>
      <w:r>
        <w:rPr>
          <w:snapToGrid w:val="0"/>
        </w:rPr>
        <w:t>Beschreibung der durchgeführten Beurteilungstätigkeit;</w:t>
      </w:r>
    </w:p>
    <w:p w:rsidR="00461179" w:rsidRDefault="00461179">
      <w:pPr>
        <w:pStyle w:val="GesAbsatz"/>
        <w:numPr>
          <w:ilvl w:val="0"/>
          <w:numId w:val="33"/>
        </w:numPr>
        <w:tabs>
          <w:tab w:val="clear" w:pos="360"/>
          <w:tab w:val="clear" w:pos="425"/>
        </w:tabs>
        <w:ind w:left="567"/>
        <w:rPr>
          <w:snapToGrid w:val="0"/>
        </w:rPr>
      </w:pPr>
      <w:r>
        <w:rPr>
          <w:snapToGrid w:val="0"/>
        </w:rPr>
        <w:t>eingesetzte spezifische Methoden, mit Verweisen auf Beschreibungen der Methode;</w:t>
      </w:r>
    </w:p>
    <w:p w:rsidR="00461179" w:rsidRDefault="00461179">
      <w:pPr>
        <w:pStyle w:val="GesAbsatz"/>
        <w:numPr>
          <w:ilvl w:val="0"/>
          <w:numId w:val="33"/>
        </w:numPr>
        <w:tabs>
          <w:tab w:val="clear" w:pos="360"/>
          <w:tab w:val="clear" w:pos="425"/>
        </w:tabs>
        <w:ind w:left="567"/>
        <w:rPr>
          <w:snapToGrid w:val="0"/>
        </w:rPr>
      </w:pPr>
      <w:r>
        <w:rPr>
          <w:snapToGrid w:val="0"/>
        </w:rPr>
        <w:t>Quellen von Daten und Informationen;</w:t>
      </w:r>
    </w:p>
    <w:p w:rsidR="00461179" w:rsidRDefault="00461179">
      <w:pPr>
        <w:pStyle w:val="GesAbsatz"/>
        <w:numPr>
          <w:ilvl w:val="0"/>
          <w:numId w:val="33"/>
        </w:numPr>
        <w:tabs>
          <w:tab w:val="clear" w:pos="360"/>
          <w:tab w:val="clear" w:pos="425"/>
        </w:tabs>
        <w:ind w:left="567"/>
        <w:rPr>
          <w:snapToGrid w:val="0"/>
        </w:rPr>
      </w:pPr>
      <w:r>
        <w:rPr>
          <w:snapToGrid w:val="0"/>
        </w:rPr>
        <w:t>Beschreibung der Ergebnisse, einschließlich der Unsicherheiten; insbesondere die Ausdehnung von Flächen oder gegebenenfalls die Länge von Straßen innerhalb des Gebiets oder Ballungsraums, in denen die Schadstoffkonzentrationen die Grenzwerte zuzüglich etwaiger Toleranzmargen überste</w:t>
      </w:r>
      <w:r>
        <w:rPr>
          <w:snapToGrid w:val="0"/>
        </w:rPr>
        <w:t>i</w:t>
      </w:r>
      <w:r>
        <w:rPr>
          <w:snapToGrid w:val="0"/>
        </w:rPr>
        <w:t>gen, sowie alle geographischen Bereiche, in denen die Konzentration die obere oder die untere Beu</w:t>
      </w:r>
      <w:r>
        <w:rPr>
          <w:snapToGrid w:val="0"/>
        </w:rPr>
        <w:t>r</w:t>
      </w:r>
      <w:r>
        <w:rPr>
          <w:snapToGrid w:val="0"/>
        </w:rPr>
        <w:t>teilungsschwelle überschreitet;</w:t>
      </w:r>
    </w:p>
    <w:p w:rsidR="00461179" w:rsidRDefault="00461179">
      <w:pPr>
        <w:pStyle w:val="GesAbsatz"/>
        <w:numPr>
          <w:ilvl w:val="0"/>
          <w:numId w:val="34"/>
        </w:numPr>
        <w:tabs>
          <w:tab w:val="clear" w:pos="360"/>
          <w:tab w:val="clear" w:pos="425"/>
        </w:tabs>
        <w:ind w:left="567" w:hanging="141"/>
        <w:rPr>
          <w:snapToGrid w:val="0"/>
        </w:rPr>
      </w:pPr>
      <w:r>
        <w:rPr>
          <w:snapToGrid w:val="0"/>
        </w:rPr>
        <w:t>bei Grenzwerten zum Schutz der menschlichen Gesundheit Angabe der Bevölkerung, die potentiell einer Konzentration oberhalb des Grenzwertes ausgesetzt ist.</w:t>
      </w:r>
    </w:p>
    <w:p w:rsidR="00461179" w:rsidRDefault="00461179">
      <w:pPr>
        <w:pStyle w:val="GesAbsatz"/>
        <w:ind w:left="426"/>
        <w:rPr>
          <w:snapToGrid w:val="0"/>
        </w:rPr>
      </w:pPr>
      <w:r>
        <w:rPr>
          <w:snapToGrid w:val="0"/>
        </w:rPr>
        <w:t>Wo dies möglich ist, sollten die Mitgliedstaaten kartografische Darstellungen der Konzentrationsverte</w:t>
      </w:r>
      <w:r>
        <w:rPr>
          <w:snapToGrid w:val="0"/>
        </w:rPr>
        <w:t>i</w:t>
      </w:r>
      <w:r>
        <w:rPr>
          <w:snapToGrid w:val="0"/>
        </w:rPr>
        <w:t>lung innerhalb jedes Gebiets und Ballungsraums erstellen.</w:t>
      </w:r>
    </w:p>
    <w:p w:rsidR="00461179" w:rsidRDefault="00461179">
      <w:pPr>
        <w:pStyle w:val="GesAbsatz"/>
        <w:rPr>
          <w:b/>
          <w:snapToGrid w:val="0"/>
        </w:rPr>
      </w:pPr>
      <w:r>
        <w:rPr>
          <w:b/>
          <w:snapToGrid w:val="0"/>
        </w:rPr>
        <w:t>III. Normzustand</w:t>
      </w:r>
    </w:p>
    <w:p w:rsidR="00461179" w:rsidRDefault="00461179">
      <w:pPr>
        <w:pStyle w:val="GesAbsatz"/>
        <w:tabs>
          <w:tab w:val="clear" w:pos="425"/>
        </w:tabs>
        <w:ind w:left="426"/>
        <w:rPr>
          <w:snapToGrid w:val="0"/>
        </w:rPr>
      </w:pPr>
      <w:r>
        <w:rPr>
          <w:snapToGrid w:val="0"/>
        </w:rPr>
        <w:t>Bei Schwefeldioxid und Stickstoffoxiden bezieht sich das Volumen auf den Normzustand bei einer Temperatur von 293 K und einem Druck von 101,3 kPa.</w:t>
      </w:r>
    </w:p>
    <w:p w:rsidR="00461179" w:rsidRDefault="00461179">
      <w:pPr>
        <w:pStyle w:val="berschrift2"/>
        <w:jc w:val="left"/>
        <w:rPr>
          <w:snapToGrid w:val="0"/>
        </w:rPr>
      </w:pPr>
      <w:r>
        <w:rPr>
          <w:snapToGrid w:val="0"/>
        </w:rPr>
        <w:br w:type="page"/>
      </w:r>
      <w:bookmarkStart w:id="24" w:name="_Toc202752890"/>
      <w:r>
        <w:rPr>
          <w:snapToGrid w:val="0"/>
        </w:rPr>
        <w:lastRenderedPageBreak/>
        <w:t>ANHANG IX</w:t>
      </w:r>
      <w:r>
        <w:rPr>
          <w:snapToGrid w:val="0"/>
        </w:rPr>
        <w:br/>
        <w:t>REFERENZMETHODEN FÜR DIE BEURTEILUNG DER KONZENTRATION VON SCHWEFELDIOXID, STICKSTOFFDIOXID UND STICKSTOFFOXIDEN, PARTIKELN (PM</w:t>
      </w:r>
      <w:r>
        <w:rPr>
          <w:snapToGrid w:val="0"/>
          <w:sz w:val="10"/>
        </w:rPr>
        <w:t xml:space="preserve">10 </w:t>
      </w:r>
      <w:r>
        <w:rPr>
          <w:snapToGrid w:val="0"/>
        </w:rPr>
        <w:t>und PM</w:t>
      </w:r>
      <w:r>
        <w:rPr>
          <w:snapToGrid w:val="0"/>
          <w:sz w:val="10"/>
        </w:rPr>
        <w:t>2,5</w:t>
      </w:r>
      <w:r>
        <w:rPr>
          <w:snapToGrid w:val="0"/>
        </w:rPr>
        <w:t>) UND BLEI</w:t>
      </w:r>
      <w:bookmarkEnd w:id="24"/>
    </w:p>
    <w:p w:rsidR="00461179" w:rsidRDefault="00461179">
      <w:pPr>
        <w:pStyle w:val="GesAbsatz"/>
        <w:tabs>
          <w:tab w:val="clear" w:pos="425"/>
          <w:tab w:val="left" w:pos="567"/>
        </w:tabs>
        <w:rPr>
          <w:b/>
          <w:snapToGrid w:val="0"/>
        </w:rPr>
      </w:pPr>
      <w:r>
        <w:rPr>
          <w:b/>
          <w:snapToGrid w:val="0"/>
        </w:rPr>
        <w:t xml:space="preserve">I. </w:t>
      </w:r>
      <w:r>
        <w:rPr>
          <w:b/>
          <w:snapToGrid w:val="0"/>
        </w:rPr>
        <w:tab/>
        <w:t>Referenzmethode zur Bestimmung von Schwefeldioxid</w:t>
      </w:r>
    </w:p>
    <w:p w:rsidR="00461179" w:rsidRDefault="00461179">
      <w:pPr>
        <w:pStyle w:val="GesAbsatz"/>
        <w:ind w:left="567"/>
        <w:rPr>
          <w:snapToGrid w:val="0"/>
        </w:rPr>
      </w:pPr>
      <w:r>
        <w:rPr>
          <w:snapToGrid w:val="0"/>
        </w:rPr>
        <w:t>ISO/FDIS 10498 (Normentwurf) Luft - Bestimmung von Schwefeldioxid - UV-Fluoreszenz-Verfahren.</w:t>
      </w:r>
    </w:p>
    <w:p w:rsidR="00461179" w:rsidRDefault="00461179">
      <w:pPr>
        <w:pStyle w:val="GesAbsatz"/>
        <w:ind w:left="567"/>
        <w:rPr>
          <w:snapToGrid w:val="0"/>
        </w:rPr>
      </w:pPr>
      <w:r>
        <w:rPr>
          <w:snapToGrid w:val="0"/>
        </w:rPr>
        <w:t xml:space="preserve">Die Mitgliedstaaten können ein anderes Verfahren verwenden, wenn der betreffende Mitgliedstaat nachweisen kann, </w:t>
      </w:r>
      <w:proofErr w:type="spellStart"/>
      <w:r>
        <w:rPr>
          <w:snapToGrid w:val="0"/>
        </w:rPr>
        <w:t>daß</w:t>
      </w:r>
      <w:proofErr w:type="spellEnd"/>
      <w:r>
        <w:rPr>
          <w:snapToGrid w:val="0"/>
        </w:rPr>
        <w:t xml:space="preserve"> damit gleichwertige Ergebnisse wie mit dem obigen Verfahren erzielt werden.</w:t>
      </w:r>
    </w:p>
    <w:p w:rsidR="00461179" w:rsidRDefault="00461179">
      <w:pPr>
        <w:pStyle w:val="GesAbsatz"/>
        <w:tabs>
          <w:tab w:val="clear" w:pos="425"/>
          <w:tab w:val="left" w:pos="567"/>
        </w:tabs>
        <w:rPr>
          <w:b/>
          <w:snapToGrid w:val="0"/>
        </w:rPr>
      </w:pPr>
      <w:r>
        <w:rPr>
          <w:b/>
          <w:snapToGrid w:val="0"/>
        </w:rPr>
        <w:t xml:space="preserve">II. </w:t>
      </w:r>
      <w:r>
        <w:rPr>
          <w:b/>
          <w:snapToGrid w:val="0"/>
        </w:rPr>
        <w:tab/>
        <w:t>Referenzmethode zur Bestimmung von Stickstoffdioxid und Stickstoffoxiden</w:t>
      </w:r>
    </w:p>
    <w:p w:rsidR="00461179" w:rsidRDefault="00461179">
      <w:pPr>
        <w:pStyle w:val="GesAbsatz"/>
        <w:tabs>
          <w:tab w:val="clear" w:pos="425"/>
        </w:tabs>
        <w:ind w:left="567"/>
        <w:rPr>
          <w:snapToGrid w:val="0"/>
        </w:rPr>
      </w:pPr>
      <w:r>
        <w:rPr>
          <w:snapToGrid w:val="0"/>
        </w:rPr>
        <w:t>ISO 7996:1985 Luft - Bestimmung der Massenkonzentration von Stickstoffoxiden - Chemilumine</w:t>
      </w:r>
      <w:r>
        <w:rPr>
          <w:snapToGrid w:val="0"/>
        </w:rPr>
        <w:t>s</w:t>
      </w:r>
      <w:r>
        <w:rPr>
          <w:snapToGrid w:val="0"/>
        </w:rPr>
        <w:t>zenz-Verfahren.</w:t>
      </w:r>
    </w:p>
    <w:p w:rsidR="00461179" w:rsidRDefault="00461179">
      <w:pPr>
        <w:pStyle w:val="GesAbsatz"/>
        <w:tabs>
          <w:tab w:val="clear" w:pos="425"/>
        </w:tabs>
        <w:ind w:left="567"/>
        <w:rPr>
          <w:snapToGrid w:val="0"/>
        </w:rPr>
      </w:pPr>
      <w:r>
        <w:rPr>
          <w:snapToGrid w:val="0"/>
        </w:rPr>
        <w:t xml:space="preserve">Die Mitgliedstaaten können ein anderes Verfahren verwenden, wenn der betreffende Mitgliedstaat nachweisen kann, </w:t>
      </w:r>
      <w:proofErr w:type="spellStart"/>
      <w:r>
        <w:rPr>
          <w:snapToGrid w:val="0"/>
        </w:rPr>
        <w:t>daß</w:t>
      </w:r>
      <w:proofErr w:type="spellEnd"/>
      <w:r>
        <w:rPr>
          <w:snapToGrid w:val="0"/>
        </w:rPr>
        <w:t xml:space="preserve"> damit gleichwertige Ergebnisse wie mit dem obigen Verfahren erzielt werden.</w:t>
      </w:r>
    </w:p>
    <w:p w:rsidR="00461179" w:rsidRDefault="00461179">
      <w:pPr>
        <w:pStyle w:val="GesAbsatz"/>
        <w:tabs>
          <w:tab w:val="clear" w:pos="425"/>
          <w:tab w:val="left" w:pos="567"/>
        </w:tabs>
        <w:rPr>
          <w:b/>
          <w:snapToGrid w:val="0"/>
        </w:rPr>
      </w:pPr>
      <w:r>
        <w:rPr>
          <w:b/>
          <w:snapToGrid w:val="0"/>
        </w:rPr>
        <w:t xml:space="preserve">III.A </w:t>
      </w:r>
      <w:r>
        <w:rPr>
          <w:b/>
          <w:snapToGrid w:val="0"/>
        </w:rPr>
        <w:tab/>
        <w:t>Referenzmethode für die Probenahme von Blei</w:t>
      </w:r>
    </w:p>
    <w:p w:rsidR="00461179" w:rsidRDefault="00461179">
      <w:pPr>
        <w:pStyle w:val="GesAbsatz"/>
        <w:tabs>
          <w:tab w:val="clear" w:pos="425"/>
        </w:tabs>
        <w:ind w:left="567"/>
        <w:rPr>
          <w:snapToGrid w:val="0"/>
        </w:rPr>
      </w:pPr>
      <w:r>
        <w:rPr>
          <w:snapToGrid w:val="0"/>
        </w:rPr>
        <w:t>Das im Anhang der Richtlinie 82/884/EWG des Rates vorgesehene Verfahren ist als Referenzverfa</w:t>
      </w:r>
      <w:r>
        <w:rPr>
          <w:snapToGrid w:val="0"/>
        </w:rPr>
        <w:t>h</w:t>
      </w:r>
      <w:r>
        <w:rPr>
          <w:snapToGrid w:val="0"/>
        </w:rPr>
        <w:t>ren für die Probenahme von Blei bis zu dem Zeitpunkt zu verwenden, zu dem der Grenzwert nach A</w:t>
      </w:r>
      <w:r>
        <w:rPr>
          <w:snapToGrid w:val="0"/>
        </w:rPr>
        <w:t>n</w:t>
      </w:r>
      <w:r>
        <w:rPr>
          <w:snapToGrid w:val="0"/>
        </w:rPr>
        <w:t xml:space="preserve">hang IV der vorliegenden Richtlinie erreicht werden </w:t>
      </w:r>
      <w:proofErr w:type="spellStart"/>
      <w:r>
        <w:rPr>
          <w:snapToGrid w:val="0"/>
        </w:rPr>
        <w:t>muß</w:t>
      </w:r>
      <w:proofErr w:type="spellEnd"/>
      <w:r>
        <w:rPr>
          <w:snapToGrid w:val="0"/>
        </w:rPr>
        <w:t>, wenn gemäß Abschnitt IV des vorliegenden Anhangs das PM</w:t>
      </w:r>
      <w:r>
        <w:rPr>
          <w:snapToGrid w:val="0"/>
          <w:vertAlign w:val="subscript"/>
        </w:rPr>
        <w:t>10</w:t>
      </w:r>
      <w:r>
        <w:rPr>
          <w:snapToGrid w:val="0"/>
        </w:rPr>
        <w:t>-Verfahren als Referenzverfahren vorgesehen ist.</w:t>
      </w:r>
    </w:p>
    <w:p w:rsidR="00461179" w:rsidRDefault="00461179">
      <w:pPr>
        <w:pStyle w:val="GesAbsatz"/>
        <w:ind w:left="567"/>
        <w:rPr>
          <w:snapToGrid w:val="0"/>
        </w:rPr>
      </w:pPr>
      <w:r>
        <w:rPr>
          <w:snapToGrid w:val="0"/>
        </w:rPr>
        <w:t xml:space="preserve">Die Mitgliedstaaten können ein anderes Verfahren verwenden, wenn der betreffende Mitgliedstaat nachweisen kann, </w:t>
      </w:r>
      <w:proofErr w:type="spellStart"/>
      <w:r>
        <w:rPr>
          <w:snapToGrid w:val="0"/>
        </w:rPr>
        <w:t>daß</w:t>
      </w:r>
      <w:proofErr w:type="spellEnd"/>
      <w:r>
        <w:rPr>
          <w:snapToGrid w:val="0"/>
        </w:rPr>
        <w:t xml:space="preserve"> damit gleichwertige Ergebnisse wie mit dem obigen Verfahren erzielt werden.</w:t>
      </w:r>
    </w:p>
    <w:p w:rsidR="00461179" w:rsidRDefault="00461179">
      <w:pPr>
        <w:pStyle w:val="GesAbsatz"/>
        <w:tabs>
          <w:tab w:val="clear" w:pos="425"/>
          <w:tab w:val="left" w:pos="567"/>
        </w:tabs>
        <w:rPr>
          <w:b/>
          <w:snapToGrid w:val="0"/>
        </w:rPr>
      </w:pPr>
      <w:r>
        <w:rPr>
          <w:b/>
          <w:snapToGrid w:val="0"/>
        </w:rPr>
        <w:t xml:space="preserve">III.B </w:t>
      </w:r>
      <w:r>
        <w:rPr>
          <w:b/>
          <w:snapToGrid w:val="0"/>
        </w:rPr>
        <w:tab/>
        <w:t>Referenzmethode für die Analyse von Blei</w:t>
      </w:r>
    </w:p>
    <w:p w:rsidR="00461179" w:rsidRDefault="00461179">
      <w:pPr>
        <w:pStyle w:val="GesAbsatz"/>
        <w:ind w:left="567"/>
        <w:rPr>
          <w:snapToGrid w:val="0"/>
        </w:rPr>
      </w:pPr>
      <w:r>
        <w:rPr>
          <w:snapToGrid w:val="0"/>
        </w:rPr>
        <w:t>ISO 9855:1993 Luft - Bestimmung des partikelgebundenen Bleianteils in Schwebstaub mittels Filte</w:t>
      </w:r>
      <w:r>
        <w:rPr>
          <w:snapToGrid w:val="0"/>
        </w:rPr>
        <w:t>r</w:t>
      </w:r>
      <w:r>
        <w:rPr>
          <w:snapToGrid w:val="0"/>
        </w:rPr>
        <w:t>probenahme - Atomabsorptionsspektrometrisches Verfahren</w:t>
      </w:r>
    </w:p>
    <w:p w:rsidR="00461179" w:rsidRDefault="00461179">
      <w:pPr>
        <w:pStyle w:val="GesAbsatz"/>
        <w:ind w:left="567"/>
        <w:rPr>
          <w:snapToGrid w:val="0"/>
        </w:rPr>
      </w:pPr>
      <w:r>
        <w:rPr>
          <w:snapToGrid w:val="0"/>
        </w:rPr>
        <w:t>Die Mitgliedstaaten können ein anderes Verfahren verwenden, wenn der betreffende Mitgliedstaa</w:t>
      </w:r>
      <w:r>
        <w:rPr>
          <w:snapToGrid w:val="0"/>
        </w:rPr>
        <w:t>t</w:t>
      </w:r>
      <w:r>
        <w:rPr>
          <w:snapToGrid w:val="0"/>
        </w:rPr>
        <w:t xml:space="preserve">nachweisen kann, </w:t>
      </w:r>
      <w:proofErr w:type="spellStart"/>
      <w:r>
        <w:rPr>
          <w:snapToGrid w:val="0"/>
        </w:rPr>
        <w:t>daß</w:t>
      </w:r>
      <w:proofErr w:type="spellEnd"/>
      <w:r>
        <w:rPr>
          <w:snapToGrid w:val="0"/>
        </w:rPr>
        <w:t xml:space="preserve"> damit gleichwertige Ergebnisse wie mit dem obigen Verfahren erzielt werden.</w:t>
      </w:r>
    </w:p>
    <w:p w:rsidR="00461179" w:rsidRDefault="00461179">
      <w:pPr>
        <w:pStyle w:val="GesAbsatz"/>
        <w:tabs>
          <w:tab w:val="clear" w:pos="425"/>
          <w:tab w:val="left" w:pos="567"/>
        </w:tabs>
        <w:rPr>
          <w:b/>
          <w:snapToGrid w:val="0"/>
        </w:rPr>
      </w:pPr>
      <w:r>
        <w:rPr>
          <w:b/>
          <w:snapToGrid w:val="0"/>
        </w:rPr>
        <w:t xml:space="preserve">IV. </w:t>
      </w:r>
      <w:r>
        <w:rPr>
          <w:b/>
          <w:snapToGrid w:val="0"/>
        </w:rPr>
        <w:tab/>
        <w:t>Referenzmethode für die Probenahme und Messung der PM</w:t>
      </w:r>
      <w:r>
        <w:rPr>
          <w:b/>
          <w:snapToGrid w:val="0"/>
          <w:vertAlign w:val="subscript"/>
        </w:rPr>
        <w:t>10</w:t>
      </w:r>
      <w:r>
        <w:rPr>
          <w:b/>
          <w:snapToGrid w:val="0"/>
        </w:rPr>
        <w:t>-Konzentration</w:t>
      </w:r>
    </w:p>
    <w:p w:rsidR="00461179" w:rsidRDefault="00461179">
      <w:pPr>
        <w:pStyle w:val="GesAbsatz"/>
        <w:ind w:left="567"/>
        <w:rPr>
          <w:snapToGrid w:val="0"/>
        </w:rPr>
      </w:pPr>
      <w:r>
        <w:rPr>
          <w:snapToGrid w:val="0"/>
        </w:rPr>
        <w:t>Als Referenzmethode ist die in der folgenden Norm beschriebene Methode zu verwenden: EN 12341 „Luftqualität .Felduntersuchung zum Nachweis der Gleichwertigkeit von Probenahmeverfahren für die PM</w:t>
      </w:r>
      <w:r>
        <w:rPr>
          <w:snapToGrid w:val="0"/>
          <w:vertAlign w:val="subscript"/>
        </w:rPr>
        <w:t>10</w:t>
      </w:r>
      <w:r>
        <w:rPr>
          <w:snapToGrid w:val="0"/>
        </w:rPr>
        <w:t xml:space="preserve">-Fraktion von Partikeln“. Das </w:t>
      </w:r>
      <w:proofErr w:type="spellStart"/>
      <w:r>
        <w:rPr>
          <w:snapToGrid w:val="0"/>
        </w:rPr>
        <w:t>Meßprinzip</w:t>
      </w:r>
      <w:proofErr w:type="spellEnd"/>
      <w:r>
        <w:rPr>
          <w:snapToGrid w:val="0"/>
        </w:rPr>
        <w:t xml:space="preserve"> stützt sich auf die Abscheidung der PM</w:t>
      </w:r>
      <w:r>
        <w:rPr>
          <w:snapToGrid w:val="0"/>
          <w:vertAlign w:val="subscript"/>
        </w:rPr>
        <w:t>10</w:t>
      </w:r>
      <w:r>
        <w:rPr>
          <w:snapToGrid w:val="0"/>
        </w:rPr>
        <w:t>-Fraktion von Partikeln in der Luft auf einem Filter und die gravimetrische Massenbestimmung.</w:t>
      </w:r>
    </w:p>
    <w:p w:rsidR="00461179" w:rsidRDefault="00461179">
      <w:pPr>
        <w:pStyle w:val="GesAbsatz"/>
        <w:ind w:left="567"/>
        <w:rPr>
          <w:snapToGrid w:val="0"/>
        </w:rPr>
      </w:pPr>
      <w:r>
        <w:rPr>
          <w:snapToGrid w:val="0"/>
        </w:rPr>
        <w:t xml:space="preserve">Die Mitgliedstaaten können auch andere Verfahren verwenden, wenn der betreffende Mitgliedstaat nachweisen kann, </w:t>
      </w:r>
      <w:proofErr w:type="spellStart"/>
      <w:r>
        <w:rPr>
          <w:snapToGrid w:val="0"/>
        </w:rPr>
        <w:t>daß</w:t>
      </w:r>
      <w:proofErr w:type="spellEnd"/>
      <w:r>
        <w:rPr>
          <w:snapToGrid w:val="0"/>
        </w:rPr>
        <w:t xml:space="preserve"> damit gleichwertige Ergebnisse wie mit den obigen Verfahren erzielt werden, oder ein anderes Verfahren, wenn der betreffende Mitgliedstaat nachweisen kann, </w:t>
      </w:r>
      <w:proofErr w:type="spellStart"/>
      <w:r>
        <w:rPr>
          <w:snapToGrid w:val="0"/>
        </w:rPr>
        <w:t>daß</w:t>
      </w:r>
      <w:proofErr w:type="spellEnd"/>
      <w:r>
        <w:rPr>
          <w:snapToGrid w:val="0"/>
        </w:rPr>
        <w:t xml:space="preserve"> dieses eine feste Beziehung zur Referenzmethode aufweist. In diesem Fall müssen die mit diesem Verfahren e</w:t>
      </w:r>
      <w:r>
        <w:rPr>
          <w:snapToGrid w:val="0"/>
        </w:rPr>
        <w:t>r</w:t>
      </w:r>
      <w:r>
        <w:rPr>
          <w:snapToGrid w:val="0"/>
        </w:rPr>
        <w:t>zielten Ergebnisse um einen geeigneten Faktor korrigiert werden, damit gleichwertige Ergebnisse wie bei Verwendung der Referenzmethode erzielt werden.</w:t>
      </w:r>
    </w:p>
    <w:p w:rsidR="00461179" w:rsidRDefault="00461179">
      <w:pPr>
        <w:pStyle w:val="GesAbsatz"/>
        <w:ind w:left="567"/>
        <w:rPr>
          <w:snapToGrid w:val="0"/>
        </w:rPr>
      </w:pPr>
      <w:r>
        <w:rPr>
          <w:snapToGrid w:val="0"/>
        </w:rPr>
        <w:t>Die Mitgliedstaaten teilen der Kommission mit, welche Methode für die Probenahme und Messung der PM</w:t>
      </w:r>
      <w:r>
        <w:rPr>
          <w:snapToGrid w:val="0"/>
          <w:vertAlign w:val="subscript"/>
        </w:rPr>
        <w:t>10</w:t>
      </w:r>
      <w:r>
        <w:rPr>
          <w:snapToGrid w:val="0"/>
        </w:rPr>
        <w:t xml:space="preserve">-Konzentration verwendet wird. Die Kommission führt so bald wie möglich eine vergleichende Untersuchung der Probenahme- und </w:t>
      </w:r>
      <w:proofErr w:type="spellStart"/>
      <w:r>
        <w:rPr>
          <w:snapToGrid w:val="0"/>
        </w:rPr>
        <w:t>Meßmethoden</w:t>
      </w:r>
      <w:proofErr w:type="spellEnd"/>
      <w:r>
        <w:rPr>
          <w:snapToGrid w:val="0"/>
        </w:rPr>
        <w:t xml:space="preserve"> für PM</w:t>
      </w:r>
      <w:r>
        <w:rPr>
          <w:snapToGrid w:val="0"/>
          <w:vertAlign w:val="subscript"/>
        </w:rPr>
        <w:t>10</w:t>
      </w:r>
      <w:r>
        <w:rPr>
          <w:snapToGrid w:val="0"/>
        </w:rPr>
        <w:t>-Konzentrationen durch, um Anhalt</w:t>
      </w:r>
      <w:r>
        <w:rPr>
          <w:snapToGrid w:val="0"/>
        </w:rPr>
        <w:t>s</w:t>
      </w:r>
      <w:r>
        <w:rPr>
          <w:snapToGrid w:val="0"/>
        </w:rPr>
        <w:t>punkte für die Überprüfung der Bestimmungen dieser Richtlinie gemäß Artikel 10 zu erhalten.</w:t>
      </w:r>
    </w:p>
    <w:p w:rsidR="00461179" w:rsidRDefault="00461179">
      <w:pPr>
        <w:pStyle w:val="GesAbsatz"/>
        <w:tabs>
          <w:tab w:val="clear" w:pos="425"/>
          <w:tab w:val="left" w:pos="567"/>
        </w:tabs>
        <w:rPr>
          <w:b/>
          <w:snapToGrid w:val="0"/>
        </w:rPr>
      </w:pPr>
      <w:r>
        <w:rPr>
          <w:b/>
          <w:snapToGrid w:val="0"/>
        </w:rPr>
        <w:t xml:space="preserve">V. </w:t>
      </w:r>
      <w:r>
        <w:rPr>
          <w:b/>
          <w:snapToGrid w:val="0"/>
        </w:rPr>
        <w:tab/>
        <w:t>Vorläufige Referenzmethode für die Probenahme und Messung der PM</w:t>
      </w:r>
      <w:r>
        <w:rPr>
          <w:b/>
          <w:snapToGrid w:val="0"/>
          <w:vertAlign w:val="subscript"/>
        </w:rPr>
        <w:t>2,5</w:t>
      </w:r>
      <w:r>
        <w:rPr>
          <w:b/>
          <w:snapToGrid w:val="0"/>
        </w:rPr>
        <w:t>-Konzentration</w:t>
      </w:r>
    </w:p>
    <w:p w:rsidR="00461179" w:rsidRDefault="00461179">
      <w:pPr>
        <w:pStyle w:val="GesAbsatz"/>
        <w:ind w:left="567"/>
        <w:rPr>
          <w:snapToGrid w:val="0"/>
        </w:rPr>
      </w:pPr>
      <w:r>
        <w:rPr>
          <w:snapToGrid w:val="0"/>
        </w:rPr>
        <w:t xml:space="preserve">Die Kommission wird im Benehmen mit dem </w:t>
      </w:r>
      <w:proofErr w:type="spellStart"/>
      <w:r>
        <w:rPr>
          <w:snapToGrid w:val="0"/>
        </w:rPr>
        <w:t>Ausschuß</w:t>
      </w:r>
      <w:proofErr w:type="spellEnd"/>
      <w:r>
        <w:rPr>
          <w:snapToGrid w:val="0"/>
        </w:rPr>
        <w:t xml:space="preserve"> des Artikels 12 der Richtlinie 96/92/EG bis 19. Juli 2001 Leitlinien für eine geeignete vorläufige Referenzmethode für die Probenahme und Me</w:t>
      </w:r>
      <w:r>
        <w:rPr>
          <w:snapToGrid w:val="0"/>
        </w:rPr>
        <w:t>s</w:t>
      </w:r>
      <w:r>
        <w:rPr>
          <w:snapToGrid w:val="0"/>
        </w:rPr>
        <w:t>sung der PM</w:t>
      </w:r>
      <w:r>
        <w:rPr>
          <w:b/>
          <w:snapToGrid w:val="0"/>
          <w:vertAlign w:val="subscript"/>
        </w:rPr>
        <w:t>2,5</w:t>
      </w:r>
      <w:r>
        <w:rPr>
          <w:snapToGrid w:val="0"/>
        </w:rPr>
        <w:t>-Konzentration erstellen.</w:t>
      </w:r>
    </w:p>
    <w:p w:rsidR="00461179" w:rsidRDefault="00461179">
      <w:pPr>
        <w:pStyle w:val="GesAbsatz"/>
        <w:ind w:left="567"/>
        <w:rPr>
          <w:snapToGrid w:val="0"/>
        </w:rPr>
      </w:pPr>
      <w:r>
        <w:rPr>
          <w:snapToGrid w:val="0"/>
        </w:rPr>
        <w:t>Die Mitgliedstaaten können ein anderes Verfahren verwenden, das sie für angemessen halten.</w:t>
      </w:r>
    </w:p>
    <w:p w:rsidR="00461179" w:rsidRDefault="00461179">
      <w:pPr>
        <w:pStyle w:val="GesAbsatz"/>
        <w:ind w:left="567"/>
        <w:rPr>
          <w:snapToGrid w:val="0"/>
        </w:rPr>
      </w:pPr>
      <w:r>
        <w:rPr>
          <w:snapToGrid w:val="0"/>
        </w:rPr>
        <w:t>Die Mitgliedstaaten teilen der Kommission mit, welche Methode für die Probenahme und Messung der PM</w:t>
      </w:r>
      <w:r>
        <w:rPr>
          <w:b/>
          <w:snapToGrid w:val="0"/>
          <w:vertAlign w:val="subscript"/>
        </w:rPr>
        <w:t>2,5</w:t>
      </w:r>
      <w:r>
        <w:rPr>
          <w:snapToGrid w:val="0"/>
        </w:rPr>
        <w:t xml:space="preserve">-Konzentration verwendet wird. Die Kommission führt so bald wie möglich eine vergleichende Untersuchung der Probenahme- und </w:t>
      </w:r>
      <w:proofErr w:type="spellStart"/>
      <w:r>
        <w:rPr>
          <w:snapToGrid w:val="0"/>
        </w:rPr>
        <w:t>Meßmethoden</w:t>
      </w:r>
      <w:proofErr w:type="spellEnd"/>
      <w:r>
        <w:rPr>
          <w:snapToGrid w:val="0"/>
        </w:rPr>
        <w:t xml:space="preserve"> für PM</w:t>
      </w:r>
      <w:r>
        <w:rPr>
          <w:snapToGrid w:val="0"/>
          <w:vertAlign w:val="subscript"/>
        </w:rPr>
        <w:t>2,5</w:t>
      </w:r>
      <w:r>
        <w:rPr>
          <w:snapToGrid w:val="0"/>
        </w:rPr>
        <w:t>-Konzentrationen durch, um Anhalt</w:t>
      </w:r>
      <w:r>
        <w:rPr>
          <w:snapToGrid w:val="0"/>
        </w:rPr>
        <w:t>s</w:t>
      </w:r>
      <w:r>
        <w:rPr>
          <w:snapToGrid w:val="0"/>
        </w:rPr>
        <w:t>punkte für die Überprüfung der Bestimmungen dieser Richtlinie gemäß Artikel 10 zu erhalten.</w:t>
      </w:r>
    </w:p>
    <w:p w:rsidR="00461179" w:rsidRDefault="00461179" w:rsidP="008C520C">
      <w:pPr>
        <w:pStyle w:val="GesAbsatz"/>
        <w:tabs>
          <w:tab w:val="clear" w:pos="425"/>
          <w:tab w:val="left" w:pos="567"/>
        </w:tabs>
        <w:ind w:left="567" w:hanging="567"/>
      </w:pPr>
      <w:r>
        <w:rPr>
          <w:b/>
          <w:snapToGrid w:val="0"/>
        </w:rPr>
        <w:t>VI.</w:t>
      </w:r>
      <w:r>
        <w:rPr>
          <w:b/>
          <w:snapToGrid w:val="0"/>
        </w:rPr>
        <w:tab/>
      </w:r>
      <w:r w:rsidR="00FD30FA">
        <w:rPr>
          <w:b/>
          <w:snapToGrid w:val="0"/>
        </w:rPr>
        <w:t>(gestrichen)</w:t>
      </w:r>
    </w:p>
    <w:sectPr w:rsidR="00461179">
      <w:headerReference w:type="default" r:id="rId11"/>
      <w:footerReference w:type="even" r:id="rId12"/>
      <w:footerReference w:type="default" r:id="rId13"/>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44" w:rsidRDefault="00136E44">
      <w:r>
        <w:separator/>
      </w:r>
    </w:p>
  </w:endnote>
  <w:endnote w:type="continuationSeparator" w:id="0">
    <w:p w:rsidR="00136E44" w:rsidRDefault="0013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77" w:rsidRDefault="008C2877">
    <w:pPr>
      <w:framePr w:wrap="around" w:vAnchor="text" w:hAnchor="margin" w:xAlign="right" w:y="1"/>
    </w:pPr>
    <w:r>
      <w:fldChar w:fldCharType="begin"/>
    </w:r>
    <w:r>
      <w:instrText xml:space="preserve">PAGE  </w:instrText>
    </w:r>
    <w:r>
      <w:fldChar w:fldCharType="end"/>
    </w:r>
  </w:p>
  <w:p w:rsidR="008C2877" w:rsidRDefault="008C287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77" w:rsidRDefault="008C2877" w:rsidP="00105A62">
    <w:pPr>
      <w:pStyle w:val="Fuzeile"/>
    </w:pPr>
    <w:r>
      <w:tab/>
      <w:t>22.04.1999 (ABl. Nr. L 163 v. 29.06.1999 S. 41)</w:t>
    </w:r>
    <w:r>
      <w:tab/>
      <w:t xml:space="preserve">Seite </w:t>
    </w:r>
    <w:r>
      <w:fldChar w:fldCharType="begin"/>
    </w:r>
    <w:r>
      <w:instrText xml:space="preserve"> PAGE  \* MERGEFORMAT </w:instrText>
    </w:r>
    <w:r>
      <w:fldChar w:fldCharType="separate"/>
    </w:r>
    <w:r w:rsidR="00D871B8">
      <w:rPr>
        <w:noProof/>
      </w:rPr>
      <w:t>1</w:t>
    </w:r>
    <w:r>
      <w:fldChar w:fldCharType="end"/>
    </w:r>
  </w:p>
  <w:p w:rsidR="008C2877" w:rsidRDefault="008C2877" w:rsidP="00105A62">
    <w:pPr>
      <w:pStyle w:val="Fuzeile"/>
    </w:pPr>
    <w:r>
      <w:tab/>
      <w:t>Stand 21.05.2008 (ABl. Nr. L 152 v. 11.06.2008 S.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44" w:rsidRDefault="00136E44">
      <w:r>
        <w:separator/>
      </w:r>
    </w:p>
  </w:footnote>
  <w:footnote w:type="continuationSeparator" w:id="0">
    <w:p w:rsidR="00136E44" w:rsidRDefault="00136E44">
      <w:r>
        <w:continuationSeparator/>
      </w:r>
    </w:p>
  </w:footnote>
  <w:footnote w:id="1">
    <w:p w:rsidR="008C2877" w:rsidRDefault="008C2877">
      <w:pPr>
        <w:pStyle w:val="Funotentext"/>
      </w:pPr>
      <w:r>
        <w:rPr>
          <w:rStyle w:val="Funotenzeichen"/>
        </w:rPr>
        <w:t>(1)</w:t>
      </w:r>
      <w:r>
        <w:tab/>
      </w:r>
      <w:r>
        <w:rPr>
          <w:snapToGrid w:val="0"/>
        </w:rPr>
        <w:t>ABl. C 9 vom 14.1.1998, S.6.</w:t>
      </w:r>
    </w:p>
  </w:footnote>
  <w:footnote w:id="2">
    <w:p w:rsidR="008C2877" w:rsidRDefault="008C2877">
      <w:pPr>
        <w:pStyle w:val="Funotentext"/>
      </w:pPr>
      <w:r>
        <w:rPr>
          <w:rStyle w:val="Funotenzeichen"/>
        </w:rPr>
        <w:t>(2)</w:t>
      </w:r>
      <w:r>
        <w:tab/>
      </w:r>
      <w:r>
        <w:rPr>
          <w:snapToGrid w:val="0"/>
        </w:rPr>
        <w:t>ABl. C 214 vom 10.7.1998, S.1.</w:t>
      </w:r>
    </w:p>
  </w:footnote>
  <w:footnote w:id="3">
    <w:p w:rsidR="008C2877" w:rsidRDefault="008C2877">
      <w:pPr>
        <w:pStyle w:val="Funotentext"/>
        <w:tabs>
          <w:tab w:val="clear" w:pos="425"/>
        </w:tabs>
        <w:ind w:left="426" w:hanging="426"/>
      </w:pPr>
      <w:r>
        <w:rPr>
          <w:rStyle w:val="Funotenzeichen"/>
        </w:rPr>
        <w:t>(3)</w:t>
      </w:r>
      <w:r>
        <w:tab/>
      </w:r>
      <w:r>
        <w:rPr>
          <w:snapToGrid w:val="0"/>
        </w:rPr>
        <w:t xml:space="preserve">Stellungnahme des Europäischen Parlaments vom 13. Mai 1998 (ABl. C 167 vom 1.6.1998, S.103),Gemeinsamer Standpunkt des Rates vom 24. September 1998 (ABl. C 360 vom 23.11.1998, S. 99) und </w:t>
      </w:r>
      <w:proofErr w:type="spellStart"/>
      <w:r>
        <w:rPr>
          <w:snapToGrid w:val="0"/>
        </w:rPr>
        <w:t>Beschluß</w:t>
      </w:r>
      <w:proofErr w:type="spellEnd"/>
      <w:r>
        <w:rPr>
          <w:snapToGrid w:val="0"/>
        </w:rPr>
        <w:t xml:space="preserve"> des Europäischen Parlaments vom 13. Jan</w:t>
      </w:r>
      <w:r>
        <w:rPr>
          <w:snapToGrid w:val="0"/>
        </w:rPr>
        <w:t>u</w:t>
      </w:r>
      <w:r>
        <w:rPr>
          <w:snapToGrid w:val="0"/>
        </w:rPr>
        <w:t>ar 1999 (ABl. L 104 vom 14.4.1999, S. 44).</w:t>
      </w:r>
    </w:p>
  </w:footnote>
  <w:footnote w:id="4">
    <w:p w:rsidR="008C2877" w:rsidRDefault="008C2877">
      <w:pPr>
        <w:pStyle w:val="Funotentext"/>
      </w:pPr>
      <w:r>
        <w:rPr>
          <w:rStyle w:val="Funotenzeichen"/>
        </w:rPr>
        <w:t>(4 )</w:t>
      </w:r>
      <w:r>
        <w:t xml:space="preserve"> </w:t>
      </w:r>
      <w:r>
        <w:rPr>
          <w:snapToGrid w:val="0"/>
        </w:rPr>
        <w:t>ABl. C 138 vom 17.5.1993, S. 5.</w:t>
      </w:r>
    </w:p>
  </w:footnote>
  <w:footnote w:id="5">
    <w:p w:rsidR="008C2877" w:rsidRDefault="008C2877">
      <w:pPr>
        <w:pStyle w:val="Funotentext"/>
      </w:pPr>
      <w:r>
        <w:rPr>
          <w:rStyle w:val="Funotenzeichen"/>
        </w:rPr>
        <w:t>(5)</w:t>
      </w:r>
      <w:r>
        <w:t xml:space="preserve"> </w:t>
      </w:r>
      <w:r>
        <w:rPr>
          <w:snapToGrid w:val="0"/>
        </w:rPr>
        <w:t>ABl. L 296 vom 21.11.1996, S. 55.</w:t>
      </w:r>
    </w:p>
  </w:footnote>
  <w:footnote w:id="6">
    <w:p w:rsidR="008C2877" w:rsidRDefault="008C2877">
      <w:pPr>
        <w:pStyle w:val="Funotentext"/>
      </w:pPr>
      <w:r>
        <w:rPr>
          <w:rStyle w:val="Funotenzeichen"/>
        </w:rPr>
        <w:t>(1 )</w:t>
      </w:r>
      <w:r>
        <w:t xml:space="preserve"> </w:t>
      </w:r>
      <w:r>
        <w:rPr>
          <w:snapToGrid w:val="0"/>
        </w:rPr>
        <w:t>ABl. L 35 vom 5.2.1997, S. 14.</w:t>
      </w:r>
    </w:p>
  </w:footnote>
  <w:footnote w:id="7">
    <w:p w:rsidR="008C2877" w:rsidRDefault="008C2877">
      <w:pPr>
        <w:pStyle w:val="Funotentext"/>
      </w:pPr>
      <w:r>
        <w:rPr>
          <w:rStyle w:val="Funotenzeichen"/>
        </w:rPr>
        <w:t>(1 )</w:t>
      </w:r>
      <w:r>
        <w:t xml:space="preserve"> </w:t>
      </w:r>
      <w:r>
        <w:rPr>
          <w:rFonts w:ascii="GaramondIC" w:hAnsi="GaramondIC"/>
          <w:snapToGrid w:val="0"/>
        </w:rPr>
        <w:t>ABl. L 229 vom 30.8.1980, S.30</w:t>
      </w:r>
    </w:p>
  </w:footnote>
  <w:footnote w:id="8">
    <w:p w:rsidR="008C2877" w:rsidRDefault="008C2877">
      <w:pPr>
        <w:pStyle w:val="Funotentext"/>
      </w:pPr>
      <w:r>
        <w:rPr>
          <w:rStyle w:val="Funotenzeichen"/>
        </w:rPr>
        <w:t>(2 )</w:t>
      </w:r>
      <w:r>
        <w:t xml:space="preserve"> </w:t>
      </w:r>
      <w:r>
        <w:rPr>
          <w:rFonts w:ascii="GaramondIC" w:hAnsi="GaramondIC"/>
          <w:snapToGrid w:val="0"/>
        </w:rPr>
        <w:t>ABl. L 378 vom 31.12.1982, S.15.</w:t>
      </w:r>
    </w:p>
  </w:footnote>
  <w:footnote w:id="9">
    <w:p w:rsidR="008C2877" w:rsidRDefault="008C2877">
      <w:pPr>
        <w:pStyle w:val="Funotentext"/>
      </w:pPr>
      <w:r>
        <w:rPr>
          <w:rStyle w:val="Funotenzeichen"/>
        </w:rPr>
        <w:t>(3)</w:t>
      </w:r>
      <w:r>
        <w:t xml:space="preserve"> </w:t>
      </w:r>
      <w:r>
        <w:rPr>
          <w:rFonts w:ascii="GaramondIC" w:hAnsi="GaramondIC"/>
          <w:snapToGrid w:val="0"/>
        </w:rPr>
        <w:t>ABl. L 87 vom 27.3.1985, S.1.</w:t>
      </w:r>
    </w:p>
  </w:footnote>
  <w:footnote w:id="10">
    <w:p w:rsidR="008C2877" w:rsidRDefault="008C2877">
      <w:pPr>
        <w:tabs>
          <w:tab w:val="clear" w:pos="425"/>
        </w:tabs>
        <w:ind w:left="284" w:hanging="284"/>
      </w:pPr>
      <w:r>
        <w:rPr>
          <w:rStyle w:val="Funotenzeichen"/>
        </w:rPr>
        <w:t>(1)</w:t>
      </w:r>
      <w:r>
        <w:t xml:space="preserve"> </w:t>
      </w:r>
      <w:r>
        <w:rPr>
          <w:snapToGrid w:val="0"/>
          <w:sz w:val="16"/>
        </w:rPr>
        <w:t>Richtgrenzwerte, die im Lichte weiterer Informationen über die Auswirkungen auf Gesundheit und Umwelt, über die technische Durchführbarkeit und über die bei der Anwendung der Grenzwerte der Stufe 1 in den Mitgliedstaaten gemachten Erfahrungen zu überprüfen sind.</w:t>
      </w:r>
    </w:p>
  </w:footnote>
  <w:footnote w:id="11">
    <w:p w:rsidR="008C2877" w:rsidRDefault="008C2877">
      <w:pPr>
        <w:tabs>
          <w:tab w:val="clear" w:pos="425"/>
        </w:tabs>
        <w:ind w:left="142" w:hanging="284"/>
      </w:pPr>
      <w:r>
        <w:rPr>
          <w:rStyle w:val="Funotenzeichen"/>
        </w:rPr>
        <w:t>(1)</w:t>
      </w:r>
      <w:r>
        <w:t xml:space="preserve"> </w:t>
      </w:r>
      <w:r>
        <w:rPr>
          <w:snapToGrid w:val="0"/>
          <w:sz w:val="16"/>
        </w:rPr>
        <w:t>Bei der Überprüfung dieser Richtlinie gemäß Artikel 10 wird geprüft, ob der Grenzwert durch einen Niederschlagsgrenzwert für die unmittelbare Nachbarschaft von punktuellen Quellen ergänzt oder ersetzt werden soll.</w:t>
      </w:r>
    </w:p>
  </w:footnote>
  <w:footnote w:id="12">
    <w:p w:rsidR="008C2877" w:rsidRDefault="008C2877">
      <w:pPr>
        <w:ind w:left="142" w:hanging="284"/>
      </w:pPr>
      <w:r>
        <w:rPr>
          <w:rStyle w:val="Funotenzeichen"/>
        </w:rPr>
        <w:t>(2)</w:t>
      </w:r>
      <w:r>
        <w:t xml:space="preserve"> </w:t>
      </w:r>
      <w:r>
        <w:rPr>
          <w:snapToGrid w:val="0"/>
          <w:sz w:val="16"/>
        </w:rPr>
        <w:t>Dieser Mitteilung ist eine angemessene Begründung beizufügen. Das Gebiet, in dem höhere Grenzwerte gelten, darf sich nicht über mehr als 1 000 m von derartigen Quellen entfernt erstrecken.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77" w:rsidRDefault="003B7D96">
    <w:pPr>
      <w:pStyle w:val="Kopfzeile"/>
      <w:spacing w:after="0"/>
      <w:rPr>
        <w:b/>
        <w:sz w:val="24"/>
      </w:rPr>
    </w:pPr>
    <w:r>
      <w:rPr>
        <w:b/>
        <w:sz w:val="24"/>
      </w:rPr>
      <w:t>Archiv6.76</w:t>
    </w:r>
  </w:p>
  <w:p w:rsidR="008C2877" w:rsidRDefault="008C2877">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DCB"/>
    <w:multiLevelType w:val="singleLevel"/>
    <w:tmpl w:val="0C940A10"/>
    <w:lvl w:ilvl="0">
      <w:start w:val="4"/>
      <w:numFmt w:val="lowerLetter"/>
      <w:lvlText w:val="%1)"/>
      <w:lvlJc w:val="left"/>
      <w:pPr>
        <w:tabs>
          <w:tab w:val="num" w:pos="786"/>
        </w:tabs>
        <w:ind w:left="786" w:hanging="360"/>
      </w:pPr>
      <w:rPr>
        <w:rFonts w:hint="default"/>
      </w:rPr>
    </w:lvl>
  </w:abstractNum>
  <w:abstractNum w:abstractNumId="1">
    <w:nsid w:val="04A30F8D"/>
    <w:multiLevelType w:val="hybridMultilevel"/>
    <w:tmpl w:val="B3C8758C"/>
    <w:lvl w:ilvl="0" w:tplc="F914091A">
      <w:start w:val="1"/>
      <w:numFmt w:val="bullet"/>
      <w:lvlText w:val="-"/>
      <w:lvlJc w:val="left"/>
      <w:pPr>
        <w:tabs>
          <w:tab w:val="num" w:pos="786"/>
        </w:tabs>
        <w:ind w:left="786" w:hanging="360"/>
      </w:pPr>
      <w:rPr>
        <w:rFonts w:hint="default"/>
        <w:sz w:val="16"/>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
    <w:nsid w:val="0510759F"/>
    <w:multiLevelType w:val="singleLevel"/>
    <w:tmpl w:val="4C1069D8"/>
    <w:lvl w:ilvl="0">
      <w:start w:val="1"/>
      <w:numFmt w:val="bullet"/>
      <w:lvlText w:val="-"/>
      <w:lvlJc w:val="left"/>
      <w:pPr>
        <w:tabs>
          <w:tab w:val="num" w:pos="360"/>
        </w:tabs>
        <w:ind w:left="170" w:hanging="170"/>
      </w:pPr>
      <w:rPr>
        <w:sz w:val="16"/>
      </w:rPr>
    </w:lvl>
  </w:abstractNum>
  <w:abstractNum w:abstractNumId="3">
    <w:nsid w:val="0D465CB2"/>
    <w:multiLevelType w:val="singleLevel"/>
    <w:tmpl w:val="4C1069D8"/>
    <w:lvl w:ilvl="0">
      <w:start w:val="1"/>
      <w:numFmt w:val="bullet"/>
      <w:lvlText w:val="-"/>
      <w:lvlJc w:val="left"/>
      <w:pPr>
        <w:tabs>
          <w:tab w:val="num" w:pos="360"/>
        </w:tabs>
        <w:ind w:left="170" w:hanging="170"/>
      </w:pPr>
      <w:rPr>
        <w:sz w:val="16"/>
      </w:rPr>
    </w:lvl>
  </w:abstractNum>
  <w:abstractNum w:abstractNumId="4">
    <w:nsid w:val="16422824"/>
    <w:multiLevelType w:val="singleLevel"/>
    <w:tmpl w:val="166224BE"/>
    <w:lvl w:ilvl="0">
      <w:numFmt w:val="bullet"/>
      <w:lvlText w:val="-"/>
      <w:lvlJc w:val="left"/>
      <w:pPr>
        <w:tabs>
          <w:tab w:val="num" w:pos="1069"/>
        </w:tabs>
        <w:ind w:left="1069" w:hanging="360"/>
      </w:pPr>
      <w:rPr>
        <w:rFonts w:hint="default"/>
      </w:rPr>
    </w:lvl>
  </w:abstractNum>
  <w:abstractNum w:abstractNumId="5">
    <w:nsid w:val="17F5598E"/>
    <w:multiLevelType w:val="singleLevel"/>
    <w:tmpl w:val="C58892A8"/>
    <w:lvl w:ilvl="0">
      <w:start w:val="1"/>
      <w:numFmt w:val="lowerRoman"/>
      <w:lvlText w:val="%1)"/>
      <w:lvlJc w:val="left"/>
      <w:pPr>
        <w:tabs>
          <w:tab w:val="num" w:pos="720"/>
        </w:tabs>
        <w:ind w:left="720" w:hanging="720"/>
      </w:pPr>
      <w:rPr>
        <w:rFonts w:hint="default"/>
      </w:rPr>
    </w:lvl>
  </w:abstractNum>
  <w:abstractNum w:abstractNumId="6">
    <w:nsid w:val="193073BE"/>
    <w:multiLevelType w:val="singleLevel"/>
    <w:tmpl w:val="166224BE"/>
    <w:lvl w:ilvl="0">
      <w:numFmt w:val="bullet"/>
      <w:lvlText w:val="-"/>
      <w:lvlJc w:val="left"/>
      <w:pPr>
        <w:tabs>
          <w:tab w:val="num" w:pos="1069"/>
        </w:tabs>
        <w:ind w:left="1069" w:hanging="360"/>
      </w:pPr>
      <w:rPr>
        <w:rFonts w:hint="default"/>
      </w:rPr>
    </w:lvl>
  </w:abstractNum>
  <w:abstractNum w:abstractNumId="7">
    <w:nsid w:val="19FB62C7"/>
    <w:multiLevelType w:val="singleLevel"/>
    <w:tmpl w:val="0407000F"/>
    <w:lvl w:ilvl="0">
      <w:start w:val="1"/>
      <w:numFmt w:val="decimal"/>
      <w:lvlText w:val="%1."/>
      <w:lvlJc w:val="left"/>
      <w:pPr>
        <w:tabs>
          <w:tab w:val="num" w:pos="360"/>
        </w:tabs>
        <w:ind w:left="360" w:hanging="360"/>
      </w:pPr>
    </w:lvl>
  </w:abstractNum>
  <w:abstractNum w:abstractNumId="8">
    <w:nsid w:val="1B0B215E"/>
    <w:multiLevelType w:val="singleLevel"/>
    <w:tmpl w:val="166224BE"/>
    <w:lvl w:ilvl="0">
      <w:numFmt w:val="bullet"/>
      <w:lvlText w:val="-"/>
      <w:lvlJc w:val="left"/>
      <w:pPr>
        <w:tabs>
          <w:tab w:val="num" w:pos="1069"/>
        </w:tabs>
        <w:ind w:left="1069" w:hanging="360"/>
      </w:pPr>
      <w:rPr>
        <w:rFonts w:hint="default"/>
      </w:rPr>
    </w:lvl>
  </w:abstractNum>
  <w:abstractNum w:abstractNumId="9">
    <w:nsid w:val="1C9826F4"/>
    <w:multiLevelType w:val="singleLevel"/>
    <w:tmpl w:val="4C1069D8"/>
    <w:lvl w:ilvl="0">
      <w:start w:val="1"/>
      <w:numFmt w:val="bullet"/>
      <w:lvlText w:val="-"/>
      <w:lvlJc w:val="left"/>
      <w:pPr>
        <w:tabs>
          <w:tab w:val="num" w:pos="360"/>
        </w:tabs>
        <w:ind w:left="170" w:hanging="170"/>
      </w:pPr>
      <w:rPr>
        <w:sz w:val="16"/>
      </w:rPr>
    </w:lvl>
  </w:abstractNum>
  <w:abstractNum w:abstractNumId="10">
    <w:nsid w:val="231D4DB4"/>
    <w:multiLevelType w:val="singleLevel"/>
    <w:tmpl w:val="166224BE"/>
    <w:lvl w:ilvl="0">
      <w:numFmt w:val="bullet"/>
      <w:lvlText w:val="-"/>
      <w:lvlJc w:val="left"/>
      <w:pPr>
        <w:tabs>
          <w:tab w:val="num" w:pos="1069"/>
        </w:tabs>
        <w:ind w:left="1069" w:hanging="360"/>
      </w:pPr>
      <w:rPr>
        <w:rFonts w:hint="default"/>
      </w:rPr>
    </w:lvl>
  </w:abstractNum>
  <w:abstractNum w:abstractNumId="11">
    <w:nsid w:val="23E37954"/>
    <w:multiLevelType w:val="singleLevel"/>
    <w:tmpl w:val="DBBC449C"/>
    <w:lvl w:ilvl="0">
      <w:start w:val="1"/>
      <w:numFmt w:val="lowerLetter"/>
      <w:lvlText w:val="%1)"/>
      <w:lvlJc w:val="left"/>
      <w:pPr>
        <w:tabs>
          <w:tab w:val="num" w:pos="786"/>
        </w:tabs>
        <w:ind w:left="786" w:hanging="360"/>
      </w:pPr>
      <w:rPr>
        <w:rFonts w:hint="default"/>
      </w:rPr>
    </w:lvl>
  </w:abstractNum>
  <w:abstractNum w:abstractNumId="12">
    <w:nsid w:val="254E5CA7"/>
    <w:multiLevelType w:val="singleLevel"/>
    <w:tmpl w:val="A27E2D5E"/>
    <w:lvl w:ilvl="0">
      <w:start w:val="1"/>
      <w:numFmt w:val="decimal"/>
      <w:lvlText w:val="%1."/>
      <w:lvlJc w:val="left"/>
      <w:pPr>
        <w:tabs>
          <w:tab w:val="num" w:pos="360"/>
        </w:tabs>
        <w:ind w:left="360" w:hanging="360"/>
      </w:pPr>
    </w:lvl>
  </w:abstractNum>
  <w:abstractNum w:abstractNumId="13">
    <w:nsid w:val="26D1523F"/>
    <w:multiLevelType w:val="singleLevel"/>
    <w:tmpl w:val="0C940A10"/>
    <w:lvl w:ilvl="0">
      <w:start w:val="4"/>
      <w:numFmt w:val="lowerLetter"/>
      <w:lvlText w:val="%1)"/>
      <w:lvlJc w:val="left"/>
      <w:pPr>
        <w:tabs>
          <w:tab w:val="num" w:pos="786"/>
        </w:tabs>
        <w:ind w:left="786" w:hanging="360"/>
      </w:pPr>
      <w:rPr>
        <w:rFonts w:hint="default"/>
      </w:rPr>
    </w:lvl>
  </w:abstractNum>
  <w:abstractNum w:abstractNumId="14">
    <w:nsid w:val="27757D78"/>
    <w:multiLevelType w:val="singleLevel"/>
    <w:tmpl w:val="4C1069D8"/>
    <w:lvl w:ilvl="0">
      <w:start w:val="1"/>
      <w:numFmt w:val="bullet"/>
      <w:lvlText w:val="-"/>
      <w:lvlJc w:val="left"/>
      <w:pPr>
        <w:tabs>
          <w:tab w:val="num" w:pos="360"/>
        </w:tabs>
        <w:ind w:left="170" w:hanging="170"/>
      </w:pPr>
      <w:rPr>
        <w:sz w:val="16"/>
      </w:rPr>
    </w:lvl>
  </w:abstractNum>
  <w:abstractNum w:abstractNumId="15">
    <w:nsid w:val="28A44E91"/>
    <w:multiLevelType w:val="singleLevel"/>
    <w:tmpl w:val="166224BE"/>
    <w:lvl w:ilvl="0">
      <w:numFmt w:val="bullet"/>
      <w:lvlText w:val="-"/>
      <w:lvlJc w:val="left"/>
      <w:pPr>
        <w:tabs>
          <w:tab w:val="num" w:pos="1069"/>
        </w:tabs>
        <w:ind w:left="1069" w:hanging="360"/>
      </w:pPr>
      <w:rPr>
        <w:rFonts w:hint="default"/>
      </w:rPr>
    </w:lvl>
  </w:abstractNum>
  <w:abstractNum w:abstractNumId="16">
    <w:nsid w:val="2D8A520F"/>
    <w:multiLevelType w:val="singleLevel"/>
    <w:tmpl w:val="9C607DD2"/>
    <w:lvl w:ilvl="0">
      <w:start w:val="1"/>
      <w:numFmt w:val="decimal"/>
      <w:lvlText w:val="%1."/>
      <w:lvlJc w:val="left"/>
      <w:pPr>
        <w:tabs>
          <w:tab w:val="num" w:pos="360"/>
        </w:tabs>
        <w:ind w:left="360" w:hanging="360"/>
      </w:pPr>
      <w:rPr>
        <w:rFonts w:ascii="Arial" w:hAnsi="Arial" w:hint="default"/>
        <w:sz w:val="20"/>
      </w:rPr>
    </w:lvl>
  </w:abstractNum>
  <w:abstractNum w:abstractNumId="17">
    <w:nsid w:val="2DD8615A"/>
    <w:multiLevelType w:val="singleLevel"/>
    <w:tmpl w:val="166224BE"/>
    <w:lvl w:ilvl="0">
      <w:numFmt w:val="bullet"/>
      <w:lvlText w:val="-"/>
      <w:lvlJc w:val="left"/>
      <w:pPr>
        <w:tabs>
          <w:tab w:val="num" w:pos="1069"/>
        </w:tabs>
        <w:ind w:left="1069" w:hanging="360"/>
      </w:pPr>
      <w:rPr>
        <w:rFonts w:hint="default"/>
      </w:rPr>
    </w:lvl>
  </w:abstractNum>
  <w:abstractNum w:abstractNumId="18">
    <w:nsid w:val="30C232C2"/>
    <w:multiLevelType w:val="singleLevel"/>
    <w:tmpl w:val="9C607DD2"/>
    <w:lvl w:ilvl="0">
      <w:start w:val="1"/>
      <w:numFmt w:val="decimal"/>
      <w:lvlText w:val="%1."/>
      <w:lvlJc w:val="left"/>
      <w:pPr>
        <w:tabs>
          <w:tab w:val="num" w:pos="360"/>
        </w:tabs>
        <w:ind w:left="360" w:hanging="360"/>
      </w:pPr>
      <w:rPr>
        <w:rFonts w:ascii="Arial" w:hAnsi="Arial" w:hint="default"/>
        <w:sz w:val="20"/>
      </w:rPr>
    </w:lvl>
  </w:abstractNum>
  <w:abstractNum w:abstractNumId="19">
    <w:nsid w:val="314A16CB"/>
    <w:multiLevelType w:val="singleLevel"/>
    <w:tmpl w:val="166224BE"/>
    <w:lvl w:ilvl="0">
      <w:numFmt w:val="bullet"/>
      <w:lvlText w:val="-"/>
      <w:lvlJc w:val="left"/>
      <w:pPr>
        <w:tabs>
          <w:tab w:val="num" w:pos="1069"/>
        </w:tabs>
        <w:ind w:left="1069" w:hanging="360"/>
      </w:pPr>
      <w:rPr>
        <w:rFonts w:hint="default"/>
      </w:rPr>
    </w:lvl>
  </w:abstractNum>
  <w:abstractNum w:abstractNumId="20">
    <w:nsid w:val="319D133C"/>
    <w:multiLevelType w:val="singleLevel"/>
    <w:tmpl w:val="166224BE"/>
    <w:lvl w:ilvl="0">
      <w:numFmt w:val="bullet"/>
      <w:lvlText w:val="-"/>
      <w:lvlJc w:val="left"/>
      <w:pPr>
        <w:tabs>
          <w:tab w:val="num" w:pos="1069"/>
        </w:tabs>
        <w:ind w:left="1069" w:hanging="360"/>
      </w:pPr>
      <w:rPr>
        <w:rFonts w:hint="default"/>
      </w:rPr>
    </w:lvl>
  </w:abstractNum>
  <w:abstractNum w:abstractNumId="21">
    <w:nsid w:val="35387478"/>
    <w:multiLevelType w:val="singleLevel"/>
    <w:tmpl w:val="F0D26B92"/>
    <w:lvl w:ilvl="0">
      <w:start w:val="2"/>
      <w:numFmt w:val="upperRoman"/>
      <w:lvlText w:val="%1."/>
      <w:lvlJc w:val="left"/>
      <w:pPr>
        <w:tabs>
          <w:tab w:val="num" w:pos="720"/>
        </w:tabs>
        <w:ind w:left="720" w:hanging="720"/>
      </w:pPr>
      <w:rPr>
        <w:rFonts w:hint="default"/>
        <w:b/>
      </w:rPr>
    </w:lvl>
  </w:abstractNum>
  <w:abstractNum w:abstractNumId="22">
    <w:nsid w:val="35CB75B0"/>
    <w:multiLevelType w:val="singleLevel"/>
    <w:tmpl w:val="4C1069D8"/>
    <w:lvl w:ilvl="0">
      <w:start w:val="1"/>
      <w:numFmt w:val="bullet"/>
      <w:lvlText w:val="-"/>
      <w:lvlJc w:val="left"/>
      <w:pPr>
        <w:tabs>
          <w:tab w:val="num" w:pos="360"/>
        </w:tabs>
        <w:ind w:left="170" w:hanging="170"/>
      </w:pPr>
      <w:rPr>
        <w:sz w:val="16"/>
      </w:rPr>
    </w:lvl>
  </w:abstractNum>
  <w:abstractNum w:abstractNumId="23">
    <w:nsid w:val="36410B95"/>
    <w:multiLevelType w:val="singleLevel"/>
    <w:tmpl w:val="14DA562C"/>
    <w:lvl w:ilvl="0">
      <w:start w:val="2"/>
      <w:numFmt w:val="upperRoman"/>
      <w:lvlText w:val="%1."/>
      <w:lvlJc w:val="left"/>
      <w:pPr>
        <w:tabs>
          <w:tab w:val="num" w:pos="720"/>
        </w:tabs>
        <w:ind w:left="720" w:hanging="720"/>
      </w:pPr>
      <w:rPr>
        <w:rFonts w:hint="default"/>
        <w:b/>
      </w:rPr>
    </w:lvl>
  </w:abstractNum>
  <w:abstractNum w:abstractNumId="24">
    <w:nsid w:val="37237715"/>
    <w:multiLevelType w:val="singleLevel"/>
    <w:tmpl w:val="166224BE"/>
    <w:lvl w:ilvl="0">
      <w:numFmt w:val="bullet"/>
      <w:lvlText w:val="-"/>
      <w:lvlJc w:val="left"/>
      <w:pPr>
        <w:tabs>
          <w:tab w:val="num" w:pos="1069"/>
        </w:tabs>
        <w:ind w:left="1069" w:hanging="360"/>
      </w:pPr>
      <w:rPr>
        <w:rFonts w:hint="default"/>
      </w:rPr>
    </w:lvl>
  </w:abstractNum>
  <w:abstractNum w:abstractNumId="25">
    <w:nsid w:val="3F5A2E1C"/>
    <w:multiLevelType w:val="singleLevel"/>
    <w:tmpl w:val="4A8C36E6"/>
    <w:lvl w:ilvl="0">
      <w:start w:val="1"/>
      <w:numFmt w:val="lowerLetter"/>
      <w:lvlText w:val="%1)"/>
      <w:lvlJc w:val="left"/>
      <w:pPr>
        <w:tabs>
          <w:tab w:val="num" w:pos="780"/>
        </w:tabs>
        <w:ind w:left="780" w:hanging="360"/>
      </w:pPr>
      <w:rPr>
        <w:rFonts w:hint="default"/>
      </w:rPr>
    </w:lvl>
  </w:abstractNum>
  <w:abstractNum w:abstractNumId="26">
    <w:nsid w:val="40D15272"/>
    <w:multiLevelType w:val="singleLevel"/>
    <w:tmpl w:val="4C1069D8"/>
    <w:lvl w:ilvl="0">
      <w:start w:val="1"/>
      <w:numFmt w:val="bullet"/>
      <w:lvlText w:val="-"/>
      <w:lvlJc w:val="left"/>
      <w:pPr>
        <w:tabs>
          <w:tab w:val="num" w:pos="360"/>
        </w:tabs>
        <w:ind w:left="170" w:hanging="170"/>
      </w:pPr>
      <w:rPr>
        <w:sz w:val="16"/>
      </w:rPr>
    </w:lvl>
  </w:abstractNum>
  <w:abstractNum w:abstractNumId="27">
    <w:nsid w:val="4170322E"/>
    <w:multiLevelType w:val="hybridMultilevel"/>
    <w:tmpl w:val="98E2BF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41AA6AA5"/>
    <w:multiLevelType w:val="hybridMultilevel"/>
    <w:tmpl w:val="1112646C"/>
    <w:lvl w:ilvl="0" w:tplc="F914091A">
      <w:start w:val="1"/>
      <w:numFmt w:val="bullet"/>
      <w:lvlText w:val="-"/>
      <w:lvlJc w:val="left"/>
      <w:pPr>
        <w:tabs>
          <w:tab w:val="num" w:pos="927"/>
        </w:tabs>
        <w:ind w:left="927" w:hanging="360"/>
      </w:pPr>
      <w:rPr>
        <w:rFonts w:hint="default"/>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nsid w:val="48A347AB"/>
    <w:multiLevelType w:val="singleLevel"/>
    <w:tmpl w:val="166224BE"/>
    <w:lvl w:ilvl="0">
      <w:numFmt w:val="bullet"/>
      <w:lvlText w:val="-"/>
      <w:lvlJc w:val="left"/>
      <w:pPr>
        <w:tabs>
          <w:tab w:val="num" w:pos="1069"/>
        </w:tabs>
        <w:ind w:left="1069" w:hanging="360"/>
      </w:pPr>
      <w:rPr>
        <w:rFonts w:hint="default"/>
      </w:rPr>
    </w:lvl>
  </w:abstractNum>
  <w:abstractNum w:abstractNumId="30">
    <w:nsid w:val="4B931B79"/>
    <w:multiLevelType w:val="singleLevel"/>
    <w:tmpl w:val="0407000F"/>
    <w:lvl w:ilvl="0">
      <w:start w:val="1"/>
      <w:numFmt w:val="decimal"/>
      <w:lvlText w:val="%1."/>
      <w:lvlJc w:val="left"/>
      <w:pPr>
        <w:tabs>
          <w:tab w:val="num" w:pos="360"/>
        </w:tabs>
        <w:ind w:left="360" w:hanging="360"/>
      </w:pPr>
    </w:lvl>
  </w:abstractNum>
  <w:abstractNum w:abstractNumId="31">
    <w:nsid w:val="56CE7549"/>
    <w:multiLevelType w:val="singleLevel"/>
    <w:tmpl w:val="166224BE"/>
    <w:lvl w:ilvl="0">
      <w:numFmt w:val="bullet"/>
      <w:lvlText w:val="-"/>
      <w:lvlJc w:val="left"/>
      <w:pPr>
        <w:tabs>
          <w:tab w:val="num" w:pos="1069"/>
        </w:tabs>
        <w:ind w:left="1069" w:hanging="360"/>
      </w:pPr>
      <w:rPr>
        <w:rFonts w:hint="default"/>
      </w:rPr>
    </w:lvl>
  </w:abstractNum>
  <w:abstractNum w:abstractNumId="32">
    <w:nsid w:val="57E95B42"/>
    <w:multiLevelType w:val="singleLevel"/>
    <w:tmpl w:val="9C607DD2"/>
    <w:lvl w:ilvl="0">
      <w:start w:val="1"/>
      <w:numFmt w:val="decimal"/>
      <w:lvlText w:val="%1."/>
      <w:lvlJc w:val="left"/>
      <w:pPr>
        <w:tabs>
          <w:tab w:val="num" w:pos="360"/>
        </w:tabs>
        <w:ind w:left="360" w:hanging="360"/>
      </w:pPr>
      <w:rPr>
        <w:rFonts w:ascii="Arial" w:hAnsi="Arial" w:hint="default"/>
        <w:sz w:val="20"/>
      </w:rPr>
    </w:lvl>
  </w:abstractNum>
  <w:abstractNum w:abstractNumId="33">
    <w:nsid w:val="64717EF8"/>
    <w:multiLevelType w:val="singleLevel"/>
    <w:tmpl w:val="A27E2D5E"/>
    <w:lvl w:ilvl="0">
      <w:start w:val="1"/>
      <w:numFmt w:val="decimal"/>
      <w:lvlText w:val="%1."/>
      <w:lvlJc w:val="left"/>
      <w:pPr>
        <w:tabs>
          <w:tab w:val="num" w:pos="360"/>
        </w:tabs>
        <w:ind w:left="360" w:hanging="360"/>
      </w:pPr>
    </w:lvl>
  </w:abstractNum>
  <w:abstractNum w:abstractNumId="34">
    <w:nsid w:val="64E61E3A"/>
    <w:multiLevelType w:val="singleLevel"/>
    <w:tmpl w:val="BE728EE8"/>
    <w:lvl w:ilvl="0">
      <w:start w:val="15"/>
      <w:numFmt w:val="decimal"/>
      <w:lvlText w:val="%1."/>
      <w:lvlJc w:val="left"/>
      <w:pPr>
        <w:tabs>
          <w:tab w:val="num" w:pos="374"/>
        </w:tabs>
        <w:ind w:left="374" w:hanging="374"/>
      </w:pPr>
    </w:lvl>
  </w:abstractNum>
  <w:abstractNum w:abstractNumId="35">
    <w:nsid w:val="6BB7119E"/>
    <w:multiLevelType w:val="singleLevel"/>
    <w:tmpl w:val="4C1069D8"/>
    <w:lvl w:ilvl="0">
      <w:start w:val="1"/>
      <w:numFmt w:val="bullet"/>
      <w:lvlText w:val="-"/>
      <w:lvlJc w:val="left"/>
      <w:pPr>
        <w:tabs>
          <w:tab w:val="num" w:pos="360"/>
        </w:tabs>
        <w:ind w:left="170" w:hanging="170"/>
      </w:pPr>
      <w:rPr>
        <w:sz w:val="16"/>
      </w:rPr>
    </w:lvl>
  </w:abstractNum>
  <w:abstractNum w:abstractNumId="36">
    <w:nsid w:val="6EC3763E"/>
    <w:multiLevelType w:val="singleLevel"/>
    <w:tmpl w:val="0407000F"/>
    <w:lvl w:ilvl="0">
      <w:start w:val="1"/>
      <w:numFmt w:val="decimal"/>
      <w:lvlText w:val="%1."/>
      <w:lvlJc w:val="left"/>
      <w:pPr>
        <w:tabs>
          <w:tab w:val="num" w:pos="360"/>
        </w:tabs>
        <w:ind w:left="360" w:hanging="360"/>
      </w:pPr>
    </w:lvl>
  </w:abstractNum>
  <w:abstractNum w:abstractNumId="37">
    <w:nsid w:val="73E14DDF"/>
    <w:multiLevelType w:val="singleLevel"/>
    <w:tmpl w:val="166224BE"/>
    <w:lvl w:ilvl="0">
      <w:numFmt w:val="bullet"/>
      <w:lvlText w:val="-"/>
      <w:lvlJc w:val="left"/>
      <w:pPr>
        <w:tabs>
          <w:tab w:val="num" w:pos="1069"/>
        </w:tabs>
        <w:ind w:left="1069" w:hanging="360"/>
      </w:pPr>
      <w:rPr>
        <w:rFonts w:hint="default"/>
      </w:rPr>
    </w:lvl>
  </w:abstractNum>
  <w:abstractNum w:abstractNumId="38">
    <w:nsid w:val="761B2FC1"/>
    <w:multiLevelType w:val="singleLevel"/>
    <w:tmpl w:val="0407000F"/>
    <w:lvl w:ilvl="0">
      <w:start w:val="1"/>
      <w:numFmt w:val="decimal"/>
      <w:lvlText w:val="%1."/>
      <w:lvlJc w:val="left"/>
      <w:pPr>
        <w:tabs>
          <w:tab w:val="num" w:pos="360"/>
        </w:tabs>
        <w:ind w:left="360" w:hanging="360"/>
      </w:pPr>
    </w:lvl>
  </w:abstractNum>
  <w:abstractNum w:abstractNumId="39">
    <w:nsid w:val="7DA155AE"/>
    <w:multiLevelType w:val="hybridMultilevel"/>
    <w:tmpl w:val="5C2A537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30"/>
  </w:num>
  <w:num w:numId="4">
    <w:abstractNumId w:val="36"/>
  </w:num>
  <w:num w:numId="5">
    <w:abstractNumId w:val="34"/>
  </w:num>
  <w:num w:numId="6">
    <w:abstractNumId w:val="38"/>
  </w:num>
  <w:num w:numId="7">
    <w:abstractNumId w:val="6"/>
  </w:num>
  <w:num w:numId="8">
    <w:abstractNumId w:val="4"/>
  </w:num>
  <w:num w:numId="9">
    <w:abstractNumId w:val="8"/>
  </w:num>
  <w:num w:numId="10">
    <w:abstractNumId w:val="29"/>
  </w:num>
  <w:num w:numId="11">
    <w:abstractNumId w:val="15"/>
  </w:num>
  <w:num w:numId="12">
    <w:abstractNumId w:val="33"/>
  </w:num>
  <w:num w:numId="13">
    <w:abstractNumId w:val="19"/>
  </w:num>
  <w:num w:numId="14">
    <w:abstractNumId w:val="17"/>
  </w:num>
  <w:num w:numId="15">
    <w:abstractNumId w:val="37"/>
  </w:num>
  <w:num w:numId="16">
    <w:abstractNumId w:val="24"/>
  </w:num>
  <w:num w:numId="17">
    <w:abstractNumId w:val="20"/>
  </w:num>
  <w:num w:numId="18">
    <w:abstractNumId w:val="10"/>
  </w:num>
  <w:num w:numId="19">
    <w:abstractNumId w:val="12"/>
  </w:num>
  <w:num w:numId="20">
    <w:abstractNumId w:val="16"/>
  </w:num>
  <w:num w:numId="21">
    <w:abstractNumId w:val="11"/>
  </w:num>
  <w:num w:numId="22">
    <w:abstractNumId w:val="13"/>
  </w:num>
  <w:num w:numId="23">
    <w:abstractNumId w:val="0"/>
  </w:num>
  <w:num w:numId="24">
    <w:abstractNumId w:val="5"/>
  </w:num>
  <w:num w:numId="25">
    <w:abstractNumId w:val="35"/>
  </w:num>
  <w:num w:numId="26">
    <w:abstractNumId w:val="2"/>
  </w:num>
  <w:num w:numId="27">
    <w:abstractNumId w:val="14"/>
  </w:num>
  <w:num w:numId="28">
    <w:abstractNumId w:val="26"/>
  </w:num>
  <w:num w:numId="29">
    <w:abstractNumId w:val="22"/>
  </w:num>
  <w:num w:numId="30">
    <w:abstractNumId w:val="25"/>
  </w:num>
  <w:num w:numId="31">
    <w:abstractNumId w:val="23"/>
  </w:num>
  <w:num w:numId="32">
    <w:abstractNumId w:val="21"/>
  </w:num>
  <w:num w:numId="33">
    <w:abstractNumId w:val="9"/>
  </w:num>
  <w:num w:numId="34">
    <w:abstractNumId w:val="3"/>
  </w:num>
  <w:num w:numId="35">
    <w:abstractNumId w:val="32"/>
  </w:num>
  <w:num w:numId="36">
    <w:abstractNumId w:val="18"/>
  </w:num>
  <w:num w:numId="37">
    <w:abstractNumId w:val="39"/>
  </w:num>
  <w:num w:numId="38">
    <w:abstractNumId w:val="27"/>
  </w:num>
  <w:num w:numId="39">
    <w:abstractNumId w:val="2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8F"/>
    <w:rsid w:val="000F70E7"/>
    <w:rsid w:val="00105A62"/>
    <w:rsid w:val="00136E44"/>
    <w:rsid w:val="00334C90"/>
    <w:rsid w:val="003B7D96"/>
    <w:rsid w:val="0041339C"/>
    <w:rsid w:val="004462DB"/>
    <w:rsid w:val="00461179"/>
    <w:rsid w:val="004E4D91"/>
    <w:rsid w:val="004F332F"/>
    <w:rsid w:val="0063662F"/>
    <w:rsid w:val="00656658"/>
    <w:rsid w:val="00671371"/>
    <w:rsid w:val="00722370"/>
    <w:rsid w:val="00745002"/>
    <w:rsid w:val="00794EF3"/>
    <w:rsid w:val="007A03E5"/>
    <w:rsid w:val="008C2877"/>
    <w:rsid w:val="008C520C"/>
    <w:rsid w:val="00900C92"/>
    <w:rsid w:val="009674F9"/>
    <w:rsid w:val="0098118F"/>
    <w:rsid w:val="00A47F6D"/>
    <w:rsid w:val="00C34469"/>
    <w:rsid w:val="00CA3029"/>
    <w:rsid w:val="00D871B8"/>
    <w:rsid w:val="00ED74F6"/>
    <w:rsid w:val="00FA5FD2"/>
    <w:rsid w:val="00FD3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520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C520C"/>
    <w:pPr>
      <w:keepNext/>
      <w:spacing w:after="120"/>
      <w:jc w:val="center"/>
      <w:outlineLvl w:val="0"/>
    </w:pPr>
    <w:rPr>
      <w:b/>
      <w:kern w:val="28"/>
      <w:sz w:val="28"/>
    </w:rPr>
  </w:style>
  <w:style w:type="paragraph" w:styleId="berschrift2">
    <w:name w:val="heading 2"/>
    <w:basedOn w:val="Standard"/>
    <w:next w:val="GesAbsatz"/>
    <w:qFormat/>
    <w:rsid w:val="008C520C"/>
    <w:pPr>
      <w:keepNext/>
      <w:spacing w:before="240"/>
      <w:jc w:val="center"/>
      <w:outlineLvl w:val="1"/>
    </w:pPr>
    <w:rPr>
      <w:b/>
      <w:sz w:val="24"/>
    </w:rPr>
  </w:style>
  <w:style w:type="paragraph" w:styleId="berschrift3">
    <w:name w:val="heading 3"/>
    <w:basedOn w:val="Standard"/>
    <w:next w:val="GesAbsatz"/>
    <w:qFormat/>
    <w:rsid w:val="008C520C"/>
    <w:pPr>
      <w:keepNext/>
      <w:spacing w:before="240" w:after="180"/>
      <w:jc w:val="center"/>
      <w:outlineLvl w:val="2"/>
    </w:pPr>
    <w:rPr>
      <w:b/>
    </w:rPr>
  </w:style>
  <w:style w:type="paragraph" w:styleId="berschrift4">
    <w:name w:val="heading 4"/>
    <w:basedOn w:val="Standard"/>
    <w:next w:val="Standard"/>
    <w:rsid w:val="008C520C"/>
    <w:pPr>
      <w:keepNext/>
      <w:spacing w:before="240"/>
      <w:outlineLvl w:val="3"/>
    </w:pPr>
  </w:style>
  <w:style w:type="paragraph" w:styleId="berschrift5">
    <w:name w:val="heading 5"/>
    <w:basedOn w:val="Standard"/>
    <w:next w:val="Standard"/>
    <w:link w:val="berschrift5Zchn"/>
    <w:rsid w:val="008C520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8C520C"/>
    <w:pPr>
      <w:spacing w:before="100"/>
    </w:pPr>
    <w:rPr>
      <w:color w:val="000000"/>
    </w:rPr>
  </w:style>
  <w:style w:type="paragraph" w:styleId="Kopfzeile">
    <w:name w:val="header"/>
    <w:basedOn w:val="Standard"/>
    <w:qFormat/>
    <w:rsid w:val="008C520C"/>
    <w:pPr>
      <w:tabs>
        <w:tab w:val="center" w:pos="4536"/>
        <w:tab w:val="right" w:pos="9072"/>
      </w:tabs>
      <w:spacing w:before="0" w:after="120"/>
      <w:jc w:val="right"/>
    </w:pPr>
  </w:style>
  <w:style w:type="paragraph" w:styleId="Fuzeile">
    <w:name w:val="footer"/>
    <w:basedOn w:val="Standard"/>
    <w:qFormat/>
    <w:rsid w:val="008C520C"/>
    <w:pPr>
      <w:tabs>
        <w:tab w:val="clear" w:pos="425"/>
        <w:tab w:val="right" w:pos="8505"/>
        <w:tab w:val="right" w:pos="9639"/>
      </w:tabs>
      <w:spacing w:before="0" w:after="0"/>
      <w:jc w:val="left"/>
    </w:pPr>
    <w:rPr>
      <w:sz w:val="16"/>
    </w:rPr>
  </w:style>
  <w:style w:type="paragraph" w:styleId="Funotentext">
    <w:name w:val="footnote text"/>
    <w:basedOn w:val="Standard"/>
    <w:qFormat/>
    <w:rsid w:val="008C520C"/>
    <w:pPr>
      <w:spacing w:before="0" w:after="0"/>
    </w:pPr>
    <w:rPr>
      <w:sz w:val="16"/>
    </w:rPr>
  </w:style>
  <w:style w:type="character" w:styleId="Funotenzeichen">
    <w:name w:val="footnote reference"/>
    <w:qFormat/>
    <w:rsid w:val="008C520C"/>
    <w:rPr>
      <w:sz w:val="20"/>
      <w:szCs w:val="20"/>
      <w:vertAlign w:val="superscript"/>
    </w:rPr>
  </w:style>
  <w:style w:type="character" w:styleId="BesuchterHyperlink">
    <w:name w:val="FollowedHyperlink"/>
    <w:basedOn w:val="Absatz-Standardschriftart"/>
    <w:rsid w:val="00722370"/>
    <w:rPr>
      <w:color w:val="800080"/>
      <w:u w:val="single"/>
    </w:rPr>
  </w:style>
  <w:style w:type="paragraph" w:styleId="Verzeichnis1">
    <w:name w:val="toc 1"/>
    <w:basedOn w:val="Verzeichnis3"/>
    <w:next w:val="Standard"/>
    <w:semiHidden/>
    <w:rsid w:val="008C520C"/>
    <w:pPr>
      <w:spacing w:before="120" w:after="120"/>
      <w:ind w:left="0"/>
    </w:pPr>
    <w:rPr>
      <w:b/>
      <w:i w:val="0"/>
      <w:caps/>
    </w:rPr>
  </w:style>
  <w:style w:type="paragraph" w:styleId="Verzeichnis2">
    <w:name w:val="toc 2"/>
    <w:basedOn w:val="Standard"/>
    <w:next w:val="Standard"/>
    <w:semiHidden/>
    <w:rsid w:val="008C520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C520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8C520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C520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C520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C520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C520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C520C"/>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rsid w:val="008C520C"/>
    <w:pPr>
      <w:spacing w:before="0" w:after="0"/>
      <w:jc w:val="right"/>
    </w:pPr>
    <w:rPr>
      <w:b/>
      <w:sz w:val="24"/>
    </w:rPr>
  </w:style>
  <w:style w:type="character" w:styleId="Hyperlink">
    <w:name w:val="Hyperlink"/>
    <w:rsid w:val="008C520C"/>
    <w:rPr>
      <w:color w:val="0000FF"/>
      <w:u w:val="single"/>
    </w:rPr>
  </w:style>
  <w:style w:type="character" w:styleId="Seitenzahl">
    <w:name w:val="page number"/>
    <w:rsid w:val="008C520C"/>
    <w:rPr>
      <w:rFonts w:ascii="Arial" w:hAnsi="Arial"/>
      <w:sz w:val="16"/>
    </w:rPr>
  </w:style>
  <w:style w:type="character" w:customStyle="1" w:styleId="berschrift5Zchn">
    <w:name w:val="Überschrift 5 Zchn"/>
    <w:basedOn w:val="Absatz-Standardschriftart"/>
    <w:link w:val="berschrift5"/>
    <w:rsid w:val="008C520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520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C520C"/>
    <w:pPr>
      <w:keepNext/>
      <w:spacing w:after="120"/>
      <w:jc w:val="center"/>
      <w:outlineLvl w:val="0"/>
    </w:pPr>
    <w:rPr>
      <w:b/>
      <w:kern w:val="28"/>
      <w:sz w:val="28"/>
    </w:rPr>
  </w:style>
  <w:style w:type="paragraph" w:styleId="berschrift2">
    <w:name w:val="heading 2"/>
    <w:basedOn w:val="Standard"/>
    <w:next w:val="GesAbsatz"/>
    <w:qFormat/>
    <w:rsid w:val="008C520C"/>
    <w:pPr>
      <w:keepNext/>
      <w:spacing w:before="240"/>
      <w:jc w:val="center"/>
      <w:outlineLvl w:val="1"/>
    </w:pPr>
    <w:rPr>
      <w:b/>
      <w:sz w:val="24"/>
    </w:rPr>
  </w:style>
  <w:style w:type="paragraph" w:styleId="berschrift3">
    <w:name w:val="heading 3"/>
    <w:basedOn w:val="Standard"/>
    <w:next w:val="GesAbsatz"/>
    <w:qFormat/>
    <w:rsid w:val="008C520C"/>
    <w:pPr>
      <w:keepNext/>
      <w:spacing w:before="240" w:after="180"/>
      <w:jc w:val="center"/>
      <w:outlineLvl w:val="2"/>
    </w:pPr>
    <w:rPr>
      <w:b/>
    </w:rPr>
  </w:style>
  <w:style w:type="paragraph" w:styleId="berschrift4">
    <w:name w:val="heading 4"/>
    <w:basedOn w:val="Standard"/>
    <w:next w:val="Standard"/>
    <w:rsid w:val="008C520C"/>
    <w:pPr>
      <w:keepNext/>
      <w:spacing w:before="240"/>
      <w:outlineLvl w:val="3"/>
    </w:pPr>
  </w:style>
  <w:style w:type="paragraph" w:styleId="berschrift5">
    <w:name w:val="heading 5"/>
    <w:basedOn w:val="Standard"/>
    <w:next w:val="Standard"/>
    <w:link w:val="berschrift5Zchn"/>
    <w:rsid w:val="008C520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8C520C"/>
    <w:pPr>
      <w:spacing w:before="100"/>
    </w:pPr>
    <w:rPr>
      <w:color w:val="000000"/>
    </w:rPr>
  </w:style>
  <w:style w:type="paragraph" w:styleId="Kopfzeile">
    <w:name w:val="header"/>
    <w:basedOn w:val="Standard"/>
    <w:qFormat/>
    <w:rsid w:val="008C520C"/>
    <w:pPr>
      <w:tabs>
        <w:tab w:val="center" w:pos="4536"/>
        <w:tab w:val="right" w:pos="9072"/>
      </w:tabs>
      <w:spacing w:before="0" w:after="120"/>
      <w:jc w:val="right"/>
    </w:pPr>
  </w:style>
  <w:style w:type="paragraph" w:styleId="Fuzeile">
    <w:name w:val="footer"/>
    <w:basedOn w:val="Standard"/>
    <w:qFormat/>
    <w:rsid w:val="008C520C"/>
    <w:pPr>
      <w:tabs>
        <w:tab w:val="clear" w:pos="425"/>
        <w:tab w:val="right" w:pos="8505"/>
        <w:tab w:val="right" w:pos="9639"/>
      </w:tabs>
      <w:spacing w:before="0" w:after="0"/>
      <w:jc w:val="left"/>
    </w:pPr>
    <w:rPr>
      <w:sz w:val="16"/>
    </w:rPr>
  </w:style>
  <w:style w:type="paragraph" w:styleId="Funotentext">
    <w:name w:val="footnote text"/>
    <w:basedOn w:val="Standard"/>
    <w:qFormat/>
    <w:rsid w:val="008C520C"/>
    <w:pPr>
      <w:spacing w:before="0" w:after="0"/>
    </w:pPr>
    <w:rPr>
      <w:sz w:val="16"/>
    </w:rPr>
  </w:style>
  <w:style w:type="character" w:styleId="Funotenzeichen">
    <w:name w:val="footnote reference"/>
    <w:qFormat/>
    <w:rsid w:val="008C520C"/>
    <w:rPr>
      <w:sz w:val="20"/>
      <w:szCs w:val="20"/>
      <w:vertAlign w:val="superscript"/>
    </w:rPr>
  </w:style>
  <w:style w:type="character" w:styleId="BesuchterHyperlink">
    <w:name w:val="FollowedHyperlink"/>
    <w:basedOn w:val="Absatz-Standardschriftart"/>
    <w:rsid w:val="00722370"/>
    <w:rPr>
      <w:color w:val="800080"/>
      <w:u w:val="single"/>
    </w:rPr>
  </w:style>
  <w:style w:type="paragraph" w:styleId="Verzeichnis1">
    <w:name w:val="toc 1"/>
    <w:basedOn w:val="Verzeichnis3"/>
    <w:next w:val="Standard"/>
    <w:semiHidden/>
    <w:rsid w:val="008C520C"/>
    <w:pPr>
      <w:spacing w:before="120" w:after="120"/>
      <w:ind w:left="0"/>
    </w:pPr>
    <w:rPr>
      <w:b/>
      <w:i w:val="0"/>
      <w:caps/>
    </w:rPr>
  </w:style>
  <w:style w:type="paragraph" w:styleId="Verzeichnis2">
    <w:name w:val="toc 2"/>
    <w:basedOn w:val="Standard"/>
    <w:next w:val="Standard"/>
    <w:semiHidden/>
    <w:rsid w:val="008C520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C520C"/>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8C520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C520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C520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C520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C520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C520C"/>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rsid w:val="008C520C"/>
    <w:pPr>
      <w:spacing w:before="0" w:after="0"/>
      <w:jc w:val="right"/>
    </w:pPr>
    <w:rPr>
      <w:b/>
      <w:sz w:val="24"/>
    </w:rPr>
  </w:style>
  <w:style w:type="character" w:styleId="Hyperlink">
    <w:name w:val="Hyperlink"/>
    <w:rsid w:val="008C520C"/>
    <w:rPr>
      <w:color w:val="0000FF"/>
      <w:u w:val="single"/>
    </w:rPr>
  </w:style>
  <w:style w:type="character" w:styleId="Seitenzahl">
    <w:name w:val="page number"/>
    <w:rsid w:val="008C520C"/>
    <w:rPr>
      <w:rFonts w:ascii="Arial" w:hAnsi="Arial"/>
      <w:sz w:val="16"/>
    </w:rPr>
  </w:style>
  <w:style w:type="character" w:customStyle="1" w:styleId="berschrift5Zchn">
    <w:name w:val="Überschrift 5 Zchn"/>
    <w:basedOn w:val="Absatz-Standardschriftart"/>
    <w:link w:val="berschrift5"/>
    <w:rsid w:val="008C52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1999:163:0041:0060:D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OJ:L:2008:152:0001:0044:DE:PDF" TargetMode="External"/><Relationship Id="rId4" Type="http://schemas.openxmlformats.org/officeDocument/2006/relationships/settings" Target="settings.xml"/><Relationship Id="rId9" Type="http://schemas.openxmlformats.org/officeDocument/2006/relationships/hyperlink" Target="http://eur-lex.europa.eu/legal-content/DE/TXT/PDF/?uri=CELEX:32001D0744&amp;from=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21</Pages>
  <Words>6980</Words>
  <Characters>47578</Characters>
  <Application>Microsoft Office Word</Application>
  <DocSecurity>0</DocSecurity>
  <Lines>396</Lines>
  <Paragraphs>108</Paragraphs>
  <ScaleCrop>false</ScaleCrop>
  <HeadingPairs>
    <vt:vector size="2" baseType="variant">
      <vt:variant>
        <vt:lpstr>Titel</vt:lpstr>
      </vt:variant>
      <vt:variant>
        <vt:i4>1</vt:i4>
      </vt:variant>
    </vt:vector>
  </HeadingPairs>
  <TitlesOfParts>
    <vt:vector size="1" baseType="lpstr">
      <vt:lpstr>RICHTLINIE 1999/30/EG DES RATES vom 22. April 1999 über Grenzwerte für Schwefeldioxid, Stickstoffdioxid und Stickstoffoxide, Partikel und Blei in der Luft</vt:lpstr>
    </vt:vector>
  </TitlesOfParts>
  <Company>Landesumweltamt NRW</Company>
  <LinksUpToDate>false</LinksUpToDate>
  <CharactersWithSpaces>54450</CharactersWithSpaces>
  <SharedDoc>false</SharedDoc>
  <HLinks>
    <vt:vector size="162" baseType="variant">
      <vt:variant>
        <vt:i4>1769533</vt:i4>
      </vt:variant>
      <vt:variant>
        <vt:i4>149</vt:i4>
      </vt:variant>
      <vt:variant>
        <vt:i4>0</vt:i4>
      </vt:variant>
      <vt:variant>
        <vt:i4>5</vt:i4>
      </vt:variant>
      <vt:variant>
        <vt:lpwstr/>
      </vt:variant>
      <vt:variant>
        <vt:lpwstr>_Toc202752890</vt:lpwstr>
      </vt:variant>
      <vt:variant>
        <vt:i4>1703997</vt:i4>
      </vt:variant>
      <vt:variant>
        <vt:i4>143</vt:i4>
      </vt:variant>
      <vt:variant>
        <vt:i4>0</vt:i4>
      </vt:variant>
      <vt:variant>
        <vt:i4>5</vt:i4>
      </vt:variant>
      <vt:variant>
        <vt:lpwstr/>
      </vt:variant>
      <vt:variant>
        <vt:lpwstr>_Toc202752889</vt:lpwstr>
      </vt:variant>
      <vt:variant>
        <vt:i4>1703997</vt:i4>
      </vt:variant>
      <vt:variant>
        <vt:i4>137</vt:i4>
      </vt:variant>
      <vt:variant>
        <vt:i4>0</vt:i4>
      </vt:variant>
      <vt:variant>
        <vt:i4>5</vt:i4>
      </vt:variant>
      <vt:variant>
        <vt:lpwstr/>
      </vt:variant>
      <vt:variant>
        <vt:lpwstr>_Toc202752888</vt:lpwstr>
      </vt:variant>
      <vt:variant>
        <vt:i4>1703997</vt:i4>
      </vt:variant>
      <vt:variant>
        <vt:i4>131</vt:i4>
      </vt:variant>
      <vt:variant>
        <vt:i4>0</vt:i4>
      </vt:variant>
      <vt:variant>
        <vt:i4>5</vt:i4>
      </vt:variant>
      <vt:variant>
        <vt:lpwstr/>
      </vt:variant>
      <vt:variant>
        <vt:lpwstr>_Toc202752887</vt:lpwstr>
      </vt:variant>
      <vt:variant>
        <vt:i4>1703997</vt:i4>
      </vt:variant>
      <vt:variant>
        <vt:i4>125</vt:i4>
      </vt:variant>
      <vt:variant>
        <vt:i4>0</vt:i4>
      </vt:variant>
      <vt:variant>
        <vt:i4>5</vt:i4>
      </vt:variant>
      <vt:variant>
        <vt:lpwstr/>
      </vt:variant>
      <vt:variant>
        <vt:lpwstr>_Toc202752886</vt:lpwstr>
      </vt:variant>
      <vt:variant>
        <vt:i4>1703997</vt:i4>
      </vt:variant>
      <vt:variant>
        <vt:i4>119</vt:i4>
      </vt:variant>
      <vt:variant>
        <vt:i4>0</vt:i4>
      </vt:variant>
      <vt:variant>
        <vt:i4>5</vt:i4>
      </vt:variant>
      <vt:variant>
        <vt:lpwstr/>
      </vt:variant>
      <vt:variant>
        <vt:lpwstr>_Toc202752885</vt:lpwstr>
      </vt:variant>
      <vt:variant>
        <vt:i4>1703997</vt:i4>
      </vt:variant>
      <vt:variant>
        <vt:i4>113</vt:i4>
      </vt:variant>
      <vt:variant>
        <vt:i4>0</vt:i4>
      </vt:variant>
      <vt:variant>
        <vt:i4>5</vt:i4>
      </vt:variant>
      <vt:variant>
        <vt:lpwstr/>
      </vt:variant>
      <vt:variant>
        <vt:lpwstr>_Toc202752884</vt:lpwstr>
      </vt:variant>
      <vt:variant>
        <vt:i4>1703997</vt:i4>
      </vt:variant>
      <vt:variant>
        <vt:i4>107</vt:i4>
      </vt:variant>
      <vt:variant>
        <vt:i4>0</vt:i4>
      </vt:variant>
      <vt:variant>
        <vt:i4>5</vt:i4>
      </vt:variant>
      <vt:variant>
        <vt:lpwstr/>
      </vt:variant>
      <vt:variant>
        <vt:lpwstr>_Toc202752883</vt:lpwstr>
      </vt:variant>
      <vt:variant>
        <vt:i4>1703997</vt:i4>
      </vt:variant>
      <vt:variant>
        <vt:i4>101</vt:i4>
      </vt:variant>
      <vt:variant>
        <vt:i4>0</vt:i4>
      </vt:variant>
      <vt:variant>
        <vt:i4>5</vt:i4>
      </vt:variant>
      <vt:variant>
        <vt:lpwstr/>
      </vt:variant>
      <vt:variant>
        <vt:lpwstr>_Toc202752882</vt:lpwstr>
      </vt:variant>
      <vt:variant>
        <vt:i4>1703997</vt:i4>
      </vt:variant>
      <vt:variant>
        <vt:i4>95</vt:i4>
      </vt:variant>
      <vt:variant>
        <vt:i4>0</vt:i4>
      </vt:variant>
      <vt:variant>
        <vt:i4>5</vt:i4>
      </vt:variant>
      <vt:variant>
        <vt:lpwstr/>
      </vt:variant>
      <vt:variant>
        <vt:lpwstr>_Toc202752881</vt:lpwstr>
      </vt:variant>
      <vt:variant>
        <vt:i4>1703997</vt:i4>
      </vt:variant>
      <vt:variant>
        <vt:i4>89</vt:i4>
      </vt:variant>
      <vt:variant>
        <vt:i4>0</vt:i4>
      </vt:variant>
      <vt:variant>
        <vt:i4>5</vt:i4>
      </vt:variant>
      <vt:variant>
        <vt:lpwstr/>
      </vt:variant>
      <vt:variant>
        <vt:lpwstr>_Toc202752880</vt:lpwstr>
      </vt:variant>
      <vt:variant>
        <vt:i4>1376317</vt:i4>
      </vt:variant>
      <vt:variant>
        <vt:i4>83</vt:i4>
      </vt:variant>
      <vt:variant>
        <vt:i4>0</vt:i4>
      </vt:variant>
      <vt:variant>
        <vt:i4>5</vt:i4>
      </vt:variant>
      <vt:variant>
        <vt:lpwstr/>
      </vt:variant>
      <vt:variant>
        <vt:lpwstr>_Toc202752879</vt:lpwstr>
      </vt:variant>
      <vt:variant>
        <vt:i4>1376317</vt:i4>
      </vt:variant>
      <vt:variant>
        <vt:i4>77</vt:i4>
      </vt:variant>
      <vt:variant>
        <vt:i4>0</vt:i4>
      </vt:variant>
      <vt:variant>
        <vt:i4>5</vt:i4>
      </vt:variant>
      <vt:variant>
        <vt:lpwstr/>
      </vt:variant>
      <vt:variant>
        <vt:lpwstr>_Toc202752878</vt:lpwstr>
      </vt:variant>
      <vt:variant>
        <vt:i4>1376317</vt:i4>
      </vt:variant>
      <vt:variant>
        <vt:i4>71</vt:i4>
      </vt:variant>
      <vt:variant>
        <vt:i4>0</vt:i4>
      </vt:variant>
      <vt:variant>
        <vt:i4>5</vt:i4>
      </vt:variant>
      <vt:variant>
        <vt:lpwstr/>
      </vt:variant>
      <vt:variant>
        <vt:lpwstr>_Toc202752877</vt:lpwstr>
      </vt:variant>
      <vt:variant>
        <vt:i4>1376317</vt:i4>
      </vt:variant>
      <vt:variant>
        <vt:i4>65</vt:i4>
      </vt:variant>
      <vt:variant>
        <vt:i4>0</vt:i4>
      </vt:variant>
      <vt:variant>
        <vt:i4>5</vt:i4>
      </vt:variant>
      <vt:variant>
        <vt:lpwstr/>
      </vt:variant>
      <vt:variant>
        <vt:lpwstr>_Toc202752876</vt:lpwstr>
      </vt:variant>
      <vt:variant>
        <vt:i4>1376317</vt:i4>
      </vt:variant>
      <vt:variant>
        <vt:i4>59</vt:i4>
      </vt:variant>
      <vt:variant>
        <vt:i4>0</vt:i4>
      </vt:variant>
      <vt:variant>
        <vt:i4>5</vt:i4>
      </vt:variant>
      <vt:variant>
        <vt:lpwstr/>
      </vt:variant>
      <vt:variant>
        <vt:lpwstr>_Toc202752875</vt:lpwstr>
      </vt:variant>
      <vt:variant>
        <vt:i4>1376317</vt:i4>
      </vt:variant>
      <vt:variant>
        <vt:i4>53</vt:i4>
      </vt:variant>
      <vt:variant>
        <vt:i4>0</vt:i4>
      </vt:variant>
      <vt:variant>
        <vt:i4>5</vt:i4>
      </vt:variant>
      <vt:variant>
        <vt:lpwstr/>
      </vt:variant>
      <vt:variant>
        <vt:lpwstr>_Toc202752874</vt:lpwstr>
      </vt:variant>
      <vt:variant>
        <vt:i4>1376317</vt:i4>
      </vt:variant>
      <vt:variant>
        <vt:i4>47</vt:i4>
      </vt:variant>
      <vt:variant>
        <vt:i4>0</vt:i4>
      </vt:variant>
      <vt:variant>
        <vt:i4>5</vt:i4>
      </vt:variant>
      <vt:variant>
        <vt:lpwstr/>
      </vt:variant>
      <vt:variant>
        <vt:lpwstr>_Toc202752873</vt:lpwstr>
      </vt:variant>
      <vt:variant>
        <vt:i4>1376317</vt:i4>
      </vt:variant>
      <vt:variant>
        <vt:i4>41</vt:i4>
      </vt:variant>
      <vt:variant>
        <vt:i4>0</vt:i4>
      </vt:variant>
      <vt:variant>
        <vt:i4>5</vt:i4>
      </vt:variant>
      <vt:variant>
        <vt:lpwstr/>
      </vt:variant>
      <vt:variant>
        <vt:lpwstr>_Toc202752872</vt:lpwstr>
      </vt:variant>
      <vt:variant>
        <vt:i4>1376317</vt:i4>
      </vt:variant>
      <vt:variant>
        <vt:i4>35</vt:i4>
      </vt:variant>
      <vt:variant>
        <vt:i4>0</vt:i4>
      </vt:variant>
      <vt:variant>
        <vt:i4>5</vt:i4>
      </vt:variant>
      <vt:variant>
        <vt:lpwstr/>
      </vt:variant>
      <vt:variant>
        <vt:lpwstr>_Toc202752871</vt:lpwstr>
      </vt:variant>
      <vt:variant>
        <vt:i4>1376317</vt:i4>
      </vt:variant>
      <vt:variant>
        <vt:i4>29</vt:i4>
      </vt:variant>
      <vt:variant>
        <vt:i4>0</vt:i4>
      </vt:variant>
      <vt:variant>
        <vt:i4>5</vt:i4>
      </vt:variant>
      <vt:variant>
        <vt:lpwstr/>
      </vt:variant>
      <vt:variant>
        <vt:lpwstr>_Toc202752870</vt:lpwstr>
      </vt:variant>
      <vt:variant>
        <vt:i4>1310781</vt:i4>
      </vt:variant>
      <vt:variant>
        <vt:i4>23</vt:i4>
      </vt:variant>
      <vt:variant>
        <vt:i4>0</vt:i4>
      </vt:variant>
      <vt:variant>
        <vt:i4>5</vt:i4>
      </vt:variant>
      <vt:variant>
        <vt:lpwstr/>
      </vt:variant>
      <vt:variant>
        <vt:lpwstr>_Toc202752869</vt:lpwstr>
      </vt:variant>
      <vt:variant>
        <vt:i4>1310781</vt:i4>
      </vt:variant>
      <vt:variant>
        <vt:i4>17</vt:i4>
      </vt:variant>
      <vt:variant>
        <vt:i4>0</vt:i4>
      </vt:variant>
      <vt:variant>
        <vt:i4>5</vt:i4>
      </vt:variant>
      <vt:variant>
        <vt:lpwstr/>
      </vt:variant>
      <vt:variant>
        <vt:lpwstr>_Toc202752868</vt:lpwstr>
      </vt:variant>
      <vt:variant>
        <vt:i4>1310781</vt:i4>
      </vt:variant>
      <vt:variant>
        <vt:i4>11</vt:i4>
      </vt:variant>
      <vt:variant>
        <vt:i4>0</vt:i4>
      </vt:variant>
      <vt:variant>
        <vt:i4>5</vt:i4>
      </vt:variant>
      <vt:variant>
        <vt:lpwstr/>
      </vt:variant>
      <vt:variant>
        <vt:lpwstr>_Toc202752867</vt:lpwstr>
      </vt:variant>
      <vt:variant>
        <vt:i4>6225947</vt:i4>
      </vt:variant>
      <vt:variant>
        <vt:i4>6</vt:i4>
      </vt:variant>
      <vt:variant>
        <vt:i4>0</vt:i4>
      </vt:variant>
      <vt:variant>
        <vt:i4>5</vt:i4>
      </vt:variant>
      <vt:variant>
        <vt:lpwstr>http://eur-lex.europa.eu/LexUriServ/LexUriServ.do?uri=OJ:L:2008:152:0001:0044:DE:PDF</vt:lpwstr>
      </vt:variant>
      <vt:variant>
        <vt:lpwstr/>
      </vt:variant>
      <vt:variant>
        <vt:i4>786505</vt:i4>
      </vt:variant>
      <vt:variant>
        <vt:i4>3</vt:i4>
      </vt:variant>
      <vt:variant>
        <vt:i4>0</vt:i4>
      </vt:variant>
      <vt:variant>
        <vt:i4>5</vt:i4>
      </vt:variant>
      <vt:variant>
        <vt:lpwstr>http://europa.eu.int/eur-lex/pri/de/oj/dat/2001/l_278/l_27820011023de00350036.pdf</vt:lpwstr>
      </vt:variant>
      <vt:variant>
        <vt:lpwstr/>
      </vt:variant>
      <vt:variant>
        <vt:i4>5505042</vt:i4>
      </vt:variant>
      <vt:variant>
        <vt:i4>0</vt:i4>
      </vt:variant>
      <vt:variant>
        <vt:i4>0</vt:i4>
      </vt:variant>
      <vt:variant>
        <vt:i4>5</vt:i4>
      </vt:variant>
      <vt:variant>
        <vt:lpwstr>http://eur-lex.europa.eu/LexUriServ/LexUriServ.do?uri=OJ:L:1999:163:0041:0060:DE:PDF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1999/30/EG DES RATES vom 22. April 1999 über Grenzwerte für Schwefeldioxid, Stickstoffdioxid und Stickstoffoxide, Partikel und Blei in der Luft</dc:title>
  <dc:creator>LUA</dc:creator>
  <dc:description>durchgesehen 12.2004</dc:description>
  <cp:lastModifiedBy>rueter</cp:lastModifiedBy>
  <cp:revision>4</cp:revision>
  <dcterms:created xsi:type="dcterms:W3CDTF">2014-10-09T12:10:00Z</dcterms:created>
  <dcterms:modified xsi:type="dcterms:W3CDTF">2014-10-24T06:32:00Z</dcterms:modified>
</cp:coreProperties>
</file>