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BC" w:rsidRPr="009A0239" w:rsidRDefault="001641BC" w:rsidP="009A0239">
      <w:pPr>
        <w:pStyle w:val="berschrift1"/>
      </w:pPr>
      <w:bookmarkStart w:id="0" w:name="_Toc400367410"/>
      <w:r w:rsidRPr="009A0239">
        <w:t xml:space="preserve">RICHTLINIE </w:t>
      </w:r>
      <w:r w:rsidR="007371A1" w:rsidRPr="009A0239">
        <w:t xml:space="preserve">76/767/EWG </w:t>
      </w:r>
      <w:r w:rsidRPr="009A0239">
        <w:t>DES RATES</w:t>
      </w:r>
      <w:r w:rsidR="003530F1" w:rsidRPr="009A0239">
        <w:t xml:space="preserve"> </w:t>
      </w:r>
      <w:r w:rsidRPr="009A0239">
        <w:t>vom 27. Juli 1976</w:t>
      </w:r>
      <w:r w:rsidR="00072FC1" w:rsidRPr="009A0239">
        <w:br/>
      </w:r>
      <w:r w:rsidRPr="009A0239">
        <w:t>zur Angleichu</w:t>
      </w:r>
      <w:bookmarkStart w:id="1" w:name="_GoBack"/>
      <w:bookmarkEnd w:id="1"/>
      <w:r w:rsidRPr="009A0239">
        <w:t>ng der Rechtsvorschriften der Mitgliedstaaten über</w:t>
      </w:r>
      <w:r w:rsidR="00072FC1" w:rsidRPr="009A0239">
        <w:br/>
      </w:r>
      <w:r w:rsidRPr="009A0239">
        <w:t>gemeinsame Vorschriften für</w:t>
      </w:r>
      <w:r w:rsidR="00072FC1" w:rsidRPr="009A0239">
        <w:t xml:space="preserve"> </w:t>
      </w:r>
      <w:r w:rsidRPr="009A0239">
        <w:t>Druckbehälter sowie über</w:t>
      </w:r>
      <w:r w:rsidR="00072FC1" w:rsidRPr="009A0239">
        <w:br/>
      </w:r>
      <w:r w:rsidRPr="009A0239">
        <w:t>Verfahren zu deren Prüfung</w:t>
      </w:r>
      <w:bookmarkEnd w:id="0"/>
    </w:p>
    <w:p w:rsidR="007B7036" w:rsidRDefault="000C656D" w:rsidP="000C656D">
      <w:pPr>
        <w:pStyle w:val="GesAbsatz"/>
      </w:pPr>
      <w:r w:rsidRPr="00BE0ADE">
        <w:rPr>
          <w:rFonts w:cs="Arial"/>
          <w:b/>
        </w:rPr>
        <w:t>Änderungen:</w:t>
      </w:r>
      <w:r w:rsidR="00861EED">
        <w:rPr>
          <w:rFonts w:cs="Arial"/>
        </w:rPr>
        <w:t xml:space="preserve"> </w:t>
      </w:r>
      <w:r w:rsidR="00861EED" w:rsidRPr="00861EED">
        <w:rPr>
          <w:rFonts w:cs="Arial"/>
        </w:rPr>
        <w:t>Beitrittsakte ABl. L 291 v</w:t>
      </w:r>
      <w:r w:rsidR="00861EED">
        <w:rPr>
          <w:rFonts w:cs="Arial"/>
        </w:rPr>
        <w:t>.</w:t>
      </w:r>
      <w:r w:rsidR="00861EED" w:rsidRPr="00861EED">
        <w:rPr>
          <w:rFonts w:cs="Arial"/>
        </w:rPr>
        <w:t xml:space="preserve"> 19.11.1979</w:t>
      </w:r>
      <w:r w:rsidR="00861EED">
        <w:rPr>
          <w:rFonts w:cs="Arial"/>
        </w:rPr>
        <w:t xml:space="preserve"> S</w:t>
      </w:r>
      <w:r w:rsidR="00861EED" w:rsidRPr="00861EED">
        <w:rPr>
          <w:rFonts w:cs="Arial"/>
        </w:rPr>
        <w:t>. 17</w:t>
      </w:r>
      <w:r w:rsidR="00861EED">
        <w:rPr>
          <w:rFonts w:cs="Arial"/>
        </w:rPr>
        <w:t>;</w:t>
      </w:r>
      <w:r w:rsidR="00861EED" w:rsidRPr="00861EED">
        <w:rPr>
          <w:rFonts w:cs="Arial"/>
        </w:rPr>
        <w:t xml:space="preserve"> </w:t>
      </w:r>
      <w:r w:rsidR="00861EED">
        <w:rPr>
          <w:rFonts w:cs="Arial"/>
        </w:rPr>
        <w:t xml:space="preserve">Beitrittsakte ABl. </w:t>
      </w:r>
      <w:r w:rsidR="00861EED">
        <w:rPr>
          <w:i/>
        </w:rPr>
        <w:t>L 302 vom 15.</w:t>
      </w:r>
      <w:r w:rsidR="00861EED" w:rsidRPr="00861EED">
        <w:rPr>
          <w:i/>
        </w:rPr>
        <w:t>11</w:t>
      </w:r>
      <w:r w:rsidR="00861EED">
        <w:rPr>
          <w:i/>
        </w:rPr>
        <w:t>.</w:t>
      </w:r>
      <w:r w:rsidR="00861EED" w:rsidRPr="00861EED">
        <w:rPr>
          <w:i/>
        </w:rPr>
        <w:t>1985</w:t>
      </w:r>
      <w:r w:rsidR="00861EED">
        <w:t xml:space="preserve"> </w:t>
      </w:r>
      <w:r w:rsidR="00861EED" w:rsidRPr="00861EED">
        <w:rPr>
          <w:i/>
        </w:rPr>
        <w:t>S. 209</w:t>
      </w:r>
      <w:r w:rsidR="00861EED">
        <w:rPr>
          <w:i/>
        </w:rPr>
        <w:t>;</w:t>
      </w:r>
      <w:r>
        <w:rPr>
          <w:rFonts w:cs="Arial"/>
        </w:rPr>
        <w:t xml:space="preserve"> </w:t>
      </w:r>
      <w:hyperlink r:id="rId8" w:history="1">
        <w:r w:rsidRPr="00D5569E">
          <w:rPr>
            <w:rStyle w:val="Hyperlink"/>
          </w:rPr>
          <w:t>87/354/EWG</w:t>
        </w:r>
      </w:hyperlink>
      <w:r w:rsidR="00C0764D">
        <w:t xml:space="preserve"> </w:t>
      </w:r>
      <w:r>
        <w:t>ABl. L 192 v. 11.7.1987 S. 43; 88/665/EWG ABl. L 382 v. 31.12.1988 S. 42</w:t>
      </w:r>
      <w:r w:rsidR="00052101">
        <w:t>;</w:t>
      </w:r>
      <w:r w:rsidR="00D5569E">
        <w:t xml:space="preserve"> </w:t>
      </w:r>
      <w:hyperlink r:id="rId9" w:history="1">
        <w:r w:rsidR="00D5569E" w:rsidRPr="00D5569E">
          <w:rPr>
            <w:rStyle w:val="Hyperlink"/>
          </w:rPr>
          <w:t>97/23/EG</w:t>
        </w:r>
      </w:hyperlink>
      <w:r w:rsidR="00D5569E" w:rsidRPr="00D5569E">
        <w:t xml:space="preserve"> </w:t>
      </w:r>
      <w:r w:rsidR="00D5569E">
        <w:t xml:space="preserve">ABl. </w:t>
      </w:r>
      <w:r w:rsidR="00D5569E" w:rsidRPr="00D5569E">
        <w:t xml:space="preserve">L 181 vom </w:t>
      </w:r>
      <w:r w:rsidR="00D5569E">
        <w:t>9.7.</w:t>
      </w:r>
      <w:r w:rsidR="00D5569E" w:rsidRPr="00D5569E">
        <w:t>1997 S. 1</w:t>
      </w:r>
      <w:r w:rsidR="00D5569E">
        <w:t>;</w:t>
      </w:r>
      <w:r w:rsidR="00052101">
        <w:t xml:space="preserve"> </w:t>
      </w:r>
      <w:hyperlink r:id="rId10" w:history="1">
        <w:r w:rsidRPr="00052101">
          <w:rPr>
            <w:rStyle w:val="Hyperlink"/>
          </w:rPr>
          <w:t>807/2003</w:t>
        </w:r>
      </w:hyperlink>
      <w:r>
        <w:t xml:space="preserve"> ABl. L 122 vom 16.5.2003 S. 36;</w:t>
      </w:r>
      <w:r w:rsidR="00D5569E">
        <w:t xml:space="preserve"> Beitrittsakte</w:t>
      </w:r>
      <w:r w:rsidR="00861EED">
        <w:t>n</w:t>
      </w:r>
      <w:r w:rsidR="00B31FB4">
        <w:t xml:space="preserve">; </w:t>
      </w:r>
      <w:hyperlink r:id="rId11" w:history="1">
        <w:r w:rsidR="00B31FB4" w:rsidRPr="00AA3AD9">
          <w:rPr>
            <w:rStyle w:val="Hyperlink"/>
            <w:snapToGrid w:val="0"/>
          </w:rPr>
          <w:t>1137/2008/EG</w:t>
        </w:r>
      </w:hyperlink>
      <w:r w:rsidR="00B31FB4">
        <w:rPr>
          <w:snapToGrid w:val="0"/>
        </w:rPr>
        <w:t xml:space="preserve"> ABl. L 331 v. 21.11.2008 S. 1 Inkrafttreten 11.12.2008</w:t>
      </w:r>
    </w:p>
    <w:p w:rsidR="009340A3" w:rsidRDefault="009340A3" w:rsidP="00420169">
      <w:pPr>
        <w:pStyle w:val="GesAbsatz"/>
        <w:jc w:val="left"/>
        <w:rPr>
          <w:b/>
          <w:i/>
          <w:color w:val="FF0000"/>
          <w:sz w:val="22"/>
          <w:szCs w:val="22"/>
        </w:rPr>
      </w:pPr>
      <w:r w:rsidRPr="00420169">
        <w:rPr>
          <w:b/>
          <w:i/>
          <w:color w:val="FF0000"/>
          <w:sz w:val="22"/>
          <w:szCs w:val="22"/>
        </w:rPr>
        <w:t xml:space="preserve">Diese Richtlinie wird </w:t>
      </w:r>
      <w:r w:rsidR="00420169">
        <w:rPr>
          <w:b/>
          <w:i/>
          <w:color w:val="FF0000"/>
          <w:sz w:val="22"/>
          <w:szCs w:val="22"/>
        </w:rPr>
        <w:t>gemäß Richtlinie 2010/35/EU</w:t>
      </w:r>
      <w:r w:rsidR="00420169" w:rsidRPr="00420169">
        <w:rPr>
          <w:b/>
          <w:i/>
          <w:color w:val="FF0000"/>
          <w:sz w:val="22"/>
          <w:szCs w:val="22"/>
        </w:rPr>
        <w:t xml:space="preserve"> </w:t>
      </w:r>
      <w:r w:rsidRPr="00420169">
        <w:rPr>
          <w:b/>
          <w:i/>
          <w:color w:val="FF0000"/>
          <w:sz w:val="22"/>
          <w:szCs w:val="22"/>
        </w:rPr>
        <w:t>mit Wirkung zum 01.07.2011 aufgehoben</w:t>
      </w:r>
      <w:r w:rsidR="00420169">
        <w:rPr>
          <w:b/>
          <w:i/>
          <w:color w:val="FF0000"/>
          <w:sz w:val="22"/>
          <w:szCs w:val="22"/>
        </w:rPr>
        <w:t>.</w:t>
      </w:r>
    </w:p>
    <w:p w:rsidR="00C1421C" w:rsidRPr="00C1421C" w:rsidRDefault="00C1421C" w:rsidP="00C1421C">
      <w:pPr>
        <w:pStyle w:val="GesAbsatz"/>
      </w:pPr>
    </w:p>
    <w:p w:rsidR="009A0239" w:rsidRDefault="007B7036" w:rsidP="007B7036">
      <w:pPr>
        <w:pStyle w:val="GesAbsatz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Inhalt:</w:t>
      </w:r>
    </w:p>
    <w:p w:rsidR="009A0239" w:rsidRDefault="009A0239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rFonts w:cs="Arial"/>
          <w:b w:val="0"/>
          <w:sz w:val="22"/>
          <w:szCs w:val="22"/>
        </w:rPr>
        <w:fldChar w:fldCharType="begin"/>
      </w:r>
      <w:r>
        <w:rPr>
          <w:rFonts w:cs="Arial"/>
          <w:b w:val="0"/>
          <w:sz w:val="22"/>
          <w:szCs w:val="22"/>
        </w:rPr>
        <w:instrText xml:space="preserve"> TOC \o "1-3" \h \z \u </w:instrText>
      </w:r>
      <w:r>
        <w:rPr>
          <w:rFonts w:cs="Arial"/>
          <w:b w:val="0"/>
          <w:sz w:val="22"/>
          <w:szCs w:val="22"/>
        </w:rPr>
        <w:fldChar w:fldCharType="separate"/>
      </w:r>
      <w:hyperlink w:anchor="_Toc400367410" w:history="1">
        <w:r w:rsidRPr="00E73627">
          <w:rPr>
            <w:rStyle w:val="Hyperlink"/>
            <w:noProof/>
          </w:rPr>
          <w:t>RICHTLINIE 76/767/EWG DES RATES vom 27. Juli 1976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_Toc400367410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11" w:history="1">
        <w:r w:rsidR="009A0239" w:rsidRPr="00E73627">
          <w:rPr>
            <w:rStyle w:val="Hyperlink"/>
            <w:noProof/>
          </w:rPr>
          <w:t>KAPITEL I Begriffsbestimmungen und Grundprinzipien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_Toc400367411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2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12" w:history="1">
        <w:r w:rsidR="009A0239" w:rsidRPr="00E73627">
          <w:rPr>
            <w:rStyle w:val="Hyperlink"/>
            <w:noProof/>
          </w:rPr>
          <w:t>Artikel 1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_Toc400367412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2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13" w:history="1">
        <w:r w:rsidR="009A0239" w:rsidRPr="00E73627">
          <w:rPr>
            <w:rStyle w:val="Hyperlink"/>
            <w:noProof/>
          </w:rPr>
          <w:t>Artikel 2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_Toc400367413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3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14" w:history="1">
        <w:r w:rsidR="009A0239" w:rsidRPr="00E73627">
          <w:rPr>
            <w:rStyle w:val="Hyperlink"/>
            <w:noProof/>
          </w:rPr>
          <w:t>Artikel 3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_Toc400367414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3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15" w:history="1">
        <w:r w:rsidR="009A0239" w:rsidRPr="00E73627">
          <w:rPr>
            <w:rStyle w:val="Hyperlink"/>
            <w:noProof/>
          </w:rPr>
          <w:t>Artikel 4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_Toc400367415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3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16" w:history="1">
        <w:r w:rsidR="009A0239" w:rsidRPr="00E73627">
          <w:rPr>
            <w:rStyle w:val="Hyperlink"/>
            <w:noProof/>
          </w:rPr>
          <w:t>Artikel 5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_Toc400367416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3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17" w:history="1">
        <w:r w:rsidR="009A0239" w:rsidRPr="00E73627">
          <w:rPr>
            <w:rStyle w:val="Hyperlink"/>
            <w:noProof/>
          </w:rPr>
          <w:t>KAPITEL II EWG-Bauartzulassung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_Toc400367417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3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18" w:history="1">
        <w:r w:rsidR="009A0239" w:rsidRPr="00E73627">
          <w:rPr>
            <w:rStyle w:val="Hyperlink"/>
            <w:noProof/>
          </w:rPr>
          <w:t>Artikel 6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_Toc400367418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3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19" w:history="1">
        <w:r w:rsidR="009A0239" w:rsidRPr="00E73627">
          <w:rPr>
            <w:rStyle w:val="Hyperlink"/>
            <w:noProof/>
          </w:rPr>
          <w:t>Artikel 7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_Toc400367419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4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20" w:history="1">
        <w:r w:rsidR="009A0239" w:rsidRPr="00E73627">
          <w:rPr>
            <w:rStyle w:val="Hyperlink"/>
            <w:noProof/>
          </w:rPr>
          <w:t>Artikel 8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_Toc400367420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4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21" w:history="1">
        <w:r w:rsidR="009A0239" w:rsidRPr="00E73627">
          <w:rPr>
            <w:rStyle w:val="Hyperlink"/>
            <w:noProof/>
          </w:rPr>
          <w:t>Artikel 9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_Toc400367421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4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22" w:history="1">
        <w:r w:rsidR="009A0239" w:rsidRPr="00E73627">
          <w:rPr>
            <w:rStyle w:val="Hyperlink"/>
            <w:noProof/>
          </w:rPr>
          <w:t>KAPITEL III EWG-Prüfung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_Toc400367422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4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23" w:history="1">
        <w:r w:rsidR="009A0239" w:rsidRPr="00E73627">
          <w:rPr>
            <w:rStyle w:val="Hyperlink"/>
            <w:noProof/>
          </w:rPr>
          <w:t>Artikel 10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_Toc400367423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4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24" w:history="1">
        <w:r w:rsidR="009A0239" w:rsidRPr="00E73627">
          <w:rPr>
            <w:rStyle w:val="Hyperlink"/>
            <w:noProof/>
          </w:rPr>
          <w:t>Artikel 11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_Toc400367424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4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25" w:history="1">
        <w:r w:rsidR="009A0239" w:rsidRPr="00E73627">
          <w:rPr>
            <w:rStyle w:val="Hyperlink"/>
            <w:noProof/>
          </w:rPr>
          <w:t>Artikel 12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_Toc400367425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5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26" w:history="1">
        <w:r w:rsidR="009A0239" w:rsidRPr="00E73627">
          <w:rPr>
            <w:rStyle w:val="Hyperlink"/>
            <w:noProof/>
          </w:rPr>
          <w:t>Artikel 13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_Toc400367426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5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27" w:history="1">
        <w:r w:rsidR="009A0239" w:rsidRPr="00E73627">
          <w:rPr>
            <w:rStyle w:val="Hyperlink"/>
            <w:noProof/>
          </w:rPr>
          <w:t>Artikel 14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_Toc400367427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5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28" w:history="1">
        <w:r w:rsidR="009A0239" w:rsidRPr="00E73627">
          <w:rPr>
            <w:rStyle w:val="Hyperlink"/>
            <w:noProof/>
          </w:rPr>
          <w:t>Artikel 15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_Toc400367428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5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29" w:history="1">
        <w:r w:rsidR="009A0239" w:rsidRPr="00E73627">
          <w:rPr>
            <w:rStyle w:val="Hyperlink"/>
            <w:noProof/>
          </w:rPr>
          <w:t xml:space="preserve">KAPITEL IV Gemeinsame Vorschriften für die EWG-Bauartzulassung und die </w:t>
        </w:r>
        <w:r w:rsidR="009A0239" w:rsidRPr="00E73627">
          <w:rPr>
            <w:rStyle w:val="Hyperlink"/>
            <w:rFonts w:cs="Arial"/>
            <w:bCs/>
            <w:noProof/>
          </w:rPr>
          <w:t>EWG-Prüfung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_Toc400367429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5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30" w:history="1">
        <w:r w:rsidR="009A0239" w:rsidRPr="00E73627">
          <w:rPr>
            <w:rStyle w:val="Hyperlink"/>
            <w:noProof/>
          </w:rPr>
          <w:t>Artikel 16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_Toc400367430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5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31" w:history="1">
        <w:r w:rsidR="009A0239" w:rsidRPr="00E73627">
          <w:rPr>
            <w:rStyle w:val="Hyperlink"/>
            <w:noProof/>
          </w:rPr>
          <w:t>KAPITEL V Abweichklausel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_Toc400367431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6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32" w:history="1">
        <w:r w:rsidR="009A0239" w:rsidRPr="00E73627">
          <w:rPr>
            <w:rStyle w:val="Hyperlink"/>
            <w:noProof/>
          </w:rPr>
          <w:t>Artikel 17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_Toc400367432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6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33" w:history="1">
        <w:r w:rsidR="009A0239" w:rsidRPr="00E73627">
          <w:rPr>
            <w:rStyle w:val="Hyperlink"/>
            <w:noProof/>
          </w:rPr>
          <w:t>KAPITEL VI Anpassung der Richtlinien an den technischen Fortschritt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_Toc400367433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6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34" w:history="1">
        <w:r w:rsidR="009A0239" w:rsidRPr="00E73627">
          <w:rPr>
            <w:rStyle w:val="Hyperlink"/>
            <w:noProof/>
          </w:rPr>
          <w:t>Artikel 18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_Toc400367434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6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35" w:history="1">
        <w:r w:rsidR="009A0239" w:rsidRPr="00E73627">
          <w:rPr>
            <w:rStyle w:val="Hyperlink"/>
            <w:noProof/>
          </w:rPr>
          <w:t>Artikel 19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_Toc400367435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6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36" w:history="1">
        <w:r w:rsidR="009A0239" w:rsidRPr="00E73627">
          <w:rPr>
            <w:rStyle w:val="Hyperlink"/>
            <w:noProof/>
          </w:rPr>
          <w:t>Artikel 20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_Toc400367436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6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37" w:history="1">
        <w:r w:rsidR="009A0239" w:rsidRPr="00E73627">
          <w:rPr>
            <w:rStyle w:val="Hyperlink"/>
            <w:noProof/>
          </w:rPr>
          <w:t>KAPITEL VII Schutzklausel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_Toc400367437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7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38" w:history="1">
        <w:r w:rsidR="009A0239" w:rsidRPr="00E73627">
          <w:rPr>
            <w:rStyle w:val="Hyperlink"/>
            <w:noProof/>
          </w:rPr>
          <w:t>Artikel 21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_Toc400367438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7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39" w:history="1">
        <w:r w:rsidR="009A0239" w:rsidRPr="00E73627">
          <w:rPr>
            <w:rStyle w:val="Hyperlink"/>
            <w:noProof/>
          </w:rPr>
          <w:t>KAPITEL VIII Besondere Bestimmungen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_Toc400367439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7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40" w:history="1">
        <w:r w:rsidR="009A0239" w:rsidRPr="00E73627">
          <w:rPr>
            <w:rStyle w:val="Hyperlink"/>
            <w:noProof/>
          </w:rPr>
          <w:t>Artikel 22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_Toc400367440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7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41" w:history="1">
        <w:r w:rsidR="009A0239" w:rsidRPr="00E73627">
          <w:rPr>
            <w:rStyle w:val="Hyperlink"/>
            <w:noProof/>
          </w:rPr>
          <w:t>KAPITEL IX Schlußbestimmungen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_Toc400367441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7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42" w:history="1">
        <w:r w:rsidR="009A0239" w:rsidRPr="00E73627">
          <w:rPr>
            <w:rStyle w:val="Hyperlink"/>
            <w:noProof/>
          </w:rPr>
          <w:t>Artikel 23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_Toc400367442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7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43" w:history="1">
        <w:r w:rsidR="009A0239" w:rsidRPr="00E73627">
          <w:rPr>
            <w:rStyle w:val="Hyperlink"/>
            <w:noProof/>
          </w:rPr>
          <w:t>Artikel 24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_Toc400367443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8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0367444" w:history="1">
        <w:r w:rsidR="009A0239" w:rsidRPr="00E73627">
          <w:rPr>
            <w:rStyle w:val="Hyperlink"/>
            <w:noProof/>
          </w:rPr>
          <w:t>Artikel 25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_Toc400367444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8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45" w:history="1">
        <w:r w:rsidR="009A0239" w:rsidRPr="00E73627">
          <w:rPr>
            <w:rStyle w:val="Hyperlink"/>
            <w:noProof/>
          </w:rPr>
          <w:t xml:space="preserve">ANHANG II 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_Toc400367445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11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46" w:history="1">
        <w:r w:rsidR="009A0239" w:rsidRPr="00E73627">
          <w:rPr>
            <w:rStyle w:val="Hyperlink"/>
            <w:noProof/>
          </w:rPr>
          <w:t>Anlage zu Anhang I und II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_Toc400367446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13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47" w:history="1">
        <w:r w:rsidR="009A0239" w:rsidRPr="00E73627">
          <w:rPr>
            <w:rStyle w:val="Hyperlink"/>
            <w:noProof/>
          </w:rPr>
          <w:t>ANHANG III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_Toc400367447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13</w:t>
        </w:r>
        <w:r w:rsidR="009A0239">
          <w:rPr>
            <w:noProof/>
            <w:webHidden/>
          </w:rPr>
          <w:fldChar w:fldCharType="end"/>
        </w:r>
      </w:hyperlink>
    </w:p>
    <w:p w:rsidR="009A0239" w:rsidRDefault="00C1421C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0367448" w:history="1">
        <w:r w:rsidR="009A0239" w:rsidRPr="00E73627">
          <w:rPr>
            <w:rStyle w:val="Hyperlink"/>
            <w:noProof/>
          </w:rPr>
          <w:t>ANHANG IV</w:t>
        </w:r>
        <w:r w:rsidR="009A0239">
          <w:rPr>
            <w:noProof/>
            <w:webHidden/>
          </w:rPr>
          <w:tab/>
        </w:r>
        <w:r w:rsidR="009A0239">
          <w:rPr>
            <w:noProof/>
            <w:webHidden/>
          </w:rPr>
          <w:fldChar w:fldCharType="begin"/>
        </w:r>
        <w:r w:rsidR="009A0239">
          <w:rPr>
            <w:noProof/>
            <w:webHidden/>
          </w:rPr>
          <w:instrText xml:space="preserve"> PAGEREF _Toc400367448 \h </w:instrText>
        </w:r>
        <w:r w:rsidR="009A0239">
          <w:rPr>
            <w:noProof/>
            <w:webHidden/>
          </w:rPr>
        </w:r>
        <w:r w:rsidR="009A0239">
          <w:rPr>
            <w:noProof/>
            <w:webHidden/>
          </w:rPr>
          <w:fldChar w:fldCharType="separate"/>
        </w:r>
        <w:r w:rsidR="009A0239">
          <w:rPr>
            <w:noProof/>
            <w:webHidden/>
          </w:rPr>
          <w:t>14</w:t>
        </w:r>
        <w:r w:rsidR="009A0239">
          <w:rPr>
            <w:noProof/>
            <w:webHidden/>
          </w:rPr>
          <w:fldChar w:fldCharType="end"/>
        </w:r>
      </w:hyperlink>
    </w:p>
    <w:p w:rsidR="007B7036" w:rsidRPr="009A0239" w:rsidRDefault="009A0239" w:rsidP="009A0239">
      <w:pPr>
        <w:pStyle w:val="GesAbsatz"/>
      </w:pPr>
      <w:r>
        <w:fldChar w:fldCharType="end"/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DER RAT DER EUROPÄISCHEN GEMEINSCHAFTEN —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gestützt auf den Vertrag zur Gründung der Europäischen Wirtschaftsgemeinschaft,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insbesondere auf Art</w:t>
      </w:r>
      <w:r w:rsidRPr="006A06D5">
        <w:rPr>
          <w:rFonts w:cs="Arial"/>
        </w:rPr>
        <w:t>i</w:t>
      </w:r>
      <w:r w:rsidRPr="006A06D5">
        <w:rPr>
          <w:rFonts w:cs="Arial"/>
        </w:rPr>
        <w:t>kel</w:t>
      </w:r>
      <w:r w:rsidR="00FA35ED">
        <w:rPr>
          <w:rFonts w:cs="Arial"/>
        </w:rPr>
        <w:t> </w:t>
      </w:r>
      <w:r w:rsidRPr="006A06D5">
        <w:rPr>
          <w:rFonts w:cs="Arial"/>
        </w:rPr>
        <w:t>100,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auf Vorschlag der Kommission,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lastRenderedPageBreak/>
        <w:t>nach Stellungnahme des Europäischen Parlaments</w:t>
      </w:r>
      <w:r w:rsidR="00FA35ED">
        <w:rPr>
          <w:rStyle w:val="Funotenzeichen"/>
          <w:rFonts w:cs="Arial"/>
        </w:rPr>
        <w:footnoteReference w:id="1"/>
      </w:r>
      <w:r w:rsidRPr="006A06D5">
        <w:rPr>
          <w:rFonts w:cs="Arial"/>
        </w:rPr>
        <w:t>,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nach Stellungnahme des Wirtschafts- und Sozialausschusses</w:t>
      </w:r>
      <w:r w:rsidR="00FA35ED">
        <w:rPr>
          <w:rStyle w:val="Funotenzeichen"/>
          <w:rFonts w:cs="Arial"/>
        </w:rPr>
        <w:footnoteReference w:id="2"/>
      </w:r>
      <w:r w:rsidRPr="006A06D5">
        <w:rPr>
          <w:rFonts w:cs="Arial"/>
        </w:rPr>
        <w:t>,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in Erwägung nachstehender Gründe: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In jedem Mitgliedstaat sind die technischen Merkmale für den Bau, die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Prüfung und/oder den Betrieb von Druckbehältern durch zwingende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Vorschriften festgelegt. Diese Vorschriften sind von Mitgliedstaat zu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Mi</w:t>
      </w:r>
      <w:r w:rsidRPr="006A06D5">
        <w:rPr>
          <w:rFonts w:cs="Arial"/>
        </w:rPr>
        <w:t>t</w:t>
      </w:r>
      <w:r w:rsidRPr="006A06D5">
        <w:rPr>
          <w:rFonts w:cs="Arial"/>
        </w:rPr>
        <w:t>gliedstaat verschieden. Durch ihre Unterschiedlichkeit behindern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sie den Warenverkehr und können ungle</w:t>
      </w:r>
      <w:r w:rsidRPr="006A06D5">
        <w:rPr>
          <w:rFonts w:cs="Arial"/>
        </w:rPr>
        <w:t>i</w:t>
      </w:r>
      <w:r w:rsidRPr="006A06D5">
        <w:rPr>
          <w:rFonts w:cs="Arial"/>
        </w:rPr>
        <w:t>che Wettbewerbsbedingungen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innerhalb der Gemeinschaft schaffen.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Diese Hindernisse für die Errichtung und das Funktionieren des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Gemeinsamen Marktes können verringert und sogar beseitigt werden,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wenn in allen Mitgliedstaaten gleiche Vorschriften entweder in Ergänzung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oder an Stelle ihrer derzeitigen Rechtsvorschriften gelten.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Um die Benutzer und dritte Personen wirksam zu schützen, ist eine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Überwachung der Einhaltung dieser technischen Vorschriften erforderlich.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Die Prüfverfahren sind von Mitgliedstaat zu Mitgliedstaat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verschieden. Um den freien Verkehr dieser Druckbehälter innerhalb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des Gemeinsamen Marktes zu verwirklichen und mehrfache Prüfungen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zu vermeiden, die ebensolche Hindernisse für den freien Warenverkehr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darstellen, sollte eine gegenseitige Anerkennung der Prüfungen durch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die Mitgliedstaaten vorgesehen werden.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Zur Erleichterung dieser gegenseitigen Anerkennung der Prüfungen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sollten insbesondere geeignete Verfa</w:t>
      </w:r>
      <w:r w:rsidRPr="006A06D5">
        <w:rPr>
          <w:rFonts w:cs="Arial"/>
        </w:rPr>
        <w:t>h</w:t>
      </w:r>
      <w:r w:rsidRPr="006A06D5">
        <w:rPr>
          <w:rFonts w:cs="Arial"/>
        </w:rPr>
        <w:t>ren für die EWG-Bauartzulassung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und die EWG-Prüfung eingeführt und die Kriterien harmonisiert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werden, die bei der Benennung der Prüfstellen zu berücksichtigen sind.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Ist ein Druckbehälter mit den EWG-Zeichen versehen, die den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Prüfungen entsprechen, denen er unterwo</w:t>
      </w:r>
      <w:r w:rsidRPr="006A06D5">
        <w:rPr>
          <w:rFonts w:cs="Arial"/>
        </w:rPr>
        <w:t>r</w:t>
      </w:r>
      <w:r w:rsidRPr="006A06D5">
        <w:rPr>
          <w:rFonts w:cs="Arial"/>
        </w:rPr>
        <w:t>fen worden ist, so geht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daraus eine Übereinstimmung mit den einschlägigen technischen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Vorschriften he</w:t>
      </w:r>
      <w:r w:rsidRPr="006A06D5">
        <w:rPr>
          <w:rFonts w:cs="Arial"/>
        </w:rPr>
        <w:t>r</w:t>
      </w:r>
      <w:r w:rsidRPr="006A06D5">
        <w:rPr>
          <w:rFonts w:cs="Arial"/>
        </w:rPr>
        <w:t>vor, so daß sich eine Wiederholung der bereits durchgeführten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Prüfungen bei der Einfuhr und bei der Inb</w:t>
      </w:r>
      <w:r w:rsidRPr="006A06D5">
        <w:rPr>
          <w:rFonts w:cs="Arial"/>
        </w:rPr>
        <w:t>e</w:t>
      </w:r>
      <w:r w:rsidRPr="006A06D5">
        <w:rPr>
          <w:rFonts w:cs="Arial"/>
        </w:rPr>
        <w:t>triebnahme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erübrigt.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Die einzelstaatlichen Regelungen für Druckbehälter betreffen zahlreiche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Arten von Druckbehältern für sehr verschiedenartige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Verwendungszwecke, Fassungsräume und Drücke. Es empfiehlt sich,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in dieser Richtlinie die allgemeinen Bestimmungen festzulegen, die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sich insbesondere auf die EWG-Bauartzulassung und die EWG-Prüfung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beziehen. In Einzelrichtlinien werden für die verschiedenen Druckbehälterarten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Vorschriften über die technische Ausführung und die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Prüfmodalitäten sowie gegebenenfalls die Bedingungen festgelegt,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unter denen die bisherigen einzelstaatlichen Vorschriften durch die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gemeinschaftlichen technischen Vo</w:t>
      </w:r>
      <w:r w:rsidRPr="006A06D5">
        <w:rPr>
          <w:rFonts w:cs="Arial"/>
        </w:rPr>
        <w:t>r</w:t>
      </w:r>
      <w:r w:rsidRPr="006A06D5">
        <w:rPr>
          <w:rFonts w:cs="Arial"/>
        </w:rPr>
        <w:t>schriften ersetzt werden.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Die in den Richtlinien über Druckbehälter enthaltenen technischen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Vorschriften erfordern eine rasche A</w:t>
      </w:r>
      <w:r w:rsidRPr="006A06D5">
        <w:rPr>
          <w:rFonts w:cs="Arial"/>
        </w:rPr>
        <w:t>n</w:t>
      </w:r>
      <w:r w:rsidRPr="006A06D5">
        <w:rPr>
          <w:rFonts w:cs="Arial"/>
        </w:rPr>
        <w:t>passung an den technischen Fortschritt.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Um die Durchführung der hierfür erforderlichen Maßnahmen zu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erleichtern, ist es zweckmäßig, ein Verfahren vorzusehen, das eine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enge Zusammenarbeit zwischen den Mitgliedstaaten und der Kommission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im Rahmen des Ausschusses vorsieht, der für die Anpassung der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Richtlinien über die Beseitigung der technischen Handelshemmnisse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auf dem Gebiet der Druckbehälter an den technischen Fortschritt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zuständig ist.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Da der Fall eintreten kann, daß Druckbehälter auf den Markt gebracht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werden, die zwar die Vorschriften der sie betreffenden Einzelrichtlinie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erfüllen, aber trotzdem die Sicherheit gefährden, ist ein Verfahren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vorzus</w:t>
      </w:r>
      <w:r w:rsidRPr="006A06D5">
        <w:rPr>
          <w:rFonts w:cs="Arial"/>
        </w:rPr>
        <w:t>e</w:t>
      </w:r>
      <w:r w:rsidRPr="006A06D5">
        <w:rPr>
          <w:rFonts w:cs="Arial"/>
        </w:rPr>
        <w:t>hen, durch das diese Gefahr umgangen wird —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HAT FOLGENDE RICHTLINIE ERLASSEN:</w:t>
      </w:r>
    </w:p>
    <w:p w:rsidR="001641BC" w:rsidRPr="006A06D5" w:rsidRDefault="001641BC" w:rsidP="00FA35ED">
      <w:pPr>
        <w:pStyle w:val="berschrift2"/>
      </w:pPr>
      <w:bookmarkStart w:id="2" w:name="_Toc400367411"/>
      <w:r w:rsidRPr="006A06D5">
        <w:t>KAPITEL I</w:t>
      </w:r>
      <w:r w:rsidR="00FA35ED">
        <w:br/>
      </w:r>
      <w:r w:rsidRPr="006A06D5">
        <w:t>Begriffsbestimmungen und Grundprinzipien</w:t>
      </w:r>
      <w:bookmarkEnd w:id="2"/>
    </w:p>
    <w:p w:rsidR="001641BC" w:rsidRPr="006A06D5" w:rsidRDefault="001641BC" w:rsidP="00FA35ED">
      <w:pPr>
        <w:pStyle w:val="berschrift3"/>
      </w:pPr>
      <w:bookmarkStart w:id="3" w:name="_Toc400367412"/>
      <w:r w:rsidRPr="006A06D5">
        <w:t>Artikel 1</w:t>
      </w:r>
      <w:bookmarkEnd w:id="3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Als Druckbehälter im Sinne dieser Richtlinie gilt jeder ortsfeste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oder -bewegliche Apparat und Behälter, in dem ein Gas-, Dampf- oder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Flüssigkeitsüberdruck von mehr als 0,5 bar bestehen oder sich entwi</w:t>
      </w:r>
      <w:r w:rsidR="00FA35ED">
        <w:rPr>
          <w:rFonts w:cs="Arial"/>
        </w:rPr>
        <w:t>c</w:t>
      </w:r>
      <w:r w:rsidRPr="006A06D5">
        <w:rPr>
          <w:rFonts w:cs="Arial"/>
        </w:rPr>
        <w:t>keln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kann.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Es fallen nicht unter diese Richtlinie:</w:t>
      </w:r>
    </w:p>
    <w:p w:rsidR="001641BC" w:rsidRPr="006A06D5" w:rsidRDefault="00FA35ED" w:rsidP="00FA35ED">
      <w:pPr>
        <w:pStyle w:val="GesAbsatz"/>
        <w:ind w:left="426" w:hanging="426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641BC" w:rsidRPr="006A06D5">
        <w:rPr>
          <w:rFonts w:cs="Arial"/>
        </w:rPr>
        <w:t>Apparate und Behälter, die speziell für eine Verwendung in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Kerntechnik vorgesehen sind und bei denen Schäden die Freisetzung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radioaktiver Stoffe zur Folge haben können;</w:t>
      </w:r>
    </w:p>
    <w:p w:rsidR="001641BC" w:rsidRPr="006A06D5" w:rsidRDefault="00FA35ED" w:rsidP="00FA35ED">
      <w:pPr>
        <w:pStyle w:val="GesAbsatz"/>
        <w:ind w:left="426" w:hanging="426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641BC" w:rsidRPr="006A06D5">
        <w:rPr>
          <w:rFonts w:cs="Arial"/>
        </w:rPr>
        <w:t>Apparate und Behälter, die speziell zur Ausstattung oder für den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Antrieb von Wasserfahrzeugen oder Luftfahrzeugen bestimmt sind;</w:t>
      </w:r>
    </w:p>
    <w:p w:rsidR="001641BC" w:rsidRPr="006A06D5" w:rsidRDefault="00FA35ED" w:rsidP="006A06D5">
      <w:pPr>
        <w:pStyle w:val="GesAbsatz"/>
        <w:rPr>
          <w:rFonts w:cs="Arial"/>
        </w:rPr>
      </w:pPr>
      <w:r>
        <w:rPr>
          <w:rFonts w:cs="Arial"/>
        </w:rPr>
        <w:lastRenderedPageBreak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Rohrleitungen für den Transport oder die Verteilung.</w:t>
      </w:r>
    </w:p>
    <w:p w:rsidR="001641BC" w:rsidRPr="006A06D5" w:rsidRDefault="001641BC" w:rsidP="00FA35ED">
      <w:pPr>
        <w:pStyle w:val="berschrift3"/>
      </w:pPr>
      <w:bookmarkStart w:id="4" w:name="_Toc400367413"/>
      <w:r w:rsidRPr="006A06D5">
        <w:t>Artikel 2</w:t>
      </w:r>
      <w:bookmarkEnd w:id="4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 xml:space="preserve">(1) In Einzelrichtlinien werden für die davon jeweils </w:t>
      </w:r>
      <w:r w:rsidR="00FA35ED">
        <w:rPr>
          <w:rFonts w:cs="Arial"/>
        </w:rPr>
        <w:t xml:space="preserve">erfassten </w:t>
      </w:r>
      <w:r w:rsidRPr="006A06D5">
        <w:rPr>
          <w:rFonts w:cs="Arial"/>
        </w:rPr>
        <w:t>Druckbehälterarten und gegebenenfalls für die damit verbundene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Ausrüstung die Vorschriften für die Konstruktion und den Bau sowie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die Einzelheiten in bezug auf die Überwachung, die Prüfung und gegebenenfalls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die Betriebsweise festgelegt.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In den Einzelrichtlinien wird für jede Druckbehälterart vorgeschrieben,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ob sie der EWG-Bauartzulassung und der EWG-Prüfung oder nur einer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von beiden oder keiner von beiden unterliegt.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Sie können folgendes vorsehen:</w:t>
      </w:r>
    </w:p>
    <w:p w:rsidR="001641BC" w:rsidRPr="006A06D5" w:rsidRDefault="00FA35ED" w:rsidP="00FA35ED">
      <w:pPr>
        <w:pStyle w:val="GesAbsatz"/>
        <w:ind w:left="426" w:hanging="426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641BC" w:rsidRPr="006A06D5">
        <w:rPr>
          <w:rFonts w:cs="Arial"/>
        </w:rPr>
        <w:t>die Auflagen oder die zeitlichen Begrenzungen, die gegebenenfalls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mit der EWG-Bauartzulassung zu verbinden sind, sowie die in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diesen Fällen gegebenenfalls auf den Druckbehältern anzubringende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Kennzeichnung,</w:t>
      </w:r>
    </w:p>
    <w:p w:rsidR="001641BC" w:rsidRPr="006A06D5" w:rsidRDefault="00FA35ED" w:rsidP="006A06D5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641BC" w:rsidRPr="006A06D5">
        <w:rPr>
          <w:rFonts w:cs="Arial"/>
        </w:rPr>
        <w:t>die Kennzeichnung für jeden Druckbehälter,</w:t>
      </w:r>
    </w:p>
    <w:p w:rsidR="001641BC" w:rsidRPr="006A06D5" w:rsidRDefault="00FA35ED" w:rsidP="00FA35ED">
      <w:pPr>
        <w:pStyle w:val="GesAbsatz"/>
        <w:ind w:left="426" w:hanging="426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641BC" w:rsidRPr="006A06D5">
        <w:rPr>
          <w:rFonts w:cs="Arial"/>
        </w:rPr>
        <w:t>die Bedingungen, unter denen Druckbehälter zu einer Baugruppe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zusammengefaßt werden können, damit sie dieselbe EWG-Bauartzulassung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erhalten können.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Als EWG-Druckbehälter im Sinne dieser Richtlinie gilt jeder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Druckbehälter, der entsprechend den Vo</w:t>
      </w:r>
      <w:r w:rsidRPr="006A06D5">
        <w:rPr>
          <w:rFonts w:cs="Arial"/>
        </w:rPr>
        <w:t>r</w:t>
      </w:r>
      <w:r w:rsidRPr="006A06D5">
        <w:rPr>
          <w:rFonts w:cs="Arial"/>
        </w:rPr>
        <w:t>schriften der Einzelrichtlinie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für die betreffende Druckbehälterart konstruiert und hergestellt ist.</w:t>
      </w:r>
    </w:p>
    <w:p w:rsidR="001641BC" w:rsidRPr="006A06D5" w:rsidRDefault="001641BC" w:rsidP="00FA35ED">
      <w:pPr>
        <w:pStyle w:val="berschrift3"/>
      </w:pPr>
      <w:bookmarkStart w:id="5" w:name="_Toc400367414"/>
      <w:r w:rsidRPr="006A06D5">
        <w:t>Artikel 3</w:t>
      </w:r>
      <w:bookmarkEnd w:id="5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Die Mitgliedstaaten dürfen das Inverkehrbringen und die Inbetriebnahme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eines EWG-Druckbehälters, der den Vorschriften dieser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Richtlinie und der ihn betreffenden Einzelrichtlinie entspricht, nicht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aus Gründen des Baus und dessen Prüfung im Sinne dieser Richtlinie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und der ihn betreffenden Einzelrichtlinie verweigern, verbieten oder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beschränken.</w:t>
      </w:r>
    </w:p>
    <w:p w:rsidR="001641BC" w:rsidRPr="006A06D5" w:rsidRDefault="001641BC" w:rsidP="00FA35ED">
      <w:pPr>
        <w:pStyle w:val="berschrift3"/>
      </w:pPr>
      <w:bookmarkStart w:id="6" w:name="_Toc400367415"/>
      <w:r w:rsidRPr="006A06D5">
        <w:t>Artikel 4</w:t>
      </w:r>
      <w:bookmarkEnd w:id="6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Die Mitgliedstaaten messen der EWG-Bauartzulassung und der EWG</w:t>
      </w:r>
      <w:r w:rsidR="00FA35ED">
        <w:rPr>
          <w:rFonts w:cs="Arial"/>
        </w:rPr>
        <w:t>-</w:t>
      </w:r>
      <w:r w:rsidRPr="006A06D5">
        <w:rPr>
          <w:rFonts w:cs="Arial"/>
        </w:rPr>
        <w:t>Prüfung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den gleichen Wert bei wie den gegebenenfalls bestehenden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einzelstaatlichen Maßnahmen von gleicher Tragweite.</w:t>
      </w:r>
    </w:p>
    <w:p w:rsidR="001641BC" w:rsidRPr="006A06D5" w:rsidRDefault="001641BC" w:rsidP="00FA35ED">
      <w:pPr>
        <w:pStyle w:val="berschrift3"/>
      </w:pPr>
      <w:bookmarkStart w:id="7" w:name="_Toc400367416"/>
      <w:r w:rsidRPr="006A06D5">
        <w:t>Artikel 5</w:t>
      </w:r>
      <w:bookmarkEnd w:id="7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Die Aufgaben der Behörde, die die EWG-Bauartzulassung für einen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Druckbehälter erteilt, bzw. der Stelle, die die EWG-Prüfung eines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Druckbehälters vornimmt, beschränken sich auf die Durchführung der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Prüfungen nach den Vorschriften der Einzelrichtlinien für den betreffenden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Druckbehälter und auf die ihr im Rahmen dieser Richtlinie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zugewiesenen Aufgaben.</w:t>
      </w:r>
    </w:p>
    <w:p w:rsidR="001641BC" w:rsidRPr="006A06D5" w:rsidRDefault="001641BC" w:rsidP="00FA35ED">
      <w:pPr>
        <w:pStyle w:val="berschrift2"/>
      </w:pPr>
      <w:bookmarkStart w:id="8" w:name="_Toc400367417"/>
      <w:r w:rsidRPr="006A06D5">
        <w:t>KAPITEL II</w:t>
      </w:r>
      <w:r w:rsidR="00FA35ED">
        <w:br/>
      </w:r>
      <w:r w:rsidRPr="006A06D5">
        <w:t>EWG-Bauartzulassung</w:t>
      </w:r>
      <w:bookmarkEnd w:id="8"/>
    </w:p>
    <w:p w:rsidR="001641BC" w:rsidRPr="006A06D5" w:rsidRDefault="001641BC" w:rsidP="00FA35ED">
      <w:pPr>
        <w:pStyle w:val="berschrift3"/>
      </w:pPr>
      <w:bookmarkStart w:id="9" w:name="_Toc400367418"/>
      <w:r w:rsidRPr="006A06D5">
        <w:t>Artikel 6</w:t>
      </w:r>
      <w:bookmarkEnd w:id="9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Ist die EWG-Bauartzulassung in einer Einzelrichtlinie vorgeschrieben,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so bildet sie eine Voraussetzung für</w:t>
      </w:r>
    </w:p>
    <w:p w:rsidR="001641BC" w:rsidRPr="006A06D5" w:rsidRDefault="00FA35ED" w:rsidP="006A06D5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641BC" w:rsidRPr="006A06D5">
        <w:rPr>
          <w:rFonts w:cs="Arial"/>
        </w:rPr>
        <w:t>die EWG-Prüfung, wenn eine solche vorgeschrieben ist,</w:t>
      </w:r>
    </w:p>
    <w:p w:rsidR="001641BC" w:rsidRPr="006A06D5" w:rsidRDefault="00FA35ED" w:rsidP="006A06D5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641BC" w:rsidRPr="006A06D5">
        <w:rPr>
          <w:rFonts w:cs="Arial"/>
        </w:rPr>
        <w:t>das Inverkehrbringen und die Inbetriebnahme, wenn die EWG</w:t>
      </w:r>
      <w:r>
        <w:rPr>
          <w:rFonts w:cs="Arial"/>
        </w:rPr>
        <w:t>-</w:t>
      </w:r>
      <w:r w:rsidR="001641BC" w:rsidRPr="006A06D5">
        <w:rPr>
          <w:rFonts w:cs="Arial"/>
        </w:rPr>
        <w:t>Prüfung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nicht vorgeschrieben ist.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Die Mitgliedstaaten erteilen auf Antrag des Herstellers oder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seines in der Gemeinschaft ansässigen B</w:t>
      </w:r>
      <w:r w:rsidRPr="006A06D5">
        <w:rPr>
          <w:rFonts w:cs="Arial"/>
        </w:rPr>
        <w:t>e</w:t>
      </w:r>
      <w:r w:rsidRPr="006A06D5">
        <w:rPr>
          <w:rFonts w:cs="Arial"/>
        </w:rPr>
        <w:t>auftragten die EWG-Bauartzulassung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für jede Druckbehälterbauart, wenn sie die Vorschriften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erfüllt, die in der für die betreffende Druckbehälterart maßgebenden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Einzelrichtlinie festgelegt sind.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(3) Der Antrag auf eine EWG-Bauartzulassung für eine bestimmte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Druckbehälterbauart darf nur in einem einzigen Mitgliedstaat gestellt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werden.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(4) Die Mitgliedstaaten erteilen, verweigern oder widerrufen die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EWG-Bauartzulassung nach den in diesem Kapitel und in Anhang I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Nummern 1, 2 und 4 festgelegten Vorschriften.</w:t>
      </w:r>
    </w:p>
    <w:p w:rsidR="001641BC" w:rsidRPr="006A06D5" w:rsidRDefault="001641BC" w:rsidP="00FA35ED">
      <w:pPr>
        <w:pStyle w:val="berschrift3"/>
      </w:pPr>
      <w:bookmarkStart w:id="10" w:name="_Toc400367419"/>
      <w:r w:rsidRPr="006A06D5">
        <w:lastRenderedPageBreak/>
        <w:t>Artikel 7</w:t>
      </w:r>
      <w:bookmarkEnd w:id="10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Fallen die Ergebnisse der in Anhang I Nummer 2 vorgesehenen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Prüfung zufriedenstellend aus, so stellt der Mitgliedstaat, der die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Prüfung durchgeführt hat, eine Bescheinigung über die EWG-Bauartzulassung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aus und übermittelt sie dem Antragsteller.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Gilt diese Zulassung für einen Behälter, der der EWG-Prüfung unterliegt,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so muß der Hersteller vor dieser Prüfung das in Anhang I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Nummer 3.1 vorgesehene Zulassungszeichen auf diesem Behälter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anbringen.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Die Vorschriften über Bescheinigungen und Zulassungszeichen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sind in Anhang I Nummern 3 und 5 au</w:t>
      </w:r>
      <w:r w:rsidRPr="006A06D5">
        <w:rPr>
          <w:rFonts w:cs="Arial"/>
        </w:rPr>
        <w:t>f</w:t>
      </w:r>
      <w:r w:rsidRPr="006A06D5">
        <w:rPr>
          <w:rFonts w:cs="Arial"/>
        </w:rPr>
        <w:t>geführt.</w:t>
      </w:r>
    </w:p>
    <w:p w:rsidR="001641BC" w:rsidRPr="006A06D5" w:rsidRDefault="001641BC" w:rsidP="00FA35ED">
      <w:pPr>
        <w:pStyle w:val="berschrift3"/>
      </w:pPr>
      <w:bookmarkStart w:id="11" w:name="_Toc400367420"/>
      <w:r w:rsidRPr="006A06D5">
        <w:t>Artikel 8</w:t>
      </w:r>
      <w:bookmarkEnd w:id="11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Wenn für eine Druckbehälterart, die den Bestimmungen einer Einzelrichtlinie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entspricht, eine EWG-Bauartzulassung nicht erforderlich ist,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aber die EWG-Prüfung verlangt wird, so werden diese Druckbehälter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vorab vom Hersteller unter dessen Verantwortung mit dem besonderen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Zeichen gemäß Anhang I Nu</w:t>
      </w:r>
      <w:r w:rsidRPr="006A06D5">
        <w:rPr>
          <w:rFonts w:cs="Arial"/>
        </w:rPr>
        <w:t>m</w:t>
      </w:r>
      <w:r w:rsidRPr="006A06D5">
        <w:rPr>
          <w:rFonts w:cs="Arial"/>
        </w:rPr>
        <w:t>mer</w:t>
      </w:r>
      <w:r w:rsidR="00FA35ED">
        <w:rPr>
          <w:rFonts w:cs="Arial"/>
        </w:rPr>
        <w:t> </w:t>
      </w:r>
      <w:r w:rsidRPr="006A06D5">
        <w:rPr>
          <w:rFonts w:cs="Arial"/>
        </w:rPr>
        <w:t>3.2 versehen.</w:t>
      </w:r>
    </w:p>
    <w:p w:rsidR="001641BC" w:rsidRPr="006A06D5" w:rsidRDefault="001641BC" w:rsidP="00FA35ED">
      <w:pPr>
        <w:pStyle w:val="berschrift3"/>
      </w:pPr>
      <w:bookmarkStart w:id="12" w:name="_Toc400367421"/>
      <w:r w:rsidRPr="006A06D5">
        <w:t>Artikel 9</w:t>
      </w:r>
      <w:bookmarkEnd w:id="12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Der Mitgliedstaat, der eine EWG-Bauartzulassung erteilt hat,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muß diese widerrufen, wenn Auflagen, die gegebenenfalls in einer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 xml:space="preserve">Einzelrichtlinie gemäß Artikel 2 </w:t>
      </w:r>
      <w:proofErr w:type="gramStart"/>
      <w:r w:rsidRPr="006A06D5">
        <w:rPr>
          <w:rFonts w:cs="Arial"/>
        </w:rPr>
        <w:t>Absatz</w:t>
      </w:r>
      <w:proofErr w:type="gramEnd"/>
      <w:r w:rsidRPr="006A06D5">
        <w:rPr>
          <w:rFonts w:cs="Arial"/>
        </w:rPr>
        <w:t xml:space="preserve"> 1 vorgesehen sind, nicht erfüllt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sind.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Stellt ein Mitgliedstaat, der eine EWG-Bauartzulassung erteilt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hat, fest, daß Druckbehälter, für die die EWG-Bauartzulassung erteilt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worden ist, der Bauart nicht entsprechen, so</w:t>
      </w:r>
    </w:p>
    <w:p w:rsidR="001641BC" w:rsidRPr="006A06D5" w:rsidRDefault="001641BC" w:rsidP="00FA35ED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a)</w:t>
      </w:r>
      <w:r w:rsidR="00FA35ED">
        <w:rPr>
          <w:rFonts w:cs="Arial"/>
        </w:rPr>
        <w:tab/>
      </w:r>
      <w:r w:rsidRPr="006A06D5">
        <w:rPr>
          <w:rFonts w:cs="Arial"/>
        </w:rPr>
        <w:t>kann er die EWG-Bauartzulassung aufrechterhalten, wenn die festgestellten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Abweichungen geringfügig sind, die Konstruktion des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Behälters und die Herstellungsverfahren nicht wesentlich ändern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und auf j</w:t>
      </w:r>
      <w:r w:rsidRPr="006A06D5">
        <w:rPr>
          <w:rFonts w:cs="Arial"/>
        </w:rPr>
        <w:t>e</w:t>
      </w:r>
      <w:r w:rsidRPr="006A06D5">
        <w:rPr>
          <w:rFonts w:cs="Arial"/>
        </w:rPr>
        <w:t>den Fall die Sicherheit nicht gefährden;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b)</w:t>
      </w:r>
      <w:r w:rsidR="00FA35ED">
        <w:rPr>
          <w:rFonts w:cs="Arial"/>
        </w:rPr>
        <w:tab/>
      </w:r>
      <w:r w:rsidRPr="006A06D5">
        <w:rPr>
          <w:rFonts w:cs="Arial"/>
        </w:rPr>
        <w:t>muß er die EWG-Bauartzulassung widerrufen, wenn die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Änderungen die Sicherheit gefährden;</w:t>
      </w:r>
    </w:p>
    <w:p w:rsidR="001641BC" w:rsidRPr="006A06D5" w:rsidRDefault="001641BC" w:rsidP="00FA35ED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c)</w:t>
      </w:r>
      <w:r w:rsidR="00FA35ED">
        <w:rPr>
          <w:rFonts w:cs="Arial"/>
        </w:rPr>
        <w:tab/>
      </w:r>
      <w:r w:rsidRPr="006A06D5">
        <w:rPr>
          <w:rFonts w:cs="Arial"/>
        </w:rPr>
        <w:t>ersucht er den Hersteller, so bald wie möglich die Herstellung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entsprechend zu ändern, wenn die Serie seines Erachtens der zugelassenen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Bauart nicht mehr ausreichend entspricht; kommt der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Hersteller diesem Ersuchen nicht nach, so muß der Mitgliedstaat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die EWG-Bauartzulassung widerrufen.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(3) Der Mitgliedstaat, der eine EWG-Bauartzulassung erteilt hat,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muß diese auch widerrufen, wenn er fes</w:t>
      </w:r>
      <w:r w:rsidRPr="006A06D5">
        <w:rPr>
          <w:rFonts w:cs="Arial"/>
        </w:rPr>
        <w:t>t</w:t>
      </w:r>
      <w:r w:rsidRPr="006A06D5">
        <w:rPr>
          <w:rFonts w:cs="Arial"/>
        </w:rPr>
        <w:t>stellt, daß sie nicht hätte erteilt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werden dürfen.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(4) Wird der genannte Mitgliedstaat von einem anderen Mitgliedstaat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darüber unterrichtet, daß einer der in den Absätzen 1, 2 und 3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genannten Fälle gegeben ist, so trifft er nach Konsultation dieses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Staates ebenfalls die in diesen Absätzen vorgesehenen Maßnahmen.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(5) Sind sich die zuständigen Behörden des Mitgliedstaats, der die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EWG-Bauartzulassung erteilt hat, und die zuständigen Behörden eines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anderen Mitgliedstaats nicht über die Zweckmäßigkeit oder Notwendigkeit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e</w:t>
      </w:r>
      <w:r w:rsidRPr="006A06D5">
        <w:rPr>
          <w:rFonts w:cs="Arial"/>
        </w:rPr>
        <w:t>i</w:t>
      </w:r>
      <w:r w:rsidRPr="006A06D5">
        <w:rPr>
          <w:rFonts w:cs="Arial"/>
        </w:rPr>
        <w:t>nes Widerrufs einig, so wird die Kommission unterrichtet. Diese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führt erforderlichenfalls Konsultationen durch, die geeignet sind, eine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Lösung herbeizuführen.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(6) Der Widerruf einer EWG-Bauartzulassung kann nur von dem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Mitgliedstaat ausgesprochen werden, der sie erteilt hat; er unterrichtet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hierüber unverzüglich die anderen Mitgliedstaaten und die Kommission.</w:t>
      </w:r>
    </w:p>
    <w:p w:rsidR="001641BC" w:rsidRPr="006A06D5" w:rsidRDefault="001641BC" w:rsidP="00FA35ED">
      <w:pPr>
        <w:pStyle w:val="berschrift2"/>
      </w:pPr>
      <w:bookmarkStart w:id="13" w:name="_Toc400367422"/>
      <w:r w:rsidRPr="006A06D5">
        <w:t>KAPITEL III</w:t>
      </w:r>
      <w:r w:rsidR="00FA35ED">
        <w:br/>
      </w:r>
      <w:r w:rsidRPr="006A06D5">
        <w:t>EWG-Prüfung</w:t>
      </w:r>
      <w:bookmarkEnd w:id="13"/>
    </w:p>
    <w:p w:rsidR="001641BC" w:rsidRPr="006A06D5" w:rsidRDefault="001641BC" w:rsidP="00FA35ED">
      <w:pPr>
        <w:pStyle w:val="berschrift3"/>
      </w:pPr>
      <w:bookmarkStart w:id="14" w:name="_Toc400367423"/>
      <w:r w:rsidRPr="006A06D5">
        <w:t>Artikel 10</w:t>
      </w:r>
      <w:bookmarkEnd w:id="14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Die EWG-Prüfung ist die Prüfung der Übereinstimmung eines Druckbehälters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mit den in der betreffenden Einzelrichtlinie festgelegten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Anforderungen; sie findet ihren Ausdruck im EWG-Prüfzeichen.</w:t>
      </w:r>
    </w:p>
    <w:p w:rsidR="001641BC" w:rsidRPr="006A06D5" w:rsidRDefault="001641BC" w:rsidP="00FA35ED">
      <w:pPr>
        <w:pStyle w:val="berschrift3"/>
      </w:pPr>
      <w:bookmarkStart w:id="15" w:name="_Toc400367424"/>
      <w:r w:rsidRPr="006A06D5">
        <w:t>Artikel 11</w:t>
      </w:r>
      <w:bookmarkEnd w:id="15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Wird ein Druckbehälter zur EWG-Prüfung vorgeführt, so prüft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die Prüfstelle, ob</w:t>
      </w:r>
    </w:p>
    <w:p w:rsidR="001641BC" w:rsidRPr="006A06D5" w:rsidRDefault="001641BC" w:rsidP="002262D4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a)</w:t>
      </w:r>
      <w:r w:rsidR="00FA35ED">
        <w:rPr>
          <w:rFonts w:cs="Arial"/>
        </w:rPr>
        <w:t xml:space="preserve"> -</w:t>
      </w:r>
      <w:r w:rsidR="00FA35ED">
        <w:rPr>
          <w:rFonts w:cs="Arial"/>
        </w:rPr>
        <w:tab/>
      </w:r>
      <w:r w:rsidRPr="006A06D5">
        <w:rPr>
          <w:rFonts w:cs="Arial"/>
        </w:rPr>
        <w:t>für den Druckbehälter eine EWG-Bauartzulassung vorgeschrieben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ist und, falls dies zutrifft, ob er mit der zugelassenen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Bauart übereinstimmt und das Zeichen für die EWG-Bauartzulassung</w:t>
      </w:r>
      <w:r w:rsidR="00FA35ED">
        <w:rPr>
          <w:rFonts w:cs="Arial"/>
        </w:rPr>
        <w:t xml:space="preserve"> </w:t>
      </w:r>
      <w:r w:rsidRPr="006A06D5">
        <w:rPr>
          <w:rFonts w:cs="Arial"/>
        </w:rPr>
        <w:t>trägt;</w:t>
      </w:r>
    </w:p>
    <w:p w:rsidR="001641BC" w:rsidRPr="006A06D5" w:rsidRDefault="002262D4" w:rsidP="003530F1">
      <w:pPr>
        <w:pStyle w:val="GesAbsatz"/>
        <w:ind w:left="426" w:hanging="202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641BC" w:rsidRPr="006A06D5">
        <w:rPr>
          <w:rFonts w:cs="Arial"/>
        </w:rPr>
        <w:t>für den Druckbehälter keine EWG-Bauartzulassung vorgeschrieben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ist und, falls dies zutrifft, ob er den in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Einzelrichtlinie festgelegten Vorschriften entspricht;</w:t>
      </w:r>
    </w:p>
    <w:p w:rsidR="001641BC" w:rsidRPr="006A06D5" w:rsidRDefault="001641BC" w:rsidP="002262D4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lastRenderedPageBreak/>
        <w:t>b)</w:t>
      </w:r>
      <w:r w:rsidR="002262D4">
        <w:rPr>
          <w:rFonts w:cs="Arial"/>
        </w:rPr>
        <w:t xml:space="preserve"> -</w:t>
      </w:r>
      <w:r w:rsidR="002262D4">
        <w:rPr>
          <w:rFonts w:cs="Arial"/>
        </w:rPr>
        <w:tab/>
      </w:r>
      <w:r w:rsidRPr="006A06D5">
        <w:rPr>
          <w:rFonts w:cs="Arial"/>
        </w:rPr>
        <w:t>der Druckbehälter den Vorschriften der Einzelrichtlinie hinsichtlich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der Durchführung der Prüfungen und der vorschriftsmäßigen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Anbringung der Zeichen und der vorgeschriebenen Aufschriften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genügt.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Der Hersteller kann der Prüfstelle den Zugang zur Produktionsstätte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nicht verweigern, soweit es die or</w:t>
      </w:r>
      <w:r w:rsidRPr="006A06D5">
        <w:rPr>
          <w:rFonts w:cs="Arial"/>
        </w:rPr>
        <w:t>d</w:t>
      </w:r>
      <w:r w:rsidRPr="006A06D5">
        <w:rPr>
          <w:rFonts w:cs="Arial"/>
        </w:rPr>
        <w:t>nungsgemäße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Du</w:t>
      </w:r>
      <w:r w:rsidR="002262D4">
        <w:rPr>
          <w:rFonts w:cs="Arial"/>
        </w:rPr>
        <w:t>r</w:t>
      </w:r>
      <w:r w:rsidRPr="006A06D5">
        <w:rPr>
          <w:rFonts w:cs="Arial"/>
        </w:rPr>
        <w:t>chführung der dieser Stelle zugewiesenen Aufgaben erfordert.</w:t>
      </w:r>
    </w:p>
    <w:p w:rsidR="001641BC" w:rsidRPr="006A06D5" w:rsidRDefault="001641BC" w:rsidP="002262D4">
      <w:pPr>
        <w:pStyle w:val="berschrift3"/>
      </w:pPr>
      <w:bookmarkStart w:id="16" w:name="_Toc400367425"/>
      <w:r w:rsidRPr="006A06D5">
        <w:t>Artikel 12</w:t>
      </w:r>
      <w:bookmarkEnd w:id="16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Unbeschadet der Zuständigkeit der Mitgliedstaaten, die Maßnahmen zu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ergreifen und die Bedingungen fes</w:t>
      </w:r>
      <w:r w:rsidRPr="006A06D5">
        <w:rPr>
          <w:rFonts w:cs="Arial"/>
        </w:rPr>
        <w:t>t</w:t>
      </w:r>
      <w:r w:rsidRPr="006A06D5">
        <w:rPr>
          <w:rFonts w:cs="Arial"/>
        </w:rPr>
        <w:t>zulegen, die sie auf einzelstaatlicher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Ebene für erforderlich halten, um die wirksame, koordinierte und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ei</w:t>
      </w:r>
      <w:r w:rsidRPr="006A06D5">
        <w:rPr>
          <w:rFonts w:cs="Arial"/>
        </w:rPr>
        <w:t>n</w:t>
      </w:r>
      <w:r w:rsidRPr="006A06D5">
        <w:rPr>
          <w:rFonts w:cs="Arial"/>
        </w:rPr>
        <w:t>wandfreie Tätigkeit der Prüfstellen zu gewährleisten, enthält Anhang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III Mindestkriterien, die die Mitgliedsta</w:t>
      </w:r>
      <w:r w:rsidRPr="006A06D5">
        <w:rPr>
          <w:rFonts w:cs="Arial"/>
        </w:rPr>
        <w:t>a</w:t>
      </w:r>
      <w:r w:rsidRPr="006A06D5">
        <w:rPr>
          <w:rFonts w:cs="Arial"/>
        </w:rPr>
        <w:t>ten bei der Benennung der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Prüfstellen gemäß Artikel 13 auf jeden Fall beachten müssen.</w:t>
      </w:r>
    </w:p>
    <w:p w:rsidR="001641BC" w:rsidRPr="006A06D5" w:rsidRDefault="001641BC" w:rsidP="002262D4">
      <w:pPr>
        <w:pStyle w:val="berschrift3"/>
      </w:pPr>
      <w:bookmarkStart w:id="17" w:name="_Toc400367426"/>
      <w:r w:rsidRPr="006A06D5">
        <w:t>Artikel 13</w:t>
      </w:r>
      <w:bookmarkEnd w:id="17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Jeder Mitgliedstaat übermittelt den übrigen Mitgliedstaaten und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der Kommission die Liste derjenigen Ste</w:t>
      </w:r>
      <w:r w:rsidRPr="006A06D5">
        <w:rPr>
          <w:rFonts w:cs="Arial"/>
        </w:rPr>
        <w:t>l</w:t>
      </w:r>
      <w:r w:rsidRPr="006A06D5">
        <w:rPr>
          <w:rFonts w:cs="Arial"/>
        </w:rPr>
        <w:t>len, denen die Prüfungen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übertragen wurden, wobei er angibt, ob ihre Zuständigkeit auf die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Durchführung bestimmter Prüfungen begrenzt ist; er teilt auch jede</w:t>
      </w:r>
      <w:r w:rsidR="002262D4">
        <w:rPr>
          <w:rFonts w:cs="Arial"/>
        </w:rPr>
        <w:t xml:space="preserve"> </w:t>
      </w:r>
      <w:r w:rsidRPr="006A06D5">
        <w:rPr>
          <w:rFonts w:cs="Arial"/>
        </w:rPr>
        <w:t>spätere Änderung dieser Liste mit.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Ein Mitgliedstaat, der eine Prüfstelle benannt hat, muß diese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Benennung zurückziehen, wenn er feststellt, daß die Prüfstelle den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Kriterien des Anhangs III nicht oder nicht mehr genügt. Er unterrichtet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unverzüglich die Kommission und die anderen Mitgliedstaaten darüber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und teilt mit, ob die Benennung vollständig oder nur hinsichtlich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bestimmter Prüfungen zurückgezogen wird.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(3) Nur der Mitgliedstaat, der die betreffende Prüfstelle benannt hat,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kann die Benennung zurückziehen oder einschränken.</w:t>
      </w:r>
    </w:p>
    <w:p w:rsidR="001641BC" w:rsidRPr="006A06D5" w:rsidRDefault="001641BC" w:rsidP="008955FB">
      <w:pPr>
        <w:pStyle w:val="berschrift3"/>
      </w:pPr>
      <w:bookmarkStart w:id="18" w:name="_Toc400367427"/>
      <w:r w:rsidRPr="006A06D5">
        <w:t>Artikel 14</w:t>
      </w:r>
      <w:bookmarkEnd w:id="18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Nachdem die Prüfstelle die EWG-Prüfung eines Druckbehälters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nach Maßgabe des Artikels 11 und des Anhangs II durchgeführt hat,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versieht sie den Druckbehälter mit dem Zeichen für die teilweise oder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vollstä</w:t>
      </w:r>
      <w:r w:rsidRPr="006A06D5">
        <w:rPr>
          <w:rFonts w:cs="Arial"/>
        </w:rPr>
        <w:t>n</w:t>
      </w:r>
      <w:r w:rsidRPr="006A06D5">
        <w:rPr>
          <w:rFonts w:cs="Arial"/>
        </w:rPr>
        <w:t>dige EWG-Prüfung gemäß Anhang II Nummer 3.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Die Muster und die Merkmale der Zeichen für die EWG-Prüfung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sind in Anhang II Nummer 3 aufgeführt.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(3) Soweit es in einer Einzelrichtlinie vorgesehen ist, stellt die Prüfstelle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eine Bescheinigung über die vorg</w:t>
      </w:r>
      <w:r w:rsidRPr="006A06D5">
        <w:rPr>
          <w:rFonts w:cs="Arial"/>
        </w:rPr>
        <w:t>e</w:t>
      </w:r>
      <w:r w:rsidRPr="006A06D5">
        <w:rPr>
          <w:rFonts w:cs="Arial"/>
        </w:rPr>
        <w:t>nommenen Prüfungen und ihre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Ergebnisse aus.</w:t>
      </w:r>
    </w:p>
    <w:p w:rsidR="001641BC" w:rsidRPr="006A06D5" w:rsidRDefault="001641BC" w:rsidP="008955FB">
      <w:pPr>
        <w:pStyle w:val="berschrift3"/>
      </w:pPr>
      <w:bookmarkStart w:id="19" w:name="_Toc400367428"/>
      <w:r w:rsidRPr="006A06D5">
        <w:t>Artikel 15</w:t>
      </w:r>
      <w:bookmarkEnd w:id="19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Ist für eine Druckbehälterart in der sie betreffenden Einzelrichtlinie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keine EWG-Prüfung vorgeschrieben, so werden diese Druckbehälter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vom Hersteller unter dessen Verantwortung, nachdem er die Übereinstimmung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jedes Druckbehälters mit den Bestimmungen der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Einzelrichtlinie bzw. der zugelassenen Bauart nachgeprüft hat, mit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folgenden Zeichen versehen:</w:t>
      </w:r>
    </w:p>
    <w:p w:rsidR="001641BC" w:rsidRPr="006A06D5" w:rsidRDefault="001641BC" w:rsidP="008955FB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a)</w:t>
      </w:r>
      <w:r w:rsidR="008955FB">
        <w:rPr>
          <w:rFonts w:cs="Arial"/>
        </w:rPr>
        <w:tab/>
      </w:r>
      <w:r w:rsidRPr="006A06D5">
        <w:rPr>
          <w:rFonts w:cs="Arial"/>
        </w:rPr>
        <w:t>entweder mit dem in Anhang I Nummer 5.3 beschriebenen besonderen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Zeichen, wenn die EWG-Bauartzulassung erforderlich ist,</w:t>
      </w:r>
    </w:p>
    <w:p w:rsidR="001641BC" w:rsidRPr="006A06D5" w:rsidRDefault="001641BC" w:rsidP="008955FB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b)</w:t>
      </w:r>
      <w:r w:rsidR="008955FB">
        <w:rPr>
          <w:rFonts w:cs="Arial"/>
        </w:rPr>
        <w:tab/>
      </w:r>
      <w:r w:rsidRPr="006A06D5">
        <w:rPr>
          <w:rFonts w:cs="Arial"/>
        </w:rPr>
        <w:t>oder mit dem in Anhang I Nummer 5.4 beschriebenen besonderen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Zeichen, wenn die EWG-Bauartzulassung nicht erforderlich ist.</w:t>
      </w:r>
    </w:p>
    <w:p w:rsidR="001641BC" w:rsidRPr="006A06D5" w:rsidRDefault="001641BC" w:rsidP="008955FB">
      <w:pPr>
        <w:pStyle w:val="berschrift2"/>
        <w:rPr>
          <w:rFonts w:cs="Arial"/>
          <w:bCs/>
        </w:rPr>
      </w:pPr>
      <w:bookmarkStart w:id="20" w:name="_Toc400367429"/>
      <w:r w:rsidRPr="006A06D5">
        <w:t>KAPITEL IV</w:t>
      </w:r>
      <w:r w:rsidR="008955FB">
        <w:br/>
      </w:r>
      <w:r w:rsidRPr="006A06D5">
        <w:t>Gemeinsame Vorschriften für die EWG-Bauartzulassung und die</w:t>
      </w:r>
      <w:r w:rsidR="008955FB">
        <w:t xml:space="preserve"> </w:t>
      </w:r>
      <w:r w:rsidRPr="006A06D5">
        <w:rPr>
          <w:rFonts w:cs="Arial"/>
          <w:bCs/>
        </w:rPr>
        <w:t>EWG-Prüfung</w:t>
      </w:r>
      <w:bookmarkEnd w:id="20"/>
    </w:p>
    <w:p w:rsidR="001641BC" w:rsidRPr="006A06D5" w:rsidRDefault="001641BC" w:rsidP="008955FB">
      <w:pPr>
        <w:pStyle w:val="berschrift3"/>
      </w:pPr>
      <w:bookmarkStart w:id="21" w:name="_Toc400367430"/>
      <w:r w:rsidRPr="006A06D5">
        <w:t>Artikel 16</w:t>
      </w:r>
      <w:bookmarkEnd w:id="21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Die Zeichen, die in dieser Richtlinie und in den für einen Druckbehälter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und dessen Ausrüstungsteile maßgebenden Einzelrichtlinien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vorgesehen sind, müssen auf jedem Druckbehälter und dessen Ausrüstung</w:t>
      </w:r>
      <w:r w:rsidRPr="006A06D5">
        <w:rPr>
          <w:rFonts w:cs="Arial"/>
        </w:rPr>
        <w:t>s</w:t>
      </w:r>
      <w:r w:rsidRPr="006A06D5">
        <w:rPr>
          <w:rFonts w:cs="Arial"/>
        </w:rPr>
        <w:t>teilen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an sichtbarer Stelle, leserlich und haltbar angebracht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werden.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Die Mitgliedstaaten treffen alle geeigneten Maßnahmen, um die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Verwendung von Zeichen oder Aufschri</w:t>
      </w:r>
      <w:r w:rsidRPr="006A06D5">
        <w:rPr>
          <w:rFonts w:cs="Arial"/>
        </w:rPr>
        <w:t>f</w:t>
      </w:r>
      <w:r w:rsidRPr="006A06D5">
        <w:rPr>
          <w:rFonts w:cs="Arial"/>
        </w:rPr>
        <w:t>ten bei Druckbehältern zu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untersagen, die zu einer Verwechslung mit EWG-Zeichen führen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könnten.</w:t>
      </w:r>
    </w:p>
    <w:p w:rsidR="001641BC" w:rsidRPr="006A06D5" w:rsidRDefault="001641BC" w:rsidP="008955FB">
      <w:pPr>
        <w:pStyle w:val="berschrift2"/>
      </w:pPr>
      <w:bookmarkStart w:id="22" w:name="_Toc400367431"/>
      <w:r w:rsidRPr="006A06D5">
        <w:lastRenderedPageBreak/>
        <w:t>KAPITEL V</w:t>
      </w:r>
      <w:r w:rsidR="008955FB">
        <w:br/>
      </w:r>
      <w:r w:rsidRPr="006A06D5">
        <w:t>Abweichklausel</w:t>
      </w:r>
      <w:bookmarkEnd w:id="22"/>
    </w:p>
    <w:p w:rsidR="001641BC" w:rsidRPr="006A06D5" w:rsidRDefault="001641BC" w:rsidP="008955FB">
      <w:pPr>
        <w:pStyle w:val="berschrift3"/>
      </w:pPr>
      <w:bookmarkStart w:id="23" w:name="_Toc400367432"/>
      <w:r w:rsidRPr="006A06D5">
        <w:t>Artikel 17</w:t>
      </w:r>
      <w:bookmarkEnd w:id="23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Die Konstruktion und das Herstellungsverfahren eines Druckbehälters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können, ohne daß für diesen Druckbehälter die Rechtsvorteile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des Artikels 3 verloren gehen, von einigen in den Einzelrichtlinien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vorges</w:t>
      </w:r>
      <w:r w:rsidRPr="006A06D5">
        <w:rPr>
          <w:rFonts w:cs="Arial"/>
        </w:rPr>
        <w:t>e</w:t>
      </w:r>
      <w:r w:rsidRPr="006A06D5">
        <w:rPr>
          <w:rFonts w:cs="Arial"/>
        </w:rPr>
        <w:t>henen Bestimmungen abweichen, wenn die vorgenommenen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Änderungen eine mindestens gleichwertige Sicherheit bieten.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In jeder Einzelrichtlinie werden ausdrücklich entweder die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Bestimmungen bezeichnet, von denen abgew</w:t>
      </w:r>
      <w:r w:rsidRPr="006A06D5">
        <w:rPr>
          <w:rFonts w:cs="Arial"/>
        </w:rPr>
        <w:t>i</w:t>
      </w:r>
      <w:r w:rsidRPr="006A06D5">
        <w:rPr>
          <w:rFonts w:cs="Arial"/>
        </w:rPr>
        <w:t>chen werden darf, oder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die Bestimmungen, von denen keine Abweichung möglich ist.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In diesen Fällen gilt das folgende Verfahren:</w:t>
      </w:r>
    </w:p>
    <w:p w:rsidR="001641BC" w:rsidRPr="00B31FB4" w:rsidRDefault="001641BC" w:rsidP="00B31FB4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a)</w:t>
      </w:r>
      <w:r w:rsidR="008955FB">
        <w:rPr>
          <w:rFonts w:cs="Arial"/>
        </w:rPr>
        <w:tab/>
      </w:r>
      <w:r w:rsidR="00B31FB4" w:rsidRPr="00B31FB4">
        <w:rPr>
          <w:rFonts w:cs="Arial"/>
        </w:rPr>
        <w:t>Der Mitgliedstaat übermittelt die Unterlagen mit der Beschreibung des Druckbehälters und den Belegen</w:t>
      </w:r>
      <w:r w:rsidR="00B31FB4">
        <w:rPr>
          <w:rFonts w:cs="Arial"/>
        </w:rPr>
        <w:t xml:space="preserve"> </w:t>
      </w:r>
      <w:r w:rsidR="00B31FB4" w:rsidRPr="00B31FB4">
        <w:rPr>
          <w:rFonts w:cs="Arial"/>
        </w:rPr>
        <w:t>zur Begründung des Antrags auf Abweichung, insbesondere den Ergebnissen der etwaigen Prüfungen,</w:t>
      </w:r>
      <w:r w:rsidR="00B31FB4">
        <w:rPr>
          <w:rFonts w:cs="Arial"/>
        </w:rPr>
        <w:t xml:space="preserve"> </w:t>
      </w:r>
      <w:r w:rsidR="00B31FB4" w:rsidRPr="00B31FB4">
        <w:rPr>
          <w:rFonts w:cs="Arial"/>
        </w:rPr>
        <w:t>den übrigen Mitgliedstaaten, die binnen vier Monaten nach dieser Information ihr Einverständnis oder</w:t>
      </w:r>
      <w:r w:rsidR="00B31FB4">
        <w:rPr>
          <w:rFonts w:cs="Arial"/>
        </w:rPr>
        <w:t xml:space="preserve"> </w:t>
      </w:r>
      <w:r w:rsidR="00B31FB4" w:rsidRPr="00B31FB4">
        <w:rPr>
          <w:rFonts w:cs="Arial"/>
        </w:rPr>
        <w:t>ihre Missbilligung mitteilen, Bemerkungen einreichen, Fragen und zusätzliche Forderungen stellen oder</w:t>
      </w:r>
      <w:r w:rsidR="00B31FB4">
        <w:rPr>
          <w:rFonts w:cs="Arial"/>
        </w:rPr>
        <w:t xml:space="preserve"> </w:t>
      </w:r>
      <w:r w:rsidR="00B31FB4" w:rsidRPr="00B31FB4">
        <w:rPr>
          <w:rFonts w:cs="Arial"/>
        </w:rPr>
        <w:t>zusätzliche Prüfungen verlangen und, sofern sie es wünschen, beantragen können, dass der in</w:t>
      </w:r>
      <w:r w:rsidR="00B31FB4">
        <w:rPr>
          <w:rFonts w:cs="Arial"/>
        </w:rPr>
        <w:t xml:space="preserve"> </w:t>
      </w:r>
      <w:r w:rsidR="00B31FB4" w:rsidRPr="00B31FB4">
        <w:rPr>
          <w:rFonts w:cs="Arial"/>
        </w:rPr>
        <w:t>Artikel 20 Absatz 1 genannte Ausschuss um eine Stellungnahme gebeten wird. Abschriften dieser</w:t>
      </w:r>
      <w:r w:rsidR="00B31FB4">
        <w:rPr>
          <w:rFonts w:cs="Arial"/>
        </w:rPr>
        <w:t xml:space="preserve"> </w:t>
      </w:r>
      <w:r w:rsidR="00B31FB4" w:rsidRPr="00B31FB4">
        <w:rPr>
          <w:rFonts w:cs="Arial"/>
        </w:rPr>
        <w:t>Unterlagen werden auch an die Kommission gesandt. Dieser Schriftverkehr ist vertraulich.</w:t>
      </w:r>
    </w:p>
    <w:p w:rsidR="001641BC" w:rsidRPr="006A06D5" w:rsidRDefault="001641BC" w:rsidP="008955FB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b)</w:t>
      </w:r>
      <w:r w:rsidR="008955FB">
        <w:rPr>
          <w:rFonts w:cs="Arial"/>
        </w:rPr>
        <w:tab/>
      </w:r>
      <w:r w:rsidRPr="006A06D5">
        <w:rPr>
          <w:rFonts w:cs="Arial"/>
        </w:rPr>
        <w:t>Hat kein Mitgliedstaat vor Ablauf der festgelegten Frist beantragt,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daß der Ausschuß befaßt wird, oder seine Mißbilligung mitgeteilt,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so genehmigt der Mitgliedstaat, nachdem er allen entsprechend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dem Ve</w:t>
      </w:r>
      <w:r w:rsidRPr="006A06D5">
        <w:rPr>
          <w:rFonts w:cs="Arial"/>
        </w:rPr>
        <w:t>r</w:t>
      </w:r>
      <w:r w:rsidRPr="006A06D5">
        <w:rPr>
          <w:rFonts w:cs="Arial"/>
        </w:rPr>
        <w:t>fahren des Buchstabens a) gestellten Anträgen entsprochen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hat, die beantragte Abweichung und unte</w:t>
      </w:r>
      <w:r w:rsidRPr="006A06D5">
        <w:rPr>
          <w:rFonts w:cs="Arial"/>
        </w:rPr>
        <w:t>r</w:t>
      </w:r>
      <w:r w:rsidRPr="006A06D5">
        <w:rPr>
          <w:rFonts w:cs="Arial"/>
        </w:rPr>
        <w:t>richtet hiervon die übrigen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Mitgliedstaaten und die Kommission.</w:t>
      </w:r>
    </w:p>
    <w:p w:rsidR="001641BC" w:rsidRPr="006A06D5" w:rsidRDefault="001641BC" w:rsidP="008955FB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c)</w:t>
      </w:r>
      <w:r w:rsidR="008955FB">
        <w:rPr>
          <w:rFonts w:cs="Arial"/>
        </w:rPr>
        <w:tab/>
      </w:r>
      <w:r w:rsidRPr="006A06D5">
        <w:rPr>
          <w:rFonts w:cs="Arial"/>
        </w:rPr>
        <w:t>Wenn ein Mitgliedstaat vor Ablauf der vorgesehenen Frist keine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Antwort erteilt, so wird davon ausg</w:t>
      </w:r>
      <w:r w:rsidRPr="006A06D5">
        <w:rPr>
          <w:rFonts w:cs="Arial"/>
        </w:rPr>
        <w:t>e</w:t>
      </w:r>
      <w:r w:rsidRPr="006A06D5">
        <w:rPr>
          <w:rFonts w:cs="Arial"/>
        </w:rPr>
        <w:t>gangen, daß dieser Staat einverstanden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ist; der Herkunftsstaat muß jedoch über die Kommission um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die Bestätigung ersuchen, daß keine Antwort erteilt worden ist.</w:t>
      </w:r>
    </w:p>
    <w:p w:rsidR="001641BC" w:rsidRPr="006A06D5" w:rsidRDefault="001641BC" w:rsidP="008955FB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d)</w:t>
      </w:r>
      <w:r w:rsidR="008955FB">
        <w:rPr>
          <w:rFonts w:cs="Arial"/>
        </w:rPr>
        <w:tab/>
      </w:r>
      <w:r w:rsidRPr="006A06D5">
        <w:rPr>
          <w:rFonts w:cs="Arial"/>
        </w:rPr>
        <w:t>Wird der Ausschuß befaßt und gibt er eine positive Stellungnahme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ab, so kann der Mitgliedstaat die Abweichung unter den gegebenenfalls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vom Ausschuß vorgeschlagenen Bedingungen genehmigen.</w:t>
      </w:r>
    </w:p>
    <w:p w:rsidR="001641BC" w:rsidRPr="006A06D5" w:rsidRDefault="001641BC" w:rsidP="008955FB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e)</w:t>
      </w:r>
      <w:r w:rsidR="008955FB">
        <w:rPr>
          <w:rFonts w:cs="Arial"/>
        </w:rPr>
        <w:tab/>
      </w:r>
      <w:r w:rsidRPr="006A06D5">
        <w:rPr>
          <w:rFonts w:cs="Arial"/>
        </w:rPr>
        <w:t>Diese Unterlagen werden in der oder den Sprachen des Bestimmungsstaats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oder in einer anderen, von diesem Staat zugelassenen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Sprache übermittelt.</w:t>
      </w:r>
    </w:p>
    <w:p w:rsidR="001641BC" w:rsidRPr="006A06D5" w:rsidRDefault="001641BC" w:rsidP="008955FB">
      <w:pPr>
        <w:pStyle w:val="berschrift2"/>
      </w:pPr>
      <w:bookmarkStart w:id="24" w:name="_Toc400367433"/>
      <w:r w:rsidRPr="006A06D5">
        <w:t>KAPITEL VI</w:t>
      </w:r>
      <w:r w:rsidR="008955FB">
        <w:br/>
      </w:r>
      <w:r w:rsidRPr="006A06D5">
        <w:t>Anpassung der Richtlinien an den technischen Fortschritt</w:t>
      </w:r>
      <w:bookmarkEnd w:id="24"/>
    </w:p>
    <w:p w:rsidR="001641BC" w:rsidRPr="006A06D5" w:rsidRDefault="001641BC" w:rsidP="008955FB">
      <w:pPr>
        <w:pStyle w:val="berschrift3"/>
      </w:pPr>
      <w:bookmarkStart w:id="25" w:name="_Toc400367434"/>
      <w:r w:rsidRPr="006A06D5">
        <w:t>Artikel 18</w:t>
      </w:r>
      <w:bookmarkEnd w:id="25"/>
    </w:p>
    <w:p w:rsidR="001641BC" w:rsidRPr="00B31FB4" w:rsidRDefault="00B31FB4" w:rsidP="00B31FB4">
      <w:pPr>
        <w:pStyle w:val="GesAbsatz"/>
        <w:rPr>
          <w:rFonts w:cs="Arial"/>
        </w:rPr>
      </w:pPr>
      <w:r w:rsidRPr="00B31FB4">
        <w:rPr>
          <w:rFonts w:cs="Arial"/>
        </w:rPr>
        <w:t>Die Kommission passt die Anhänge I und II dieser Richtlinie und diejenigen Bestimmungen der</w:t>
      </w:r>
      <w:r>
        <w:rPr>
          <w:rFonts w:cs="Arial"/>
        </w:rPr>
        <w:t xml:space="preserve"> </w:t>
      </w:r>
      <w:r w:rsidRPr="00B31FB4">
        <w:rPr>
          <w:rFonts w:cs="Arial"/>
        </w:rPr>
        <w:t>Einzelrichtl</w:t>
      </w:r>
      <w:r w:rsidRPr="00B31FB4">
        <w:rPr>
          <w:rFonts w:cs="Arial"/>
        </w:rPr>
        <w:t>i</w:t>
      </w:r>
      <w:r w:rsidRPr="00B31FB4">
        <w:rPr>
          <w:rFonts w:cs="Arial"/>
        </w:rPr>
        <w:t>nien, die in jeder dieser Richtlinien angegeben sind, an den technischen Fortschritt an. Diese</w:t>
      </w:r>
      <w:r>
        <w:rPr>
          <w:rFonts w:cs="Arial"/>
        </w:rPr>
        <w:t xml:space="preserve"> </w:t>
      </w:r>
      <w:r w:rsidRPr="00B31FB4">
        <w:rPr>
          <w:rFonts w:cs="Arial"/>
        </w:rPr>
        <w:t>Maßnahmen zur Änderung nicht wesentlicher Bestimmungen dieser Richtlinie und der Einzelrichtlinien</w:t>
      </w:r>
      <w:r>
        <w:rPr>
          <w:rFonts w:cs="Arial"/>
        </w:rPr>
        <w:t xml:space="preserve"> </w:t>
      </w:r>
      <w:r w:rsidRPr="00B31FB4">
        <w:rPr>
          <w:rFonts w:cs="Arial"/>
        </w:rPr>
        <w:t>werden nach dem in Artikel 20 Absatz 2 genannten Regelungsverfahren mit Kontrolle erlassen.</w:t>
      </w:r>
    </w:p>
    <w:p w:rsidR="001641BC" w:rsidRPr="006A06D5" w:rsidRDefault="001641BC" w:rsidP="008955FB">
      <w:pPr>
        <w:pStyle w:val="berschrift3"/>
      </w:pPr>
      <w:bookmarkStart w:id="26" w:name="_Toc400367435"/>
      <w:r w:rsidRPr="006A06D5">
        <w:t>Artikel 19</w:t>
      </w:r>
      <w:bookmarkEnd w:id="26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Es wird ein Ausschuß für die Anpassung der Richtlinien über die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Beseitigung der technischen Handel</w:t>
      </w:r>
      <w:r w:rsidRPr="006A06D5">
        <w:rPr>
          <w:rFonts w:cs="Arial"/>
        </w:rPr>
        <w:t>s</w:t>
      </w:r>
      <w:r w:rsidRPr="006A06D5">
        <w:rPr>
          <w:rFonts w:cs="Arial"/>
        </w:rPr>
        <w:t>hemmnisse bei Druckbehältern an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den technischen Fortschritt — im folgenden „Ausschuß“ genannt —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ei</w:t>
      </w:r>
      <w:r w:rsidRPr="006A06D5">
        <w:rPr>
          <w:rFonts w:cs="Arial"/>
        </w:rPr>
        <w:t>n</w:t>
      </w:r>
      <w:r w:rsidRPr="006A06D5">
        <w:rPr>
          <w:rFonts w:cs="Arial"/>
        </w:rPr>
        <w:t>gesetzt, der aus Vertretern der Mitgliedstaaten besteht und in dem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ein Vertreter der Kommission den Vorsitz führt.</w:t>
      </w:r>
    </w:p>
    <w:p w:rsidR="001641BC" w:rsidRPr="006A06D5" w:rsidRDefault="001641BC" w:rsidP="008955FB">
      <w:pPr>
        <w:pStyle w:val="berschrift3"/>
      </w:pPr>
      <w:bookmarkStart w:id="27" w:name="_Toc400367436"/>
      <w:r w:rsidRPr="006A06D5">
        <w:t>Artikel 20</w:t>
      </w:r>
      <w:bookmarkEnd w:id="27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Die Kommission wird von dem Ausschuss zur Anpassung der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Richtlinien über die Beseitigung der techn</w:t>
      </w:r>
      <w:r w:rsidRPr="006A06D5">
        <w:rPr>
          <w:rFonts w:cs="Arial"/>
        </w:rPr>
        <w:t>i</w:t>
      </w:r>
      <w:r w:rsidRPr="006A06D5">
        <w:rPr>
          <w:rFonts w:cs="Arial"/>
        </w:rPr>
        <w:t>schen Handelshemmnisse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bei Druckbehältern an den technischen Fortschritt unterstützt.</w:t>
      </w:r>
    </w:p>
    <w:p w:rsidR="001641BC" w:rsidRPr="00B31FB4" w:rsidRDefault="001641BC" w:rsidP="00B31FB4">
      <w:pPr>
        <w:pStyle w:val="GesAbsatz"/>
        <w:rPr>
          <w:rFonts w:cs="Arial"/>
        </w:rPr>
      </w:pPr>
      <w:r w:rsidRPr="006A06D5">
        <w:rPr>
          <w:rFonts w:cs="Arial"/>
        </w:rPr>
        <w:t xml:space="preserve">(2) </w:t>
      </w:r>
      <w:r w:rsidR="00B31FB4" w:rsidRPr="00B31FB4">
        <w:rPr>
          <w:rFonts w:cs="Arial"/>
        </w:rPr>
        <w:t>Wird auf diesen Absatz Bezug genommen, so gelten Artikel 5a Absätze 1 bis 4 und Artikel 7 des</w:t>
      </w:r>
      <w:r w:rsidR="00B31FB4">
        <w:rPr>
          <w:rFonts w:cs="Arial"/>
        </w:rPr>
        <w:t xml:space="preserve"> </w:t>
      </w:r>
      <w:r w:rsidR="00B31FB4" w:rsidRPr="00B31FB4">
        <w:rPr>
          <w:rFonts w:cs="Arial"/>
        </w:rPr>
        <w:t>B</w:t>
      </w:r>
      <w:r w:rsidR="00B31FB4" w:rsidRPr="00B31FB4">
        <w:rPr>
          <w:rFonts w:cs="Arial"/>
        </w:rPr>
        <w:t>e</w:t>
      </w:r>
      <w:r w:rsidR="00B31FB4" w:rsidRPr="00B31FB4">
        <w:rPr>
          <w:rFonts w:cs="Arial"/>
        </w:rPr>
        <w:t>schlusses 1999/468/EG unter Beachtung von dessen Artikel 8.</w:t>
      </w:r>
    </w:p>
    <w:p w:rsidR="001641BC" w:rsidRPr="006A06D5" w:rsidRDefault="001641BC" w:rsidP="008955FB">
      <w:pPr>
        <w:pStyle w:val="berschrift2"/>
      </w:pPr>
      <w:bookmarkStart w:id="28" w:name="_Toc400367437"/>
      <w:r w:rsidRPr="006A06D5">
        <w:lastRenderedPageBreak/>
        <w:t>KAPITEL VII</w:t>
      </w:r>
      <w:r w:rsidR="008955FB">
        <w:br/>
      </w:r>
      <w:r w:rsidRPr="006A06D5">
        <w:t>Schutzklausel</w:t>
      </w:r>
      <w:bookmarkEnd w:id="28"/>
    </w:p>
    <w:p w:rsidR="001641BC" w:rsidRPr="006A06D5" w:rsidRDefault="001641BC" w:rsidP="008955FB">
      <w:pPr>
        <w:pStyle w:val="berschrift3"/>
      </w:pPr>
      <w:bookmarkStart w:id="29" w:name="_Toc400367438"/>
      <w:r w:rsidRPr="006A06D5">
        <w:t>Artikel 21</w:t>
      </w:r>
      <w:bookmarkEnd w:id="29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Stellt ein Mitgliedstaat auf der Grundlage einer eingehenden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Begründung fest, daß ein oder mehrere Druckbehälter trotz Einhaltung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der Vorschriften dieser Richtlinie und der Einzelrichtlinien eine Gefahr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für die Sicherheit darstellen, so kann er das Inverkehrbringen dieses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Druckbehälters oder dieser Druckbehälter in seinem Hoheitsgebiet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vorläufig untersagen oder besonderen Bedingungen unterwerfen. 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teilt dies unter Angabe der Gründe für seine Entscheidung unverzüglich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der Kommission und den anderen Mitgliedstaaten mit.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Die Kommission konsultiert binnen sechs Wochen die betreffenden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Mitgliedstaaten; anschließend gibt sie unverzüglich ihre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Stellungnahme ab und trifft die entsprechenden Maßnahmen.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(3) Ist die Kommission der Ansicht, daß technische Anpassungen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der Richtlinie erforderlich sind, so werden diese Anpassungen entweder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von der Kommission oder vom Rat nach dem in Artikel 20 vorgesehenen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Ve</w:t>
      </w:r>
      <w:r w:rsidRPr="006A06D5">
        <w:rPr>
          <w:rFonts w:cs="Arial"/>
        </w:rPr>
        <w:t>r</w:t>
      </w:r>
      <w:r w:rsidRPr="006A06D5">
        <w:rPr>
          <w:rFonts w:cs="Arial"/>
        </w:rPr>
        <w:t>fahren beschlossen; in diesem Fall kann der Mitgliedstaat,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der Schutzmaßnahmen getroffen hat, diese bis zum Inkrafttreten dieser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Anpassungen beibehalten.</w:t>
      </w:r>
    </w:p>
    <w:p w:rsidR="001641BC" w:rsidRPr="006A06D5" w:rsidRDefault="001641BC" w:rsidP="008955FB">
      <w:pPr>
        <w:pStyle w:val="berschrift2"/>
      </w:pPr>
      <w:bookmarkStart w:id="30" w:name="_Toc400367439"/>
      <w:r w:rsidRPr="006A06D5">
        <w:t>KAPITEL VIII</w:t>
      </w:r>
      <w:r w:rsidR="008955FB">
        <w:br/>
      </w:r>
      <w:r w:rsidRPr="006A06D5">
        <w:t>Besondere Bestimmungen</w:t>
      </w:r>
      <w:bookmarkEnd w:id="30"/>
    </w:p>
    <w:p w:rsidR="001641BC" w:rsidRPr="006A06D5" w:rsidRDefault="001641BC" w:rsidP="008955FB">
      <w:pPr>
        <w:pStyle w:val="berschrift3"/>
      </w:pPr>
      <w:bookmarkStart w:id="31" w:name="_Toc400367440"/>
      <w:r w:rsidRPr="006A06D5">
        <w:t>Artikel 22</w:t>
      </w:r>
      <w:bookmarkEnd w:id="31"/>
    </w:p>
    <w:p w:rsidR="00D5569E" w:rsidRPr="00D5569E" w:rsidRDefault="00D5569E" w:rsidP="00D5569E">
      <w:pPr>
        <w:pStyle w:val="GesAbsatz"/>
        <w:rPr>
          <w:i/>
          <w:color w:val="FF0000"/>
        </w:rPr>
      </w:pPr>
      <w:r w:rsidRPr="00D5569E">
        <w:rPr>
          <w:i/>
          <w:color w:val="FF0000"/>
        </w:rPr>
        <w:t xml:space="preserve">[Red. Anm.: Gemäß § 19 der Richtlinie </w:t>
      </w:r>
      <w:hyperlink r:id="rId12" w:history="1">
        <w:r w:rsidRPr="00715C67">
          <w:rPr>
            <w:rStyle w:val="Hyperlink"/>
            <w:i/>
          </w:rPr>
          <w:t>97/23/EG</w:t>
        </w:r>
      </w:hyperlink>
      <w:r w:rsidRPr="00D5569E">
        <w:rPr>
          <w:i/>
          <w:color w:val="FF0000"/>
        </w:rPr>
        <w:t xml:space="preserve"> gilt folgendes: Artikel 22 der Richtlinie 76/767/EWG wird ab 29. November 1999 auf Druckgeräte und Baugruppen, die in den Anwendungsbereich der vorliegenden Richtlinie fallen, nicht mehr angewandt.]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Dieser Artikel findet auf Druckbehälter, die gemäß Artikel 1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unter den Geltungsbereich dieser Richtlinie fallen, Anwendung, soweit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für diese Druckbehälter keine Einzelrichtlinien bestehen.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In diesem Fall gelten folgende Regeln:</w:t>
      </w:r>
    </w:p>
    <w:p w:rsidR="001641BC" w:rsidRPr="006A06D5" w:rsidRDefault="001641BC" w:rsidP="008955FB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a)</w:t>
      </w:r>
      <w:r w:rsidR="008955FB">
        <w:rPr>
          <w:rFonts w:cs="Arial"/>
        </w:rPr>
        <w:tab/>
      </w:r>
      <w:r w:rsidRPr="006A06D5">
        <w:rPr>
          <w:rFonts w:cs="Arial"/>
        </w:rPr>
        <w:t>Der Druckbehälter wird von den zuständigen Verwaltungsbehörden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des Bestimmungs-Mitgliedstaats als den in diesem Staat für die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Herstellung geltenden Rechts- und Verwaltungsvorschriften entsprechend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angesehen, wenn die Prüfungen durch eine Prüfstelle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ausgeführt wurden, die nach dem Verfahren des Anhangs IV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ausgewählt worden ist;</w:t>
      </w:r>
    </w:p>
    <w:p w:rsidR="001641BC" w:rsidRPr="006A06D5" w:rsidRDefault="001641BC" w:rsidP="008955FB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b)</w:t>
      </w:r>
      <w:r w:rsidR="008955FB">
        <w:rPr>
          <w:rFonts w:cs="Arial"/>
        </w:rPr>
        <w:tab/>
      </w:r>
      <w:r w:rsidRPr="006A06D5">
        <w:rPr>
          <w:rFonts w:cs="Arial"/>
        </w:rPr>
        <w:t>diese Prüfungen sind nach dem in Anhang IV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beschriebenen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Verfahren und gemäß den im Besti</w:t>
      </w:r>
      <w:r w:rsidRPr="006A06D5">
        <w:rPr>
          <w:rFonts w:cs="Arial"/>
        </w:rPr>
        <w:t>m</w:t>
      </w:r>
      <w:r w:rsidRPr="006A06D5">
        <w:rPr>
          <w:rFonts w:cs="Arial"/>
        </w:rPr>
        <w:t>mungsmitgliedstaat geltenden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oder durch die Verwaltungsbehörden dieses Mitgliedstaats als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gleichwe</w:t>
      </w:r>
      <w:r w:rsidRPr="006A06D5">
        <w:rPr>
          <w:rFonts w:cs="Arial"/>
        </w:rPr>
        <w:t>r</w:t>
      </w:r>
      <w:r w:rsidRPr="006A06D5">
        <w:rPr>
          <w:rFonts w:cs="Arial"/>
        </w:rPr>
        <w:t>tig anerkannten Prüfverfahren auszuführen.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Bei den vorgenannten Prüfungen handelt es sich um alle diejenigen, die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in der Produktionsstätte der Druc</w:t>
      </w:r>
      <w:r w:rsidRPr="006A06D5">
        <w:rPr>
          <w:rFonts w:cs="Arial"/>
        </w:rPr>
        <w:t>k</w:t>
      </w:r>
      <w:r w:rsidRPr="006A06D5">
        <w:rPr>
          <w:rFonts w:cs="Arial"/>
        </w:rPr>
        <w:t>behälter durchgeführt werden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können.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(3) Die Mitgliedstaaten betrachten die Prüfberichte und Prüfbescheinigungen,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die von der Prüfstelle des He</w:t>
      </w:r>
      <w:r w:rsidRPr="006A06D5">
        <w:rPr>
          <w:rFonts w:cs="Arial"/>
        </w:rPr>
        <w:t>r</w:t>
      </w:r>
      <w:r w:rsidRPr="006A06D5">
        <w:rPr>
          <w:rFonts w:cs="Arial"/>
        </w:rPr>
        <w:t>kunftsstaats des Druckbehälters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ausgestellt werden, als den entsprechenden einzelstaatlichen Prüfnachwe</w:t>
      </w:r>
      <w:r w:rsidRPr="006A06D5">
        <w:rPr>
          <w:rFonts w:cs="Arial"/>
        </w:rPr>
        <w:t>i</w:t>
      </w:r>
      <w:r w:rsidRPr="006A06D5">
        <w:rPr>
          <w:rFonts w:cs="Arial"/>
        </w:rPr>
        <w:t>sen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gleichwertig.</w:t>
      </w:r>
    </w:p>
    <w:p w:rsidR="001641BC" w:rsidRPr="006A06D5" w:rsidRDefault="001641BC" w:rsidP="008955FB">
      <w:pPr>
        <w:pStyle w:val="berschrift2"/>
      </w:pPr>
      <w:bookmarkStart w:id="32" w:name="_Toc400367441"/>
      <w:r w:rsidRPr="006A06D5">
        <w:t>KAPITEL IX</w:t>
      </w:r>
      <w:r w:rsidR="008955FB">
        <w:br/>
      </w:r>
      <w:r w:rsidRPr="006A06D5">
        <w:t>Schlußbestimmungen</w:t>
      </w:r>
      <w:bookmarkEnd w:id="32"/>
    </w:p>
    <w:p w:rsidR="001641BC" w:rsidRPr="006A06D5" w:rsidRDefault="001641BC" w:rsidP="008955FB">
      <w:pPr>
        <w:pStyle w:val="berschrift3"/>
      </w:pPr>
      <w:bookmarkStart w:id="33" w:name="_Toc400367442"/>
      <w:r w:rsidRPr="006A06D5">
        <w:t>Artikel 23</w:t>
      </w:r>
      <w:bookmarkEnd w:id="33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Jede Maßnahme, die von einem Mitgliedstaat oder einer Prüfstelle in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Anwendung dieser Richtlinie und der einschlägigen Einzelrichtlinie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getroffen wird und durch die die EWG-Bauartzulassung oder die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Anbringung des EWG-Prüfzeichens verweigert, die Zulassung widerrufen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oder der Vertrieb oder die Benutzung eines EWG</w:t>
      </w:r>
      <w:r w:rsidR="008955FB">
        <w:rPr>
          <w:rFonts w:cs="Arial"/>
        </w:rPr>
        <w:t>-</w:t>
      </w:r>
      <w:r w:rsidRPr="006A06D5">
        <w:rPr>
          <w:rFonts w:cs="Arial"/>
        </w:rPr>
        <w:t>Druckbehälters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untersagt wird, ist genau zu begründen. Sie ist den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Betroffenen unter Angabe der in dem betreffenden Mitgliedstaat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zulässigen Rechtsmittel und der einschlägigen Fristen so bald wie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möglich mitzuteilen.</w:t>
      </w:r>
    </w:p>
    <w:p w:rsidR="001641BC" w:rsidRPr="006A06D5" w:rsidRDefault="001641BC" w:rsidP="008955FB">
      <w:pPr>
        <w:pStyle w:val="berschrift3"/>
      </w:pPr>
      <w:bookmarkStart w:id="34" w:name="_Toc400367443"/>
      <w:r w:rsidRPr="006A06D5">
        <w:lastRenderedPageBreak/>
        <w:t>Artikel 24</w:t>
      </w:r>
      <w:bookmarkEnd w:id="34"/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(1) Die Mitgliedstaaten setzen die erforderlichen Rechts- und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Verwaltungsvorschriften in Kraft, um dieser Richtlinie binnen 18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Monaten nach ihrer Bekanntgabe nachzukommen, und setzen die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Kommission unve</w:t>
      </w:r>
      <w:r w:rsidRPr="006A06D5">
        <w:rPr>
          <w:rFonts w:cs="Arial"/>
        </w:rPr>
        <w:t>r</w:t>
      </w:r>
      <w:r w:rsidRPr="006A06D5">
        <w:rPr>
          <w:rFonts w:cs="Arial"/>
        </w:rPr>
        <w:t>züglich davon in Kenntnis.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(2) Die Mitgliedstaaten tragen dafür Sorge, daß der Kommission der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Wortlaut der innerstaatlichen Besti</w:t>
      </w:r>
      <w:r w:rsidRPr="006A06D5">
        <w:rPr>
          <w:rFonts w:cs="Arial"/>
        </w:rPr>
        <w:t>m</w:t>
      </w:r>
      <w:r w:rsidRPr="006A06D5">
        <w:rPr>
          <w:rFonts w:cs="Arial"/>
        </w:rPr>
        <w:t>mungen mitgeteilt wird, die sie auf</w:t>
      </w:r>
      <w:r w:rsidR="008955FB">
        <w:rPr>
          <w:rFonts w:cs="Arial"/>
        </w:rPr>
        <w:t xml:space="preserve"> </w:t>
      </w:r>
      <w:r w:rsidRPr="006A06D5">
        <w:rPr>
          <w:rFonts w:cs="Arial"/>
        </w:rPr>
        <w:t>dem unter diese Richtlinie fallenden Gebiet erlassen.</w:t>
      </w:r>
    </w:p>
    <w:p w:rsidR="001641BC" w:rsidRPr="006A06D5" w:rsidRDefault="001641BC" w:rsidP="008955FB">
      <w:pPr>
        <w:pStyle w:val="berschrift3"/>
      </w:pPr>
      <w:bookmarkStart w:id="35" w:name="_Toc400367444"/>
      <w:r w:rsidRPr="006A06D5">
        <w:t>Artikel 25</w:t>
      </w:r>
      <w:bookmarkEnd w:id="35"/>
    </w:p>
    <w:p w:rsidR="00684890" w:rsidRDefault="001641BC" w:rsidP="006A06D5">
      <w:pPr>
        <w:pStyle w:val="GesAbsatz"/>
        <w:rPr>
          <w:rFonts w:eastAsia="TimesNewRomanSymbol" w:cs="Arial"/>
        </w:rPr>
      </w:pPr>
      <w:r w:rsidRPr="006A06D5">
        <w:rPr>
          <w:rFonts w:cs="Arial"/>
        </w:rPr>
        <w:t>Diese Richtlinie ist an die Mitgliedstaaten gerichtet.</w:t>
      </w:r>
    </w:p>
    <w:p w:rsidR="007365B2" w:rsidRDefault="00684890" w:rsidP="00021ABE">
      <w:pPr>
        <w:pStyle w:val="GesAbsatz"/>
        <w:jc w:val="left"/>
      </w:pPr>
      <w:r>
        <w:rPr>
          <w:rFonts w:eastAsia="TimesNewRomanSymbol" w:cs="Arial"/>
        </w:rPr>
        <w:br w:type="page"/>
      </w:r>
      <w:r w:rsidR="001641BC" w:rsidRPr="00021ABE">
        <w:lastRenderedPageBreak/>
        <w:t xml:space="preserve">ANHANG I </w:t>
      </w:r>
      <w:r w:rsidR="00C771F4" w:rsidRPr="00B97A1F">
        <w:rPr>
          <w:vertAlign w:val="superscript"/>
        </w:rPr>
        <w:footnoteReference w:id="3"/>
      </w:r>
    </w:p>
    <w:p w:rsidR="001641BC" w:rsidRPr="007365B2" w:rsidRDefault="001641BC" w:rsidP="007365B2">
      <w:pPr>
        <w:pStyle w:val="GesAbsatz"/>
        <w:jc w:val="center"/>
      </w:pPr>
      <w:r w:rsidRPr="007365B2">
        <w:t>EWG-BAUARTZULASSUNG</w:t>
      </w:r>
    </w:p>
    <w:p w:rsidR="001641BC" w:rsidRPr="005411D0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  <w:b/>
        </w:rPr>
      </w:pPr>
      <w:r w:rsidRPr="005411D0">
        <w:rPr>
          <w:rFonts w:cs="Arial"/>
          <w:b/>
        </w:rPr>
        <w:t>1.</w:t>
      </w:r>
      <w:r w:rsidR="005411D0" w:rsidRPr="005411D0">
        <w:rPr>
          <w:rFonts w:cs="Arial"/>
          <w:b/>
        </w:rPr>
        <w:tab/>
      </w:r>
      <w:r w:rsidRPr="005411D0">
        <w:rPr>
          <w:rFonts w:cs="Arial"/>
          <w:b/>
        </w:rPr>
        <w:t>ANTRAG AUF EWG-BAUARTZULASSUNG</w:t>
      </w: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1.1.</w:t>
      </w:r>
      <w:r w:rsidR="005411D0">
        <w:rPr>
          <w:rFonts w:cs="Arial"/>
        </w:rPr>
        <w:tab/>
      </w:r>
      <w:r w:rsidRPr="006A06D5">
        <w:rPr>
          <w:rFonts w:cs="Arial"/>
        </w:rPr>
        <w:t>Antrag und Schriftverkehr müssen in einer nach den innerstaatlichen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Rechtsvorschriften vorgeschri</w:t>
      </w:r>
      <w:r w:rsidRPr="006A06D5">
        <w:rPr>
          <w:rFonts w:cs="Arial"/>
        </w:rPr>
        <w:t>e</w:t>
      </w:r>
      <w:r w:rsidRPr="006A06D5">
        <w:rPr>
          <w:rFonts w:cs="Arial"/>
        </w:rPr>
        <w:t>benen Amtssprache des Staates abgefaßt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sein, in dem der Antrag gestellt wird. Dieser Mitgliedstaat kann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verlangen, daß die beigefügten Unterlagen ebenfalls in dieser Amtssprache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abgefaßt sind.</w:t>
      </w: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 w:rsidRPr="006A06D5">
        <w:rPr>
          <w:rFonts w:cs="Arial"/>
        </w:rPr>
        <w:t>1.2.</w:t>
      </w:r>
      <w:r w:rsidR="005411D0">
        <w:rPr>
          <w:rFonts w:cs="Arial"/>
        </w:rPr>
        <w:tab/>
      </w:r>
      <w:r w:rsidRPr="006A06D5">
        <w:rPr>
          <w:rFonts w:cs="Arial"/>
        </w:rPr>
        <w:t>Der Antrag muß folgende Angaben enthalten: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Name und Anschrift des Herstellers oder der Firma, seines (ihres)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Bevollmächtigten oder des A</w:t>
      </w:r>
      <w:r w:rsidR="001641BC" w:rsidRPr="006A06D5">
        <w:rPr>
          <w:rFonts w:cs="Arial"/>
        </w:rPr>
        <w:t>n</w:t>
      </w:r>
      <w:r w:rsidR="001641BC" w:rsidRPr="006A06D5">
        <w:rPr>
          <w:rFonts w:cs="Arial"/>
        </w:rPr>
        <w:t>tragstellers, sowie Ort oder Orte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Herstellung der Druckbehälter,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Art des Druckbehälters,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vorgesehener Verwendungszweck oder nicht in Frage kommende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Verwendungszwecke,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technische Merkmale,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etwaige Handelsbezeichnung oder Typ.</w:t>
      </w: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1.3.</w:t>
      </w:r>
      <w:r w:rsidR="005411D0">
        <w:rPr>
          <w:rFonts w:cs="Arial"/>
        </w:rPr>
        <w:tab/>
      </w:r>
      <w:r w:rsidRPr="006A06D5">
        <w:rPr>
          <w:rFonts w:cs="Arial"/>
        </w:rPr>
        <w:t>Dem Antrag sind die zu seiner Prüfung erforderlichen Unterlagen in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doppelter Ausfertigung beizuf</w:t>
      </w:r>
      <w:r w:rsidRPr="006A06D5">
        <w:rPr>
          <w:rFonts w:cs="Arial"/>
        </w:rPr>
        <w:t>ü</w:t>
      </w:r>
      <w:r w:rsidRPr="006A06D5">
        <w:rPr>
          <w:rFonts w:cs="Arial"/>
        </w:rPr>
        <w:t>gen, und zwar insbesondere:</w:t>
      </w: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 w:rsidRPr="006A06D5">
        <w:rPr>
          <w:rFonts w:cs="Arial"/>
        </w:rPr>
        <w:t>1.3.1.</w:t>
      </w:r>
      <w:r w:rsidR="005411D0">
        <w:rPr>
          <w:rFonts w:cs="Arial"/>
        </w:rPr>
        <w:tab/>
      </w:r>
      <w:r w:rsidRPr="006A06D5">
        <w:rPr>
          <w:rFonts w:cs="Arial"/>
        </w:rPr>
        <w:t>eine Beschreibung betreffend insbesondere: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Einzelheiten der Werkstoffe, Herstellung und Festigkeitsberechnung,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(gegebenenfalls) Sicherheitseinrichtungen,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vorgesehene Stellen für die Anbringung der in dieser Richtlinie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vorgesehenen Zulassungs- und Prüfzeichen und der sonstigen in den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Einzelrichtlinien vorgesehenen Kennzeichen;</w:t>
      </w: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 w:rsidRPr="006A06D5">
        <w:rPr>
          <w:rFonts w:cs="Arial"/>
        </w:rPr>
        <w:t>1.3.2.</w:t>
      </w:r>
      <w:r w:rsidR="005411D0">
        <w:rPr>
          <w:rFonts w:cs="Arial"/>
        </w:rPr>
        <w:tab/>
      </w:r>
      <w:r w:rsidRPr="006A06D5">
        <w:rPr>
          <w:rFonts w:cs="Arial"/>
        </w:rPr>
        <w:t>die Zusammenstellungszeichnungen sowie gegebenenfalls die Einzelzeichnungen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wichtiger Bauteile;</w:t>
      </w: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 w:rsidRPr="006A06D5">
        <w:rPr>
          <w:rFonts w:cs="Arial"/>
        </w:rPr>
        <w:t>1.3.3.</w:t>
      </w:r>
      <w:r w:rsidR="005411D0">
        <w:rPr>
          <w:rFonts w:cs="Arial"/>
        </w:rPr>
        <w:tab/>
      </w:r>
      <w:r w:rsidRPr="006A06D5">
        <w:rPr>
          <w:rFonts w:cs="Arial"/>
        </w:rPr>
        <w:t>alle weiteren in den Einzelrichtlinien vorgesehenen Angaben;</w:t>
      </w: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1.3.4.</w:t>
      </w:r>
      <w:r w:rsidR="005411D0">
        <w:rPr>
          <w:rFonts w:cs="Arial"/>
        </w:rPr>
        <w:tab/>
      </w:r>
      <w:r w:rsidRPr="006A06D5">
        <w:rPr>
          <w:rFonts w:cs="Arial"/>
        </w:rPr>
        <w:t>eine Erklärung, daß für dieselbe Druckbehälterbauart kein weiterer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Antrag auf EWG-Bauartzulassung gestellt wurde.</w:t>
      </w:r>
    </w:p>
    <w:p w:rsidR="001641BC" w:rsidRPr="005411D0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  <w:b/>
        </w:rPr>
      </w:pPr>
      <w:r w:rsidRPr="005411D0">
        <w:rPr>
          <w:rFonts w:cs="Arial"/>
          <w:b/>
        </w:rPr>
        <w:t>2.</w:t>
      </w:r>
      <w:r w:rsidR="005411D0">
        <w:rPr>
          <w:rFonts w:cs="Arial"/>
          <w:b/>
        </w:rPr>
        <w:tab/>
      </w:r>
      <w:r w:rsidRPr="005411D0">
        <w:rPr>
          <w:rFonts w:cs="Arial"/>
          <w:b/>
        </w:rPr>
        <w:t>EWG-BAUARTZULASSUNGSPRÜFUNG</w:t>
      </w: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2.1.</w:t>
      </w:r>
      <w:r w:rsidR="005411D0">
        <w:rPr>
          <w:rFonts w:cs="Arial"/>
        </w:rPr>
        <w:tab/>
      </w:r>
      <w:r w:rsidRPr="006A06D5">
        <w:rPr>
          <w:rFonts w:cs="Arial"/>
        </w:rPr>
        <w:t>Die EWG-Bauartzulassungsprüfung wird auf der Grundlage der Ausführungszeichnungen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und geg</w:t>
      </w:r>
      <w:r w:rsidRPr="006A06D5">
        <w:rPr>
          <w:rFonts w:cs="Arial"/>
        </w:rPr>
        <w:t>e</w:t>
      </w:r>
      <w:r w:rsidRPr="006A06D5">
        <w:rPr>
          <w:rFonts w:cs="Arial"/>
        </w:rPr>
        <w:t>benenfalls von Baumustern des Druckbehälters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durchgeführt.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Diese Prüfung besteht aus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a)</w:t>
      </w:r>
      <w:r>
        <w:rPr>
          <w:rFonts w:cs="Arial"/>
        </w:rPr>
        <w:tab/>
      </w:r>
      <w:r w:rsidR="001641BC" w:rsidRPr="006A06D5">
        <w:rPr>
          <w:rFonts w:cs="Arial"/>
        </w:rPr>
        <w:t>der Prüfung der Berechnung der Auslegung des Druckbehälters,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Herstellungsverfahren, der Bauausführung und der verwendeten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Werkstoffe;</w:t>
      </w:r>
    </w:p>
    <w:p w:rsidR="001641BC" w:rsidRPr="006A06D5" w:rsidRDefault="005411D0" w:rsidP="005411D0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b)</w:t>
      </w:r>
      <w:r>
        <w:rPr>
          <w:rFonts w:cs="Arial"/>
        </w:rPr>
        <w:tab/>
      </w:r>
      <w:r w:rsidR="001641BC" w:rsidRPr="006A06D5">
        <w:rPr>
          <w:rFonts w:cs="Arial"/>
        </w:rPr>
        <w:t>gegebenenfalls der Prüfung der Sicherheits- und Meßeinrichtungen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sowie der Art der Aufstellung des Druckbehälters.</w:t>
      </w:r>
    </w:p>
    <w:p w:rsidR="001641BC" w:rsidRPr="005411D0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  <w:b/>
        </w:rPr>
      </w:pPr>
      <w:r w:rsidRPr="005411D0">
        <w:rPr>
          <w:rFonts w:cs="Arial"/>
          <w:b/>
        </w:rPr>
        <w:t>3.</w:t>
      </w:r>
      <w:r w:rsidR="005411D0">
        <w:rPr>
          <w:rFonts w:cs="Arial"/>
          <w:b/>
        </w:rPr>
        <w:tab/>
      </w:r>
      <w:r w:rsidRPr="005411D0">
        <w:rPr>
          <w:rFonts w:cs="Arial"/>
          <w:b/>
        </w:rPr>
        <w:t>EWG-ZULASSUNGSBESCHEINIGUNG UND EWG-ZULASSUNGSZEICHEN</w:t>
      </w: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3.1.</w:t>
      </w:r>
      <w:r w:rsidR="005411D0">
        <w:rPr>
          <w:rFonts w:cs="Arial"/>
        </w:rPr>
        <w:tab/>
      </w:r>
      <w:r w:rsidRPr="006A06D5">
        <w:rPr>
          <w:rFonts w:cs="Arial"/>
        </w:rPr>
        <w:t>Die EWG-Zulassungsbescheinigung nach Artikel 7 gibt die Ergebnisse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der Bauartzulassungsprüfung wieder und führt die Bedingungen auf, die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 xml:space="preserve">gegebenenfalls mit der Zulassung nach Artikel 2 </w:t>
      </w:r>
      <w:proofErr w:type="gramStart"/>
      <w:r w:rsidRPr="006A06D5">
        <w:rPr>
          <w:rFonts w:cs="Arial"/>
        </w:rPr>
        <w:t>Absatz</w:t>
      </w:r>
      <w:proofErr w:type="gramEnd"/>
      <w:r w:rsidRPr="006A06D5">
        <w:rPr>
          <w:rFonts w:cs="Arial"/>
        </w:rPr>
        <w:t xml:space="preserve"> 1 verbunden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sind. Ihr sind die Beschreibungen und Zeichnungen beizufügen, die zur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Identifizierung der Bauart und eventuell zur Erläuterung der Betriebsweise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>notwendig sind. Das EWG-Zulassungszeichen nach Artikel 7 hat</w:t>
      </w:r>
      <w:r w:rsidR="005411D0">
        <w:rPr>
          <w:rFonts w:cs="Arial"/>
        </w:rPr>
        <w:t xml:space="preserve"> </w:t>
      </w:r>
      <w:r w:rsidRPr="006A06D5">
        <w:rPr>
          <w:rFonts w:cs="Arial"/>
        </w:rPr>
        <w:t xml:space="preserve">die Form eines stilisierten </w:t>
      </w:r>
      <w:r w:rsidRPr="005411D0">
        <w:rPr>
          <w:rFonts w:cs="Arial"/>
          <w:iCs/>
        </w:rPr>
        <w:t>έ</w:t>
      </w:r>
      <w:r w:rsidRPr="006A06D5">
        <w:rPr>
          <w:rFonts w:cs="Arial"/>
          <w:i/>
          <w:iCs/>
        </w:rPr>
        <w:t xml:space="preserve">. </w:t>
      </w:r>
      <w:r w:rsidRPr="006A06D5">
        <w:rPr>
          <w:rFonts w:cs="Arial"/>
        </w:rPr>
        <w:t>Dieses Zeichen enthält:</w:t>
      </w:r>
    </w:p>
    <w:p w:rsidR="001641BC" w:rsidRPr="006A06D5" w:rsidRDefault="00684890" w:rsidP="00756A74">
      <w:pPr>
        <w:pStyle w:val="GesAbsatz"/>
        <w:tabs>
          <w:tab w:val="clear" w:pos="425"/>
          <w:tab w:val="left" w:pos="567"/>
        </w:tabs>
        <w:ind w:left="851" w:hanging="851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im oberen Teil die zur Kennzeichnung der Einzelrichtlinie in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chronologischen Reihenfolge der Genehmigung festgelegte Nummer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und das Kennzeichen des Staates, der die Zulassung erteilt hat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(B für Belgien, D für Deutschland, DK für Dänemark, E für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Spanien, F für Frankreich, EL für Gri</w:t>
      </w:r>
      <w:r w:rsidR="001641BC" w:rsidRPr="006A06D5">
        <w:rPr>
          <w:rFonts w:cs="Arial"/>
        </w:rPr>
        <w:t>e</w:t>
      </w:r>
      <w:r w:rsidR="001641BC" w:rsidRPr="006A06D5">
        <w:rPr>
          <w:rFonts w:cs="Arial"/>
        </w:rPr>
        <w:t>chenland, I für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Italien, IRL für Irland, L für Luxemburg, NL für Niederlande, P für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Portugal</w:t>
      </w:r>
      <w:r w:rsidR="003530F1">
        <w:rPr>
          <w:rFonts w:cs="Arial"/>
        </w:rPr>
        <w:t>, UK für Vereinigtes Königreich</w:t>
      </w:r>
      <w:r w:rsidR="001641BC" w:rsidRPr="006A06D5">
        <w:rPr>
          <w:rFonts w:cs="Arial"/>
        </w:rPr>
        <w:t>, A für Österreich, S</w:t>
      </w:r>
      <w:r w:rsidR="00021ABE">
        <w:rPr>
          <w:rFonts w:cs="Arial"/>
        </w:rPr>
        <w:t xml:space="preserve"> </w:t>
      </w:r>
      <w:r w:rsidR="001641BC" w:rsidRPr="006A06D5">
        <w:rPr>
          <w:rFonts w:cs="Arial"/>
        </w:rPr>
        <w:t>für Schweden, FI für Finn</w:t>
      </w:r>
      <w:r w:rsidR="003530F1">
        <w:rPr>
          <w:rFonts w:cs="Arial"/>
        </w:rPr>
        <w:t>land</w:t>
      </w:r>
      <w:r w:rsidR="00C0764D">
        <w:rPr>
          <w:rFonts w:cs="Arial"/>
        </w:rPr>
        <w:t>, CZ für die Tschechische Republik, EST für Estland, CY für Zypern, LV für Lettland, LT für Litauen, H für Ungarn, M für Ma</w:t>
      </w:r>
      <w:r w:rsidR="00C0764D">
        <w:rPr>
          <w:rFonts w:cs="Arial"/>
        </w:rPr>
        <w:t>l</w:t>
      </w:r>
      <w:r w:rsidR="00C0764D">
        <w:rPr>
          <w:rFonts w:cs="Arial"/>
        </w:rPr>
        <w:t>ta, PL für Polen, SI für Slowenien, SK für die Slowakei</w:t>
      </w:r>
      <w:r w:rsidR="003530F1">
        <w:rPr>
          <w:rFonts w:cs="Arial"/>
        </w:rPr>
        <w:t>)</w:t>
      </w:r>
      <w:r w:rsidR="001641BC" w:rsidRPr="006A06D5">
        <w:rPr>
          <w:rFonts w:cs="Arial"/>
        </w:rPr>
        <w:t xml:space="preserve"> sowie die letzten beiden</w:t>
      </w:r>
      <w:r w:rsidR="00756A74">
        <w:rPr>
          <w:rFonts w:cs="Arial"/>
        </w:rPr>
        <w:t xml:space="preserve"> </w:t>
      </w:r>
      <w:r w:rsidR="001641BC" w:rsidRPr="006A06D5">
        <w:rPr>
          <w:rFonts w:cs="Arial"/>
        </w:rPr>
        <w:t>Ziffern des Jahres der EWG-Bauartzulassung; die Nummer zur Kennzeichnung</w:t>
      </w:r>
      <w:r w:rsidR="00756A74">
        <w:rPr>
          <w:rFonts w:cs="Arial"/>
        </w:rPr>
        <w:t xml:space="preserve"> </w:t>
      </w:r>
      <w:r w:rsidR="001641BC" w:rsidRPr="006A06D5">
        <w:rPr>
          <w:rFonts w:cs="Arial"/>
        </w:rPr>
        <w:t>der Einzelrichtlinie, auf die sich die EWG-Bauartzulassung</w:t>
      </w:r>
      <w:r w:rsidR="00756A74">
        <w:rPr>
          <w:rFonts w:cs="Arial"/>
        </w:rPr>
        <w:t xml:space="preserve"> </w:t>
      </w:r>
      <w:r w:rsidR="001641BC" w:rsidRPr="006A06D5">
        <w:rPr>
          <w:rFonts w:cs="Arial"/>
        </w:rPr>
        <w:t>bezieht, wird vom Rat bei der Genehmigung dieser Richtlinie zugeteilt;</w:t>
      </w:r>
    </w:p>
    <w:p w:rsidR="001641BC" w:rsidRPr="006A06D5" w:rsidRDefault="00756A74" w:rsidP="00756A74">
      <w:pPr>
        <w:pStyle w:val="GesAbsatz"/>
        <w:tabs>
          <w:tab w:val="clear" w:pos="425"/>
          <w:tab w:val="left" w:pos="567"/>
          <w:tab w:val="left" w:pos="851"/>
        </w:tabs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im unteren Teil die Kennummer der EWG-Bauartzulassung.</w:t>
      </w:r>
    </w:p>
    <w:p w:rsidR="001641BC" w:rsidRPr="006A06D5" w:rsidRDefault="00756A74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>
        <w:rPr>
          <w:rFonts w:cs="Arial"/>
        </w:rPr>
        <w:lastRenderedPageBreak/>
        <w:tab/>
      </w:r>
      <w:r w:rsidR="001641BC" w:rsidRPr="006A06D5">
        <w:rPr>
          <w:rFonts w:cs="Arial"/>
        </w:rPr>
        <w:t>Ein Beispiel für dieses Zulassungszeichen befindet sich unter Nummer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5.1.</w:t>
      </w:r>
    </w:p>
    <w:p w:rsidR="001641BC" w:rsidRPr="006A06D5" w:rsidRDefault="001641BC" w:rsidP="00021AB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3.2.</w:t>
      </w:r>
      <w:r w:rsidR="00021ABE">
        <w:rPr>
          <w:rFonts w:cs="Arial"/>
        </w:rPr>
        <w:tab/>
      </w:r>
      <w:r w:rsidRPr="006A06D5">
        <w:rPr>
          <w:rFonts w:cs="Arial"/>
        </w:rPr>
        <w:t>Das in Artikel 8 genannte Zeichen besteht aus dem aufrechten Spiegelbild</w:t>
      </w:r>
      <w:r w:rsidR="00021ABE">
        <w:rPr>
          <w:rFonts w:cs="Arial"/>
        </w:rPr>
        <w:t xml:space="preserve"> </w:t>
      </w:r>
      <w:r w:rsidRPr="006A06D5">
        <w:rPr>
          <w:rFonts w:cs="Arial"/>
        </w:rPr>
        <w:t xml:space="preserve">eines stilisierten </w:t>
      </w:r>
      <w:r w:rsidRPr="00021ABE">
        <w:rPr>
          <w:rFonts w:cs="Arial"/>
          <w:iCs/>
        </w:rPr>
        <w:t>ε,</w:t>
      </w:r>
      <w:r w:rsidRPr="006A06D5">
        <w:rPr>
          <w:rFonts w:cs="Arial"/>
          <w:i/>
          <w:iCs/>
        </w:rPr>
        <w:t xml:space="preserve"> </w:t>
      </w:r>
      <w:r w:rsidRPr="006A06D5">
        <w:rPr>
          <w:rFonts w:cs="Arial"/>
        </w:rPr>
        <w:t>in de</w:t>
      </w:r>
      <w:r w:rsidRPr="006A06D5">
        <w:rPr>
          <w:rFonts w:cs="Arial"/>
        </w:rPr>
        <w:t>s</w:t>
      </w:r>
      <w:r w:rsidRPr="006A06D5">
        <w:rPr>
          <w:rFonts w:cs="Arial"/>
        </w:rPr>
        <w:t>sen oberem Teil die gleichen Angaben enthalten</w:t>
      </w:r>
      <w:r w:rsidR="00021ABE">
        <w:rPr>
          <w:rFonts w:cs="Arial"/>
        </w:rPr>
        <w:t xml:space="preserve"> </w:t>
      </w:r>
      <w:r w:rsidRPr="006A06D5">
        <w:rPr>
          <w:rFonts w:cs="Arial"/>
        </w:rPr>
        <w:t>sind, die in Nummer 3.1 erster Gedankenstrich au</w:t>
      </w:r>
      <w:r w:rsidRPr="006A06D5">
        <w:rPr>
          <w:rFonts w:cs="Arial"/>
        </w:rPr>
        <w:t>f</w:t>
      </w:r>
      <w:r w:rsidRPr="006A06D5">
        <w:rPr>
          <w:rFonts w:cs="Arial"/>
        </w:rPr>
        <w:t>geführt sind, und in</w:t>
      </w:r>
      <w:r w:rsidR="00021ABE">
        <w:rPr>
          <w:rFonts w:cs="Arial"/>
        </w:rPr>
        <w:t xml:space="preserve"> </w:t>
      </w:r>
      <w:r w:rsidRPr="006A06D5">
        <w:rPr>
          <w:rFonts w:cs="Arial"/>
        </w:rPr>
        <w:t>dessen unterem Teil die Bezugsnummer der Druckbehälterart, die nicht</w:t>
      </w:r>
      <w:r w:rsidR="00021ABE">
        <w:rPr>
          <w:rFonts w:cs="Arial"/>
        </w:rPr>
        <w:t xml:space="preserve"> </w:t>
      </w:r>
      <w:r w:rsidRPr="006A06D5">
        <w:rPr>
          <w:rFonts w:cs="Arial"/>
        </w:rPr>
        <w:t>der EWG-Bauartzulassung unterliegt, aufgeführt ist, falls eine solche</w:t>
      </w:r>
      <w:r w:rsidR="00021ABE">
        <w:rPr>
          <w:rFonts w:cs="Arial"/>
        </w:rPr>
        <w:t xml:space="preserve"> </w:t>
      </w:r>
      <w:r w:rsidRPr="006A06D5">
        <w:rPr>
          <w:rFonts w:cs="Arial"/>
        </w:rPr>
        <w:t>Bezugsnummer in der Einzelrichtlinie vo</w:t>
      </w:r>
      <w:r w:rsidRPr="006A06D5">
        <w:rPr>
          <w:rFonts w:cs="Arial"/>
        </w:rPr>
        <w:t>r</w:t>
      </w:r>
      <w:r w:rsidRPr="006A06D5">
        <w:rPr>
          <w:rFonts w:cs="Arial"/>
        </w:rPr>
        <w:t>gesehen ist.</w:t>
      </w:r>
    </w:p>
    <w:p w:rsidR="001641BC" w:rsidRPr="006A06D5" w:rsidRDefault="00021ABE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Ein Beispiel für dieses Zeichen befindet sich unter Nummer 5.2.</w:t>
      </w:r>
    </w:p>
    <w:p w:rsidR="001641BC" w:rsidRPr="006A06D5" w:rsidRDefault="001641BC" w:rsidP="00021AB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3.3.</w:t>
      </w:r>
      <w:r w:rsidR="00021ABE">
        <w:rPr>
          <w:rFonts w:cs="Arial"/>
        </w:rPr>
        <w:tab/>
      </w:r>
      <w:r w:rsidRPr="006A06D5">
        <w:rPr>
          <w:rFonts w:cs="Arial"/>
        </w:rPr>
        <w:t>Das in Artikel 15 Buchstabe a) genannte Zeichen entspricht dem in einem</w:t>
      </w:r>
      <w:r w:rsidR="00021ABE">
        <w:rPr>
          <w:rFonts w:cs="Arial"/>
        </w:rPr>
        <w:t xml:space="preserve"> </w:t>
      </w:r>
      <w:r w:rsidRPr="006A06D5">
        <w:rPr>
          <w:rFonts w:cs="Arial"/>
        </w:rPr>
        <w:t>sechseckigen Feld stehe</w:t>
      </w:r>
      <w:r w:rsidRPr="006A06D5">
        <w:rPr>
          <w:rFonts w:cs="Arial"/>
        </w:rPr>
        <w:t>n</w:t>
      </w:r>
      <w:r w:rsidRPr="006A06D5">
        <w:rPr>
          <w:rFonts w:cs="Arial"/>
        </w:rPr>
        <w:t>den EWG-Zulassungszeichen.</w:t>
      </w:r>
    </w:p>
    <w:p w:rsidR="001641BC" w:rsidRPr="006A06D5" w:rsidRDefault="00021ABE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Ein Beispiel für dieses Zeichen befindet sich unter Nummer 5.3.</w:t>
      </w:r>
    </w:p>
    <w:p w:rsidR="001641BC" w:rsidRPr="006A06D5" w:rsidRDefault="001641BC" w:rsidP="00021AB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3.4.</w:t>
      </w:r>
      <w:r w:rsidR="00021ABE">
        <w:rPr>
          <w:rFonts w:cs="Arial"/>
        </w:rPr>
        <w:tab/>
      </w:r>
      <w:r w:rsidRPr="006A06D5">
        <w:rPr>
          <w:rFonts w:cs="Arial"/>
        </w:rPr>
        <w:t>Das in Artikel 15 Buchstabe b) genannte Zeichen entspricht dem Zeichen</w:t>
      </w:r>
      <w:r w:rsidR="00021ABE">
        <w:rPr>
          <w:rFonts w:cs="Arial"/>
        </w:rPr>
        <w:t xml:space="preserve"> </w:t>
      </w:r>
      <w:r w:rsidRPr="006A06D5">
        <w:rPr>
          <w:rFonts w:cs="Arial"/>
        </w:rPr>
        <w:t>für die Befreiung von der EWG-Bauartzulassung in einem sechseckigen</w:t>
      </w:r>
      <w:r w:rsidR="00021ABE">
        <w:rPr>
          <w:rFonts w:cs="Arial"/>
        </w:rPr>
        <w:t xml:space="preserve"> </w:t>
      </w:r>
      <w:r w:rsidRPr="006A06D5">
        <w:rPr>
          <w:rFonts w:cs="Arial"/>
        </w:rPr>
        <w:t>Feld.</w:t>
      </w:r>
    </w:p>
    <w:p w:rsidR="001641BC" w:rsidRPr="006A06D5" w:rsidRDefault="00021ABE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Ein Beispiel für dieses Zeichen befindet sich unter Nummer 5.4.</w:t>
      </w:r>
    </w:p>
    <w:p w:rsidR="001641BC" w:rsidRPr="003555DE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  <w:b/>
        </w:rPr>
      </w:pPr>
      <w:r w:rsidRPr="003555DE">
        <w:rPr>
          <w:rFonts w:cs="Arial"/>
          <w:b/>
        </w:rPr>
        <w:t>4.</w:t>
      </w:r>
      <w:r w:rsidR="003555DE" w:rsidRPr="003555DE">
        <w:rPr>
          <w:rFonts w:cs="Arial"/>
          <w:b/>
        </w:rPr>
        <w:tab/>
      </w:r>
      <w:r w:rsidRPr="003555DE">
        <w:rPr>
          <w:rFonts w:cs="Arial"/>
          <w:b/>
        </w:rPr>
        <w:t>BEKANNTMACHUNG DER EWG-BAUARTZULASSUNG</w:t>
      </w:r>
    </w:p>
    <w:p w:rsidR="003555DE" w:rsidRDefault="007371A1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  <w:t>gestrichen</w:t>
      </w:r>
    </w:p>
    <w:p w:rsidR="001641BC" w:rsidRPr="006A06D5" w:rsidRDefault="001641BC" w:rsidP="003555D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4.2.</w:t>
      </w:r>
      <w:r w:rsidR="003555DE">
        <w:rPr>
          <w:rFonts w:cs="Arial"/>
        </w:rPr>
        <w:tab/>
      </w:r>
      <w:r w:rsidRPr="006A06D5">
        <w:rPr>
          <w:rFonts w:cs="Arial"/>
        </w:rPr>
        <w:t>Zum Zeitpunkt der Zustellung an den Antragsteller übermittelt der</w:t>
      </w:r>
      <w:r w:rsidR="003555DE">
        <w:rPr>
          <w:rFonts w:cs="Arial"/>
        </w:rPr>
        <w:t xml:space="preserve"> </w:t>
      </w:r>
      <w:r w:rsidRPr="006A06D5">
        <w:rPr>
          <w:rFonts w:cs="Arial"/>
        </w:rPr>
        <w:t>Mitgliedstaat, der die Zulassung</w:t>
      </w:r>
      <w:r w:rsidRPr="006A06D5">
        <w:rPr>
          <w:rFonts w:cs="Arial"/>
        </w:rPr>
        <w:t>s</w:t>
      </w:r>
      <w:r w:rsidRPr="006A06D5">
        <w:rPr>
          <w:rFonts w:cs="Arial"/>
        </w:rPr>
        <w:t>bescheinigung erteilt hat, der Kommission</w:t>
      </w:r>
      <w:r w:rsidR="003555DE">
        <w:rPr>
          <w:rFonts w:cs="Arial"/>
        </w:rPr>
        <w:t xml:space="preserve"> </w:t>
      </w:r>
      <w:r w:rsidRPr="006A06D5">
        <w:rPr>
          <w:rFonts w:cs="Arial"/>
        </w:rPr>
        <w:t>und den übrigen Mitgliedstaaten Abschriften der</w:t>
      </w:r>
      <w:r w:rsidR="003555DE">
        <w:rPr>
          <w:rFonts w:cs="Arial"/>
        </w:rPr>
        <w:t xml:space="preserve"> </w:t>
      </w:r>
      <w:r w:rsidRPr="006A06D5">
        <w:rPr>
          <w:rFonts w:cs="Arial"/>
        </w:rPr>
        <w:t>Zula</w:t>
      </w:r>
      <w:r w:rsidRPr="006A06D5">
        <w:rPr>
          <w:rFonts w:cs="Arial"/>
        </w:rPr>
        <w:t>s</w:t>
      </w:r>
      <w:r w:rsidRPr="006A06D5">
        <w:rPr>
          <w:rFonts w:cs="Arial"/>
        </w:rPr>
        <w:t>sungsbescheinigung; auf Wunsch können diese auch Abschriften</w:t>
      </w:r>
      <w:r w:rsidR="003555DE">
        <w:rPr>
          <w:rFonts w:cs="Arial"/>
        </w:rPr>
        <w:t xml:space="preserve"> </w:t>
      </w:r>
      <w:r w:rsidRPr="006A06D5">
        <w:rPr>
          <w:rFonts w:cs="Arial"/>
        </w:rPr>
        <w:t>der endgültigen technischen Unte</w:t>
      </w:r>
      <w:r w:rsidRPr="006A06D5">
        <w:rPr>
          <w:rFonts w:cs="Arial"/>
        </w:rPr>
        <w:t>r</w:t>
      </w:r>
      <w:r w:rsidRPr="006A06D5">
        <w:rPr>
          <w:rFonts w:cs="Arial"/>
        </w:rPr>
        <w:t>lagen für den Druckbehälter und der</w:t>
      </w:r>
      <w:r w:rsidR="003555DE">
        <w:rPr>
          <w:rFonts w:cs="Arial"/>
        </w:rPr>
        <w:t xml:space="preserve"> </w:t>
      </w:r>
      <w:r w:rsidRPr="006A06D5">
        <w:rPr>
          <w:rFonts w:cs="Arial"/>
        </w:rPr>
        <w:t>Protokolle über die vorgenommenen Prüfungen erhalten.</w:t>
      </w:r>
    </w:p>
    <w:p w:rsidR="001641BC" w:rsidRPr="006A06D5" w:rsidRDefault="001641BC" w:rsidP="003555D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4.3.</w:t>
      </w:r>
      <w:r w:rsidR="007371A1">
        <w:rPr>
          <w:rFonts w:cs="Arial"/>
        </w:rPr>
        <w:tab/>
      </w:r>
      <w:r w:rsidRPr="006A06D5">
        <w:rPr>
          <w:rFonts w:cs="Arial"/>
        </w:rPr>
        <w:t>Der Widerruf einer EWG-Bauartzulassung erfolgt ebenfalls nach dem</w:t>
      </w:r>
      <w:r w:rsidR="003555DE">
        <w:rPr>
          <w:rFonts w:cs="Arial"/>
        </w:rPr>
        <w:t xml:space="preserve"> </w:t>
      </w:r>
      <w:r w:rsidRPr="006A06D5">
        <w:rPr>
          <w:rFonts w:cs="Arial"/>
        </w:rPr>
        <w:t>Bekanntmachungsverfahren gemäß Nummer 4.2.</w:t>
      </w:r>
    </w:p>
    <w:p w:rsidR="001641BC" w:rsidRPr="006A06D5" w:rsidRDefault="001641BC" w:rsidP="003555D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4.4.</w:t>
      </w:r>
      <w:r w:rsidR="003555DE">
        <w:rPr>
          <w:rFonts w:cs="Arial"/>
        </w:rPr>
        <w:tab/>
      </w:r>
      <w:r w:rsidRPr="006A06D5">
        <w:rPr>
          <w:rFonts w:cs="Arial"/>
        </w:rPr>
        <w:t>Der Mitgliedstaat, der eine EWG-Bauartzulassung ablehnt, unterrichtet</w:t>
      </w:r>
      <w:r w:rsidR="003555DE">
        <w:rPr>
          <w:rFonts w:cs="Arial"/>
        </w:rPr>
        <w:t xml:space="preserve"> </w:t>
      </w:r>
      <w:r w:rsidRPr="006A06D5">
        <w:rPr>
          <w:rFonts w:cs="Arial"/>
        </w:rPr>
        <w:t>die übrigen Mitgliedstaaten und die Kommission hiervon.</w:t>
      </w:r>
    </w:p>
    <w:p w:rsidR="001641BC" w:rsidRPr="003555DE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  <w:b/>
        </w:rPr>
      </w:pPr>
      <w:r w:rsidRPr="003555DE">
        <w:rPr>
          <w:rFonts w:cs="Arial"/>
          <w:b/>
        </w:rPr>
        <w:t>5.</w:t>
      </w:r>
      <w:r w:rsidR="003555DE">
        <w:rPr>
          <w:rFonts w:cs="Arial"/>
          <w:b/>
        </w:rPr>
        <w:tab/>
      </w:r>
      <w:r w:rsidRPr="003555DE">
        <w:rPr>
          <w:rFonts w:cs="Arial"/>
          <w:b/>
        </w:rPr>
        <w:t>ZEICHEN BETREFFEND DIE EWG-BAUARTZULASSUNG</w:t>
      </w:r>
    </w:p>
    <w:p w:rsidR="001641BC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 w:rsidRPr="006A06D5">
        <w:rPr>
          <w:rFonts w:cs="Arial"/>
        </w:rPr>
        <w:t>5.1.</w:t>
      </w:r>
      <w:r w:rsidR="003555DE">
        <w:rPr>
          <w:rFonts w:cs="Arial"/>
        </w:rPr>
        <w:tab/>
      </w:r>
      <w:r w:rsidRPr="006A06D5">
        <w:rPr>
          <w:rFonts w:cs="Arial"/>
          <w:b/>
          <w:bCs/>
        </w:rPr>
        <w:t xml:space="preserve">Zeichen für die EWG-Bauartzulassung </w:t>
      </w:r>
      <w:r w:rsidRPr="006A06D5">
        <w:rPr>
          <w:rFonts w:cs="Arial"/>
        </w:rPr>
        <w:t>(vgl. Nr. 3.1)</w:t>
      </w: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5984"/>
      </w:tblGrid>
      <w:tr w:rsidR="006F677D">
        <w:tc>
          <w:tcPr>
            <w:tcW w:w="1418" w:type="dxa"/>
          </w:tcPr>
          <w:p w:rsidR="006F677D" w:rsidRDefault="006F677D" w:rsidP="006F677D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A06D5">
              <w:rPr>
                <w:rFonts w:cs="Arial"/>
              </w:rPr>
              <w:t>Beispiel:</w:t>
            </w:r>
          </w:p>
        </w:tc>
        <w:tc>
          <w:tcPr>
            <w:tcW w:w="1701" w:type="dxa"/>
          </w:tcPr>
          <w:p w:rsidR="006F677D" w:rsidRDefault="009A0239" w:rsidP="006F677D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2E78E22" wp14:editId="58446400">
                  <wp:extent cx="762000" cy="73152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</w:tcPr>
          <w:p w:rsidR="006F677D" w:rsidRPr="006A06D5" w:rsidRDefault="006F677D" w:rsidP="006F677D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A06D5">
              <w:rPr>
                <w:rFonts w:cs="Arial"/>
              </w:rPr>
              <w:t>EWG-Bauartzulassung, erteilt von der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Bundesrepublik Deutsc</w:t>
            </w:r>
            <w:r w:rsidRPr="006A06D5">
              <w:rPr>
                <w:rFonts w:cs="Arial"/>
              </w:rPr>
              <w:t>h</w:t>
            </w:r>
            <w:r w:rsidRPr="006A06D5">
              <w:rPr>
                <w:rFonts w:cs="Arial"/>
              </w:rPr>
              <w:t>land im Jahre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1979 gemäß der ersten Einzelrichtlinie.</w:t>
            </w:r>
          </w:p>
          <w:p w:rsidR="006F677D" w:rsidRDefault="006F677D" w:rsidP="006F677D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A06D5">
              <w:rPr>
                <w:rFonts w:cs="Arial"/>
              </w:rPr>
              <w:t>Kennummer der EWG-Bauartzulassung</w:t>
            </w:r>
          </w:p>
        </w:tc>
      </w:tr>
    </w:tbl>
    <w:p w:rsidR="006F677D" w:rsidRPr="006A06D5" w:rsidRDefault="006F677D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</w:p>
    <w:p w:rsidR="001641BC" w:rsidRPr="006A06D5" w:rsidRDefault="001641BC" w:rsidP="005411D0">
      <w:pPr>
        <w:pStyle w:val="GesAbsatz"/>
        <w:tabs>
          <w:tab w:val="clear" w:pos="425"/>
          <w:tab w:val="left" w:pos="567"/>
        </w:tabs>
        <w:rPr>
          <w:rFonts w:cs="Arial"/>
        </w:rPr>
      </w:pPr>
      <w:r w:rsidRPr="006A06D5">
        <w:rPr>
          <w:rFonts w:cs="Arial"/>
        </w:rPr>
        <w:t>5.2.</w:t>
      </w:r>
      <w:r w:rsidR="00EC52DE">
        <w:rPr>
          <w:rFonts w:cs="Arial"/>
        </w:rPr>
        <w:tab/>
      </w:r>
      <w:r w:rsidRPr="006A06D5">
        <w:rPr>
          <w:rFonts w:cs="Arial"/>
          <w:b/>
          <w:bCs/>
        </w:rPr>
        <w:t xml:space="preserve">Zeichen für die Befreiung von der EWG-Bauartzulassung </w:t>
      </w:r>
      <w:r w:rsidRPr="006A06D5">
        <w:rPr>
          <w:rFonts w:cs="Arial"/>
        </w:rPr>
        <w:t>(vgl.</w:t>
      </w:r>
      <w:r w:rsidR="00EC52DE">
        <w:rPr>
          <w:rFonts w:cs="Arial"/>
        </w:rPr>
        <w:t xml:space="preserve"> </w:t>
      </w:r>
      <w:r w:rsidRPr="006A06D5">
        <w:rPr>
          <w:rFonts w:cs="Arial"/>
        </w:rPr>
        <w:t>Nr. 3.2)</w:t>
      </w: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5984"/>
      </w:tblGrid>
      <w:tr w:rsidR="00EC52DE">
        <w:tc>
          <w:tcPr>
            <w:tcW w:w="1418" w:type="dxa"/>
          </w:tcPr>
          <w:p w:rsidR="00EC52DE" w:rsidRDefault="00EC52DE" w:rsidP="00EA5F75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A06D5">
              <w:rPr>
                <w:rFonts w:cs="Arial"/>
              </w:rPr>
              <w:t>Beispiel:</w:t>
            </w:r>
          </w:p>
        </w:tc>
        <w:tc>
          <w:tcPr>
            <w:tcW w:w="1701" w:type="dxa"/>
          </w:tcPr>
          <w:p w:rsidR="00EC52DE" w:rsidRDefault="009A0239" w:rsidP="00EA5F75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2BD2FF0" wp14:editId="3EE4DF28">
                  <wp:extent cx="861060" cy="9144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</w:tcPr>
          <w:p w:rsidR="00EC52DE" w:rsidRPr="006A06D5" w:rsidRDefault="00EC52DE" w:rsidP="00EC52DE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A06D5">
              <w:rPr>
                <w:rFonts w:cs="Arial"/>
              </w:rPr>
              <w:t>In Deutschland im Jahre 1979 hergestellter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und gemäß der er</w:t>
            </w:r>
            <w:r w:rsidRPr="006A06D5">
              <w:rPr>
                <w:rFonts w:cs="Arial"/>
              </w:rPr>
              <w:t>s</w:t>
            </w:r>
            <w:r w:rsidRPr="006A06D5">
              <w:rPr>
                <w:rFonts w:cs="Arial"/>
              </w:rPr>
              <w:t>ten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Einzelrichtlinie nicht EWG-bauartzulassungspflichtiger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Druckbehälter.</w:t>
            </w:r>
          </w:p>
          <w:p w:rsidR="00EC52DE" w:rsidRDefault="00EC52DE" w:rsidP="00EA5F75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A06D5">
              <w:rPr>
                <w:rFonts w:cs="Arial"/>
              </w:rPr>
              <w:t>Bezugsnummer der nicht EWG-bauartzulassungspflichtigen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Druckbehälterart, falls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diese Bezugsnummer in der Einzelrichtl</w:t>
            </w:r>
            <w:r w:rsidRPr="006A06D5">
              <w:rPr>
                <w:rFonts w:cs="Arial"/>
              </w:rPr>
              <w:t>i</w:t>
            </w:r>
            <w:r w:rsidRPr="006A06D5">
              <w:rPr>
                <w:rFonts w:cs="Arial"/>
              </w:rPr>
              <w:t>nie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vorgesehen ist.</w:t>
            </w:r>
          </w:p>
        </w:tc>
      </w:tr>
    </w:tbl>
    <w:p w:rsidR="00A1324C" w:rsidRDefault="00A1324C" w:rsidP="006A06D5">
      <w:pPr>
        <w:pStyle w:val="GesAbsatz"/>
        <w:rPr>
          <w:rFonts w:cs="Arial"/>
        </w:rPr>
      </w:pPr>
    </w:p>
    <w:p w:rsidR="001641BC" w:rsidRPr="006A06D5" w:rsidRDefault="001641BC" w:rsidP="00A1324C">
      <w:pPr>
        <w:pStyle w:val="GesAbsatz"/>
        <w:tabs>
          <w:tab w:val="clear" w:pos="425"/>
          <w:tab w:val="left" w:pos="567"/>
        </w:tabs>
        <w:rPr>
          <w:rFonts w:cs="Arial"/>
        </w:rPr>
      </w:pPr>
      <w:r w:rsidRPr="006A06D5">
        <w:rPr>
          <w:rFonts w:cs="Arial"/>
        </w:rPr>
        <w:t>5.3.</w:t>
      </w:r>
      <w:r w:rsidR="00A1324C">
        <w:rPr>
          <w:rFonts w:cs="Arial"/>
        </w:rPr>
        <w:tab/>
      </w:r>
      <w:r w:rsidRPr="006A06D5">
        <w:rPr>
          <w:rFonts w:cs="Arial"/>
          <w:b/>
          <w:bCs/>
        </w:rPr>
        <w:t>Zeichen für die EWG-Bauartzulassung und die Befreiung von der</w:t>
      </w:r>
      <w:r w:rsidR="00A1324C">
        <w:rPr>
          <w:rFonts w:cs="Arial"/>
          <w:b/>
          <w:bCs/>
        </w:rPr>
        <w:t xml:space="preserve"> </w:t>
      </w:r>
      <w:r w:rsidRPr="006A06D5">
        <w:rPr>
          <w:rFonts w:cs="Arial"/>
          <w:b/>
          <w:bCs/>
        </w:rPr>
        <w:t xml:space="preserve">EWG-Prüfung </w:t>
      </w:r>
      <w:r w:rsidRPr="006A06D5">
        <w:rPr>
          <w:rFonts w:cs="Arial"/>
        </w:rPr>
        <w:t>(vgl. Nr. 3.3)</w:t>
      </w: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5984"/>
      </w:tblGrid>
      <w:tr w:rsidR="00A1324C">
        <w:tc>
          <w:tcPr>
            <w:tcW w:w="1418" w:type="dxa"/>
          </w:tcPr>
          <w:p w:rsidR="00A1324C" w:rsidRDefault="00A1324C" w:rsidP="00EA5F75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A06D5">
              <w:rPr>
                <w:rFonts w:cs="Arial"/>
              </w:rPr>
              <w:t>Beispiel:</w:t>
            </w:r>
          </w:p>
        </w:tc>
        <w:tc>
          <w:tcPr>
            <w:tcW w:w="1701" w:type="dxa"/>
          </w:tcPr>
          <w:p w:rsidR="00A1324C" w:rsidRDefault="009A0239" w:rsidP="00EA5F75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D51DA9E" wp14:editId="783CDE79">
                  <wp:extent cx="944880" cy="79248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</w:tcPr>
          <w:p w:rsidR="00A1324C" w:rsidRPr="006A06D5" w:rsidRDefault="00A1324C" w:rsidP="00A1324C">
            <w:pPr>
              <w:pStyle w:val="GesAbsatz"/>
              <w:rPr>
                <w:rFonts w:cs="Arial"/>
              </w:rPr>
            </w:pPr>
            <w:r w:rsidRPr="006A06D5">
              <w:rPr>
                <w:rFonts w:cs="Arial"/>
              </w:rPr>
              <w:t>EWG-Bauartzulassung, erteilt von der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Bundesrepublik Deutsc</w:t>
            </w:r>
            <w:r w:rsidRPr="006A06D5">
              <w:rPr>
                <w:rFonts w:cs="Arial"/>
              </w:rPr>
              <w:t>h</w:t>
            </w:r>
            <w:r w:rsidRPr="006A06D5">
              <w:rPr>
                <w:rFonts w:cs="Arial"/>
              </w:rPr>
              <w:t>land im Jahre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1979 gemäß der ersten Einzelrichtlinie.</w:t>
            </w:r>
          </w:p>
          <w:p w:rsidR="00A1324C" w:rsidRDefault="00A1324C" w:rsidP="00A1324C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A06D5">
              <w:rPr>
                <w:rFonts w:cs="Arial"/>
              </w:rPr>
              <w:t>Kennummer der EWG-Bauartzulassung.</w:t>
            </w:r>
          </w:p>
        </w:tc>
      </w:tr>
    </w:tbl>
    <w:p w:rsidR="00A1324C" w:rsidRDefault="00A1324C" w:rsidP="006A06D5">
      <w:pPr>
        <w:pStyle w:val="GesAbsatz"/>
        <w:rPr>
          <w:rFonts w:cs="Arial"/>
        </w:rPr>
      </w:pPr>
    </w:p>
    <w:p w:rsidR="001641BC" w:rsidRPr="006A06D5" w:rsidRDefault="001641BC" w:rsidP="007371A1">
      <w:pPr>
        <w:pStyle w:val="GesAbsatz"/>
        <w:keepNext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lastRenderedPageBreak/>
        <w:t>5.4.</w:t>
      </w:r>
      <w:r w:rsidR="00A1324C">
        <w:rPr>
          <w:rFonts w:cs="Arial"/>
        </w:rPr>
        <w:tab/>
      </w:r>
      <w:r w:rsidRPr="006A06D5">
        <w:rPr>
          <w:rFonts w:cs="Arial"/>
          <w:b/>
          <w:bCs/>
        </w:rPr>
        <w:t>Zeichen für die Befreiung von der EWG-Bauartzulassung und für die</w:t>
      </w:r>
      <w:r w:rsidR="00A1324C">
        <w:rPr>
          <w:rFonts w:cs="Arial"/>
          <w:b/>
          <w:bCs/>
        </w:rPr>
        <w:t xml:space="preserve"> </w:t>
      </w:r>
      <w:r w:rsidRPr="006A06D5">
        <w:rPr>
          <w:rFonts w:cs="Arial"/>
          <w:b/>
          <w:bCs/>
        </w:rPr>
        <w:t xml:space="preserve">Befreiung von der EWG-Prüfung </w:t>
      </w:r>
      <w:r w:rsidRPr="006A06D5">
        <w:rPr>
          <w:rFonts w:cs="Arial"/>
        </w:rPr>
        <w:t>(vgl. Nr. 3.4)</w:t>
      </w: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5984"/>
      </w:tblGrid>
      <w:tr w:rsidR="00A1324C">
        <w:tc>
          <w:tcPr>
            <w:tcW w:w="1418" w:type="dxa"/>
          </w:tcPr>
          <w:p w:rsidR="00A1324C" w:rsidRDefault="00A1324C" w:rsidP="007371A1">
            <w:pPr>
              <w:pStyle w:val="GesAbsatz"/>
              <w:keepNext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A06D5">
              <w:rPr>
                <w:rFonts w:cs="Arial"/>
              </w:rPr>
              <w:t>Beispiel:</w:t>
            </w:r>
          </w:p>
        </w:tc>
        <w:tc>
          <w:tcPr>
            <w:tcW w:w="1701" w:type="dxa"/>
          </w:tcPr>
          <w:p w:rsidR="00A1324C" w:rsidRDefault="009A0239" w:rsidP="007371A1">
            <w:pPr>
              <w:pStyle w:val="GesAbsatz"/>
              <w:keepNext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22FCA8E" wp14:editId="0E7A9A82">
                  <wp:extent cx="944880" cy="96774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</w:tcPr>
          <w:p w:rsidR="00A1324C" w:rsidRPr="006A06D5" w:rsidRDefault="00A1324C" w:rsidP="007371A1">
            <w:pPr>
              <w:pStyle w:val="GesAbsatz"/>
              <w:keepNext/>
              <w:rPr>
                <w:rFonts w:cs="Arial"/>
              </w:rPr>
            </w:pPr>
            <w:r w:rsidRPr="006A06D5">
              <w:rPr>
                <w:rFonts w:cs="Arial"/>
              </w:rPr>
              <w:t>In Deutschland im Jahre 1979 hergestellter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und gemäß der er</w:t>
            </w:r>
            <w:r w:rsidRPr="006A06D5">
              <w:rPr>
                <w:rFonts w:cs="Arial"/>
              </w:rPr>
              <w:t>s</w:t>
            </w:r>
            <w:r w:rsidRPr="006A06D5">
              <w:rPr>
                <w:rFonts w:cs="Arial"/>
              </w:rPr>
              <w:t>ten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Einzelrichtlinie nicht EWG-bauartzulassungspflichtiger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Druckbehälter.</w:t>
            </w:r>
          </w:p>
          <w:p w:rsidR="00A1324C" w:rsidRDefault="00A1324C" w:rsidP="007371A1">
            <w:pPr>
              <w:pStyle w:val="GesAbsatz"/>
              <w:keepNext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A06D5">
              <w:rPr>
                <w:rFonts w:cs="Arial"/>
              </w:rPr>
              <w:t>Bezugsnummer der nicht EWG-bauartzulassungspflichtigen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Druckbehälterart, falls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diese Bezugsnummer in der Einzelrichtl</w:t>
            </w:r>
            <w:r w:rsidRPr="006A06D5">
              <w:rPr>
                <w:rFonts w:cs="Arial"/>
              </w:rPr>
              <w:t>i</w:t>
            </w:r>
            <w:r w:rsidRPr="006A06D5">
              <w:rPr>
                <w:rFonts w:cs="Arial"/>
              </w:rPr>
              <w:t>nie</w:t>
            </w:r>
            <w:r>
              <w:rPr>
                <w:rFonts w:cs="Arial"/>
              </w:rPr>
              <w:t xml:space="preserve"> </w:t>
            </w:r>
            <w:r w:rsidRPr="006A06D5">
              <w:rPr>
                <w:rFonts w:cs="Arial"/>
              </w:rPr>
              <w:t>vorgesehen ist.</w:t>
            </w:r>
          </w:p>
        </w:tc>
      </w:tr>
    </w:tbl>
    <w:p w:rsidR="00A1324C" w:rsidRDefault="00A1324C" w:rsidP="00A1324C">
      <w:pPr>
        <w:pStyle w:val="GesAbsatz"/>
        <w:tabs>
          <w:tab w:val="clear" w:pos="425"/>
          <w:tab w:val="left" w:pos="567"/>
        </w:tabs>
        <w:rPr>
          <w:rFonts w:cs="Arial"/>
        </w:rPr>
      </w:pPr>
    </w:p>
    <w:p w:rsidR="001641BC" w:rsidRPr="006A06D5" w:rsidRDefault="001641BC" w:rsidP="00A1324C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5.5.</w:t>
      </w:r>
      <w:r w:rsidR="00A1324C">
        <w:rPr>
          <w:rFonts w:cs="Arial"/>
        </w:rPr>
        <w:tab/>
      </w:r>
      <w:r w:rsidRPr="006A06D5">
        <w:rPr>
          <w:rFonts w:cs="Arial"/>
        </w:rPr>
        <w:t>Die Einzelrichtlinien können die Anbringungsstelle und die Abmaße der</w:t>
      </w:r>
      <w:r w:rsidR="00A1324C">
        <w:rPr>
          <w:rFonts w:cs="Arial"/>
        </w:rPr>
        <w:t xml:space="preserve"> </w:t>
      </w:r>
      <w:r w:rsidRPr="006A06D5">
        <w:rPr>
          <w:rFonts w:cs="Arial"/>
        </w:rPr>
        <w:t>Zeichen für die EWG-Bauartzulassung festlegen.</w:t>
      </w:r>
    </w:p>
    <w:p w:rsidR="001641BC" w:rsidRPr="006A06D5" w:rsidRDefault="00A1324C" w:rsidP="00B027E4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Werden keine Angaben in den Einzelrichtlinien gemacht, so müssen die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Buchstaben und Zahlen eines jeden Zeichens mindestens 5 mm hoch sein.</w:t>
      </w:r>
    </w:p>
    <w:p w:rsidR="007365B2" w:rsidRDefault="001641BC" w:rsidP="00B027E4">
      <w:pPr>
        <w:pStyle w:val="berschrift2"/>
        <w:jc w:val="left"/>
      </w:pPr>
      <w:bookmarkStart w:id="36" w:name="_Toc400367445"/>
      <w:r w:rsidRPr="006A06D5">
        <w:t xml:space="preserve">ANHANG II </w:t>
      </w:r>
      <w:r w:rsidR="00B027E4">
        <w:rPr>
          <w:rStyle w:val="Funotenzeichen"/>
        </w:rPr>
        <w:footnoteReference w:id="4"/>
      </w:r>
      <w:bookmarkEnd w:id="36"/>
    </w:p>
    <w:p w:rsidR="001641BC" w:rsidRPr="007365B2" w:rsidRDefault="001641BC" w:rsidP="007365B2">
      <w:pPr>
        <w:pStyle w:val="GesAbsatz"/>
        <w:jc w:val="center"/>
        <w:rPr>
          <w:b/>
        </w:rPr>
      </w:pPr>
      <w:r w:rsidRPr="007365B2">
        <w:rPr>
          <w:b/>
        </w:rPr>
        <w:t>EWG-PRÜFUNG</w:t>
      </w:r>
    </w:p>
    <w:p w:rsidR="001641BC" w:rsidRPr="00B97A1F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  <w:b/>
        </w:rPr>
      </w:pPr>
      <w:r w:rsidRPr="00B97A1F">
        <w:rPr>
          <w:rFonts w:cs="Arial"/>
          <w:b/>
        </w:rPr>
        <w:t>1.</w:t>
      </w:r>
      <w:r w:rsidR="00B97A1F" w:rsidRPr="00B97A1F">
        <w:rPr>
          <w:rFonts w:cs="Arial"/>
          <w:b/>
        </w:rPr>
        <w:tab/>
      </w:r>
      <w:r w:rsidRPr="00B97A1F">
        <w:rPr>
          <w:rFonts w:cs="Arial"/>
          <w:b/>
        </w:rPr>
        <w:t>ALLGEMEINES</w:t>
      </w:r>
    </w:p>
    <w:p w:rsidR="001641BC" w:rsidRPr="006A06D5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</w:rPr>
      </w:pPr>
      <w:r w:rsidRPr="006A06D5">
        <w:rPr>
          <w:rFonts w:cs="Arial"/>
        </w:rPr>
        <w:t>1.1.</w:t>
      </w:r>
      <w:r w:rsidR="00F66A08">
        <w:rPr>
          <w:rFonts w:cs="Arial"/>
        </w:rPr>
        <w:tab/>
      </w:r>
      <w:r w:rsidRPr="006A06D5">
        <w:rPr>
          <w:rFonts w:cs="Arial"/>
        </w:rPr>
        <w:t>Die EWG-Prüfung kann in einem oder in mehreren Schritten durchgeführt</w:t>
      </w:r>
      <w:r w:rsidR="00F66A08">
        <w:rPr>
          <w:rFonts w:cs="Arial"/>
        </w:rPr>
        <w:t xml:space="preserve"> </w:t>
      </w:r>
      <w:r w:rsidRPr="006A06D5">
        <w:rPr>
          <w:rFonts w:cs="Arial"/>
        </w:rPr>
        <w:t>werden.</w:t>
      </w:r>
    </w:p>
    <w:p w:rsidR="001641BC" w:rsidRPr="006A06D5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</w:rPr>
      </w:pPr>
      <w:r w:rsidRPr="006A06D5">
        <w:rPr>
          <w:rFonts w:cs="Arial"/>
        </w:rPr>
        <w:t>1.2.</w:t>
      </w:r>
      <w:r w:rsidR="00F66A08">
        <w:rPr>
          <w:rFonts w:cs="Arial"/>
        </w:rPr>
        <w:tab/>
      </w:r>
      <w:r w:rsidRPr="006A06D5">
        <w:rPr>
          <w:rFonts w:cs="Arial"/>
        </w:rPr>
        <w:t>Vorbehaltlich der Bestimmungen der Einzelrichtlinien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1.2.1.</w:t>
      </w:r>
      <w:r w:rsidR="00F66A08">
        <w:rPr>
          <w:rFonts w:cs="Arial"/>
        </w:rPr>
        <w:tab/>
      </w:r>
      <w:r w:rsidRPr="006A06D5">
        <w:rPr>
          <w:rFonts w:cs="Arial"/>
        </w:rPr>
        <w:t>wird die EWG-Prüfung in einem Schritt durchgeführt bei Druckbehältern,</w:t>
      </w:r>
      <w:r w:rsidR="00F66A08">
        <w:rPr>
          <w:rFonts w:cs="Arial"/>
        </w:rPr>
        <w:t xml:space="preserve"> </w:t>
      </w:r>
      <w:r w:rsidRPr="006A06D5">
        <w:rPr>
          <w:rFonts w:cs="Arial"/>
        </w:rPr>
        <w:t>die beim Verlassen des Herstellerwerks als vollständiges</w:t>
      </w:r>
      <w:r w:rsidR="00F66A08">
        <w:rPr>
          <w:rFonts w:cs="Arial"/>
        </w:rPr>
        <w:t xml:space="preserve"> </w:t>
      </w:r>
      <w:r w:rsidRPr="006A06D5">
        <w:rPr>
          <w:rFonts w:cs="Arial"/>
        </w:rPr>
        <w:t>Ganzes vorliegen, d. h., die für den Transport zum Aufstellungs</w:t>
      </w:r>
      <w:r w:rsidR="007365B2">
        <w:rPr>
          <w:rFonts w:cs="Arial"/>
        </w:rPr>
        <w:softHyphen/>
      </w:r>
      <w:r w:rsidRPr="006A06D5">
        <w:rPr>
          <w:rFonts w:cs="Arial"/>
        </w:rPr>
        <w:t>ort</w:t>
      </w:r>
      <w:r w:rsidR="00F66A08">
        <w:rPr>
          <w:rFonts w:cs="Arial"/>
        </w:rPr>
        <w:t xml:space="preserve"> </w:t>
      </w:r>
      <w:r w:rsidRPr="006A06D5">
        <w:rPr>
          <w:rFonts w:cs="Arial"/>
        </w:rPr>
        <w:t>nicht zerlegt zu werden brauchen;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1.2.2.</w:t>
      </w:r>
      <w:r w:rsidR="00F66A08">
        <w:rPr>
          <w:rFonts w:cs="Arial"/>
        </w:rPr>
        <w:tab/>
      </w:r>
      <w:r w:rsidRPr="006A06D5">
        <w:rPr>
          <w:rFonts w:cs="Arial"/>
        </w:rPr>
        <w:t>wird die EWG-Prüfung in mehreren Schritten durchgeführt bei Druckbehältern,</w:t>
      </w:r>
      <w:r w:rsidR="00F66A08">
        <w:rPr>
          <w:rFonts w:cs="Arial"/>
        </w:rPr>
        <w:t xml:space="preserve"> </w:t>
      </w:r>
      <w:r w:rsidRPr="006A06D5">
        <w:rPr>
          <w:rFonts w:cs="Arial"/>
        </w:rPr>
        <w:t>die nicht als vol</w:t>
      </w:r>
      <w:r w:rsidRPr="006A06D5">
        <w:rPr>
          <w:rFonts w:cs="Arial"/>
        </w:rPr>
        <w:t>l</w:t>
      </w:r>
      <w:r w:rsidRPr="006A06D5">
        <w:rPr>
          <w:rFonts w:cs="Arial"/>
        </w:rPr>
        <w:t>ständiges Ganzes geliefert werden;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1.2.3.</w:t>
      </w:r>
      <w:r w:rsidR="00F66A08">
        <w:rPr>
          <w:rFonts w:cs="Arial"/>
        </w:rPr>
        <w:tab/>
      </w:r>
      <w:r w:rsidRPr="006A06D5">
        <w:rPr>
          <w:rFonts w:cs="Arial"/>
        </w:rPr>
        <w:t>muß die EWG-Prüfung insbesondere die Übereinstimmung mit der</w:t>
      </w:r>
      <w:r w:rsidR="00F66A08">
        <w:rPr>
          <w:rFonts w:cs="Arial"/>
        </w:rPr>
        <w:t xml:space="preserve"> </w:t>
      </w:r>
      <w:r w:rsidRPr="006A06D5">
        <w:rPr>
          <w:rFonts w:cs="Arial"/>
        </w:rPr>
        <w:t>zugelassenen Bauart siche</w:t>
      </w:r>
      <w:r w:rsidRPr="006A06D5">
        <w:rPr>
          <w:rFonts w:cs="Arial"/>
        </w:rPr>
        <w:t>r</w:t>
      </w:r>
      <w:r w:rsidRPr="006A06D5">
        <w:rPr>
          <w:rFonts w:cs="Arial"/>
        </w:rPr>
        <w:t>stellen oder, bei Druckbehältern, für die</w:t>
      </w:r>
      <w:r w:rsidR="00F66A08">
        <w:rPr>
          <w:rFonts w:cs="Arial"/>
        </w:rPr>
        <w:t xml:space="preserve"> </w:t>
      </w:r>
      <w:r w:rsidRPr="006A06D5">
        <w:rPr>
          <w:rFonts w:cs="Arial"/>
        </w:rPr>
        <w:t>keine EWG-Bauartzulassung erforderlich ist, die Einha</w:t>
      </w:r>
      <w:r w:rsidRPr="006A06D5">
        <w:rPr>
          <w:rFonts w:cs="Arial"/>
        </w:rPr>
        <w:t>l</w:t>
      </w:r>
      <w:r w:rsidRPr="006A06D5">
        <w:rPr>
          <w:rFonts w:cs="Arial"/>
        </w:rPr>
        <w:t>tung der</w:t>
      </w:r>
      <w:r w:rsidR="00F66A08">
        <w:rPr>
          <w:rFonts w:cs="Arial"/>
        </w:rPr>
        <w:t xml:space="preserve"> </w:t>
      </w:r>
      <w:r w:rsidRPr="006A06D5">
        <w:rPr>
          <w:rFonts w:cs="Arial"/>
        </w:rPr>
        <w:t>Anforderungen der betreffenden Einzelrichtlinie gewährleisten.</w:t>
      </w:r>
    </w:p>
    <w:p w:rsidR="001641BC" w:rsidRPr="005D598D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  <w:b/>
        </w:rPr>
      </w:pPr>
      <w:r w:rsidRPr="005D598D">
        <w:rPr>
          <w:rFonts w:cs="Arial"/>
          <w:b/>
        </w:rPr>
        <w:t>2.</w:t>
      </w:r>
      <w:r w:rsidR="005D598D">
        <w:rPr>
          <w:rFonts w:cs="Arial"/>
          <w:b/>
        </w:rPr>
        <w:tab/>
      </w:r>
      <w:r w:rsidRPr="005D598D">
        <w:rPr>
          <w:rFonts w:cs="Arial"/>
          <w:b/>
        </w:rPr>
        <w:t>ART DER EWG-PRÜFUNG</w:t>
      </w:r>
    </w:p>
    <w:p w:rsidR="001641BC" w:rsidRPr="006A06D5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</w:rPr>
      </w:pPr>
      <w:r w:rsidRPr="006A06D5">
        <w:rPr>
          <w:rFonts w:cs="Arial"/>
        </w:rPr>
        <w:t>2.1.</w:t>
      </w:r>
      <w:r w:rsidR="005D598D">
        <w:rPr>
          <w:rFonts w:cs="Arial"/>
        </w:rPr>
        <w:tab/>
      </w:r>
      <w:r w:rsidRPr="006A06D5">
        <w:rPr>
          <w:rFonts w:cs="Arial"/>
        </w:rPr>
        <w:t>Vorbehaltlich der Bestimmungen der Einzelrichtlinien umfaßt die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EWG-Prüfung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  <w:tab w:val="left" w:pos="1418"/>
        </w:tabs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eine Prüfung der Qualität der Werkstoffe,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  <w:tab w:val="left" w:pos="1418"/>
        </w:tabs>
        <w:ind w:left="1418" w:hanging="1418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eine Prüfung der Berechnung der Auslegung des Druckbehälters,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der Herstellungsverfahren, der Bauausführung und der verwendeten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Werkstoffe,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  <w:tab w:val="left" w:pos="1418"/>
        </w:tabs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eine innere Prüfung, bei der die Innenteile und die Schweißnähte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geprüft werden,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  <w:tab w:val="left" w:pos="1418"/>
        </w:tabs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eine Druckprüfung,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  <w:tab w:val="left" w:pos="1418"/>
        </w:tabs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gegebenenfalls eine Prüfung der Sicherheits- und Meßeinrichtungen,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  <w:tab w:val="left" w:pos="1418"/>
        </w:tabs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eine äußere Prüfung der verschiedenen Teile des Druckbehälters,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  <w:tab w:val="left" w:pos="1418"/>
        </w:tabs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eine Prüfung der Betriebsweise, soweit sie in den Einzelrichtlinien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vorgeschrieben ist.</w:t>
      </w:r>
    </w:p>
    <w:p w:rsidR="001641BC" w:rsidRPr="005D598D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  <w:b/>
        </w:rPr>
      </w:pPr>
      <w:r w:rsidRPr="005D598D">
        <w:rPr>
          <w:rFonts w:cs="Arial"/>
          <w:b/>
        </w:rPr>
        <w:t>3.</w:t>
      </w:r>
      <w:r w:rsidR="005D598D">
        <w:rPr>
          <w:rFonts w:cs="Arial"/>
          <w:b/>
        </w:rPr>
        <w:tab/>
      </w:r>
      <w:r w:rsidRPr="005D598D">
        <w:rPr>
          <w:rFonts w:cs="Arial"/>
          <w:b/>
        </w:rPr>
        <w:t>ZEICHEN DER EWG-PRÜFUNG</w:t>
      </w:r>
    </w:p>
    <w:p w:rsidR="001641BC" w:rsidRPr="006A06D5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  <w:b/>
          <w:bCs/>
        </w:rPr>
      </w:pPr>
      <w:r w:rsidRPr="006A06D5">
        <w:rPr>
          <w:rFonts w:cs="Arial"/>
        </w:rPr>
        <w:t>3.1.</w:t>
      </w:r>
      <w:r w:rsidR="005D598D">
        <w:rPr>
          <w:rFonts w:cs="Arial"/>
        </w:rPr>
        <w:tab/>
      </w:r>
      <w:r w:rsidRPr="006A06D5">
        <w:rPr>
          <w:rFonts w:cs="Arial"/>
          <w:b/>
          <w:bCs/>
        </w:rPr>
        <w:t>Beschreibung der Zeichen der EWG-Prüfung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3.1.1.</w:t>
      </w:r>
      <w:r w:rsidR="005D598D">
        <w:rPr>
          <w:rFonts w:cs="Arial"/>
        </w:rPr>
        <w:tab/>
      </w:r>
      <w:r w:rsidRPr="006A06D5">
        <w:rPr>
          <w:rFonts w:cs="Arial"/>
        </w:rPr>
        <w:t>Vorbehaltlich der Bestimmungen der Einzelrichtlinien sind für die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EWG-Prüfung folgende Zeichen nach Nummer 3.3 zu verwenden:</w:t>
      </w:r>
    </w:p>
    <w:p w:rsidR="001641BC" w:rsidRPr="006A06D5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</w:rPr>
      </w:pPr>
      <w:r w:rsidRPr="006A06D5">
        <w:rPr>
          <w:rFonts w:cs="Arial"/>
        </w:rPr>
        <w:t>3.1.1.1.</w:t>
      </w:r>
      <w:r w:rsidR="005D598D">
        <w:rPr>
          <w:rFonts w:cs="Arial"/>
        </w:rPr>
        <w:tab/>
      </w:r>
      <w:r w:rsidRPr="006A06D5">
        <w:rPr>
          <w:rFonts w:cs="Arial"/>
        </w:rPr>
        <w:t>Das Zeichen für die vollständige EWG-Prüfung, das aus zwei Zeichen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besteht:</w:t>
      </w:r>
    </w:p>
    <w:p w:rsidR="001641BC" w:rsidRPr="006A06D5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</w:rPr>
      </w:pPr>
      <w:r w:rsidRPr="006A06D5">
        <w:rPr>
          <w:rFonts w:cs="Arial"/>
        </w:rPr>
        <w:t>3.1.1.1.1.</w:t>
      </w:r>
      <w:r w:rsidR="005D598D">
        <w:rPr>
          <w:rFonts w:cs="Arial"/>
        </w:rPr>
        <w:tab/>
      </w:r>
      <w:r w:rsidRPr="006A06D5">
        <w:rPr>
          <w:rFonts w:cs="Arial"/>
        </w:rPr>
        <w:t>dem ersten Zeichen in Form eines kleinen „e“, das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</w:tabs>
        <w:ind w:left="1418" w:hanging="1418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in der oberen Hälfte das Kennzeichen des Landes trägt, in dem die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Prüfung vorgenommen wurde (B für Belgien, D für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Deutschland, DK für Dänemark, E für Spanien, F für Frankreich,</w:t>
      </w:r>
      <w:r>
        <w:rPr>
          <w:rFonts w:cs="Arial"/>
        </w:rPr>
        <w:t xml:space="preserve"> </w:t>
      </w:r>
      <w:r w:rsidR="007371A1">
        <w:rPr>
          <w:rFonts w:cs="Arial"/>
        </w:rPr>
        <w:t>EL für Griechenland</w:t>
      </w:r>
      <w:r w:rsidR="001641BC" w:rsidRPr="006A06D5">
        <w:rPr>
          <w:rFonts w:cs="Arial"/>
        </w:rPr>
        <w:t>, I für Italien, IRL für Irland, L für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Luxemburg, N L für Niederlande, P für Portugal, UK für Vereinigtes</w:t>
      </w:r>
      <w:r>
        <w:rPr>
          <w:rFonts w:cs="Arial"/>
        </w:rPr>
        <w:t xml:space="preserve"> </w:t>
      </w:r>
      <w:r w:rsidR="007371A1">
        <w:rPr>
          <w:rFonts w:cs="Arial"/>
        </w:rPr>
        <w:t>Königreich</w:t>
      </w:r>
      <w:r w:rsidR="001641BC" w:rsidRPr="006A06D5">
        <w:rPr>
          <w:rFonts w:cs="Arial"/>
        </w:rPr>
        <w:t>, A für Österreich, S für Schweden, FI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für Finn</w:t>
      </w:r>
      <w:r w:rsidR="007371A1">
        <w:rPr>
          <w:rFonts w:cs="Arial"/>
        </w:rPr>
        <w:t>land</w:t>
      </w:r>
      <w:r w:rsidR="00C0764D">
        <w:rPr>
          <w:rFonts w:cs="Arial"/>
        </w:rPr>
        <w:t>,</w:t>
      </w:r>
      <w:r w:rsidR="00C0764D" w:rsidRPr="00C0764D">
        <w:rPr>
          <w:rFonts w:cs="Arial"/>
        </w:rPr>
        <w:t xml:space="preserve"> </w:t>
      </w:r>
      <w:r w:rsidR="00C0764D">
        <w:rPr>
          <w:rFonts w:cs="Arial"/>
        </w:rPr>
        <w:t>CZ für die Tschechische Republik, EST für Estland, CY für Zypern, LV für Lettland, LT für L</w:t>
      </w:r>
      <w:r w:rsidR="00C0764D">
        <w:rPr>
          <w:rFonts w:cs="Arial"/>
        </w:rPr>
        <w:t>i</w:t>
      </w:r>
      <w:r w:rsidR="00C0764D">
        <w:rPr>
          <w:rFonts w:cs="Arial"/>
        </w:rPr>
        <w:lastRenderedPageBreak/>
        <w:t>tauen, H für Ungarn, M für Malta, PL für Polen, SI für Slowenien, SK für die Slowakei</w:t>
      </w:r>
      <w:r w:rsidR="001641BC" w:rsidRPr="006A06D5">
        <w:rPr>
          <w:rFonts w:cs="Arial"/>
        </w:rPr>
        <w:t>) sowie erforderlichenfalls eine oder zwei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Ziffern, die auf eine regionale Unterteilung hinweisen;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</w:tabs>
        <w:ind w:left="1418" w:hanging="1418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in der unteren Hälfte das vom Prüfer angebrachte Kennzeichen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der Prüfstelle, gegebene</w:t>
      </w:r>
      <w:r w:rsidR="001641BC" w:rsidRPr="006A06D5">
        <w:rPr>
          <w:rFonts w:cs="Arial"/>
        </w:rPr>
        <w:t>n</w:t>
      </w:r>
      <w:r w:rsidR="001641BC" w:rsidRPr="006A06D5">
        <w:rPr>
          <w:rFonts w:cs="Arial"/>
        </w:rPr>
        <w:t>falls ergänzt durch das Kennzeichen des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Prüfers;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3.1.1.1.2.</w:t>
      </w:r>
      <w:r w:rsidR="005D598D">
        <w:rPr>
          <w:rFonts w:cs="Arial"/>
        </w:rPr>
        <w:tab/>
      </w:r>
      <w:r w:rsidRPr="006A06D5">
        <w:rPr>
          <w:rFonts w:cs="Arial"/>
        </w:rPr>
        <w:t>dem zweiten Zeichen, das aus dem Prüfdatum in einer sechseckigen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Umrandung besteht, we</w:t>
      </w:r>
      <w:r w:rsidRPr="006A06D5">
        <w:rPr>
          <w:rFonts w:cs="Arial"/>
        </w:rPr>
        <w:t>l</w:t>
      </w:r>
      <w:r w:rsidRPr="006A06D5">
        <w:rPr>
          <w:rFonts w:cs="Arial"/>
        </w:rPr>
        <w:t>ches mit der in den Einzelrichtlinien geforderten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Präzision ausgeführt wird.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3.1.1.2.</w:t>
      </w:r>
      <w:r w:rsidR="005D598D">
        <w:rPr>
          <w:rFonts w:cs="Arial"/>
        </w:rPr>
        <w:tab/>
      </w:r>
      <w:r w:rsidRPr="006A06D5">
        <w:rPr>
          <w:rFonts w:cs="Arial"/>
        </w:rPr>
        <w:t>Das Zeichen für die teilweise durchgeführte EWG-Prüfung, das lediglich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aus dem ersten Zeichen besteht</w:t>
      </w:r>
      <w:r w:rsidR="005D598D">
        <w:rPr>
          <w:rStyle w:val="Funotenzeichen"/>
          <w:rFonts w:cs="Arial"/>
        </w:rPr>
        <w:footnoteReference w:id="5"/>
      </w:r>
      <w:r w:rsidRPr="006A06D5">
        <w:rPr>
          <w:rFonts w:cs="Arial"/>
        </w:rPr>
        <w:t>.</w:t>
      </w:r>
    </w:p>
    <w:p w:rsidR="001641BC" w:rsidRPr="006A06D5" w:rsidRDefault="001641BC" w:rsidP="00B97A1F">
      <w:pPr>
        <w:pStyle w:val="GesAbsatz"/>
        <w:tabs>
          <w:tab w:val="clear" w:pos="425"/>
          <w:tab w:val="left" w:pos="993"/>
        </w:tabs>
        <w:rPr>
          <w:rFonts w:cs="Arial"/>
          <w:b/>
          <w:bCs/>
        </w:rPr>
      </w:pPr>
      <w:r w:rsidRPr="006A06D5">
        <w:rPr>
          <w:rFonts w:cs="Arial"/>
        </w:rPr>
        <w:t>3.2.</w:t>
      </w:r>
      <w:r w:rsidR="005D598D">
        <w:rPr>
          <w:rFonts w:cs="Arial"/>
        </w:rPr>
        <w:tab/>
      </w:r>
      <w:r w:rsidRPr="006A06D5">
        <w:rPr>
          <w:rFonts w:cs="Arial"/>
          <w:b/>
          <w:bCs/>
        </w:rPr>
        <w:t>Form und Abmessungen der Zeichen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3.2.1.</w:t>
      </w:r>
      <w:r w:rsidR="005D598D">
        <w:rPr>
          <w:rFonts w:cs="Arial"/>
        </w:rPr>
        <w:tab/>
      </w:r>
      <w:r w:rsidRPr="006A06D5">
        <w:rPr>
          <w:rFonts w:cs="Arial"/>
        </w:rPr>
        <w:t>Ein Beispiel für die Form der Zeichen nach den Nummern 3.1.1.1.1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und 3.1.1.1.2 ist in den Abbi</w:t>
      </w:r>
      <w:r w:rsidRPr="006A06D5">
        <w:rPr>
          <w:rFonts w:cs="Arial"/>
        </w:rPr>
        <w:t>l</w:t>
      </w:r>
      <w:r w:rsidRPr="006A06D5">
        <w:rPr>
          <w:rFonts w:cs="Arial"/>
        </w:rPr>
        <w:t>dungen 1 bzw. 2 aufgeführt.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Die Einzelrichtlinien können die Anbringungsstelle und die Abmessungen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der Zeichen für die EWG-Prüfung festlegen.</w:t>
      </w:r>
    </w:p>
    <w:p w:rsidR="001641BC" w:rsidRPr="006A06D5" w:rsidRDefault="005D598D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Werden keine Angaben in den Einzelrichtlinien gemacht, so müssen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die Buchstaben und Ziffern eines jeden Zeichens mindestens 5 mm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hoch sein.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3.2.2.</w:t>
      </w:r>
      <w:r w:rsidR="005D598D">
        <w:rPr>
          <w:rFonts w:cs="Arial"/>
        </w:rPr>
        <w:tab/>
      </w:r>
      <w:r w:rsidRPr="006A06D5">
        <w:rPr>
          <w:rFonts w:cs="Arial"/>
        </w:rPr>
        <w:t>Die Prüfstellen der Mitgliedstaaten übermitteln sich gegenseitig die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Zeichnungen der Zeichen für die EWG-Prüfung.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  <w:b/>
          <w:bCs/>
        </w:rPr>
      </w:pPr>
      <w:r w:rsidRPr="006A06D5">
        <w:rPr>
          <w:rFonts w:cs="Arial"/>
        </w:rPr>
        <w:t>3.3.</w:t>
      </w:r>
      <w:r w:rsidR="005D598D">
        <w:rPr>
          <w:rFonts w:cs="Arial"/>
        </w:rPr>
        <w:tab/>
      </w:r>
      <w:r w:rsidRPr="006A06D5">
        <w:rPr>
          <w:rFonts w:cs="Arial"/>
          <w:b/>
          <w:bCs/>
        </w:rPr>
        <w:t>Anbringung der Zeichen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3.3.1.</w:t>
      </w:r>
      <w:r w:rsidR="005D598D">
        <w:rPr>
          <w:rFonts w:cs="Arial"/>
        </w:rPr>
        <w:tab/>
      </w:r>
      <w:r w:rsidRPr="006A06D5">
        <w:rPr>
          <w:rFonts w:cs="Arial"/>
        </w:rPr>
        <w:t>Das Zeichen für die vollständige EWG-Prüfung wird an der hierfür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vorgesehenen Stelle des vol</w:t>
      </w:r>
      <w:r w:rsidRPr="006A06D5">
        <w:rPr>
          <w:rFonts w:cs="Arial"/>
        </w:rPr>
        <w:t>l</w:t>
      </w:r>
      <w:r w:rsidRPr="006A06D5">
        <w:rPr>
          <w:rFonts w:cs="Arial"/>
        </w:rPr>
        <w:t>ständig geprüften und als mit den EWG</w:t>
      </w:r>
      <w:r w:rsidR="005D598D">
        <w:rPr>
          <w:rFonts w:cs="Arial"/>
        </w:rPr>
        <w:t>-</w:t>
      </w:r>
      <w:r w:rsidRPr="006A06D5">
        <w:rPr>
          <w:rFonts w:cs="Arial"/>
        </w:rPr>
        <w:t>Vorschriften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übereinstimmend anerkannten Druckbehä</w:t>
      </w:r>
      <w:r w:rsidRPr="006A06D5">
        <w:rPr>
          <w:rFonts w:cs="Arial"/>
        </w:rPr>
        <w:t>l</w:t>
      </w:r>
      <w:r w:rsidRPr="006A06D5">
        <w:rPr>
          <w:rFonts w:cs="Arial"/>
        </w:rPr>
        <w:t>ters angebracht.</w:t>
      </w:r>
    </w:p>
    <w:p w:rsidR="001641BC" w:rsidRPr="006A06D5" w:rsidRDefault="001641BC" w:rsidP="005D598D">
      <w:pPr>
        <w:pStyle w:val="GesAbsatz"/>
        <w:tabs>
          <w:tab w:val="clear" w:pos="425"/>
          <w:tab w:val="left" w:pos="993"/>
        </w:tabs>
        <w:ind w:left="993" w:hanging="993"/>
        <w:rPr>
          <w:rFonts w:cs="Arial"/>
        </w:rPr>
      </w:pPr>
      <w:r w:rsidRPr="006A06D5">
        <w:rPr>
          <w:rFonts w:cs="Arial"/>
        </w:rPr>
        <w:t>3.3.2.</w:t>
      </w:r>
      <w:r w:rsidR="005D598D">
        <w:rPr>
          <w:rFonts w:cs="Arial"/>
        </w:rPr>
        <w:tab/>
      </w:r>
      <w:r w:rsidRPr="006A06D5">
        <w:rPr>
          <w:rFonts w:cs="Arial"/>
        </w:rPr>
        <w:t>Erfolgt die Prüfung in mehreren Schritten, so wird das Zeichen für die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teilweise durchgeführte EWG-Prüfung am Herstellungsort auf dem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Druckbehälter oder Druckbehälterteil angebracht, dessen Übereinstimmung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mit den EWG-Vorschriften in dieser Prüfungsphase festgestellt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worden ist, und zwar an der Stelle für die Stempelscheibe oder an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einer beliebigen anderen, in den Ei</w:t>
      </w:r>
      <w:r w:rsidRPr="006A06D5">
        <w:rPr>
          <w:rFonts w:cs="Arial"/>
        </w:rPr>
        <w:t>n</w:t>
      </w:r>
      <w:r w:rsidRPr="006A06D5">
        <w:rPr>
          <w:rFonts w:cs="Arial"/>
        </w:rPr>
        <w:t>zelrichtlinien vorgeschriebenen</w:t>
      </w:r>
      <w:r w:rsidR="005D598D">
        <w:rPr>
          <w:rFonts w:cs="Arial"/>
        </w:rPr>
        <w:t xml:space="preserve"> </w:t>
      </w:r>
      <w:r w:rsidRPr="006A06D5">
        <w:rPr>
          <w:rFonts w:cs="Arial"/>
        </w:rPr>
        <w:t>Stelle.</w:t>
      </w:r>
    </w:p>
    <w:p w:rsidR="001641BC" w:rsidRDefault="000C35EB" w:rsidP="000C35EB">
      <w:pPr>
        <w:pStyle w:val="GesAbsatz"/>
        <w:tabs>
          <w:tab w:val="clear" w:pos="425"/>
          <w:tab w:val="left" w:pos="993"/>
        </w:tabs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="001641BC" w:rsidRPr="006A06D5">
        <w:rPr>
          <w:rFonts w:cs="Arial"/>
          <w:b/>
          <w:bCs/>
        </w:rPr>
        <w:t>Abbildung 1</w:t>
      </w:r>
    </w:p>
    <w:p w:rsidR="005D598D" w:rsidRPr="006A06D5" w:rsidRDefault="009A0239" w:rsidP="000C35EB">
      <w:pPr>
        <w:pStyle w:val="GesAbsatz"/>
        <w:ind w:left="1699" w:firstLine="425"/>
        <w:jc w:val="left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10861671" wp14:editId="03179CC9">
            <wp:extent cx="1203960" cy="96012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BC" w:rsidRPr="006A06D5" w:rsidRDefault="000C35EB" w:rsidP="000C35EB">
      <w:pPr>
        <w:pStyle w:val="GesAbsatz"/>
        <w:tabs>
          <w:tab w:val="clear" w:pos="425"/>
          <w:tab w:val="left" w:pos="993"/>
        </w:tabs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="001641BC" w:rsidRPr="006A06D5">
        <w:rPr>
          <w:rFonts w:cs="Arial"/>
          <w:b/>
          <w:bCs/>
        </w:rPr>
        <w:t>Abbildung 2</w:t>
      </w:r>
    </w:p>
    <w:p w:rsidR="00D66426" w:rsidRDefault="009A0239" w:rsidP="000C35EB">
      <w:pPr>
        <w:pStyle w:val="GesAbsatz"/>
        <w:ind w:left="1699" w:firstLine="425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BE6732F" wp14:editId="12DD9358">
            <wp:extent cx="1203960" cy="101346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CE" w:rsidRDefault="00AE5CCE" w:rsidP="006A06D5">
      <w:pPr>
        <w:pStyle w:val="GesAbsatz"/>
        <w:rPr>
          <w:rFonts w:cs="Arial"/>
          <w:i/>
          <w:iCs/>
        </w:rPr>
      </w:pPr>
    </w:p>
    <w:p w:rsidR="001641BC" w:rsidRPr="006A06D5" w:rsidRDefault="001641BC" w:rsidP="00AE5CCE">
      <w:pPr>
        <w:pStyle w:val="berschrift2"/>
        <w:jc w:val="left"/>
      </w:pPr>
      <w:bookmarkStart w:id="37" w:name="_Toc400367446"/>
      <w:r w:rsidRPr="006A06D5">
        <w:lastRenderedPageBreak/>
        <w:t>Anlage zu Anhang I und</w:t>
      </w:r>
      <w:r w:rsidR="00AE5CCE">
        <w:t xml:space="preserve"> </w:t>
      </w:r>
      <w:r w:rsidRPr="006A06D5">
        <w:t>II</w:t>
      </w:r>
      <w:bookmarkEnd w:id="37"/>
    </w:p>
    <w:p w:rsidR="001641BC" w:rsidRPr="006A06D5" w:rsidRDefault="001641BC" w:rsidP="00AE5CCE">
      <w:pPr>
        <w:pStyle w:val="GesAbsatz"/>
        <w:jc w:val="center"/>
        <w:rPr>
          <w:rFonts w:cs="Arial"/>
          <w:b/>
          <w:bCs/>
        </w:rPr>
      </w:pPr>
      <w:r w:rsidRPr="006A06D5">
        <w:rPr>
          <w:rFonts w:cs="Arial"/>
          <w:b/>
          <w:bCs/>
        </w:rPr>
        <w:t>Übersicht über die verschiedenen Kombinationen, die hinsichtlich der EWG-Bauartzulassung</w:t>
      </w:r>
      <w:r w:rsidR="00AE5CCE">
        <w:rPr>
          <w:rFonts w:cs="Arial"/>
          <w:b/>
          <w:bCs/>
        </w:rPr>
        <w:br/>
      </w:r>
      <w:r w:rsidRPr="006A06D5">
        <w:rPr>
          <w:rFonts w:cs="Arial"/>
          <w:b/>
          <w:bCs/>
        </w:rPr>
        <w:t>und der EWG-Prüfung</w:t>
      </w:r>
      <w:r w:rsidR="00AE5CCE">
        <w:rPr>
          <w:rFonts w:cs="Arial"/>
          <w:b/>
          <w:bCs/>
        </w:rPr>
        <w:t xml:space="preserve"> </w:t>
      </w:r>
      <w:r w:rsidRPr="006A06D5">
        <w:rPr>
          <w:rFonts w:cs="Arial"/>
          <w:b/>
          <w:bCs/>
        </w:rPr>
        <w:t>möglich sind</w:t>
      </w:r>
    </w:p>
    <w:p w:rsidR="001641BC" w:rsidRPr="006A06D5" w:rsidRDefault="009A0239" w:rsidP="006A06D5">
      <w:pPr>
        <w:pStyle w:val="GesAbsatz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96A431A" wp14:editId="5C9D15C2">
            <wp:extent cx="6118860" cy="457200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BC" w:rsidRPr="006A06D5" w:rsidRDefault="001641BC" w:rsidP="006A06D5">
      <w:pPr>
        <w:pStyle w:val="GesAbsatz"/>
        <w:rPr>
          <w:rFonts w:cs="Arial"/>
          <w:b/>
          <w:bCs/>
        </w:rPr>
      </w:pPr>
    </w:p>
    <w:p w:rsidR="001641BC" w:rsidRPr="006A06D5" w:rsidRDefault="001641BC" w:rsidP="00B55585">
      <w:pPr>
        <w:pStyle w:val="berschrift2"/>
        <w:jc w:val="left"/>
      </w:pPr>
      <w:bookmarkStart w:id="38" w:name="_Toc400367447"/>
      <w:r w:rsidRPr="006A06D5">
        <w:t>ANHANG III</w:t>
      </w:r>
      <w:bookmarkEnd w:id="38"/>
    </w:p>
    <w:p w:rsidR="001641BC" w:rsidRPr="006A06D5" w:rsidRDefault="001641BC" w:rsidP="00B55585">
      <w:pPr>
        <w:pStyle w:val="GesAbsatz"/>
        <w:jc w:val="center"/>
        <w:rPr>
          <w:rFonts w:cs="Arial"/>
          <w:b/>
          <w:bCs/>
        </w:rPr>
      </w:pPr>
      <w:r w:rsidRPr="006A06D5">
        <w:rPr>
          <w:rFonts w:cs="Arial"/>
          <w:b/>
          <w:bCs/>
        </w:rPr>
        <w:t>Von den Mitgliedstaaten zu berücksichtigende Mindestkriterien für die</w:t>
      </w:r>
      <w:r w:rsidR="00B55585">
        <w:rPr>
          <w:rFonts w:cs="Arial"/>
          <w:b/>
          <w:bCs/>
        </w:rPr>
        <w:t xml:space="preserve"> </w:t>
      </w:r>
      <w:r w:rsidRPr="006A06D5">
        <w:rPr>
          <w:rFonts w:cs="Arial"/>
          <w:b/>
          <w:bCs/>
        </w:rPr>
        <w:t>Benennung</w:t>
      </w:r>
      <w:r w:rsidR="00B55585">
        <w:rPr>
          <w:rFonts w:cs="Arial"/>
          <w:b/>
          <w:bCs/>
        </w:rPr>
        <w:br/>
      </w:r>
      <w:r w:rsidRPr="006A06D5">
        <w:rPr>
          <w:rFonts w:cs="Arial"/>
          <w:b/>
          <w:bCs/>
        </w:rPr>
        <w:t>der Prüfstellen, denen die EWG-Prüfung übertragen wird</w:t>
      </w:r>
    </w:p>
    <w:p w:rsidR="001641BC" w:rsidRPr="006A06D5" w:rsidRDefault="001641BC" w:rsidP="009A3F02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1.</w:t>
      </w:r>
      <w:r w:rsidR="009A3F02">
        <w:rPr>
          <w:rFonts w:cs="Arial"/>
        </w:rPr>
        <w:tab/>
      </w:r>
      <w:r w:rsidRPr="006A06D5">
        <w:rPr>
          <w:rFonts w:cs="Arial"/>
        </w:rPr>
        <w:t>Die Prüfstelle, ihr Leiter und das mit der Durchführung der Prüfung beauftragte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Personal dürfen weder mit dem Urheber des Entwurfs, dem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Hersteller, dem Lieferanten oder dem Installateur der zu prüfenden Druckbehälter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oder Anlagen identisch noch Beauftragte einer dieser Personen sein.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Sie dürfen weder unmittelbar noch als Beauftragte an der Planung, am Bau,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am Vertrieb, am Zum-Verkauf-Anbieten oder an der Instandhaltung dieser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Druckbehälter oder Anlagen beteiligt sein. Die Möglichkeit eines Au</w:t>
      </w:r>
      <w:r w:rsidRPr="006A06D5">
        <w:rPr>
          <w:rFonts w:cs="Arial"/>
        </w:rPr>
        <w:t>s</w:t>
      </w:r>
      <w:r w:rsidRPr="006A06D5">
        <w:rPr>
          <w:rFonts w:cs="Arial"/>
        </w:rPr>
        <w:t>tauschs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technischer Informationen zwischen dem Hersteller und der Prüfstelle wird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dadurch nicht au</w:t>
      </w:r>
      <w:r w:rsidRPr="006A06D5">
        <w:rPr>
          <w:rFonts w:cs="Arial"/>
        </w:rPr>
        <w:t>s</w:t>
      </w:r>
      <w:r w:rsidRPr="006A06D5">
        <w:rPr>
          <w:rFonts w:cs="Arial"/>
        </w:rPr>
        <w:t>geschlossen.</w:t>
      </w:r>
    </w:p>
    <w:p w:rsidR="001641BC" w:rsidRPr="006A06D5" w:rsidRDefault="001641BC" w:rsidP="009A3F02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2.</w:t>
      </w:r>
      <w:r w:rsidR="009A3F02">
        <w:rPr>
          <w:rFonts w:cs="Arial"/>
        </w:rPr>
        <w:tab/>
      </w:r>
      <w:r w:rsidRPr="006A06D5">
        <w:rPr>
          <w:rFonts w:cs="Arial"/>
        </w:rPr>
        <w:t>Die Prüfstelle und das mit der Prüfung beauftragte Personal müssen die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Prüfungen mit höchster berufl</w:t>
      </w:r>
      <w:r w:rsidRPr="006A06D5">
        <w:rPr>
          <w:rFonts w:cs="Arial"/>
        </w:rPr>
        <w:t>i</w:t>
      </w:r>
      <w:r w:rsidRPr="006A06D5">
        <w:rPr>
          <w:rFonts w:cs="Arial"/>
        </w:rPr>
        <w:t>cher Integrität und größter technischer Kompetenz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durchführen und unabhängig von jeder Einflußna</w:t>
      </w:r>
      <w:r w:rsidRPr="006A06D5">
        <w:rPr>
          <w:rFonts w:cs="Arial"/>
        </w:rPr>
        <w:t>h</w:t>
      </w:r>
      <w:r w:rsidRPr="006A06D5">
        <w:rPr>
          <w:rFonts w:cs="Arial"/>
        </w:rPr>
        <w:t>me — vor allem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finanzieller Art — auf ihre Beurteilung oder die Ergebnisse ihrer Prüfung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sein, insb</w:t>
      </w:r>
      <w:r w:rsidRPr="006A06D5">
        <w:rPr>
          <w:rFonts w:cs="Arial"/>
        </w:rPr>
        <w:t>e</w:t>
      </w:r>
      <w:r w:rsidRPr="006A06D5">
        <w:rPr>
          <w:rFonts w:cs="Arial"/>
        </w:rPr>
        <w:t>sondere von der Einflußnahme seitens Personen oder Personengruppen,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die an den Ergebnissen der Prüfungen interessiert sind.</w:t>
      </w:r>
    </w:p>
    <w:p w:rsidR="001641BC" w:rsidRPr="006A06D5" w:rsidRDefault="001641BC" w:rsidP="009A3F02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3.</w:t>
      </w:r>
      <w:r w:rsidR="009A3F02">
        <w:rPr>
          <w:rFonts w:cs="Arial"/>
        </w:rPr>
        <w:tab/>
      </w:r>
      <w:r w:rsidRPr="006A06D5">
        <w:rPr>
          <w:rFonts w:cs="Arial"/>
        </w:rPr>
        <w:t>Die Prüfstelle muß über das Personal verfügen und die Mittel besitzen, die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zur angemessenen Erfüllung der mit der Durchführung der Prüfungen verbundenen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technischen und administrativen Aufgaben erfo</w:t>
      </w:r>
      <w:r w:rsidRPr="006A06D5">
        <w:rPr>
          <w:rFonts w:cs="Arial"/>
        </w:rPr>
        <w:t>r</w:t>
      </w:r>
      <w:r w:rsidRPr="006A06D5">
        <w:rPr>
          <w:rFonts w:cs="Arial"/>
        </w:rPr>
        <w:t>derlich sind; sie muß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außerdem Zugang zu den erforderlichen Geräten für außerordentliche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Prüfungen haben.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</w:rPr>
        <w:t>4.</w:t>
      </w:r>
      <w:r w:rsidR="009A3F02">
        <w:rPr>
          <w:rFonts w:cs="Arial"/>
        </w:rPr>
        <w:tab/>
      </w:r>
      <w:r w:rsidRPr="006A06D5">
        <w:rPr>
          <w:rFonts w:cs="Arial"/>
        </w:rPr>
        <w:t>Das mit den Prüfungen beauftragte Personal muß folgendes besitzen:</w:t>
      </w:r>
    </w:p>
    <w:p w:rsidR="001641BC" w:rsidRPr="006A06D5" w:rsidRDefault="009A3F02" w:rsidP="009A3F02">
      <w:pPr>
        <w:pStyle w:val="GesAbsatz"/>
        <w:ind w:left="709" w:hanging="709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eine gute technische und berufliche Ausbildung;</w:t>
      </w:r>
    </w:p>
    <w:p w:rsidR="001641BC" w:rsidRPr="006A06D5" w:rsidRDefault="009A3F02" w:rsidP="009A3F02">
      <w:pPr>
        <w:pStyle w:val="GesAbsatz"/>
        <w:ind w:left="709" w:hanging="709"/>
        <w:rPr>
          <w:rFonts w:cs="Arial"/>
        </w:rPr>
      </w:pPr>
      <w:r>
        <w:rPr>
          <w:rFonts w:cs="Arial"/>
        </w:rPr>
        <w:lastRenderedPageBreak/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eine ausreichende Kenntnis der Vorschriften für die von ihm durchgeführten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Prüfungen und eine ausreichende praktische Erfahrung auf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diesem Gebiet;</w:t>
      </w:r>
    </w:p>
    <w:p w:rsidR="001641BC" w:rsidRPr="006A06D5" w:rsidRDefault="009A3F02" w:rsidP="009A3F02">
      <w:pPr>
        <w:pStyle w:val="GesAbsatz"/>
        <w:ind w:left="709" w:hanging="709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</w:r>
      <w:r w:rsidR="001641BC" w:rsidRPr="006A06D5">
        <w:rPr>
          <w:rFonts w:cs="Arial"/>
        </w:rPr>
        <w:t>die erforderliche Eignung für die Abfassung der Bescheinigungen, Protokolle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und Berichte, in denen die durchgeführten Prüfungen niedergelegt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werden.</w:t>
      </w:r>
    </w:p>
    <w:p w:rsidR="001641BC" w:rsidRPr="006A06D5" w:rsidRDefault="001641BC" w:rsidP="009A3F02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5.</w:t>
      </w:r>
      <w:r w:rsidR="009A3F02">
        <w:rPr>
          <w:rFonts w:cs="Arial"/>
        </w:rPr>
        <w:tab/>
      </w:r>
      <w:r w:rsidRPr="006A06D5">
        <w:rPr>
          <w:rFonts w:cs="Arial"/>
        </w:rPr>
        <w:t>Die Unabhängigkeit des mit der Prüfung beauftragten Personals ist zu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gewährleisten. Die Höhe der Entlohnung jedes Prüfers darf sich weder nach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der Zahl der von ihm durchgeführten Prüfungen noch nach den Ergebnissen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dieser Prüfungen richten.</w:t>
      </w:r>
    </w:p>
    <w:p w:rsidR="001641BC" w:rsidRPr="006A06D5" w:rsidRDefault="001641BC" w:rsidP="009A3F02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6.</w:t>
      </w:r>
      <w:r w:rsidR="009A3F02">
        <w:rPr>
          <w:rFonts w:cs="Arial"/>
        </w:rPr>
        <w:tab/>
      </w:r>
      <w:r w:rsidRPr="006A06D5">
        <w:rPr>
          <w:rFonts w:cs="Arial"/>
        </w:rPr>
        <w:t>Die Prüfstelle muß eine Haftpflichtversicherung abschließen, es sei denn,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diese Haftpflicht wird auf Grund der innerstaatlichen Rechtsvorschriften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vom Staat gedeckt oder die Prüfungen werden unmitte</w:t>
      </w:r>
      <w:r w:rsidRPr="006A06D5">
        <w:rPr>
          <w:rFonts w:cs="Arial"/>
        </w:rPr>
        <w:t>l</w:t>
      </w:r>
      <w:r w:rsidRPr="006A06D5">
        <w:rPr>
          <w:rFonts w:cs="Arial"/>
        </w:rPr>
        <w:t>bar von dem Mitgliedstaat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durchgeführt.</w:t>
      </w:r>
    </w:p>
    <w:p w:rsidR="001641BC" w:rsidRPr="006A06D5" w:rsidRDefault="001641BC" w:rsidP="009A3F02">
      <w:pPr>
        <w:pStyle w:val="GesAbsatz"/>
        <w:ind w:left="426" w:hanging="426"/>
        <w:rPr>
          <w:rFonts w:cs="Arial"/>
        </w:rPr>
      </w:pPr>
      <w:r w:rsidRPr="006A06D5">
        <w:rPr>
          <w:rFonts w:cs="Arial"/>
        </w:rPr>
        <w:t>7.</w:t>
      </w:r>
      <w:r w:rsidR="009A3F02">
        <w:rPr>
          <w:rFonts w:cs="Arial"/>
        </w:rPr>
        <w:tab/>
      </w:r>
      <w:r w:rsidRPr="006A06D5">
        <w:rPr>
          <w:rFonts w:cs="Arial"/>
        </w:rPr>
        <w:t>Das Personal der Prüfstelle ist (außer gegenüber den zuständigen Behörden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des Staates, in dem es seine Tätigkeit ausübt) durch das Berufsgeheimnis in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bezug auf alles gebunden, was es bei der Durc</w:t>
      </w:r>
      <w:r w:rsidRPr="006A06D5">
        <w:rPr>
          <w:rFonts w:cs="Arial"/>
        </w:rPr>
        <w:t>h</w:t>
      </w:r>
      <w:r w:rsidRPr="006A06D5">
        <w:rPr>
          <w:rFonts w:cs="Arial"/>
        </w:rPr>
        <w:t>führung seiner Aufgaben im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Rahmen dieser Richtlinie und der Einzelrichtlinien oder jeder anderen i</w:t>
      </w:r>
      <w:r w:rsidRPr="006A06D5">
        <w:rPr>
          <w:rFonts w:cs="Arial"/>
        </w:rPr>
        <w:t>n</w:t>
      </w:r>
      <w:r w:rsidRPr="006A06D5">
        <w:rPr>
          <w:rFonts w:cs="Arial"/>
        </w:rPr>
        <w:t>nerstaatlichen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Rechtsvorschrift, die diesen Richtlinien Wirkung verleiht, erfährt.</w:t>
      </w:r>
    </w:p>
    <w:p w:rsidR="001641BC" w:rsidRPr="006A06D5" w:rsidRDefault="001641BC" w:rsidP="009A3F02">
      <w:pPr>
        <w:pStyle w:val="berschrift2"/>
        <w:jc w:val="left"/>
      </w:pPr>
      <w:bookmarkStart w:id="39" w:name="_Toc400367448"/>
      <w:r w:rsidRPr="006A06D5">
        <w:t>ANHANG IV</w:t>
      </w:r>
      <w:bookmarkEnd w:id="39"/>
    </w:p>
    <w:p w:rsidR="001641BC" w:rsidRPr="006A06D5" w:rsidRDefault="001641BC" w:rsidP="006A06D5">
      <w:pPr>
        <w:pStyle w:val="GesAbsatz"/>
        <w:rPr>
          <w:rFonts w:cs="Arial"/>
          <w:b/>
          <w:bCs/>
        </w:rPr>
      </w:pPr>
      <w:r w:rsidRPr="006A06D5">
        <w:rPr>
          <w:rFonts w:cs="Arial"/>
          <w:b/>
          <w:bCs/>
        </w:rPr>
        <w:t>BEGRIFFSBESTIMMUNGEN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  <w:b/>
          <w:bCs/>
        </w:rPr>
        <w:t xml:space="preserve">Herkunftsstaat: </w:t>
      </w:r>
      <w:r w:rsidRPr="006A06D5">
        <w:rPr>
          <w:rFonts w:cs="Arial"/>
        </w:rPr>
        <w:t>der Mitgliedstaat, in dem ein Druckbehälter hergestellt wird.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  <w:b/>
          <w:bCs/>
        </w:rPr>
        <w:t xml:space="preserve">Bestimmungsstaat: </w:t>
      </w:r>
      <w:r w:rsidRPr="006A06D5">
        <w:rPr>
          <w:rFonts w:cs="Arial"/>
        </w:rPr>
        <w:t>der Mitgliedstaat, in den ein Druckbehälter eingeführt, in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dem er in den Verkehr g</w:t>
      </w:r>
      <w:r w:rsidRPr="006A06D5">
        <w:rPr>
          <w:rFonts w:cs="Arial"/>
        </w:rPr>
        <w:t>e</w:t>
      </w:r>
      <w:r w:rsidRPr="006A06D5">
        <w:rPr>
          <w:rFonts w:cs="Arial"/>
        </w:rPr>
        <w:t>bracht und/oder in Betrieb genommen werden soll.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  <w:b/>
          <w:bCs/>
        </w:rPr>
        <w:t xml:space="preserve">Herkunftsverwaltung: </w:t>
      </w:r>
      <w:r w:rsidRPr="006A06D5">
        <w:rPr>
          <w:rFonts w:cs="Arial"/>
        </w:rPr>
        <w:t>die zuständigen Verwaltungsbehörden des Herkunftsstaats.</w:t>
      </w:r>
    </w:p>
    <w:p w:rsidR="001641BC" w:rsidRPr="006A06D5" w:rsidRDefault="001641BC" w:rsidP="006A06D5">
      <w:pPr>
        <w:pStyle w:val="GesAbsatz"/>
        <w:rPr>
          <w:rFonts w:cs="Arial"/>
        </w:rPr>
      </w:pPr>
      <w:r w:rsidRPr="006A06D5">
        <w:rPr>
          <w:rFonts w:cs="Arial"/>
          <w:b/>
          <w:bCs/>
        </w:rPr>
        <w:t xml:space="preserve">Bestimmungsverwaltung: </w:t>
      </w:r>
      <w:r w:rsidRPr="006A06D5">
        <w:rPr>
          <w:rFonts w:cs="Arial"/>
        </w:rPr>
        <w:t>die zuständigen Verwaltungsbehörden des Bestimmungsstaats.</w:t>
      </w:r>
    </w:p>
    <w:p w:rsidR="001641BC" w:rsidRPr="009A3F02" w:rsidRDefault="001641BC" w:rsidP="006A06D5">
      <w:pPr>
        <w:pStyle w:val="GesAbsatz"/>
        <w:rPr>
          <w:rFonts w:cs="Arial"/>
          <w:b/>
        </w:rPr>
      </w:pPr>
      <w:r w:rsidRPr="009A3F02">
        <w:rPr>
          <w:rFonts w:cs="Arial"/>
          <w:b/>
        </w:rPr>
        <w:t>VERFAHREN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1.</w:t>
      </w:r>
      <w:r w:rsidR="009A3F02">
        <w:rPr>
          <w:rFonts w:cs="Arial"/>
        </w:rPr>
        <w:tab/>
      </w:r>
      <w:r w:rsidRPr="006A06D5">
        <w:rPr>
          <w:rFonts w:cs="Arial"/>
        </w:rPr>
        <w:t>Der Hersteller oder sein Beauftragter, die einen Druckbehälter oder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mehrere Druckbehälter derselben Bauart ausführen wollen, beantragen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gemäß Artikel 22 bei der Bestimmungsverwaltung unmittelbar oder über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den Importeur im Bestimmungsstaat, daß die Prüfungen von einer Prüfstelle,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die nicht eine Prüfstelle des Bestimmungsstaats ist, nach den im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Bestimmungsstaat geltenden Verfahren durchg</w:t>
      </w:r>
      <w:r w:rsidRPr="006A06D5">
        <w:rPr>
          <w:rFonts w:cs="Arial"/>
        </w:rPr>
        <w:t>e</w:t>
      </w:r>
      <w:r w:rsidRPr="006A06D5">
        <w:rPr>
          <w:rFonts w:cs="Arial"/>
        </w:rPr>
        <w:t>führt werden dürfen.</w:t>
      </w:r>
    </w:p>
    <w:p w:rsidR="001641BC" w:rsidRPr="006A06D5" w:rsidRDefault="009A3F02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Der Hersteller oder sein Beauftragter bezeichnen in ihrem Antrag die von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ihnen gewählte Prüfstelle. Die Wahl der Prüfstelle muß an Hand der vom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Herkunftsstaat gemäß Artikel 13 übermittelten Liste e</w:t>
      </w:r>
      <w:r w:rsidR="001641BC" w:rsidRPr="006A06D5">
        <w:rPr>
          <w:rFonts w:cs="Arial"/>
        </w:rPr>
        <w:t>r</w:t>
      </w:r>
      <w:r w:rsidR="001641BC" w:rsidRPr="006A06D5">
        <w:rPr>
          <w:rFonts w:cs="Arial"/>
        </w:rPr>
        <w:t>folgen. Handelt es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sich jedoch um einen im Anschluß an einen einzigen Auftrag in sehr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kleiner Stüc</w:t>
      </w:r>
      <w:r w:rsidR="001641BC" w:rsidRPr="006A06D5">
        <w:rPr>
          <w:rFonts w:cs="Arial"/>
        </w:rPr>
        <w:t>k</w:t>
      </w:r>
      <w:r w:rsidR="001641BC" w:rsidRPr="006A06D5">
        <w:rPr>
          <w:rFonts w:cs="Arial"/>
        </w:rPr>
        <w:t>zahl hergestellten Druckbehälter oder um Druckbehälter für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eine komplizierte Anlage, die nach den Angaben des Kunden oder eines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von ihm benannten Konstruktionsbüros hergestellt worden sind, so wird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abweichend von diesem Verfahren die Prüfstelle — gegebenenfalls nach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der Liste im Sinne des Artikels 13 — vom Kunden im Herkunftsstaat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gewählt, unter der Bedingung, daß die Bestimmung</w:t>
      </w:r>
      <w:r w:rsidR="001641BC" w:rsidRPr="006A06D5">
        <w:rPr>
          <w:rFonts w:cs="Arial"/>
        </w:rPr>
        <w:t>s</w:t>
      </w:r>
      <w:r w:rsidR="001641BC" w:rsidRPr="006A06D5">
        <w:rPr>
          <w:rFonts w:cs="Arial"/>
        </w:rPr>
        <w:t>verwaltung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Wahl zustimmt.</w:t>
      </w:r>
    </w:p>
    <w:p w:rsidR="001641BC" w:rsidRPr="006A06D5" w:rsidRDefault="009A3F02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Die Bestimmungsverwaltung unterrichtet die Herkunftsverwaltung von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ihren diesbezüglichen En</w:t>
      </w:r>
      <w:r w:rsidR="001641BC" w:rsidRPr="006A06D5">
        <w:rPr>
          <w:rFonts w:cs="Arial"/>
        </w:rPr>
        <w:t>t</w:t>
      </w:r>
      <w:r w:rsidR="001641BC" w:rsidRPr="006A06D5">
        <w:rPr>
          <w:rFonts w:cs="Arial"/>
        </w:rPr>
        <w:t>scheidungen.</w:t>
      </w:r>
    </w:p>
    <w:p w:rsidR="001641BC" w:rsidRPr="006A06D5" w:rsidRDefault="009A3F02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In dem Antrag muß der Name des Kunden oder des Importeurs angegeben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werden, wenn er bekannt ist.</w:t>
      </w:r>
    </w:p>
    <w:p w:rsidR="001641BC" w:rsidRPr="006A06D5" w:rsidRDefault="009A3F02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Dem Antrag sind Unterlagen beizufügen mit den Ausführungszeichnungen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und über die Berechnung des Druckbehälters oder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Druckbehälterbauart sowie mit Angaben über die verwendeten Werksto</w:t>
      </w:r>
      <w:r w:rsidR="001641BC" w:rsidRPr="006A06D5">
        <w:rPr>
          <w:rFonts w:cs="Arial"/>
        </w:rPr>
        <w:t>f</w:t>
      </w:r>
      <w:r w:rsidR="001641BC" w:rsidRPr="006A06D5">
        <w:rPr>
          <w:rFonts w:cs="Arial"/>
        </w:rPr>
        <w:t>fe,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die angewandten Herstellungsverfahren, die Einzelheiten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während der Fertigung angewandten Prüfmethoden und mit allen weiteren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Angaben, die nach Ansicht des Herstellers oder seines Beau</w:t>
      </w:r>
      <w:r w:rsidR="001641BC" w:rsidRPr="006A06D5">
        <w:rPr>
          <w:rFonts w:cs="Arial"/>
        </w:rPr>
        <w:t>f</w:t>
      </w:r>
      <w:r w:rsidR="001641BC" w:rsidRPr="006A06D5">
        <w:rPr>
          <w:rFonts w:cs="Arial"/>
        </w:rPr>
        <w:t>tragten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zweckdienlich sind, der Bestimmungsverwaltung die Beantwortung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Frage zu gestatten, ob der Druckbehälter oder die Druckbehälter einer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Bauart, die nach dem Entwurf hergestellt sind, den im Bestimmungsstaat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geltenden Vorschriften für Druckbehälter entsprechen.</w:t>
      </w:r>
    </w:p>
    <w:p w:rsidR="001641BC" w:rsidRPr="006A06D5" w:rsidRDefault="009A3F02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Diese Unterlagen sind in vierfacher Ausfertigung in der oder den Sprache(n) des Bestimmungsstaats oder in einer anderen von diesem Staat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zugelassenen Sprache beizufügen.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2.1.</w:t>
      </w:r>
      <w:r w:rsidR="009A3F02">
        <w:rPr>
          <w:rFonts w:cs="Arial"/>
        </w:rPr>
        <w:tab/>
      </w:r>
      <w:r w:rsidRPr="006A06D5">
        <w:rPr>
          <w:rFonts w:cs="Arial"/>
        </w:rPr>
        <w:t>Die Bestimmungsverwaltung bestätigt den Eingang der Unterlagen,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sobald sie diese erhalten hat.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2.2.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lastRenderedPageBreak/>
        <w:t>2.2.1.</w:t>
      </w:r>
      <w:r w:rsidR="009A3F02">
        <w:rPr>
          <w:rFonts w:cs="Arial"/>
        </w:rPr>
        <w:tab/>
      </w:r>
      <w:r w:rsidRPr="006A06D5">
        <w:rPr>
          <w:rFonts w:cs="Arial"/>
        </w:rPr>
        <w:t>Ist die Bestimmungsverwaltung der Ansicht, daß die ihr zugegangenen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Unterlagen hinsichtlich der unter Nummer 1 genannten Anforderungen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alle erforderlichen Angaben für die Beurteilung enthalten, so verfügt sie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nach Eingang der Unterlagen über eine Frist von drei Monaten, um die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Dokumente, die sie enthalten, in der Sache zu prüfen.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2.2.2.</w:t>
      </w:r>
      <w:r w:rsidR="009A3F02">
        <w:rPr>
          <w:rFonts w:cs="Arial"/>
        </w:rPr>
        <w:tab/>
      </w:r>
      <w:r w:rsidRPr="006A06D5">
        <w:rPr>
          <w:rFonts w:cs="Arial"/>
        </w:rPr>
        <w:t>Ist die Bestimmungsverwaltung der Ansicht, daß die ihr zugegangenen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Unterlagen hinsichtlich der unter Nummer 1 genannten Anforderungen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nicht alle erforderlichen Angaben für die Beurteilung en</w:t>
      </w:r>
      <w:r w:rsidRPr="006A06D5">
        <w:rPr>
          <w:rFonts w:cs="Arial"/>
        </w:rPr>
        <w:t>t</w:t>
      </w:r>
      <w:r w:rsidRPr="006A06D5">
        <w:rPr>
          <w:rFonts w:cs="Arial"/>
        </w:rPr>
        <w:t>halten, so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verfügt sie nach Eingang der Unterlagen über eine Frist von einem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Monat, um dem Antra</w:t>
      </w:r>
      <w:r w:rsidRPr="006A06D5">
        <w:rPr>
          <w:rFonts w:cs="Arial"/>
        </w:rPr>
        <w:t>g</w:t>
      </w:r>
      <w:r w:rsidRPr="006A06D5">
        <w:rPr>
          <w:rFonts w:cs="Arial"/>
        </w:rPr>
        <w:t>steller mitzuteilen, welche Verbesserungen in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dieser Hinsicht an den Unterlagen vorzunehmen sind. Nach Eingang der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gemäß diesen Angaben ergänzten Unterlagen geht das Verfahren nach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Nummer 2.2.1 weiter.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2.3.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2.3.1.</w:t>
      </w:r>
      <w:r w:rsidR="009A3F02">
        <w:rPr>
          <w:rFonts w:cs="Arial"/>
        </w:rPr>
        <w:tab/>
      </w:r>
      <w:r w:rsidRPr="006A06D5">
        <w:rPr>
          <w:rFonts w:cs="Arial"/>
        </w:rPr>
        <w:t>Ergibt die Prüfung der Unterlagen in der Sache, daß der Druckbehälter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oder die Druckbehälter einer Bauart, die in Übereinstimmung mit den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übermittelten Dokumenten hergestellt sind oder herzustellen sind, den im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Bestimmungsstaat geltenden Vorschriften für Druckbehälter entsprechen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oder unter A</w:t>
      </w:r>
      <w:r w:rsidRPr="006A06D5">
        <w:rPr>
          <w:rFonts w:cs="Arial"/>
        </w:rPr>
        <w:t>b</w:t>
      </w:r>
      <w:r w:rsidRPr="006A06D5">
        <w:rPr>
          <w:rFonts w:cs="Arial"/>
        </w:rPr>
        <w:t>weichung von diesen Vorschriften akzeptiert werden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können, so unterrichtet die Bestimmungsverwa</w:t>
      </w:r>
      <w:r w:rsidRPr="006A06D5">
        <w:rPr>
          <w:rFonts w:cs="Arial"/>
        </w:rPr>
        <w:t>l</w:t>
      </w:r>
      <w:r w:rsidRPr="006A06D5">
        <w:rPr>
          <w:rFonts w:cs="Arial"/>
        </w:rPr>
        <w:t>tung den Antragsteller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darüber innerhalb der unter Nummer 2.2.1 festgesetzten Frist.</w:t>
      </w:r>
    </w:p>
    <w:p w:rsidR="001641BC" w:rsidRPr="006A06D5" w:rsidRDefault="009A3F02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Unterliegen der Druckbehälter oder die Druckbehälter einer Bauart, die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Gegenstand des Antrags sind, im Bestimmungsstaat keinen Vorschriften,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so kann die Bestimmungsverwaltung verlangen, daß den im Herkunftsstaat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für diese Behälter geltenden Vorschriften für Druckbehälter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entsprochen wird.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2.3.2.</w:t>
      </w:r>
      <w:r w:rsidR="009A3F02">
        <w:rPr>
          <w:rFonts w:cs="Arial"/>
        </w:rPr>
        <w:tab/>
      </w:r>
      <w:r w:rsidRPr="006A06D5">
        <w:rPr>
          <w:rFonts w:cs="Arial"/>
        </w:rPr>
        <w:t>Ergibt die Prüfung der Unterlagen in der Sache, daß der Druckbehälter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oder die Druckbehälter einer Bauart, die in Übereinstimmung mit den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übermittelten Dokumenten hergestellt sind oder herzustellen sind, den im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Bestimmungsstaat geltenden Vorschriften für Druckbehälter nicht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entsprechen und daß bei diesen Druckbehältern eine Abweichung von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diesen Vorschriften nicht in Betracht kommt, so u</w:t>
      </w:r>
      <w:r w:rsidRPr="006A06D5">
        <w:rPr>
          <w:rFonts w:cs="Arial"/>
        </w:rPr>
        <w:t>n</w:t>
      </w:r>
      <w:r w:rsidRPr="006A06D5">
        <w:rPr>
          <w:rFonts w:cs="Arial"/>
        </w:rPr>
        <w:t>terrichtet die Bestimmungsverwaltung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den Antragsteller innerhalb der unter Nummer 2.2.1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festgeset</w:t>
      </w:r>
      <w:r w:rsidRPr="006A06D5">
        <w:rPr>
          <w:rFonts w:cs="Arial"/>
        </w:rPr>
        <w:t>z</w:t>
      </w:r>
      <w:r w:rsidRPr="006A06D5">
        <w:rPr>
          <w:rFonts w:cs="Arial"/>
        </w:rPr>
        <w:t>ten Frist darüber und teilt mit, welche Vorschriften nicht erfüllt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worden sind und welche zu erfüllen sind, damit der Druckbehälter oder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die Druckbehälter einer Bauart akzeptiert werden können. Hierzu gibt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sie an, welche Konstruktionsregeln und Prüfungen nach den im Bestimmungsstaat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für Druckb</w:t>
      </w:r>
      <w:r w:rsidRPr="006A06D5">
        <w:rPr>
          <w:rFonts w:cs="Arial"/>
        </w:rPr>
        <w:t>e</w:t>
      </w:r>
      <w:r w:rsidRPr="006A06D5">
        <w:rPr>
          <w:rFonts w:cs="Arial"/>
        </w:rPr>
        <w:t>hälter geltenden Vorschriften erforderlich sind.</w:t>
      </w:r>
    </w:p>
    <w:p w:rsidR="001641BC" w:rsidRPr="006A06D5" w:rsidRDefault="009A3F02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Ist der Antragsteller bereit, in bezug auf den Entwurf, die Herstellung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und/oder die Verfahren für die Prüfung des Druckbehälters oder der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Druckbehälter einer Bauart alle Änderungen vorzunehmen, mit denen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den genannten Bedingungen entsprochen werden kann, so ändert er seine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Unterlagen en</w:t>
      </w:r>
      <w:r w:rsidR="001641BC" w:rsidRPr="006A06D5">
        <w:rPr>
          <w:rFonts w:cs="Arial"/>
        </w:rPr>
        <w:t>t</w:t>
      </w:r>
      <w:r w:rsidR="001641BC" w:rsidRPr="006A06D5">
        <w:rPr>
          <w:rFonts w:cs="Arial"/>
        </w:rPr>
        <w:t>sprechend. Nach Eingang der geänderten Unterlagen geht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das. Verfahren nach Nummer 2.2.1, alle</w:t>
      </w:r>
      <w:r w:rsidR="001641BC" w:rsidRPr="006A06D5">
        <w:rPr>
          <w:rFonts w:cs="Arial"/>
        </w:rPr>
        <w:t>r</w:t>
      </w:r>
      <w:r w:rsidR="001641BC" w:rsidRPr="006A06D5">
        <w:rPr>
          <w:rFonts w:cs="Arial"/>
        </w:rPr>
        <w:t>dings mit einer auf zwei Monate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herabgesetzten Frist, weiter.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2.3.3.</w:t>
      </w:r>
      <w:r w:rsidR="009A3F02">
        <w:rPr>
          <w:rFonts w:cs="Arial"/>
        </w:rPr>
        <w:tab/>
      </w:r>
      <w:r w:rsidRPr="006A06D5">
        <w:rPr>
          <w:rFonts w:cs="Arial"/>
        </w:rPr>
        <w:t>Die Kriterien, welche die Bestimmungsverwaltung bei der Gewährung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oder Ablehnung der unter den Nummern 2.3.1 und 2.3.2 genannten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Abweichungen anwendet, sind die gleichen, die auch bei den Herstellern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im Bestimmungsstaat zugrunde gelegt werden.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2.4.</w:t>
      </w:r>
      <w:r w:rsidR="009A3F02">
        <w:rPr>
          <w:rFonts w:cs="Arial"/>
        </w:rPr>
        <w:tab/>
      </w:r>
      <w:r w:rsidRPr="006A06D5">
        <w:rPr>
          <w:rFonts w:cs="Arial"/>
        </w:rPr>
        <w:t>Die Gebühren, Abgaben oder sonstigen Kosten für die Prüfung der Unterlagen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werden nach den im Bestimmungsstaat geltenden Vorschriften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berechnet.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3.</w:t>
      </w:r>
      <w:r w:rsidR="009A3F02">
        <w:rPr>
          <w:rFonts w:cs="Arial"/>
        </w:rPr>
        <w:tab/>
      </w:r>
      <w:r w:rsidRPr="006A06D5">
        <w:rPr>
          <w:rFonts w:cs="Arial"/>
        </w:rPr>
        <w:t>Die nach Nummer 1 gewählte Prüfstelle führt die Maßnahmen durch, um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die sie von der Besti</w:t>
      </w:r>
      <w:r w:rsidRPr="006A06D5">
        <w:rPr>
          <w:rFonts w:cs="Arial"/>
        </w:rPr>
        <w:t>m</w:t>
      </w:r>
      <w:r w:rsidRPr="006A06D5">
        <w:rPr>
          <w:rFonts w:cs="Arial"/>
        </w:rPr>
        <w:t>mungsverwaltung ersucht wird.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4.</w:t>
      </w:r>
      <w:r w:rsidR="009A3F02">
        <w:rPr>
          <w:rFonts w:cs="Arial"/>
        </w:rPr>
        <w:tab/>
      </w:r>
      <w:r w:rsidRPr="006A06D5">
        <w:rPr>
          <w:rFonts w:cs="Arial"/>
        </w:rPr>
        <w:t>Nach Durchführung der von der Bestimmungsverwaltung verlangten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Prüfungen und auf die Festste</w:t>
      </w:r>
      <w:r w:rsidRPr="006A06D5">
        <w:rPr>
          <w:rFonts w:cs="Arial"/>
        </w:rPr>
        <w:t>l</w:t>
      </w:r>
      <w:r w:rsidRPr="006A06D5">
        <w:rPr>
          <w:rFonts w:cs="Arial"/>
        </w:rPr>
        <w:t>lung hin, daß die Ergebnisse zufriedenstellend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sind, übermittelt die Prüfstelle dem Hersteller oder se</w:t>
      </w:r>
      <w:r w:rsidRPr="006A06D5">
        <w:rPr>
          <w:rFonts w:cs="Arial"/>
        </w:rPr>
        <w:t>i</w:t>
      </w:r>
      <w:r w:rsidRPr="006A06D5">
        <w:rPr>
          <w:rFonts w:cs="Arial"/>
        </w:rPr>
        <w:t>nem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Beauftragten sowie der Bestimmungsverwaltung die Berichte über diese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Prüfungen und stellt ihnen Bescheinigungen darüber aus, daß die Prüfverfahren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sowie die erzielten Ergebnisse den vom Bestimmungsstaat</w:t>
      </w:r>
      <w:r w:rsidR="009A3F02">
        <w:rPr>
          <w:rFonts w:cs="Arial"/>
        </w:rPr>
        <w:t xml:space="preserve"> </w:t>
      </w:r>
      <w:r w:rsidRPr="006A06D5">
        <w:rPr>
          <w:rFonts w:cs="Arial"/>
        </w:rPr>
        <w:t>gestellten Anforderungen entsprechen.</w:t>
      </w:r>
    </w:p>
    <w:p w:rsidR="001641BC" w:rsidRPr="006A06D5" w:rsidRDefault="009A3F02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Sind die Ergebnisse der Prüfungen nicht befriedigend, so unterrichtet die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Prüfstelle den Antragsteller sowie die Bestimmungsverwaltung davon.</w:t>
      </w:r>
    </w:p>
    <w:p w:rsidR="001641BC" w:rsidRPr="006A06D5" w:rsidRDefault="005C5D3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641BC" w:rsidRPr="006A06D5">
        <w:rPr>
          <w:rFonts w:cs="Arial"/>
        </w:rPr>
        <w:t>Diese Dokumente müssen in der Sprache des Bestimmungsstaats oder in</w:t>
      </w:r>
      <w:r>
        <w:rPr>
          <w:rFonts w:cs="Arial"/>
        </w:rPr>
        <w:t xml:space="preserve"> </w:t>
      </w:r>
      <w:r w:rsidR="001641BC" w:rsidRPr="006A06D5">
        <w:rPr>
          <w:rFonts w:cs="Arial"/>
        </w:rPr>
        <w:t>einer anderen von diesem Staat zugelassenen Sprache abgefaßt sein.</w:t>
      </w:r>
    </w:p>
    <w:p w:rsidR="001641BC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5.</w:t>
      </w:r>
      <w:r w:rsidR="005C5D3C">
        <w:rPr>
          <w:rFonts w:cs="Arial"/>
        </w:rPr>
        <w:tab/>
      </w:r>
      <w:r w:rsidRPr="006A06D5">
        <w:rPr>
          <w:rFonts w:cs="Arial"/>
        </w:rPr>
        <w:t>Die Gebühren, Abgaben oder Vergütungen für die Prüfungen werden</w:t>
      </w:r>
      <w:r w:rsidR="005C5D3C">
        <w:rPr>
          <w:rFonts w:cs="Arial"/>
        </w:rPr>
        <w:t xml:space="preserve"> </w:t>
      </w:r>
      <w:r w:rsidRPr="006A06D5">
        <w:rPr>
          <w:rFonts w:cs="Arial"/>
        </w:rPr>
        <w:t>nach den bei der Prüfstelle ge</w:t>
      </w:r>
      <w:r w:rsidRPr="006A06D5">
        <w:rPr>
          <w:rFonts w:cs="Arial"/>
        </w:rPr>
        <w:t>l</w:t>
      </w:r>
      <w:r w:rsidRPr="006A06D5">
        <w:rPr>
          <w:rFonts w:cs="Arial"/>
        </w:rPr>
        <w:t>tenden Vorschriften berechnet.</w:t>
      </w:r>
    </w:p>
    <w:p w:rsidR="006A06D5" w:rsidRPr="006A06D5" w:rsidRDefault="001641BC" w:rsidP="009A3F0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6A06D5">
        <w:rPr>
          <w:rFonts w:cs="Arial"/>
        </w:rPr>
        <w:t>6.</w:t>
      </w:r>
      <w:r w:rsidR="005C5D3C">
        <w:rPr>
          <w:rFonts w:cs="Arial"/>
        </w:rPr>
        <w:tab/>
      </w:r>
      <w:r w:rsidRPr="006A06D5">
        <w:rPr>
          <w:rFonts w:cs="Arial"/>
        </w:rPr>
        <w:t>Die Bestimmungsverwaltung muß den vertraulichen Charakter jedweden</w:t>
      </w:r>
      <w:r w:rsidR="005C5D3C">
        <w:rPr>
          <w:rFonts w:cs="Arial"/>
        </w:rPr>
        <w:t xml:space="preserve"> </w:t>
      </w:r>
      <w:r w:rsidRPr="006A06D5">
        <w:rPr>
          <w:rFonts w:cs="Arial"/>
        </w:rPr>
        <w:t>Entwurfs oder Aktenstücks gewährleisten, die bei ihr eingereicht werden.</w:t>
      </w:r>
    </w:p>
    <w:sectPr w:rsidR="006A06D5" w:rsidRPr="006A06D5">
      <w:headerReference w:type="default" r:id="rId20"/>
      <w:footerReference w:type="even" r:id="rId21"/>
      <w:footerReference w:type="default" r:id="rId22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32" w:rsidRDefault="00C42532" w:rsidP="006A06D5">
      <w:pPr>
        <w:pStyle w:val="Verzeichnis2"/>
      </w:pPr>
      <w:r>
        <w:separator/>
      </w:r>
    </w:p>
  </w:endnote>
  <w:endnote w:type="continuationSeparator" w:id="0">
    <w:p w:rsidR="00C42532" w:rsidRDefault="00C42532" w:rsidP="006A06D5">
      <w:pPr>
        <w:pStyle w:val="Verzeichnis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3F" w:rsidRDefault="001455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4553F" w:rsidRDefault="0014553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3F" w:rsidRPr="00C1421C" w:rsidRDefault="0014553F" w:rsidP="00C1421C">
    <w:pPr>
      <w:pStyle w:val="Fuzeile"/>
    </w:pPr>
    <w:r>
      <w:tab/>
    </w:r>
    <w:r w:rsidRPr="00072FC1">
      <w:t xml:space="preserve">27.07.1976 </w:t>
    </w:r>
    <w:r w:rsidRPr="00072FC1">
      <w:rPr>
        <w:rFonts w:cs="Arial"/>
      </w:rPr>
      <w:t>(</w:t>
    </w:r>
    <w:r w:rsidRPr="009A0239">
      <w:t xml:space="preserve">ABl. L 262 </w:t>
    </w:r>
    <w:r w:rsidRPr="00C1421C">
      <w:t>v. 27.9. 1976 S. 153)</w:t>
    </w:r>
    <w:r w:rsidRPr="00C1421C">
      <w:tab/>
      <w:t xml:space="preserve">Seite </w:t>
    </w:r>
    <w:r w:rsidRPr="00C1421C">
      <w:fldChar w:fldCharType="begin"/>
    </w:r>
    <w:r w:rsidRPr="00C1421C">
      <w:instrText xml:space="preserve"> PAGE  \* MERGEFORMAT </w:instrText>
    </w:r>
    <w:r w:rsidRPr="00C1421C">
      <w:fldChar w:fldCharType="separate"/>
    </w:r>
    <w:r w:rsidR="00C1421C">
      <w:rPr>
        <w:noProof/>
      </w:rPr>
      <w:t>1</w:t>
    </w:r>
    <w:r w:rsidRPr="00C1421C">
      <w:fldChar w:fldCharType="end"/>
    </w:r>
  </w:p>
  <w:p w:rsidR="0014553F" w:rsidRPr="00072FC1" w:rsidRDefault="0014553F" w:rsidP="00C1421C">
    <w:pPr>
      <w:pStyle w:val="Fuzeile"/>
      <w:rPr>
        <w:szCs w:val="16"/>
      </w:rPr>
    </w:pPr>
    <w:r w:rsidRPr="00C1421C">
      <w:tab/>
      <w:t>Stand 22.10.2008 (ABl. L 311</w:t>
    </w:r>
    <w:r>
      <w:t xml:space="preserve"> v. 21.11.2008 S.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32" w:rsidRDefault="00C42532" w:rsidP="006A06D5">
      <w:pPr>
        <w:pStyle w:val="Verzeichnis2"/>
      </w:pPr>
      <w:r>
        <w:separator/>
      </w:r>
    </w:p>
  </w:footnote>
  <w:footnote w:type="continuationSeparator" w:id="0">
    <w:p w:rsidR="00C42532" w:rsidRDefault="00C42532" w:rsidP="006A06D5">
      <w:pPr>
        <w:pStyle w:val="Verzeichnis2"/>
      </w:pPr>
      <w:r>
        <w:continuationSeparator/>
      </w:r>
    </w:p>
  </w:footnote>
  <w:footnote w:id="1">
    <w:p w:rsidR="0014553F" w:rsidRPr="00FA35ED" w:rsidRDefault="0014553F" w:rsidP="00FA35ED">
      <w:pPr>
        <w:pStyle w:val="Funotentext"/>
        <w:rPr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FA35ED">
        <w:rPr>
          <w:rFonts w:cs="Arial"/>
          <w:szCs w:val="16"/>
        </w:rPr>
        <w:t>ABl. Nr. C 2 vom 9. 1. 1974, S. 64.</w:t>
      </w:r>
    </w:p>
  </w:footnote>
  <w:footnote w:id="2">
    <w:p w:rsidR="0014553F" w:rsidRPr="00FA35ED" w:rsidRDefault="0014553F" w:rsidP="00FA35ED">
      <w:pPr>
        <w:pStyle w:val="Funotentext"/>
        <w:rPr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FA35ED">
        <w:rPr>
          <w:rFonts w:cs="Arial"/>
          <w:szCs w:val="16"/>
        </w:rPr>
        <w:t>ABl. Nr. C 101 vom 23. 11. 1973, S. 25.</w:t>
      </w:r>
    </w:p>
  </w:footnote>
  <w:footnote w:id="3">
    <w:p w:rsidR="0014553F" w:rsidRPr="00C771F4" w:rsidRDefault="0014553F">
      <w:pPr>
        <w:pStyle w:val="Funotentext"/>
        <w:rPr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C771F4">
        <w:rPr>
          <w:rFonts w:cs="Arial"/>
          <w:szCs w:val="16"/>
        </w:rPr>
        <w:t>Siehe Anlage zu Anhang I und II.</w:t>
      </w:r>
    </w:p>
  </w:footnote>
  <w:footnote w:id="4">
    <w:p w:rsidR="0014553F" w:rsidRPr="0086178C" w:rsidRDefault="0014553F">
      <w:pPr>
        <w:pStyle w:val="Funotentext"/>
        <w:rPr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86178C">
        <w:rPr>
          <w:rFonts w:cs="Arial"/>
          <w:szCs w:val="16"/>
        </w:rPr>
        <w:t>Siehe Anlage zu Anhang I und II.</w:t>
      </w:r>
    </w:p>
  </w:footnote>
  <w:footnote w:id="5">
    <w:p w:rsidR="0014553F" w:rsidRPr="005D598D" w:rsidRDefault="0014553F" w:rsidP="005D598D">
      <w:pPr>
        <w:pStyle w:val="GesAbsatz"/>
        <w:tabs>
          <w:tab w:val="clear" w:pos="425"/>
          <w:tab w:val="left" w:pos="993"/>
        </w:tabs>
        <w:rPr>
          <w:rFonts w:cs="Arial"/>
          <w:i/>
          <w:iCs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D598D">
        <w:rPr>
          <w:rFonts w:cs="Arial"/>
          <w:i/>
          <w:iCs/>
          <w:sz w:val="16"/>
          <w:szCs w:val="16"/>
        </w:rPr>
        <w:t>Erläuterung der Begriffe „Zeichen für die vollständige EWG-Prüfung“ und „Zeichen für die teilweise durchgeführte EWG-Prüfung“</w:t>
      </w:r>
    </w:p>
    <w:p w:rsidR="0014553F" w:rsidRPr="005D598D" w:rsidRDefault="0014553F" w:rsidP="005D598D">
      <w:pPr>
        <w:pStyle w:val="GesAbsatz"/>
        <w:tabs>
          <w:tab w:val="clear" w:pos="425"/>
          <w:tab w:val="left" w:pos="993"/>
        </w:tabs>
        <w:rPr>
          <w:rFonts w:cs="Arial"/>
          <w:sz w:val="16"/>
          <w:szCs w:val="16"/>
        </w:rPr>
      </w:pPr>
      <w:r w:rsidRPr="005D598D">
        <w:rPr>
          <w:rFonts w:cs="Arial"/>
          <w:sz w:val="16"/>
          <w:szCs w:val="16"/>
        </w:rPr>
        <w:t>Kann ein Druckbehälter nicht am Herstellungsort montiert werden oder können sich seine Eigenschaften durch den Transport ändern, so wird die EWG-Prüfung wie folgt durchgeführt:</w:t>
      </w:r>
    </w:p>
    <w:p w:rsidR="0014553F" w:rsidRPr="005D598D" w:rsidRDefault="0014553F" w:rsidP="005D598D">
      <w:pPr>
        <w:pStyle w:val="GesAbsatz"/>
        <w:tabs>
          <w:tab w:val="clear" w:pos="425"/>
          <w:tab w:val="left" w:pos="993"/>
        </w:tabs>
        <w:ind w:left="284" w:hanging="284"/>
        <w:rPr>
          <w:rFonts w:cs="Arial"/>
          <w:sz w:val="16"/>
          <w:szCs w:val="16"/>
        </w:rPr>
      </w:pPr>
      <w:r w:rsidRPr="005D598D">
        <w:rPr>
          <w:rFonts w:cs="Arial"/>
          <w:sz w:val="16"/>
          <w:szCs w:val="16"/>
        </w:rPr>
        <w:t>-</w:t>
      </w:r>
      <w:r w:rsidRPr="005D598D">
        <w:rPr>
          <w:rFonts w:cs="Arial"/>
          <w:sz w:val="16"/>
          <w:szCs w:val="16"/>
        </w:rPr>
        <w:tab/>
        <w:t>Prüfung des Druckbehälters am Herstellungsort durch eine Prüfstelle des Ursprungslandes, die auf dem Druckbehälter, sofern er den EWG-Vorschriften entspricht, das unter Nummer 3.1.1.1.1 beschriebene Zeichen „e“, das sogenannte Zeichen für die teilweise durchgeführte EWG-Prüfung, anbringt;</w:t>
      </w:r>
    </w:p>
    <w:p w:rsidR="0014553F" w:rsidRPr="005D598D" w:rsidRDefault="0014553F" w:rsidP="005D598D">
      <w:pPr>
        <w:pStyle w:val="GesAbsatz"/>
        <w:tabs>
          <w:tab w:val="clear" w:pos="425"/>
          <w:tab w:val="left" w:pos="993"/>
        </w:tabs>
        <w:ind w:left="284" w:hanging="284"/>
        <w:rPr>
          <w:sz w:val="16"/>
          <w:szCs w:val="16"/>
        </w:rPr>
      </w:pPr>
      <w:r w:rsidRPr="005D598D">
        <w:rPr>
          <w:sz w:val="16"/>
          <w:szCs w:val="16"/>
        </w:rPr>
        <w:t>-</w:t>
      </w:r>
      <w:r w:rsidRPr="005D598D">
        <w:rPr>
          <w:sz w:val="16"/>
          <w:szCs w:val="16"/>
        </w:rPr>
        <w:tab/>
        <w:t>vollständige Prüfung des Druckbehälters am Aufstellungsort durch eine Prüfstelle des Bestimmungslandes, die auf dem Druckb</w:t>
      </w:r>
      <w:r w:rsidRPr="005D598D">
        <w:rPr>
          <w:sz w:val="16"/>
          <w:szCs w:val="16"/>
        </w:rPr>
        <w:t>e</w:t>
      </w:r>
      <w:r w:rsidRPr="005D598D">
        <w:rPr>
          <w:sz w:val="16"/>
          <w:szCs w:val="16"/>
        </w:rPr>
        <w:t>hälter, sofern er den EWG-Vorschriften entspricht, das unter Nummer 3.1.1.1.2 beschriebene Zeichen anbringt, das zusammen mit dem Zeichen für die teilweise durchgeführte EWG-Prüfung das Zeichen für die vollständige EWG-Prüfung darstellt.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3F" w:rsidRDefault="00C51D0E" w:rsidP="009A0239">
    <w:pPr>
      <w:pStyle w:val="Kopfzeile0"/>
    </w:pPr>
    <w:r>
      <w:t>Archiv6.73</w:t>
    </w:r>
  </w:p>
  <w:p w:rsidR="0014553F" w:rsidRDefault="0014553F" w:rsidP="007371A1">
    <w:pPr>
      <w:pStyle w:val="Kopfzeile"/>
    </w:pPr>
    <w:r w:rsidRPr="006A06D5">
      <w:rPr>
        <w:rFonts w:cs="Arial"/>
      </w:rPr>
      <w:t>76/767/EWG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BC"/>
    <w:rsid w:val="00021ABE"/>
    <w:rsid w:val="00052101"/>
    <w:rsid w:val="000650B2"/>
    <w:rsid w:val="00072FC1"/>
    <w:rsid w:val="000801C6"/>
    <w:rsid w:val="000C35EB"/>
    <w:rsid w:val="000C656D"/>
    <w:rsid w:val="000D4DF2"/>
    <w:rsid w:val="0014553F"/>
    <w:rsid w:val="001641BC"/>
    <w:rsid w:val="001A64A7"/>
    <w:rsid w:val="001D002C"/>
    <w:rsid w:val="002262D4"/>
    <w:rsid w:val="003530F1"/>
    <w:rsid w:val="003555DE"/>
    <w:rsid w:val="00420169"/>
    <w:rsid w:val="005411D0"/>
    <w:rsid w:val="00557C27"/>
    <w:rsid w:val="00561EA9"/>
    <w:rsid w:val="005C5D3C"/>
    <w:rsid w:val="005D598D"/>
    <w:rsid w:val="00684890"/>
    <w:rsid w:val="006A06D5"/>
    <w:rsid w:val="006F677D"/>
    <w:rsid w:val="00715C67"/>
    <w:rsid w:val="007365B2"/>
    <w:rsid w:val="007371A1"/>
    <w:rsid w:val="00756A74"/>
    <w:rsid w:val="007B7036"/>
    <w:rsid w:val="0086178C"/>
    <w:rsid w:val="00861EED"/>
    <w:rsid w:val="008955FB"/>
    <w:rsid w:val="009340A3"/>
    <w:rsid w:val="009A0239"/>
    <w:rsid w:val="009A3F02"/>
    <w:rsid w:val="00A1324C"/>
    <w:rsid w:val="00AE5CCE"/>
    <w:rsid w:val="00B027E4"/>
    <w:rsid w:val="00B31FB4"/>
    <w:rsid w:val="00B55585"/>
    <w:rsid w:val="00B664DA"/>
    <w:rsid w:val="00B97A1F"/>
    <w:rsid w:val="00BE0ADE"/>
    <w:rsid w:val="00C0764D"/>
    <w:rsid w:val="00C1421C"/>
    <w:rsid w:val="00C42532"/>
    <w:rsid w:val="00C51D0E"/>
    <w:rsid w:val="00C7387D"/>
    <w:rsid w:val="00C771F4"/>
    <w:rsid w:val="00CE73EA"/>
    <w:rsid w:val="00D5569E"/>
    <w:rsid w:val="00D66426"/>
    <w:rsid w:val="00D91A70"/>
    <w:rsid w:val="00EA5F75"/>
    <w:rsid w:val="00EC52DE"/>
    <w:rsid w:val="00F66A08"/>
    <w:rsid w:val="00FA35ED"/>
    <w:rsid w:val="00FC3B3C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0239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9A0239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9A0239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9A0239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9A0239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9A0239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9A0239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9A0239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9A0239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9A023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rsid w:val="009A02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9A0239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9A02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9A0239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9A0239"/>
    <w:rPr>
      <w:sz w:val="20"/>
      <w:szCs w:val="20"/>
      <w:vertAlign w:val="superscript"/>
    </w:rPr>
  </w:style>
  <w:style w:type="table" w:styleId="Tabellenraster">
    <w:name w:val="Table Grid"/>
    <w:basedOn w:val="NormaleTabelle"/>
    <w:rsid w:val="006F677D"/>
    <w:pPr>
      <w:tabs>
        <w:tab w:val="left" w:pos="425"/>
      </w:tabs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rzeichnis5">
    <w:name w:val="toc 5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9A0239"/>
    <w:rPr>
      <w:color w:val="0000FF"/>
      <w:u w:val="single"/>
    </w:rPr>
  </w:style>
  <w:style w:type="character" w:styleId="BesuchterHyperlink">
    <w:name w:val="FollowedHyperlink"/>
    <w:basedOn w:val="Absatz-Standardschriftart"/>
    <w:rsid w:val="00715C67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9A0239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0239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9A0239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9A0239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9A0239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9A0239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9A0239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9A0239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9A0239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9A0239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9A023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rsid w:val="009A02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9A0239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9A02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9A0239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9A0239"/>
    <w:rPr>
      <w:sz w:val="20"/>
      <w:szCs w:val="20"/>
      <w:vertAlign w:val="superscript"/>
    </w:rPr>
  </w:style>
  <w:style w:type="table" w:styleId="Tabellenraster">
    <w:name w:val="Table Grid"/>
    <w:basedOn w:val="NormaleTabelle"/>
    <w:rsid w:val="006F677D"/>
    <w:pPr>
      <w:tabs>
        <w:tab w:val="left" w:pos="425"/>
      </w:tabs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rzeichnis5">
    <w:name w:val="toc 5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9A0239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9A0239"/>
    <w:rPr>
      <w:color w:val="0000FF"/>
      <w:u w:val="single"/>
    </w:rPr>
  </w:style>
  <w:style w:type="character" w:styleId="BesuchterHyperlink">
    <w:name w:val="FollowedHyperlink"/>
    <w:basedOn w:val="Absatz-Standardschriftart"/>
    <w:rsid w:val="00715C67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9A0239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.int/eur-lex/lex/LexUriServ/LexUriServ.do?uri=CELEX:31987L0354:DE:HTML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uropa.eu.int/eur-lex/lex/LexUriServ/LexUriServ.do?uri=CELEX:31997L0023:DE: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08:311:0001:0054:DE: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europa.eu.int/eur-lex/pri/de/oj/dat/2003/l_122/l_12220030516de00360062.pdf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europa.eu.int/eur-lex/lex/LexUriServ/LexUriServ.do?uri=CELEX:31997L0023:DE:HTML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DE61-95CA-4022-B6CF-077EB514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15</Pages>
  <Words>5727</Words>
  <Characters>40643</Characters>
  <Application>Microsoft Office Word</Application>
  <DocSecurity>0</DocSecurity>
  <Lines>338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 76/767/EWG des Rates</vt:lpstr>
    </vt:vector>
  </TitlesOfParts>
  <Company>LANUV NRW</Company>
  <LinksUpToDate>false</LinksUpToDate>
  <CharactersWithSpaces>46278</CharactersWithSpaces>
  <SharedDoc>false</SharedDoc>
  <HLinks>
    <vt:vector size="276" baseType="variant">
      <vt:variant>
        <vt:i4>3145826</vt:i4>
      </vt:variant>
      <vt:variant>
        <vt:i4>261</vt:i4>
      </vt:variant>
      <vt:variant>
        <vt:i4>0</vt:i4>
      </vt:variant>
      <vt:variant>
        <vt:i4>5</vt:i4>
      </vt:variant>
      <vt:variant>
        <vt:lpwstr>http://europa.eu.int/eur-lex/lex/LexUriServ/LexUriServ.do?uri=CELEX:31997L0023:DE:HTML</vt:lpwstr>
      </vt:variant>
      <vt:variant>
        <vt:lpwstr/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_Toc98659207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_Toc98659206</vt:lpwstr>
      </vt:variant>
      <vt:variant>
        <vt:i4>1900598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_Toc98659205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_Toc98659204</vt:lpwstr>
      </vt:variant>
      <vt:variant>
        <vt:i4>1769526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_Toc98659203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_Toc98659202</vt:lpwstr>
      </vt:variant>
      <vt:variant>
        <vt:i4>1638454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_Toc98659201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_Toc98659200</vt:lpwstr>
      </vt:variant>
      <vt:variant>
        <vt:i4>1179711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_Toc98659199</vt:lpwstr>
      </vt:variant>
      <vt:variant>
        <vt:i4>1245247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_Toc98659198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_Toc98659197</vt:lpwstr>
      </vt:variant>
      <vt:variant>
        <vt:i4>1900607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_Toc98659196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_Toc98659195</vt:lpwstr>
      </vt:variant>
      <vt:variant>
        <vt:i4>2031679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_Toc98659194</vt:lpwstr>
      </vt:variant>
      <vt:variant>
        <vt:i4>1572927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_Toc98659193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_Toc98659192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_Toc98659191</vt:lpwstr>
      </vt:variant>
      <vt:variant>
        <vt:i4>1769535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_Toc98659190</vt:lpwstr>
      </vt:variant>
      <vt:variant>
        <vt:i4>1179710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_Toc98659189</vt:lpwstr>
      </vt:variant>
      <vt:variant>
        <vt:i4>1245246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_Toc98659188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_Toc98659187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_Toc98659186</vt:lpwstr>
      </vt:variant>
      <vt:variant>
        <vt:i4>1966142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_Toc98659185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_Toc98659184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_Toc98659183</vt:lpwstr>
      </vt:variant>
      <vt:variant>
        <vt:i4>1638462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_Toc98659182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_Toc98659181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_Toc98659180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_Toc98659179</vt:lpwstr>
      </vt:variant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_Toc98659178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_Toc98659177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_Toc98659176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_Toc98659175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_Toc98659174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_Toc98659173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_Toc98659172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_Toc98659171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_Toc98659170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_Toc98659169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_Toc98659168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_Toc98659167</vt:lpwstr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http://eur-lex.europa.eu/LexUriServ/LexUriServ.do?uri=OJ:L:2008:311:0001:0054:DE:PDF</vt:lpwstr>
      </vt:variant>
      <vt:variant>
        <vt:lpwstr/>
      </vt:variant>
      <vt:variant>
        <vt:i4>720974</vt:i4>
      </vt:variant>
      <vt:variant>
        <vt:i4>6</vt:i4>
      </vt:variant>
      <vt:variant>
        <vt:i4>0</vt:i4>
      </vt:variant>
      <vt:variant>
        <vt:i4>5</vt:i4>
      </vt:variant>
      <vt:variant>
        <vt:lpwstr>http://europa.eu.int/eur-lex/pri/de/oj/dat/2003/l_122/l_12220030516de00360062.pdf</vt:lpwstr>
      </vt:variant>
      <vt:variant>
        <vt:lpwstr/>
      </vt:variant>
      <vt:variant>
        <vt:i4>3145826</vt:i4>
      </vt:variant>
      <vt:variant>
        <vt:i4>3</vt:i4>
      </vt:variant>
      <vt:variant>
        <vt:i4>0</vt:i4>
      </vt:variant>
      <vt:variant>
        <vt:i4>5</vt:i4>
      </vt:variant>
      <vt:variant>
        <vt:lpwstr>http://europa.eu.int/eur-lex/lex/LexUriServ/LexUriServ.do?uri=CELEX:31997L0023:DE:HTML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http://europa.eu.int/eur-lex/lex/LexUriServ/LexUriServ.do?uri=CELEX:31987L0354:DE:HTML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 76/767/EWG des Rates</dc:title>
  <dc:subject>Druckbehälter sowie Verfahren zu deren Prüfung</dc:subject>
  <dc:creator>Natrop</dc:creator>
  <dc:description>durchgesehen 03.2005</dc:description>
  <cp:lastModifiedBy>rueter</cp:lastModifiedBy>
  <cp:revision>4</cp:revision>
  <cp:lastPrinted>1900-12-31T22:00:00Z</cp:lastPrinted>
  <dcterms:created xsi:type="dcterms:W3CDTF">2014-10-06T12:06:00Z</dcterms:created>
  <dcterms:modified xsi:type="dcterms:W3CDTF">2014-10-24T06:27:00Z</dcterms:modified>
</cp:coreProperties>
</file>