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D7" w:rsidRDefault="00E544D7" w:rsidP="0013266F">
      <w:pPr>
        <w:pStyle w:val="berschrift1"/>
      </w:pPr>
      <w:bookmarkStart w:id="0" w:name="_Toc413409735"/>
      <w:r>
        <w:t>ENTSCHEIDUNG Nr. 280/2004/EG DES EUROPÄISCHEN PARLAMENTS</w:t>
      </w:r>
      <w:r w:rsidR="0013266F">
        <w:br/>
      </w:r>
      <w:r>
        <w:t>UND DE</w:t>
      </w:r>
      <w:bookmarkStart w:id="1" w:name="_GoBack"/>
      <w:bookmarkEnd w:id="1"/>
      <w:r>
        <w:t>S RATES</w:t>
      </w:r>
      <w:r w:rsidR="0013266F">
        <w:t xml:space="preserve"> </w:t>
      </w:r>
      <w:r>
        <w:t>vom 11. Februar 2004</w:t>
      </w:r>
      <w:r w:rsidR="0013266F">
        <w:t xml:space="preserve"> </w:t>
      </w:r>
      <w:r>
        <w:t>über ein System zur</w:t>
      </w:r>
      <w:r w:rsidR="0013266F">
        <w:br/>
      </w:r>
      <w:r>
        <w:t>Überwachung der Treibhausgasemissionen in der Gemeinschaft</w:t>
      </w:r>
      <w:r w:rsidR="0013266F">
        <w:br/>
      </w:r>
      <w:r>
        <w:t>und zur</w:t>
      </w:r>
      <w:r w:rsidR="0013266F">
        <w:t xml:space="preserve"> </w:t>
      </w:r>
      <w:r>
        <w:t>Umsetzung des Kyoto-Protokolls</w:t>
      </w:r>
      <w:bookmarkEnd w:id="0"/>
    </w:p>
    <w:p w:rsidR="0013266F" w:rsidRPr="00AA554B" w:rsidRDefault="000455F5" w:rsidP="00E544D7">
      <w:pPr>
        <w:pStyle w:val="GesAbsatz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Gültig bis 07.07.2013 - a</w:t>
      </w:r>
      <w:r w:rsidR="00E83EE6" w:rsidRPr="00AA554B">
        <w:rPr>
          <w:b/>
          <w:i/>
          <w:color w:val="FF0000"/>
          <w:sz w:val="22"/>
          <w:szCs w:val="22"/>
        </w:rPr>
        <w:t>ufgehoben durch Verordnung (EU) Nr. 525/2013 vom 21. Mai 2013</w:t>
      </w:r>
    </w:p>
    <w:p w:rsidR="00AA554B" w:rsidRPr="00AA554B" w:rsidRDefault="00AA554B" w:rsidP="00AA554B">
      <w:pPr>
        <w:pStyle w:val="GesAbsatz"/>
      </w:pPr>
    </w:p>
    <w:p w:rsidR="00AA554B" w:rsidRDefault="0013266F" w:rsidP="0013266F">
      <w:pPr>
        <w:pStyle w:val="GesAbsatz"/>
        <w:jc w:val="center"/>
        <w:rPr>
          <w:b/>
          <w:sz w:val="22"/>
        </w:rPr>
      </w:pPr>
      <w:r w:rsidRPr="0013266F">
        <w:rPr>
          <w:b/>
          <w:sz w:val="22"/>
        </w:rPr>
        <w:t>Inhalt:</w:t>
      </w:r>
    </w:p>
    <w:p w:rsidR="00AA554B" w:rsidRDefault="00AA554B"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TOC \o "1-3" \h \z \u </w:instrText>
      </w:r>
      <w:r>
        <w:rPr>
          <w:b w:val="0"/>
          <w:sz w:val="22"/>
        </w:rPr>
        <w:fldChar w:fldCharType="separate"/>
      </w:r>
      <w:hyperlink w:anchor="_Toc413409735" w:history="1">
        <w:r w:rsidRPr="00DE7C74">
          <w:rPr>
            <w:rStyle w:val="Hyperlink"/>
            <w:noProof/>
          </w:rPr>
          <w:t>ENTSCHEIDUNG Nr. 280/2004/EG DES EUROPÄISCHEN PARLAMENTS UND DES RATES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_Toc413409735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36" w:history="1">
        <w:r w:rsidR="00AA554B" w:rsidRPr="00DE7C74">
          <w:rPr>
            <w:rStyle w:val="Hyperlink"/>
            <w:noProof/>
          </w:rPr>
          <w:t>Artikel 1 Gegenstand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_Toc413409736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3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37" w:history="1">
        <w:r w:rsidR="00AA554B" w:rsidRPr="00DE7C74">
          <w:rPr>
            <w:rStyle w:val="Hyperlink"/>
            <w:noProof/>
          </w:rPr>
          <w:t>Artikel 2 Nationale Programme und Gemeinschaftsprogramme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_Toc413409737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3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38" w:history="1">
        <w:r w:rsidR="00AA554B" w:rsidRPr="00DE7C74">
          <w:rPr>
            <w:rStyle w:val="Hyperlink"/>
            <w:noProof/>
          </w:rPr>
          <w:t>Artikel 3 Berichterstattung durch die Mitgliedstaaten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_Toc413409738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4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39" w:history="1">
        <w:r w:rsidR="00AA554B" w:rsidRPr="00DE7C74">
          <w:rPr>
            <w:rStyle w:val="Hyperlink"/>
            <w:noProof/>
          </w:rPr>
          <w:t>Artikel 4 Gemeinschaftliches Inventarsystem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_Toc413409739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5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40" w:history="1">
        <w:r w:rsidR="00AA554B" w:rsidRPr="00DE7C74">
          <w:rPr>
            <w:rStyle w:val="Hyperlink"/>
            <w:noProof/>
          </w:rPr>
          <w:t>Artikel 5 Bewertung der Fortschritte und Berichterstattung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_Toc413409740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6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41" w:history="1">
        <w:r w:rsidR="00AA554B" w:rsidRPr="00DE7C74">
          <w:rPr>
            <w:rStyle w:val="Hyperlink"/>
            <w:noProof/>
          </w:rPr>
          <w:t>Artikel 6 Nationale Register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_Toc413409741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6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42" w:history="1">
        <w:r w:rsidR="00AA554B" w:rsidRPr="00DE7C74">
          <w:rPr>
            <w:rStyle w:val="Hyperlink"/>
            <w:noProof/>
          </w:rPr>
          <w:t>Artikel 7 Zugeteilte Menge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_Toc413409742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7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43" w:history="1">
        <w:r w:rsidR="00AA554B" w:rsidRPr="00DE7C74">
          <w:rPr>
            <w:rStyle w:val="Hyperlink"/>
            <w:noProof/>
          </w:rPr>
          <w:t>Artikel 8 Verfahren im Rahmen des Kyoto-Protokolls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_Toc413409743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7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44" w:history="1">
        <w:r w:rsidR="00AA554B" w:rsidRPr="00DE7C74">
          <w:rPr>
            <w:rStyle w:val="Hyperlink"/>
            <w:noProof/>
          </w:rPr>
          <w:t>Artikel 9 Ausschuss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_Toc413409744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7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45" w:history="1">
        <w:r w:rsidR="00AA554B" w:rsidRPr="00DE7C74">
          <w:rPr>
            <w:rStyle w:val="Hyperlink"/>
            <w:noProof/>
          </w:rPr>
          <w:t>Artikel 10 Weitere Maßnahmen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_Toc413409745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8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46" w:history="1">
        <w:r w:rsidR="00AA554B" w:rsidRPr="00DE7C74">
          <w:rPr>
            <w:rStyle w:val="Hyperlink"/>
            <w:noProof/>
          </w:rPr>
          <w:t>Artikel 11 Aufhebung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_Toc413409746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8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47" w:history="1">
        <w:r w:rsidR="00AA554B" w:rsidRPr="00DE7C74">
          <w:rPr>
            <w:rStyle w:val="Hyperlink"/>
            <w:noProof/>
          </w:rPr>
          <w:t>Artikel 12 Adressaten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_Toc413409747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8</w:t>
        </w:r>
        <w:r w:rsidR="00AA554B">
          <w:rPr>
            <w:noProof/>
            <w:webHidden/>
          </w:rPr>
          <w:fldChar w:fldCharType="end"/>
        </w:r>
      </w:hyperlink>
    </w:p>
    <w:p w:rsidR="00AA554B" w:rsidRDefault="000455F5">
      <w:pPr>
        <w:pStyle w:val="Verzeichnis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3409748" w:history="1">
        <w:r w:rsidR="00AA554B" w:rsidRPr="00DE7C74">
          <w:rPr>
            <w:rStyle w:val="Hyperlink"/>
            <w:noProof/>
          </w:rPr>
          <w:t>ANHANG</w:t>
        </w:r>
        <w:r w:rsidR="00AA554B">
          <w:rPr>
            <w:noProof/>
            <w:webHidden/>
          </w:rPr>
          <w:tab/>
        </w:r>
        <w:r w:rsidR="00AA554B">
          <w:rPr>
            <w:noProof/>
            <w:webHidden/>
          </w:rPr>
          <w:fldChar w:fldCharType="begin"/>
        </w:r>
        <w:r w:rsidR="00AA554B">
          <w:rPr>
            <w:noProof/>
            <w:webHidden/>
          </w:rPr>
          <w:instrText xml:space="preserve"> PAGEREF _Toc413409748 \h </w:instrText>
        </w:r>
        <w:r w:rsidR="00AA554B">
          <w:rPr>
            <w:noProof/>
            <w:webHidden/>
          </w:rPr>
        </w:r>
        <w:r w:rsidR="00AA554B">
          <w:rPr>
            <w:noProof/>
            <w:webHidden/>
          </w:rPr>
          <w:fldChar w:fldCharType="separate"/>
        </w:r>
        <w:r w:rsidR="00AA554B">
          <w:rPr>
            <w:noProof/>
            <w:webHidden/>
          </w:rPr>
          <w:t>8</w:t>
        </w:r>
        <w:r w:rsidR="00AA554B">
          <w:rPr>
            <w:noProof/>
            <w:webHidden/>
          </w:rPr>
          <w:fldChar w:fldCharType="end"/>
        </w:r>
      </w:hyperlink>
    </w:p>
    <w:p w:rsidR="0013266F" w:rsidRPr="00AA554B" w:rsidRDefault="00AA554B" w:rsidP="00AA554B">
      <w:pPr>
        <w:pStyle w:val="GesAbsatz"/>
      </w:pPr>
      <w:r>
        <w:fldChar w:fldCharType="end"/>
      </w:r>
    </w:p>
    <w:p w:rsidR="00E544D7" w:rsidRDefault="00E544D7" w:rsidP="00E544D7">
      <w:pPr>
        <w:pStyle w:val="GesAbsatz"/>
      </w:pPr>
      <w:r>
        <w:t>DAS EUROPÄISCHE PARLAMENT UND DER RAT DER EUROPÄISCHEN UNION —</w:t>
      </w:r>
    </w:p>
    <w:p w:rsidR="00E544D7" w:rsidRDefault="00E544D7" w:rsidP="00E544D7">
      <w:pPr>
        <w:pStyle w:val="GesAbsatz"/>
      </w:pPr>
      <w:r>
        <w:t>gestützt auf den Vertrag zur Gründung der Europäischen</w:t>
      </w:r>
      <w:r w:rsidR="0013266F">
        <w:t xml:space="preserve"> </w:t>
      </w:r>
      <w:r>
        <w:t>Gemeinschaft, insbesondere auf Artikel 175 A</w:t>
      </w:r>
      <w:r>
        <w:t>b</w:t>
      </w:r>
      <w:r>
        <w:t>satz</w:t>
      </w:r>
      <w:r w:rsidR="0013266F">
        <w:t> </w:t>
      </w:r>
      <w:r>
        <w:t>1,</w:t>
      </w:r>
    </w:p>
    <w:p w:rsidR="00E544D7" w:rsidRDefault="00E544D7" w:rsidP="00E544D7">
      <w:pPr>
        <w:pStyle w:val="GesAbsatz"/>
      </w:pPr>
      <w:r>
        <w:t>auf Vorschlag der Kommission,</w:t>
      </w:r>
    </w:p>
    <w:p w:rsidR="00E544D7" w:rsidRDefault="00E544D7" w:rsidP="00E544D7">
      <w:pPr>
        <w:pStyle w:val="GesAbsatz"/>
      </w:pPr>
      <w:r>
        <w:t>nach Stellungnahme des Europäischen Wirtschafts- und Sozialausschusses</w:t>
      </w:r>
      <w:r w:rsidR="0013266F">
        <w:rPr>
          <w:rStyle w:val="Funotenzeichen"/>
        </w:rPr>
        <w:footnoteReference w:id="1"/>
      </w:r>
      <w:r>
        <w:t>,</w:t>
      </w:r>
    </w:p>
    <w:p w:rsidR="00E544D7" w:rsidRDefault="00E544D7" w:rsidP="00E544D7">
      <w:pPr>
        <w:pStyle w:val="GesAbsatz"/>
      </w:pPr>
      <w:r>
        <w:t>nach Anhörung des Ausschusses der Regionen,</w:t>
      </w:r>
    </w:p>
    <w:p w:rsidR="00E544D7" w:rsidRDefault="00E544D7" w:rsidP="00E544D7">
      <w:pPr>
        <w:pStyle w:val="GesAbsatz"/>
      </w:pPr>
      <w:r>
        <w:t>gemäß dem Verfahren des Artikels 251 des Vertrags</w:t>
      </w:r>
      <w:r w:rsidR="0013266F">
        <w:rPr>
          <w:rStyle w:val="Funotenzeichen"/>
        </w:rPr>
        <w:footnoteReference w:id="2"/>
      </w:r>
      <w:r>
        <w:t>,</w:t>
      </w:r>
    </w:p>
    <w:p w:rsidR="00E544D7" w:rsidRDefault="00E544D7" w:rsidP="00E544D7">
      <w:pPr>
        <w:pStyle w:val="GesAbsatz"/>
      </w:pPr>
      <w:r>
        <w:t>in Erwägung nachstehender Gründe:</w:t>
      </w:r>
    </w:p>
    <w:p w:rsidR="00E544D7" w:rsidRDefault="00E544D7" w:rsidP="00E544D7">
      <w:pPr>
        <w:pStyle w:val="GesAbsatz"/>
      </w:pPr>
      <w:r>
        <w:t>(1) Durch die Entscheidung 93/389/EWG des Rates vom</w:t>
      </w:r>
      <w:r w:rsidR="0013266F">
        <w:t xml:space="preserve"> </w:t>
      </w:r>
      <w:r>
        <w:t>24. Juni 1993 über ein System zur Beobachtung der</w:t>
      </w:r>
      <w:r w:rsidR="0013266F">
        <w:t xml:space="preserve"> </w:t>
      </w:r>
      <w:r>
        <w:t>Emissionen von CO</w:t>
      </w:r>
      <w:r w:rsidRPr="0013266F">
        <w:rPr>
          <w:vertAlign w:val="subscript"/>
        </w:rPr>
        <w:t>2</w:t>
      </w:r>
      <w:r>
        <w:t xml:space="preserve"> und anderen Treibhausgasen in der</w:t>
      </w:r>
      <w:r w:rsidR="0013266F">
        <w:t xml:space="preserve"> </w:t>
      </w:r>
      <w:r>
        <w:t>Gemeinschaft</w:t>
      </w:r>
      <w:r w:rsidR="0013266F">
        <w:rPr>
          <w:rStyle w:val="Funotenzeichen"/>
        </w:rPr>
        <w:footnoteReference w:id="3"/>
      </w:r>
      <w:r>
        <w:t xml:space="preserve"> wurde ein System zur B</w:t>
      </w:r>
      <w:r>
        <w:t>e</w:t>
      </w:r>
      <w:r>
        <w:t>obachtung der</w:t>
      </w:r>
      <w:r w:rsidR="0013266F">
        <w:t xml:space="preserve"> </w:t>
      </w:r>
      <w:r>
        <w:t>anthropogenen Treibhausgasemissionen und zur Bewertung</w:t>
      </w:r>
      <w:r w:rsidR="0013266F">
        <w:t xml:space="preserve"> </w:t>
      </w:r>
      <w:r>
        <w:t>der Fortschritte im Hinblick auf die Erfüllung der</w:t>
      </w:r>
      <w:r w:rsidR="0013266F">
        <w:t xml:space="preserve"> </w:t>
      </w:r>
      <w:r>
        <w:t>diesbezüglichen Verpflichtungen eingerichtet. Um den</w:t>
      </w:r>
      <w:r w:rsidR="0013266F">
        <w:t xml:space="preserve"> </w:t>
      </w:r>
      <w:r>
        <w:t>Entwicklungen auf internationaler Ebene Rechnung zu</w:t>
      </w:r>
      <w:r w:rsidR="0013266F">
        <w:t xml:space="preserve"> </w:t>
      </w:r>
      <w:r>
        <w:t>tragen sowie aus Gründen der Klarheit sollte diese</w:t>
      </w:r>
      <w:r w:rsidR="0013266F">
        <w:t xml:space="preserve"> </w:t>
      </w:r>
      <w:r>
        <w:t>Entscheidung ersetzt werden.</w:t>
      </w:r>
    </w:p>
    <w:p w:rsidR="00E544D7" w:rsidRDefault="00E544D7" w:rsidP="00E544D7">
      <w:pPr>
        <w:pStyle w:val="GesAbsatz"/>
      </w:pPr>
      <w:r>
        <w:t>(2) Das Endziel des Rahmenüberkommens der Vereinten</w:t>
      </w:r>
      <w:r w:rsidR="0013266F">
        <w:t xml:space="preserve"> </w:t>
      </w:r>
      <w:r>
        <w:t>Nationen über Klimaänderungen (nachstehend</w:t>
      </w:r>
      <w:r w:rsidR="0013266F">
        <w:t xml:space="preserve"> </w:t>
      </w:r>
      <w:r>
        <w:t>„UNFCCC“ genannt), das durch den Beschluss 94/69/EG</w:t>
      </w:r>
      <w:r w:rsidR="0013266F">
        <w:t xml:space="preserve"> </w:t>
      </w:r>
      <w:r>
        <w:t>des Rates</w:t>
      </w:r>
      <w:r w:rsidR="0013266F">
        <w:rPr>
          <w:rStyle w:val="Funotenzeichen"/>
        </w:rPr>
        <w:footnoteReference w:id="4"/>
      </w:r>
      <w:r>
        <w:t xml:space="preserve"> genehmigt wurde, besteht in der Stab</w:t>
      </w:r>
      <w:r>
        <w:t>i</w:t>
      </w:r>
      <w:r>
        <w:t>lisierung</w:t>
      </w:r>
      <w:r w:rsidR="0013266F">
        <w:t xml:space="preserve"> </w:t>
      </w:r>
      <w:r>
        <w:t>der Treibhausgaskonzentrationen in der</w:t>
      </w:r>
      <w:r w:rsidR="0013266F">
        <w:t xml:space="preserve"> </w:t>
      </w:r>
      <w:r>
        <w:t>Atmosphäre auf einem Stand, der eine gefährliche</w:t>
      </w:r>
      <w:r w:rsidR="0013266F">
        <w:t xml:space="preserve"> </w:t>
      </w:r>
      <w:r>
        <w:t>anthr</w:t>
      </w:r>
      <w:r>
        <w:t>o</w:t>
      </w:r>
      <w:r>
        <w:t>pogene Beeinflussung des Klimasystems verhindert.</w:t>
      </w:r>
    </w:p>
    <w:p w:rsidR="00E544D7" w:rsidRDefault="00E544D7" w:rsidP="00E544D7">
      <w:pPr>
        <w:pStyle w:val="GesAbsatz"/>
      </w:pPr>
      <w:r>
        <w:t>(3) Das UNFCCC verpflichtet die Gemeinschaft und ihre</w:t>
      </w:r>
      <w:r w:rsidR="0013266F">
        <w:t xml:space="preserve"> </w:t>
      </w:r>
      <w:r>
        <w:t>Mitgliedstaaten, nationale Inventare zu erstellen, in regelmäßigen</w:t>
      </w:r>
      <w:r w:rsidR="0013266F">
        <w:t xml:space="preserve"> </w:t>
      </w:r>
      <w:r>
        <w:t>Abständen zu aktualisieren, zu veröffentlichen</w:t>
      </w:r>
      <w:r w:rsidR="0013266F">
        <w:t xml:space="preserve"> </w:t>
      </w:r>
      <w:r>
        <w:t>und der Konferenz der Vertragsparteien zur Verfügung</w:t>
      </w:r>
      <w:r w:rsidR="0013266F">
        <w:t xml:space="preserve"> </w:t>
      </w:r>
      <w:r>
        <w:t>zu stellen, in denen die anthropogenen Emissionen aller</w:t>
      </w:r>
      <w:r w:rsidR="0013266F">
        <w:t xml:space="preserve"> </w:t>
      </w:r>
      <w:r>
        <w:t>nicht durch das Montrealer Protokoll über Stoffe, die zu</w:t>
      </w:r>
      <w:r w:rsidR="0013266F">
        <w:t xml:space="preserve"> </w:t>
      </w:r>
      <w:r>
        <w:t>einem Abbau der Ozonschicht führen, geregelten Treibhausgase</w:t>
      </w:r>
      <w:r w:rsidR="0013266F">
        <w:t xml:space="preserve"> </w:t>
      </w:r>
      <w:r>
        <w:t>(nachstehend „Trei</w:t>
      </w:r>
      <w:r>
        <w:t>b</w:t>
      </w:r>
      <w:r>
        <w:t>hausgase“ genannt) aus</w:t>
      </w:r>
      <w:r w:rsidR="0013266F">
        <w:t xml:space="preserve"> </w:t>
      </w:r>
      <w:r>
        <w:t>Quellen und der Speicherun</w:t>
      </w:r>
      <w:r w:rsidR="0013266F">
        <w:t>g</w:t>
      </w:r>
      <w:r>
        <w:t xml:space="preserve"> solcher Gase in Senken</w:t>
      </w:r>
      <w:r w:rsidR="0013266F">
        <w:t xml:space="preserve"> </w:t>
      </w:r>
      <w:r>
        <w:t>aufgeführt sind, wobei von der Konferenz der Vertragsparteien</w:t>
      </w:r>
      <w:r w:rsidR="0013266F">
        <w:t xml:space="preserve"> </w:t>
      </w:r>
      <w:r>
        <w:t>zu vereinbarende, vergleichbare Methoden</w:t>
      </w:r>
      <w:r w:rsidR="0013266F">
        <w:t xml:space="preserve"> </w:t>
      </w:r>
      <w:r>
        <w:t>anzuwenden sind.</w:t>
      </w:r>
    </w:p>
    <w:p w:rsidR="00E544D7" w:rsidRDefault="00E544D7" w:rsidP="00E544D7">
      <w:pPr>
        <w:pStyle w:val="GesAbsatz"/>
      </w:pPr>
      <w:r>
        <w:lastRenderedPageBreak/>
        <w:t>(4) Die Treibhausgasemissionen in der Gemeinschaft</w:t>
      </w:r>
      <w:r w:rsidR="0013266F">
        <w:t xml:space="preserve"> </w:t>
      </w:r>
      <w:r>
        <w:t>bedürfen einer konsequenten Überwachung und r</w:t>
      </w:r>
      <w:r>
        <w:t>e</w:t>
      </w:r>
      <w:r>
        <w:t>gelmäßigen</w:t>
      </w:r>
      <w:r w:rsidR="0013266F">
        <w:t xml:space="preserve"> </w:t>
      </w:r>
      <w:r>
        <w:t>Bewertung. Es bedarf außerdem einer frühzeitigen</w:t>
      </w:r>
      <w:r w:rsidR="0013266F">
        <w:t xml:space="preserve"> </w:t>
      </w:r>
      <w:r>
        <w:t>Analyse der von der Gemeinschaft und ihren</w:t>
      </w:r>
      <w:r w:rsidR="0013266F">
        <w:t xml:space="preserve"> </w:t>
      </w:r>
      <w:r>
        <w:t>Mitgliedstaaten getroffenen Maßnahmen im Bereich der</w:t>
      </w:r>
      <w:r w:rsidR="0013266F">
        <w:t xml:space="preserve"> </w:t>
      </w:r>
      <w:r>
        <w:t>Klimapolitik.</w:t>
      </w:r>
    </w:p>
    <w:p w:rsidR="00E544D7" w:rsidRDefault="00E544D7" w:rsidP="00E544D7">
      <w:pPr>
        <w:pStyle w:val="GesAbsatz"/>
      </w:pPr>
      <w:r>
        <w:t>(5) Eine präzise Berichterstattung im Rahmen dieser</w:t>
      </w:r>
      <w:r w:rsidR="0013266F">
        <w:t xml:space="preserve"> </w:t>
      </w:r>
      <w:r>
        <w:t>Entscheidung zu einem frühen Zeitpunkt würde eine</w:t>
      </w:r>
      <w:r w:rsidR="0013266F">
        <w:t xml:space="preserve"> </w:t>
      </w:r>
      <w:r>
        <w:t>frühzeitige Festlegung der Emissionsmengen gemäß der</w:t>
      </w:r>
      <w:r w:rsidR="0013266F">
        <w:t xml:space="preserve"> </w:t>
      </w:r>
      <w:r>
        <w:t>Entscheidung 2002/358/EG des Rates vom 25.</w:t>
      </w:r>
      <w:r w:rsidR="0013266F">
        <w:t> </w:t>
      </w:r>
      <w:r>
        <w:t>April</w:t>
      </w:r>
      <w:r w:rsidR="0013266F">
        <w:t xml:space="preserve"> </w:t>
      </w:r>
      <w:r>
        <w:t>2002 über die Genehmigung des Protokolls von Kyoto</w:t>
      </w:r>
      <w:r w:rsidR="0013266F">
        <w:t xml:space="preserve"> </w:t>
      </w:r>
      <w:r>
        <w:t>zum Rahmenübereinkommen der Vereinten Nationen</w:t>
      </w:r>
      <w:r w:rsidR="0013266F">
        <w:t xml:space="preserve"> </w:t>
      </w:r>
      <w:r>
        <w:t>über Klimaänderungen im Namen der Europäischen</w:t>
      </w:r>
      <w:r w:rsidR="0013266F">
        <w:t xml:space="preserve"> </w:t>
      </w:r>
      <w:r>
        <w:t>Gemeinschaft sowie die gemeinsame Erfü</w:t>
      </w:r>
      <w:r>
        <w:t>l</w:t>
      </w:r>
      <w:r>
        <w:t>lung der</w:t>
      </w:r>
      <w:r w:rsidR="0013266F">
        <w:t xml:space="preserve"> </w:t>
      </w:r>
      <w:r>
        <w:t>daraus erwachsenden Verpflichtungen</w:t>
      </w:r>
      <w:r w:rsidR="0013266F">
        <w:rPr>
          <w:rStyle w:val="Funotenzeichen"/>
        </w:rPr>
        <w:footnoteReference w:id="5"/>
      </w:r>
      <w:r w:rsidR="0013266F">
        <w:t xml:space="preserve"> </w:t>
      </w:r>
      <w:r>
        <w:t>und somit eine</w:t>
      </w:r>
      <w:r w:rsidR="0013266F">
        <w:t xml:space="preserve"> </w:t>
      </w:r>
      <w:r>
        <w:t>frühzeitige Feststellung der Berechtigung zur Teilnahme</w:t>
      </w:r>
      <w:r w:rsidR="0013266F">
        <w:t xml:space="preserve"> </w:t>
      </w:r>
      <w:r>
        <w:t>an den flexiblen Kyoto-Mechanismen ermöglichen.</w:t>
      </w:r>
    </w:p>
    <w:p w:rsidR="00E544D7" w:rsidRDefault="00E544D7" w:rsidP="00E544D7">
      <w:pPr>
        <w:pStyle w:val="GesAbsatz"/>
      </w:pPr>
      <w:r>
        <w:t>(6) Das UNFCCC verpflichtet alle Vertragsparteien, nationale</w:t>
      </w:r>
      <w:r w:rsidR="0013266F">
        <w:t xml:space="preserve"> </w:t>
      </w:r>
      <w:r>
        <w:t>und gegebenenfalls regionale Programme zu erarbeiten,</w:t>
      </w:r>
      <w:r w:rsidR="0013266F">
        <w:t xml:space="preserve"> </w:t>
      </w:r>
      <w:r>
        <w:t>umzusetzen, zu veröffentlichen und regelmäßig zu</w:t>
      </w:r>
      <w:r w:rsidR="0013266F">
        <w:t xml:space="preserve"> </w:t>
      </w:r>
      <w:r>
        <w:t>aktualisieren, die Maßnahmen zur Abschw</w:t>
      </w:r>
      <w:r>
        <w:t>ä</w:t>
      </w:r>
      <w:r>
        <w:t>chung der</w:t>
      </w:r>
      <w:r w:rsidR="0013266F">
        <w:t xml:space="preserve"> </w:t>
      </w:r>
      <w:r>
        <w:t>Klimaänderungen durch die Bekämpfung anthropogener</w:t>
      </w:r>
      <w:r w:rsidR="0013266F">
        <w:t xml:space="preserve"> </w:t>
      </w:r>
      <w:r>
        <w:t>Emissionen aller Treibhausgase aus Quellen und die</w:t>
      </w:r>
      <w:r w:rsidR="0013266F">
        <w:t xml:space="preserve"> </w:t>
      </w:r>
      <w:r>
        <w:t>Speicherung solcher Gase in Senken vorsehen.</w:t>
      </w:r>
    </w:p>
    <w:p w:rsidR="00E544D7" w:rsidRDefault="00E544D7" w:rsidP="00E544D7">
      <w:pPr>
        <w:pStyle w:val="GesAbsatz"/>
      </w:pPr>
      <w:r>
        <w:t>(7) Das Kyoto-Protokoll zum UNFCCC wurde durch die</w:t>
      </w:r>
      <w:r w:rsidR="0013266F">
        <w:t xml:space="preserve"> </w:t>
      </w:r>
      <w:r>
        <w:t>Entscheidung 2002/358/EG genehmigt. Gemäß Art</w:t>
      </w:r>
      <w:r>
        <w:t>i</w:t>
      </w:r>
      <w:r>
        <w:t>kel 3</w:t>
      </w:r>
      <w:r w:rsidR="0013266F">
        <w:t xml:space="preserve"> </w:t>
      </w:r>
      <w:r>
        <w:t>Absatz 2 des Kyoto-Protokolls müssen die in Anhang I</w:t>
      </w:r>
      <w:r w:rsidR="0013266F">
        <w:t xml:space="preserve"> </w:t>
      </w:r>
      <w:r>
        <w:t>des UNFCCC genannten Vertragsparteien des Protokolls</w:t>
      </w:r>
      <w:r w:rsidR="0013266F">
        <w:t xml:space="preserve"> </w:t>
      </w:r>
      <w:r>
        <w:t>bis 2005 bei der Erfüllung ihrer Verpflichtungen aus</w:t>
      </w:r>
      <w:r w:rsidR="0013266F">
        <w:t xml:space="preserve"> </w:t>
      </w:r>
      <w:r>
        <w:t>dem Protokoll nachweisbare Fortschritte e</w:t>
      </w:r>
      <w:r>
        <w:t>r</w:t>
      </w:r>
      <w:r>
        <w:t>zielt haben.</w:t>
      </w:r>
    </w:p>
    <w:p w:rsidR="00E544D7" w:rsidRDefault="00E544D7" w:rsidP="00E544D7">
      <w:pPr>
        <w:pStyle w:val="GesAbsatz"/>
      </w:pPr>
      <w:r>
        <w:t>(8) Gemäß Teil II Abschnitt A des Anhangs des Beschlusses</w:t>
      </w:r>
      <w:r w:rsidR="0013266F">
        <w:t xml:space="preserve"> </w:t>
      </w:r>
      <w:r>
        <w:t>19/CP.7 der Konferenz der Vertragsparteien muss jede in</w:t>
      </w:r>
      <w:r w:rsidR="0013266F">
        <w:t xml:space="preserve"> </w:t>
      </w:r>
      <w:r>
        <w:t>Anhang I des UNFCCC genannte Vertragspartei des</w:t>
      </w:r>
      <w:r w:rsidR="0013266F">
        <w:t xml:space="preserve"> </w:t>
      </w:r>
      <w:r>
        <w:t>Kyoto-Protokolls ein nationales Register erstellen und</w:t>
      </w:r>
      <w:r w:rsidR="0013266F">
        <w:t xml:space="preserve"> </w:t>
      </w:r>
      <w:r>
        <w:t>führen, um die genaue Verbuchung von Vergabe, Besitz,</w:t>
      </w:r>
      <w:r w:rsidR="0013266F">
        <w:t xml:space="preserve"> </w:t>
      </w:r>
      <w:r>
        <w:t>Übertragung, Löschung und Ausb</w:t>
      </w:r>
      <w:r>
        <w:t>u</w:t>
      </w:r>
      <w:r>
        <w:t>chung von Emissionsreduktionseinheiten,</w:t>
      </w:r>
      <w:r w:rsidR="0013266F">
        <w:t xml:space="preserve"> </w:t>
      </w:r>
      <w:r>
        <w:t>zertifizierten Emissionsreduktionen,</w:t>
      </w:r>
      <w:r w:rsidR="0013266F">
        <w:t xml:space="preserve"> </w:t>
      </w:r>
      <w:r>
        <w:t>zugeteilten Mengen und Gu</w:t>
      </w:r>
      <w:r>
        <w:t>t</w:t>
      </w:r>
      <w:r>
        <w:t>schriften aus Senken zu</w:t>
      </w:r>
      <w:r w:rsidR="0013266F">
        <w:t xml:space="preserve"> </w:t>
      </w:r>
      <w:r>
        <w:t>gewährleisten.</w:t>
      </w:r>
    </w:p>
    <w:p w:rsidR="00E544D7" w:rsidRDefault="00E544D7" w:rsidP="00E544D7">
      <w:pPr>
        <w:pStyle w:val="GesAbsatz"/>
      </w:pPr>
      <w:r>
        <w:t>(9) Gemäß dem Beschluss 19/CP.7 sollte jede Emissionsreduktionseinheit,</w:t>
      </w:r>
      <w:r w:rsidR="0013266F">
        <w:t xml:space="preserve"> </w:t>
      </w:r>
      <w:r>
        <w:t>zertifizierte Emissionsreduktion, zugeteilte</w:t>
      </w:r>
      <w:r w:rsidR="0013266F">
        <w:t xml:space="preserve"> </w:t>
      </w:r>
      <w:r>
        <w:t>Menge und Gutschrift aus Senken zu einem</w:t>
      </w:r>
      <w:r w:rsidR="0013266F">
        <w:t xml:space="preserve"> </w:t>
      </w:r>
      <w:r>
        <w:t>bestimmten Zeitpunkt jeweils nur in einem Register</w:t>
      </w:r>
      <w:r w:rsidR="0013266F">
        <w:t xml:space="preserve"> </w:t>
      </w:r>
      <w:r>
        <w:t>geführt werden.</w:t>
      </w:r>
    </w:p>
    <w:p w:rsidR="00E544D7" w:rsidRDefault="00E544D7" w:rsidP="00E544D7">
      <w:pPr>
        <w:pStyle w:val="GesAbsatz"/>
      </w:pPr>
      <w:r>
        <w:t>(10) In das Register der Gemeinschaft können Emissionsreduktionseinheiten</w:t>
      </w:r>
      <w:r w:rsidR="0013266F">
        <w:t xml:space="preserve"> </w:t>
      </w:r>
      <w:r>
        <w:t>und zertifizierte Emissionsr</w:t>
      </w:r>
      <w:r>
        <w:t>e</w:t>
      </w:r>
      <w:r>
        <w:t>duktionen</w:t>
      </w:r>
      <w:r w:rsidR="0013266F">
        <w:t xml:space="preserve"> </w:t>
      </w:r>
      <w:r>
        <w:t>aufgenommen werden, die aus von der Gemeinschaft</w:t>
      </w:r>
      <w:r w:rsidR="0013266F">
        <w:t xml:space="preserve"> </w:t>
      </w:r>
      <w:r>
        <w:t>finanzierten Projekten stammen, wodurch ein Anreiz für</w:t>
      </w:r>
      <w:r w:rsidR="0013266F">
        <w:t xml:space="preserve"> </w:t>
      </w:r>
      <w:r>
        <w:t>Maßnahmen der Gemeinschaft in Drittländern</w:t>
      </w:r>
      <w:r w:rsidR="0013266F">
        <w:t xml:space="preserve"> </w:t>
      </w:r>
      <w:r>
        <w:t>geschaffen wird, um das Problem der Klimaä</w:t>
      </w:r>
      <w:r>
        <w:t>n</w:t>
      </w:r>
      <w:r>
        <w:t>derung auf</w:t>
      </w:r>
      <w:r w:rsidR="0013266F">
        <w:t xml:space="preserve"> </w:t>
      </w:r>
      <w:r>
        <w:t>breiterer Basis anzugehen, und das Gemeinschaftsregister</w:t>
      </w:r>
      <w:r w:rsidR="0013266F">
        <w:t xml:space="preserve"> </w:t>
      </w:r>
      <w:r>
        <w:t>kann in einem konsolidierten System gemeinsam mit</w:t>
      </w:r>
      <w:r w:rsidR="0013266F">
        <w:t xml:space="preserve"> </w:t>
      </w:r>
      <w:r>
        <w:t>den Registern der Mitgliedstaaten geführt werden.</w:t>
      </w:r>
    </w:p>
    <w:p w:rsidR="00E544D7" w:rsidRDefault="00E544D7" w:rsidP="00E544D7">
      <w:pPr>
        <w:pStyle w:val="GesAbsatz"/>
      </w:pPr>
      <w:r>
        <w:t>(11) Der Erwerb und die Verwendung von Emissionsreduktionseinheiten</w:t>
      </w:r>
      <w:r w:rsidR="0013266F">
        <w:t xml:space="preserve"> </w:t>
      </w:r>
      <w:r>
        <w:t>und zertifizierten Emissionsredukt</w:t>
      </w:r>
      <w:r>
        <w:t>i</w:t>
      </w:r>
      <w:r>
        <w:t>onen</w:t>
      </w:r>
      <w:r w:rsidR="0013266F">
        <w:t xml:space="preserve"> </w:t>
      </w:r>
      <w:r>
        <w:t>durch die Gemeinschaft sollte Gegenstand weiterer</w:t>
      </w:r>
      <w:r w:rsidR="0013266F">
        <w:t xml:space="preserve"> </w:t>
      </w:r>
      <w:r>
        <w:t>Bestimmungen sein, die vom Europäischen Pa</w:t>
      </w:r>
      <w:r>
        <w:t>r</w:t>
      </w:r>
      <w:r>
        <w:t>lament</w:t>
      </w:r>
      <w:r w:rsidR="0013266F">
        <w:t xml:space="preserve"> </w:t>
      </w:r>
      <w:r>
        <w:t>und dem Rat auf Vorschlag der Kommission zu erlassen</w:t>
      </w:r>
      <w:r w:rsidR="0013266F">
        <w:t xml:space="preserve"> </w:t>
      </w:r>
      <w:r>
        <w:t>sind.</w:t>
      </w:r>
    </w:p>
    <w:p w:rsidR="00E544D7" w:rsidRDefault="00E544D7" w:rsidP="00E544D7">
      <w:pPr>
        <w:pStyle w:val="GesAbsatz"/>
      </w:pPr>
      <w:r>
        <w:t>(12) Gemäß der Entscheidung 2002/358/EG sind die Gemeinschaft</w:t>
      </w:r>
      <w:r w:rsidR="0013266F">
        <w:t xml:space="preserve"> </w:t>
      </w:r>
      <w:r>
        <w:t>und die Mitgliedstaaten verpflichtet, die erforderlichen</w:t>
      </w:r>
      <w:r w:rsidR="0013266F">
        <w:t xml:space="preserve"> </w:t>
      </w:r>
      <w:r>
        <w:t>Maßnahmen zu treffen, um ihre gemäß jener</w:t>
      </w:r>
      <w:r w:rsidR="0013266F">
        <w:t xml:space="preserve"> </w:t>
      </w:r>
      <w:r>
        <w:t>Entscheidung festgesetzten Emissionsmengen einzuhalten.</w:t>
      </w:r>
      <w:r w:rsidR="0013266F">
        <w:t xml:space="preserve"> </w:t>
      </w:r>
      <w:r>
        <w:t>Bestimmungen über die Verwendung von im</w:t>
      </w:r>
      <w:r w:rsidR="0013266F">
        <w:t xml:space="preserve"> </w:t>
      </w:r>
      <w:r>
        <w:t>Gemeinschaftsregister erfassten Emissionsredu</w:t>
      </w:r>
      <w:r>
        <w:t>k</w:t>
      </w:r>
      <w:r>
        <w:t>tionseinheiten</w:t>
      </w:r>
      <w:r w:rsidR="0013266F">
        <w:t xml:space="preserve"> </w:t>
      </w:r>
      <w:r>
        <w:t>und zertifizierten Emissionsreduktionen sollten in</w:t>
      </w:r>
      <w:r w:rsidR="0013266F">
        <w:t xml:space="preserve"> </w:t>
      </w:r>
      <w:r>
        <w:t>Betracht ziehen, dass die Mitgliedstaaten gehalten sind,</w:t>
      </w:r>
      <w:r w:rsidR="0013266F">
        <w:t xml:space="preserve"> </w:t>
      </w:r>
      <w:r>
        <w:t>ihre eigenen Verpflichtungen im Einklang mit der</w:t>
      </w:r>
      <w:r w:rsidR="0013266F">
        <w:t xml:space="preserve"> </w:t>
      </w:r>
      <w:r>
        <w:t>Entscheidung 2002/358/EG einzuhalten.</w:t>
      </w:r>
    </w:p>
    <w:p w:rsidR="00E544D7" w:rsidRDefault="00E544D7" w:rsidP="00E544D7">
      <w:pPr>
        <w:pStyle w:val="GesAbsatz"/>
      </w:pPr>
      <w:r>
        <w:t>(13) Die Gemeinschaft und ihre Mitgliedstaaten haben von</w:t>
      </w:r>
      <w:r w:rsidR="0013266F">
        <w:t xml:space="preserve"> </w:t>
      </w:r>
      <w:r>
        <w:t>Artikel 4 des Kyoto-Protokolls Gebrauch g</w:t>
      </w:r>
      <w:r>
        <w:t>e</w:t>
      </w:r>
      <w:r>
        <w:t>macht, der es</w:t>
      </w:r>
      <w:r w:rsidR="0013266F">
        <w:t xml:space="preserve"> </w:t>
      </w:r>
      <w:r>
        <w:t>Vertragsparteien des Protokolls gestattet, ihre Verpflichtungen</w:t>
      </w:r>
      <w:r w:rsidR="0013266F">
        <w:t xml:space="preserve"> </w:t>
      </w:r>
      <w:r>
        <w:t>zur Begrenzung und Reduzi</w:t>
      </w:r>
      <w:r>
        <w:t>e</w:t>
      </w:r>
      <w:r>
        <w:t>rung von Emissionen</w:t>
      </w:r>
      <w:r w:rsidR="0013266F">
        <w:t xml:space="preserve"> </w:t>
      </w:r>
      <w:r>
        <w:t>gemeinsam zu erfüllen. Daher ist es angebracht,</w:t>
      </w:r>
      <w:r w:rsidR="0013266F">
        <w:t xml:space="preserve"> </w:t>
      </w:r>
      <w:r>
        <w:t>eine effektive Zusammenarbeit und Koordinierung in</w:t>
      </w:r>
      <w:r w:rsidR="0013266F">
        <w:t xml:space="preserve"> </w:t>
      </w:r>
      <w:r>
        <w:t>Bezug auf die Verpflichtungen gemäß dieser Entscheidung,</w:t>
      </w:r>
      <w:r w:rsidR="0013266F">
        <w:t xml:space="preserve"> </w:t>
      </w:r>
      <w:r>
        <w:t>einschließlich der Erstellung des Treibhausgasinventars</w:t>
      </w:r>
      <w:r w:rsidR="0013266F">
        <w:t xml:space="preserve"> </w:t>
      </w:r>
      <w:r>
        <w:t>der Gemeinschaft, der Bewertung der Fortschritte</w:t>
      </w:r>
      <w:r w:rsidR="0013266F">
        <w:t xml:space="preserve"> </w:t>
      </w:r>
      <w:r>
        <w:t>der Vorbereitung der Berichte sowie der Überprüfung</w:t>
      </w:r>
      <w:r w:rsidR="0013266F">
        <w:t xml:space="preserve"> </w:t>
      </w:r>
      <w:r>
        <w:t>und bei den Verfahren für die Einhaltung, zu gewährleisten,</w:t>
      </w:r>
      <w:r w:rsidR="0013266F">
        <w:t xml:space="preserve"> </w:t>
      </w:r>
      <w:r>
        <w:t>um es der Gemeinschaft zu ermöglichen, ihre</w:t>
      </w:r>
      <w:r w:rsidR="0013266F">
        <w:t xml:space="preserve"> </w:t>
      </w:r>
      <w:r>
        <w:t>Berichterstattungspflichten nach dem Kyoto-Protokoll zu</w:t>
      </w:r>
      <w:r w:rsidR="0013266F">
        <w:t xml:space="preserve"> </w:t>
      </w:r>
      <w:r>
        <w:t>erfüllen, die in den auf der siebten Konferenz der</w:t>
      </w:r>
      <w:r w:rsidR="0013266F">
        <w:t xml:space="preserve"> </w:t>
      </w:r>
      <w:r>
        <w:t>Vertragsparteien in Marrakesch gefassten politischen und</w:t>
      </w:r>
      <w:r w:rsidR="0013266F">
        <w:t xml:space="preserve"> </w:t>
      </w:r>
      <w:r>
        <w:t>rechtlichen Beschlüssen (nachstehend „Vereinbarungen</w:t>
      </w:r>
      <w:r w:rsidR="0013266F">
        <w:t xml:space="preserve"> </w:t>
      </w:r>
      <w:r>
        <w:t>von Marrakesch“ genannt) festgelegt sind.</w:t>
      </w:r>
    </w:p>
    <w:p w:rsidR="00E544D7" w:rsidRDefault="00E544D7" w:rsidP="00E544D7">
      <w:pPr>
        <w:pStyle w:val="GesAbsatz"/>
      </w:pPr>
      <w:r>
        <w:t>(14) Die Gemeinschaft und die Mitgliedstaaten sind alle</w:t>
      </w:r>
      <w:r w:rsidR="0013266F">
        <w:t xml:space="preserve"> </w:t>
      </w:r>
      <w:r>
        <w:t>Vertragsparteien des UNFCCC und des Kyoto-Protokolls</w:t>
      </w:r>
      <w:r w:rsidR="0013266F">
        <w:t xml:space="preserve"> </w:t>
      </w:r>
      <w:r>
        <w:t>und sind jeder entsprechend dafür verantwortlich, die</w:t>
      </w:r>
      <w:r w:rsidR="0013266F">
        <w:t xml:space="preserve"> </w:t>
      </w:r>
      <w:r>
        <w:t>ihnen zugeteilten Emissionsmengen anz</w:t>
      </w:r>
      <w:r>
        <w:t>u</w:t>
      </w:r>
      <w:r>
        <w:t>geben, zu</w:t>
      </w:r>
      <w:r w:rsidR="0013266F">
        <w:t xml:space="preserve"> </w:t>
      </w:r>
      <w:r>
        <w:t>ermitteln und zu verbuchen sowie ihre Berechtigung zur</w:t>
      </w:r>
      <w:r w:rsidR="0013266F">
        <w:t xml:space="preserve"> </w:t>
      </w:r>
      <w:r>
        <w:t>Teilnahme an den Mechanismen des Kyoto-Protokolls</w:t>
      </w:r>
      <w:r w:rsidR="0013266F">
        <w:t xml:space="preserve"> </w:t>
      </w:r>
      <w:r>
        <w:t>herbeizuführen und aufrechtzuerhalten.</w:t>
      </w:r>
    </w:p>
    <w:p w:rsidR="00E544D7" w:rsidRDefault="00E544D7" w:rsidP="00E544D7">
      <w:pPr>
        <w:pStyle w:val="GesAbsatz"/>
      </w:pPr>
      <w:r>
        <w:t>(15) Gemäß dem Beschluss 19/CP.7 sollte jede in Anhang I</w:t>
      </w:r>
      <w:r w:rsidR="0013266F">
        <w:t xml:space="preserve"> </w:t>
      </w:r>
      <w:r>
        <w:t>des UNFCCC aufgeführte Vertragspartei zug</w:t>
      </w:r>
      <w:r>
        <w:t>e</w:t>
      </w:r>
      <w:r>
        <w:t>teilte Emissionsmengen</w:t>
      </w:r>
      <w:r w:rsidR="0013266F">
        <w:t xml:space="preserve"> </w:t>
      </w:r>
      <w:r>
        <w:t>vergeben, die der in ihrem nationalen Register</w:t>
      </w:r>
      <w:r w:rsidR="0013266F">
        <w:t xml:space="preserve"> </w:t>
      </w:r>
      <w:r>
        <w:t>verzeichneten zugeteilten Menge äquivalent sind,</w:t>
      </w:r>
      <w:r w:rsidR="0013266F">
        <w:t xml:space="preserve"> </w:t>
      </w:r>
      <w:r>
        <w:t>entsprechend ihren Emissionsmengen, die gemäß der</w:t>
      </w:r>
      <w:r w:rsidR="0013266F">
        <w:t xml:space="preserve"> </w:t>
      </w:r>
      <w:r>
        <w:t>Entscheidung 2002/358/EG und dem Kyoto-Protokoll</w:t>
      </w:r>
      <w:r w:rsidR="0013266F">
        <w:t xml:space="preserve"> </w:t>
      </w:r>
      <w:r>
        <w:t>festgesetzt wurden.</w:t>
      </w:r>
    </w:p>
    <w:p w:rsidR="00E544D7" w:rsidRDefault="00E544D7" w:rsidP="00E544D7">
      <w:pPr>
        <w:pStyle w:val="GesAbsatz"/>
      </w:pPr>
      <w:r>
        <w:lastRenderedPageBreak/>
        <w:t>(16) Gemäß der Entscheidung 2002/358/EG hat die Gemeinschaft</w:t>
      </w:r>
      <w:r w:rsidR="0013266F">
        <w:t xml:space="preserve"> </w:t>
      </w:r>
      <w:r>
        <w:t>keine zugeteilten Emissionsmengen zu vergeben.</w:t>
      </w:r>
    </w:p>
    <w:p w:rsidR="00E544D7" w:rsidRDefault="00E544D7" w:rsidP="00E544D7">
      <w:pPr>
        <w:pStyle w:val="GesAbsatz"/>
      </w:pPr>
      <w:r>
        <w:t>(17) Die Europäische Umweltagentur unterstützt die Kommission</w:t>
      </w:r>
      <w:r w:rsidR="0013266F">
        <w:t xml:space="preserve"> </w:t>
      </w:r>
      <w:r>
        <w:t>gegebenenfalls bei Überwachungstätigke</w:t>
      </w:r>
      <w:r>
        <w:t>i</w:t>
      </w:r>
      <w:r>
        <w:t>ten, insbesondere</w:t>
      </w:r>
      <w:r w:rsidR="0013266F">
        <w:t xml:space="preserve"> </w:t>
      </w:r>
      <w:r>
        <w:t>im Rahmen des Inventarsystems der Gemeinschaft,</w:t>
      </w:r>
      <w:r w:rsidR="0013266F">
        <w:t xml:space="preserve"> </w:t>
      </w:r>
      <w:r>
        <w:t>sowie bei der von der Kommission durchgeführten</w:t>
      </w:r>
      <w:r w:rsidR="0013266F">
        <w:t xml:space="preserve"> </w:t>
      </w:r>
      <w:r>
        <w:t>Analyse der Fortschritte bei der Erfüllung der</w:t>
      </w:r>
      <w:r w:rsidR="0013266F">
        <w:t xml:space="preserve"> </w:t>
      </w:r>
      <w:r>
        <w:t>Verpflichtungen nach dem UNFCCC und dem Kyoto-Protokoll.</w:t>
      </w:r>
    </w:p>
    <w:p w:rsidR="00E544D7" w:rsidRDefault="00E544D7" w:rsidP="00E544D7">
      <w:pPr>
        <w:pStyle w:val="GesAbsatz"/>
      </w:pPr>
      <w:r>
        <w:t>(18) Angesichts der Rolle der Europäischen Umweltagentur</w:t>
      </w:r>
      <w:r w:rsidR="0013266F">
        <w:t xml:space="preserve"> </w:t>
      </w:r>
      <w:r>
        <w:t>bei der Erstellung des jährlichen Inventars der Gemeinschaft</w:t>
      </w:r>
      <w:r w:rsidR="0013266F">
        <w:t xml:space="preserve"> </w:t>
      </w:r>
      <w:r>
        <w:t>wäre es angezeigt, dass die Mitgliedstaaten ihre</w:t>
      </w:r>
      <w:r w:rsidR="0013266F">
        <w:t xml:space="preserve"> </w:t>
      </w:r>
      <w:r>
        <w:t>eigenen Systeme so gestalten, dass sie die Arbeit der</w:t>
      </w:r>
      <w:r w:rsidR="0013266F">
        <w:t xml:space="preserve"> </w:t>
      </w:r>
      <w:r>
        <w:t>Agentur erleichtern.</w:t>
      </w:r>
    </w:p>
    <w:p w:rsidR="00E544D7" w:rsidRDefault="00E544D7" w:rsidP="00E544D7">
      <w:pPr>
        <w:pStyle w:val="GesAbsatz"/>
      </w:pPr>
      <w:r>
        <w:t>(19) Da die Ziele der beabsichtigten Maßnahme, nämlich die</w:t>
      </w:r>
      <w:r w:rsidR="0013266F">
        <w:t xml:space="preserve"> </w:t>
      </w:r>
      <w:r>
        <w:t>Erfüllung der gemeinschaftlichen Verpflichtu</w:t>
      </w:r>
      <w:r>
        <w:t>n</w:t>
      </w:r>
      <w:r>
        <w:t>gen nach</w:t>
      </w:r>
      <w:r w:rsidR="0013266F">
        <w:t xml:space="preserve"> </w:t>
      </w:r>
      <w:r>
        <w:t>dem Kyoto-Protokoll und insbesondere die darin festgelegten</w:t>
      </w:r>
      <w:r w:rsidR="0013266F">
        <w:t xml:space="preserve"> </w:t>
      </w:r>
      <w:r>
        <w:t>Anforderungen an die Überwachung und Berichterstattung,</w:t>
      </w:r>
      <w:r w:rsidR="0013266F">
        <w:t xml:space="preserve"> </w:t>
      </w:r>
      <w:r>
        <w:t>wegen ihres Charakters auf Ebene der</w:t>
      </w:r>
      <w:r w:rsidR="0013266F">
        <w:t xml:space="preserve"> </w:t>
      </w:r>
      <w:r>
        <w:t>Mitgliedstaaten nicht ausreichend erreicht werden</w:t>
      </w:r>
      <w:r w:rsidR="0013266F">
        <w:t xml:space="preserve"> </w:t>
      </w:r>
      <w:r>
        <w:t>können und daher besser auf Gemeinschaftsebene zu</w:t>
      </w:r>
      <w:r w:rsidR="0013266F">
        <w:t xml:space="preserve"> </w:t>
      </w:r>
      <w:r>
        <w:t>erreichen sind, kann die Gemeinschaft im Einklang mit</w:t>
      </w:r>
      <w:r w:rsidR="0013266F">
        <w:t xml:space="preserve"> </w:t>
      </w:r>
      <w:r>
        <w:t>dem in Artikel 5 des Vertrags niedergelegten Subsidiaritätsprinzip</w:t>
      </w:r>
      <w:r w:rsidR="0013266F">
        <w:t xml:space="preserve"> </w:t>
      </w:r>
      <w:r>
        <w:t>tätig werden. Entsprechend dem in</w:t>
      </w:r>
      <w:r w:rsidR="0013266F">
        <w:t xml:space="preserve"> </w:t>
      </w:r>
      <w:r>
        <w:t>demselben Artikel genannten Verhältnismäßigkeitsprinzip</w:t>
      </w:r>
      <w:r w:rsidR="0013266F">
        <w:t xml:space="preserve"> </w:t>
      </w:r>
      <w:r>
        <w:t>geht diese Entscheidung nicht über das für die</w:t>
      </w:r>
      <w:r w:rsidR="0013266F">
        <w:t xml:space="preserve"> </w:t>
      </w:r>
      <w:r>
        <w:t>Erreichung dieser Ziele erforderliche Maß hinaus.</w:t>
      </w:r>
    </w:p>
    <w:p w:rsidR="00E544D7" w:rsidRDefault="00E544D7" w:rsidP="00E544D7">
      <w:pPr>
        <w:pStyle w:val="GesAbsatz"/>
      </w:pPr>
      <w:r>
        <w:t>(20) Die zur Durchführung dieser Entscheidung erforderlichen</w:t>
      </w:r>
      <w:r w:rsidR="0013266F">
        <w:t xml:space="preserve"> </w:t>
      </w:r>
      <w:r>
        <w:t>Maßnahmen sollten gemäß dem B</w:t>
      </w:r>
      <w:r>
        <w:t>e</w:t>
      </w:r>
      <w:r>
        <w:t>schluss</w:t>
      </w:r>
      <w:r w:rsidR="000272E7">
        <w:t> </w:t>
      </w:r>
      <w:r>
        <w:t>1999/468/EG des Rates vom 28. Juni 1999 zur Festlegung der</w:t>
      </w:r>
      <w:r w:rsidR="0013266F">
        <w:t xml:space="preserve"> </w:t>
      </w:r>
      <w:r>
        <w:t>Modalitäten für die Ausübung der der Kommission übertragenen</w:t>
      </w:r>
      <w:r w:rsidR="0013266F">
        <w:t xml:space="preserve"> </w:t>
      </w:r>
      <w:r>
        <w:t>Durchführungsbefugnisse</w:t>
      </w:r>
      <w:r w:rsidR="0013266F">
        <w:rPr>
          <w:rStyle w:val="Funotenzeichen"/>
        </w:rPr>
        <w:footnoteReference w:id="6"/>
      </w:r>
      <w:r>
        <w:t xml:space="preserve"> erlassen werden —</w:t>
      </w:r>
    </w:p>
    <w:p w:rsidR="00E544D7" w:rsidRDefault="00E544D7" w:rsidP="00E544D7">
      <w:pPr>
        <w:pStyle w:val="GesAbsatz"/>
      </w:pPr>
      <w:r>
        <w:t>HABEN FOLGENDE ENTSCHEIDUNG ERLASSEN:</w:t>
      </w:r>
    </w:p>
    <w:p w:rsidR="00E544D7" w:rsidRDefault="00E544D7" w:rsidP="0013266F">
      <w:pPr>
        <w:pStyle w:val="berschrift2"/>
      </w:pPr>
      <w:bookmarkStart w:id="2" w:name="_Toc413409736"/>
      <w:r>
        <w:t>Artikel 1</w:t>
      </w:r>
      <w:r w:rsidR="0013266F">
        <w:br/>
      </w:r>
      <w:r>
        <w:t>Gegenstand</w:t>
      </w:r>
      <w:bookmarkEnd w:id="2"/>
    </w:p>
    <w:p w:rsidR="00E544D7" w:rsidRDefault="00E544D7" w:rsidP="00E544D7">
      <w:pPr>
        <w:pStyle w:val="GesAbsatz"/>
      </w:pPr>
      <w:r>
        <w:t>Mit dieser Entscheidung wird ein System eingeführt zur:</w:t>
      </w:r>
    </w:p>
    <w:p w:rsidR="00E544D7" w:rsidRDefault="00E544D7" w:rsidP="00A810C5">
      <w:pPr>
        <w:pStyle w:val="GesAbsatz"/>
        <w:ind w:left="426" w:hanging="426"/>
      </w:pPr>
      <w:r>
        <w:t>a)</w:t>
      </w:r>
      <w:r w:rsidR="0013266F">
        <w:tab/>
      </w:r>
      <w:r>
        <w:t>Überwachung aller anthropogenen Emissionen von nicht</w:t>
      </w:r>
      <w:r w:rsidR="00A810C5">
        <w:t xml:space="preserve"> </w:t>
      </w:r>
      <w:r>
        <w:t>durch das Montrealer Protokoll über Stoffe, die zu einem</w:t>
      </w:r>
      <w:r w:rsidR="00A810C5">
        <w:t xml:space="preserve"> </w:t>
      </w:r>
      <w:r>
        <w:t>Abbau der Ozonschicht führen, geregelten Treibhausgase</w:t>
      </w:r>
      <w:r w:rsidR="00A810C5">
        <w:t xml:space="preserve"> </w:t>
      </w:r>
      <w:r>
        <w:t>aus Quellen und der Speicherung solcher Gase in Senken in</w:t>
      </w:r>
      <w:r w:rsidR="00A810C5">
        <w:t xml:space="preserve"> </w:t>
      </w:r>
      <w:r>
        <w:t>den Mitgliedstaaten,</w:t>
      </w:r>
    </w:p>
    <w:p w:rsidR="00E544D7" w:rsidRDefault="00E544D7" w:rsidP="00A810C5">
      <w:pPr>
        <w:pStyle w:val="GesAbsatz"/>
        <w:ind w:left="426" w:hanging="426"/>
      </w:pPr>
      <w:r>
        <w:t>b)</w:t>
      </w:r>
      <w:r w:rsidR="00A810C5">
        <w:tab/>
      </w:r>
      <w:r>
        <w:t>Bewertung der Fortschritte bei der Erfüllung der Verpflichtungen</w:t>
      </w:r>
      <w:r w:rsidR="00A810C5">
        <w:t xml:space="preserve"> </w:t>
      </w:r>
      <w:r>
        <w:t>im Hinblick auf diese Emissionen aus Quellen und</w:t>
      </w:r>
      <w:r w:rsidR="00A810C5">
        <w:t xml:space="preserve"> </w:t>
      </w:r>
      <w:r>
        <w:t>die Speicherung in Senken,</w:t>
      </w:r>
    </w:p>
    <w:p w:rsidR="00E544D7" w:rsidRDefault="00E544D7" w:rsidP="00A810C5">
      <w:pPr>
        <w:pStyle w:val="GesAbsatz"/>
        <w:ind w:left="426" w:hanging="426"/>
      </w:pPr>
      <w:r>
        <w:t>c)</w:t>
      </w:r>
      <w:r w:rsidR="00A810C5">
        <w:tab/>
      </w:r>
      <w:r>
        <w:t>Umsetzung des UNFCCC und des Kyoto-Protokolls, in Bezug</w:t>
      </w:r>
      <w:r w:rsidR="00A810C5">
        <w:t xml:space="preserve"> </w:t>
      </w:r>
      <w:r>
        <w:t>auf nationale Programme, Treibhausga</w:t>
      </w:r>
      <w:r>
        <w:t>s</w:t>
      </w:r>
      <w:r>
        <w:t>inventare, nationale</w:t>
      </w:r>
      <w:r w:rsidR="00A810C5">
        <w:t xml:space="preserve"> </w:t>
      </w:r>
      <w:r>
        <w:t>Systeme sowie Register der Gemeinschaft und ihrer</w:t>
      </w:r>
      <w:r w:rsidR="00A810C5">
        <w:t xml:space="preserve"> </w:t>
      </w:r>
      <w:r>
        <w:t>Mitgliedstaaten, und der ei</w:t>
      </w:r>
      <w:r>
        <w:t>n</w:t>
      </w:r>
      <w:r>
        <w:t>schlägigen Verfahren im</w:t>
      </w:r>
      <w:r w:rsidR="00A810C5">
        <w:t xml:space="preserve"> </w:t>
      </w:r>
      <w:r>
        <w:t>Rahmen des Kyoto-Protokolls und</w:t>
      </w:r>
    </w:p>
    <w:p w:rsidR="00E544D7" w:rsidRDefault="00E544D7" w:rsidP="00A810C5">
      <w:pPr>
        <w:pStyle w:val="GesAbsatz"/>
        <w:ind w:left="426" w:hanging="426"/>
      </w:pPr>
      <w:r>
        <w:t>d)</w:t>
      </w:r>
      <w:r w:rsidR="00A810C5">
        <w:tab/>
      </w:r>
      <w:r>
        <w:t>Gewährleistung der Pünktlichkeit, Vollständigkeit, Genauigkeit,</w:t>
      </w:r>
      <w:r w:rsidR="00A810C5">
        <w:t xml:space="preserve"> </w:t>
      </w:r>
      <w:r>
        <w:t>Kohärenz, Vergleichbarkeit und Tran</w:t>
      </w:r>
      <w:r>
        <w:t>s</w:t>
      </w:r>
      <w:r>
        <w:t>parenz der</w:t>
      </w:r>
      <w:r w:rsidR="00A810C5">
        <w:t xml:space="preserve"> </w:t>
      </w:r>
      <w:r>
        <w:t>Berichterstattung der Gemeinschaft und ihrer Mitgliedstaaten</w:t>
      </w:r>
      <w:r w:rsidR="00A810C5">
        <w:t xml:space="preserve"> </w:t>
      </w:r>
      <w:r>
        <w:t>an das Sekretariat des U</w:t>
      </w:r>
      <w:r>
        <w:t>N</w:t>
      </w:r>
      <w:r>
        <w:t>FCCC.</w:t>
      </w:r>
    </w:p>
    <w:p w:rsidR="00E544D7" w:rsidRDefault="00E544D7" w:rsidP="00A810C5">
      <w:pPr>
        <w:pStyle w:val="berschrift2"/>
      </w:pPr>
      <w:bookmarkStart w:id="3" w:name="_Toc413409737"/>
      <w:r>
        <w:t>Artikel 2</w:t>
      </w:r>
      <w:r w:rsidR="00A810C5">
        <w:br/>
      </w:r>
      <w:r>
        <w:t>Nationale Programme und Gemeinschaftsprogramme</w:t>
      </w:r>
      <w:bookmarkEnd w:id="3"/>
    </w:p>
    <w:p w:rsidR="00E544D7" w:rsidRDefault="00E544D7" w:rsidP="00E544D7">
      <w:pPr>
        <w:pStyle w:val="GesAbsatz"/>
      </w:pPr>
      <w:r>
        <w:t>(1) Die Mitgliedstaaten und die Kommission stellen nationale</w:t>
      </w:r>
      <w:r w:rsidR="00A810C5">
        <w:t xml:space="preserve"> </w:t>
      </w:r>
      <w:r>
        <w:t>Programme bzw. ein Gemeinschaftsprogramm auf und führen</w:t>
      </w:r>
      <w:r w:rsidR="00A810C5">
        <w:t xml:space="preserve"> </w:t>
      </w:r>
      <w:r>
        <w:t>diese Programme durch, um dazu beizutragen, dass:</w:t>
      </w:r>
    </w:p>
    <w:p w:rsidR="00E544D7" w:rsidRDefault="00E544D7" w:rsidP="00A810C5">
      <w:pPr>
        <w:pStyle w:val="GesAbsatz"/>
        <w:ind w:left="426" w:hanging="426"/>
      </w:pPr>
      <w:r>
        <w:t>a)</w:t>
      </w:r>
      <w:r w:rsidR="00A810C5">
        <w:tab/>
      </w:r>
      <w:r>
        <w:t>die Verpflichtungen der Gemeinschaft und ihrer Mitgliedstaaten</w:t>
      </w:r>
      <w:r w:rsidR="00A810C5">
        <w:t xml:space="preserve"> </w:t>
      </w:r>
      <w:r>
        <w:t>im Hinblick auf die Begrenzung und/oder Verringerung</w:t>
      </w:r>
      <w:r w:rsidR="00A810C5">
        <w:t xml:space="preserve"> </w:t>
      </w:r>
      <w:r>
        <w:t>aller Treibhausgasemissionen im Rahmen des UNFCCC</w:t>
      </w:r>
      <w:r w:rsidR="00A810C5">
        <w:t xml:space="preserve"> </w:t>
      </w:r>
      <w:r>
        <w:t>und des Kyoto-Protokolls erfüllt werden und</w:t>
      </w:r>
    </w:p>
    <w:p w:rsidR="00E544D7" w:rsidRDefault="00E544D7" w:rsidP="00A810C5">
      <w:pPr>
        <w:pStyle w:val="GesAbsatz"/>
        <w:ind w:left="426" w:hanging="426"/>
      </w:pPr>
      <w:r>
        <w:t>b)</w:t>
      </w:r>
      <w:r w:rsidR="00A810C5">
        <w:tab/>
      </w:r>
      <w:r>
        <w:t>die tatsächlichen und erwarteten Fortschritte der Mitgliedstaaten,</w:t>
      </w:r>
      <w:r w:rsidR="00A810C5">
        <w:t xml:space="preserve"> </w:t>
      </w:r>
      <w:r>
        <w:t>einschließlich des Beitrags der G</w:t>
      </w:r>
      <w:r>
        <w:t>e</w:t>
      </w:r>
      <w:r>
        <w:t>meinschaftsmaßnahmen,</w:t>
      </w:r>
      <w:r w:rsidR="00A810C5">
        <w:t xml:space="preserve"> </w:t>
      </w:r>
      <w:r>
        <w:t>bei der Erfüllung der Verpflichtungen der Gemeinschaft</w:t>
      </w:r>
      <w:r w:rsidR="00A810C5">
        <w:t xml:space="preserve"> </w:t>
      </w:r>
      <w:r>
        <w:t>und ihrer Mitglie</w:t>
      </w:r>
      <w:r>
        <w:t>d</w:t>
      </w:r>
      <w:r>
        <w:t>staaten im Hinblick auf die Begrenzung</w:t>
      </w:r>
      <w:r w:rsidR="00A810C5">
        <w:t xml:space="preserve"> </w:t>
      </w:r>
      <w:r>
        <w:t>und/oder Verringerung aller Treibhausgasemissionen</w:t>
      </w:r>
      <w:r w:rsidR="00A810C5">
        <w:t xml:space="preserve"> </w:t>
      </w:r>
      <w:r>
        <w:t>im Ra</w:t>
      </w:r>
      <w:r>
        <w:t>h</w:t>
      </w:r>
      <w:r>
        <w:t>men des UNFCCC und des Kyoto-Protokolls transparent</w:t>
      </w:r>
      <w:r w:rsidR="00A810C5">
        <w:t xml:space="preserve"> </w:t>
      </w:r>
      <w:r>
        <w:t>und genau überwacht werden.</w:t>
      </w:r>
    </w:p>
    <w:p w:rsidR="00E544D7" w:rsidRDefault="00E544D7" w:rsidP="00E544D7">
      <w:pPr>
        <w:pStyle w:val="GesAbsatz"/>
      </w:pPr>
      <w:r>
        <w:t>Diese Programme enthalten die in Artikel 3 Absatz 2</w:t>
      </w:r>
      <w:r w:rsidR="00A810C5">
        <w:t xml:space="preserve"> </w:t>
      </w:r>
      <w:r>
        <w:t>genannten Informationen und werden entsprechend aktualisiert.</w:t>
      </w:r>
    </w:p>
    <w:p w:rsidR="00E544D7" w:rsidRDefault="00E544D7" w:rsidP="00E544D7">
      <w:pPr>
        <w:pStyle w:val="GesAbsatz"/>
      </w:pPr>
      <w:r>
        <w:t>(2) Zu diesem Zweck erfolgt der Einsatz der Joint Implementation,</w:t>
      </w:r>
      <w:r w:rsidR="00A810C5">
        <w:t xml:space="preserve"> </w:t>
      </w:r>
      <w:r>
        <w:t>des Clean Development Mechanism und des internationalen</w:t>
      </w:r>
      <w:r w:rsidR="00A810C5">
        <w:t xml:space="preserve"> </w:t>
      </w:r>
      <w:r>
        <w:t>Handels mit Emissionszertifikaten als Begleitmaßnahme</w:t>
      </w:r>
      <w:r w:rsidR="00A810C5">
        <w:t xml:space="preserve"> </w:t>
      </w:r>
      <w:r>
        <w:t>zu innerstaatlichen Maßnahmen gemäß den einschlägigen</w:t>
      </w:r>
      <w:r w:rsidR="00A810C5">
        <w:t xml:space="preserve"> </w:t>
      </w:r>
      <w:r>
        <w:t>Bestimmungen des Kyoto-Protokolls und der Vereinbarungen</w:t>
      </w:r>
      <w:r w:rsidR="00A810C5">
        <w:t xml:space="preserve"> </w:t>
      </w:r>
      <w:r>
        <w:t>von Marrakesch.</w:t>
      </w:r>
    </w:p>
    <w:p w:rsidR="00E544D7" w:rsidRDefault="00E544D7" w:rsidP="00E544D7">
      <w:pPr>
        <w:pStyle w:val="GesAbsatz"/>
      </w:pPr>
      <w:r>
        <w:lastRenderedPageBreak/>
        <w:t>(3) Die Mitgliedstaaten stellen die nationalen Programme</w:t>
      </w:r>
      <w:r w:rsidR="00A810C5">
        <w:t xml:space="preserve"> </w:t>
      </w:r>
      <w:r>
        <w:t>und ihre Aktualisierungen der Öffentlichkeit zur Verfügung</w:t>
      </w:r>
      <w:r w:rsidR="00A810C5">
        <w:t xml:space="preserve"> </w:t>
      </w:r>
      <w:r>
        <w:t>und unterrichten binnen drei Monaten nach ihrer Annahme die</w:t>
      </w:r>
      <w:r w:rsidR="00A810C5">
        <w:t xml:space="preserve"> </w:t>
      </w:r>
      <w:r>
        <w:t>Kommission.</w:t>
      </w:r>
    </w:p>
    <w:p w:rsidR="00E544D7" w:rsidRDefault="00E544D7" w:rsidP="00E544D7">
      <w:pPr>
        <w:pStyle w:val="GesAbsatz"/>
      </w:pPr>
      <w:r>
        <w:t>Auf den folgenden Sitzungen des in Artikel 9 Absatz 1</w:t>
      </w:r>
      <w:r w:rsidR="00A810C5">
        <w:t xml:space="preserve"> </w:t>
      </w:r>
      <w:r>
        <w:t>genannten Ausschusses unterrichtet die Kommission die</w:t>
      </w:r>
      <w:r w:rsidR="00A810C5">
        <w:t xml:space="preserve"> </w:t>
      </w:r>
      <w:r>
        <w:t>Mitgliedstaaten über die ihr vorliegenden nationalen</w:t>
      </w:r>
      <w:r w:rsidR="00A810C5">
        <w:t xml:space="preserve"> </w:t>
      </w:r>
      <w:r>
        <w:t>Programme und ihre Aktualisierungen.</w:t>
      </w:r>
    </w:p>
    <w:p w:rsidR="00E544D7" w:rsidRDefault="00E544D7" w:rsidP="00A810C5">
      <w:pPr>
        <w:pStyle w:val="berschrift2"/>
      </w:pPr>
      <w:bookmarkStart w:id="4" w:name="_Toc413409738"/>
      <w:r>
        <w:t>Artikel 3</w:t>
      </w:r>
      <w:r w:rsidR="00A810C5">
        <w:br/>
      </w:r>
      <w:r>
        <w:t>Berichterstattung durch die Mitgliedstaaten</w:t>
      </w:r>
      <w:bookmarkEnd w:id="4"/>
    </w:p>
    <w:p w:rsidR="00E544D7" w:rsidRDefault="00E544D7" w:rsidP="00E544D7">
      <w:pPr>
        <w:pStyle w:val="GesAbsatz"/>
      </w:pPr>
      <w:r>
        <w:t>(1) Für die Bewertung des tatsächlichen Fortschritts und zur</w:t>
      </w:r>
      <w:r w:rsidR="00A810C5">
        <w:t xml:space="preserve"> </w:t>
      </w:r>
      <w:r>
        <w:t>Vorbereitung von Jahresberichten durch die Gemeinschaft</w:t>
      </w:r>
      <w:r w:rsidR="00A810C5">
        <w:t xml:space="preserve"> </w:t>
      </w:r>
      <w:r>
        <w:t>gemäß den Verpflichtungen aus dem UNFCCC und dem Kyoto-Protokoll bestimmen und übermitteln die Mitgliedstaaten der</w:t>
      </w:r>
      <w:r w:rsidR="00A810C5">
        <w:t xml:space="preserve"> </w:t>
      </w:r>
      <w:r>
        <w:t>Kommission bis zum 15. Januar jeden Jahres (Jahr X):</w:t>
      </w:r>
    </w:p>
    <w:p w:rsidR="00E544D7" w:rsidRDefault="00E544D7" w:rsidP="00A810C5">
      <w:pPr>
        <w:pStyle w:val="GesAbsatz"/>
        <w:ind w:left="426" w:hanging="426"/>
      </w:pPr>
      <w:r>
        <w:t>a)</w:t>
      </w:r>
      <w:r w:rsidR="00A810C5">
        <w:tab/>
      </w:r>
      <w:r>
        <w:t>ihre anthropogenen Emissionen von in Anlage A des Kyoto-Protokolls aufgeführten Treibhausgasen (Kohlendioxid</w:t>
      </w:r>
      <w:r w:rsidR="00A810C5">
        <w:t xml:space="preserve"> </w:t>
      </w:r>
      <w:r>
        <w:t>(CO</w:t>
      </w:r>
      <w:r w:rsidRPr="00A810C5">
        <w:rPr>
          <w:vertAlign w:val="subscript"/>
        </w:rPr>
        <w:t>2</w:t>
      </w:r>
      <w:r>
        <w:t>), Methan (CH</w:t>
      </w:r>
      <w:r w:rsidRPr="00A810C5">
        <w:rPr>
          <w:vertAlign w:val="subscript"/>
        </w:rPr>
        <w:t>4</w:t>
      </w:r>
      <w:r>
        <w:t>), Distickstoffoxid (N</w:t>
      </w:r>
      <w:r w:rsidRPr="00A810C5">
        <w:rPr>
          <w:vertAlign w:val="subscript"/>
        </w:rPr>
        <w:t>2</w:t>
      </w:r>
      <w:r>
        <w:t>O), teilhalogenierte</w:t>
      </w:r>
      <w:r w:rsidR="00A810C5">
        <w:t xml:space="preserve"> </w:t>
      </w:r>
      <w:r>
        <w:t>Fluorkohlenwasserstoffe (H-FKW/HFC), perfluorierte Kohlenwasserstoffe</w:t>
      </w:r>
      <w:r w:rsidR="00A810C5">
        <w:t xml:space="preserve"> </w:t>
      </w:r>
      <w:r>
        <w:t>(PFC) und Schwefelhexafluorid (SF</w:t>
      </w:r>
      <w:r w:rsidRPr="00A810C5">
        <w:rPr>
          <w:vertAlign w:val="subscript"/>
        </w:rPr>
        <w:t>6</w:t>
      </w:r>
      <w:r>
        <w:t>)) im Jahr</w:t>
      </w:r>
      <w:r w:rsidR="00A810C5">
        <w:t xml:space="preserve"> </w:t>
      </w:r>
      <w:r>
        <w:t>vor dem Vorjahr (Jahr X-2),</w:t>
      </w:r>
    </w:p>
    <w:p w:rsidR="00E544D7" w:rsidRDefault="00E544D7" w:rsidP="00A810C5">
      <w:pPr>
        <w:pStyle w:val="GesAbsatz"/>
        <w:ind w:left="426" w:hanging="426"/>
      </w:pPr>
      <w:r>
        <w:t>b)</w:t>
      </w:r>
      <w:r w:rsidR="00A810C5">
        <w:tab/>
      </w:r>
      <w:r>
        <w:t>vorläufige Daten über ihre Emissionen von Kohlenmonoxid</w:t>
      </w:r>
      <w:r w:rsidR="00A810C5">
        <w:t xml:space="preserve"> </w:t>
      </w:r>
      <w:r>
        <w:t>(CO), Schwefeldioxid (SO</w:t>
      </w:r>
      <w:r w:rsidRPr="00A810C5">
        <w:rPr>
          <w:vertAlign w:val="subscript"/>
        </w:rPr>
        <w:t>2</w:t>
      </w:r>
      <w:r>
        <w:t>), Stickoxiden (NO</w:t>
      </w:r>
      <w:r w:rsidRPr="00A810C5">
        <w:rPr>
          <w:vertAlign w:val="subscript"/>
        </w:rPr>
        <w:t>x</w:t>
      </w:r>
      <w:r>
        <w:t>) und flüchtigen</w:t>
      </w:r>
      <w:r w:rsidR="00A810C5">
        <w:t xml:space="preserve"> </w:t>
      </w:r>
      <w:r>
        <w:t>organischen Verbindungen (VOC) im Jahr vor dem</w:t>
      </w:r>
      <w:r w:rsidR="00A810C5">
        <w:t xml:space="preserve"> </w:t>
      </w:r>
      <w:r>
        <w:t>Vorjahr (Jahr X-2) sowie die endgültigen Daten für das drei</w:t>
      </w:r>
      <w:r w:rsidR="00A810C5">
        <w:t xml:space="preserve"> </w:t>
      </w:r>
      <w:r>
        <w:t>Jahre zurückliegende Jahr (Jahr X-3),</w:t>
      </w:r>
    </w:p>
    <w:p w:rsidR="00E544D7" w:rsidRDefault="00E544D7" w:rsidP="00A810C5">
      <w:pPr>
        <w:pStyle w:val="GesAbsatz"/>
        <w:ind w:left="426" w:hanging="426"/>
      </w:pPr>
      <w:r>
        <w:t>c)</w:t>
      </w:r>
      <w:r w:rsidR="00A810C5">
        <w:tab/>
      </w:r>
      <w:r>
        <w:t>ihre anthropogenen Treibhausgasemissionen aus Quellen</w:t>
      </w:r>
      <w:r w:rsidR="00A810C5">
        <w:t xml:space="preserve"> </w:t>
      </w:r>
      <w:r>
        <w:t>und die Speicherung von Kohlendioxid in Senken als Folge</w:t>
      </w:r>
      <w:r w:rsidR="00A810C5">
        <w:t xml:space="preserve"> </w:t>
      </w:r>
      <w:r>
        <w:t>von Landnutzung, Landnutzungsänderungen und Forstwirtschaft</w:t>
      </w:r>
      <w:r w:rsidR="00A810C5">
        <w:t xml:space="preserve"> </w:t>
      </w:r>
      <w:r>
        <w:t>im Jahr vor dem Vorjahr (Jahr X-2),</w:t>
      </w:r>
    </w:p>
    <w:p w:rsidR="00E544D7" w:rsidRDefault="00E544D7" w:rsidP="00A810C5">
      <w:pPr>
        <w:pStyle w:val="GesAbsatz"/>
        <w:ind w:left="426" w:hanging="426"/>
      </w:pPr>
      <w:r>
        <w:t>d)</w:t>
      </w:r>
      <w:r w:rsidR="00A810C5">
        <w:tab/>
      </w:r>
      <w:r>
        <w:t>Informationen zur Verbuchung von Emissionen und dem</w:t>
      </w:r>
      <w:r w:rsidR="00A810C5">
        <w:t xml:space="preserve"> </w:t>
      </w:r>
      <w:r>
        <w:t>Abbau durch Landnutzung, Landnutzungsä</w:t>
      </w:r>
      <w:r>
        <w:t>n</w:t>
      </w:r>
      <w:r>
        <w:t>derungen und</w:t>
      </w:r>
      <w:r w:rsidR="00A810C5">
        <w:t xml:space="preserve"> </w:t>
      </w:r>
      <w:r>
        <w:t>Forstwirtschaft für die Jahre zwischen 1990 und dem Jahr</w:t>
      </w:r>
      <w:r w:rsidR="00A810C5">
        <w:t xml:space="preserve"> </w:t>
      </w:r>
      <w:r>
        <w:t>vor dem Vorjahr (Jahr X-2) gemäß Artikel 3 Absatz 3 des</w:t>
      </w:r>
      <w:r w:rsidR="00A810C5">
        <w:t xml:space="preserve"> </w:t>
      </w:r>
      <w:r>
        <w:t xml:space="preserve">Kyoto-Protokolls </w:t>
      </w:r>
      <w:r w:rsidR="000272E7">
        <w:t>-</w:t>
      </w:r>
      <w:r>
        <w:t xml:space="preserve"> und, wenn ein Mitgliedstaat beschließt,</w:t>
      </w:r>
      <w:r w:rsidR="00A810C5">
        <w:t xml:space="preserve"> </w:t>
      </w:r>
      <w:r>
        <w:t>Artikel 3 Absatz 4 in Anspruch zu nehmen, gemäß dem</w:t>
      </w:r>
      <w:r w:rsidR="00A810C5">
        <w:t xml:space="preserve"> </w:t>
      </w:r>
      <w:r>
        <w:t xml:space="preserve">genannten Artikel des Kyoto-Protokolls </w:t>
      </w:r>
      <w:r w:rsidR="000272E7">
        <w:t>-</w:t>
      </w:r>
      <w:r>
        <w:t xml:space="preserve"> sowie den dazugehör</w:t>
      </w:r>
      <w:r>
        <w:t>i</w:t>
      </w:r>
      <w:r>
        <w:t>gen</w:t>
      </w:r>
      <w:r w:rsidR="00A810C5">
        <w:t xml:space="preserve"> </w:t>
      </w:r>
      <w:r>
        <w:t>einschlägigen Beschlüssen,</w:t>
      </w:r>
    </w:p>
    <w:p w:rsidR="00E544D7" w:rsidRDefault="00E544D7" w:rsidP="00A810C5">
      <w:pPr>
        <w:pStyle w:val="GesAbsatz"/>
        <w:ind w:left="426" w:hanging="426"/>
      </w:pPr>
      <w:r>
        <w:t>e)</w:t>
      </w:r>
      <w:r w:rsidR="00A810C5">
        <w:tab/>
      </w:r>
      <w:r>
        <w:t>etwaige Änderungen der in den Buchstaben a) bis d)</w:t>
      </w:r>
      <w:r w:rsidR="00A810C5">
        <w:t xml:space="preserve"> </w:t>
      </w:r>
      <w:r>
        <w:t>genannten Informationen für die Jahre zwischen 1990 und</w:t>
      </w:r>
      <w:r w:rsidR="00A810C5">
        <w:t xml:space="preserve"> </w:t>
      </w:r>
      <w:r>
        <w:t>dem drei Jahre zurückliegenden Jahr (Jahr X-3),</w:t>
      </w:r>
    </w:p>
    <w:p w:rsidR="00E544D7" w:rsidRDefault="00E544D7" w:rsidP="00A810C5">
      <w:pPr>
        <w:pStyle w:val="GesAbsatz"/>
        <w:ind w:left="426" w:hanging="426"/>
      </w:pPr>
      <w:r>
        <w:t>f)</w:t>
      </w:r>
      <w:r w:rsidR="00A810C5">
        <w:tab/>
      </w:r>
      <w:r>
        <w:t>die für die Vorbereitung des Berichts über das Treibhausgasinventar</w:t>
      </w:r>
      <w:r w:rsidR="00A810C5">
        <w:t xml:space="preserve"> </w:t>
      </w:r>
      <w:r>
        <w:t>der Gemeinschaft erforderlichen Bestandteile des</w:t>
      </w:r>
      <w:r w:rsidR="00A810C5">
        <w:t xml:space="preserve"> </w:t>
      </w:r>
      <w:r>
        <w:t>Berichts über ihr nationales Inventar, wie etwa Informationen</w:t>
      </w:r>
      <w:r w:rsidR="00A810C5">
        <w:t xml:space="preserve"> </w:t>
      </w:r>
      <w:r>
        <w:t>über den Plan des Mi</w:t>
      </w:r>
      <w:r>
        <w:t>t</w:t>
      </w:r>
      <w:r>
        <w:t>gliedstaats für die Qualitätssicherung/Qualitätskontrolle, eine allgemeine Unsicherheitsbewertung,</w:t>
      </w:r>
      <w:r w:rsidR="00A810C5">
        <w:t xml:space="preserve"> </w:t>
      </w:r>
      <w:r>
        <w:t>eine allgemeine Vollständigkeitsbewertung und</w:t>
      </w:r>
      <w:r w:rsidR="00A810C5">
        <w:t xml:space="preserve"> </w:t>
      </w:r>
      <w:r>
        <w:t>Informationen über durchgeführte neue Berechnungen,</w:t>
      </w:r>
    </w:p>
    <w:p w:rsidR="00E544D7" w:rsidRDefault="00E544D7" w:rsidP="00A810C5">
      <w:pPr>
        <w:pStyle w:val="GesAbsatz"/>
        <w:ind w:left="426" w:hanging="426"/>
      </w:pPr>
      <w:r>
        <w:t>g)</w:t>
      </w:r>
      <w:r w:rsidR="00A810C5">
        <w:tab/>
      </w:r>
      <w:r>
        <w:t>Informationen aus dem nationalen Register nach dessen</w:t>
      </w:r>
      <w:r w:rsidR="00A810C5">
        <w:t xml:space="preserve"> </w:t>
      </w:r>
      <w:r>
        <w:t>Erstellung über Vergabe, Erwerb, Besitz, Übertragung,</w:t>
      </w:r>
      <w:r w:rsidR="00A810C5">
        <w:t xml:space="preserve"> </w:t>
      </w:r>
      <w:r>
        <w:t>Löschung und Ausbuchung sowie Übertrag von zugeteilten</w:t>
      </w:r>
      <w:r w:rsidR="00A810C5">
        <w:t xml:space="preserve"> </w:t>
      </w:r>
      <w:r>
        <w:t>Mengen, Gutschriften aus Senken, Emissionsreduktionseinheiten</w:t>
      </w:r>
      <w:r w:rsidR="00A810C5">
        <w:t xml:space="preserve"> </w:t>
      </w:r>
      <w:r>
        <w:t>und zertifizierten Emissionsreduktionen im Vorjahr</w:t>
      </w:r>
      <w:r w:rsidR="00A810C5">
        <w:t xml:space="preserve"> </w:t>
      </w:r>
      <w:r>
        <w:t>(Jahr X-1),</w:t>
      </w:r>
    </w:p>
    <w:p w:rsidR="00E544D7" w:rsidRDefault="00E544D7" w:rsidP="00A810C5">
      <w:pPr>
        <w:pStyle w:val="GesAbsatz"/>
        <w:ind w:left="426" w:hanging="426"/>
      </w:pPr>
      <w:r>
        <w:t>h)</w:t>
      </w:r>
      <w:r w:rsidR="00A810C5">
        <w:tab/>
      </w:r>
      <w:r>
        <w:t>Informationen über juristische Personen, die befugt sind,</w:t>
      </w:r>
      <w:r w:rsidR="00A810C5">
        <w:t xml:space="preserve"> </w:t>
      </w:r>
      <w:r>
        <w:t>sich an den Mechanismen nach den Artikeln 6, 12 und 17</w:t>
      </w:r>
      <w:r w:rsidR="00A810C5">
        <w:t xml:space="preserve"> </w:t>
      </w:r>
      <w:r>
        <w:t>des Kyoto-Protokolls unter Beachtung der einschlägigen</w:t>
      </w:r>
      <w:r w:rsidR="00A810C5">
        <w:t xml:space="preserve"> </w:t>
      </w:r>
      <w:r>
        <w:t>nationalen oder gemeinschaftlichen Bestimmungen zu beteiligen,</w:t>
      </w:r>
    </w:p>
    <w:p w:rsidR="00E544D7" w:rsidRDefault="00E544D7" w:rsidP="00A810C5">
      <w:pPr>
        <w:pStyle w:val="GesAbsatz"/>
        <w:ind w:left="426" w:hanging="426"/>
      </w:pPr>
      <w:r>
        <w:t>i)</w:t>
      </w:r>
      <w:r w:rsidR="00A810C5">
        <w:tab/>
      </w:r>
      <w:r>
        <w:t>Maßnahmen zur Verbesserung der Schätzungen, z.B. wenn</w:t>
      </w:r>
      <w:r w:rsidR="00A810C5">
        <w:t xml:space="preserve"> </w:t>
      </w:r>
      <w:r>
        <w:t>bei den jeweiligen Bereichen des Inventars Anpassungen</w:t>
      </w:r>
      <w:r w:rsidR="00A810C5">
        <w:t xml:space="preserve"> </w:t>
      </w:r>
      <w:r>
        <w:t>stattgefunden haben,</w:t>
      </w:r>
    </w:p>
    <w:p w:rsidR="00E544D7" w:rsidRDefault="00E544D7" w:rsidP="00E544D7">
      <w:pPr>
        <w:pStyle w:val="GesAbsatz"/>
      </w:pPr>
      <w:r>
        <w:t>j)</w:t>
      </w:r>
      <w:r w:rsidR="00A810C5">
        <w:tab/>
      </w:r>
      <w:r>
        <w:t>Informationen über die Indikatoren für das Jahr vor dem</w:t>
      </w:r>
      <w:r w:rsidR="00A810C5">
        <w:t xml:space="preserve"> </w:t>
      </w:r>
      <w:r>
        <w:t>Vorjahr (Jahr X-2) und</w:t>
      </w:r>
    </w:p>
    <w:p w:rsidR="00E544D7" w:rsidRDefault="00E544D7" w:rsidP="00E544D7">
      <w:pPr>
        <w:pStyle w:val="GesAbsatz"/>
      </w:pPr>
      <w:r>
        <w:t>k)</w:t>
      </w:r>
      <w:r w:rsidR="00A810C5">
        <w:tab/>
      </w:r>
      <w:r>
        <w:t>etwaige Veränderungen am nationalen Inventarsystem.</w:t>
      </w:r>
    </w:p>
    <w:p w:rsidR="00E544D7" w:rsidRDefault="00E544D7" w:rsidP="00E544D7">
      <w:pPr>
        <w:pStyle w:val="GesAbsatz"/>
      </w:pPr>
      <w:r>
        <w:t>Die Mitgliedstaaten übermitteln der Kommission bis zum 15.</w:t>
      </w:r>
      <w:r w:rsidR="00DD0D5E">
        <w:t xml:space="preserve"> </w:t>
      </w:r>
      <w:r>
        <w:t>März jeden Jahres (Jahr X) ihren vollständigen nationalen Inventarbericht.</w:t>
      </w:r>
    </w:p>
    <w:p w:rsidR="00E544D7" w:rsidRDefault="00E544D7" w:rsidP="00E544D7">
      <w:pPr>
        <w:pStyle w:val="GesAbsatz"/>
      </w:pPr>
      <w:r>
        <w:t>(2) Zur Bewertung des voraussichtlichen Fortschritts übermitteln</w:t>
      </w:r>
      <w:r w:rsidR="00DD0D5E">
        <w:t xml:space="preserve"> </w:t>
      </w:r>
      <w:r>
        <w:t>die Mitgliedstaaten der Kommission bis zum 15. März</w:t>
      </w:r>
      <w:r w:rsidR="00DD0D5E">
        <w:t xml:space="preserve"> </w:t>
      </w:r>
      <w:r>
        <w:t>2005 und danach alle zwei Jahre:</w:t>
      </w:r>
    </w:p>
    <w:p w:rsidR="00E544D7" w:rsidRDefault="00E544D7" w:rsidP="00DD0D5E">
      <w:pPr>
        <w:pStyle w:val="GesAbsatz"/>
        <w:ind w:left="426" w:hanging="426"/>
      </w:pPr>
      <w:r>
        <w:t>a)</w:t>
      </w:r>
      <w:r w:rsidR="00DD0D5E">
        <w:tab/>
      </w:r>
      <w:r>
        <w:t>Informationen über nationale Politiken und Maßnahmen,</w:t>
      </w:r>
      <w:r w:rsidR="00DD0D5E">
        <w:t xml:space="preserve"> </w:t>
      </w:r>
      <w:r>
        <w:t>die Treibhausgasemissionen aus Quellen b</w:t>
      </w:r>
      <w:r>
        <w:t>e</w:t>
      </w:r>
      <w:r>
        <w:t>grenzen und/oder reduzieren oder die Speicherung in Senken fördern,</w:t>
      </w:r>
      <w:r w:rsidR="00DD0D5E">
        <w:t xml:space="preserve"> </w:t>
      </w:r>
      <w:r>
        <w:t>gegliedert nach Bereichen für j</w:t>
      </w:r>
      <w:r>
        <w:t>e</w:t>
      </w:r>
      <w:r>
        <w:t>des Treibhausgas, einschließlich:</w:t>
      </w:r>
    </w:p>
    <w:p w:rsidR="00E544D7" w:rsidRDefault="00E544D7" w:rsidP="00DD0D5E">
      <w:pPr>
        <w:pStyle w:val="GesAbsatz"/>
        <w:ind w:left="851" w:hanging="425"/>
      </w:pPr>
      <w:r>
        <w:t>i)</w:t>
      </w:r>
      <w:r w:rsidR="00DD0D5E">
        <w:tab/>
      </w:r>
      <w:r>
        <w:t>Ziel von Politiken und Maßnahmen,</w:t>
      </w:r>
    </w:p>
    <w:p w:rsidR="00E544D7" w:rsidRDefault="00E544D7" w:rsidP="00DD0D5E">
      <w:pPr>
        <w:pStyle w:val="GesAbsatz"/>
        <w:ind w:left="851" w:hanging="425"/>
      </w:pPr>
      <w:r>
        <w:t>ii)</w:t>
      </w:r>
      <w:r w:rsidR="00DD0D5E">
        <w:tab/>
      </w:r>
      <w:r>
        <w:t>Art des politischen Instruments,</w:t>
      </w:r>
    </w:p>
    <w:p w:rsidR="00E544D7" w:rsidRDefault="00E544D7" w:rsidP="00DD0D5E">
      <w:pPr>
        <w:pStyle w:val="GesAbsatz"/>
        <w:ind w:left="851" w:hanging="425"/>
      </w:pPr>
      <w:r>
        <w:t>iii)</w:t>
      </w:r>
      <w:r w:rsidR="00DD0D5E">
        <w:tab/>
      </w:r>
      <w:r>
        <w:t>Stand der Durchführung der Politik oder Maßnahme,</w:t>
      </w:r>
    </w:p>
    <w:p w:rsidR="00E544D7" w:rsidRDefault="00E544D7" w:rsidP="00DD0D5E">
      <w:pPr>
        <w:pStyle w:val="GesAbsatz"/>
        <w:ind w:left="851" w:hanging="425"/>
      </w:pPr>
      <w:r>
        <w:lastRenderedPageBreak/>
        <w:t>iv)</w:t>
      </w:r>
      <w:r w:rsidR="00DD0D5E">
        <w:tab/>
      </w:r>
      <w:r>
        <w:t>Indikatoren zur Überwachung und Bewertung des</w:t>
      </w:r>
      <w:r w:rsidR="00DD0D5E">
        <w:t xml:space="preserve"> </w:t>
      </w:r>
      <w:r>
        <w:t>laufenden Fortschritts bei Politiken und Ma</w:t>
      </w:r>
      <w:r>
        <w:t>ß</w:t>
      </w:r>
      <w:r>
        <w:t>nahmen</w:t>
      </w:r>
      <w:r w:rsidR="00DD0D5E">
        <w:t xml:space="preserve"> </w:t>
      </w:r>
      <w:r>
        <w:t>u. a. einschließlich der in den gemäß Absatz 3 erlassenen</w:t>
      </w:r>
      <w:r w:rsidR="00DD0D5E">
        <w:t xml:space="preserve"> </w:t>
      </w:r>
      <w:r>
        <w:t>Durchführungsbestimmungen genannten Indikatoren,</w:t>
      </w:r>
    </w:p>
    <w:p w:rsidR="00E544D7" w:rsidRDefault="00E544D7" w:rsidP="00DD0D5E">
      <w:pPr>
        <w:pStyle w:val="GesAbsatz"/>
        <w:ind w:left="851" w:hanging="425"/>
      </w:pPr>
      <w:r>
        <w:t>v)</w:t>
      </w:r>
      <w:r w:rsidR="00DD0D5E">
        <w:tab/>
      </w:r>
      <w:r>
        <w:t>quantitative Schätzungen der Auswirkungen von Politiken</w:t>
      </w:r>
      <w:r w:rsidR="00DD0D5E">
        <w:t xml:space="preserve"> </w:t>
      </w:r>
      <w:r>
        <w:t>und Maßnahmen auf die Emissionen von Treibhausgasen</w:t>
      </w:r>
      <w:r w:rsidR="00DD0D5E">
        <w:t xml:space="preserve"> </w:t>
      </w:r>
      <w:r>
        <w:t>aus Quellen und die Speicherung in Senken</w:t>
      </w:r>
      <w:r w:rsidR="00DD0D5E">
        <w:t xml:space="preserve"> </w:t>
      </w:r>
      <w:r>
        <w:t>zwischen dem Basisjahr und den fo</w:t>
      </w:r>
      <w:r>
        <w:t>l</w:t>
      </w:r>
      <w:r>
        <w:t>genden Jahren,</w:t>
      </w:r>
      <w:r w:rsidR="00DD0D5E">
        <w:t xml:space="preserve"> </w:t>
      </w:r>
      <w:r>
        <w:t>einschließlich der Jahre 2005, 2010 und 2015, sowie</w:t>
      </w:r>
      <w:r w:rsidR="00DD0D5E">
        <w:t xml:space="preserve"> </w:t>
      </w:r>
      <w:r>
        <w:t>ihrer wirtschaftlichen Auswi</w:t>
      </w:r>
      <w:r>
        <w:t>r</w:t>
      </w:r>
      <w:r>
        <w:t>kungen, soweit das</w:t>
      </w:r>
      <w:r w:rsidR="00DD0D5E">
        <w:t xml:space="preserve"> </w:t>
      </w:r>
      <w:r>
        <w:t>machbar ist, und</w:t>
      </w:r>
    </w:p>
    <w:p w:rsidR="00E544D7" w:rsidRDefault="00E544D7" w:rsidP="00DD0D5E">
      <w:pPr>
        <w:pStyle w:val="GesAbsatz"/>
        <w:ind w:left="851" w:hanging="425"/>
      </w:pPr>
      <w:r>
        <w:t>vi)</w:t>
      </w:r>
      <w:r w:rsidR="00DD0D5E">
        <w:tab/>
      </w:r>
      <w:r>
        <w:t>Angaben darüber, inwieweit innerstaatliche Maßnahmen</w:t>
      </w:r>
      <w:r w:rsidR="00DD0D5E">
        <w:t xml:space="preserve"> </w:t>
      </w:r>
      <w:r>
        <w:t>tatsächlich ein wesentliches Element der auf nationaler</w:t>
      </w:r>
      <w:r w:rsidR="00DD0D5E">
        <w:t xml:space="preserve"> </w:t>
      </w:r>
      <w:r>
        <w:t>Ebene unternommenen Anstrengungen sind, sowie zu</w:t>
      </w:r>
      <w:r w:rsidR="00DD0D5E">
        <w:t xml:space="preserve"> </w:t>
      </w:r>
      <w:r>
        <w:t>dem Umfang, in dem inne</w:t>
      </w:r>
      <w:r>
        <w:t>r</w:t>
      </w:r>
      <w:r>
        <w:t>staatliche Maßnahmen gemäß</w:t>
      </w:r>
      <w:r w:rsidR="00DD0D5E">
        <w:t xml:space="preserve"> </w:t>
      </w:r>
      <w:r>
        <w:t>den einschlägigen Bestimmungen des Kyoto-Protokolls</w:t>
      </w:r>
      <w:r w:rsidR="00DD0D5E">
        <w:t xml:space="preserve"> </w:t>
      </w:r>
      <w:r>
        <w:t>und der Vereinbarungen von Marrakesch durch den</w:t>
      </w:r>
      <w:r w:rsidR="00DD0D5E">
        <w:t xml:space="preserve"> </w:t>
      </w:r>
      <w:r w:rsidRPr="00DD0D5E">
        <w:t>Einsatz der Joint Implementation, des Clean Develo</w:t>
      </w:r>
      <w:r w:rsidRPr="00DD0D5E">
        <w:t>p</w:t>
      </w:r>
      <w:r w:rsidRPr="00DD0D5E">
        <w:t>ment</w:t>
      </w:r>
      <w:r w:rsidR="00DD0D5E">
        <w:t xml:space="preserve"> </w:t>
      </w:r>
      <w:r>
        <w:t>Mechanism und des internationalen Handels mit</w:t>
      </w:r>
      <w:r w:rsidR="00DD0D5E">
        <w:t xml:space="preserve"> </w:t>
      </w:r>
      <w:r>
        <w:t>Emissionszertifikaten gemäß den Artikeln 6, 12 und 17</w:t>
      </w:r>
      <w:r w:rsidR="00DD0D5E">
        <w:t xml:space="preserve"> </w:t>
      </w:r>
      <w:r>
        <w:t>des Kyoto-Protokolls tatsächlich ergänzt werden,</w:t>
      </w:r>
    </w:p>
    <w:p w:rsidR="00E544D7" w:rsidRDefault="00E544D7" w:rsidP="00DD0D5E">
      <w:pPr>
        <w:pStyle w:val="GesAbsatz"/>
        <w:ind w:left="426" w:hanging="426"/>
      </w:pPr>
      <w:r>
        <w:t>b)</w:t>
      </w:r>
      <w:r w:rsidR="00DD0D5E">
        <w:tab/>
      </w:r>
      <w:r>
        <w:t>nationale Vorausschätzungen der Emissionen von Treibhausgasen</w:t>
      </w:r>
      <w:r w:rsidR="00DD0D5E">
        <w:t xml:space="preserve"> </w:t>
      </w:r>
      <w:r>
        <w:t>aus Quellen und ihrer Speicherung in Senken,</w:t>
      </w:r>
      <w:r w:rsidR="00DD0D5E">
        <w:t xml:space="preserve"> </w:t>
      </w:r>
      <w:r>
        <w:t>und zwar mindestens für die Jahre 2005, 2010, 2015 und</w:t>
      </w:r>
      <w:r w:rsidR="00DD0D5E">
        <w:t xml:space="preserve"> </w:t>
      </w:r>
      <w:r>
        <w:t>2020, gegliedert nach Gasen und Bereichen, einschließlich:</w:t>
      </w:r>
    </w:p>
    <w:p w:rsidR="00E544D7" w:rsidRDefault="00E544D7" w:rsidP="00DD0D5E">
      <w:pPr>
        <w:pStyle w:val="GesAbsatz"/>
        <w:ind w:left="851" w:hanging="425"/>
      </w:pPr>
      <w:r>
        <w:t>i)</w:t>
      </w:r>
      <w:r w:rsidR="00DD0D5E">
        <w:tab/>
      </w:r>
      <w:r>
        <w:t>Vorausschätzungen „mit Maßnahmen“ und „mit zusätzlichen</w:t>
      </w:r>
      <w:r w:rsidR="00DD0D5E">
        <w:t xml:space="preserve"> </w:t>
      </w:r>
      <w:r>
        <w:t>Maßnahmen“ gemäß den Leitlinien des UNFCCC</w:t>
      </w:r>
      <w:r w:rsidR="00DD0D5E">
        <w:t xml:space="preserve"> </w:t>
      </w:r>
      <w:r>
        <w:t>und weiteren Vorgaben in den gemäß Absatz 3 erlassenen</w:t>
      </w:r>
      <w:r w:rsidR="00DD0D5E">
        <w:t xml:space="preserve"> </w:t>
      </w:r>
      <w:r>
        <w:t>Durchführungsbesti</w:t>
      </w:r>
      <w:r>
        <w:t>m</w:t>
      </w:r>
      <w:r>
        <w:t>mungen,</w:t>
      </w:r>
    </w:p>
    <w:p w:rsidR="00E544D7" w:rsidRDefault="00E544D7" w:rsidP="00DD0D5E">
      <w:pPr>
        <w:pStyle w:val="GesAbsatz"/>
        <w:ind w:left="851" w:hanging="425"/>
      </w:pPr>
      <w:r>
        <w:t>ii)</w:t>
      </w:r>
      <w:r w:rsidR="00DD0D5E">
        <w:tab/>
      </w:r>
      <w:r>
        <w:t>klarer Angaben zu den Politiken und Maßnahmen, die</w:t>
      </w:r>
      <w:r w:rsidR="00DD0D5E">
        <w:t xml:space="preserve"> </w:t>
      </w:r>
      <w:r>
        <w:t>in die Projektionen eingeflossen sind,</w:t>
      </w:r>
    </w:p>
    <w:p w:rsidR="00E544D7" w:rsidRDefault="00E544D7" w:rsidP="00DD0D5E">
      <w:pPr>
        <w:pStyle w:val="GesAbsatz"/>
        <w:ind w:left="851" w:hanging="425"/>
      </w:pPr>
      <w:r>
        <w:t>iii)</w:t>
      </w:r>
      <w:r w:rsidR="00DD0D5E">
        <w:tab/>
      </w:r>
      <w:r>
        <w:t>Ergebnisse der bei den Vorausschätzungen durchgeführten</w:t>
      </w:r>
      <w:r w:rsidR="00DD0D5E">
        <w:t xml:space="preserve"> </w:t>
      </w:r>
      <w:r>
        <w:t>Sensitivitätsanalyse, und</w:t>
      </w:r>
    </w:p>
    <w:p w:rsidR="00E544D7" w:rsidRDefault="00E544D7" w:rsidP="00DD0D5E">
      <w:pPr>
        <w:pStyle w:val="GesAbsatz"/>
        <w:ind w:left="851" w:hanging="425"/>
      </w:pPr>
      <w:r>
        <w:t>iv)</w:t>
      </w:r>
      <w:r w:rsidR="00DD0D5E">
        <w:tab/>
      </w:r>
      <w:r>
        <w:t>Beschreibungen von Methoden, Modellen, zugrunde</w:t>
      </w:r>
      <w:r w:rsidR="00DD0D5E">
        <w:t xml:space="preserve"> </w:t>
      </w:r>
      <w:r>
        <w:t>gelegten Annahmen sowie zentralen Input- und Output-Parametern.</w:t>
      </w:r>
    </w:p>
    <w:p w:rsidR="00E544D7" w:rsidRDefault="00E544D7" w:rsidP="00DD0D5E">
      <w:pPr>
        <w:pStyle w:val="GesAbsatz"/>
        <w:ind w:left="426" w:hanging="426"/>
      </w:pPr>
      <w:r>
        <w:t>c)</w:t>
      </w:r>
      <w:r w:rsidR="00DD0D5E">
        <w:tab/>
      </w:r>
      <w:r>
        <w:t>Informationen über getroffene oder geplante Maßnahmen</w:t>
      </w:r>
      <w:r w:rsidR="00DD0D5E">
        <w:t xml:space="preserve"> </w:t>
      </w:r>
      <w:r>
        <w:t>zur Umsetzung der einschlägigen Rechtsvo</w:t>
      </w:r>
      <w:r>
        <w:t>r</w:t>
      </w:r>
      <w:r>
        <w:t>schriften und</w:t>
      </w:r>
      <w:r w:rsidR="00DD0D5E">
        <w:t xml:space="preserve"> </w:t>
      </w:r>
      <w:r>
        <w:t>Politiken der Gemeinschaft, sowie Informationen über rechtliche</w:t>
      </w:r>
      <w:r w:rsidR="00DD0D5E">
        <w:t xml:space="preserve"> </w:t>
      </w:r>
      <w:r>
        <w:t>und institutionelle Schritte zur Vorbereitung der Erfüllung</w:t>
      </w:r>
      <w:r w:rsidR="00DD0D5E">
        <w:t xml:space="preserve"> </w:t>
      </w:r>
      <w:r>
        <w:t>von Verpflichtungen nach dem Kyoto-Protokoll und</w:t>
      </w:r>
      <w:r w:rsidR="00DD0D5E">
        <w:t xml:space="preserve"> </w:t>
      </w:r>
      <w:r>
        <w:t>Informationen über Regelungen für Einhaltungs- und</w:t>
      </w:r>
      <w:r w:rsidR="00DD0D5E">
        <w:t xml:space="preserve"> </w:t>
      </w:r>
      <w:r>
        <w:t>Durchsetzungsverfahren sowie deren nationale Umsetzung.</w:t>
      </w:r>
    </w:p>
    <w:p w:rsidR="00E544D7" w:rsidRDefault="00E544D7" w:rsidP="00DD0D5E">
      <w:pPr>
        <w:pStyle w:val="GesAbsatz"/>
        <w:ind w:left="426" w:hanging="426"/>
      </w:pPr>
      <w:r>
        <w:t>d)</w:t>
      </w:r>
      <w:r w:rsidR="00DD0D5E">
        <w:tab/>
      </w:r>
      <w:r>
        <w:t>Informationen über institutionelle und finanzielle Regelungen</w:t>
      </w:r>
      <w:r w:rsidR="00DD0D5E">
        <w:t xml:space="preserve"> </w:t>
      </w:r>
      <w:r>
        <w:t>und Beschlussfassungsverfahren zur K</w:t>
      </w:r>
      <w:r>
        <w:t>o</w:t>
      </w:r>
      <w:r>
        <w:t>ordinierung</w:t>
      </w:r>
      <w:r w:rsidR="00DD0D5E">
        <w:t xml:space="preserve"> </w:t>
      </w:r>
      <w:r>
        <w:t>und Unterstützung von Tätigkeiten zur Beteiligung an den</w:t>
      </w:r>
      <w:r w:rsidR="00DD0D5E">
        <w:t xml:space="preserve"> </w:t>
      </w:r>
      <w:r>
        <w:t>Mechanismen nach den Art</w:t>
      </w:r>
      <w:r>
        <w:t>i</w:t>
      </w:r>
      <w:r>
        <w:t>keln</w:t>
      </w:r>
      <w:r w:rsidR="00DD0D5E">
        <w:t> </w:t>
      </w:r>
      <w:r>
        <w:t>6, 12 und 17 des Kyoto-Protokolls, einschließlich der Beteiligung von juristischen</w:t>
      </w:r>
      <w:r w:rsidR="00DD0D5E">
        <w:t xml:space="preserve"> </w:t>
      </w:r>
      <w:r>
        <w:t>Personen.</w:t>
      </w:r>
    </w:p>
    <w:p w:rsidR="00E544D7" w:rsidRDefault="00E544D7" w:rsidP="00E544D7">
      <w:pPr>
        <w:pStyle w:val="GesAbsatz"/>
      </w:pPr>
      <w:r>
        <w:t>(3) Durchführungsbestimmungen für die Übermittlung der</w:t>
      </w:r>
      <w:r w:rsidR="00DD0D5E">
        <w:t xml:space="preserve"> </w:t>
      </w:r>
      <w:r>
        <w:t>in den Absätzen 1 und 2 genannten Informationen werden</w:t>
      </w:r>
      <w:r w:rsidR="00DD0D5E">
        <w:t xml:space="preserve"> </w:t>
      </w:r>
      <w:r>
        <w:t>nach dem in Artikel 9 Absatz 2 genannten Verfahren erlassen.</w:t>
      </w:r>
    </w:p>
    <w:p w:rsidR="00E544D7" w:rsidRDefault="00E544D7" w:rsidP="00E544D7">
      <w:pPr>
        <w:pStyle w:val="GesAbsatz"/>
      </w:pPr>
      <w:r>
        <w:t>Diese Durchführungsbestimmungen können gegebenenfalls</w:t>
      </w:r>
      <w:r w:rsidR="00DD0D5E">
        <w:t xml:space="preserve"> </w:t>
      </w:r>
      <w:r>
        <w:t>unter Berücksichtigung von im Rahmen des UNFCCC und des</w:t>
      </w:r>
      <w:r w:rsidR="00DD0D5E">
        <w:t xml:space="preserve"> </w:t>
      </w:r>
      <w:r>
        <w:t>Kyoto-Protokolls gefassten Beschlüssen überarbeitet werden.</w:t>
      </w:r>
    </w:p>
    <w:p w:rsidR="00E544D7" w:rsidRDefault="00E544D7" w:rsidP="00DD0D5E">
      <w:pPr>
        <w:pStyle w:val="berschrift2"/>
      </w:pPr>
      <w:bookmarkStart w:id="5" w:name="_Toc413409739"/>
      <w:r>
        <w:t>Artikel 4</w:t>
      </w:r>
      <w:r w:rsidR="00DD0D5E">
        <w:br/>
      </w:r>
      <w:r>
        <w:t>Gemeinschaftliches Inventarsystem</w:t>
      </w:r>
      <w:bookmarkEnd w:id="5"/>
    </w:p>
    <w:p w:rsidR="00E544D7" w:rsidRDefault="00E544D7" w:rsidP="00E544D7">
      <w:pPr>
        <w:pStyle w:val="GesAbsatz"/>
      </w:pPr>
      <w:r>
        <w:t>(1) Die Kommission erstellt in Zusammenarbeit mit den</w:t>
      </w:r>
      <w:r w:rsidR="00BB2495">
        <w:t xml:space="preserve"> </w:t>
      </w:r>
      <w:r>
        <w:t>Mitgliedstaaten jährlich ein Treibhausgasinventar der Gemeinschaft</w:t>
      </w:r>
      <w:r w:rsidR="00BB2495">
        <w:t xml:space="preserve"> </w:t>
      </w:r>
      <w:r>
        <w:t>und einen Bericht über das Treibhausgasinventar der</w:t>
      </w:r>
      <w:r w:rsidR="00BB2495">
        <w:t xml:space="preserve"> </w:t>
      </w:r>
      <w:r>
        <w:t>Gemeinschaft, übermittelt den Mitglie</w:t>
      </w:r>
      <w:r>
        <w:t>d</w:t>
      </w:r>
      <w:r>
        <w:t>staaten bis zum 28.</w:t>
      </w:r>
      <w:r w:rsidR="00BB2495">
        <w:t xml:space="preserve"> </w:t>
      </w:r>
      <w:r>
        <w:t>Februar den Entwurf des Inventars sowie des Berichts,</w:t>
      </w:r>
      <w:r w:rsidR="00BB2495">
        <w:t xml:space="preserve"> </w:t>
      </w:r>
      <w:r>
        <w:t>veröffentlicht sie und übermittelt sie bis zum 15. April jeden</w:t>
      </w:r>
      <w:r w:rsidR="00BB2495">
        <w:t xml:space="preserve"> </w:t>
      </w:r>
      <w:r>
        <w:t>Jahres dem Sekretariat des UNFCCC. Schätzungen für fehlende</w:t>
      </w:r>
      <w:r w:rsidR="00BB2495">
        <w:t xml:space="preserve"> </w:t>
      </w:r>
      <w:r>
        <w:t>Daten in den nationalen Inventaren werden gemäß den Durchführungsbestimmungen</w:t>
      </w:r>
      <w:r w:rsidR="00BB2495">
        <w:t xml:space="preserve"> </w:t>
      </w:r>
      <w:r>
        <w:t>eingefügt, die nach Absatz 2 Buc</w:t>
      </w:r>
      <w:r>
        <w:t>h</w:t>
      </w:r>
      <w:r>
        <w:t>stabe</w:t>
      </w:r>
      <w:r w:rsidR="00BB2495">
        <w:t xml:space="preserve"> </w:t>
      </w:r>
      <w:r>
        <w:t>b) erlassen wurden, es sein denn, bis spätestens 15. März des</w:t>
      </w:r>
      <w:r w:rsidR="00BB2495">
        <w:t xml:space="preserve"> </w:t>
      </w:r>
      <w:r>
        <w:t>betreffenden Jahres gehen aktualisie</w:t>
      </w:r>
      <w:r>
        <w:t>r</w:t>
      </w:r>
      <w:r>
        <w:t>te Daten von den Mitgliedstaaten</w:t>
      </w:r>
      <w:r w:rsidR="00BB2495">
        <w:t xml:space="preserve"> </w:t>
      </w:r>
      <w:r>
        <w:t>ein.</w:t>
      </w:r>
    </w:p>
    <w:p w:rsidR="00E544D7" w:rsidRDefault="00E544D7" w:rsidP="00E544D7">
      <w:pPr>
        <w:pStyle w:val="GesAbsatz"/>
      </w:pPr>
      <w:r>
        <w:t>(2) Die Kommission führt nach dem in Artikel 9 Absatz 2</w:t>
      </w:r>
      <w:r w:rsidR="00BB2495">
        <w:t xml:space="preserve"> </w:t>
      </w:r>
      <w:r>
        <w:t>genannten Verfahren und unter Berücksichtigung der nationalen</w:t>
      </w:r>
      <w:r w:rsidR="00BB2495">
        <w:t xml:space="preserve"> </w:t>
      </w:r>
      <w:r>
        <w:t>Systeme der Mitgliedstaaten bis zum 30. Juni 2006 ein</w:t>
      </w:r>
      <w:r w:rsidR="00BB2495">
        <w:t xml:space="preserve"> </w:t>
      </w:r>
      <w:r>
        <w:t>Inventarsystem der Gemeinschaft ein, um die Genauigkeit,</w:t>
      </w:r>
      <w:r w:rsidR="00BB2495">
        <w:t xml:space="preserve"> </w:t>
      </w:r>
      <w:r>
        <w:t>Vergleichbarkeit, Kohärenz, Vollständigkeit und Pünktlichkeit</w:t>
      </w:r>
      <w:r w:rsidR="00BB2495">
        <w:t xml:space="preserve"> </w:t>
      </w:r>
      <w:r>
        <w:t>der nationalen Inventare im Hinblick auf die Erstellung des</w:t>
      </w:r>
      <w:r w:rsidR="00BB2495">
        <w:t xml:space="preserve"> </w:t>
      </w:r>
      <w:r>
        <w:t>Treibhausgasinventars der Gemeinschaft zu gewährleisten.</w:t>
      </w:r>
      <w:r w:rsidR="00BB2495">
        <w:t xml:space="preserve"> </w:t>
      </w:r>
      <w:r>
        <w:t>Dieses Sy</w:t>
      </w:r>
      <w:r>
        <w:t>s</w:t>
      </w:r>
      <w:r>
        <w:t>tem umfasst:</w:t>
      </w:r>
    </w:p>
    <w:p w:rsidR="00E544D7" w:rsidRDefault="00E544D7" w:rsidP="00BB2495">
      <w:pPr>
        <w:pStyle w:val="GesAbsatz"/>
        <w:ind w:left="426" w:hanging="426"/>
      </w:pPr>
      <w:r>
        <w:t>a)</w:t>
      </w:r>
      <w:r w:rsidR="00BB2495">
        <w:tab/>
      </w:r>
      <w:r>
        <w:t>ein Programm zur Qualitätssicherung/Qualitätskontrolle</w:t>
      </w:r>
      <w:r w:rsidR="00BB2495">
        <w:t xml:space="preserve"> </w:t>
      </w:r>
      <w:r>
        <w:t>einschließlich der Festsetzung von Qualitätszi</w:t>
      </w:r>
      <w:r>
        <w:t>e</w:t>
      </w:r>
      <w:r>
        <w:t>len und eines</w:t>
      </w:r>
      <w:r w:rsidR="00BB2495">
        <w:t xml:space="preserve"> </w:t>
      </w:r>
      <w:r>
        <w:t>Inventarqualitätssicherungs- und Qualitätskontrollplans. Die</w:t>
      </w:r>
      <w:r w:rsidR="00BB2495">
        <w:t xml:space="preserve"> </w:t>
      </w:r>
      <w:r>
        <w:t>Kommission unterstützt die Mitgliedstaaten bei der Umsetzung</w:t>
      </w:r>
      <w:r w:rsidR="00BB2495">
        <w:t xml:space="preserve"> </w:t>
      </w:r>
      <w:r>
        <w:t>der Programme zur Qualitätssicherung/Qualitätskontrolle;</w:t>
      </w:r>
      <w:r w:rsidR="00BB2495">
        <w:t xml:space="preserve"> </w:t>
      </w:r>
      <w:r>
        <w:t>und</w:t>
      </w:r>
    </w:p>
    <w:p w:rsidR="00E544D7" w:rsidRDefault="00E544D7" w:rsidP="00BB2495">
      <w:pPr>
        <w:pStyle w:val="GesAbsatz"/>
        <w:ind w:left="426" w:hanging="426"/>
      </w:pPr>
      <w:r>
        <w:t>b)</w:t>
      </w:r>
      <w:r w:rsidR="00BB2495">
        <w:tab/>
      </w:r>
      <w:r>
        <w:t>ein Verfahren zur Schätzung fehlender Daten eines nationalen</w:t>
      </w:r>
      <w:r w:rsidR="00BB2495">
        <w:t xml:space="preserve"> </w:t>
      </w:r>
      <w:r>
        <w:t>Inventars, einschließlich der Konsultat</w:t>
      </w:r>
      <w:r>
        <w:t>i</w:t>
      </w:r>
      <w:r>
        <w:t>on mit dem</w:t>
      </w:r>
      <w:r w:rsidR="00BB2495">
        <w:t xml:space="preserve"> </w:t>
      </w:r>
      <w:r>
        <w:t>betreffenden Mitgliedstaat.</w:t>
      </w:r>
    </w:p>
    <w:p w:rsidR="00E544D7" w:rsidRDefault="00E544D7" w:rsidP="00E544D7">
      <w:pPr>
        <w:pStyle w:val="GesAbsatz"/>
      </w:pPr>
      <w:r>
        <w:lastRenderedPageBreak/>
        <w:t>(3) Die Europäische Umweltagentur unterstützt die Kommission</w:t>
      </w:r>
      <w:r w:rsidR="00BB2495">
        <w:t xml:space="preserve"> </w:t>
      </w:r>
      <w:r>
        <w:t>gegebenenfalls bei der Umsetzung der A</w:t>
      </w:r>
      <w:r>
        <w:t>b</w:t>
      </w:r>
      <w:r>
        <w:t>sätze 1 und 2</w:t>
      </w:r>
      <w:r w:rsidR="00BB2495">
        <w:t xml:space="preserve"> </w:t>
      </w:r>
      <w:r>
        <w:t>unter anderem durch die Durchführung von Studien und die</w:t>
      </w:r>
      <w:r w:rsidR="00BB2495">
        <w:t xml:space="preserve"> </w:t>
      </w:r>
      <w:r>
        <w:t>Erhebung von Daten gemäß i</w:t>
      </w:r>
      <w:r>
        <w:t>h</w:t>
      </w:r>
      <w:r>
        <w:t>rem jährlichen Arbeitsprogramm.</w:t>
      </w:r>
    </w:p>
    <w:p w:rsidR="00E544D7" w:rsidRDefault="00E544D7" w:rsidP="00E544D7">
      <w:pPr>
        <w:pStyle w:val="GesAbsatz"/>
      </w:pPr>
      <w:r>
        <w:t>(4) Die Mitgliedstaaten erstellen baldmöglichst und auf jeden</w:t>
      </w:r>
      <w:r w:rsidR="00BB2495">
        <w:t xml:space="preserve"> </w:t>
      </w:r>
      <w:r>
        <w:t>Fall spätestens bis zum 31. Dezember 2005 nationale Inventarsysteme</w:t>
      </w:r>
      <w:r w:rsidR="00BB2495">
        <w:t xml:space="preserve"> </w:t>
      </w:r>
      <w:r>
        <w:t>nach dem Kyoto-Protokoll zur Schätzung von anthropogenen</w:t>
      </w:r>
      <w:r w:rsidR="00BB2495">
        <w:t xml:space="preserve"> </w:t>
      </w:r>
      <w:r>
        <w:t>Emissionen von Treibhausgasen aus Quellen und die</w:t>
      </w:r>
      <w:r w:rsidR="00BB2495">
        <w:t xml:space="preserve"> </w:t>
      </w:r>
      <w:r>
        <w:t>Speicherung von Kohlendioxid in Senken.</w:t>
      </w:r>
    </w:p>
    <w:p w:rsidR="00E544D7" w:rsidRDefault="00E544D7" w:rsidP="00BB2495">
      <w:pPr>
        <w:pStyle w:val="berschrift2"/>
      </w:pPr>
      <w:bookmarkStart w:id="6" w:name="_Toc413409740"/>
      <w:r>
        <w:t>Artikel 5</w:t>
      </w:r>
      <w:r w:rsidR="00BB2495">
        <w:br/>
      </w:r>
      <w:r>
        <w:t>Bewertung der Fortschritte und Berichterstattung</w:t>
      </w:r>
      <w:bookmarkEnd w:id="6"/>
    </w:p>
    <w:p w:rsidR="00E544D7" w:rsidRDefault="00E544D7" w:rsidP="00E544D7">
      <w:pPr>
        <w:pStyle w:val="GesAbsatz"/>
      </w:pPr>
      <w:r>
        <w:t>(1) Die Kommission bewertet in Abstimmung mit den</w:t>
      </w:r>
      <w:r w:rsidR="00BB2495">
        <w:t xml:space="preserve"> </w:t>
      </w:r>
      <w:r>
        <w:t>Mitgliedstaaten jährlich die Fortschritte der Gemei</w:t>
      </w:r>
      <w:r>
        <w:t>n</w:t>
      </w:r>
      <w:r>
        <w:t>schaft und</w:t>
      </w:r>
      <w:r w:rsidR="00BB2495">
        <w:t xml:space="preserve"> </w:t>
      </w:r>
      <w:r>
        <w:t>ihrer Mitgliedstaaten bei der Erfüllung ihrer Verpflichtungen</w:t>
      </w:r>
      <w:r w:rsidR="00BB2495">
        <w:t xml:space="preserve"> </w:t>
      </w:r>
      <w:r>
        <w:t>nach dem UNFCCC und dem Kyoto-Protokoll in Übereinstimmung</w:t>
      </w:r>
      <w:r w:rsidR="00BB2495">
        <w:t xml:space="preserve"> </w:t>
      </w:r>
      <w:r>
        <w:t>mit der Entscheidung 2002/358/EG, um festzustellen, ob</w:t>
      </w:r>
      <w:r w:rsidR="00BB2495">
        <w:t xml:space="preserve"> </w:t>
      </w:r>
      <w:r>
        <w:t>die Fortschritte für die Erfüllung dieser Verpflichtungen ausreichen.</w:t>
      </w:r>
    </w:p>
    <w:p w:rsidR="00E544D7" w:rsidRDefault="00E544D7" w:rsidP="00E544D7">
      <w:pPr>
        <w:pStyle w:val="GesAbsatz"/>
      </w:pPr>
      <w:r>
        <w:t>Bei dieser Bewertung werden die Fortschritte bei den Politiken</w:t>
      </w:r>
      <w:r w:rsidR="00BB2495">
        <w:t xml:space="preserve"> </w:t>
      </w:r>
      <w:r>
        <w:t>und Maßnahmen der Gemeinschaft sowie die von den Mitgliedstaaten</w:t>
      </w:r>
      <w:r w:rsidR="00BB2495">
        <w:t xml:space="preserve"> </w:t>
      </w:r>
      <w:r>
        <w:t>gemäß Artikel 3 und Artikel 6 Absatz 2 der vorliegenden</w:t>
      </w:r>
      <w:r w:rsidR="00BB2495">
        <w:t xml:space="preserve"> </w:t>
      </w:r>
      <w:r>
        <w:t>Entscheidung und Artikel 21 der Richtlinie 2003/87/EG des Europäischen Parlaments und des Rates vom 13.</w:t>
      </w:r>
      <w:r w:rsidR="00BB2495">
        <w:t xml:space="preserve"> </w:t>
      </w:r>
      <w:r>
        <w:t>Oktober 2003 über ein System für den Handel mit Treibhausgasemissionszertifikaten</w:t>
      </w:r>
      <w:r w:rsidR="00BB2495">
        <w:t xml:space="preserve"> </w:t>
      </w:r>
      <w:r>
        <w:t>in der Gemeinschaft</w:t>
      </w:r>
      <w:r w:rsidR="00BB2495">
        <w:rPr>
          <w:rStyle w:val="Funotenzeichen"/>
        </w:rPr>
        <w:footnoteReference w:id="7"/>
      </w:r>
      <w:r w:rsidR="00BB2495">
        <w:t xml:space="preserve"> </w:t>
      </w:r>
      <w:r>
        <w:t>vorgelegten</w:t>
      </w:r>
      <w:r w:rsidR="00BB2495">
        <w:t xml:space="preserve"> </w:t>
      </w:r>
      <w:r>
        <w:t>Informati</w:t>
      </w:r>
      <w:r>
        <w:t>o</w:t>
      </w:r>
      <w:r>
        <w:t>nen berücksichtigt.</w:t>
      </w:r>
    </w:p>
    <w:p w:rsidR="00E544D7" w:rsidRDefault="00E544D7" w:rsidP="00E544D7">
      <w:pPr>
        <w:pStyle w:val="GesAbsatz"/>
      </w:pPr>
      <w:r>
        <w:t>In die Bewertung werden außerdem alle zwei Jahre die</w:t>
      </w:r>
      <w:r w:rsidR="00BB2495">
        <w:t xml:space="preserve"> </w:t>
      </w:r>
      <w:r>
        <w:t>Vorausschätzungen über die Fortschritte der G</w:t>
      </w:r>
      <w:r>
        <w:t>e</w:t>
      </w:r>
      <w:r>
        <w:t>meinschaft und</w:t>
      </w:r>
      <w:r w:rsidR="00BB2495">
        <w:t xml:space="preserve"> </w:t>
      </w:r>
      <w:r>
        <w:t>ihrer Mitgliedstaaten bei der Erfüllung ihrer Verpflichtungen</w:t>
      </w:r>
      <w:r w:rsidR="00BB2495">
        <w:t xml:space="preserve"> </w:t>
      </w:r>
      <w:r>
        <w:t>nach dem UNFCCC und dem Kyoto-Protokoll einbezogen.</w:t>
      </w:r>
    </w:p>
    <w:p w:rsidR="00E544D7" w:rsidRDefault="00E544D7" w:rsidP="00E544D7">
      <w:pPr>
        <w:pStyle w:val="GesAbsatz"/>
      </w:pPr>
      <w:r>
        <w:t>(2) Aufgrund der Bewertung nach Absatz 1 legt die</w:t>
      </w:r>
      <w:r w:rsidR="00BB2495">
        <w:t xml:space="preserve"> </w:t>
      </w:r>
      <w:r>
        <w:t>Kommission dem Europäischen Parlament und dem Rat</w:t>
      </w:r>
      <w:r w:rsidR="00BB2495">
        <w:t xml:space="preserve"> </w:t>
      </w:r>
      <w:r>
        <w:t>jährlich einen Bericht vor.</w:t>
      </w:r>
    </w:p>
    <w:p w:rsidR="00E544D7" w:rsidRDefault="00E544D7" w:rsidP="00E544D7">
      <w:pPr>
        <w:pStyle w:val="GesAbsatz"/>
      </w:pPr>
      <w:r>
        <w:t>Dieser Bericht enthält Abschnitte über tatsächliche und prognostizierte</w:t>
      </w:r>
      <w:r w:rsidR="00BB2495">
        <w:t xml:space="preserve"> </w:t>
      </w:r>
      <w:r>
        <w:t>Emissionen aus Quellen, über die Speicherung in</w:t>
      </w:r>
      <w:r w:rsidR="00BB2495">
        <w:t xml:space="preserve"> </w:t>
      </w:r>
      <w:r>
        <w:t>Senken sowie über Politiken und Maßnahmen und die Nutzung</w:t>
      </w:r>
      <w:r w:rsidR="00BB2495">
        <w:t xml:space="preserve"> </w:t>
      </w:r>
      <w:r>
        <w:t>der Mechanismen gemäß den Artikeln 6, 12 und 17 des Kyoto-Protokolls.</w:t>
      </w:r>
    </w:p>
    <w:p w:rsidR="00E544D7" w:rsidRDefault="00E544D7" w:rsidP="00E544D7">
      <w:pPr>
        <w:pStyle w:val="GesAbsatz"/>
      </w:pPr>
      <w:r>
        <w:t>(3) Die Kommission erarbeitet einen Bericht über die nachweisbaren</w:t>
      </w:r>
      <w:r w:rsidR="00BB2495">
        <w:t xml:space="preserve"> </w:t>
      </w:r>
      <w:r>
        <w:t>von der Gemeinschaft bis 2005 erzie</w:t>
      </w:r>
      <w:r>
        <w:t>l</w:t>
      </w:r>
      <w:r>
        <w:t>ten Fortschritte</w:t>
      </w:r>
      <w:r w:rsidR="00BB2495">
        <w:t xml:space="preserve"> </w:t>
      </w:r>
      <w:r>
        <w:t>und berücksichtigt dabei aktualisierte Informationen über Emissionsprognosen,</w:t>
      </w:r>
      <w:r w:rsidR="00BB2495">
        <w:t xml:space="preserve"> </w:t>
      </w:r>
      <w:r>
        <w:t>die gemäß den Durchführungsbestimmungen</w:t>
      </w:r>
      <w:r w:rsidR="00BB2495">
        <w:t xml:space="preserve"> </w:t>
      </w:r>
      <w:r>
        <w:t>nach Artikel 3 Absatz 3 von den Mitgliedstaaten bis zum 15.</w:t>
      </w:r>
      <w:r w:rsidR="00BB2495">
        <w:t xml:space="preserve"> </w:t>
      </w:r>
      <w:r>
        <w:t>Juni 2005 vorgelegt wurden, und übermittelt diesen Bericht</w:t>
      </w:r>
      <w:r w:rsidR="00BB2495">
        <w:t xml:space="preserve"> </w:t>
      </w:r>
      <w:r>
        <w:t>dem Sekretariat des UNFCCC spätestens bis zum 1. Jan</w:t>
      </w:r>
      <w:r>
        <w:t>u</w:t>
      </w:r>
      <w:r>
        <w:t>ar</w:t>
      </w:r>
      <w:r w:rsidR="00BB2495">
        <w:t> </w:t>
      </w:r>
      <w:r>
        <w:t>2006.</w:t>
      </w:r>
    </w:p>
    <w:p w:rsidR="00E544D7" w:rsidRDefault="00E544D7" w:rsidP="00E544D7">
      <w:pPr>
        <w:pStyle w:val="GesAbsatz"/>
      </w:pPr>
      <w:r>
        <w:t>(4) Jeder Mitgliedstaat erarbeitet einen Bericht über die nachweisbaren</w:t>
      </w:r>
      <w:r w:rsidR="00BB2495">
        <w:t xml:space="preserve"> </w:t>
      </w:r>
      <w:r>
        <w:t>von diesem Mitgliedstaat bis 2005 erzielten Fortschritte</w:t>
      </w:r>
      <w:r w:rsidR="00BB2495">
        <w:t xml:space="preserve"> </w:t>
      </w:r>
      <w:r>
        <w:t>und berücksichtigt dabei die Informationen, die gemäß</w:t>
      </w:r>
      <w:r w:rsidR="00BB2495">
        <w:t xml:space="preserve"> </w:t>
      </w:r>
      <w:r>
        <w:t>den Durchführungsbestimmu</w:t>
      </w:r>
      <w:r>
        <w:t>n</w:t>
      </w:r>
      <w:r>
        <w:t>gen nach Artikel 3 Absatz 3</w:t>
      </w:r>
      <w:r w:rsidR="00BB2495">
        <w:t xml:space="preserve"> </w:t>
      </w:r>
      <w:r>
        <w:t>vorgelegt wurden, und übermittelt diesen Bericht dem Sekretariat</w:t>
      </w:r>
      <w:r w:rsidR="00BB2495">
        <w:t xml:space="preserve"> </w:t>
      </w:r>
      <w:r>
        <w:t>des UNFCCC spätestens bis zum 1. Januar 2006.</w:t>
      </w:r>
    </w:p>
    <w:p w:rsidR="00E544D7" w:rsidRDefault="00E544D7" w:rsidP="00E544D7">
      <w:pPr>
        <w:pStyle w:val="GesAbsatz"/>
      </w:pPr>
      <w:r>
        <w:t>(5) Die Gemeinschaft und jeder Mitgliedstaat übermitteln</w:t>
      </w:r>
      <w:r w:rsidR="00BB2495">
        <w:t xml:space="preserve"> </w:t>
      </w:r>
      <w:r>
        <w:t>dem Sekretariat des UNFCCC nach Ablauf des in den Vereinbarungen</w:t>
      </w:r>
      <w:r w:rsidR="00BB2495">
        <w:t xml:space="preserve"> </w:t>
      </w:r>
      <w:r>
        <w:t>von Marrakesch festgelegten zusätzlichen Zeitraums zur</w:t>
      </w:r>
      <w:r w:rsidR="00BB2495">
        <w:t xml:space="preserve"> </w:t>
      </w:r>
      <w:r>
        <w:t>Erfüllung der Verpflichtungen einen Bericht über diesen Zeitraum.</w:t>
      </w:r>
    </w:p>
    <w:p w:rsidR="00E544D7" w:rsidRDefault="00E544D7" w:rsidP="00E544D7">
      <w:pPr>
        <w:pStyle w:val="GesAbsatz"/>
      </w:pPr>
      <w:r>
        <w:t>(6) Nach dem in Artikel 9 Absatz 2 genannten Verfahren</w:t>
      </w:r>
      <w:r w:rsidR="00BB2495">
        <w:t xml:space="preserve"> </w:t>
      </w:r>
      <w:r>
        <w:t>kann die Kommission Bestimmungen mit Anford</w:t>
      </w:r>
      <w:r>
        <w:t>e</w:t>
      </w:r>
      <w:r>
        <w:t>rungen an</w:t>
      </w:r>
      <w:r w:rsidR="00BB2495">
        <w:t xml:space="preserve"> </w:t>
      </w:r>
      <w:r>
        <w:t>die Berichterstattung über nachweisbare Fortschritte gemäß</w:t>
      </w:r>
      <w:r w:rsidR="00BB2495">
        <w:t xml:space="preserve"> </w:t>
      </w:r>
      <w:r>
        <w:t>Artikel 3 Absatz 2 des Kyoto-Protokolls und für die Berichterstattung</w:t>
      </w:r>
      <w:r w:rsidR="00BB2495">
        <w:t xml:space="preserve"> </w:t>
      </w:r>
      <w:r>
        <w:t>über den in den Vereinbarungen von Marrakesch festgelegten</w:t>
      </w:r>
      <w:r w:rsidR="00BB2495">
        <w:t xml:space="preserve"> </w:t>
      </w:r>
      <w:r>
        <w:t>z</w:t>
      </w:r>
      <w:r>
        <w:t>u</w:t>
      </w:r>
      <w:r>
        <w:t>sätzlichen Zeitraum zur Erfüllung der Verpflichtungen</w:t>
      </w:r>
      <w:r w:rsidR="00BB2495">
        <w:t xml:space="preserve"> </w:t>
      </w:r>
      <w:r>
        <w:t>erlassen.</w:t>
      </w:r>
    </w:p>
    <w:p w:rsidR="00E544D7" w:rsidRDefault="00E544D7" w:rsidP="00E544D7">
      <w:pPr>
        <w:pStyle w:val="GesAbsatz"/>
      </w:pPr>
      <w:r>
        <w:t>(7) Die Europäische Umweltagentur unterstützt die Kommission</w:t>
      </w:r>
      <w:r w:rsidR="00BB2495">
        <w:t xml:space="preserve"> </w:t>
      </w:r>
      <w:r>
        <w:t>gegebenenfalls bei der Umsetzung der A</w:t>
      </w:r>
      <w:r>
        <w:t>b</w:t>
      </w:r>
      <w:r>
        <w:t>sätze 1, 2 und 3</w:t>
      </w:r>
      <w:r w:rsidR="00BB2495">
        <w:t xml:space="preserve"> </w:t>
      </w:r>
      <w:r>
        <w:t>gemäß ihrem jährlichen Arbeitsprogramm.</w:t>
      </w:r>
    </w:p>
    <w:p w:rsidR="00E544D7" w:rsidRDefault="00E544D7" w:rsidP="00BB2495">
      <w:pPr>
        <w:pStyle w:val="berschrift2"/>
      </w:pPr>
      <w:bookmarkStart w:id="7" w:name="_Toc413409741"/>
      <w:r>
        <w:t>Artikel 6</w:t>
      </w:r>
      <w:r w:rsidR="00BB2495">
        <w:br/>
      </w:r>
      <w:r>
        <w:t>Nationale Register</w:t>
      </w:r>
      <w:bookmarkEnd w:id="7"/>
    </w:p>
    <w:p w:rsidR="00E544D7" w:rsidRDefault="00E544D7" w:rsidP="00E544D7">
      <w:pPr>
        <w:pStyle w:val="GesAbsatz"/>
      </w:pPr>
      <w:r>
        <w:t>(1) Die Gemeinschaft und ihre Mitgliedstaaten erstellen und</w:t>
      </w:r>
      <w:r w:rsidR="00BB2495">
        <w:t xml:space="preserve"> </w:t>
      </w:r>
      <w:r>
        <w:t>führen Register, um eine genaue Verbuchung von Vergabe,</w:t>
      </w:r>
      <w:r w:rsidR="00BB2495">
        <w:t xml:space="preserve"> </w:t>
      </w:r>
      <w:r>
        <w:t>Besitz, Übertragung, Erwerb, Löschung und Ausbuchung von</w:t>
      </w:r>
      <w:r w:rsidR="00BB2495">
        <w:t xml:space="preserve"> </w:t>
      </w:r>
      <w:r>
        <w:t>zugeteilten Mengen, Gutschri</w:t>
      </w:r>
      <w:r>
        <w:t>f</w:t>
      </w:r>
      <w:r>
        <w:t>ten aus Senken, Emissionsreduktionseinheiten</w:t>
      </w:r>
      <w:r w:rsidR="00BB2495">
        <w:t xml:space="preserve"> </w:t>
      </w:r>
      <w:r>
        <w:t>und zertifizierten Emissionsreduktionen sowie des</w:t>
      </w:r>
      <w:r w:rsidR="00BB2495">
        <w:t xml:space="preserve"> </w:t>
      </w:r>
      <w:r>
        <w:t>Übertrags von zugeteilten Mengen, Emissionsreduktionseinheiten</w:t>
      </w:r>
      <w:r w:rsidR="00BB2495">
        <w:t xml:space="preserve"> </w:t>
      </w:r>
      <w:r>
        <w:t>und zertifizierten Emissionsreduktionen zu gewäh</w:t>
      </w:r>
      <w:r>
        <w:t>r</w:t>
      </w:r>
      <w:r>
        <w:t>leisten.</w:t>
      </w:r>
      <w:r w:rsidR="00BB2495">
        <w:t xml:space="preserve"> </w:t>
      </w:r>
      <w:r>
        <w:t>In diese Register werden auch Register einbezogen, die</w:t>
      </w:r>
      <w:r w:rsidR="00BB2495">
        <w:t xml:space="preserve"> </w:t>
      </w:r>
      <w:r>
        <w:t>gemäß Artikel 19 der Richtlinie 2003/87/EG erstellt wurden;</w:t>
      </w:r>
      <w:r w:rsidR="00BB2495">
        <w:t xml:space="preserve"> </w:t>
      </w:r>
      <w:r>
        <w:t>hierfür gelten die nach dem in Artikel 9 Absatz 2 der vorliegenden</w:t>
      </w:r>
      <w:r w:rsidR="00BB2495">
        <w:t xml:space="preserve"> </w:t>
      </w:r>
      <w:r>
        <w:t>Entscheidung genannten Verfahren erlassenen Bestimmungen.</w:t>
      </w:r>
    </w:p>
    <w:p w:rsidR="00E544D7" w:rsidRDefault="00E544D7" w:rsidP="00E544D7">
      <w:pPr>
        <w:pStyle w:val="GesAbsatz"/>
      </w:pPr>
      <w:r>
        <w:lastRenderedPageBreak/>
        <w:t>Die Gemeinschaft und die Mitgliedstaaten können ihre Register</w:t>
      </w:r>
      <w:r w:rsidR="00BB2495">
        <w:t xml:space="preserve"> </w:t>
      </w:r>
      <w:r>
        <w:t>gemeinsam mit einem oder mehreren Mi</w:t>
      </w:r>
      <w:r>
        <w:t>t</w:t>
      </w:r>
      <w:r>
        <w:t>gliedstaaten in einem</w:t>
      </w:r>
      <w:r w:rsidR="00BB2495">
        <w:t xml:space="preserve"> </w:t>
      </w:r>
      <w:r>
        <w:t>konsolidierten System führen.</w:t>
      </w:r>
    </w:p>
    <w:p w:rsidR="00E544D7" w:rsidRDefault="00E544D7" w:rsidP="00E544D7">
      <w:pPr>
        <w:pStyle w:val="GesAbsatz"/>
      </w:pPr>
      <w:r>
        <w:t>(2) Die in Absatz 1 Satz 1 genannten Elemente werden dem</w:t>
      </w:r>
      <w:r w:rsidR="00BB2495">
        <w:t xml:space="preserve"> </w:t>
      </w:r>
      <w:r>
        <w:t>gemäß Artikel 20 der Richtlinie 2003/87/EG benannten</w:t>
      </w:r>
      <w:r w:rsidR="00BB2495">
        <w:t xml:space="preserve"> </w:t>
      </w:r>
      <w:r>
        <w:t>Zentralverwalter zur Verfügung gestellt.</w:t>
      </w:r>
    </w:p>
    <w:p w:rsidR="00E544D7" w:rsidRDefault="00E544D7" w:rsidP="00BB2495">
      <w:pPr>
        <w:pStyle w:val="berschrift2"/>
      </w:pPr>
      <w:bookmarkStart w:id="8" w:name="_Toc413409742"/>
      <w:r>
        <w:t>Artikel 7</w:t>
      </w:r>
      <w:r w:rsidR="00BB2495">
        <w:br/>
      </w:r>
      <w:r>
        <w:t>Zugeteilte Menge</w:t>
      </w:r>
      <w:bookmarkEnd w:id="8"/>
    </w:p>
    <w:p w:rsidR="00E544D7" w:rsidRDefault="00E544D7" w:rsidP="00E544D7">
      <w:pPr>
        <w:pStyle w:val="GesAbsatz"/>
      </w:pPr>
      <w:r>
        <w:t>(1) Die Gemeinschaft und jeder Mitgliedstaat unterbreiten</w:t>
      </w:r>
      <w:r w:rsidR="00BB2495">
        <w:t xml:space="preserve"> </w:t>
      </w:r>
      <w:r>
        <w:t>dem Sekretariat des UNFCCC spätestens bis zum 31. Dezember</w:t>
      </w:r>
      <w:r w:rsidR="00BB2495">
        <w:t xml:space="preserve"> </w:t>
      </w:r>
      <w:r>
        <w:t>2006 jeweils einen Bericht über die Festlegung der ihnen zugeteilten</w:t>
      </w:r>
      <w:r w:rsidR="00BB2495">
        <w:t xml:space="preserve"> </w:t>
      </w:r>
      <w:r>
        <w:t>Menge in Höhe ihrer jeweiligen Emissionsmengen, die</w:t>
      </w:r>
      <w:r w:rsidR="00BB2495">
        <w:t xml:space="preserve"> </w:t>
      </w:r>
      <w:r>
        <w:t>nach Artikel 3 Absatz 1 der Entscheidung 2002/358/EG und</w:t>
      </w:r>
      <w:r w:rsidR="00BB2495">
        <w:t xml:space="preserve"> </w:t>
      </w:r>
      <w:r>
        <w:t>dem Kyoto-Protokoll ermittelt wurden. Die Mitgliedstaaten und</w:t>
      </w:r>
      <w:r w:rsidR="00BB2495">
        <w:t xml:space="preserve"> </w:t>
      </w:r>
      <w:r>
        <w:t>die Gemeinschaft bemühen sich, ihre Berichte gleichze</w:t>
      </w:r>
      <w:r>
        <w:t>i</w:t>
      </w:r>
      <w:r>
        <w:t>tig</w:t>
      </w:r>
      <w:r w:rsidR="00BB2495">
        <w:t xml:space="preserve"> </w:t>
      </w:r>
      <w:r>
        <w:t>vorzulegen.</w:t>
      </w:r>
    </w:p>
    <w:p w:rsidR="00E544D7" w:rsidRDefault="00E544D7" w:rsidP="00E544D7">
      <w:pPr>
        <w:pStyle w:val="GesAbsatz"/>
      </w:pPr>
      <w:r>
        <w:t>(2) Nach Abschluss der Prüfung ihrer nationalen Inventare</w:t>
      </w:r>
      <w:r w:rsidR="00BB2495">
        <w:t xml:space="preserve"> </w:t>
      </w:r>
      <w:r>
        <w:t>nach dem Kyoto-Protokoll für jedes Jahr des er</w:t>
      </w:r>
      <w:r>
        <w:t>s</w:t>
      </w:r>
      <w:r>
        <w:t>ten Verpflichtungszeitraums</w:t>
      </w:r>
      <w:r w:rsidR="00BB2495">
        <w:t xml:space="preserve"> </w:t>
      </w:r>
      <w:r>
        <w:t>des Kyoto-Protokolls, einschließlich der Lösung</w:t>
      </w:r>
      <w:r w:rsidR="00BB2495">
        <w:t xml:space="preserve"> </w:t>
      </w:r>
      <w:r>
        <w:t>etwaiger Fragen der Durchfü</w:t>
      </w:r>
      <w:r>
        <w:t>h</w:t>
      </w:r>
      <w:r>
        <w:t>rung, buchen die Mitgliedstaaten</w:t>
      </w:r>
      <w:r w:rsidR="00BB2495">
        <w:t xml:space="preserve"> </w:t>
      </w:r>
      <w:r>
        <w:t>zugeteilte Mengen, Gutschriften aus Senken, Emissionsreduktionseinhe</w:t>
      </w:r>
      <w:r>
        <w:t>i</w:t>
      </w:r>
      <w:r>
        <w:t>ten</w:t>
      </w:r>
      <w:r w:rsidR="00BB2495">
        <w:t xml:space="preserve"> </w:t>
      </w:r>
      <w:r>
        <w:t>und zertifizierte Emissionsreduktionen in Höhe</w:t>
      </w:r>
      <w:r w:rsidR="00BB2495">
        <w:t xml:space="preserve"> </w:t>
      </w:r>
      <w:r>
        <w:t>ihrer jeweiligen Nettoemissionen in dem betreffenden Jahr aus.</w:t>
      </w:r>
    </w:p>
    <w:p w:rsidR="00E544D7" w:rsidRDefault="00E544D7" w:rsidP="00E544D7">
      <w:pPr>
        <w:pStyle w:val="GesAbsatz"/>
      </w:pPr>
      <w:r>
        <w:t>Im Hinblick auf das letzte Jahr des Verpflichtungszeitraums</w:t>
      </w:r>
      <w:r w:rsidR="00BB2495">
        <w:t xml:space="preserve"> </w:t>
      </w:r>
      <w:r>
        <w:t>erfolgt die Ausbuchung vor dem Ende des in den Vereinbarungen</w:t>
      </w:r>
      <w:r w:rsidR="00BB2495">
        <w:t xml:space="preserve"> </w:t>
      </w:r>
      <w:r>
        <w:t>von Marrakesch festgelegten zusätzlichen Zeitraums zur</w:t>
      </w:r>
      <w:r w:rsidR="00BB2495">
        <w:t xml:space="preserve"> </w:t>
      </w:r>
      <w:r>
        <w:t>Erfüllung der Verpflichtungen.</w:t>
      </w:r>
    </w:p>
    <w:p w:rsidR="00E544D7" w:rsidRDefault="00E544D7" w:rsidP="00E544D7">
      <w:pPr>
        <w:pStyle w:val="GesAbsatz"/>
      </w:pPr>
      <w:r>
        <w:t>(3) Die Mitgliedstaaten vergeben zugeteilte Mengen in ihre</w:t>
      </w:r>
      <w:r w:rsidR="00BB2495">
        <w:t xml:space="preserve"> </w:t>
      </w:r>
      <w:r>
        <w:t>nationalen Register, die ihren Emissionsmengen entsprechen,</w:t>
      </w:r>
      <w:r w:rsidR="00BB2495">
        <w:t xml:space="preserve"> </w:t>
      </w:r>
      <w:r>
        <w:t>die gemäß der Entscheidung 2002/358/EG und dem Kyoto-Protokoll festgesetzt wurden.</w:t>
      </w:r>
    </w:p>
    <w:p w:rsidR="00E544D7" w:rsidRDefault="00E544D7" w:rsidP="006F27B0">
      <w:pPr>
        <w:pStyle w:val="berschrift2"/>
      </w:pPr>
      <w:bookmarkStart w:id="9" w:name="_Toc413409743"/>
      <w:r>
        <w:t>Artikel 8</w:t>
      </w:r>
      <w:r w:rsidR="006F27B0">
        <w:br/>
      </w:r>
      <w:r>
        <w:t>Verfahren im Rahmen des Kyoto-Protokolls</w:t>
      </w:r>
      <w:bookmarkEnd w:id="9"/>
    </w:p>
    <w:p w:rsidR="00E544D7" w:rsidRDefault="00E544D7" w:rsidP="00E544D7">
      <w:pPr>
        <w:pStyle w:val="GesAbsatz"/>
      </w:pPr>
      <w:r>
        <w:t>(1) Die Mitgliedstaaten und die Gemeinschaft gewährleisten</w:t>
      </w:r>
      <w:r w:rsidR="006F27B0">
        <w:t xml:space="preserve"> </w:t>
      </w:r>
      <w:r>
        <w:t>eine umfassende und effektive Zusammenarbeit und Koordinierung</w:t>
      </w:r>
      <w:r w:rsidR="006F27B0">
        <w:t xml:space="preserve"> </w:t>
      </w:r>
      <w:r>
        <w:t>miteinander in Bezug auf die Verpflichtungen nach dieser</w:t>
      </w:r>
      <w:r w:rsidR="006F27B0">
        <w:t xml:space="preserve"> </w:t>
      </w:r>
      <w:r>
        <w:t>Entscheidung bei:</w:t>
      </w:r>
    </w:p>
    <w:p w:rsidR="00E544D7" w:rsidRDefault="00E544D7" w:rsidP="000272E7">
      <w:pPr>
        <w:pStyle w:val="GesAbsatz"/>
        <w:ind w:left="426" w:hanging="426"/>
      </w:pPr>
      <w:r>
        <w:t>a)</w:t>
      </w:r>
      <w:r w:rsidR="006F27B0">
        <w:tab/>
      </w:r>
      <w:r>
        <w:t>der Erstellung des Treibhausgasinventars der Gemeinschaft</w:t>
      </w:r>
      <w:r w:rsidR="006F27B0">
        <w:t xml:space="preserve"> </w:t>
      </w:r>
      <w:r>
        <w:t>und des Berichts über das Treibhausga</w:t>
      </w:r>
      <w:r>
        <w:t>s</w:t>
      </w:r>
      <w:r>
        <w:t>inventar der Gemeinschaft</w:t>
      </w:r>
      <w:r w:rsidR="006F27B0">
        <w:t xml:space="preserve"> </w:t>
      </w:r>
      <w:r>
        <w:t>gemäß Artikel 4 Absatz 1,</w:t>
      </w:r>
    </w:p>
    <w:p w:rsidR="00E544D7" w:rsidRDefault="00E544D7" w:rsidP="000272E7">
      <w:pPr>
        <w:pStyle w:val="GesAbsatz"/>
        <w:ind w:left="426" w:hanging="426"/>
      </w:pPr>
      <w:r>
        <w:t>b)</w:t>
      </w:r>
      <w:r w:rsidR="000272E7">
        <w:tab/>
      </w:r>
      <w:r>
        <w:t>Überprüfungs- und Einhaltungsverfahren nach dem Kyoto-Protokoll, gemäß den dazugehörigen ei</w:t>
      </w:r>
      <w:r>
        <w:t>n</w:t>
      </w:r>
      <w:r>
        <w:t>schlägigen</w:t>
      </w:r>
      <w:r w:rsidR="000272E7">
        <w:t xml:space="preserve"> </w:t>
      </w:r>
      <w:r>
        <w:t>Beschlüssen,</w:t>
      </w:r>
    </w:p>
    <w:p w:rsidR="00E544D7" w:rsidRDefault="00E544D7" w:rsidP="000272E7">
      <w:pPr>
        <w:pStyle w:val="GesAbsatz"/>
        <w:ind w:left="426" w:hanging="426"/>
      </w:pPr>
      <w:r>
        <w:t>c)</w:t>
      </w:r>
      <w:r w:rsidR="000272E7">
        <w:tab/>
      </w:r>
      <w:r>
        <w:t>etwaigen Anpassungen im Rahmen des UNFCC-Überprüfungsprozesses</w:t>
      </w:r>
      <w:r w:rsidR="000272E7">
        <w:t xml:space="preserve"> </w:t>
      </w:r>
      <w:r>
        <w:t>oder anderen Änderungen der Inventare und</w:t>
      </w:r>
      <w:r w:rsidR="000272E7">
        <w:t xml:space="preserve"> </w:t>
      </w:r>
      <w:r>
        <w:t>Berichte über die Inventare, die beim Sekretariat des</w:t>
      </w:r>
      <w:r w:rsidR="000272E7">
        <w:t xml:space="preserve"> </w:t>
      </w:r>
      <w:r>
        <w:t xml:space="preserve">UNFCCC vorgelegt wurden </w:t>
      </w:r>
      <w:r>
        <w:t>o</w:t>
      </w:r>
      <w:r>
        <w:t>der vorzulegen sind,</w:t>
      </w:r>
    </w:p>
    <w:p w:rsidR="00E544D7" w:rsidRDefault="00E544D7" w:rsidP="000272E7">
      <w:pPr>
        <w:pStyle w:val="GesAbsatz"/>
        <w:ind w:left="426" w:hanging="426"/>
      </w:pPr>
      <w:r>
        <w:t>d)</w:t>
      </w:r>
      <w:r w:rsidR="000272E7">
        <w:tab/>
      </w:r>
      <w:r>
        <w:t>der Ausarbeitung des Berichts der Gemeinschaft und der</w:t>
      </w:r>
      <w:r w:rsidR="000272E7">
        <w:t xml:space="preserve"> </w:t>
      </w:r>
      <w:r>
        <w:t>Berichte der Mitgliedstaaten über nachwei</w:t>
      </w:r>
      <w:r>
        <w:t>s</w:t>
      </w:r>
      <w:r>
        <w:t>bare Fortschritte</w:t>
      </w:r>
      <w:r w:rsidR="000272E7">
        <w:t xml:space="preserve"> </w:t>
      </w:r>
      <w:r>
        <w:t>bis 2005 gemäß Artikel 5 Absätze 3 und 4,</w:t>
      </w:r>
    </w:p>
    <w:p w:rsidR="00E544D7" w:rsidRDefault="00E544D7" w:rsidP="000272E7">
      <w:pPr>
        <w:pStyle w:val="GesAbsatz"/>
        <w:ind w:left="426" w:hanging="426"/>
      </w:pPr>
      <w:r>
        <w:t>e)</w:t>
      </w:r>
      <w:r w:rsidR="000272E7">
        <w:tab/>
      </w:r>
      <w:r>
        <w:t>der Vorbereitung und Vorlage des in Artikel 7 Absatz 1</w:t>
      </w:r>
      <w:r w:rsidR="000272E7">
        <w:t xml:space="preserve"> </w:t>
      </w:r>
      <w:r>
        <w:t>genannten Berichts und</w:t>
      </w:r>
    </w:p>
    <w:p w:rsidR="00E544D7" w:rsidRDefault="00E544D7" w:rsidP="000272E7">
      <w:pPr>
        <w:pStyle w:val="GesAbsatz"/>
        <w:ind w:left="426" w:hanging="426"/>
      </w:pPr>
      <w:r>
        <w:t>f)</w:t>
      </w:r>
      <w:r w:rsidR="000272E7">
        <w:tab/>
      </w:r>
      <w:r>
        <w:t>der Berichterstattung im Hinblick auf den in den Vereinbarungen</w:t>
      </w:r>
      <w:r w:rsidR="000272E7">
        <w:t xml:space="preserve"> </w:t>
      </w:r>
      <w:r>
        <w:t>von Marrakesch festgelegten zusätzl</w:t>
      </w:r>
      <w:r>
        <w:t>i</w:t>
      </w:r>
      <w:r>
        <w:t>chen Zeitraum</w:t>
      </w:r>
      <w:r w:rsidR="000272E7">
        <w:t xml:space="preserve"> </w:t>
      </w:r>
      <w:r>
        <w:t>zur Erfüllung der Verpflichtungen gemäß Artikel 5 Absätze</w:t>
      </w:r>
      <w:r w:rsidR="000272E7">
        <w:t xml:space="preserve"> </w:t>
      </w:r>
      <w:r>
        <w:t>5 und 6.</w:t>
      </w:r>
    </w:p>
    <w:p w:rsidR="00E544D7" w:rsidRDefault="00E544D7" w:rsidP="00E544D7">
      <w:pPr>
        <w:pStyle w:val="GesAbsatz"/>
      </w:pPr>
      <w:r>
        <w:t>(2) Die Mitgliedstaaten übermitteln dem Sekretariat des</w:t>
      </w:r>
      <w:r w:rsidR="000272E7">
        <w:t xml:space="preserve"> </w:t>
      </w:r>
      <w:r>
        <w:t>UNFCCC jedes Jahr bis zum 15. April nationale Inventare und</w:t>
      </w:r>
      <w:r w:rsidR="000272E7">
        <w:t xml:space="preserve"> </w:t>
      </w:r>
      <w:r>
        <w:t>liefern darin die gleichen Informationen, die auch gemäß</w:t>
      </w:r>
      <w:r w:rsidR="000272E7">
        <w:t xml:space="preserve"> </w:t>
      </w:r>
      <w:r>
        <w:t>Artikel 3 Absatz 1 vorzulegen sind, es sei denn, der Kommission</w:t>
      </w:r>
      <w:r w:rsidR="000272E7">
        <w:t xml:space="preserve"> </w:t>
      </w:r>
      <w:r>
        <w:t>wurden spätestens bis 15. März des betreffenden Jahres</w:t>
      </w:r>
      <w:r w:rsidR="000272E7">
        <w:t xml:space="preserve"> </w:t>
      </w:r>
      <w:r>
        <w:t>Informationen über die Beseitigung von Unstimmigkeiten oder</w:t>
      </w:r>
      <w:r w:rsidR="000272E7">
        <w:t xml:space="preserve"> </w:t>
      </w:r>
      <w:r>
        <w:t>Lücken übermittelt.</w:t>
      </w:r>
    </w:p>
    <w:p w:rsidR="00E544D7" w:rsidRDefault="00E544D7" w:rsidP="00E544D7">
      <w:pPr>
        <w:pStyle w:val="GesAbsatz"/>
      </w:pPr>
      <w:r>
        <w:t>(3) Nach dem in Artikel 9 Absatz 2 genannten Verfahren</w:t>
      </w:r>
      <w:r w:rsidR="000272E7">
        <w:t xml:space="preserve"> </w:t>
      </w:r>
      <w:r>
        <w:t>kann die Kommission Verfahren und Zeitpläne für diese</w:t>
      </w:r>
      <w:r w:rsidR="000272E7">
        <w:t xml:space="preserve"> </w:t>
      </w:r>
      <w:r>
        <w:t>Zusammenarbeit und Koordinierung festlegen.</w:t>
      </w:r>
    </w:p>
    <w:p w:rsidR="00E544D7" w:rsidRDefault="00E544D7" w:rsidP="000272E7">
      <w:pPr>
        <w:pStyle w:val="berschrift2"/>
      </w:pPr>
      <w:bookmarkStart w:id="10" w:name="_Toc413409744"/>
      <w:r>
        <w:t>Artikel 9</w:t>
      </w:r>
      <w:r w:rsidR="000272E7">
        <w:br/>
      </w:r>
      <w:r>
        <w:t>Ausschuss</w:t>
      </w:r>
      <w:bookmarkEnd w:id="10"/>
    </w:p>
    <w:p w:rsidR="00E544D7" w:rsidRDefault="00E544D7" w:rsidP="00E544D7">
      <w:pPr>
        <w:pStyle w:val="GesAbsatz"/>
      </w:pPr>
      <w:r>
        <w:t>(1) Die Kommission wird von einem „Ausschuss für</w:t>
      </w:r>
      <w:r w:rsidR="000272E7">
        <w:t xml:space="preserve"> </w:t>
      </w:r>
      <w:r>
        <w:t>Klimaänderung“ unterstützt.</w:t>
      </w:r>
    </w:p>
    <w:p w:rsidR="00E544D7" w:rsidRDefault="00E544D7" w:rsidP="00E544D7">
      <w:pPr>
        <w:pStyle w:val="GesAbsatz"/>
      </w:pPr>
      <w:r>
        <w:t>(2) Wird auf diesen Absatz Bezug genommen, so gelten die</w:t>
      </w:r>
      <w:r w:rsidR="000272E7">
        <w:t xml:space="preserve"> </w:t>
      </w:r>
      <w:r>
        <w:t>Artikel 5 und 7 des Beschlusses 1999/468/EG unter Beachtung</w:t>
      </w:r>
      <w:r w:rsidR="000272E7">
        <w:t xml:space="preserve"> </w:t>
      </w:r>
      <w:r>
        <w:t>von dessen Artikel 8.</w:t>
      </w:r>
    </w:p>
    <w:p w:rsidR="00E544D7" w:rsidRDefault="00E544D7" w:rsidP="00E544D7">
      <w:pPr>
        <w:pStyle w:val="GesAbsatz"/>
      </w:pPr>
      <w:r>
        <w:t>Der Zeitraum nach Artikel 5 Absatz 6 des Beschlusses 1999/468/EG wird auf drei Monate festgesetzt.</w:t>
      </w:r>
    </w:p>
    <w:p w:rsidR="00E544D7" w:rsidRDefault="00E544D7" w:rsidP="00E544D7">
      <w:pPr>
        <w:pStyle w:val="GesAbsatz"/>
      </w:pPr>
      <w:r>
        <w:t>(3) Der Ausschuss für Klimaänderung gibt sich eine</w:t>
      </w:r>
      <w:r w:rsidR="000272E7">
        <w:t xml:space="preserve"> </w:t>
      </w:r>
      <w:r>
        <w:t>Geschäftsordnung.</w:t>
      </w:r>
    </w:p>
    <w:p w:rsidR="00E544D7" w:rsidRDefault="00E544D7" w:rsidP="000272E7">
      <w:pPr>
        <w:pStyle w:val="berschrift2"/>
      </w:pPr>
      <w:bookmarkStart w:id="11" w:name="_Toc413409745"/>
      <w:r>
        <w:lastRenderedPageBreak/>
        <w:t>Artikel 10</w:t>
      </w:r>
      <w:r w:rsidR="000272E7">
        <w:br/>
      </w:r>
      <w:r>
        <w:t>Weitere Maßnahmen</w:t>
      </w:r>
      <w:bookmarkEnd w:id="11"/>
    </w:p>
    <w:p w:rsidR="00E544D7" w:rsidRDefault="00E544D7" w:rsidP="00E544D7">
      <w:pPr>
        <w:pStyle w:val="GesAbsatz"/>
      </w:pPr>
      <w:r>
        <w:t>Nach Übermittlung des Berichts über nachweisbare Fortschritte</w:t>
      </w:r>
      <w:r w:rsidR="000272E7">
        <w:t xml:space="preserve"> </w:t>
      </w:r>
      <w:r>
        <w:t>bis 2005 gemäß Artikel 5 Absatz 3 prüft die Kommission,</w:t>
      </w:r>
      <w:r w:rsidR="000272E7">
        <w:t xml:space="preserve"> </w:t>
      </w:r>
      <w:r>
        <w:t>inwieweit die Gemeinschaft und ihre Mitgliedstaaten Fortschritte</w:t>
      </w:r>
      <w:r w:rsidR="000272E7">
        <w:t xml:space="preserve"> </w:t>
      </w:r>
      <w:r>
        <w:t>bei der Erreichung ihrer g</w:t>
      </w:r>
      <w:r>
        <w:t>e</w:t>
      </w:r>
      <w:r>
        <w:t>mäß der Entscheidung</w:t>
      </w:r>
      <w:r w:rsidR="000272E7">
        <w:t xml:space="preserve"> </w:t>
      </w:r>
      <w:r>
        <w:t>2002/358/EG und dem Kyoto-Protokoll festgelegten Emissionsmengen</w:t>
      </w:r>
      <w:r w:rsidR="000272E7">
        <w:t xml:space="preserve"> </w:t>
      </w:r>
      <w:r>
        <w:t>erzielt haben und inwieweit sie ihre Verpflichtungen</w:t>
      </w:r>
      <w:r w:rsidR="000272E7">
        <w:t xml:space="preserve"> </w:t>
      </w:r>
      <w:r>
        <w:t>nach dem Kyoto-Protokoll erfüllen. Aufgrund dieser Bewertung</w:t>
      </w:r>
      <w:r w:rsidR="000272E7">
        <w:t xml:space="preserve"> </w:t>
      </w:r>
      <w:r>
        <w:t>kann die Kommission dem Europäischen Parlament und dem</w:t>
      </w:r>
      <w:r w:rsidR="000272E7">
        <w:t xml:space="preserve"> </w:t>
      </w:r>
      <w:r>
        <w:t>Rat geeignete Vorschläge vorlegen, um zu gewäh</w:t>
      </w:r>
      <w:r>
        <w:t>r</w:t>
      </w:r>
      <w:r>
        <w:t>leisten, dass</w:t>
      </w:r>
      <w:r w:rsidR="000272E7">
        <w:t xml:space="preserve"> </w:t>
      </w:r>
      <w:r>
        <w:t>die Gemeinschaft und ihre Mitgliedstaaten ihre Emissionsmengen</w:t>
      </w:r>
      <w:r w:rsidR="000272E7">
        <w:t xml:space="preserve"> </w:t>
      </w:r>
      <w:r>
        <w:t>einhalten und alle ihre Ve</w:t>
      </w:r>
      <w:r>
        <w:t>r</w:t>
      </w:r>
      <w:r>
        <w:t>pflichtungen nach dem</w:t>
      </w:r>
      <w:r w:rsidR="000272E7">
        <w:t xml:space="preserve"> </w:t>
      </w:r>
      <w:r>
        <w:t>Kyoto-Protokoll erfüllen.</w:t>
      </w:r>
    </w:p>
    <w:p w:rsidR="00E544D7" w:rsidRDefault="00E544D7" w:rsidP="000272E7">
      <w:pPr>
        <w:pStyle w:val="berschrift2"/>
      </w:pPr>
      <w:bookmarkStart w:id="12" w:name="_Toc413409746"/>
      <w:r>
        <w:t>Artikel 11</w:t>
      </w:r>
      <w:r w:rsidR="000272E7">
        <w:br/>
      </w:r>
      <w:r>
        <w:t>Aufhebung</w:t>
      </w:r>
      <w:bookmarkEnd w:id="12"/>
    </w:p>
    <w:p w:rsidR="00E544D7" w:rsidRDefault="00E544D7" w:rsidP="00E544D7">
      <w:pPr>
        <w:pStyle w:val="GesAbsatz"/>
      </w:pPr>
      <w:r>
        <w:t>Die Entscheidung 93/389/EWG wird aufgehoben.</w:t>
      </w:r>
    </w:p>
    <w:p w:rsidR="00E544D7" w:rsidRDefault="00E544D7" w:rsidP="00E544D7">
      <w:pPr>
        <w:pStyle w:val="GesAbsatz"/>
      </w:pPr>
      <w:r>
        <w:t>Bezugnahmen auf die aufgehobene Entscheidung gelten als</w:t>
      </w:r>
      <w:r w:rsidR="000272E7">
        <w:t xml:space="preserve"> </w:t>
      </w:r>
      <w:r>
        <w:t>Bezugnahmen auf die vorliegende Entsche</w:t>
      </w:r>
      <w:r>
        <w:t>i</w:t>
      </w:r>
      <w:r>
        <w:t>dung und sind nach</w:t>
      </w:r>
      <w:r w:rsidR="000272E7">
        <w:t xml:space="preserve"> </w:t>
      </w:r>
      <w:r>
        <w:t>der Entsprechungstabelle im Anhang zu lesen.</w:t>
      </w:r>
    </w:p>
    <w:p w:rsidR="00E544D7" w:rsidRDefault="00E544D7" w:rsidP="000272E7">
      <w:pPr>
        <w:pStyle w:val="berschrift2"/>
      </w:pPr>
      <w:bookmarkStart w:id="13" w:name="_Toc413409747"/>
      <w:r>
        <w:t>Artikel 12</w:t>
      </w:r>
      <w:r w:rsidR="000272E7">
        <w:br/>
      </w:r>
      <w:r>
        <w:t>Adressaten</w:t>
      </w:r>
      <w:bookmarkEnd w:id="13"/>
    </w:p>
    <w:p w:rsidR="00E544D7" w:rsidRDefault="00E544D7" w:rsidP="00E544D7">
      <w:pPr>
        <w:pStyle w:val="GesAbsatz"/>
      </w:pPr>
      <w:r>
        <w:t>Diese Entscheidung ist an die Mitgliedstaaten gerichtet.</w:t>
      </w:r>
    </w:p>
    <w:p w:rsidR="00AA554B" w:rsidRDefault="00AA554B" w:rsidP="00AA554B">
      <w:pPr>
        <w:pStyle w:val="GesAbsatz"/>
      </w:pPr>
      <w:bookmarkStart w:id="14" w:name="_Toc413409748"/>
    </w:p>
    <w:p w:rsidR="00E544D7" w:rsidRDefault="00E544D7" w:rsidP="000272E7">
      <w:pPr>
        <w:pStyle w:val="berschrift2"/>
        <w:jc w:val="left"/>
      </w:pPr>
      <w:r>
        <w:t>ANHANG</w:t>
      </w:r>
      <w:bookmarkEnd w:id="14"/>
    </w:p>
    <w:p w:rsidR="00E544D7" w:rsidRPr="000272E7" w:rsidRDefault="00E544D7" w:rsidP="000272E7">
      <w:pPr>
        <w:pStyle w:val="GesAbsatz"/>
        <w:jc w:val="center"/>
        <w:rPr>
          <w:b/>
        </w:rPr>
      </w:pPr>
      <w:r w:rsidRPr="000272E7">
        <w:rPr>
          <w:b/>
        </w:rPr>
        <w:t>Entsprechungstabelle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33"/>
      </w:tblGrid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Entscheidung 93/389/EWG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Vorliegende Entscheidung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1 </w:t>
            </w:r>
          </w:p>
        </w:tc>
        <w:tc>
          <w:tcPr>
            <w:tcW w:w="463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1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  <w:bottom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2 Absatz 1 </w:t>
            </w:r>
          </w:p>
        </w:tc>
        <w:tc>
          <w:tcPr>
            <w:tcW w:w="4633" w:type="dxa"/>
            <w:tcBorders>
              <w:bottom w:val="nil"/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2 Absatz 1</w:t>
            </w:r>
          </w:p>
        </w:tc>
      </w:tr>
      <w:tr w:rsidR="000272E7" w:rsidRPr="000272E7" w:rsidTr="00205482">
        <w:tc>
          <w:tcPr>
            <w:tcW w:w="28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2 Absatz 2 </w:t>
            </w:r>
          </w:p>
        </w:tc>
        <w:tc>
          <w:tcPr>
            <w:tcW w:w="46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2 Absatz 1 und Artikel 3 Absatz 2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  <w:bottom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3 Absatz 1 </w:t>
            </w:r>
          </w:p>
        </w:tc>
        <w:tc>
          <w:tcPr>
            <w:tcW w:w="4633" w:type="dxa"/>
            <w:tcBorders>
              <w:bottom w:val="nil"/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3 Absatz 1 und Artikel 3 Absatz 3</w:t>
            </w:r>
          </w:p>
        </w:tc>
      </w:tr>
      <w:tr w:rsidR="000272E7" w:rsidRPr="000272E7" w:rsidTr="00205482">
        <w:tc>
          <w:tcPr>
            <w:tcW w:w="2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3 Absatz 2 </w:t>
            </w:r>
          </w:p>
        </w:tc>
        <w:tc>
          <w:tcPr>
            <w:tcW w:w="46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3 Absatz 1 und Artikel 4 Absatz 2</w:t>
            </w:r>
          </w:p>
        </w:tc>
      </w:tr>
      <w:tr w:rsidR="000272E7" w:rsidRPr="000272E7" w:rsidTr="00205482">
        <w:tc>
          <w:tcPr>
            <w:tcW w:w="2802" w:type="dxa"/>
            <w:tcBorders>
              <w:top w:val="nil"/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3 Absatz 3 </w:t>
            </w:r>
          </w:p>
        </w:tc>
        <w:tc>
          <w:tcPr>
            <w:tcW w:w="4633" w:type="dxa"/>
            <w:tcBorders>
              <w:top w:val="nil"/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4 Absatz 1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4 Artikel 3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Absatz 2, Artikel 3 Absatz 3, Artikel 5 Absatz 1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— </w:t>
            </w:r>
          </w:p>
        </w:tc>
        <w:tc>
          <w:tcPr>
            <w:tcW w:w="463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4 Absatz 3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  <w:bottom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5 Absätze 1 und 2 </w:t>
            </w:r>
          </w:p>
        </w:tc>
        <w:tc>
          <w:tcPr>
            <w:tcW w:w="4633" w:type="dxa"/>
            <w:tcBorders>
              <w:bottom w:val="nil"/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2 Absatz 3</w:t>
            </w:r>
          </w:p>
        </w:tc>
      </w:tr>
      <w:tr w:rsidR="000272E7" w:rsidRPr="000272E7" w:rsidTr="00205482">
        <w:tc>
          <w:tcPr>
            <w:tcW w:w="2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5 Absatz 3 </w:t>
            </w:r>
          </w:p>
        </w:tc>
        <w:tc>
          <w:tcPr>
            <w:tcW w:w="46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5 Absatz 1</w:t>
            </w:r>
          </w:p>
        </w:tc>
      </w:tr>
      <w:tr w:rsidR="000272E7" w:rsidRPr="000272E7" w:rsidTr="00205482">
        <w:tc>
          <w:tcPr>
            <w:tcW w:w="2802" w:type="dxa"/>
            <w:tcBorders>
              <w:top w:val="nil"/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5 Absatz 4 </w:t>
            </w:r>
          </w:p>
        </w:tc>
        <w:tc>
          <w:tcPr>
            <w:tcW w:w="4633" w:type="dxa"/>
            <w:tcBorders>
              <w:top w:val="nil"/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5 Absatz 2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—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5 Absatz 3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6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5 Absatz 1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7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—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—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6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—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7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—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8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8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9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—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10</w:t>
            </w:r>
          </w:p>
        </w:tc>
      </w:tr>
      <w:tr w:rsidR="000272E7" w:rsidRPr="000272E7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lastRenderedPageBreak/>
              <w:t xml:space="preserve">—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11</w:t>
            </w:r>
          </w:p>
        </w:tc>
      </w:tr>
      <w:tr w:rsidR="000272E7" w:rsidRPr="00205482" w:rsidTr="00205482">
        <w:tc>
          <w:tcPr>
            <w:tcW w:w="2802" w:type="dxa"/>
            <w:tcBorders>
              <w:left w:val="nil"/>
            </w:tcBorders>
            <w:shd w:val="clear" w:color="auto" w:fill="auto"/>
          </w:tcPr>
          <w:p w:rsidR="000272E7" w:rsidRP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 xml:space="preserve">Artikel 9 </w:t>
            </w:r>
          </w:p>
        </w:tc>
        <w:tc>
          <w:tcPr>
            <w:tcW w:w="4633" w:type="dxa"/>
            <w:tcBorders>
              <w:right w:val="nil"/>
            </w:tcBorders>
            <w:shd w:val="clear" w:color="auto" w:fill="auto"/>
          </w:tcPr>
          <w:p w:rsidR="000272E7" w:rsidRDefault="000272E7" w:rsidP="00205482">
            <w:pPr>
              <w:pStyle w:val="GesAbsatz"/>
              <w:tabs>
                <w:tab w:val="clear" w:pos="425"/>
              </w:tabs>
            </w:pPr>
            <w:r w:rsidRPr="000272E7">
              <w:t>Artikel 12</w:t>
            </w:r>
          </w:p>
        </w:tc>
      </w:tr>
    </w:tbl>
    <w:p w:rsidR="00E544D7" w:rsidRDefault="00E544D7" w:rsidP="00E544D7">
      <w:pPr>
        <w:pStyle w:val="GesAbsatz"/>
      </w:pPr>
    </w:p>
    <w:sectPr w:rsidR="00E544D7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45" w:rsidRDefault="00913A45">
      <w:r>
        <w:separator/>
      </w:r>
    </w:p>
  </w:endnote>
  <w:endnote w:type="continuationSeparator" w:id="0">
    <w:p w:rsidR="00913A45" w:rsidRDefault="009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96" w:rsidRDefault="001E219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E2196" w:rsidRDefault="001E219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96" w:rsidRDefault="001E2196" w:rsidP="00AA554B">
    <w:pPr>
      <w:pStyle w:val="Fuzeile"/>
    </w:pPr>
    <w:r>
      <w:tab/>
      <w:t xml:space="preserve">Stand 11.02.2004 (ABl. L 49 </w:t>
    </w:r>
    <w:r w:rsidRPr="00AA554B">
      <w:t>vom</w:t>
    </w:r>
    <w:r>
      <w:t xml:space="preserve"> 19.02.2004 S. 1)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0455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45" w:rsidRDefault="00913A45">
      <w:r>
        <w:separator/>
      </w:r>
    </w:p>
  </w:footnote>
  <w:footnote w:type="continuationSeparator" w:id="0">
    <w:p w:rsidR="00913A45" w:rsidRDefault="00913A45">
      <w:r>
        <w:continuationSeparator/>
      </w:r>
    </w:p>
  </w:footnote>
  <w:footnote w:id="1">
    <w:p w:rsidR="001E2196" w:rsidRDefault="001E2196">
      <w:pPr>
        <w:pStyle w:val="Funotentext"/>
      </w:pPr>
      <w:r>
        <w:rPr>
          <w:rStyle w:val="Funotenzeichen"/>
        </w:rPr>
        <w:footnoteRef/>
      </w:r>
      <w:r>
        <w:t xml:space="preserve"> ABl. C 234 vom 30.9.2003, S. 51.</w:t>
      </w:r>
    </w:p>
  </w:footnote>
  <w:footnote w:id="2">
    <w:p w:rsidR="001E2196" w:rsidRDefault="001E2196">
      <w:pPr>
        <w:pStyle w:val="Funotentext"/>
      </w:pPr>
      <w:r>
        <w:rPr>
          <w:rStyle w:val="Funotenzeichen"/>
        </w:rPr>
        <w:footnoteRef/>
      </w:r>
      <w:r>
        <w:t xml:space="preserve"> Stellungnahme des Europäischen Parlaments vom 21. Oktober 2003 (noch nicht im Amtsblatt veröffentlicht) und Beschluss des Rates vom 26. Januar 2004.</w:t>
      </w:r>
    </w:p>
  </w:footnote>
  <w:footnote w:id="3">
    <w:p w:rsidR="001E2196" w:rsidRDefault="001E2196">
      <w:pPr>
        <w:pStyle w:val="Funotentext"/>
      </w:pPr>
      <w:r>
        <w:rPr>
          <w:rStyle w:val="Funotenzeichen"/>
        </w:rPr>
        <w:footnoteRef/>
      </w:r>
      <w:r>
        <w:t xml:space="preserve"> ABl. L 167 vom 9.7.1993, S. 31. Zuletzt geändert durch die Verordnung (EG) Nr. 1882/2003 des Europäischen Parlaments und des Rates (ABl. L 284 vom 31.10.2003, S. 1).</w:t>
      </w:r>
    </w:p>
  </w:footnote>
  <w:footnote w:id="4">
    <w:p w:rsidR="001E2196" w:rsidRDefault="001E2196">
      <w:pPr>
        <w:pStyle w:val="Funotentext"/>
      </w:pPr>
      <w:r>
        <w:rPr>
          <w:rStyle w:val="Funotenzeichen"/>
        </w:rPr>
        <w:footnoteRef/>
      </w:r>
      <w:r>
        <w:t xml:space="preserve"> ABl. L 33 vom 7.2.1994, S. 11.</w:t>
      </w:r>
    </w:p>
  </w:footnote>
  <w:footnote w:id="5">
    <w:p w:rsidR="001E2196" w:rsidRDefault="001E2196">
      <w:pPr>
        <w:pStyle w:val="Funotentext"/>
      </w:pPr>
      <w:r>
        <w:rPr>
          <w:rStyle w:val="Funotenzeichen"/>
        </w:rPr>
        <w:footnoteRef/>
      </w:r>
      <w:r>
        <w:t xml:space="preserve"> ABl. L 130 vom 15.5.2002, S. 1.</w:t>
      </w:r>
    </w:p>
  </w:footnote>
  <w:footnote w:id="6">
    <w:p w:rsidR="001E2196" w:rsidRDefault="001E2196">
      <w:pPr>
        <w:pStyle w:val="Funotentext"/>
      </w:pPr>
      <w:r>
        <w:rPr>
          <w:rStyle w:val="Funotenzeichen"/>
        </w:rPr>
        <w:footnoteRef/>
      </w:r>
      <w:r>
        <w:t xml:space="preserve"> ABl. L 184 vom 17.7.1999, S. 23.</w:t>
      </w:r>
    </w:p>
  </w:footnote>
  <w:footnote w:id="7">
    <w:p w:rsidR="001E2196" w:rsidRDefault="001E2196">
      <w:pPr>
        <w:pStyle w:val="Funotentext"/>
      </w:pPr>
      <w:r>
        <w:rPr>
          <w:rStyle w:val="Funotenzeichen"/>
        </w:rPr>
        <w:footnoteRef/>
      </w:r>
      <w:r>
        <w:t xml:space="preserve"> ABl. L 275 vom 25.10.2003, S. 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96" w:rsidRDefault="007214D6" w:rsidP="00AA554B">
    <w:pPr>
      <w:pStyle w:val="Kopfzeile0"/>
    </w:pPr>
    <w:r>
      <w:t>Archiv6.68</w:t>
    </w:r>
  </w:p>
  <w:p w:rsidR="001E2196" w:rsidRDefault="001E21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6F"/>
    <w:rsid w:val="00010786"/>
    <w:rsid w:val="0001451A"/>
    <w:rsid w:val="000272E7"/>
    <w:rsid w:val="000455F5"/>
    <w:rsid w:val="00062EAB"/>
    <w:rsid w:val="00077EF0"/>
    <w:rsid w:val="00093D90"/>
    <w:rsid w:val="000B208E"/>
    <w:rsid w:val="0013266F"/>
    <w:rsid w:val="00150B0A"/>
    <w:rsid w:val="001715DF"/>
    <w:rsid w:val="001C1083"/>
    <w:rsid w:val="001E2196"/>
    <w:rsid w:val="00205482"/>
    <w:rsid w:val="00243AFC"/>
    <w:rsid w:val="002B3267"/>
    <w:rsid w:val="002D5542"/>
    <w:rsid w:val="003114DF"/>
    <w:rsid w:val="00313F0C"/>
    <w:rsid w:val="00374A94"/>
    <w:rsid w:val="003A6E25"/>
    <w:rsid w:val="003B24A9"/>
    <w:rsid w:val="00404262"/>
    <w:rsid w:val="00406F32"/>
    <w:rsid w:val="00412824"/>
    <w:rsid w:val="00463F31"/>
    <w:rsid w:val="004964D0"/>
    <w:rsid w:val="004F2A9F"/>
    <w:rsid w:val="00557465"/>
    <w:rsid w:val="006242A7"/>
    <w:rsid w:val="0063668C"/>
    <w:rsid w:val="00666321"/>
    <w:rsid w:val="00697151"/>
    <w:rsid w:val="006D0AB0"/>
    <w:rsid w:val="006F27B0"/>
    <w:rsid w:val="006F7DCB"/>
    <w:rsid w:val="007214D6"/>
    <w:rsid w:val="007F5C17"/>
    <w:rsid w:val="008B789C"/>
    <w:rsid w:val="008D6200"/>
    <w:rsid w:val="00913A45"/>
    <w:rsid w:val="00963345"/>
    <w:rsid w:val="0098598C"/>
    <w:rsid w:val="00987EDC"/>
    <w:rsid w:val="00A810C5"/>
    <w:rsid w:val="00A95D02"/>
    <w:rsid w:val="00AA554B"/>
    <w:rsid w:val="00AB20F7"/>
    <w:rsid w:val="00B466D3"/>
    <w:rsid w:val="00BB2495"/>
    <w:rsid w:val="00CB568A"/>
    <w:rsid w:val="00D750EF"/>
    <w:rsid w:val="00D86C52"/>
    <w:rsid w:val="00DB2935"/>
    <w:rsid w:val="00DC1020"/>
    <w:rsid w:val="00DD0D5E"/>
    <w:rsid w:val="00E03BB2"/>
    <w:rsid w:val="00E544D7"/>
    <w:rsid w:val="00E751D6"/>
    <w:rsid w:val="00E83EE6"/>
    <w:rsid w:val="00EB5006"/>
    <w:rsid w:val="00F61E0B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554B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AA554B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AA554B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AA554B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AA554B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AA554B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AA554B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AA554B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AA554B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AA554B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AA554B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AA554B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AA554B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AA554B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AA554B"/>
    <w:rPr>
      <w:color w:val="0000FF"/>
      <w:u w:val="single"/>
    </w:rPr>
  </w:style>
  <w:style w:type="table" w:styleId="Tabellenraster">
    <w:name w:val="Table Grid"/>
    <w:basedOn w:val="NormaleTabelle"/>
    <w:rsid w:val="000272E7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ile0">
    <w:name w:val="Kopfzeile0"/>
    <w:basedOn w:val="Standard"/>
    <w:next w:val="Kopfzeile"/>
    <w:qFormat/>
    <w:rsid w:val="00AA554B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554B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AA554B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AA554B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AA554B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AA554B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AA554B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AA554B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AA554B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AA554B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AA554B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AA554B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AA554B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AA554B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AA554B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AA554B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AA554B"/>
    <w:rPr>
      <w:color w:val="0000FF"/>
      <w:u w:val="single"/>
    </w:rPr>
  </w:style>
  <w:style w:type="table" w:styleId="Tabellenraster">
    <w:name w:val="Table Grid"/>
    <w:basedOn w:val="NormaleTabelle"/>
    <w:rsid w:val="000272E7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ile0">
    <w:name w:val="Kopfzeile0"/>
    <w:basedOn w:val="Standard"/>
    <w:next w:val="Kopfzeile"/>
    <w:qFormat/>
    <w:rsid w:val="00AA554B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7745-9AAF-4D8A-88D8-BE7DE86E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9</Pages>
  <Words>3794</Words>
  <Characters>26548</Characters>
  <Application>Microsoft Office Word</Application>
  <DocSecurity>0</DocSecurity>
  <Lines>221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Entscheidung 280/2004/EG</vt:lpstr>
    </vt:vector>
  </TitlesOfParts>
  <Company>LANUV NRW</Company>
  <LinksUpToDate>false</LinksUpToDate>
  <CharactersWithSpaces>30282</CharactersWithSpaces>
  <SharedDoc>false</SharedDoc>
  <HLinks>
    <vt:vector size="84" baseType="variant">
      <vt:variant>
        <vt:i4>2031677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_Toc315939896</vt:lpwstr>
      </vt:variant>
      <vt:variant>
        <vt:i4>2031677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_Toc315939895</vt:lpwstr>
      </vt:variant>
      <vt:variant>
        <vt:i4>2031677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_Toc315939894</vt:lpwstr>
      </vt:variant>
      <vt:variant>
        <vt:i4>2031677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_Toc315939893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_Toc315939892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_Toc315939891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_Toc315939890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_Toc315939889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_Toc315939888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_Toc315939887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_Toc315939886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_Toc315939885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_Toc315939884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_Toc315939883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Entscheidung 280/2004/EG</dc:title>
  <dc:subject>Umsetzung des Kyoto-Protokolls</dc:subject>
  <dc:creator>Np</dc:creator>
  <cp:lastModifiedBy>rueter</cp:lastModifiedBy>
  <cp:revision>3</cp:revision>
  <cp:lastPrinted>2004-12-14T12:08:00Z</cp:lastPrinted>
  <dcterms:created xsi:type="dcterms:W3CDTF">2015-03-06T11:54:00Z</dcterms:created>
  <dcterms:modified xsi:type="dcterms:W3CDTF">2015-03-06T11:58:00Z</dcterms:modified>
</cp:coreProperties>
</file>