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CD" w:rsidRPr="006B5405" w:rsidRDefault="005644CD" w:rsidP="006B5405">
      <w:pPr>
        <w:pStyle w:val="berschrift1"/>
      </w:pPr>
      <w:bookmarkStart w:id="0" w:name="_Toc129501312"/>
      <w:r w:rsidRPr="006B5405">
        <w:t xml:space="preserve">Richtlinie des Rates </w:t>
      </w:r>
      <w:r w:rsidR="00824F5A" w:rsidRPr="006B5405">
        <w:t xml:space="preserve">85/203/EWG </w:t>
      </w:r>
      <w:r w:rsidRPr="006B5405">
        <w:t xml:space="preserve">vom 7. März 1985 über </w:t>
      </w:r>
      <w:r w:rsidR="00F7670F" w:rsidRPr="006B5405">
        <w:br/>
      </w:r>
      <w:r w:rsidRPr="006B5405">
        <w:t>Luftqualitätsnormen</w:t>
      </w:r>
      <w:bookmarkStart w:id="1" w:name="_GoBack"/>
      <w:bookmarkEnd w:id="1"/>
      <w:r w:rsidRPr="006B5405">
        <w:t xml:space="preserve"> für Stickstoffdioxid</w:t>
      </w:r>
      <w:bookmarkEnd w:id="0"/>
    </w:p>
    <w:p w:rsidR="005644CD" w:rsidRDefault="00330AE2">
      <w:pPr>
        <w:pStyle w:val="GesAbsatz"/>
        <w:rPr>
          <w:i/>
          <w:iCs/>
          <w:color w:val="FF0000"/>
        </w:rPr>
      </w:pPr>
      <w:r>
        <w:rPr>
          <w:i/>
          <w:iCs/>
          <w:color w:val="FF0000"/>
        </w:rPr>
        <w:t>Die</w:t>
      </w:r>
      <w:r w:rsidR="005644CD">
        <w:rPr>
          <w:i/>
          <w:iCs/>
          <w:color w:val="FF0000"/>
        </w:rPr>
        <w:t xml:space="preserve"> Richtlinie </w:t>
      </w:r>
      <w:r>
        <w:rPr>
          <w:i/>
          <w:iCs/>
          <w:color w:val="FF0000"/>
        </w:rPr>
        <w:t xml:space="preserve">85/203/EWG </w:t>
      </w:r>
      <w:r w:rsidR="005644CD">
        <w:rPr>
          <w:i/>
          <w:iCs/>
          <w:color w:val="FF0000"/>
        </w:rPr>
        <w:t xml:space="preserve">wird gemäß Art. 9 der RL 1999/30/EG </w:t>
      </w:r>
      <w:r w:rsidR="001B0189">
        <w:rPr>
          <w:i/>
          <w:iCs/>
          <w:color w:val="FF0000"/>
        </w:rPr>
        <w:t xml:space="preserve">mit </w:t>
      </w:r>
      <w:r w:rsidR="005644CD">
        <w:rPr>
          <w:i/>
          <w:iCs/>
          <w:color w:val="FF0000"/>
        </w:rPr>
        <w:t>Wirkung vom 19. Juli 2001 aufgeh</w:t>
      </w:r>
      <w:r w:rsidR="005644CD">
        <w:rPr>
          <w:i/>
          <w:iCs/>
          <w:color w:val="FF0000"/>
        </w:rPr>
        <w:t>o</w:t>
      </w:r>
      <w:r w:rsidR="005644CD">
        <w:rPr>
          <w:i/>
          <w:iCs/>
          <w:color w:val="FF0000"/>
        </w:rPr>
        <w:t>ben, ausgenommen Artikel 1 Absatz 1 erster Gedankenstrich, Artikel 1 Absatz 2, Artikel 2 erster Gedanke</w:t>
      </w:r>
      <w:r w:rsidR="005644CD">
        <w:rPr>
          <w:i/>
          <w:iCs/>
          <w:color w:val="FF0000"/>
        </w:rPr>
        <w:t>n</w:t>
      </w:r>
      <w:r w:rsidR="005644CD">
        <w:rPr>
          <w:i/>
          <w:iCs/>
          <w:color w:val="FF0000"/>
        </w:rPr>
        <w:t xml:space="preserve">strich, Artikel 3 Absatz 1, Artikel 5, Artikel 9, Artikel 15, Artikel 16 und Anhang 1, die mit Wirkung vom </w:t>
      </w:r>
      <w:r w:rsidR="005644CD" w:rsidRPr="00824F5A">
        <w:rPr>
          <w:i/>
          <w:iCs/>
          <w:color w:val="FF0000"/>
          <w:u w:val="single"/>
        </w:rPr>
        <w:t>1. J</w:t>
      </w:r>
      <w:r w:rsidR="005644CD" w:rsidRPr="00824F5A">
        <w:rPr>
          <w:i/>
          <w:iCs/>
          <w:color w:val="FF0000"/>
          <w:u w:val="single"/>
        </w:rPr>
        <w:t>a</w:t>
      </w:r>
      <w:r w:rsidR="005644CD" w:rsidRPr="00824F5A">
        <w:rPr>
          <w:i/>
          <w:iCs/>
          <w:color w:val="FF0000"/>
          <w:u w:val="single"/>
        </w:rPr>
        <w:t>nuar 2010</w:t>
      </w:r>
      <w:r w:rsidR="005644CD">
        <w:rPr>
          <w:i/>
          <w:iCs/>
          <w:color w:val="FF0000"/>
        </w:rPr>
        <w:t xml:space="preserve"> au</w:t>
      </w:r>
      <w:r w:rsidR="005644CD">
        <w:rPr>
          <w:i/>
          <w:iCs/>
          <w:color w:val="FF0000"/>
        </w:rPr>
        <w:t>f</w:t>
      </w:r>
      <w:r w:rsidR="00F7670F">
        <w:rPr>
          <w:i/>
          <w:iCs/>
          <w:color w:val="FF0000"/>
        </w:rPr>
        <w:t>gehoben werden.</w:t>
      </w:r>
    </w:p>
    <w:p w:rsidR="005644CD" w:rsidRDefault="005644CD">
      <w:pPr>
        <w:pStyle w:val="GesAbsatz"/>
      </w:pPr>
      <w:r w:rsidRPr="00A3618C">
        <w:rPr>
          <w:b/>
        </w:rPr>
        <w:t>Änderungen:</w:t>
      </w:r>
      <w:r>
        <w:t xml:space="preserve"> ABl.</w:t>
      </w:r>
      <w:r w:rsidR="00BE676E">
        <w:t xml:space="preserve"> </w:t>
      </w:r>
      <w:r>
        <w:t>EG vom 31.12.1985 Nr. L 372/36 (85/580/EWG), ABl.</w:t>
      </w:r>
      <w:r w:rsidR="00BE676E">
        <w:t xml:space="preserve"> </w:t>
      </w:r>
      <w:r>
        <w:t>EG vom 29.9.1990 Nr. L 267/37 (90/481/EWG); ABl.</w:t>
      </w:r>
      <w:r w:rsidR="00BE676E">
        <w:t xml:space="preserve"> </w:t>
      </w:r>
      <w:r>
        <w:t>EG vom 17.12.1990 Nr. L 353/59 (90/656/EWG); ABl.</w:t>
      </w:r>
      <w:r w:rsidR="00BE676E">
        <w:t xml:space="preserve"> </w:t>
      </w:r>
      <w:r>
        <w:t>EG vom 31.12.1991 Nr. L 377/48 (91/692/EWG); Abkommen über den Europäischen Wirtschaftsraum; Beitrittsakte Österreich, Finnland und Schweden; ABl.</w:t>
      </w:r>
      <w:r w:rsidR="00BE676E">
        <w:t xml:space="preserve"> </w:t>
      </w:r>
      <w:r>
        <w:t>EG vom 1.1.1995 Nr. L 1/1 (95/1/EG, Euratom, EGKS)</w:t>
      </w:r>
    </w:p>
    <w:p w:rsidR="006B5405" w:rsidRDefault="006B5405">
      <w:pPr>
        <w:pStyle w:val="GesAbsatz"/>
      </w:pPr>
    </w:p>
    <w:p w:rsidR="005644CD" w:rsidRPr="006B5405" w:rsidRDefault="005644CD" w:rsidP="006B5405">
      <w:pPr>
        <w:pStyle w:val="GesAbsatz"/>
        <w:jc w:val="center"/>
        <w:rPr>
          <w:b/>
          <w:sz w:val="22"/>
          <w:szCs w:val="22"/>
        </w:rPr>
      </w:pPr>
      <w:bookmarkStart w:id="2" w:name="_Toc129501313"/>
      <w:r w:rsidRPr="006B5405">
        <w:rPr>
          <w:b/>
          <w:sz w:val="22"/>
          <w:szCs w:val="22"/>
        </w:rPr>
        <w:t>Inhalt:</w:t>
      </w:r>
      <w:bookmarkEnd w:id="2"/>
    </w:p>
    <w:p w:rsidR="00824F5A" w:rsidRDefault="00824F5A">
      <w:pPr>
        <w:pStyle w:val="Verzeichnis1"/>
        <w:tabs>
          <w:tab w:val="clear" w:pos="9638"/>
          <w:tab w:val="right" w:leader="dot" w:pos="9628"/>
        </w:tabs>
        <w:rPr>
          <w:b w:val="0"/>
          <w:bCs/>
          <w:caps w:val="0"/>
          <w:noProof/>
          <w:sz w:val="24"/>
          <w:szCs w:val="24"/>
        </w:rPr>
      </w:pPr>
      <w:r>
        <w:rPr>
          <w:b w:val="0"/>
          <w:bCs/>
          <w:caps w:val="0"/>
        </w:rPr>
        <w:fldChar w:fldCharType="begin"/>
      </w:r>
      <w:r>
        <w:rPr>
          <w:b w:val="0"/>
          <w:bCs/>
          <w:caps w:val="0"/>
        </w:rPr>
        <w:instrText xml:space="preserve"> TOC \o "1-3" \h \z </w:instrText>
      </w:r>
      <w:r>
        <w:rPr>
          <w:b w:val="0"/>
          <w:bCs/>
          <w:caps w:val="0"/>
        </w:rPr>
        <w:fldChar w:fldCharType="separate"/>
      </w:r>
      <w:hyperlink w:anchor="_Toc129501312" w:history="1">
        <w:r w:rsidRPr="00031ABA">
          <w:rPr>
            <w:rStyle w:val="Hyperlink"/>
            <w:noProof/>
          </w:rPr>
          <w:t>Richtlinie des Rates 85/203/EWG vom 7. März 1985 über Luftqualitätsnormen für Stickstoffdioxid</w:t>
        </w:r>
        <w:r>
          <w:rPr>
            <w:noProof/>
            <w:webHidden/>
          </w:rPr>
          <w:tab/>
        </w:r>
        <w:r>
          <w:rPr>
            <w:noProof/>
            <w:webHidden/>
          </w:rPr>
          <w:fldChar w:fldCharType="begin"/>
        </w:r>
        <w:r>
          <w:rPr>
            <w:noProof/>
            <w:webHidden/>
          </w:rPr>
          <w:instrText xml:space="preserve"> PAGEREF _Toc129501312 \h </w:instrText>
        </w:r>
        <w:r w:rsidR="0006362A">
          <w:rPr>
            <w:noProof/>
          </w:rPr>
        </w:r>
        <w:r>
          <w:rPr>
            <w:noProof/>
            <w:webHidden/>
          </w:rPr>
          <w:fldChar w:fldCharType="separate"/>
        </w:r>
        <w:r w:rsidR="006B5405">
          <w:rPr>
            <w:noProof/>
            <w:webHidden/>
          </w:rPr>
          <w:t>1</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13" w:history="1">
        <w:r w:rsidRPr="00031ABA">
          <w:rPr>
            <w:rStyle w:val="Hyperlink"/>
            <w:noProof/>
          </w:rPr>
          <w:t>Inhalt:</w:t>
        </w:r>
        <w:r>
          <w:rPr>
            <w:noProof/>
            <w:webHidden/>
          </w:rPr>
          <w:tab/>
        </w:r>
        <w:r>
          <w:rPr>
            <w:noProof/>
            <w:webHidden/>
          </w:rPr>
          <w:fldChar w:fldCharType="begin"/>
        </w:r>
        <w:r>
          <w:rPr>
            <w:noProof/>
            <w:webHidden/>
          </w:rPr>
          <w:instrText xml:space="preserve"> PAGEREF _Toc129501313 \h </w:instrText>
        </w:r>
        <w:r w:rsidR="0006362A">
          <w:rPr>
            <w:noProof/>
          </w:rPr>
        </w:r>
        <w:r>
          <w:rPr>
            <w:noProof/>
            <w:webHidden/>
          </w:rPr>
          <w:fldChar w:fldCharType="separate"/>
        </w:r>
        <w:r w:rsidR="006B5405">
          <w:rPr>
            <w:noProof/>
            <w:webHidden/>
          </w:rPr>
          <w:t>1</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14" w:history="1">
        <w:r w:rsidRPr="00031ABA">
          <w:rPr>
            <w:rStyle w:val="Hyperlink"/>
            <w:noProof/>
          </w:rPr>
          <w:t>Artikel 1</w:t>
        </w:r>
        <w:r>
          <w:rPr>
            <w:noProof/>
            <w:webHidden/>
          </w:rPr>
          <w:tab/>
        </w:r>
        <w:r>
          <w:rPr>
            <w:noProof/>
            <w:webHidden/>
          </w:rPr>
          <w:fldChar w:fldCharType="begin"/>
        </w:r>
        <w:r>
          <w:rPr>
            <w:noProof/>
            <w:webHidden/>
          </w:rPr>
          <w:instrText xml:space="preserve"> PAGEREF _Toc129501314 \h </w:instrText>
        </w:r>
        <w:r w:rsidR="0006362A">
          <w:rPr>
            <w:noProof/>
          </w:rPr>
        </w:r>
        <w:r>
          <w:rPr>
            <w:noProof/>
            <w:webHidden/>
          </w:rPr>
          <w:fldChar w:fldCharType="separate"/>
        </w:r>
        <w:r w:rsidR="006B5405">
          <w:rPr>
            <w:noProof/>
            <w:webHidden/>
          </w:rPr>
          <w:t>2</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15" w:history="1">
        <w:r w:rsidRPr="00031ABA">
          <w:rPr>
            <w:rStyle w:val="Hyperlink"/>
            <w:noProof/>
          </w:rPr>
          <w:t>Artikel 2</w:t>
        </w:r>
        <w:r>
          <w:rPr>
            <w:noProof/>
            <w:webHidden/>
          </w:rPr>
          <w:tab/>
        </w:r>
        <w:r>
          <w:rPr>
            <w:noProof/>
            <w:webHidden/>
          </w:rPr>
          <w:fldChar w:fldCharType="begin"/>
        </w:r>
        <w:r>
          <w:rPr>
            <w:noProof/>
            <w:webHidden/>
          </w:rPr>
          <w:instrText xml:space="preserve"> PAGEREF _Toc129501315 \h </w:instrText>
        </w:r>
        <w:r w:rsidR="0006362A">
          <w:rPr>
            <w:noProof/>
          </w:rPr>
        </w:r>
        <w:r>
          <w:rPr>
            <w:noProof/>
            <w:webHidden/>
          </w:rPr>
          <w:fldChar w:fldCharType="separate"/>
        </w:r>
        <w:r w:rsidR="006B5405">
          <w:rPr>
            <w:noProof/>
            <w:webHidden/>
          </w:rPr>
          <w:t>2</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16" w:history="1">
        <w:r w:rsidRPr="00031ABA">
          <w:rPr>
            <w:rStyle w:val="Hyperlink"/>
            <w:noProof/>
          </w:rPr>
          <w:t>Artikel 3</w:t>
        </w:r>
        <w:r>
          <w:rPr>
            <w:noProof/>
            <w:webHidden/>
          </w:rPr>
          <w:tab/>
        </w:r>
        <w:r>
          <w:rPr>
            <w:noProof/>
            <w:webHidden/>
          </w:rPr>
          <w:fldChar w:fldCharType="begin"/>
        </w:r>
        <w:r>
          <w:rPr>
            <w:noProof/>
            <w:webHidden/>
          </w:rPr>
          <w:instrText xml:space="preserve"> PAGEREF _Toc129501316 \h </w:instrText>
        </w:r>
        <w:r w:rsidR="0006362A">
          <w:rPr>
            <w:noProof/>
          </w:rPr>
        </w:r>
        <w:r>
          <w:rPr>
            <w:noProof/>
            <w:webHidden/>
          </w:rPr>
          <w:fldChar w:fldCharType="separate"/>
        </w:r>
        <w:r w:rsidR="006B5405">
          <w:rPr>
            <w:noProof/>
            <w:webHidden/>
          </w:rPr>
          <w:t>3</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17" w:history="1">
        <w:r w:rsidRPr="00031ABA">
          <w:rPr>
            <w:rStyle w:val="Hyperlink"/>
            <w:noProof/>
          </w:rPr>
          <w:t>Artikel 4</w:t>
        </w:r>
        <w:r>
          <w:rPr>
            <w:noProof/>
            <w:webHidden/>
          </w:rPr>
          <w:tab/>
        </w:r>
        <w:r>
          <w:rPr>
            <w:noProof/>
            <w:webHidden/>
          </w:rPr>
          <w:fldChar w:fldCharType="begin"/>
        </w:r>
        <w:r>
          <w:rPr>
            <w:noProof/>
            <w:webHidden/>
          </w:rPr>
          <w:instrText xml:space="preserve"> PAGEREF _Toc129501317 \h </w:instrText>
        </w:r>
        <w:r w:rsidR="0006362A">
          <w:rPr>
            <w:noProof/>
          </w:rPr>
        </w:r>
        <w:r>
          <w:rPr>
            <w:noProof/>
            <w:webHidden/>
          </w:rPr>
          <w:fldChar w:fldCharType="separate"/>
        </w:r>
        <w:r w:rsidR="006B5405">
          <w:rPr>
            <w:noProof/>
            <w:webHidden/>
          </w:rPr>
          <w:t>3</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18" w:history="1">
        <w:r w:rsidRPr="00031ABA">
          <w:rPr>
            <w:rStyle w:val="Hyperlink"/>
            <w:noProof/>
          </w:rPr>
          <w:t>Artikel 5</w:t>
        </w:r>
        <w:r>
          <w:rPr>
            <w:noProof/>
            <w:webHidden/>
          </w:rPr>
          <w:tab/>
        </w:r>
        <w:r>
          <w:rPr>
            <w:noProof/>
            <w:webHidden/>
          </w:rPr>
          <w:fldChar w:fldCharType="begin"/>
        </w:r>
        <w:r>
          <w:rPr>
            <w:noProof/>
            <w:webHidden/>
          </w:rPr>
          <w:instrText xml:space="preserve"> PAGEREF _Toc129501318 \h </w:instrText>
        </w:r>
        <w:r w:rsidR="0006362A">
          <w:rPr>
            <w:noProof/>
          </w:rPr>
        </w:r>
        <w:r>
          <w:rPr>
            <w:noProof/>
            <w:webHidden/>
          </w:rPr>
          <w:fldChar w:fldCharType="separate"/>
        </w:r>
        <w:r w:rsidR="006B5405">
          <w:rPr>
            <w:noProof/>
            <w:webHidden/>
          </w:rPr>
          <w:t>3</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19" w:history="1">
        <w:r w:rsidRPr="00031ABA">
          <w:rPr>
            <w:rStyle w:val="Hyperlink"/>
            <w:noProof/>
          </w:rPr>
          <w:t>Artikel 6</w:t>
        </w:r>
        <w:r>
          <w:rPr>
            <w:noProof/>
            <w:webHidden/>
          </w:rPr>
          <w:tab/>
        </w:r>
        <w:r>
          <w:rPr>
            <w:noProof/>
            <w:webHidden/>
          </w:rPr>
          <w:fldChar w:fldCharType="begin"/>
        </w:r>
        <w:r>
          <w:rPr>
            <w:noProof/>
            <w:webHidden/>
          </w:rPr>
          <w:instrText xml:space="preserve"> PAGEREF _Toc129501319 \h </w:instrText>
        </w:r>
        <w:r w:rsidR="0006362A">
          <w:rPr>
            <w:noProof/>
          </w:rPr>
        </w:r>
        <w:r>
          <w:rPr>
            <w:noProof/>
            <w:webHidden/>
          </w:rPr>
          <w:fldChar w:fldCharType="separate"/>
        </w:r>
        <w:r w:rsidR="006B5405">
          <w:rPr>
            <w:noProof/>
            <w:webHidden/>
          </w:rPr>
          <w:t>3</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20" w:history="1">
        <w:r w:rsidRPr="00031ABA">
          <w:rPr>
            <w:rStyle w:val="Hyperlink"/>
            <w:noProof/>
          </w:rPr>
          <w:t>Artikel 7</w:t>
        </w:r>
        <w:r>
          <w:rPr>
            <w:noProof/>
            <w:webHidden/>
          </w:rPr>
          <w:tab/>
        </w:r>
        <w:r>
          <w:rPr>
            <w:noProof/>
            <w:webHidden/>
          </w:rPr>
          <w:fldChar w:fldCharType="begin"/>
        </w:r>
        <w:r>
          <w:rPr>
            <w:noProof/>
            <w:webHidden/>
          </w:rPr>
          <w:instrText xml:space="preserve"> PAGEREF _Toc129501320 \h </w:instrText>
        </w:r>
        <w:r w:rsidR="0006362A">
          <w:rPr>
            <w:noProof/>
          </w:rPr>
        </w:r>
        <w:r>
          <w:rPr>
            <w:noProof/>
            <w:webHidden/>
          </w:rPr>
          <w:fldChar w:fldCharType="separate"/>
        </w:r>
        <w:r w:rsidR="006B5405">
          <w:rPr>
            <w:noProof/>
            <w:webHidden/>
          </w:rPr>
          <w:t>3</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21" w:history="1">
        <w:r w:rsidRPr="00031ABA">
          <w:rPr>
            <w:rStyle w:val="Hyperlink"/>
            <w:noProof/>
          </w:rPr>
          <w:t>Artikel 8</w:t>
        </w:r>
        <w:r>
          <w:rPr>
            <w:noProof/>
            <w:webHidden/>
          </w:rPr>
          <w:tab/>
        </w:r>
        <w:r>
          <w:rPr>
            <w:noProof/>
            <w:webHidden/>
          </w:rPr>
          <w:fldChar w:fldCharType="begin"/>
        </w:r>
        <w:r>
          <w:rPr>
            <w:noProof/>
            <w:webHidden/>
          </w:rPr>
          <w:instrText xml:space="preserve"> PAGEREF _Toc129501321 \h </w:instrText>
        </w:r>
        <w:r w:rsidR="0006362A">
          <w:rPr>
            <w:noProof/>
          </w:rPr>
        </w:r>
        <w:r>
          <w:rPr>
            <w:noProof/>
            <w:webHidden/>
          </w:rPr>
          <w:fldChar w:fldCharType="separate"/>
        </w:r>
        <w:r w:rsidR="006B5405">
          <w:rPr>
            <w:noProof/>
            <w:webHidden/>
          </w:rPr>
          <w:t>4</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22" w:history="1">
        <w:r w:rsidRPr="00031ABA">
          <w:rPr>
            <w:rStyle w:val="Hyperlink"/>
            <w:noProof/>
          </w:rPr>
          <w:t>Artikel 9</w:t>
        </w:r>
        <w:r>
          <w:rPr>
            <w:noProof/>
            <w:webHidden/>
          </w:rPr>
          <w:tab/>
        </w:r>
        <w:r>
          <w:rPr>
            <w:noProof/>
            <w:webHidden/>
          </w:rPr>
          <w:fldChar w:fldCharType="begin"/>
        </w:r>
        <w:r>
          <w:rPr>
            <w:noProof/>
            <w:webHidden/>
          </w:rPr>
          <w:instrText xml:space="preserve"> PAGEREF _Toc129501322 \h </w:instrText>
        </w:r>
        <w:r w:rsidR="0006362A">
          <w:rPr>
            <w:noProof/>
          </w:rPr>
        </w:r>
        <w:r>
          <w:rPr>
            <w:noProof/>
            <w:webHidden/>
          </w:rPr>
          <w:fldChar w:fldCharType="separate"/>
        </w:r>
        <w:r w:rsidR="006B5405">
          <w:rPr>
            <w:noProof/>
            <w:webHidden/>
          </w:rPr>
          <w:t>4</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23" w:history="1">
        <w:r w:rsidRPr="00031ABA">
          <w:rPr>
            <w:rStyle w:val="Hyperlink"/>
            <w:noProof/>
          </w:rPr>
          <w:t>Artikel 10</w:t>
        </w:r>
        <w:r>
          <w:rPr>
            <w:noProof/>
            <w:webHidden/>
          </w:rPr>
          <w:tab/>
        </w:r>
        <w:r>
          <w:rPr>
            <w:noProof/>
            <w:webHidden/>
          </w:rPr>
          <w:fldChar w:fldCharType="begin"/>
        </w:r>
        <w:r>
          <w:rPr>
            <w:noProof/>
            <w:webHidden/>
          </w:rPr>
          <w:instrText xml:space="preserve"> PAGEREF _Toc129501323 \h </w:instrText>
        </w:r>
        <w:r w:rsidR="0006362A">
          <w:rPr>
            <w:noProof/>
          </w:rPr>
        </w:r>
        <w:r>
          <w:rPr>
            <w:noProof/>
            <w:webHidden/>
          </w:rPr>
          <w:fldChar w:fldCharType="separate"/>
        </w:r>
        <w:r w:rsidR="006B5405">
          <w:rPr>
            <w:noProof/>
            <w:webHidden/>
          </w:rPr>
          <w:t>4</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24" w:history="1">
        <w:r w:rsidRPr="00031ABA">
          <w:rPr>
            <w:rStyle w:val="Hyperlink"/>
            <w:noProof/>
          </w:rPr>
          <w:t>Artikel 11</w:t>
        </w:r>
        <w:r>
          <w:rPr>
            <w:noProof/>
            <w:webHidden/>
          </w:rPr>
          <w:tab/>
        </w:r>
        <w:r>
          <w:rPr>
            <w:noProof/>
            <w:webHidden/>
          </w:rPr>
          <w:fldChar w:fldCharType="begin"/>
        </w:r>
        <w:r>
          <w:rPr>
            <w:noProof/>
            <w:webHidden/>
          </w:rPr>
          <w:instrText xml:space="preserve"> PAGEREF _Toc129501324 \h </w:instrText>
        </w:r>
        <w:r w:rsidR="0006362A">
          <w:rPr>
            <w:noProof/>
          </w:rPr>
        </w:r>
        <w:r>
          <w:rPr>
            <w:noProof/>
            <w:webHidden/>
          </w:rPr>
          <w:fldChar w:fldCharType="separate"/>
        </w:r>
        <w:r w:rsidR="006B5405">
          <w:rPr>
            <w:noProof/>
            <w:webHidden/>
          </w:rPr>
          <w:t>4</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25" w:history="1">
        <w:r w:rsidRPr="00031ABA">
          <w:rPr>
            <w:rStyle w:val="Hyperlink"/>
            <w:noProof/>
          </w:rPr>
          <w:t>Artikel 12</w:t>
        </w:r>
        <w:r>
          <w:rPr>
            <w:noProof/>
            <w:webHidden/>
          </w:rPr>
          <w:tab/>
        </w:r>
        <w:r>
          <w:rPr>
            <w:noProof/>
            <w:webHidden/>
          </w:rPr>
          <w:fldChar w:fldCharType="begin"/>
        </w:r>
        <w:r>
          <w:rPr>
            <w:noProof/>
            <w:webHidden/>
          </w:rPr>
          <w:instrText xml:space="preserve"> PAGEREF _Toc129501325 \h </w:instrText>
        </w:r>
        <w:r w:rsidR="0006362A">
          <w:rPr>
            <w:noProof/>
          </w:rPr>
        </w:r>
        <w:r>
          <w:rPr>
            <w:noProof/>
            <w:webHidden/>
          </w:rPr>
          <w:fldChar w:fldCharType="separate"/>
        </w:r>
        <w:r w:rsidR="006B5405">
          <w:rPr>
            <w:noProof/>
            <w:webHidden/>
          </w:rPr>
          <w:t>4</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26" w:history="1">
        <w:r w:rsidRPr="00031ABA">
          <w:rPr>
            <w:rStyle w:val="Hyperlink"/>
            <w:noProof/>
          </w:rPr>
          <w:t>Artikel 13</w:t>
        </w:r>
        <w:r>
          <w:rPr>
            <w:noProof/>
            <w:webHidden/>
          </w:rPr>
          <w:tab/>
        </w:r>
        <w:r>
          <w:rPr>
            <w:noProof/>
            <w:webHidden/>
          </w:rPr>
          <w:fldChar w:fldCharType="begin"/>
        </w:r>
        <w:r>
          <w:rPr>
            <w:noProof/>
            <w:webHidden/>
          </w:rPr>
          <w:instrText xml:space="preserve"> PAGEREF _Toc129501326 \h </w:instrText>
        </w:r>
        <w:r w:rsidR="0006362A">
          <w:rPr>
            <w:noProof/>
          </w:rPr>
        </w:r>
        <w:r>
          <w:rPr>
            <w:noProof/>
            <w:webHidden/>
          </w:rPr>
          <w:fldChar w:fldCharType="separate"/>
        </w:r>
        <w:r w:rsidR="006B5405">
          <w:rPr>
            <w:noProof/>
            <w:webHidden/>
          </w:rPr>
          <w:t>5</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27" w:history="1">
        <w:r w:rsidRPr="00031ABA">
          <w:rPr>
            <w:rStyle w:val="Hyperlink"/>
            <w:noProof/>
          </w:rPr>
          <w:t>Artikel 14</w:t>
        </w:r>
        <w:r>
          <w:rPr>
            <w:noProof/>
            <w:webHidden/>
          </w:rPr>
          <w:tab/>
        </w:r>
        <w:r>
          <w:rPr>
            <w:noProof/>
            <w:webHidden/>
          </w:rPr>
          <w:fldChar w:fldCharType="begin"/>
        </w:r>
        <w:r>
          <w:rPr>
            <w:noProof/>
            <w:webHidden/>
          </w:rPr>
          <w:instrText xml:space="preserve"> PAGEREF _Toc129501327 \h </w:instrText>
        </w:r>
        <w:r w:rsidR="0006362A">
          <w:rPr>
            <w:noProof/>
          </w:rPr>
        </w:r>
        <w:r>
          <w:rPr>
            <w:noProof/>
            <w:webHidden/>
          </w:rPr>
          <w:fldChar w:fldCharType="separate"/>
        </w:r>
        <w:r w:rsidR="006B5405">
          <w:rPr>
            <w:noProof/>
            <w:webHidden/>
          </w:rPr>
          <w:t>5</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28" w:history="1">
        <w:r w:rsidRPr="00031ABA">
          <w:rPr>
            <w:rStyle w:val="Hyperlink"/>
            <w:noProof/>
          </w:rPr>
          <w:t>Artikel 15</w:t>
        </w:r>
        <w:r>
          <w:rPr>
            <w:noProof/>
            <w:webHidden/>
          </w:rPr>
          <w:tab/>
        </w:r>
        <w:r>
          <w:rPr>
            <w:noProof/>
            <w:webHidden/>
          </w:rPr>
          <w:fldChar w:fldCharType="begin"/>
        </w:r>
        <w:r>
          <w:rPr>
            <w:noProof/>
            <w:webHidden/>
          </w:rPr>
          <w:instrText xml:space="preserve"> PAGEREF _Toc129501328 \h </w:instrText>
        </w:r>
        <w:r w:rsidR="0006362A">
          <w:rPr>
            <w:noProof/>
          </w:rPr>
        </w:r>
        <w:r>
          <w:rPr>
            <w:noProof/>
            <w:webHidden/>
          </w:rPr>
          <w:fldChar w:fldCharType="separate"/>
        </w:r>
        <w:r w:rsidR="006B5405">
          <w:rPr>
            <w:noProof/>
            <w:webHidden/>
          </w:rPr>
          <w:t>5</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29" w:history="1">
        <w:r w:rsidRPr="00031ABA">
          <w:rPr>
            <w:rStyle w:val="Hyperlink"/>
            <w:noProof/>
          </w:rPr>
          <w:t>Artikel 16</w:t>
        </w:r>
        <w:r>
          <w:rPr>
            <w:noProof/>
            <w:webHidden/>
          </w:rPr>
          <w:tab/>
        </w:r>
        <w:r>
          <w:rPr>
            <w:noProof/>
            <w:webHidden/>
          </w:rPr>
          <w:fldChar w:fldCharType="begin"/>
        </w:r>
        <w:r>
          <w:rPr>
            <w:noProof/>
            <w:webHidden/>
          </w:rPr>
          <w:instrText xml:space="preserve"> PAGEREF _Toc129501329 \h </w:instrText>
        </w:r>
        <w:r w:rsidR="0006362A">
          <w:rPr>
            <w:noProof/>
          </w:rPr>
        </w:r>
        <w:r>
          <w:rPr>
            <w:noProof/>
            <w:webHidden/>
          </w:rPr>
          <w:fldChar w:fldCharType="separate"/>
        </w:r>
        <w:r w:rsidR="006B5405">
          <w:rPr>
            <w:noProof/>
            <w:webHidden/>
          </w:rPr>
          <w:t>5</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30" w:history="1">
        <w:r w:rsidRPr="00031ABA">
          <w:rPr>
            <w:rStyle w:val="Hyperlink"/>
            <w:noProof/>
          </w:rPr>
          <w:t>Anhang I Grenzwert für Stickstoffdioxid</w:t>
        </w:r>
        <w:r>
          <w:rPr>
            <w:noProof/>
            <w:webHidden/>
          </w:rPr>
          <w:tab/>
        </w:r>
        <w:r>
          <w:rPr>
            <w:noProof/>
            <w:webHidden/>
          </w:rPr>
          <w:fldChar w:fldCharType="begin"/>
        </w:r>
        <w:r>
          <w:rPr>
            <w:noProof/>
            <w:webHidden/>
          </w:rPr>
          <w:instrText xml:space="preserve"> PAGEREF _Toc129501330 \h </w:instrText>
        </w:r>
        <w:r w:rsidR="0006362A">
          <w:rPr>
            <w:noProof/>
          </w:rPr>
        </w:r>
        <w:r>
          <w:rPr>
            <w:noProof/>
            <w:webHidden/>
          </w:rPr>
          <w:fldChar w:fldCharType="separate"/>
        </w:r>
        <w:r w:rsidR="006B5405">
          <w:rPr>
            <w:noProof/>
            <w:webHidden/>
          </w:rPr>
          <w:t>6</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31" w:history="1">
        <w:r w:rsidRPr="00031ABA">
          <w:rPr>
            <w:rStyle w:val="Hyperlink"/>
            <w:noProof/>
          </w:rPr>
          <w:t>Anhang II Leitwerte für Stickstoffdioxid</w:t>
        </w:r>
        <w:r>
          <w:rPr>
            <w:noProof/>
            <w:webHidden/>
          </w:rPr>
          <w:tab/>
        </w:r>
        <w:r>
          <w:rPr>
            <w:noProof/>
            <w:webHidden/>
          </w:rPr>
          <w:fldChar w:fldCharType="begin"/>
        </w:r>
        <w:r>
          <w:rPr>
            <w:noProof/>
            <w:webHidden/>
          </w:rPr>
          <w:instrText xml:space="preserve"> PAGEREF _Toc129501331 \h </w:instrText>
        </w:r>
        <w:r w:rsidR="0006362A">
          <w:rPr>
            <w:noProof/>
          </w:rPr>
        </w:r>
        <w:r>
          <w:rPr>
            <w:noProof/>
            <w:webHidden/>
          </w:rPr>
          <w:fldChar w:fldCharType="separate"/>
        </w:r>
        <w:r w:rsidR="006B5405">
          <w:rPr>
            <w:noProof/>
            <w:webHidden/>
          </w:rPr>
          <w:t>6</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32" w:history="1">
        <w:r w:rsidRPr="00031ABA">
          <w:rPr>
            <w:rStyle w:val="Hyperlink"/>
            <w:noProof/>
          </w:rPr>
          <w:t>Anhang III Überwachung der Stickstoffdioxidkonzentration</w:t>
        </w:r>
        <w:r>
          <w:rPr>
            <w:noProof/>
            <w:webHidden/>
          </w:rPr>
          <w:tab/>
        </w:r>
        <w:r>
          <w:rPr>
            <w:noProof/>
            <w:webHidden/>
          </w:rPr>
          <w:fldChar w:fldCharType="begin"/>
        </w:r>
        <w:r>
          <w:rPr>
            <w:noProof/>
            <w:webHidden/>
          </w:rPr>
          <w:instrText xml:space="preserve"> PAGEREF _Toc129501332 \h </w:instrText>
        </w:r>
        <w:r w:rsidR="0006362A">
          <w:rPr>
            <w:noProof/>
          </w:rPr>
        </w:r>
        <w:r>
          <w:rPr>
            <w:noProof/>
            <w:webHidden/>
          </w:rPr>
          <w:fldChar w:fldCharType="separate"/>
        </w:r>
        <w:r w:rsidR="006B5405">
          <w:rPr>
            <w:noProof/>
            <w:webHidden/>
          </w:rPr>
          <w:t>6</w:t>
        </w:r>
        <w:r>
          <w:rPr>
            <w:noProof/>
            <w:webHidden/>
          </w:rPr>
          <w:fldChar w:fldCharType="end"/>
        </w:r>
      </w:hyperlink>
    </w:p>
    <w:p w:rsidR="00824F5A" w:rsidRDefault="00824F5A">
      <w:pPr>
        <w:pStyle w:val="Verzeichnis2"/>
        <w:tabs>
          <w:tab w:val="clear" w:pos="9638"/>
          <w:tab w:val="right" w:leader="dot" w:pos="9628"/>
        </w:tabs>
        <w:rPr>
          <w:smallCaps w:val="0"/>
          <w:noProof/>
          <w:sz w:val="24"/>
          <w:szCs w:val="24"/>
        </w:rPr>
      </w:pPr>
      <w:hyperlink w:anchor="_Toc129501333" w:history="1">
        <w:r w:rsidRPr="00031ABA">
          <w:rPr>
            <w:rStyle w:val="Hyperlink"/>
            <w:noProof/>
          </w:rPr>
          <w:t>Anhang IV Referenzanalysemethode im Rahmen der vorliegenden Richtlinie</w:t>
        </w:r>
        <w:r>
          <w:rPr>
            <w:noProof/>
            <w:webHidden/>
          </w:rPr>
          <w:tab/>
        </w:r>
        <w:r>
          <w:rPr>
            <w:noProof/>
            <w:webHidden/>
          </w:rPr>
          <w:fldChar w:fldCharType="begin"/>
        </w:r>
        <w:r>
          <w:rPr>
            <w:noProof/>
            <w:webHidden/>
          </w:rPr>
          <w:instrText xml:space="preserve"> PAGEREF _Toc129501333 \h </w:instrText>
        </w:r>
        <w:r w:rsidR="0006362A">
          <w:rPr>
            <w:noProof/>
          </w:rPr>
        </w:r>
        <w:r>
          <w:rPr>
            <w:noProof/>
            <w:webHidden/>
          </w:rPr>
          <w:fldChar w:fldCharType="separate"/>
        </w:r>
        <w:r w:rsidR="006B5405">
          <w:rPr>
            <w:noProof/>
            <w:webHidden/>
          </w:rPr>
          <w:t>7</w:t>
        </w:r>
        <w:r>
          <w:rPr>
            <w:noProof/>
            <w:webHidden/>
          </w:rPr>
          <w:fldChar w:fldCharType="end"/>
        </w:r>
      </w:hyperlink>
    </w:p>
    <w:p w:rsidR="005644CD" w:rsidRDefault="00824F5A" w:rsidP="006B5405">
      <w:pPr>
        <w:pStyle w:val="GesAbsatz"/>
      </w:pPr>
      <w:r>
        <w:fldChar w:fldCharType="end"/>
      </w:r>
    </w:p>
    <w:p w:rsidR="005644CD" w:rsidRDefault="005644CD">
      <w:pPr>
        <w:pStyle w:val="GesAbsatz"/>
      </w:pPr>
      <w:r>
        <w:t>Der Rat der Europäischen Gemeinschaften -</w:t>
      </w:r>
    </w:p>
    <w:p w:rsidR="005644CD" w:rsidRDefault="005644CD">
      <w:pPr>
        <w:pStyle w:val="GesAbsatz"/>
      </w:pPr>
      <w:r>
        <w:t>gestützt auf den Vertrag zur Gründung der Europäischen Wirtschaftsgemeinschaft, insbesondere auf die Artikel 100 und 235,</w:t>
      </w:r>
    </w:p>
    <w:p w:rsidR="005644CD" w:rsidRDefault="005644CD">
      <w:pPr>
        <w:pStyle w:val="GesAbsatz"/>
      </w:pPr>
      <w:r>
        <w:t>auf Vorschlag der Kommission</w:t>
      </w:r>
      <w:r>
        <w:rPr>
          <w:rStyle w:val="Funotenzeichen"/>
        </w:rPr>
        <w:footnoteReference w:id="1"/>
      </w:r>
      <w:r>
        <w:t>,</w:t>
      </w:r>
    </w:p>
    <w:p w:rsidR="005644CD" w:rsidRDefault="005644CD">
      <w:pPr>
        <w:pStyle w:val="GesAbsatz"/>
      </w:pPr>
      <w:r>
        <w:t>nach Stellungnahme des Europäischen Parlaments</w:t>
      </w:r>
      <w:r>
        <w:rPr>
          <w:rStyle w:val="Funotenzeichen"/>
        </w:rPr>
        <w:footnoteReference w:id="2"/>
      </w:r>
      <w:r>
        <w:t>,</w:t>
      </w:r>
    </w:p>
    <w:p w:rsidR="005644CD" w:rsidRDefault="005644CD">
      <w:pPr>
        <w:pStyle w:val="GesAbsatz"/>
      </w:pPr>
      <w:r>
        <w:t>nach Stellungnahme des Wirtschafts- und Sozialausschusses</w:t>
      </w:r>
      <w:r>
        <w:rPr>
          <w:rStyle w:val="Funotenzeichen"/>
        </w:rPr>
        <w:footnoteReference w:id="3"/>
      </w:r>
      <w:r>
        <w:t>,</w:t>
      </w:r>
    </w:p>
    <w:p w:rsidR="005644CD" w:rsidRDefault="005644CD">
      <w:pPr>
        <w:pStyle w:val="GesAbsatz"/>
      </w:pPr>
      <w:r>
        <w:t>in Erwägung nachstehender Gründe:</w:t>
      </w:r>
    </w:p>
    <w:p w:rsidR="005644CD" w:rsidRDefault="005644CD">
      <w:pPr>
        <w:pStyle w:val="GesAbsatz"/>
      </w:pPr>
      <w:r>
        <w:t>Die Aktionsprogramme der Europäischen Gemeinschaften für den Umweltschutz von 1973</w:t>
      </w:r>
      <w:r>
        <w:rPr>
          <w:rStyle w:val="Funotenzeichen"/>
        </w:rPr>
        <w:footnoteReference w:id="4"/>
      </w:r>
      <w:r>
        <w:t>, 1977</w:t>
      </w:r>
      <w:r>
        <w:rPr>
          <w:rStyle w:val="Funotenzeichen"/>
        </w:rPr>
        <w:footnoteReference w:id="5"/>
      </w:r>
      <w:r>
        <w:t xml:space="preserve"> und 1982</w:t>
      </w:r>
      <w:r>
        <w:rPr>
          <w:rStyle w:val="Funotenzeichen"/>
        </w:rPr>
        <w:footnoteReference w:id="6"/>
      </w:r>
      <w:r>
        <w:t xml:space="preserve"> sehen wegen der Schädlichkeit von Stickstoffdioxid eine vorrangige Bekämpfung dieses Schadstoffs unter Berücksichtigung des derzeitigen Standes der Kenntnisse über seine Auswirkungen auf die menschl</w:t>
      </w:r>
      <w:r>
        <w:t>i</w:t>
      </w:r>
      <w:r>
        <w:t>che Gesundheit und die Umwelt vor.</w:t>
      </w:r>
    </w:p>
    <w:p w:rsidR="005644CD" w:rsidRDefault="005644CD">
      <w:pPr>
        <w:pStyle w:val="GesAbsatz"/>
      </w:pPr>
      <w:r>
        <w:lastRenderedPageBreak/>
        <w:t xml:space="preserve">Die vorliegenden technischen und wissenschaftlichen Daten gestatten es dem Rat nicht, spezielle Normen für die Umwelt im </w:t>
      </w:r>
      <w:proofErr w:type="gramStart"/>
      <w:r>
        <w:t>allgemeinen</w:t>
      </w:r>
      <w:proofErr w:type="gramEnd"/>
      <w:r>
        <w:t xml:space="preserve"> festzulegen, doch wird durch die Einführung von Grenzwerten für den Schutz der menschlichen Gesundheit ebenfalls ein Beitrag zum Umweltschutz geleistet.</w:t>
      </w:r>
    </w:p>
    <w:p w:rsidR="005644CD" w:rsidRDefault="005644CD">
      <w:pPr>
        <w:pStyle w:val="GesAbsatz"/>
      </w:pPr>
      <w:r>
        <w:t>Unterschiede zwischen den in den einzelnen Mitgliedstaaten bereits gültigen oder in Vorbereitung befindl</w:t>
      </w:r>
      <w:r>
        <w:t>i</w:t>
      </w:r>
      <w:r>
        <w:t>chen Vorschriften über Stickstoffdioxid in der Luft können zu ungleichen Wettbewerbsbedingungen führen und sich damit auf das Funktionieren des Gemeinsamen Marktes unmittelbar auswirken. Es empfiehlt sich daher, gemäß Artikel 100 des Vertrages die einschlägigen Rechtsvorschriften anzugleichen.</w:t>
      </w:r>
    </w:p>
    <w:p w:rsidR="005644CD" w:rsidRDefault="005644CD">
      <w:pPr>
        <w:pStyle w:val="GesAbsatz"/>
      </w:pPr>
      <w:r>
        <w:t>Eine der wesentlichen Aufgaben der Gemeinschaft besteht darin, eine harmonische Entwicklung des Wir</w:t>
      </w:r>
      <w:r>
        <w:t>t</w:t>
      </w:r>
      <w:r>
        <w:t>schaftslebens innerhalb der Gemeinschaft und eine beständige und ausgewogene Wirtschaftsausweitung zu fördern. Die Erfüllung dieser Aufgaben ist undenkbar ohne eine Bekämpfung der Umweltverschmutzung und -belastung sowie ohne eine Verbesserung der Lebensqualität und des Umweltschutzes. Da die hierfür erfo</w:t>
      </w:r>
      <w:r>
        <w:t>r</w:t>
      </w:r>
      <w:r>
        <w:t>derlichen Befugnisse nicht im Vertrag vorgesehen sind, ist Artikel 235 des Vertrages zugrunde zu legen.</w:t>
      </w:r>
    </w:p>
    <w:p w:rsidR="005644CD" w:rsidRDefault="005644CD">
      <w:pPr>
        <w:pStyle w:val="GesAbsatz"/>
      </w:pPr>
      <w:r>
        <w:t>Zum Schutz insbesondere der menschlichen Gesundheit und der Umwelt ist für Stickstoffdioxid ein Gren</w:t>
      </w:r>
      <w:r>
        <w:t>z</w:t>
      </w:r>
      <w:r>
        <w:t>wert festzulegen, der im Hoheitsgebiet der Mitgliedstaaten während bestimmter Zeiträume nicht überschri</w:t>
      </w:r>
      <w:r>
        <w:t>t</w:t>
      </w:r>
      <w:r>
        <w:t>ten werden darf. Dieser Wert muß auf den Ergebnissen der im Rahmen der Weltgesundheitsorganisation durc</w:t>
      </w:r>
      <w:r>
        <w:t>h</w:t>
      </w:r>
      <w:r>
        <w:t>geführten Arbeiten beruhen, und zwar vor allem auf den für diesen Schadstoff ermittelten Relationen zw</w:t>
      </w:r>
      <w:r>
        <w:t>i</w:t>
      </w:r>
      <w:r>
        <w:t>schen Dosis und Wirkungen</w:t>
      </w:r>
    </w:p>
    <w:p w:rsidR="005644CD" w:rsidRDefault="005644CD">
      <w:pPr>
        <w:pStyle w:val="GesAbsatz"/>
      </w:pPr>
      <w:r>
        <w:t>Dieser Grenzwert wird sich trotz der getroffenen Maßnahmen in bestimmten Gebieten möglicherweise nicht einhalten lassen. Den Mitgliedstaaten ist daher die Möglichkeit zu geben, befristete Ausnahmeregelungen in Anspruch zu nehmen, vorausgesetzt, daß sie der Kommission Pläne zur schrittweisen Verbesserung der Luftqualität in diesen Gebieten vorlegen.</w:t>
      </w:r>
    </w:p>
    <w:p w:rsidR="005644CD" w:rsidRDefault="005644CD">
      <w:pPr>
        <w:pStyle w:val="GesAbsatz"/>
      </w:pPr>
      <w:r>
        <w:t>Der Rat wird voraussichtlich in Kürze eine weitere Rechtsvorschrift verabschieden, die es den Mitgliedsta</w:t>
      </w:r>
      <w:r>
        <w:t>a</w:t>
      </w:r>
      <w:r>
        <w:t>ten erlaubt, beträchtlich niedrigere Grenzwerte für Kraftfahrzeugabgase vorzuschreiben.</w:t>
      </w:r>
    </w:p>
    <w:p w:rsidR="005644CD" w:rsidRDefault="005644CD">
      <w:pPr>
        <w:pStyle w:val="GesAbsatz"/>
      </w:pPr>
      <w:r>
        <w:t>Die gemäß dieser Richtlinie ergriffenen Maßnahmen müssen wirtschaftlich machbar und mit einer ausgew</w:t>
      </w:r>
      <w:r>
        <w:t>o</w:t>
      </w:r>
      <w:r>
        <w:t>genen Entwicklung vereinbar sein.</w:t>
      </w:r>
    </w:p>
    <w:p w:rsidR="005644CD" w:rsidRDefault="005644CD">
      <w:pPr>
        <w:pStyle w:val="GesAbsatz"/>
      </w:pPr>
      <w:r>
        <w:t>Stickstoffdioxid begünstigt auch die Bildung photochemischer Oxidantien, die sich auf Mensch und Umwelt schädlich auswirken können; eine vorbeugende Maßnahme kann dazu beitragen, die Bildung dieser Oxida</w:t>
      </w:r>
      <w:r>
        <w:t>n</w:t>
      </w:r>
      <w:r>
        <w:t>tien zu verringern.</w:t>
      </w:r>
    </w:p>
    <w:p w:rsidR="005644CD" w:rsidRDefault="005644CD">
      <w:pPr>
        <w:pStyle w:val="GesAbsatz"/>
      </w:pPr>
      <w:r>
        <w:t>Es ist notwendig, Meßstationen einzurichten, um die Einhaltung des Grenzwertes für Stickstoffdioxid zu ko</w:t>
      </w:r>
      <w:r>
        <w:t>n</w:t>
      </w:r>
      <w:r>
        <w:t>trollieren. Diese Stationen sollten auch den Gehalt an Stickstoffmonoxid messen, das eine Zwischenstufe bei der Bildung von Stickstoffdioxid darstellt.</w:t>
      </w:r>
    </w:p>
    <w:p w:rsidR="005644CD" w:rsidRDefault="005644CD">
      <w:pPr>
        <w:pStyle w:val="GesAbsatz"/>
      </w:pPr>
      <w:r>
        <w:t>Da die Analysemethoden in den Mitgliedstaaten unterschiedlich sind, ist unter bestimmten Voraussetzungen die Anwendung anderer Analysemethoden als der in der Richtlinie vorgesehenen Referenzmethode zuz</w:t>
      </w:r>
      <w:r>
        <w:t>u</w:t>
      </w:r>
      <w:r>
        <w:t>lassen.</w:t>
      </w:r>
    </w:p>
    <w:p w:rsidR="005644CD" w:rsidRDefault="005644CD">
      <w:pPr>
        <w:pStyle w:val="GesAbsatz"/>
      </w:pPr>
      <w:r>
        <w:t>Zusätzlich zu dem Grenzwert sind Leitwerte vorzusehen, die den Schutz der menschlichen Gesundheit ve</w:t>
      </w:r>
      <w:r>
        <w:t>r</w:t>
      </w:r>
      <w:r>
        <w:t>bessern und zum langfristigen Schutz der Umwelt beitragen sollen.</w:t>
      </w:r>
    </w:p>
    <w:p w:rsidR="005644CD" w:rsidRDefault="005644CD">
      <w:pPr>
        <w:pStyle w:val="GesAbsatz"/>
      </w:pPr>
      <w:r>
        <w:t>Eine Weiterentwicklung der in dieser Richtlinie genannten Referenzanalysemethode kann angesichts des technischen und wissenschaftlichen Fortschritts auf diesem Gebiet wünschenswert sein. Um die Durchfü</w:t>
      </w:r>
      <w:r>
        <w:t>h</w:t>
      </w:r>
      <w:r>
        <w:t>rung der hierzu erforderlichen Arbeiten zu erleichtern, ist ein Verfahren vorzusehen, das eine enge Zusa</w:t>
      </w:r>
      <w:r>
        <w:t>m</w:t>
      </w:r>
      <w:r>
        <w:t>menarbeit zwischen den Mitgliedstaaten und der Kommission in einem Ausschuß für die Anpassung an den wissenschaftlichen und technischen Fortschritt herbeiführt -</w:t>
      </w:r>
    </w:p>
    <w:p w:rsidR="005644CD" w:rsidRDefault="005644CD">
      <w:pPr>
        <w:pStyle w:val="GesAbsatz"/>
        <w:rPr>
          <w:b/>
          <w:bCs/>
        </w:rPr>
      </w:pPr>
      <w:r>
        <w:rPr>
          <w:b/>
          <w:bCs/>
        </w:rPr>
        <w:t>hat folgende Richtlinie erlassen:</w:t>
      </w:r>
    </w:p>
    <w:p w:rsidR="005644CD" w:rsidRDefault="005644CD">
      <w:pPr>
        <w:pStyle w:val="berschrift2"/>
      </w:pPr>
      <w:bookmarkStart w:id="3" w:name="_Toc129501314"/>
      <w:r>
        <w:t>Artikel 1</w:t>
      </w:r>
      <w:bookmarkEnd w:id="3"/>
    </w:p>
    <w:p w:rsidR="005644CD" w:rsidRDefault="005644CD">
      <w:pPr>
        <w:pStyle w:val="GesAbsatz"/>
      </w:pPr>
      <w:r>
        <w:t>(1) Gegenstand dieser Richtlinie ist</w:t>
      </w:r>
    </w:p>
    <w:p w:rsidR="005644CD" w:rsidRDefault="005644CD">
      <w:pPr>
        <w:pStyle w:val="GesAbsatz"/>
        <w:tabs>
          <w:tab w:val="clear" w:pos="425"/>
        </w:tabs>
        <w:ind w:left="284" w:hanging="284"/>
      </w:pPr>
      <w:r>
        <w:t>-</w:t>
      </w:r>
      <w:r>
        <w:tab/>
        <w:t>die Festlegung eines Grenzwertes (Anhang I) für den Stickstoffdioxidgehalt in der Atmosphäre, um spez</w:t>
      </w:r>
      <w:r>
        <w:t>i</w:t>
      </w:r>
      <w:r>
        <w:t>ell einen Beitrag zum Schutz des Menschen vor den Auswirkungen der Verschmutzung der Umwelt durch Stickstoffdioxid zu leisten;</w:t>
      </w:r>
    </w:p>
    <w:p w:rsidR="005644CD" w:rsidRDefault="005644CD">
      <w:pPr>
        <w:pStyle w:val="GesAbsatz"/>
        <w:tabs>
          <w:tab w:val="clear" w:pos="425"/>
        </w:tabs>
        <w:ind w:left="284" w:hanging="284"/>
      </w:pPr>
      <w:r>
        <w:t>-</w:t>
      </w:r>
      <w:r>
        <w:tab/>
        <w:t>die Vorgabe von Leitwerten (Anhang II) für Stickstoffdioxid in der Atmosphäre, die den Schutz der menschlichen Gesundheit verbessern und zum langfristigen Schutz der Umwelt beitragen sollen.</w:t>
      </w:r>
    </w:p>
    <w:p w:rsidR="005644CD" w:rsidRDefault="005644CD">
      <w:pPr>
        <w:pStyle w:val="GesAbsatz"/>
      </w:pPr>
      <w:r>
        <w:t>(2) Diese Richtlinie gilt nicht für die Exposition am Arbeitsplatz und in Innenräumen.</w:t>
      </w:r>
    </w:p>
    <w:p w:rsidR="005644CD" w:rsidRDefault="005644CD">
      <w:pPr>
        <w:pStyle w:val="berschrift2"/>
      </w:pPr>
      <w:bookmarkStart w:id="4" w:name="_Toc129501315"/>
      <w:r>
        <w:t>Artikel 2</w:t>
      </w:r>
      <w:bookmarkEnd w:id="4"/>
    </w:p>
    <w:p w:rsidR="005644CD" w:rsidRDefault="005644CD">
      <w:pPr>
        <w:pStyle w:val="GesAbsatz"/>
      </w:pPr>
      <w:r>
        <w:t>Im Sinne dieser Richtlinie</w:t>
      </w:r>
    </w:p>
    <w:p w:rsidR="005644CD" w:rsidRDefault="005644CD">
      <w:pPr>
        <w:pStyle w:val="GesAbsatz"/>
        <w:tabs>
          <w:tab w:val="clear" w:pos="425"/>
        </w:tabs>
        <w:ind w:left="284" w:hanging="284"/>
      </w:pPr>
      <w:r>
        <w:lastRenderedPageBreak/>
        <w:t>-</w:t>
      </w:r>
      <w:r>
        <w:tab/>
        <w:t>ist unter „Grenzwert“ zu verstehen: die Konzentration von Stickstoffdioxid entsprechend der Tabelle in Anhang I, die im gesamten Hoheitsgebiet der Mitgliedstaaten während bestimmter Zeiträume unter den in den folgenden Artikeln festgelegten Bedingungen nicht überschritten werden darf;</w:t>
      </w:r>
    </w:p>
    <w:p w:rsidR="005644CD" w:rsidRDefault="005644CD">
      <w:pPr>
        <w:pStyle w:val="GesAbsatz"/>
        <w:tabs>
          <w:tab w:val="clear" w:pos="425"/>
        </w:tabs>
        <w:ind w:left="284" w:hanging="284"/>
      </w:pPr>
      <w:r>
        <w:t>-</w:t>
      </w:r>
      <w:r>
        <w:tab/>
        <w:t>sind unter „Leitwerten zu verstehen: die in Anhang II genannten Konzentrationen von Stickstoffdioxid während bestimmter Zeiträume; diese Leitwerte dienen insbesondere als Bezugspunkte für die Festl</w:t>
      </w:r>
      <w:r>
        <w:t>e</w:t>
      </w:r>
      <w:r>
        <w:t>gung von Sonderregelungen für Gebiete, die von den Mitgliedstaaten bestimmt werden.</w:t>
      </w:r>
    </w:p>
    <w:p w:rsidR="005644CD" w:rsidRDefault="005644CD">
      <w:pPr>
        <w:pStyle w:val="berschrift2"/>
      </w:pPr>
      <w:bookmarkStart w:id="5" w:name="_Toc129501316"/>
      <w:r>
        <w:t>Artikel 3</w:t>
      </w:r>
      <w:r>
        <w:rPr>
          <w:rStyle w:val="Funotenzeichen"/>
        </w:rPr>
        <w:footnoteReference w:id="7"/>
      </w:r>
      <w:bookmarkEnd w:id="5"/>
    </w:p>
    <w:p w:rsidR="005644CD" w:rsidRDefault="005644CD">
      <w:pPr>
        <w:pStyle w:val="GesAbsatz"/>
      </w:pPr>
      <w:r>
        <w:t>(1) Die Mitgliedstaaten treffen die notwendigen Maßnahmen, damit die gemäß Anhang III gemessenen Ko</w:t>
      </w:r>
      <w:r>
        <w:t>n</w:t>
      </w:r>
      <w:r>
        <w:t>zentrationen von Stickstoffdioxid in der Atmosphäre ab 1. Juli 1987 den in Anhang I genannten Grenzwert nicht überschreiten.</w:t>
      </w:r>
    </w:p>
    <w:p w:rsidR="005644CD" w:rsidRDefault="005644CD">
      <w:pPr>
        <w:pStyle w:val="GesAbsatz"/>
      </w:pPr>
      <w:r>
        <w:t>(2) Besteht aufgrund besonderer Umstände die Gefahr, daß die Konzentrationen von Stickstoffdioxid in der Atmosphäre trotz der getroffenen Maßnahmen über den 1. Juli 1987 hinaus in bestimmten Gebieten den in Anhang I aufgeführten Grenzwert überschreiten, so teilt der betreffende Mitgliedstaat dies der Kommission vor dem 1. Juli 1987 mit.</w:t>
      </w:r>
    </w:p>
    <w:p w:rsidR="005644CD" w:rsidRDefault="005644CD">
      <w:pPr>
        <w:pStyle w:val="GesAbsatz"/>
      </w:pPr>
      <w:r>
        <w:t>Er übermittelt der Kommission so rasch wie möglich Pläne zur schrittweisen Verbesserung der Luftqualität in diesen Gebieten. Diese Pläne, die anhand entsprechender Daten über die Art, den Ursprung und die En</w:t>
      </w:r>
      <w:r>
        <w:t>t</w:t>
      </w:r>
      <w:r>
        <w:t>wicklung der Verschmutzung erstellt werden, beschreiben insbesondere die von dem Mitgliedstaat zu tre</w:t>
      </w:r>
      <w:r>
        <w:t>f</w:t>
      </w:r>
      <w:r>
        <w:t>fenden oder bereits getroffenen Maßnahmen sowie die von ihm durchgeführten oder noch durchzuführe</w:t>
      </w:r>
      <w:r>
        <w:t>n</w:t>
      </w:r>
      <w:r>
        <w:t>den Verfahren. Diese Maßnahmen und Verfahren müssen sich dahingehend auswirken, daß innerhalb di</w:t>
      </w:r>
      <w:r>
        <w:t>e</w:t>
      </w:r>
      <w:r>
        <w:t>ser Gebiete die Konzentrationen von Stickstoffdioxid in der Atmosphäre so bald wie möglich, spätestens aber bis zum 1. Januar 1994 auf Werte gebracht werden, die den in Anhang I aufgeführten Grenzwert nicht übe</w:t>
      </w:r>
      <w:r>
        <w:t>r</w:t>
      </w:r>
      <w:r>
        <w:t>schreiten.</w:t>
      </w:r>
    </w:p>
    <w:p w:rsidR="005644CD" w:rsidRDefault="005644CD">
      <w:pPr>
        <w:pStyle w:val="berschrift2"/>
      </w:pPr>
      <w:bookmarkStart w:id="6" w:name="_Toc129501317"/>
      <w:r>
        <w:t>Artikel 4</w:t>
      </w:r>
      <w:bookmarkEnd w:id="6"/>
    </w:p>
    <w:p w:rsidR="005644CD" w:rsidRDefault="005644CD">
      <w:pPr>
        <w:pStyle w:val="GesAbsatz"/>
      </w:pPr>
      <w:r>
        <w:t>(1) Der betreffende Mitgliedstaat kann für Gebiete, bei denen er der Auffassung ist, daß ein voraussichtlicher Anstieg der Verschmutzung durch Stickstoffdioxid infolge neuer Entwicklungen - insbesondere städtebaul</w:t>
      </w:r>
      <w:r>
        <w:t>i</w:t>
      </w:r>
      <w:r>
        <w:t>cher oder industrieller Art - begrenzt oder verhütet werden muß, Werte festsetzen, die unter dem Grenzwert des Anhangs I liegen.</w:t>
      </w:r>
    </w:p>
    <w:p w:rsidR="005644CD" w:rsidRDefault="005644CD">
      <w:pPr>
        <w:pStyle w:val="GesAbsatz"/>
      </w:pPr>
      <w:r>
        <w:t>(2) Der betreffende Mitgliedstaat kann für die Gebiete, in denen seines Erachtens die Umwelt besonders zu schützen ist, Werte festsetzen, die im allgemeinen unter den Leitwerten des Anhangs II liegen.</w:t>
      </w:r>
    </w:p>
    <w:p w:rsidR="005644CD" w:rsidRDefault="005644CD">
      <w:pPr>
        <w:pStyle w:val="berschrift2"/>
      </w:pPr>
      <w:bookmarkStart w:id="7" w:name="_Toc129501318"/>
      <w:r>
        <w:t>Artikel 5</w:t>
      </w:r>
      <w:bookmarkEnd w:id="7"/>
    </w:p>
    <w:p w:rsidR="005644CD" w:rsidRDefault="005644CD">
      <w:pPr>
        <w:pStyle w:val="GesAbsatz"/>
      </w:pPr>
      <w:r>
        <w:t>Die Mitgliedstaaten können jederzeit strengere als die in dieser Richtlinie vorgeschriebenen Werte festse</w:t>
      </w:r>
      <w:r>
        <w:t>t</w:t>
      </w:r>
      <w:r>
        <w:t>zen.</w:t>
      </w:r>
    </w:p>
    <w:p w:rsidR="005644CD" w:rsidRDefault="005644CD">
      <w:pPr>
        <w:pStyle w:val="berschrift2"/>
      </w:pPr>
      <w:bookmarkStart w:id="8" w:name="_Toc129501319"/>
      <w:r>
        <w:t>Artikel 6</w:t>
      </w:r>
      <w:bookmarkEnd w:id="8"/>
    </w:p>
    <w:p w:rsidR="005644CD" w:rsidRDefault="005644CD">
      <w:pPr>
        <w:pStyle w:val="GesAbsatz"/>
      </w:pPr>
      <w:r>
        <w:t>Die Mitgliedstaaten richten Meßstationen zur Ermittlung der für die Durchführung dieser Richtlinie erforderl</w:t>
      </w:r>
      <w:r>
        <w:t>i</w:t>
      </w:r>
      <w:r>
        <w:t>chen Daten entsprechend den Angaben in Anhang III ein, insbesondere in den Gebieten, in denen der Grenzwert bereits überschritten ist oder in Zukunft möglicherweise überschritten wird sowie in den in Artikel 4 genannten Gebieten.</w:t>
      </w:r>
    </w:p>
    <w:p w:rsidR="005644CD" w:rsidRDefault="005644CD">
      <w:pPr>
        <w:pStyle w:val="GesAbsatz"/>
      </w:pPr>
      <w:r>
        <w:t>Die Meßstationen können auch die Stickstoffmonoxidkonzentrationen erfassen.</w:t>
      </w:r>
    </w:p>
    <w:p w:rsidR="005644CD" w:rsidRDefault="005644CD">
      <w:pPr>
        <w:pStyle w:val="berschrift2"/>
      </w:pPr>
      <w:bookmarkStart w:id="9" w:name="_Toc129501320"/>
      <w:r>
        <w:t>Artikel 7</w:t>
      </w:r>
      <w:bookmarkEnd w:id="9"/>
    </w:p>
    <w:p w:rsidR="005644CD" w:rsidRDefault="005644CD">
      <w:pPr>
        <w:pStyle w:val="GesAbsatz"/>
      </w:pPr>
      <w:r>
        <w:t>(1) Vom 1. Juli 1987 an unterrichten die Mitgliedstaaten die Kommission spätestens sechs Monate nach dem (auf den 31. Dezember festgelegten) Ablauf des jährlichen Bezugszeitraumes über die Fälle, in denen der Grenzwert des Anhangs I überschritten wurde sowie über die festgestellten Konzentrationen.</w:t>
      </w:r>
    </w:p>
    <w:p w:rsidR="005644CD" w:rsidRDefault="005644CD">
      <w:pPr>
        <w:pStyle w:val="GesAbsatz"/>
      </w:pPr>
      <w:r>
        <w:lastRenderedPageBreak/>
        <w:t>(2) Sie unterrichten die Kommission außerdem spätestens ein Jahr nach Ablauf des jährlichen Bezugszei</w:t>
      </w:r>
      <w:r>
        <w:t>t</w:t>
      </w:r>
      <w:r>
        <w:t>raums über die Gründe für die Überschreitungen und über die Maßnahmen, die sie dagegen getroffen h</w:t>
      </w:r>
      <w:r>
        <w:t>a</w:t>
      </w:r>
      <w:r>
        <w:t>ben.</w:t>
      </w:r>
    </w:p>
    <w:p w:rsidR="005644CD" w:rsidRDefault="005644CD">
      <w:pPr>
        <w:pStyle w:val="GesAbsatz"/>
      </w:pPr>
      <w:r>
        <w:t>(3) Hinsichtlich der in Artikel 4 Absätze 1 und 2 bezeichneten Gebiete unterrichten die Mitgliedstaaten die Kommission ferner auf deren Antrag über</w:t>
      </w:r>
    </w:p>
    <w:p w:rsidR="005644CD" w:rsidRDefault="005644CD">
      <w:pPr>
        <w:pStyle w:val="GesAbsatz"/>
        <w:tabs>
          <w:tab w:val="clear" w:pos="425"/>
        </w:tabs>
        <w:ind w:left="284" w:hanging="284"/>
      </w:pPr>
      <w:r>
        <w:t>-</w:t>
      </w:r>
      <w:r>
        <w:tab/>
        <w:t>die von ihnen gemessenen Konzentrationen,</w:t>
      </w:r>
    </w:p>
    <w:p w:rsidR="005644CD" w:rsidRDefault="005644CD">
      <w:pPr>
        <w:pStyle w:val="GesAbsatz"/>
        <w:tabs>
          <w:tab w:val="clear" w:pos="425"/>
        </w:tabs>
        <w:ind w:left="284" w:hanging="284"/>
      </w:pPr>
      <w:r>
        <w:t>-</w:t>
      </w:r>
      <w:r>
        <w:tab/>
        <w:t>die Grenzwerte, die Fristen und die Zeitpläne, die sie festgelegt haben,</w:t>
      </w:r>
    </w:p>
    <w:p w:rsidR="005644CD" w:rsidRDefault="005644CD">
      <w:pPr>
        <w:pStyle w:val="GesAbsatz"/>
        <w:tabs>
          <w:tab w:val="clear" w:pos="425"/>
        </w:tabs>
        <w:ind w:left="284" w:hanging="284"/>
      </w:pPr>
      <w:r>
        <w:t>-</w:t>
      </w:r>
      <w:r>
        <w:tab/>
        <w:t>alle sachdienlichen Maßnahmen, die sie getroffen haben.</w:t>
      </w:r>
    </w:p>
    <w:p w:rsidR="005644CD" w:rsidRDefault="005644CD">
      <w:pPr>
        <w:pStyle w:val="GesAbsatz"/>
      </w:pPr>
      <w:r>
        <w:t>Die betreffenden Informationen sind auch der Öffentlichkeit zugänglich zu machen.</w:t>
      </w:r>
    </w:p>
    <w:p w:rsidR="005644CD" w:rsidRDefault="005644CD">
      <w:pPr>
        <w:pStyle w:val="GesAbsatz"/>
      </w:pPr>
      <w:r>
        <w:t>(4) Die Kommission übermittelt den Mitgliedstaaten jährlich die von ihr aufgrund dieses Artikels erhaltenen Informationen.</w:t>
      </w:r>
    </w:p>
    <w:p w:rsidR="005644CD" w:rsidRDefault="005644CD">
      <w:pPr>
        <w:pStyle w:val="berschrift2"/>
      </w:pPr>
      <w:bookmarkStart w:id="10" w:name="_Toc129501321"/>
      <w:r>
        <w:t>Artikel 8</w:t>
      </w:r>
      <w:bookmarkEnd w:id="10"/>
    </w:p>
    <w:p w:rsidR="005644CD" w:rsidRDefault="005644CD">
      <w:pPr>
        <w:pStyle w:val="GesAbsatz"/>
      </w:pPr>
      <w:r>
        <w:t>Die Mitgliedstaaten übermitteln der Kommission alle drei Jahre Angaben über die Durchführung dieser Rich</w:t>
      </w:r>
      <w:r>
        <w:t>t</w:t>
      </w:r>
      <w:r>
        <w:t>linie im Rahmen eines sektoralen Berichts, der auch die anderen einschlägigen Gemeinschaftsrichtlin</w:t>
      </w:r>
      <w:r>
        <w:t>i</w:t>
      </w:r>
      <w:r>
        <w:t>en erfaßt. Der Bericht ist anhand eines von der Kommission nach dem Verfahren des Artikels 6 der Richtl</w:t>
      </w:r>
      <w:r>
        <w:t>i</w:t>
      </w:r>
      <w:r>
        <w:t>nie 91/692/EWG</w:t>
      </w:r>
      <w:r>
        <w:rPr>
          <w:rStyle w:val="Funotenzeichen"/>
        </w:rPr>
        <w:footnoteReference w:id="8"/>
      </w:r>
      <w:r>
        <w:t xml:space="preserve"> ausgearbeiteten Fragebogens oder Schemas zu erstellen. Der Fragebogen bzw. das Schema wird den Mitgliedstaaten sechs Monate vor Beginn des Berichtszeitraums übersandt. Der Bericht ist bei der Kommission innerhalb von neun Monaten nach Ablauf des von ihm erfaßten Dreijahreszeitraums einz</w:t>
      </w:r>
      <w:r>
        <w:t>u</w:t>
      </w:r>
      <w:r>
        <w:t>reichen.</w:t>
      </w:r>
    </w:p>
    <w:p w:rsidR="005644CD" w:rsidRDefault="005644CD">
      <w:pPr>
        <w:pStyle w:val="GesAbsatz"/>
      </w:pPr>
      <w:r>
        <w:t>Der erste Bericht erfaßt den Zeitraum von 1994 bis 1996.</w:t>
      </w:r>
    </w:p>
    <w:p w:rsidR="005644CD" w:rsidRDefault="005644CD">
      <w:pPr>
        <w:pStyle w:val="GesAbsatz"/>
      </w:pPr>
      <w:r>
        <w:t>Die Kommission veröffentlicht innerhalb von neun Monaten nach Erhalt der einzelstaatlichen Berichte einen Gemeinschaftsbericht über die Durchführung dieser Richtlinie.</w:t>
      </w:r>
    </w:p>
    <w:p w:rsidR="005644CD" w:rsidRDefault="005644CD">
      <w:pPr>
        <w:pStyle w:val="berschrift2"/>
      </w:pPr>
      <w:bookmarkStart w:id="11" w:name="_Toc129501322"/>
      <w:r>
        <w:t>Artikel 9</w:t>
      </w:r>
      <w:bookmarkEnd w:id="11"/>
    </w:p>
    <w:p w:rsidR="005644CD" w:rsidRDefault="005644CD">
      <w:pPr>
        <w:pStyle w:val="GesAbsatz"/>
      </w:pPr>
      <w:r>
        <w:t>Die aufgrund dieser Richtlinie getroffenen Maßnahmen dürfen in Gebieten außerhalb städtischer Ballung</w:t>
      </w:r>
      <w:r>
        <w:t>s</w:t>
      </w:r>
      <w:r>
        <w:t>räume, wo der bei Beginn der Anwendung dieser Richtlinie festgestellte Grad der Verschmutzung durch Stickstoffdioxid im Vergleich zum Grenzwert des Anhang I niedrig ist, nicht zu einer merklichen Verschlec</w:t>
      </w:r>
      <w:r>
        <w:t>h</w:t>
      </w:r>
      <w:r>
        <w:t>terung der Luftqualität führen.</w:t>
      </w:r>
    </w:p>
    <w:p w:rsidR="005644CD" w:rsidRDefault="005644CD">
      <w:pPr>
        <w:pStyle w:val="berschrift2"/>
      </w:pPr>
      <w:bookmarkStart w:id="12" w:name="_Toc129501323"/>
      <w:r>
        <w:t>Artikel 10</w:t>
      </w:r>
      <w:bookmarkEnd w:id="12"/>
    </w:p>
    <w:p w:rsidR="005644CD" w:rsidRDefault="005644CD">
      <w:pPr>
        <w:pStyle w:val="GesAbsatz"/>
      </w:pPr>
      <w:r>
        <w:t>Bei der Anwendung dieser Richtlinien verfahren die Mitgliedstaaten</w:t>
      </w:r>
    </w:p>
    <w:p w:rsidR="005644CD" w:rsidRDefault="005644CD">
      <w:pPr>
        <w:pStyle w:val="GesAbsatz"/>
        <w:tabs>
          <w:tab w:val="clear" w:pos="425"/>
        </w:tabs>
        <w:ind w:left="284" w:hanging="284"/>
      </w:pPr>
      <w:r>
        <w:t>-</w:t>
      </w:r>
      <w:r>
        <w:tab/>
        <w:t>entweder nach der in Anhang IV genannten Referenzanalysemethode,</w:t>
      </w:r>
    </w:p>
    <w:p w:rsidR="005644CD" w:rsidRDefault="005644CD">
      <w:pPr>
        <w:pStyle w:val="GesAbsatz"/>
        <w:tabs>
          <w:tab w:val="clear" w:pos="425"/>
        </w:tabs>
        <w:ind w:left="284" w:hanging="284"/>
      </w:pPr>
      <w:r>
        <w:t>-</w:t>
      </w:r>
      <w:r>
        <w:tab/>
        <w:t>oder nach einer beliebigen anderen Analysemethode, deren Gleichwertigkeit mit der Referenzmethode gegenüber der Kommission nachgewiesen worden ist.</w:t>
      </w:r>
    </w:p>
    <w:p w:rsidR="005644CD" w:rsidRDefault="005644CD">
      <w:pPr>
        <w:pStyle w:val="berschrift2"/>
      </w:pPr>
      <w:bookmarkStart w:id="13" w:name="_Toc129501324"/>
      <w:r>
        <w:t>Artikel 11</w:t>
      </w:r>
      <w:bookmarkEnd w:id="13"/>
    </w:p>
    <w:p w:rsidR="005644CD" w:rsidRDefault="005644CD">
      <w:pPr>
        <w:pStyle w:val="GesAbsatz"/>
        <w:tabs>
          <w:tab w:val="clear" w:pos="425"/>
        </w:tabs>
      </w:pPr>
      <w:r>
        <w:t>(1) Bevor ein Mitgliedstaat in einem an einen oder mehrere Mitgliedstaaten angrenzenden Gebiet nach Art</w:t>
      </w:r>
      <w:r>
        <w:t>i</w:t>
      </w:r>
      <w:r>
        <w:t>kel</w:t>
      </w:r>
      <w:r w:rsidR="00B52DB4">
        <w:t> </w:t>
      </w:r>
      <w:r>
        <w:t>4 Absätze 1 und 2 Werte für die Konzentrationen von Stickstoffdioxid in der Atmosphäre festsetzt, führt er Konsultationen mit den betroffenen Mitgliedstaaten durch. Die Kommission wird informiert und kann an di</w:t>
      </w:r>
      <w:r>
        <w:t>e</w:t>
      </w:r>
      <w:r>
        <w:t>sen Konsultationen teilnehmen.</w:t>
      </w:r>
    </w:p>
    <w:p w:rsidR="005644CD" w:rsidRDefault="005644CD">
      <w:pPr>
        <w:pStyle w:val="GesAbsatz"/>
        <w:tabs>
          <w:tab w:val="clear" w:pos="425"/>
        </w:tabs>
      </w:pPr>
      <w:r>
        <w:t>(2) Werden der Grenzwert gemäß Anhang I oder die Werte nach Artikel 4 Absätze 1 und 2, sofern diese letztgenannten Werte Gegenstand von Konsultationen gemäß Absatz 1 gewesen sind, überschritten oder besteht infolge einer spürbaren Verschmutzung, die ihren Ursprung in einem anderen Mitgliedstaat hat oder haben kann, die Gefahr ihrer Überschreitung, so konsultieren die betroffenen Mitgliedstaaten einander, um Abhilfe zu schaffen. Die Kommission wird informiert und kann an diesen Konsultationen teilnehmen.</w:t>
      </w:r>
    </w:p>
    <w:p w:rsidR="005644CD" w:rsidRDefault="005644CD">
      <w:pPr>
        <w:pStyle w:val="berschrift2"/>
      </w:pPr>
      <w:bookmarkStart w:id="14" w:name="_Toc129501325"/>
      <w:r>
        <w:t>Artikel 12</w:t>
      </w:r>
      <w:bookmarkEnd w:id="14"/>
    </w:p>
    <w:p w:rsidR="005644CD" w:rsidRDefault="005644CD">
      <w:pPr>
        <w:pStyle w:val="GesAbsatz"/>
      </w:pPr>
      <w:r>
        <w:t>Die Änderungen, die notwendig sind, um die Vorschriften des Anhangs IV an den technischen Fortschritt anzupassen, werden nach dem Verfahren des Artikels 14 erlassen. Sie dürfen keine direkte oder indirekte Änderung des in Anhang I genannten Grenzwertes zur Folge haben.</w:t>
      </w:r>
    </w:p>
    <w:p w:rsidR="005644CD" w:rsidRDefault="005644CD">
      <w:pPr>
        <w:pStyle w:val="berschrift2"/>
      </w:pPr>
      <w:bookmarkStart w:id="15" w:name="_Toc129501326"/>
      <w:r>
        <w:lastRenderedPageBreak/>
        <w:t>Artikel 13</w:t>
      </w:r>
      <w:bookmarkEnd w:id="15"/>
    </w:p>
    <w:p w:rsidR="005644CD" w:rsidRDefault="005644CD">
      <w:pPr>
        <w:pStyle w:val="GesAbsatz"/>
      </w:pPr>
      <w:r>
        <w:t>(1) Zur Durchführung des Artikels 12 wird ein Ausschuß für die Anpassung dieser Richtlinie an den wisse</w:t>
      </w:r>
      <w:r>
        <w:t>n</w:t>
      </w:r>
      <w:r>
        <w:t>schaftlichen und technischen Fortschritt - im folgenden „Ausschuß“ genannt - eingesetzt, der aus Vertretern der Mitgliedstaaten besteht und in dem ein Vertreter der Kommission den Vorsitz führt.</w:t>
      </w:r>
    </w:p>
    <w:p w:rsidR="005644CD" w:rsidRDefault="005644CD">
      <w:pPr>
        <w:pStyle w:val="GesAbsatz"/>
      </w:pPr>
      <w:r>
        <w:t>(2) Der Ausschuß gibt sich eine Geschäftsordnung.</w:t>
      </w:r>
    </w:p>
    <w:p w:rsidR="005644CD" w:rsidRDefault="005644CD">
      <w:pPr>
        <w:pStyle w:val="berschrift2"/>
      </w:pPr>
      <w:bookmarkStart w:id="16" w:name="_Toc129501327"/>
      <w:r>
        <w:t>Artikel 14</w:t>
      </w:r>
      <w:bookmarkEnd w:id="16"/>
    </w:p>
    <w:p w:rsidR="005644CD" w:rsidRDefault="005644CD">
      <w:pPr>
        <w:pStyle w:val="GesAbsatz"/>
      </w:pPr>
      <w:r>
        <w:t>(1) Wird auf das in diesem Artikel festgelegte Verfahren Bezug genommen, so befaßt der Vorsitzende den Ausschuß von sich aus oder auf Antrag des Vertreters eines Mitgliedstaats.</w:t>
      </w:r>
    </w:p>
    <w:p w:rsidR="005644CD" w:rsidRDefault="005644CD">
      <w:pPr>
        <w:pStyle w:val="GesAbsatz"/>
      </w:pPr>
      <w:r>
        <w:t>(2) Der Vertreter der Kommission unterbreitet dem Ausschuß einen Entwurf der zu treffenden Maßnahmen. Der Ausschuß nimmt zu diesem Entwurf innerhalb einer Frist Stellung, die der Vorsitzende je nach der Dringlichkeit der betreffenden Frage bestimmen kann. Die Stellungnahme kommt mit einer Mehrheit von zweiun</w:t>
      </w:r>
      <w:r>
        <w:t>d</w:t>
      </w:r>
      <w:r>
        <w:t>sechzig Stimmen zustande, wobei die Stimmen der Mitgliedstaaten nach Artikel 148 Absatz 2 des Vertrages gewogen werden; der Vorsitzende nimmt an der Abstimmung nicht teil.</w:t>
      </w:r>
    </w:p>
    <w:p w:rsidR="005644CD" w:rsidRDefault="005644CD">
      <w:pPr>
        <w:pStyle w:val="GesAbsatz"/>
      </w:pPr>
      <w:r>
        <w:t>(3) Die Kommission trifft die in Aussicht genommenen Maßnahmen, wenn sie der Stellungnahme des Au</w:t>
      </w:r>
      <w:r>
        <w:t>s</w:t>
      </w:r>
      <w:r>
        <w:t>schusses entsprechen.</w:t>
      </w:r>
    </w:p>
    <w:p w:rsidR="005644CD" w:rsidRDefault="005644CD">
      <w:pPr>
        <w:pStyle w:val="GesAbsatz"/>
      </w:pPr>
      <w:r>
        <w:t>Entsprechen die in Aussicht genommenen Maßnahmen nicht der Stellungnahme des Ausschusses oder ist keine Stellungnahme ergangen, so schlägt die Kommission dem Rat unverzüglich die zu treffenden Ma</w:t>
      </w:r>
      <w:r>
        <w:t>ß</w:t>
      </w:r>
      <w:r>
        <w:t>nahmen vor. Der Rat beschließt mit qualifizierter Mehrheit.</w:t>
      </w:r>
    </w:p>
    <w:p w:rsidR="005644CD" w:rsidRDefault="005644CD">
      <w:pPr>
        <w:pStyle w:val="GesAbsatz"/>
      </w:pPr>
      <w:r>
        <w:t>Hat der Rat nach Ablauf einer Frist von drei Monaten, nachdem ihm der Vorschlag übermittelt worden ist, keinen Beschluß gefaßt, so werden die vorgeschlagenen Maßnahmen von der Kommission getroffen.</w:t>
      </w:r>
    </w:p>
    <w:p w:rsidR="005644CD" w:rsidRDefault="005644CD">
      <w:pPr>
        <w:pStyle w:val="berschrift2"/>
      </w:pPr>
      <w:bookmarkStart w:id="17" w:name="_Toc129501328"/>
      <w:r>
        <w:t>Artikel 15</w:t>
      </w:r>
      <w:bookmarkEnd w:id="17"/>
    </w:p>
    <w:p w:rsidR="005644CD" w:rsidRDefault="005644CD">
      <w:pPr>
        <w:pStyle w:val="GesAbsatz"/>
      </w:pPr>
      <w:r>
        <w:t>(1) Die Mitgliedstaaten erlassen die erforderlichen Rechts- und Verwaltungsvorschriften, um dieser Richtlinie spätestens bis zum 1. Januar 1987 nachzukommen; sie setzen die Kommission unverzüglich davon in Kenntnis.</w:t>
      </w:r>
    </w:p>
    <w:p w:rsidR="005644CD" w:rsidRDefault="005644CD">
      <w:pPr>
        <w:pStyle w:val="GesAbsatz"/>
      </w:pPr>
      <w:r>
        <w:t>(2) Die Mitgliedstaaten tragen dafür Sorge, daß der Kommission der Wortlaut der innerstaatlichen Recht</w:t>
      </w:r>
      <w:r>
        <w:t>s</w:t>
      </w:r>
      <w:r>
        <w:t>vorschriften mitgeteilt wird, die sie auf dem unter diese Richtlinie fallenden Gebiet erlassen.</w:t>
      </w:r>
    </w:p>
    <w:p w:rsidR="005644CD" w:rsidRDefault="005644CD">
      <w:pPr>
        <w:pStyle w:val="berschrift2"/>
      </w:pPr>
      <w:bookmarkStart w:id="18" w:name="_Toc129501329"/>
      <w:r>
        <w:t>Artikel 16</w:t>
      </w:r>
      <w:bookmarkEnd w:id="18"/>
    </w:p>
    <w:p w:rsidR="005644CD" w:rsidRDefault="005644CD">
      <w:pPr>
        <w:pStyle w:val="GesAbsatz"/>
      </w:pPr>
      <w:r>
        <w:t>Diese Richtlinie ist an die Mitgliedstaaten gerichtet.</w:t>
      </w:r>
    </w:p>
    <w:p w:rsidR="005644CD" w:rsidRDefault="00BE676E">
      <w:pPr>
        <w:pStyle w:val="berschrift2"/>
        <w:jc w:val="left"/>
      </w:pPr>
      <w:r>
        <w:br w:type="page"/>
      </w:r>
      <w:bookmarkStart w:id="19" w:name="_Toc129501330"/>
      <w:r w:rsidR="005644CD">
        <w:lastRenderedPageBreak/>
        <w:t>Anhang I</w:t>
      </w:r>
      <w:r w:rsidR="005644CD">
        <w:br/>
        <w:t>Grenzwert für Stickstoffdioxid</w:t>
      </w:r>
      <w:bookmarkEnd w:id="19"/>
    </w:p>
    <w:p w:rsidR="005644CD" w:rsidRDefault="005644CD">
      <w:pPr>
        <w:pStyle w:val="GesAbsatz"/>
      </w:pPr>
      <w:r>
        <w:t>(der Grenzwert ist in µg/m³ ausgedrückt, wobei das Luftvolumen auf die Temperatur 293 K und den Druck 101,3 kPa zu normieren ist)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644CD">
        <w:tblPrEx>
          <w:tblCellMar>
            <w:top w:w="0" w:type="dxa"/>
            <w:bottom w:w="0" w:type="dxa"/>
          </w:tblCellMar>
        </w:tblPrEx>
        <w:tc>
          <w:tcPr>
            <w:tcW w:w="4889" w:type="dxa"/>
          </w:tcPr>
          <w:p w:rsidR="005644CD" w:rsidRDefault="005644CD">
            <w:pPr>
              <w:pStyle w:val="GesAbsatz"/>
              <w:jc w:val="center"/>
            </w:pPr>
            <w:r>
              <w:t>Bezugszeitraum</w:t>
            </w:r>
            <w:r>
              <w:rPr>
                <w:rStyle w:val="Funotenzeichen"/>
              </w:rPr>
              <w:footnoteReference w:id="9"/>
            </w:r>
          </w:p>
        </w:tc>
        <w:tc>
          <w:tcPr>
            <w:tcW w:w="4889" w:type="dxa"/>
          </w:tcPr>
          <w:p w:rsidR="005644CD" w:rsidRDefault="005644CD">
            <w:pPr>
              <w:pStyle w:val="GesAbsatz"/>
              <w:jc w:val="center"/>
            </w:pPr>
            <w:r>
              <w:t>Grenzwert für Stickstoffdioxid</w:t>
            </w:r>
          </w:p>
        </w:tc>
      </w:tr>
      <w:tr w:rsidR="005644CD">
        <w:tblPrEx>
          <w:tblCellMar>
            <w:top w:w="0" w:type="dxa"/>
            <w:bottom w:w="0" w:type="dxa"/>
          </w:tblCellMar>
        </w:tblPrEx>
        <w:tc>
          <w:tcPr>
            <w:tcW w:w="4889" w:type="dxa"/>
            <w:tcBorders>
              <w:bottom w:val="nil"/>
            </w:tcBorders>
          </w:tcPr>
          <w:p w:rsidR="005644CD" w:rsidRDefault="005644CD">
            <w:pPr>
              <w:pStyle w:val="GesAbsatz"/>
            </w:pPr>
          </w:p>
        </w:tc>
        <w:tc>
          <w:tcPr>
            <w:tcW w:w="4889" w:type="dxa"/>
          </w:tcPr>
          <w:p w:rsidR="005644CD" w:rsidRDefault="005644CD">
            <w:pPr>
              <w:pStyle w:val="GesAbsatz"/>
              <w:jc w:val="center"/>
            </w:pPr>
            <w:r>
              <w:t>200</w:t>
            </w:r>
          </w:p>
        </w:tc>
      </w:tr>
      <w:tr w:rsidR="005644CD">
        <w:tblPrEx>
          <w:tblCellMar>
            <w:top w:w="0" w:type="dxa"/>
            <w:bottom w:w="0" w:type="dxa"/>
          </w:tblCellMar>
        </w:tblPrEx>
        <w:tc>
          <w:tcPr>
            <w:tcW w:w="4889" w:type="dxa"/>
            <w:tcBorders>
              <w:top w:val="nil"/>
              <w:bottom w:val="single" w:sz="12" w:space="0" w:color="auto"/>
            </w:tcBorders>
          </w:tcPr>
          <w:p w:rsidR="005644CD" w:rsidRDefault="005644CD">
            <w:pPr>
              <w:pStyle w:val="GesAbsatz"/>
              <w:jc w:val="center"/>
            </w:pPr>
            <w:r>
              <w:t>Jahr</w:t>
            </w:r>
          </w:p>
        </w:tc>
        <w:tc>
          <w:tcPr>
            <w:tcW w:w="4889" w:type="dxa"/>
          </w:tcPr>
          <w:p w:rsidR="005644CD" w:rsidRDefault="005644CD">
            <w:pPr>
              <w:pStyle w:val="GesAbsatz"/>
            </w:pPr>
            <w:r>
              <w:t>98 %-Wert der Summenhäufigkeit, berechnet aus den während des Jahres gemessenen Mittelwerten über die Stunde oder kürzere Zeiträume</w:t>
            </w:r>
            <w:r>
              <w:rPr>
                <w:rStyle w:val="Funotenzeichen"/>
              </w:rPr>
              <w:footnoteReference w:id="10"/>
            </w:r>
          </w:p>
        </w:tc>
      </w:tr>
    </w:tbl>
    <w:p w:rsidR="005644CD" w:rsidRDefault="005644CD">
      <w:pPr>
        <w:pStyle w:val="berschrift2"/>
        <w:jc w:val="left"/>
      </w:pPr>
      <w:bookmarkStart w:id="20" w:name="_Toc129501331"/>
      <w:r>
        <w:t>Anhang II</w:t>
      </w:r>
      <w:r>
        <w:br/>
        <w:t>Leitwerte für Stickstoffdioxid</w:t>
      </w:r>
      <w:bookmarkEnd w:id="20"/>
    </w:p>
    <w:p w:rsidR="005644CD" w:rsidRDefault="005644CD">
      <w:pPr>
        <w:pStyle w:val="GesAbsatz"/>
      </w:pPr>
      <w:r>
        <w:t>(in µg/m³, wobei das Luftvolumen auf die Temperatur 293 K und den Druck 101,3 kPa zu normieren ist)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644CD">
        <w:tblPrEx>
          <w:tblCellMar>
            <w:top w:w="0" w:type="dxa"/>
            <w:bottom w:w="0" w:type="dxa"/>
          </w:tblCellMar>
        </w:tblPrEx>
        <w:tc>
          <w:tcPr>
            <w:tcW w:w="4889" w:type="dxa"/>
          </w:tcPr>
          <w:p w:rsidR="005644CD" w:rsidRDefault="005644CD">
            <w:pPr>
              <w:pStyle w:val="GesAbsatz"/>
              <w:jc w:val="center"/>
            </w:pPr>
            <w:r>
              <w:t>Bezugszeitraum</w:t>
            </w:r>
          </w:p>
        </w:tc>
        <w:tc>
          <w:tcPr>
            <w:tcW w:w="4889" w:type="dxa"/>
          </w:tcPr>
          <w:p w:rsidR="005644CD" w:rsidRDefault="005644CD">
            <w:pPr>
              <w:pStyle w:val="GesAbsatz"/>
              <w:jc w:val="center"/>
            </w:pPr>
            <w:r>
              <w:t>Leitwerte für Stickstoffdioxid</w:t>
            </w:r>
          </w:p>
        </w:tc>
      </w:tr>
      <w:tr w:rsidR="005644CD">
        <w:tblPrEx>
          <w:tblCellMar>
            <w:top w:w="0" w:type="dxa"/>
            <w:bottom w:w="0" w:type="dxa"/>
          </w:tblCellMar>
        </w:tblPrEx>
        <w:tc>
          <w:tcPr>
            <w:tcW w:w="4889" w:type="dxa"/>
            <w:tcBorders>
              <w:bottom w:val="nil"/>
            </w:tcBorders>
          </w:tcPr>
          <w:p w:rsidR="005644CD" w:rsidRDefault="005644CD">
            <w:pPr>
              <w:pStyle w:val="GesAbsatz"/>
            </w:pPr>
          </w:p>
        </w:tc>
        <w:tc>
          <w:tcPr>
            <w:tcW w:w="4889" w:type="dxa"/>
          </w:tcPr>
          <w:p w:rsidR="005644CD" w:rsidRDefault="005644CD">
            <w:pPr>
              <w:pStyle w:val="GesAbsatz"/>
              <w:jc w:val="center"/>
            </w:pPr>
            <w:r>
              <w:t>50</w:t>
            </w:r>
          </w:p>
        </w:tc>
      </w:tr>
      <w:tr w:rsidR="005644CD">
        <w:tblPrEx>
          <w:tblCellMar>
            <w:top w:w="0" w:type="dxa"/>
            <w:bottom w:w="0" w:type="dxa"/>
          </w:tblCellMar>
        </w:tblPrEx>
        <w:tc>
          <w:tcPr>
            <w:tcW w:w="4889" w:type="dxa"/>
            <w:tcBorders>
              <w:top w:val="nil"/>
              <w:bottom w:val="nil"/>
            </w:tcBorders>
          </w:tcPr>
          <w:p w:rsidR="005644CD" w:rsidRDefault="005644CD">
            <w:pPr>
              <w:pStyle w:val="GesAbsatz"/>
            </w:pPr>
          </w:p>
        </w:tc>
        <w:tc>
          <w:tcPr>
            <w:tcW w:w="4889" w:type="dxa"/>
          </w:tcPr>
          <w:p w:rsidR="005644CD" w:rsidRDefault="005644CD">
            <w:pPr>
              <w:pStyle w:val="GesAbsatz"/>
            </w:pPr>
            <w:r>
              <w:t>50-%-Wert der Summenhäufigkeit (Median), berec</w:t>
            </w:r>
            <w:r>
              <w:t>h</w:t>
            </w:r>
            <w:r>
              <w:t>net aus den während des Jahres gemessenen Mi</w:t>
            </w:r>
            <w:r>
              <w:t>t</w:t>
            </w:r>
            <w:r>
              <w:t>telwerten über eine Stunde oder kürzere Zeiträume.</w:t>
            </w:r>
          </w:p>
        </w:tc>
      </w:tr>
      <w:tr w:rsidR="005644CD">
        <w:tblPrEx>
          <w:tblCellMar>
            <w:top w:w="0" w:type="dxa"/>
            <w:bottom w:w="0" w:type="dxa"/>
          </w:tblCellMar>
        </w:tblPrEx>
        <w:tc>
          <w:tcPr>
            <w:tcW w:w="4889" w:type="dxa"/>
            <w:tcBorders>
              <w:top w:val="nil"/>
              <w:bottom w:val="nil"/>
            </w:tcBorders>
          </w:tcPr>
          <w:p w:rsidR="005644CD" w:rsidRDefault="005644CD">
            <w:pPr>
              <w:pStyle w:val="GesAbsatz"/>
              <w:jc w:val="center"/>
            </w:pPr>
            <w:r>
              <w:t>Jahr</w:t>
            </w:r>
          </w:p>
        </w:tc>
        <w:tc>
          <w:tcPr>
            <w:tcW w:w="4889" w:type="dxa"/>
          </w:tcPr>
          <w:p w:rsidR="005644CD" w:rsidRDefault="005644CD">
            <w:pPr>
              <w:pStyle w:val="GesAbsatz"/>
              <w:jc w:val="center"/>
            </w:pPr>
            <w:r>
              <w:t>135</w:t>
            </w:r>
          </w:p>
        </w:tc>
      </w:tr>
      <w:tr w:rsidR="005644CD">
        <w:tblPrEx>
          <w:tblCellMar>
            <w:top w:w="0" w:type="dxa"/>
            <w:bottom w:w="0" w:type="dxa"/>
          </w:tblCellMar>
        </w:tblPrEx>
        <w:tc>
          <w:tcPr>
            <w:tcW w:w="4889" w:type="dxa"/>
            <w:tcBorders>
              <w:top w:val="nil"/>
              <w:bottom w:val="single" w:sz="12" w:space="0" w:color="auto"/>
            </w:tcBorders>
          </w:tcPr>
          <w:p w:rsidR="005644CD" w:rsidRDefault="005644CD">
            <w:pPr>
              <w:pStyle w:val="GesAbsatz"/>
            </w:pPr>
          </w:p>
        </w:tc>
        <w:tc>
          <w:tcPr>
            <w:tcW w:w="4889" w:type="dxa"/>
          </w:tcPr>
          <w:p w:rsidR="005644CD" w:rsidRDefault="005644CD">
            <w:pPr>
              <w:pStyle w:val="GesAbsatz"/>
            </w:pPr>
            <w:r>
              <w:t>98-%-Wert der Summenhäufigkeit (Median), berec</w:t>
            </w:r>
            <w:r>
              <w:t>h</w:t>
            </w:r>
            <w:r>
              <w:t>net aus den während des Jahres gemessenen Mi</w:t>
            </w:r>
            <w:r>
              <w:t>t</w:t>
            </w:r>
            <w:r>
              <w:t>telwerten über eine Stunde oder kürzere Zeiträume</w:t>
            </w:r>
          </w:p>
        </w:tc>
      </w:tr>
    </w:tbl>
    <w:p w:rsidR="005644CD" w:rsidRDefault="005644CD">
      <w:pPr>
        <w:pStyle w:val="GesAbsatz"/>
      </w:pPr>
      <w:r>
        <w:t>Diese Werte werden nach der in Anhang I unter Nummer 2 genannten Formel berechnet, wobei der Wert q für den 50-%-Wert gleich 0,50 und für den 98-%-Wert gleich 0,98 ist.</w:t>
      </w:r>
    </w:p>
    <w:p w:rsidR="005644CD" w:rsidRDefault="005644CD">
      <w:pPr>
        <w:pStyle w:val="berschrift2"/>
        <w:jc w:val="left"/>
      </w:pPr>
      <w:bookmarkStart w:id="21" w:name="_Toc129501332"/>
      <w:r>
        <w:t>Anhang III</w:t>
      </w:r>
      <w:r>
        <w:br/>
        <w:t>Überwachung der Stickstoffdioxidkonzentration</w:t>
      </w:r>
      <w:bookmarkEnd w:id="21"/>
    </w:p>
    <w:p w:rsidR="005644CD" w:rsidRDefault="005644CD">
      <w:pPr>
        <w:pStyle w:val="GesAbsatz"/>
        <w:tabs>
          <w:tab w:val="clear" w:pos="425"/>
        </w:tabs>
        <w:ind w:left="284" w:hanging="284"/>
      </w:pPr>
      <w:r>
        <w:t>1.</w:t>
      </w:r>
      <w:r>
        <w:tab/>
        <w:t>Ziel der Messung der Stickstoffdioxidkonzentration in der Außenluft ist eine möglichst sichere Beurteilung der Frage, inwieweit für den Einzelnen das Risiko einer über den Grenzwert hinausgehenden Belastung besteht; als Meßpunkte sollten daher von den Mitgliedstaaten so weit wie möglich die Stellen mit dem mutmaßlichen höchsten Belastungsrisiko gewählt werden.</w:t>
      </w:r>
    </w:p>
    <w:p w:rsidR="005644CD" w:rsidRDefault="005644CD">
      <w:pPr>
        <w:pStyle w:val="GesAbsatz"/>
        <w:tabs>
          <w:tab w:val="clear" w:pos="425"/>
        </w:tabs>
        <w:ind w:left="284" w:hanging="284"/>
      </w:pPr>
      <w:r>
        <w:tab/>
        <w:t>Dabei ist zwischen zwei Fällen zu unterscheiden:</w:t>
      </w:r>
    </w:p>
    <w:p w:rsidR="005644CD" w:rsidRDefault="005644CD">
      <w:pPr>
        <w:pStyle w:val="GesAbsatz"/>
        <w:tabs>
          <w:tab w:val="clear" w:pos="425"/>
          <w:tab w:val="left" w:pos="284"/>
        </w:tabs>
        <w:ind w:left="709" w:hanging="709"/>
      </w:pPr>
      <w:r>
        <w:tab/>
        <w:t>1.1</w:t>
      </w:r>
      <w:r>
        <w:tab/>
        <w:t>Gebiete, die vor allem durch den Kraftfahrzeugverkehr beeinflußt werden und die folglich auf die Umgebung von Straßen mit hohem Verkehrsaufkommen begrenzt sind;</w:t>
      </w:r>
    </w:p>
    <w:p w:rsidR="005644CD" w:rsidRDefault="005644CD">
      <w:pPr>
        <w:pStyle w:val="GesAbsatz"/>
        <w:tabs>
          <w:tab w:val="clear" w:pos="425"/>
          <w:tab w:val="left" w:pos="284"/>
        </w:tabs>
        <w:ind w:left="709" w:hanging="709"/>
      </w:pPr>
      <w:r>
        <w:tab/>
        <w:t>1.2</w:t>
      </w:r>
      <w:r>
        <w:tab/>
        <w:t>ausgedehntere Gebiete, in denen auch stationäre Quellen wesentlich zur Verschmutzung beitragen.</w:t>
      </w:r>
    </w:p>
    <w:p w:rsidR="005644CD" w:rsidRDefault="005644CD">
      <w:pPr>
        <w:pStyle w:val="GesAbsatz"/>
        <w:tabs>
          <w:tab w:val="clear" w:pos="425"/>
        </w:tabs>
        <w:ind w:left="284" w:hanging="284"/>
      </w:pPr>
      <w:r>
        <w:lastRenderedPageBreak/>
        <w:t>2.</w:t>
      </w:r>
      <w:r>
        <w:tab/>
        <w:t>In den unter Nummer 1.1 genannten Fällen sollten die Meßpunkte so gewählt werden, daß</w:t>
      </w:r>
    </w:p>
    <w:p w:rsidR="005644CD" w:rsidRDefault="005644CD">
      <w:pPr>
        <w:pStyle w:val="GesAbsatz"/>
        <w:tabs>
          <w:tab w:val="clear" w:pos="425"/>
          <w:tab w:val="left" w:pos="284"/>
        </w:tabs>
        <w:ind w:left="709" w:hanging="709"/>
      </w:pPr>
      <w:r>
        <w:tab/>
        <w:t>-</w:t>
      </w:r>
      <w:r>
        <w:tab/>
        <w:t>die Haupttypen der vor allem durch den Kraftverkehr beeinflußten Gebiete abgedeckt sind, insb</w:t>
      </w:r>
      <w:r>
        <w:t>e</w:t>
      </w:r>
      <w:r>
        <w:t>sondere verkehrsreiche Straßenschluchten und Verkehrsknotenpunkte,</w:t>
      </w:r>
    </w:p>
    <w:p w:rsidR="005644CD" w:rsidRDefault="005644CD">
      <w:pPr>
        <w:pStyle w:val="GesAbsatz"/>
        <w:tabs>
          <w:tab w:val="clear" w:pos="425"/>
          <w:tab w:val="left" w:pos="284"/>
        </w:tabs>
        <w:ind w:left="709" w:hanging="709"/>
      </w:pPr>
      <w:r>
        <w:tab/>
        <w:t>-</w:t>
      </w:r>
      <w:r>
        <w:tab/>
        <w:t>so weit wie möglich die Stellen abgedeckt sind, an denen die Stickstoffdioxidkonzentrationen en</w:t>
      </w:r>
      <w:r>
        <w:t>t</w:t>
      </w:r>
      <w:r>
        <w:t>sprechend Nummer 1 mutmaßlich am höchsten sind.</w:t>
      </w:r>
    </w:p>
    <w:p w:rsidR="005644CD" w:rsidRDefault="005644CD">
      <w:pPr>
        <w:pStyle w:val="GesAbsatz"/>
        <w:tabs>
          <w:tab w:val="clear" w:pos="425"/>
        </w:tabs>
        <w:ind w:left="284" w:hanging="284"/>
      </w:pPr>
      <w:r>
        <w:t>3.</w:t>
      </w:r>
      <w:r>
        <w:tab/>
        <w:t>Hinsichtlich der Anzahl der Meßstationen in den unter Nummer 1.2 bestimmten Gebieten sollte folgendes berücksichtigt werden:</w:t>
      </w:r>
    </w:p>
    <w:p w:rsidR="005644CD" w:rsidRDefault="005644CD">
      <w:pPr>
        <w:pStyle w:val="GesAbsatz"/>
        <w:tabs>
          <w:tab w:val="clear" w:pos="425"/>
          <w:tab w:val="left" w:pos="284"/>
        </w:tabs>
        <w:ind w:left="709" w:hanging="709"/>
      </w:pPr>
      <w:r>
        <w:tab/>
        <w:t>-</w:t>
      </w:r>
      <w:r>
        <w:tab/>
        <w:t>die Ausdehnung des von der Verschmutzung betroffenen Gebietes,</w:t>
      </w:r>
    </w:p>
    <w:p w:rsidR="005644CD" w:rsidRDefault="005644CD">
      <w:pPr>
        <w:pStyle w:val="GesAbsatz"/>
        <w:tabs>
          <w:tab w:val="clear" w:pos="425"/>
          <w:tab w:val="left" w:pos="284"/>
        </w:tabs>
        <w:ind w:left="709" w:hanging="709"/>
      </w:pPr>
      <w:r>
        <w:tab/>
        <w:t>-</w:t>
      </w:r>
      <w:r>
        <w:tab/>
        <w:t>die räumlichen Verschmutzungsunterschiede.</w:t>
      </w:r>
    </w:p>
    <w:p w:rsidR="005644CD" w:rsidRDefault="005644CD">
      <w:pPr>
        <w:pStyle w:val="GesAbsatz"/>
        <w:tabs>
          <w:tab w:val="clear" w:pos="425"/>
        </w:tabs>
        <w:ind w:left="284" w:hanging="284"/>
      </w:pPr>
      <w:r>
        <w:tab/>
        <w:t>Bei der Auswahl dieser Stellen sollten verkehrsreiche Straßenschluchten und Verkehrsknotenpunkte gemäß Nummer 2 nicht ausgeschlossen werden, wenn infolge erheblicher Belastung durch stationäre Que</w:t>
      </w:r>
      <w:r>
        <w:t>l</w:t>
      </w:r>
      <w:r>
        <w:t>len das Risiko einer Grenzwertüberschreitung besteht.</w:t>
      </w:r>
    </w:p>
    <w:p w:rsidR="005644CD" w:rsidRDefault="005644CD">
      <w:pPr>
        <w:pStyle w:val="GesAbsatz"/>
        <w:tabs>
          <w:tab w:val="clear" w:pos="425"/>
        </w:tabs>
        <w:ind w:left="284" w:hanging="284"/>
      </w:pPr>
      <w:r>
        <w:t>4.</w:t>
      </w:r>
      <w:r>
        <w:tab/>
        <w:t>Die Meßwerterfassung sollte die Berechnung von Mittelwerten über eine Stunde oder kürzere Zeiträume gemäß Anhang I ermöglichen. Um Nachprüfungen zu ermöglichen, sollten diese Werte gespeichert we</w:t>
      </w:r>
      <w:r>
        <w:t>r</w:t>
      </w:r>
      <w:r>
        <w:t>den, und zwar,</w:t>
      </w:r>
    </w:p>
    <w:p w:rsidR="005644CD" w:rsidRDefault="005644CD">
      <w:pPr>
        <w:pStyle w:val="GesAbsatz"/>
        <w:tabs>
          <w:tab w:val="clear" w:pos="425"/>
          <w:tab w:val="left" w:pos="284"/>
        </w:tabs>
        <w:ind w:left="709" w:hanging="709"/>
      </w:pPr>
      <w:r>
        <w:tab/>
        <w:t>-</w:t>
      </w:r>
      <w:r>
        <w:tab/>
        <w:t>wenn der Grenzwert nicht überschritten wurde, bis zur Erstellung des nächsten Berichts der Ko</w:t>
      </w:r>
      <w:r>
        <w:t>m</w:t>
      </w:r>
      <w:r>
        <w:t>mission gemäß Artikel 8;</w:t>
      </w:r>
    </w:p>
    <w:p w:rsidR="005644CD" w:rsidRDefault="005644CD">
      <w:pPr>
        <w:pStyle w:val="GesAbsatz"/>
        <w:tabs>
          <w:tab w:val="clear" w:pos="425"/>
          <w:tab w:val="left" w:pos="284"/>
        </w:tabs>
        <w:ind w:left="709" w:hanging="709"/>
      </w:pPr>
      <w:r>
        <w:tab/>
        <w:t>-</w:t>
      </w:r>
      <w:r>
        <w:tab/>
        <w:t>wenn der Grenzwert überschritten wurde, bis die Maßnahmen gemäß Artikel 3 ergriffen worden sind.</w:t>
      </w:r>
    </w:p>
    <w:p w:rsidR="005644CD" w:rsidRDefault="005644CD">
      <w:pPr>
        <w:pStyle w:val="berschrift2"/>
        <w:jc w:val="left"/>
      </w:pPr>
      <w:bookmarkStart w:id="22" w:name="_Toc129501333"/>
      <w:r>
        <w:t>Anhang IV</w:t>
      </w:r>
      <w:r>
        <w:br/>
        <w:t>Referenzanalysemethode im Rahmen der vorliegenden Richtlinie</w:t>
      </w:r>
      <w:bookmarkEnd w:id="22"/>
    </w:p>
    <w:p w:rsidR="005644CD" w:rsidRDefault="005644CD">
      <w:pPr>
        <w:pStyle w:val="GesAbsatz"/>
        <w:tabs>
          <w:tab w:val="clear" w:pos="425"/>
        </w:tabs>
      </w:pPr>
      <w:r>
        <w:t>Als Referenzmethode zur Bestimmung der Stickstoffoxide gilt die in der ISO-Norm DIS 7996 beschriebene Chemilumineszenz-Methode.</w:t>
      </w:r>
    </w:p>
    <w:p w:rsidR="005644CD" w:rsidRDefault="005644CD">
      <w:pPr>
        <w:pStyle w:val="GesAbsatz"/>
        <w:tabs>
          <w:tab w:val="clear" w:pos="425"/>
        </w:tabs>
      </w:pPr>
      <w:r>
        <w:t>Für diese Methode sind die sprachlichen Fassungen, die die ISO herausgegeben hat, und die übrigen Fa</w:t>
      </w:r>
      <w:r>
        <w:t>s</w:t>
      </w:r>
      <w:r>
        <w:t>sungen, deren Übereinstimmung hiermit von der Kommission bestätigt wird, verbindlich.</w:t>
      </w:r>
    </w:p>
    <w:p w:rsidR="005644CD" w:rsidRDefault="005644CD">
      <w:pPr>
        <w:pStyle w:val="GesAbsatz"/>
        <w:tabs>
          <w:tab w:val="clear" w:pos="425"/>
        </w:tabs>
      </w:pPr>
      <w:r>
        <w:t>Bei der Messung sollten folgende Punkte berücksichtigt werden:</w:t>
      </w:r>
    </w:p>
    <w:p w:rsidR="005644CD" w:rsidRDefault="001B0189" w:rsidP="001B0189">
      <w:pPr>
        <w:pStyle w:val="GesAbsatz"/>
        <w:tabs>
          <w:tab w:val="clear" w:pos="425"/>
        </w:tabs>
        <w:ind w:left="426" w:hanging="426"/>
      </w:pPr>
      <w:r>
        <w:t>1.</w:t>
      </w:r>
      <w:r>
        <w:tab/>
      </w:r>
      <w:r w:rsidR="005644CD">
        <w:t>Der Probenahmekopf sollte von Gebäuden mindestens 0,5 m entfernt sein, um eine Abschirmung zu vermeiden.</w:t>
      </w:r>
    </w:p>
    <w:p w:rsidR="005644CD" w:rsidRDefault="001B0189" w:rsidP="001B0189">
      <w:pPr>
        <w:pStyle w:val="GesAbsatz"/>
        <w:tabs>
          <w:tab w:val="clear" w:pos="425"/>
        </w:tabs>
        <w:ind w:left="426" w:hanging="426"/>
      </w:pPr>
      <w:r>
        <w:t>2.</w:t>
      </w:r>
      <w:r>
        <w:tab/>
      </w:r>
      <w:r w:rsidR="005644CD">
        <w:t>Die Probenahmeleitung (Rohrsystem und Anschlüsse) sollte aus inertem Material gefertigt sein (z.B. Glas, PTFE, rostfreier Stahl), das keine Veränderung der Stickstoffdioxidkonzentration bewirkt.</w:t>
      </w:r>
    </w:p>
    <w:p w:rsidR="005644CD" w:rsidRDefault="001B0189" w:rsidP="001B0189">
      <w:pPr>
        <w:pStyle w:val="GesAbsatz"/>
        <w:tabs>
          <w:tab w:val="clear" w:pos="425"/>
        </w:tabs>
        <w:ind w:left="426" w:hanging="426"/>
      </w:pPr>
      <w:r>
        <w:t>3.</w:t>
      </w:r>
      <w:r>
        <w:tab/>
      </w:r>
      <w:r w:rsidR="005644CD">
        <w:t>Die Probenahmeleitung zwischen dem Probenahmekopf und dem Instrument sollte so kurz wie möglich sein. Die Verweilzeit des Probegases in der Probenahmeleitung sollte 10 Sekunden nicht überschre</w:t>
      </w:r>
      <w:r w:rsidR="005644CD">
        <w:t>i</w:t>
      </w:r>
      <w:r w:rsidR="005644CD">
        <w:t>ten.</w:t>
      </w:r>
    </w:p>
    <w:p w:rsidR="005644CD" w:rsidRDefault="001B0189" w:rsidP="001B0189">
      <w:pPr>
        <w:pStyle w:val="GesAbsatz"/>
        <w:tabs>
          <w:tab w:val="clear" w:pos="425"/>
        </w:tabs>
        <w:ind w:left="426" w:hanging="426"/>
      </w:pPr>
      <w:r>
        <w:t>4.</w:t>
      </w:r>
      <w:r>
        <w:tab/>
      </w:r>
      <w:r w:rsidR="005644CD">
        <w:t>Die Eintrittsstelle für die Probenahme ist gegen Regen und Insekten zu schützen. Wird ein Filter vorg</w:t>
      </w:r>
      <w:r w:rsidR="005644CD">
        <w:t>e</w:t>
      </w:r>
      <w:r w:rsidR="005644CD">
        <w:t>schaltet, sollte er so gewählt und gewartet werden (regelmäßige Reinigung), daß die Stickstoffdioxi</w:t>
      </w:r>
      <w:r w:rsidR="005644CD">
        <w:t>d</w:t>
      </w:r>
      <w:r w:rsidR="005644CD">
        <w:t>konzentration möglichst wenig beeinflußt wird.</w:t>
      </w:r>
    </w:p>
    <w:p w:rsidR="005644CD" w:rsidRDefault="001B0189" w:rsidP="001B0189">
      <w:pPr>
        <w:pStyle w:val="GesAbsatz"/>
        <w:tabs>
          <w:tab w:val="clear" w:pos="425"/>
        </w:tabs>
        <w:ind w:left="426" w:hanging="426"/>
      </w:pPr>
      <w:r>
        <w:t>5.</w:t>
      </w:r>
      <w:r>
        <w:tab/>
      </w:r>
      <w:r w:rsidR="005644CD">
        <w:t>Kondensation in der Probenahmeleitung ist zu vermeiden.</w:t>
      </w:r>
    </w:p>
    <w:p w:rsidR="005644CD" w:rsidRDefault="001B0189" w:rsidP="001B0189">
      <w:pPr>
        <w:pStyle w:val="GesAbsatz"/>
        <w:tabs>
          <w:tab w:val="clear" w:pos="425"/>
        </w:tabs>
        <w:ind w:left="426" w:hanging="426"/>
      </w:pPr>
      <w:r>
        <w:t>6.</w:t>
      </w:r>
      <w:r>
        <w:tab/>
      </w:r>
      <w:r w:rsidR="005644CD">
        <w:t>Die Probenahmeleitung sollte entsprechend den örtlichen Gegebenheiten regelmäßig gereinigt werden.</w:t>
      </w:r>
    </w:p>
    <w:p w:rsidR="005644CD" w:rsidRDefault="001B0189" w:rsidP="001B0189">
      <w:pPr>
        <w:pStyle w:val="GesAbsatz"/>
        <w:tabs>
          <w:tab w:val="clear" w:pos="425"/>
        </w:tabs>
        <w:ind w:left="426" w:hanging="426"/>
      </w:pPr>
      <w:r>
        <w:t>7.</w:t>
      </w:r>
      <w:r>
        <w:tab/>
      </w:r>
      <w:r w:rsidR="005644CD">
        <w:t>Die Ableitung von Gas aus dem Meßgerät und dem Kalibriersystem darf die Probenahme nicht beei</w:t>
      </w:r>
      <w:r w:rsidR="005644CD">
        <w:t>n</w:t>
      </w:r>
      <w:r w:rsidR="005644CD">
        <w:t>flussen.</w:t>
      </w:r>
    </w:p>
    <w:p w:rsidR="005644CD" w:rsidRDefault="001B0189" w:rsidP="001B0189">
      <w:pPr>
        <w:pStyle w:val="GesAbsatz"/>
        <w:tabs>
          <w:tab w:val="clear" w:pos="425"/>
        </w:tabs>
        <w:ind w:left="426" w:hanging="426"/>
      </w:pPr>
      <w:r>
        <w:t>8.</w:t>
      </w:r>
      <w:r>
        <w:tab/>
      </w:r>
      <w:r w:rsidR="005644CD">
        <w:t>Die Nebeneinrichtungen (zur Konditionierung der Raumluft und zur Datenübermittlung) dürfen die Pr</w:t>
      </w:r>
      <w:r w:rsidR="005644CD">
        <w:t>o</w:t>
      </w:r>
      <w:r w:rsidR="005644CD">
        <w:t>benahme am Probenahmekopf nicht beeinflussen.</w:t>
      </w:r>
    </w:p>
    <w:p w:rsidR="005644CD" w:rsidRDefault="001B0189" w:rsidP="001B0189">
      <w:pPr>
        <w:pStyle w:val="GesAbsatz"/>
        <w:tabs>
          <w:tab w:val="clear" w:pos="425"/>
        </w:tabs>
        <w:ind w:left="426" w:hanging="426"/>
      </w:pPr>
      <w:r>
        <w:t>9.</w:t>
      </w:r>
      <w:r>
        <w:tab/>
      </w:r>
      <w:r w:rsidR="005644CD">
        <w:t>Es sind alle zweckdienlichen Vorkehrungen zu treffen, damit die durch Temperaturveränderungen ve</w:t>
      </w:r>
      <w:r w:rsidR="005644CD">
        <w:t>r</w:t>
      </w:r>
      <w:r w:rsidR="005644CD">
        <w:t>ursachten Meßfehler gering bleiben.</w:t>
      </w:r>
    </w:p>
    <w:p w:rsidR="005644CD" w:rsidRDefault="001B0189" w:rsidP="001B0189">
      <w:pPr>
        <w:pStyle w:val="GesAbsatz"/>
        <w:tabs>
          <w:tab w:val="clear" w:pos="425"/>
        </w:tabs>
        <w:ind w:left="426" w:hanging="426"/>
      </w:pPr>
      <w:r>
        <w:t>10.</w:t>
      </w:r>
      <w:r>
        <w:tab/>
      </w:r>
      <w:r w:rsidR="005644CD">
        <w:t>Die Instrumente sollten regelmäßig kalibriert werden.</w:t>
      </w:r>
    </w:p>
    <w:p w:rsidR="005644CD" w:rsidRDefault="001B0189" w:rsidP="001B0189">
      <w:pPr>
        <w:pStyle w:val="GesAbsatz"/>
        <w:tabs>
          <w:tab w:val="clear" w:pos="425"/>
        </w:tabs>
        <w:ind w:left="426" w:hanging="426"/>
      </w:pPr>
      <w:r>
        <w:t>11.</w:t>
      </w:r>
      <w:r>
        <w:tab/>
      </w:r>
      <w:r w:rsidR="005644CD">
        <w:t>Die Probenahmeleitung muß luftdicht sein, und der Durchsatz muß regelmäßig kontrolliert werden.</w:t>
      </w:r>
    </w:p>
    <w:p w:rsidR="005644CD" w:rsidRDefault="005644CD">
      <w:pPr>
        <w:pStyle w:val="GesAbsatz"/>
        <w:tabs>
          <w:tab w:val="clear" w:pos="425"/>
        </w:tabs>
      </w:pPr>
    </w:p>
    <w:p w:rsidR="005644CD" w:rsidRDefault="005644CD">
      <w:pPr>
        <w:pStyle w:val="GesAbsatz"/>
      </w:pPr>
    </w:p>
    <w:sectPr w:rsidR="005644CD">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0F" w:rsidRDefault="00B21E0F">
      <w:r>
        <w:separator/>
      </w:r>
    </w:p>
  </w:endnote>
  <w:endnote w:type="continuationSeparator" w:id="0">
    <w:p w:rsidR="00B21E0F" w:rsidRDefault="00B2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4CD" w:rsidRDefault="005644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644CD" w:rsidRDefault="005644C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4CD" w:rsidRPr="006B5405" w:rsidRDefault="005644CD" w:rsidP="006B5405">
    <w:pPr>
      <w:pStyle w:val="Fuzeile"/>
    </w:pPr>
    <w:r>
      <w:tab/>
    </w:r>
    <w:r w:rsidR="006B5405">
      <w:t>0</w:t>
    </w:r>
    <w:r>
      <w:t>7.</w:t>
    </w:r>
    <w:r w:rsidR="006B5405">
      <w:t>0</w:t>
    </w:r>
    <w:r>
      <w:t>3.</w:t>
    </w:r>
    <w:r w:rsidR="001B0189">
      <w:t>19</w:t>
    </w:r>
    <w:r>
      <w:t>85 (ABl.</w:t>
    </w:r>
    <w:r w:rsidR="00BE676E">
      <w:t xml:space="preserve"> </w:t>
    </w:r>
    <w:r>
      <w:t>L 87 vom 27.</w:t>
    </w:r>
    <w:r w:rsidR="006B5405" w:rsidRPr="006B5405">
      <w:t>0</w:t>
    </w:r>
    <w:r w:rsidRPr="006B5405">
      <w:t>3.</w:t>
    </w:r>
    <w:r w:rsidR="00BE676E" w:rsidRPr="006B5405">
      <w:t>19</w:t>
    </w:r>
    <w:r w:rsidRPr="006B5405">
      <w:t>85</w:t>
    </w:r>
    <w:r w:rsidR="001B0189" w:rsidRPr="006B5405">
      <w:t xml:space="preserve"> S. 1</w:t>
    </w:r>
    <w:r w:rsidRPr="006B5405">
      <w:t>)</w:t>
    </w:r>
    <w:r w:rsidRPr="006B5405">
      <w:tab/>
      <w:t xml:space="preserve">Seite </w:t>
    </w:r>
    <w:r w:rsidRPr="006B5405">
      <w:fldChar w:fldCharType="begin"/>
    </w:r>
    <w:r w:rsidRPr="006B5405">
      <w:instrText xml:space="preserve"> PAGE  \* MERGEFORMAT </w:instrText>
    </w:r>
    <w:r w:rsidRPr="006B5405">
      <w:fldChar w:fldCharType="separate"/>
    </w:r>
    <w:r w:rsidR="006B5405">
      <w:rPr>
        <w:noProof/>
      </w:rPr>
      <w:t>1</w:t>
    </w:r>
    <w:r w:rsidRPr="006B5405">
      <w:fldChar w:fldCharType="end"/>
    </w:r>
  </w:p>
  <w:p w:rsidR="005644CD" w:rsidRDefault="005644CD" w:rsidP="006B5405">
    <w:pPr>
      <w:pStyle w:val="Fuzeile"/>
    </w:pPr>
    <w:r w:rsidRPr="006B5405">
      <w:tab/>
      <w:t xml:space="preserve">Stand </w:t>
    </w:r>
    <w:r w:rsidR="006B5405" w:rsidRPr="006B5405">
      <w:t>0</w:t>
    </w:r>
    <w:r w:rsidRPr="006B5405">
      <w:t>1.</w:t>
    </w:r>
    <w:r w:rsidR="006B5405" w:rsidRPr="006B5405">
      <w:t>0</w:t>
    </w:r>
    <w:r w:rsidRPr="006B5405">
      <w:t>1.</w:t>
    </w:r>
    <w:r w:rsidR="001B0189" w:rsidRPr="006B5405">
      <w:t>19</w:t>
    </w:r>
    <w:r w:rsidRPr="006B5405">
      <w:t>95 (</w:t>
    </w:r>
    <w:r>
      <w:t>ABl. L 1 S.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0F" w:rsidRDefault="00B21E0F">
      <w:r>
        <w:separator/>
      </w:r>
    </w:p>
  </w:footnote>
  <w:footnote w:type="continuationSeparator" w:id="0">
    <w:p w:rsidR="00B21E0F" w:rsidRDefault="00B21E0F">
      <w:r>
        <w:continuationSeparator/>
      </w:r>
    </w:p>
  </w:footnote>
  <w:footnote w:id="1">
    <w:p w:rsidR="005644CD" w:rsidRDefault="005644CD" w:rsidP="00BE676E">
      <w:pPr>
        <w:pStyle w:val="Funotentext"/>
      </w:pPr>
      <w:r>
        <w:rPr>
          <w:rStyle w:val="Funotenzeichen"/>
          <w:sz w:val="16"/>
        </w:rPr>
        <w:footnoteRef/>
      </w:r>
      <w:r>
        <w:t xml:space="preserve"> ABl. Nr. C 258 vom 27.9.1983, S. 3</w:t>
      </w:r>
    </w:p>
  </w:footnote>
  <w:footnote w:id="2">
    <w:p w:rsidR="005644CD" w:rsidRDefault="005644CD" w:rsidP="00BE676E">
      <w:pPr>
        <w:pStyle w:val="Funotentext"/>
      </w:pPr>
      <w:r>
        <w:rPr>
          <w:rStyle w:val="Funotenzeichen"/>
          <w:sz w:val="16"/>
        </w:rPr>
        <w:footnoteRef/>
      </w:r>
      <w:r>
        <w:t xml:space="preserve"> ABl. Nr. C 337 vom 17.12.1984, S. 434</w:t>
      </w:r>
    </w:p>
  </w:footnote>
  <w:footnote w:id="3">
    <w:p w:rsidR="005644CD" w:rsidRDefault="005644CD" w:rsidP="00BE676E">
      <w:pPr>
        <w:pStyle w:val="Funotentext"/>
      </w:pPr>
      <w:r>
        <w:rPr>
          <w:rStyle w:val="Funotenzeichen"/>
          <w:sz w:val="16"/>
        </w:rPr>
        <w:footnoteRef/>
      </w:r>
      <w:r>
        <w:t xml:space="preserve"> ABl. Nr. C 206 vom 6.8.1984, S. 1</w:t>
      </w:r>
    </w:p>
  </w:footnote>
  <w:footnote w:id="4">
    <w:p w:rsidR="005644CD" w:rsidRDefault="005644CD" w:rsidP="00BE676E">
      <w:pPr>
        <w:pStyle w:val="Funotentext"/>
      </w:pPr>
      <w:r>
        <w:rPr>
          <w:rStyle w:val="Funotenzeichen"/>
          <w:sz w:val="16"/>
        </w:rPr>
        <w:footnoteRef/>
      </w:r>
      <w:r>
        <w:t xml:space="preserve"> ABl. Nr. C 112 vom 20.12.1973, S. 1</w:t>
      </w:r>
    </w:p>
  </w:footnote>
  <w:footnote w:id="5">
    <w:p w:rsidR="005644CD" w:rsidRDefault="005644CD" w:rsidP="00BE676E">
      <w:pPr>
        <w:pStyle w:val="Funotentext"/>
      </w:pPr>
      <w:r>
        <w:rPr>
          <w:rStyle w:val="Funotenzeichen"/>
          <w:sz w:val="16"/>
        </w:rPr>
        <w:footnoteRef/>
      </w:r>
      <w:r>
        <w:t xml:space="preserve"> ABl. Nr. C 139 vom 13.6.1977, S. 1</w:t>
      </w:r>
    </w:p>
  </w:footnote>
  <w:footnote w:id="6">
    <w:p w:rsidR="005644CD" w:rsidRDefault="005644CD" w:rsidP="00BE676E">
      <w:pPr>
        <w:pStyle w:val="Funotentext"/>
      </w:pPr>
      <w:r>
        <w:rPr>
          <w:rStyle w:val="Funotenzeichen"/>
          <w:sz w:val="16"/>
        </w:rPr>
        <w:footnoteRef/>
      </w:r>
      <w:r>
        <w:t xml:space="preserve"> ABl. Nr. C 46 vom 17.2.1983, S. 1</w:t>
      </w:r>
    </w:p>
  </w:footnote>
  <w:footnote w:id="7">
    <w:p w:rsidR="005644CD" w:rsidRDefault="005644CD" w:rsidP="00BE676E">
      <w:pPr>
        <w:pStyle w:val="Funotentext"/>
      </w:pPr>
      <w:r>
        <w:rPr>
          <w:rStyle w:val="Funotenzeichen"/>
          <w:sz w:val="16"/>
        </w:rPr>
        <w:footnoteRef/>
      </w:r>
      <w:r>
        <w:t xml:space="preserve"> In Deutschland geltende Übergangsmaßnahmen gemäß Artikel 12 der Richtlinie 90/656/EWG vom 4.12.1990 (ABl.</w:t>
      </w:r>
      <w:r w:rsidR="00BE676E">
        <w:t xml:space="preserve"> </w:t>
      </w:r>
      <w:r>
        <w:t>EG vom 17.12.1990 Nr. L 353/59): In Abweichung von der Richtlinie 85/203/EWG ist Deutschland ermächtigt, für das Gebiet der ehemaligen Deutschen Demokratischen Republik im Bereich jener Richtlinie vorzusehen, daß</w:t>
      </w:r>
    </w:p>
    <w:p w:rsidR="005644CD" w:rsidRDefault="005644CD" w:rsidP="00BE676E">
      <w:pPr>
        <w:pStyle w:val="Funotentext"/>
        <w:tabs>
          <w:tab w:val="clear" w:pos="425"/>
        </w:tabs>
        <w:ind w:left="284" w:hanging="284"/>
      </w:pPr>
      <w:r>
        <w:t>-</w:t>
      </w:r>
      <w:r>
        <w:tab/>
        <w:t>die Verpflichtung zur Einhaltung des Grenzwertes für die Stickstoffkonzentration in der Luft nach Artikel 3 Absatz 1 bis zum 31. Dezember 1991 nachzukommen ist;</w:t>
      </w:r>
    </w:p>
    <w:p w:rsidR="005644CD" w:rsidRDefault="005644CD" w:rsidP="00BE676E">
      <w:pPr>
        <w:pStyle w:val="Funotentext"/>
        <w:tabs>
          <w:tab w:val="clear" w:pos="425"/>
        </w:tabs>
        <w:ind w:left="284" w:hanging="284"/>
      </w:pPr>
      <w:r>
        <w:t>-</w:t>
      </w:r>
      <w:r>
        <w:tab/>
        <w:t>die Fristen nach Artikel 3 Absatz 2 bis zum 31. Dezember 1991 ausgedehnt werden;</w:t>
      </w:r>
    </w:p>
    <w:p w:rsidR="005644CD" w:rsidRDefault="005644CD" w:rsidP="00BE676E">
      <w:pPr>
        <w:pStyle w:val="Funotentext"/>
        <w:tabs>
          <w:tab w:val="clear" w:pos="425"/>
        </w:tabs>
        <w:ind w:left="284" w:hanging="284"/>
      </w:pPr>
      <w:r>
        <w:t>-</w:t>
      </w:r>
      <w:r>
        <w:tab/>
        <w:t xml:space="preserve">die Frist für die Übermittlung von Verbesserungsplänen nach Artikel 3 Absatz 2 Unterabsatz 2 Satz </w:t>
      </w:r>
      <w:smartTag w:uri="urn:schemas-microsoft-com:office:smarttags" w:element="time">
        <w:smartTagPr>
          <w:attr w:name="Minute" w:val="0"/>
          <w:attr w:name="Hour" w:val="1"/>
        </w:smartTagPr>
        <w:r>
          <w:t>1 am</w:t>
        </w:r>
      </w:smartTag>
      <w:r>
        <w:t xml:space="preserve"> 31. Dezember 1992 endet;</w:t>
      </w:r>
    </w:p>
    <w:p w:rsidR="005644CD" w:rsidRDefault="005644CD" w:rsidP="00BE676E">
      <w:pPr>
        <w:pStyle w:val="Funotentext"/>
        <w:tabs>
          <w:tab w:val="clear" w:pos="425"/>
        </w:tabs>
        <w:ind w:left="284" w:hanging="284"/>
      </w:pPr>
      <w:r>
        <w:t>-</w:t>
      </w:r>
      <w:r>
        <w:tab/>
        <w:t>die Frist nach Artikel 3 Absatz 2 bis zum 31. Dezember 1995 verlängert wird.</w:t>
      </w:r>
    </w:p>
  </w:footnote>
  <w:footnote w:id="8">
    <w:p w:rsidR="005644CD" w:rsidRDefault="005644CD" w:rsidP="00BE676E">
      <w:pPr>
        <w:pStyle w:val="Funotentext"/>
      </w:pPr>
      <w:r>
        <w:rPr>
          <w:rStyle w:val="Funotenzeichen"/>
          <w:sz w:val="16"/>
        </w:rPr>
        <w:footnoteRef/>
      </w:r>
      <w:r>
        <w:t xml:space="preserve"> ABl. Nr. L 377 vom 31.12.1991, S. 48</w:t>
      </w:r>
    </w:p>
  </w:footnote>
  <w:footnote w:id="9">
    <w:p w:rsidR="005644CD" w:rsidRDefault="005644CD" w:rsidP="00BE676E">
      <w:pPr>
        <w:pStyle w:val="Funotentext"/>
      </w:pPr>
      <w:r>
        <w:rPr>
          <w:rStyle w:val="Funotenzeichen"/>
          <w:sz w:val="16"/>
        </w:rPr>
        <w:footnoteRef/>
      </w:r>
      <w:r>
        <w:t xml:space="preserve"> Der jährliche Bezugszeitraum beginnt am 1. Januar und endet am 31. Dezember eines Kalenderjahres.</w:t>
      </w:r>
    </w:p>
  </w:footnote>
  <w:footnote w:id="10">
    <w:p w:rsidR="005644CD" w:rsidRDefault="005644CD" w:rsidP="00BE676E">
      <w:pPr>
        <w:pStyle w:val="Funotentext"/>
      </w:pPr>
      <w:r>
        <w:rPr>
          <w:rStyle w:val="Funotenzeichen"/>
          <w:sz w:val="16"/>
        </w:rPr>
        <w:footnoteRef/>
      </w:r>
      <w:r>
        <w:t xml:space="preserve"> Damit der berechnete 98-%-Wert als gültig anerkannt wird, müssen - so gleichmäßig wie möglich auf das Meßjahr verteilt - 75 % der möglichen Meßwerte der jeweiligen Meßstation vorliegen. </w:t>
      </w:r>
    </w:p>
    <w:p w:rsidR="005644CD" w:rsidRDefault="005644CD" w:rsidP="00BE676E">
      <w:pPr>
        <w:pStyle w:val="Funotentext"/>
      </w:pPr>
      <w:r>
        <w:t>Falls von einer Meßstation für einen Zeitraum von mehr als zehn Tagen kein Meßwert vorliegt, so ist der berechnete 98 %-Wert en</w:t>
      </w:r>
      <w:r>
        <w:t>t</w:t>
      </w:r>
      <w:r>
        <w:t xml:space="preserve">sprechend zu kennzeichnen. </w:t>
      </w:r>
    </w:p>
    <w:p w:rsidR="005644CD" w:rsidRDefault="005644CD" w:rsidP="00BE676E">
      <w:pPr>
        <w:pStyle w:val="Funotentext"/>
      </w:pPr>
      <w:r>
        <w:t>Die Berechnung des 98-%-Wertes, ausgehend von den Meßwerten eines Jahres, wird wie folgt durchgeführt: Grundlage sind die ta</w:t>
      </w:r>
      <w:r>
        <w:t>t</w:t>
      </w:r>
      <w:r>
        <w:t>sächlichen Meßwarte, gerundet auf das nächste µg/m³. Für jede Meßstation werden alle Meßwerte der Größe nach geordnet</w:t>
      </w:r>
    </w:p>
    <w:p w:rsidR="005644CD" w:rsidRDefault="005644CD" w:rsidP="00BE676E">
      <w:pPr>
        <w:pStyle w:val="Funotentext"/>
        <w:ind w:left="425" w:hanging="425"/>
        <w:jc w:val="center"/>
      </w:pPr>
      <w:r>
        <w:t>X</w:t>
      </w:r>
      <w:r>
        <w:rPr>
          <w:vertAlign w:val="subscript"/>
        </w:rPr>
        <w:t xml:space="preserve">1 </w:t>
      </w:r>
      <w:r>
        <w:sym w:font="Symbol" w:char="F0A3"/>
      </w:r>
      <w:r>
        <w:t xml:space="preserve"> X</w:t>
      </w:r>
      <w:r>
        <w:rPr>
          <w:vertAlign w:val="subscript"/>
        </w:rPr>
        <w:t>2</w:t>
      </w:r>
      <w:r>
        <w:t xml:space="preserve"> </w:t>
      </w:r>
      <w:r>
        <w:sym w:font="Symbol" w:char="F0A3"/>
      </w:r>
      <w:r>
        <w:t xml:space="preserve"> X</w:t>
      </w:r>
      <w:r>
        <w:rPr>
          <w:vertAlign w:val="subscript"/>
        </w:rPr>
        <w:t>3</w:t>
      </w:r>
      <w:r>
        <w:t xml:space="preserve"> </w:t>
      </w:r>
      <w:r>
        <w:sym w:font="Symbol" w:char="F0A3"/>
      </w:r>
      <w:r>
        <w:t xml:space="preserve"> ..... </w:t>
      </w:r>
      <w:r>
        <w:sym w:font="Symbol" w:char="F0A3"/>
      </w:r>
      <w:r>
        <w:t xml:space="preserve"> </w:t>
      </w:r>
      <w:proofErr w:type="spellStart"/>
      <w:r>
        <w:t>X</w:t>
      </w:r>
      <w:r>
        <w:rPr>
          <w:vertAlign w:val="subscript"/>
        </w:rPr>
        <w:t>k</w:t>
      </w:r>
      <w:proofErr w:type="spellEnd"/>
      <w:r>
        <w:t xml:space="preserve"> </w:t>
      </w:r>
      <w:r>
        <w:sym w:font="Symbol" w:char="F0A3"/>
      </w:r>
      <w:r>
        <w:t xml:space="preserve"> .... </w:t>
      </w:r>
      <w:r>
        <w:sym w:font="Symbol" w:char="F0A3"/>
      </w:r>
      <w:r>
        <w:t xml:space="preserve"> X</w:t>
      </w:r>
      <w:r>
        <w:rPr>
          <w:vertAlign w:val="subscript"/>
        </w:rPr>
        <w:t>N-1</w:t>
      </w:r>
      <w:r>
        <w:t xml:space="preserve"> </w:t>
      </w:r>
      <w:r>
        <w:sym w:font="Symbol" w:char="F0A3"/>
      </w:r>
      <w:r>
        <w:t xml:space="preserve"> X</w:t>
      </w:r>
      <w:r>
        <w:rPr>
          <w:vertAlign w:val="subscript"/>
        </w:rPr>
        <w:t>N</w:t>
      </w:r>
    </w:p>
    <w:p w:rsidR="005644CD" w:rsidRDefault="005644CD" w:rsidP="00BE676E">
      <w:pPr>
        <w:pStyle w:val="Funotentext"/>
      </w:pPr>
      <w:r>
        <w:t>Der 98-%-Wert ist der Wert des k-</w:t>
      </w:r>
      <w:proofErr w:type="spellStart"/>
      <w:r>
        <w:t>ten</w:t>
      </w:r>
      <w:proofErr w:type="spellEnd"/>
      <w:r>
        <w:t xml:space="preserve"> Elements, wobei k nach der folgenden Formel berechnet wird:</w:t>
      </w:r>
    </w:p>
    <w:p w:rsidR="005644CD" w:rsidRDefault="005644CD" w:rsidP="00BE676E">
      <w:pPr>
        <w:pStyle w:val="Funotentext"/>
        <w:jc w:val="center"/>
      </w:pPr>
      <w:r>
        <w:t>k = (q x N)</w:t>
      </w:r>
    </w:p>
    <w:p w:rsidR="005644CD" w:rsidRDefault="005644CD" w:rsidP="00BE676E">
      <w:pPr>
        <w:pStyle w:val="Funotentext"/>
      </w:pPr>
      <w:r>
        <w:t xml:space="preserve">Für den 98-%-Wert ist q gleich 0,98 und für den 50-%-Wert gleich 0,50, während N die Anzahl der tatsächlich gemessenen Werte ist. Der Wert q x N ist auf die nächste ganze Zahl zu runden. </w:t>
      </w:r>
    </w:p>
    <w:p w:rsidR="005644CD" w:rsidRDefault="005644CD" w:rsidP="00BE676E">
      <w:pPr>
        <w:pStyle w:val="Funotentext"/>
      </w:pPr>
      <w:r>
        <w:t>Falls die vorhandenen Meßgeräte die Meßwerte noch nicht diskret, sondern lediglich in Klassen mit einer Breite von mehr als 1 µm/m³ angegeben, kann der betreffende Mitgliedstaat den 98-%-Wert durch Interpolation berechnen, sofern die Kommission der Interpolat</w:t>
      </w:r>
      <w:r>
        <w:t>i</w:t>
      </w:r>
      <w:r>
        <w:t>onsformel zugestimmt hat und die Klassenbreite nicht größer als 10 µm/m³ ist. Diese befristete Ausnahmeregelung gilt lediglich für die gegenwärtig installierten Geräte für deren Lebensdauer, jedoch höchstens zehn Jahre vom Zeitpunkt des Inkrafttretens der Richtlinie 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4CD" w:rsidRDefault="00A03884" w:rsidP="006B5405">
    <w:pPr>
      <w:pStyle w:val="Kopfzeile0"/>
    </w:pPr>
    <w:r>
      <w:t>Archiv6.67</w:t>
    </w:r>
  </w:p>
  <w:p w:rsidR="005644CD" w:rsidRDefault="005644CD">
    <w:pPr>
      <w:pStyle w:val="Kopfzeile"/>
    </w:pPr>
    <w:r>
      <w:t>85/203/EWG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10926"/>
    <w:multiLevelType w:val="singleLevel"/>
    <w:tmpl w:val="46CA48A8"/>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6E"/>
    <w:rsid w:val="0006362A"/>
    <w:rsid w:val="001B0189"/>
    <w:rsid w:val="002533D9"/>
    <w:rsid w:val="00330AE2"/>
    <w:rsid w:val="00434BCA"/>
    <w:rsid w:val="005644CD"/>
    <w:rsid w:val="00643DA5"/>
    <w:rsid w:val="006B5405"/>
    <w:rsid w:val="00727E5C"/>
    <w:rsid w:val="00824F5A"/>
    <w:rsid w:val="00A03884"/>
    <w:rsid w:val="00A3618C"/>
    <w:rsid w:val="00B21E0F"/>
    <w:rsid w:val="00B52DB4"/>
    <w:rsid w:val="00BE676E"/>
    <w:rsid w:val="00E16D97"/>
    <w:rsid w:val="00F767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B540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6B5405"/>
    <w:pPr>
      <w:keepNext/>
      <w:spacing w:after="120"/>
      <w:jc w:val="center"/>
      <w:outlineLvl w:val="0"/>
    </w:pPr>
    <w:rPr>
      <w:b/>
      <w:kern w:val="28"/>
      <w:sz w:val="28"/>
    </w:rPr>
  </w:style>
  <w:style w:type="paragraph" w:styleId="berschrift2">
    <w:name w:val="heading 2"/>
    <w:basedOn w:val="Standard"/>
    <w:next w:val="GesAbsatz"/>
    <w:qFormat/>
    <w:rsid w:val="006B5405"/>
    <w:pPr>
      <w:keepNext/>
      <w:spacing w:before="240"/>
      <w:jc w:val="center"/>
      <w:outlineLvl w:val="1"/>
    </w:pPr>
    <w:rPr>
      <w:b/>
      <w:sz w:val="24"/>
    </w:rPr>
  </w:style>
  <w:style w:type="paragraph" w:styleId="berschrift3">
    <w:name w:val="heading 3"/>
    <w:basedOn w:val="Standard"/>
    <w:next w:val="GesAbsatz"/>
    <w:qFormat/>
    <w:rsid w:val="006B5405"/>
    <w:pPr>
      <w:keepNext/>
      <w:spacing w:before="240" w:after="180"/>
      <w:jc w:val="center"/>
      <w:outlineLvl w:val="2"/>
    </w:pPr>
    <w:rPr>
      <w:b/>
    </w:rPr>
  </w:style>
  <w:style w:type="paragraph" w:styleId="berschrift4">
    <w:name w:val="heading 4"/>
    <w:basedOn w:val="Standard"/>
    <w:next w:val="Standard"/>
    <w:rsid w:val="006B5405"/>
    <w:pPr>
      <w:keepNext/>
      <w:spacing w:before="240"/>
      <w:outlineLvl w:val="3"/>
    </w:pPr>
  </w:style>
  <w:style w:type="paragraph" w:styleId="berschrift5">
    <w:name w:val="heading 5"/>
    <w:basedOn w:val="Standard"/>
    <w:next w:val="Standard"/>
    <w:rsid w:val="006B5405"/>
    <w:pPr>
      <w:spacing w:before="120"/>
      <w:ind w:left="709" w:hanging="709"/>
      <w:outlineLvl w:val="4"/>
    </w:pPr>
  </w:style>
  <w:style w:type="character" w:default="1" w:styleId="Absatz-Standardschriftart">
    <w:name w:val="Default Paragraph Font"/>
    <w:uiPriority w:val="1"/>
    <w:semiHidden/>
    <w:unhideWhenUsed/>
    <w:rsid w:val="006B540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6B5405"/>
  </w:style>
  <w:style w:type="paragraph" w:styleId="Kopfzeile">
    <w:name w:val="header"/>
    <w:basedOn w:val="Standard"/>
    <w:qFormat/>
    <w:rsid w:val="006B5405"/>
    <w:pPr>
      <w:tabs>
        <w:tab w:val="center" w:pos="4536"/>
        <w:tab w:val="right" w:pos="9072"/>
      </w:tabs>
      <w:spacing w:before="0" w:after="120"/>
      <w:jc w:val="right"/>
    </w:pPr>
  </w:style>
  <w:style w:type="paragraph" w:styleId="Fuzeile">
    <w:name w:val="footer"/>
    <w:basedOn w:val="Standard"/>
    <w:qFormat/>
    <w:rsid w:val="006B5405"/>
    <w:pPr>
      <w:tabs>
        <w:tab w:val="clear" w:pos="425"/>
        <w:tab w:val="right" w:pos="8505"/>
        <w:tab w:val="right" w:pos="9639"/>
      </w:tabs>
      <w:spacing w:before="0" w:after="0"/>
      <w:jc w:val="left"/>
    </w:pPr>
    <w:rPr>
      <w:sz w:val="16"/>
    </w:rPr>
  </w:style>
  <w:style w:type="character" w:styleId="Seitenzahl">
    <w:name w:val="page number"/>
    <w:rsid w:val="006B5405"/>
    <w:rPr>
      <w:rFonts w:ascii="Arial" w:hAnsi="Arial"/>
      <w:sz w:val="16"/>
    </w:rPr>
  </w:style>
  <w:style w:type="paragraph" w:styleId="Verzeichnis2">
    <w:name w:val="toc 2"/>
    <w:basedOn w:val="Standard"/>
    <w:next w:val="Standard"/>
    <w:semiHidden/>
    <w:rsid w:val="006B5405"/>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6B5405"/>
    <w:pPr>
      <w:spacing w:before="0" w:after="0"/>
      <w:jc w:val="right"/>
    </w:pPr>
    <w:rPr>
      <w:b/>
      <w:sz w:val="24"/>
    </w:rPr>
  </w:style>
  <w:style w:type="paragraph" w:styleId="Verzeichnis3">
    <w:name w:val="toc 3"/>
    <w:basedOn w:val="Standard"/>
    <w:next w:val="Standard"/>
    <w:semiHidden/>
    <w:rsid w:val="006B540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6B5405"/>
    <w:pPr>
      <w:spacing w:before="0" w:after="0"/>
    </w:pPr>
    <w:rPr>
      <w:sz w:val="16"/>
    </w:rPr>
  </w:style>
  <w:style w:type="paragraph" w:styleId="Verzeichnis1">
    <w:name w:val="toc 1"/>
    <w:basedOn w:val="Verzeichnis3"/>
    <w:next w:val="Standard"/>
    <w:semiHidden/>
    <w:rsid w:val="006B5405"/>
    <w:pPr>
      <w:spacing w:before="120" w:after="120"/>
      <w:ind w:left="0"/>
    </w:pPr>
    <w:rPr>
      <w:b/>
      <w:i w:val="0"/>
      <w:caps/>
    </w:rPr>
  </w:style>
  <w:style w:type="paragraph" w:customStyle="1" w:styleId="GesAbsatz">
    <w:name w:val="GesAbsatz"/>
    <w:basedOn w:val="Standard"/>
    <w:qFormat/>
    <w:rsid w:val="006B5405"/>
    <w:pPr>
      <w:spacing w:before="100"/>
    </w:pPr>
    <w:rPr>
      <w:color w:val="000000"/>
    </w:rPr>
  </w:style>
  <w:style w:type="paragraph" w:styleId="Verzeichnis4">
    <w:name w:val="toc 4"/>
    <w:basedOn w:val="Standard"/>
    <w:next w:val="Standard"/>
    <w:semiHidden/>
    <w:rsid w:val="006B5405"/>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6B5405"/>
    <w:rPr>
      <w:sz w:val="20"/>
      <w:szCs w:val="20"/>
      <w:vertAlign w:val="superscript"/>
    </w:rPr>
  </w:style>
  <w:style w:type="paragraph" w:styleId="Verzeichnis5">
    <w:name w:val="toc 5"/>
    <w:basedOn w:val="Standard"/>
    <w:next w:val="Standard"/>
    <w:semiHidden/>
    <w:rsid w:val="006B540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6B540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6B540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6B540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6B5405"/>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6B54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B5405"/>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6B5405"/>
    <w:pPr>
      <w:keepNext/>
      <w:spacing w:after="120"/>
      <w:jc w:val="center"/>
      <w:outlineLvl w:val="0"/>
    </w:pPr>
    <w:rPr>
      <w:b/>
      <w:kern w:val="28"/>
      <w:sz w:val="28"/>
    </w:rPr>
  </w:style>
  <w:style w:type="paragraph" w:styleId="berschrift2">
    <w:name w:val="heading 2"/>
    <w:basedOn w:val="Standard"/>
    <w:next w:val="GesAbsatz"/>
    <w:qFormat/>
    <w:rsid w:val="006B5405"/>
    <w:pPr>
      <w:keepNext/>
      <w:spacing w:before="240"/>
      <w:jc w:val="center"/>
      <w:outlineLvl w:val="1"/>
    </w:pPr>
    <w:rPr>
      <w:b/>
      <w:sz w:val="24"/>
    </w:rPr>
  </w:style>
  <w:style w:type="paragraph" w:styleId="berschrift3">
    <w:name w:val="heading 3"/>
    <w:basedOn w:val="Standard"/>
    <w:next w:val="GesAbsatz"/>
    <w:qFormat/>
    <w:rsid w:val="006B5405"/>
    <w:pPr>
      <w:keepNext/>
      <w:spacing w:before="240" w:after="180"/>
      <w:jc w:val="center"/>
      <w:outlineLvl w:val="2"/>
    </w:pPr>
    <w:rPr>
      <w:b/>
    </w:rPr>
  </w:style>
  <w:style w:type="paragraph" w:styleId="berschrift4">
    <w:name w:val="heading 4"/>
    <w:basedOn w:val="Standard"/>
    <w:next w:val="Standard"/>
    <w:rsid w:val="006B5405"/>
    <w:pPr>
      <w:keepNext/>
      <w:spacing w:before="240"/>
      <w:outlineLvl w:val="3"/>
    </w:pPr>
  </w:style>
  <w:style w:type="paragraph" w:styleId="berschrift5">
    <w:name w:val="heading 5"/>
    <w:basedOn w:val="Standard"/>
    <w:next w:val="Standard"/>
    <w:rsid w:val="006B5405"/>
    <w:pPr>
      <w:spacing w:before="120"/>
      <w:ind w:left="709" w:hanging="709"/>
      <w:outlineLvl w:val="4"/>
    </w:pPr>
  </w:style>
  <w:style w:type="character" w:default="1" w:styleId="Absatz-Standardschriftart">
    <w:name w:val="Default Paragraph Font"/>
    <w:uiPriority w:val="1"/>
    <w:semiHidden/>
    <w:unhideWhenUsed/>
    <w:rsid w:val="006B540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6B5405"/>
  </w:style>
  <w:style w:type="paragraph" w:styleId="Kopfzeile">
    <w:name w:val="header"/>
    <w:basedOn w:val="Standard"/>
    <w:qFormat/>
    <w:rsid w:val="006B5405"/>
    <w:pPr>
      <w:tabs>
        <w:tab w:val="center" w:pos="4536"/>
        <w:tab w:val="right" w:pos="9072"/>
      </w:tabs>
      <w:spacing w:before="0" w:after="120"/>
      <w:jc w:val="right"/>
    </w:pPr>
  </w:style>
  <w:style w:type="paragraph" w:styleId="Fuzeile">
    <w:name w:val="footer"/>
    <w:basedOn w:val="Standard"/>
    <w:qFormat/>
    <w:rsid w:val="006B5405"/>
    <w:pPr>
      <w:tabs>
        <w:tab w:val="clear" w:pos="425"/>
        <w:tab w:val="right" w:pos="8505"/>
        <w:tab w:val="right" w:pos="9639"/>
      </w:tabs>
      <w:spacing w:before="0" w:after="0"/>
      <w:jc w:val="left"/>
    </w:pPr>
    <w:rPr>
      <w:sz w:val="16"/>
    </w:rPr>
  </w:style>
  <w:style w:type="character" w:styleId="Seitenzahl">
    <w:name w:val="page number"/>
    <w:rsid w:val="006B5405"/>
    <w:rPr>
      <w:rFonts w:ascii="Arial" w:hAnsi="Arial"/>
      <w:sz w:val="16"/>
    </w:rPr>
  </w:style>
  <w:style w:type="paragraph" w:styleId="Verzeichnis2">
    <w:name w:val="toc 2"/>
    <w:basedOn w:val="Standard"/>
    <w:next w:val="Standard"/>
    <w:semiHidden/>
    <w:rsid w:val="006B5405"/>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rsid w:val="006B5405"/>
    <w:pPr>
      <w:spacing w:before="0" w:after="0"/>
      <w:jc w:val="right"/>
    </w:pPr>
    <w:rPr>
      <w:b/>
      <w:sz w:val="24"/>
    </w:rPr>
  </w:style>
  <w:style w:type="paragraph" w:styleId="Verzeichnis3">
    <w:name w:val="toc 3"/>
    <w:basedOn w:val="Standard"/>
    <w:next w:val="Standard"/>
    <w:semiHidden/>
    <w:rsid w:val="006B5405"/>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6B5405"/>
    <w:pPr>
      <w:spacing w:before="0" w:after="0"/>
    </w:pPr>
    <w:rPr>
      <w:sz w:val="16"/>
    </w:rPr>
  </w:style>
  <w:style w:type="paragraph" w:styleId="Verzeichnis1">
    <w:name w:val="toc 1"/>
    <w:basedOn w:val="Verzeichnis3"/>
    <w:next w:val="Standard"/>
    <w:semiHidden/>
    <w:rsid w:val="006B5405"/>
    <w:pPr>
      <w:spacing w:before="120" w:after="120"/>
      <w:ind w:left="0"/>
    </w:pPr>
    <w:rPr>
      <w:b/>
      <w:i w:val="0"/>
      <w:caps/>
    </w:rPr>
  </w:style>
  <w:style w:type="paragraph" w:customStyle="1" w:styleId="GesAbsatz">
    <w:name w:val="GesAbsatz"/>
    <w:basedOn w:val="Standard"/>
    <w:qFormat/>
    <w:rsid w:val="006B5405"/>
    <w:pPr>
      <w:spacing w:before="100"/>
    </w:pPr>
    <w:rPr>
      <w:color w:val="000000"/>
    </w:rPr>
  </w:style>
  <w:style w:type="paragraph" w:styleId="Verzeichnis4">
    <w:name w:val="toc 4"/>
    <w:basedOn w:val="Standard"/>
    <w:next w:val="Standard"/>
    <w:semiHidden/>
    <w:rsid w:val="006B5405"/>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6B5405"/>
    <w:rPr>
      <w:sz w:val="20"/>
      <w:szCs w:val="20"/>
      <w:vertAlign w:val="superscript"/>
    </w:rPr>
  </w:style>
  <w:style w:type="paragraph" w:styleId="Verzeichnis5">
    <w:name w:val="toc 5"/>
    <w:basedOn w:val="Standard"/>
    <w:next w:val="Standard"/>
    <w:semiHidden/>
    <w:rsid w:val="006B5405"/>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6B5405"/>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6B5405"/>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6B5405"/>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6B5405"/>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6B5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7</Pages>
  <Words>2695</Words>
  <Characters>18799</Characters>
  <Application>Microsoft Office Word</Application>
  <DocSecurity>0</DocSecurity>
  <Lines>156</Lines>
  <Paragraphs>42</Paragraphs>
  <ScaleCrop>false</ScaleCrop>
  <HeadingPairs>
    <vt:vector size="2" baseType="variant">
      <vt:variant>
        <vt:lpstr>Titel</vt:lpstr>
      </vt:variant>
      <vt:variant>
        <vt:i4>1</vt:i4>
      </vt:variant>
    </vt:vector>
  </HeadingPairs>
  <TitlesOfParts>
    <vt:vector size="1" baseType="lpstr">
      <vt:lpstr>Richtlinie des Rates vom 7. März 1985 über Luftqualitätsnormen für Stickstoffdioxid (85/203/EWG)</vt:lpstr>
    </vt:vector>
  </TitlesOfParts>
  <Company>LANUV NRW</Company>
  <LinksUpToDate>false</LinksUpToDate>
  <CharactersWithSpaces>21452</CharactersWithSpaces>
  <SharedDoc>false</SharedDoc>
  <HLinks>
    <vt:vector size="132" baseType="variant">
      <vt:variant>
        <vt:i4>1179707</vt:i4>
      </vt:variant>
      <vt:variant>
        <vt:i4>128</vt:i4>
      </vt:variant>
      <vt:variant>
        <vt:i4>0</vt:i4>
      </vt:variant>
      <vt:variant>
        <vt:i4>5</vt:i4>
      </vt:variant>
      <vt:variant>
        <vt:lpwstr/>
      </vt:variant>
      <vt:variant>
        <vt:lpwstr>_Toc129501333</vt:lpwstr>
      </vt:variant>
      <vt:variant>
        <vt:i4>1179707</vt:i4>
      </vt:variant>
      <vt:variant>
        <vt:i4>122</vt:i4>
      </vt:variant>
      <vt:variant>
        <vt:i4>0</vt:i4>
      </vt:variant>
      <vt:variant>
        <vt:i4>5</vt:i4>
      </vt:variant>
      <vt:variant>
        <vt:lpwstr/>
      </vt:variant>
      <vt:variant>
        <vt:lpwstr>_Toc129501332</vt:lpwstr>
      </vt:variant>
      <vt:variant>
        <vt:i4>1179707</vt:i4>
      </vt:variant>
      <vt:variant>
        <vt:i4>116</vt:i4>
      </vt:variant>
      <vt:variant>
        <vt:i4>0</vt:i4>
      </vt:variant>
      <vt:variant>
        <vt:i4>5</vt:i4>
      </vt:variant>
      <vt:variant>
        <vt:lpwstr/>
      </vt:variant>
      <vt:variant>
        <vt:lpwstr>_Toc129501331</vt:lpwstr>
      </vt:variant>
      <vt:variant>
        <vt:i4>1179707</vt:i4>
      </vt:variant>
      <vt:variant>
        <vt:i4>110</vt:i4>
      </vt:variant>
      <vt:variant>
        <vt:i4>0</vt:i4>
      </vt:variant>
      <vt:variant>
        <vt:i4>5</vt:i4>
      </vt:variant>
      <vt:variant>
        <vt:lpwstr/>
      </vt:variant>
      <vt:variant>
        <vt:lpwstr>_Toc129501330</vt:lpwstr>
      </vt:variant>
      <vt:variant>
        <vt:i4>1245243</vt:i4>
      </vt:variant>
      <vt:variant>
        <vt:i4>104</vt:i4>
      </vt:variant>
      <vt:variant>
        <vt:i4>0</vt:i4>
      </vt:variant>
      <vt:variant>
        <vt:i4>5</vt:i4>
      </vt:variant>
      <vt:variant>
        <vt:lpwstr/>
      </vt:variant>
      <vt:variant>
        <vt:lpwstr>_Toc129501329</vt:lpwstr>
      </vt:variant>
      <vt:variant>
        <vt:i4>1245243</vt:i4>
      </vt:variant>
      <vt:variant>
        <vt:i4>98</vt:i4>
      </vt:variant>
      <vt:variant>
        <vt:i4>0</vt:i4>
      </vt:variant>
      <vt:variant>
        <vt:i4>5</vt:i4>
      </vt:variant>
      <vt:variant>
        <vt:lpwstr/>
      </vt:variant>
      <vt:variant>
        <vt:lpwstr>_Toc129501328</vt:lpwstr>
      </vt:variant>
      <vt:variant>
        <vt:i4>1245243</vt:i4>
      </vt:variant>
      <vt:variant>
        <vt:i4>92</vt:i4>
      </vt:variant>
      <vt:variant>
        <vt:i4>0</vt:i4>
      </vt:variant>
      <vt:variant>
        <vt:i4>5</vt:i4>
      </vt:variant>
      <vt:variant>
        <vt:lpwstr/>
      </vt:variant>
      <vt:variant>
        <vt:lpwstr>_Toc129501327</vt:lpwstr>
      </vt:variant>
      <vt:variant>
        <vt:i4>1245243</vt:i4>
      </vt:variant>
      <vt:variant>
        <vt:i4>86</vt:i4>
      </vt:variant>
      <vt:variant>
        <vt:i4>0</vt:i4>
      </vt:variant>
      <vt:variant>
        <vt:i4>5</vt:i4>
      </vt:variant>
      <vt:variant>
        <vt:lpwstr/>
      </vt:variant>
      <vt:variant>
        <vt:lpwstr>_Toc129501326</vt:lpwstr>
      </vt:variant>
      <vt:variant>
        <vt:i4>1245243</vt:i4>
      </vt:variant>
      <vt:variant>
        <vt:i4>80</vt:i4>
      </vt:variant>
      <vt:variant>
        <vt:i4>0</vt:i4>
      </vt:variant>
      <vt:variant>
        <vt:i4>5</vt:i4>
      </vt:variant>
      <vt:variant>
        <vt:lpwstr/>
      </vt:variant>
      <vt:variant>
        <vt:lpwstr>_Toc129501325</vt:lpwstr>
      </vt:variant>
      <vt:variant>
        <vt:i4>1245243</vt:i4>
      </vt:variant>
      <vt:variant>
        <vt:i4>74</vt:i4>
      </vt:variant>
      <vt:variant>
        <vt:i4>0</vt:i4>
      </vt:variant>
      <vt:variant>
        <vt:i4>5</vt:i4>
      </vt:variant>
      <vt:variant>
        <vt:lpwstr/>
      </vt:variant>
      <vt:variant>
        <vt:lpwstr>_Toc129501324</vt:lpwstr>
      </vt:variant>
      <vt:variant>
        <vt:i4>1245243</vt:i4>
      </vt:variant>
      <vt:variant>
        <vt:i4>68</vt:i4>
      </vt:variant>
      <vt:variant>
        <vt:i4>0</vt:i4>
      </vt:variant>
      <vt:variant>
        <vt:i4>5</vt:i4>
      </vt:variant>
      <vt:variant>
        <vt:lpwstr/>
      </vt:variant>
      <vt:variant>
        <vt:lpwstr>_Toc129501323</vt:lpwstr>
      </vt:variant>
      <vt:variant>
        <vt:i4>1245243</vt:i4>
      </vt:variant>
      <vt:variant>
        <vt:i4>62</vt:i4>
      </vt:variant>
      <vt:variant>
        <vt:i4>0</vt:i4>
      </vt:variant>
      <vt:variant>
        <vt:i4>5</vt:i4>
      </vt:variant>
      <vt:variant>
        <vt:lpwstr/>
      </vt:variant>
      <vt:variant>
        <vt:lpwstr>_Toc129501322</vt:lpwstr>
      </vt:variant>
      <vt:variant>
        <vt:i4>1245243</vt:i4>
      </vt:variant>
      <vt:variant>
        <vt:i4>56</vt:i4>
      </vt:variant>
      <vt:variant>
        <vt:i4>0</vt:i4>
      </vt:variant>
      <vt:variant>
        <vt:i4>5</vt:i4>
      </vt:variant>
      <vt:variant>
        <vt:lpwstr/>
      </vt:variant>
      <vt:variant>
        <vt:lpwstr>_Toc129501321</vt:lpwstr>
      </vt:variant>
      <vt:variant>
        <vt:i4>1245243</vt:i4>
      </vt:variant>
      <vt:variant>
        <vt:i4>50</vt:i4>
      </vt:variant>
      <vt:variant>
        <vt:i4>0</vt:i4>
      </vt:variant>
      <vt:variant>
        <vt:i4>5</vt:i4>
      </vt:variant>
      <vt:variant>
        <vt:lpwstr/>
      </vt:variant>
      <vt:variant>
        <vt:lpwstr>_Toc129501320</vt:lpwstr>
      </vt:variant>
      <vt:variant>
        <vt:i4>1048635</vt:i4>
      </vt:variant>
      <vt:variant>
        <vt:i4>44</vt:i4>
      </vt:variant>
      <vt:variant>
        <vt:i4>0</vt:i4>
      </vt:variant>
      <vt:variant>
        <vt:i4>5</vt:i4>
      </vt:variant>
      <vt:variant>
        <vt:lpwstr/>
      </vt:variant>
      <vt:variant>
        <vt:lpwstr>_Toc129501319</vt:lpwstr>
      </vt:variant>
      <vt:variant>
        <vt:i4>1048635</vt:i4>
      </vt:variant>
      <vt:variant>
        <vt:i4>38</vt:i4>
      </vt:variant>
      <vt:variant>
        <vt:i4>0</vt:i4>
      </vt:variant>
      <vt:variant>
        <vt:i4>5</vt:i4>
      </vt:variant>
      <vt:variant>
        <vt:lpwstr/>
      </vt:variant>
      <vt:variant>
        <vt:lpwstr>_Toc129501318</vt:lpwstr>
      </vt:variant>
      <vt:variant>
        <vt:i4>1048635</vt:i4>
      </vt:variant>
      <vt:variant>
        <vt:i4>32</vt:i4>
      </vt:variant>
      <vt:variant>
        <vt:i4>0</vt:i4>
      </vt:variant>
      <vt:variant>
        <vt:i4>5</vt:i4>
      </vt:variant>
      <vt:variant>
        <vt:lpwstr/>
      </vt:variant>
      <vt:variant>
        <vt:lpwstr>_Toc129501317</vt:lpwstr>
      </vt:variant>
      <vt:variant>
        <vt:i4>1048635</vt:i4>
      </vt:variant>
      <vt:variant>
        <vt:i4>26</vt:i4>
      </vt:variant>
      <vt:variant>
        <vt:i4>0</vt:i4>
      </vt:variant>
      <vt:variant>
        <vt:i4>5</vt:i4>
      </vt:variant>
      <vt:variant>
        <vt:lpwstr/>
      </vt:variant>
      <vt:variant>
        <vt:lpwstr>_Toc129501316</vt:lpwstr>
      </vt:variant>
      <vt:variant>
        <vt:i4>1048635</vt:i4>
      </vt:variant>
      <vt:variant>
        <vt:i4>20</vt:i4>
      </vt:variant>
      <vt:variant>
        <vt:i4>0</vt:i4>
      </vt:variant>
      <vt:variant>
        <vt:i4>5</vt:i4>
      </vt:variant>
      <vt:variant>
        <vt:lpwstr/>
      </vt:variant>
      <vt:variant>
        <vt:lpwstr>_Toc129501315</vt:lpwstr>
      </vt:variant>
      <vt:variant>
        <vt:i4>1048635</vt:i4>
      </vt:variant>
      <vt:variant>
        <vt:i4>14</vt:i4>
      </vt:variant>
      <vt:variant>
        <vt:i4>0</vt:i4>
      </vt:variant>
      <vt:variant>
        <vt:i4>5</vt:i4>
      </vt:variant>
      <vt:variant>
        <vt:lpwstr/>
      </vt:variant>
      <vt:variant>
        <vt:lpwstr>_Toc129501314</vt:lpwstr>
      </vt:variant>
      <vt:variant>
        <vt:i4>1048635</vt:i4>
      </vt:variant>
      <vt:variant>
        <vt:i4>8</vt:i4>
      </vt:variant>
      <vt:variant>
        <vt:i4>0</vt:i4>
      </vt:variant>
      <vt:variant>
        <vt:i4>5</vt:i4>
      </vt:variant>
      <vt:variant>
        <vt:lpwstr/>
      </vt:variant>
      <vt:variant>
        <vt:lpwstr>_Toc129501313</vt:lpwstr>
      </vt:variant>
      <vt:variant>
        <vt:i4>1048635</vt:i4>
      </vt:variant>
      <vt:variant>
        <vt:i4>2</vt:i4>
      </vt:variant>
      <vt:variant>
        <vt:i4>0</vt:i4>
      </vt:variant>
      <vt:variant>
        <vt:i4>5</vt:i4>
      </vt:variant>
      <vt:variant>
        <vt:lpwstr/>
      </vt:variant>
      <vt:variant>
        <vt:lpwstr>_Toc129501312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des Rates vom 7. März 1985 über Luftqualitätsnormen für Stickstoffdioxid (85/203/EWG)</dc:title>
  <dc:creator>LANUV NRW</dc:creator>
  <dc:description>durchgesehen 12.2004</dc:description>
  <cp:lastModifiedBy>rueter</cp:lastModifiedBy>
  <cp:revision>2</cp:revision>
  <cp:lastPrinted>2004-12-16T11:54:00Z</cp:lastPrinted>
  <dcterms:created xsi:type="dcterms:W3CDTF">2015-03-06T12:24:00Z</dcterms:created>
  <dcterms:modified xsi:type="dcterms:W3CDTF">2015-03-06T12:24:00Z</dcterms:modified>
</cp:coreProperties>
</file>