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1C" w:rsidRDefault="0059181C">
      <w:pPr>
        <w:pStyle w:val="berschrift1"/>
        <w:spacing w:before="0"/>
        <w:rPr>
          <w:rFonts w:ascii="HelveticaNeue-Roman" w:hAnsi="HelveticaNeue-Roman"/>
        </w:rPr>
      </w:pPr>
      <w:bookmarkStart w:id="0" w:name="_Toc333483309"/>
      <w:r w:rsidRPr="009D233A">
        <w:t xml:space="preserve">Dreizehnte </w:t>
      </w:r>
      <w:r w:rsidR="00EE2CC8" w:rsidRPr="009D233A">
        <w:t>Verord</w:t>
      </w:r>
      <w:bookmarkStart w:id="1" w:name="_GoBack"/>
      <w:bookmarkEnd w:id="1"/>
      <w:r w:rsidR="00EE2CC8" w:rsidRPr="009D233A">
        <w:t>nung zur Durchführung des</w:t>
      </w:r>
      <w:r w:rsidRPr="009D233A">
        <w:br/>
      </w:r>
      <w:r w:rsidR="00EE2CC8" w:rsidRPr="009D233A">
        <w:t>Bundes-Immissionsschutzgesetzes</w:t>
      </w:r>
      <w:r w:rsidR="006D0C8A">
        <w:t xml:space="preserve"> - </w:t>
      </w:r>
      <w:r w:rsidRPr="009D233A">
        <w:br/>
        <w:t>Verordnung über Großfeuerungs- und Gas</w:t>
      </w:r>
      <w:r w:rsidR="00EE2CC8" w:rsidRPr="009D233A">
        <w:t>turbinenanlagen</w:t>
      </w:r>
      <w:r w:rsidR="006D0C8A">
        <w:t xml:space="preserve"> - </w:t>
      </w:r>
      <w:r w:rsidRPr="009D233A">
        <w:br/>
        <w:t>13. BImSchV</w:t>
      </w:r>
      <w:r w:rsidRPr="004839A0">
        <w:rPr>
          <w:rFonts w:cs="Arial"/>
          <w:vertAlign w:val="superscript"/>
        </w:rPr>
        <w:footnoteReference w:customMarkFollows="1" w:id="1"/>
        <w:sym w:font="Symbol" w:char="F02A"/>
      </w:r>
      <w:r w:rsidRPr="00006F95">
        <w:rPr>
          <w:rFonts w:cs="Arial"/>
          <w:vertAlign w:val="superscript"/>
        </w:rPr>
        <w:t>)</w:t>
      </w:r>
      <w:bookmarkEnd w:id="0"/>
    </w:p>
    <w:p w:rsidR="0059181C" w:rsidRPr="009D233A" w:rsidRDefault="0059181C" w:rsidP="009D233A">
      <w:pPr>
        <w:pStyle w:val="GesAbsatz"/>
        <w:jc w:val="center"/>
      </w:pPr>
      <w:r w:rsidRPr="009D233A">
        <w:t>vom 20. Juli 2004</w:t>
      </w:r>
    </w:p>
    <w:p w:rsidR="00480FB3" w:rsidRDefault="00480FB3" w:rsidP="00480FB3">
      <w:pPr>
        <w:pStyle w:val="GesAbsatz"/>
        <w:rPr>
          <w:b/>
          <w:i/>
          <w:color w:val="FF0000"/>
          <w:sz w:val="22"/>
          <w:szCs w:val="22"/>
        </w:rPr>
      </w:pPr>
      <w:r>
        <w:rPr>
          <w:b/>
          <w:i/>
          <w:color w:val="FF0000"/>
          <w:sz w:val="22"/>
          <w:szCs w:val="22"/>
        </w:rPr>
        <w:t>Gültig bis 01.05.2013</w:t>
      </w:r>
    </w:p>
    <w:p w:rsidR="00BE3012" w:rsidRPr="007E103A" w:rsidRDefault="00BE3012" w:rsidP="007E103A">
      <w:pPr>
        <w:pStyle w:val="GesAbsatz"/>
      </w:pPr>
    </w:p>
    <w:p w:rsidR="0059181C" w:rsidRDefault="0059181C">
      <w:pPr>
        <w:pStyle w:val="GesAbsatz"/>
        <w:jc w:val="center"/>
        <w:rPr>
          <w:b/>
          <w:bCs/>
          <w:sz w:val="22"/>
        </w:rPr>
      </w:pPr>
      <w:r>
        <w:rPr>
          <w:b/>
          <w:bCs/>
          <w:sz w:val="22"/>
        </w:rPr>
        <w:t>Inhalt:</w:t>
      </w:r>
    </w:p>
    <w:p w:rsidR="00741734" w:rsidRDefault="00741734">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w:instrText>
      </w:r>
      <w:r>
        <w:rPr>
          <w:b w:val="0"/>
          <w:bCs/>
          <w:caps w:val="0"/>
        </w:rPr>
        <w:fldChar w:fldCharType="separate"/>
      </w:r>
      <w:hyperlink w:anchor="_Toc333483309" w:history="1">
        <w:r w:rsidRPr="00890B5A">
          <w:rPr>
            <w:rStyle w:val="Hyperlink"/>
            <w:noProof/>
          </w:rPr>
          <w:t>Verordnung über Großfeuerungs- und Gasturbinenanlagen - 13. BImSchV</w:t>
        </w:r>
        <w:r w:rsidRPr="00890B5A">
          <w:rPr>
            <w:rStyle w:val="Hyperlink"/>
            <w:rFonts w:cs="Arial"/>
            <w:noProof/>
            <w:vertAlign w:val="superscript"/>
          </w:rPr>
          <w:t>)</w:t>
        </w:r>
        <w:r>
          <w:rPr>
            <w:noProof/>
            <w:webHidden/>
          </w:rPr>
          <w:tab/>
        </w:r>
        <w:r>
          <w:rPr>
            <w:noProof/>
            <w:webHidden/>
          </w:rPr>
          <w:fldChar w:fldCharType="begin"/>
        </w:r>
        <w:r>
          <w:rPr>
            <w:noProof/>
            <w:webHidden/>
          </w:rPr>
          <w:instrText xml:space="preserve"> PAGEREF _Toc333483309 \h </w:instrText>
        </w:r>
        <w:r>
          <w:rPr>
            <w:noProof/>
            <w:webHidden/>
          </w:rPr>
        </w:r>
        <w:r>
          <w:rPr>
            <w:noProof/>
            <w:webHidden/>
          </w:rPr>
          <w:fldChar w:fldCharType="separate"/>
        </w:r>
        <w:r w:rsidR="00480FB3">
          <w:rPr>
            <w:noProof/>
            <w:webHidden/>
          </w:rPr>
          <w:t>1</w:t>
        </w:r>
        <w:r>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10" w:history="1">
        <w:r w:rsidR="00741734" w:rsidRPr="00890B5A">
          <w:rPr>
            <w:rStyle w:val="Hyperlink"/>
            <w:noProof/>
          </w:rPr>
          <w:t>Erster Teil Allgemeine Vorschriften</w:t>
        </w:r>
        <w:r w:rsidR="00741734">
          <w:rPr>
            <w:noProof/>
            <w:webHidden/>
          </w:rPr>
          <w:tab/>
        </w:r>
        <w:r w:rsidR="00741734">
          <w:rPr>
            <w:noProof/>
            <w:webHidden/>
          </w:rPr>
          <w:fldChar w:fldCharType="begin"/>
        </w:r>
        <w:r w:rsidR="00741734">
          <w:rPr>
            <w:noProof/>
            <w:webHidden/>
          </w:rPr>
          <w:instrText xml:space="preserve"> PAGEREF _Toc333483310 \h </w:instrText>
        </w:r>
        <w:r w:rsidR="00741734">
          <w:rPr>
            <w:noProof/>
            <w:webHidden/>
          </w:rPr>
        </w:r>
        <w:r w:rsidR="00741734">
          <w:rPr>
            <w:noProof/>
            <w:webHidden/>
          </w:rPr>
          <w:fldChar w:fldCharType="separate"/>
        </w:r>
        <w:r w:rsidR="00480FB3">
          <w:rPr>
            <w:noProof/>
            <w:webHidden/>
          </w:rPr>
          <w:t>2</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1" w:history="1">
        <w:r w:rsidR="00741734" w:rsidRPr="00890B5A">
          <w:rPr>
            <w:rStyle w:val="Hyperlink"/>
            <w:noProof/>
          </w:rPr>
          <w:t>§ 1 Anwendungsbereich</w:t>
        </w:r>
        <w:r w:rsidR="00741734">
          <w:rPr>
            <w:noProof/>
            <w:webHidden/>
          </w:rPr>
          <w:tab/>
        </w:r>
        <w:r w:rsidR="00741734">
          <w:rPr>
            <w:noProof/>
            <w:webHidden/>
          </w:rPr>
          <w:fldChar w:fldCharType="begin"/>
        </w:r>
        <w:r w:rsidR="00741734">
          <w:rPr>
            <w:noProof/>
            <w:webHidden/>
          </w:rPr>
          <w:instrText xml:space="preserve"> PAGEREF _Toc333483311 \h </w:instrText>
        </w:r>
        <w:r w:rsidR="00741734">
          <w:rPr>
            <w:noProof/>
            <w:webHidden/>
          </w:rPr>
        </w:r>
        <w:r w:rsidR="00741734">
          <w:rPr>
            <w:noProof/>
            <w:webHidden/>
          </w:rPr>
          <w:fldChar w:fldCharType="separate"/>
        </w:r>
        <w:r w:rsidR="00480FB3">
          <w:rPr>
            <w:noProof/>
            <w:webHidden/>
          </w:rPr>
          <w:t>2</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2" w:history="1">
        <w:r w:rsidR="00741734" w:rsidRPr="00890B5A">
          <w:rPr>
            <w:rStyle w:val="Hyperlink"/>
            <w:noProof/>
          </w:rPr>
          <w:t>§ 2 Begriffsbestimmungen</w:t>
        </w:r>
        <w:r w:rsidR="00741734">
          <w:rPr>
            <w:noProof/>
            <w:webHidden/>
          </w:rPr>
          <w:tab/>
        </w:r>
        <w:r w:rsidR="00741734">
          <w:rPr>
            <w:noProof/>
            <w:webHidden/>
          </w:rPr>
          <w:fldChar w:fldCharType="begin"/>
        </w:r>
        <w:r w:rsidR="00741734">
          <w:rPr>
            <w:noProof/>
            <w:webHidden/>
          </w:rPr>
          <w:instrText xml:space="preserve"> PAGEREF _Toc333483312 \h </w:instrText>
        </w:r>
        <w:r w:rsidR="00741734">
          <w:rPr>
            <w:noProof/>
            <w:webHidden/>
          </w:rPr>
        </w:r>
        <w:r w:rsidR="00741734">
          <w:rPr>
            <w:noProof/>
            <w:webHidden/>
          </w:rPr>
          <w:fldChar w:fldCharType="separate"/>
        </w:r>
        <w:r w:rsidR="00480FB3">
          <w:rPr>
            <w:noProof/>
            <w:webHidden/>
          </w:rPr>
          <w:t>2</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13" w:history="1">
        <w:r w:rsidR="00741734" w:rsidRPr="00890B5A">
          <w:rPr>
            <w:rStyle w:val="Hyperlink"/>
            <w:noProof/>
          </w:rPr>
          <w:t>Zweiter Teil Anforderungen an Errichtung und Betrieb</w:t>
        </w:r>
        <w:r w:rsidR="00741734">
          <w:rPr>
            <w:noProof/>
            <w:webHidden/>
          </w:rPr>
          <w:tab/>
        </w:r>
        <w:r w:rsidR="00741734">
          <w:rPr>
            <w:noProof/>
            <w:webHidden/>
          </w:rPr>
          <w:fldChar w:fldCharType="begin"/>
        </w:r>
        <w:r w:rsidR="00741734">
          <w:rPr>
            <w:noProof/>
            <w:webHidden/>
          </w:rPr>
          <w:instrText xml:space="preserve"> PAGEREF _Toc333483313 \h </w:instrText>
        </w:r>
        <w:r w:rsidR="00741734">
          <w:rPr>
            <w:noProof/>
            <w:webHidden/>
          </w:rPr>
        </w:r>
        <w:r w:rsidR="00741734">
          <w:rPr>
            <w:noProof/>
            <w:webHidden/>
          </w:rPr>
          <w:fldChar w:fldCharType="separate"/>
        </w:r>
        <w:r w:rsidR="00480FB3">
          <w:rPr>
            <w:noProof/>
            <w:webHidden/>
          </w:rPr>
          <w:t>4</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4" w:history="1">
        <w:r w:rsidR="00741734" w:rsidRPr="00890B5A">
          <w:rPr>
            <w:rStyle w:val="Hyperlink"/>
            <w:noProof/>
          </w:rPr>
          <w:t>§ 3 Emissionsgrenzwerte für Feuerungsanlagen für feste Brennstoffe</w:t>
        </w:r>
        <w:r w:rsidR="00741734">
          <w:rPr>
            <w:noProof/>
            <w:webHidden/>
          </w:rPr>
          <w:tab/>
        </w:r>
        <w:r w:rsidR="00741734">
          <w:rPr>
            <w:noProof/>
            <w:webHidden/>
          </w:rPr>
          <w:fldChar w:fldCharType="begin"/>
        </w:r>
        <w:r w:rsidR="00741734">
          <w:rPr>
            <w:noProof/>
            <w:webHidden/>
          </w:rPr>
          <w:instrText xml:space="preserve"> PAGEREF _Toc333483314 \h </w:instrText>
        </w:r>
        <w:r w:rsidR="00741734">
          <w:rPr>
            <w:noProof/>
            <w:webHidden/>
          </w:rPr>
        </w:r>
        <w:r w:rsidR="00741734">
          <w:rPr>
            <w:noProof/>
            <w:webHidden/>
          </w:rPr>
          <w:fldChar w:fldCharType="separate"/>
        </w:r>
        <w:r w:rsidR="00480FB3">
          <w:rPr>
            <w:noProof/>
            <w:webHidden/>
          </w:rPr>
          <w:t>4</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5" w:history="1">
        <w:r w:rsidR="00741734" w:rsidRPr="00890B5A">
          <w:rPr>
            <w:rStyle w:val="Hyperlink"/>
            <w:noProof/>
          </w:rPr>
          <w:t>§ 4 Emissionsgrenzwerte für Feuerungsanlagen für flüssige Brennstoffe</w:t>
        </w:r>
        <w:r w:rsidR="00741734">
          <w:rPr>
            <w:noProof/>
            <w:webHidden/>
          </w:rPr>
          <w:tab/>
        </w:r>
        <w:r w:rsidR="00741734">
          <w:rPr>
            <w:noProof/>
            <w:webHidden/>
          </w:rPr>
          <w:fldChar w:fldCharType="begin"/>
        </w:r>
        <w:r w:rsidR="00741734">
          <w:rPr>
            <w:noProof/>
            <w:webHidden/>
          </w:rPr>
          <w:instrText xml:space="preserve"> PAGEREF _Toc333483315 \h </w:instrText>
        </w:r>
        <w:r w:rsidR="00741734">
          <w:rPr>
            <w:noProof/>
            <w:webHidden/>
          </w:rPr>
        </w:r>
        <w:r w:rsidR="00741734">
          <w:rPr>
            <w:noProof/>
            <w:webHidden/>
          </w:rPr>
          <w:fldChar w:fldCharType="separate"/>
        </w:r>
        <w:r w:rsidR="00480FB3">
          <w:rPr>
            <w:noProof/>
            <w:webHidden/>
          </w:rPr>
          <w:t>7</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6" w:history="1">
        <w:r w:rsidR="00741734" w:rsidRPr="00890B5A">
          <w:rPr>
            <w:rStyle w:val="Hyperlink"/>
            <w:noProof/>
          </w:rPr>
          <w:t>§ 5 Emissionsgrenzwerte für Feuerungsanlagen für gasförmige Brennstoffe</w:t>
        </w:r>
        <w:r w:rsidR="00741734">
          <w:rPr>
            <w:noProof/>
            <w:webHidden/>
          </w:rPr>
          <w:tab/>
        </w:r>
        <w:r w:rsidR="00741734">
          <w:rPr>
            <w:noProof/>
            <w:webHidden/>
          </w:rPr>
          <w:fldChar w:fldCharType="begin"/>
        </w:r>
        <w:r w:rsidR="00741734">
          <w:rPr>
            <w:noProof/>
            <w:webHidden/>
          </w:rPr>
          <w:instrText xml:space="preserve"> PAGEREF _Toc333483316 \h </w:instrText>
        </w:r>
        <w:r w:rsidR="00741734">
          <w:rPr>
            <w:noProof/>
            <w:webHidden/>
          </w:rPr>
        </w:r>
        <w:r w:rsidR="00741734">
          <w:rPr>
            <w:noProof/>
            <w:webHidden/>
          </w:rPr>
          <w:fldChar w:fldCharType="separate"/>
        </w:r>
        <w:r w:rsidR="00480FB3">
          <w:rPr>
            <w:noProof/>
            <w:webHidden/>
          </w:rPr>
          <w:t>9</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7" w:history="1">
        <w:r w:rsidR="00741734" w:rsidRPr="00890B5A">
          <w:rPr>
            <w:rStyle w:val="Hyperlink"/>
            <w:noProof/>
          </w:rPr>
          <w:t>§ 6 Emissionsgrenzwerte für Gasturbinenanlagen</w:t>
        </w:r>
        <w:r w:rsidR="00741734">
          <w:rPr>
            <w:noProof/>
            <w:webHidden/>
          </w:rPr>
          <w:tab/>
        </w:r>
        <w:r w:rsidR="00741734">
          <w:rPr>
            <w:noProof/>
            <w:webHidden/>
          </w:rPr>
          <w:fldChar w:fldCharType="begin"/>
        </w:r>
        <w:r w:rsidR="00741734">
          <w:rPr>
            <w:noProof/>
            <w:webHidden/>
          </w:rPr>
          <w:instrText xml:space="preserve"> PAGEREF _Toc333483317 \h </w:instrText>
        </w:r>
        <w:r w:rsidR="00741734">
          <w:rPr>
            <w:noProof/>
            <w:webHidden/>
          </w:rPr>
        </w:r>
        <w:r w:rsidR="00741734">
          <w:rPr>
            <w:noProof/>
            <w:webHidden/>
          </w:rPr>
          <w:fldChar w:fldCharType="separate"/>
        </w:r>
        <w:r w:rsidR="00480FB3">
          <w:rPr>
            <w:noProof/>
            <w:webHidden/>
          </w:rPr>
          <w:t>10</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8" w:history="1">
        <w:r w:rsidR="00741734" w:rsidRPr="00890B5A">
          <w:rPr>
            <w:rStyle w:val="Hyperlink"/>
            <w:noProof/>
          </w:rPr>
          <w:t>§ 7 Kraft-Wärme-Kopplung</w:t>
        </w:r>
        <w:r w:rsidR="00741734">
          <w:rPr>
            <w:noProof/>
            <w:webHidden/>
          </w:rPr>
          <w:tab/>
        </w:r>
        <w:r w:rsidR="00741734">
          <w:rPr>
            <w:noProof/>
            <w:webHidden/>
          </w:rPr>
          <w:fldChar w:fldCharType="begin"/>
        </w:r>
        <w:r w:rsidR="00741734">
          <w:rPr>
            <w:noProof/>
            <w:webHidden/>
          </w:rPr>
          <w:instrText xml:space="preserve"> PAGEREF _Toc333483318 \h </w:instrText>
        </w:r>
        <w:r w:rsidR="00741734">
          <w:rPr>
            <w:noProof/>
            <w:webHidden/>
          </w:rPr>
        </w:r>
        <w:r w:rsidR="00741734">
          <w:rPr>
            <w:noProof/>
            <w:webHidden/>
          </w:rPr>
          <w:fldChar w:fldCharType="separate"/>
        </w:r>
        <w:r w:rsidR="00480FB3">
          <w:rPr>
            <w:noProof/>
            <w:webHidden/>
          </w:rPr>
          <w:t>12</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19" w:history="1">
        <w:r w:rsidR="00741734" w:rsidRPr="00890B5A">
          <w:rPr>
            <w:rStyle w:val="Hyperlink"/>
            <w:noProof/>
          </w:rPr>
          <w:t>§ 8 Betrieb mit mehreren Brennstoffen</w:t>
        </w:r>
        <w:r w:rsidR="00741734">
          <w:rPr>
            <w:noProof/>
            <w:webHidden/>
          </w:rPr>
          <w:tab/>
        </w:r>
        <w:r w:rsidR="00741734">
          <w:rPr>
            <w:noProof/>
            <w:webHidden/>
          </w:rPr>
          <w:fldChar w:fldCharType="begin"/>
        </w:r>
        <w:r w:rsidR="00741734">
          <w:rPr>
            <w:noProof/>
            <w:webHidden/>
          </w:rPr>
          <w:instrText xml:space="preserve"> PAGEREF _Toc333483319 \h </w:instrText>
        </w:r>
        <w:r w:rsidR="00741734">
          <w:rPr>
            <w:noProof/>
            <w:webHidden/>
          </w:rPr>
        </w:r>
        <w:r w:rsidR="00741734">
          <w:rPr>
            <w:noProof/>
            <w:webHidden/>
          </w:rPr>
          <w:fldChar w:fldCharType="separate"/>
        </w:r>
        <w:r w:rsidR="00480FB3">
          <w:rPr>
            <w:noProof/>
            <w:webHidden/>
          </w:rPr>
          <w:t>12</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0" w:history="1">
        <w:r w:rsidR="00741734" w:rsidRPr="00890B5A">
          <w:rPr>
            <w:rStyle w:val="Hyperlink"/>
            <w:noProof/>
          </w:rPr>
          <w:t>§ 9 Wesentliche Änderung und Erweiterung von Anlagen</w:t>
        </w:r>
        <w:r w:rsidR="00741734">
          <w:rPr>
            <w:noProof/>
            <w:webHidden/>
          </w:rPr>
          <w:tab/>
        </w:r>
        <w:r w:rsidR="00741734">
          <w:rPr>
            <w:noProof/>
            <w:webHidden/>
          </w:rPr>
          <w:fldChar w:fldCharType="begin"/>
        </w:r>
        <w:r w:rsidR="00741734">
          <w:rPr>
            <w:noProof/>
            <w:webHidden/>
          </w:rPr>
          <w:instrText xml:space="preserve"> PAGEREF _Toc333483320 \h </w:instrText>
        </w:r>
        <w:r w:rsidR="00741734">
          <w:rPr>
            <w:noProof/>
            <w:webHidden/>
          </w:rPr>
        </w:r>
        <w:r w:rsidR="00741734">
          <w:rPr>
            <w:noProof/>
            <w:webHidden/>
          </w:rPr>
          <w:fldChar w:fldCharType="separate"/>
        </w:r>
        <w:r w:rsidR="00480FB3">
          <w:rPr>
            <w:noProof/>
            <w:webHidden/>
          </w:rPr>
          <w:t>13</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1" w:history="1">
        <w:r w:rsidR="00741734" w:rsidRPr="00890B5A">
          <w:rPr>
            <w:rStyle w:val="Hyperlink"/>
            <w:noProof/>
          </w:rPr>
          <w:t>§ 9a Anlagen zur Abscheidung und Kompression von Kohlendioxid</w:t>
        </w:r>
        <w:r w:rsidR="00741734">
          <w:rPr>
            <w:noProof/>
            <w:webHidden/>
          </w:rPr>
          <w:tab/>
        </w:r>
        <w:r w:rsidR="00741734">
          <w:rPr>
            <w:noProof/>
            <w:webHidden/>
          </w:rPr>
          <w:fldChar w:fldCharType="begin"/>
        </w:r>
        <w:r w:rsidR="00741734">
          <w:rPr>
            <w:noProof/>
            <w:webHidden/>
          </w:rPr>
          <w:instrText xml:space="preserve"> PAGEREF _Toc333483321 \h </w:instrText>
        </w:r>
        <w:r w:rsidR="00741734">
          <w:rPr>
            <w:noProof/>
            <w:webHidden/>
          </w:rPr>
        </w:r>
        <w:r w:rsidR="00741734">
          <w:rPr>
            <w:noProof/>
            <w:webHidden/>
          </w:rPr>
          <w:fldChar w:fldCharType="separate"/>
        </w:r>
        <w:r w:rsidR="00480FB3">
          <w:rPr>
            <w:noProof/>
            <w:webHidden/>
          </w:rPr>
          <w:t>13</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2" w:history="1">
        <w:r w:rsidR="00741734" w:rsidRPr="00890B5A">
          <w:rPr>
            <w:rStyle w:val="Hyperlink"/>
            <w:noProof/>
          </w:rPr>
          <w:t>§ 10 Begrenzung von Emissionen bei Lagerungs- und Transportvorgängen</w:t>
        </w:r>
        <w:r w:rsidR="00741734">
          <w:rPr>
            <w:noProof/>
            <w:webHidden/>
          </w:rPr>
          <w:tab/>
        </w:r>
        <w:r w:rsidR="00741734">
          <w:rPr>
            <w:noProof/>
            <w:webHidden/>
          </w:rPr>
          <w:fldChar w:fldCharType="begin"/>
        </w:r>
        <w:r w:rsidR="00741734">
          <w:rPr>
            <w:noProof/>
            <w:webHidden/>
          </w:rPr>
          <w:instrText xml:space="preserve"> PAGEREF _Toc333483322 \h </w:instrText>
        </w:r>
        <w:r w:rsidR="00741734">
          <w:rPr>
            <w:noProof/>
            <w:webHidden/>
          </w:rPr>
        </w:r>
        <w:r w:rsidR="00741734">
          <w:rPr>
            <w:noProof/>
            <w:webHidden/>
          </w:rPr>
          <w:fldChar w:fldCharType="separate"/>
        </w:r>
        <w:r w:rsidR="00480FB3">
          <w:rPr>
            <w:noProof/>
            <w:webHidden/>
          </w:rPr>
          <w:t>13</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3" w:history="1">
        <w:r w:rsidR="00741734" w:rsidRPr="00890B5A">
          <w:rPr>
            <w:rStyle w:val="Hyperlink"/>
            <w:noProof/>
          </w:rPr>
          <w:t>§ 11 Ableitbedingungen für Abgase</w:t>
        </w:r>
        <w:r w:rsidR="00741734">
          <w:rPr>
            <w:noProof/>
            <w:webHidden/>
          </w:rPr>
          <w:tab/>
        </w:r>
        <w:r w:rsidR="00741734">
          <w:rPr>
            <w:noProof/>
            <w:webHidden/>
          </w:rPr>
          <w:fldChar w:fldCharType="begin"/>
        </w:r>
        <w:r w:rsidR="00741734">
          <w:rPr>
            <w:noProof/>
            <w:webHidden/>
          </w:rPr>
          <w:instrText xml:space="preserve"> PAGEREF _Toc333483323 \h </w:instrText>
        </w:r>
        <w:r w:rsidR="00741734">
          <w:rPr>
            <w:noProof/>
            <w:webHidden/>
          </w:rPr>
        </w:r>
        <w:r w:rsidR="00741734">
          <w:rPr>
            <w:noProof/>
            <w:webHidden/>
          </w:rPr>
          <w:fldChar w:fldCharType="separate"/>
        </w:r>
        <w:r w:rsidR="00480FB3">
          <w:rPr>
            <w:noProof/>
            <w:webHidden/>
          </w:rPr>
          <w:t>13</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4" w:history="1">
        <w:r w:rsidR="00741734" w:rsidRPr="00890B5A">
          <w:rPr>
            <w:rStyle w:val="Hyperlink"/>
            <w:noProof/>
          </w:rPr>
          <w:t>§ 12 Störungen an Abgasreinigungseinrichtungen</w:t>
        </w:r>
        <w:r w:rsidR="00741734">
          <w:rPr>
            <w:noProof/>
            <w:webHidden/>
          </w:rPr>
          <w:tab/>
        </w:r>
        <w:r w:rsidR="00741734">
          <w:rPr>
            <w:noProof/>
            <w:webHidden/>
          </w:rPr>
          <w:fldChar w:fldCharType="begin"/>
        </w:r>
        <w:r w:rsidR="00741734">
          <w:rPr>
            <w:noProof/>
            <w:webHidden/>
          </w:rPr>
          <w:instrText xml:space="preserve"> PAGEREF _Toc333483324 \h </w:instrText>
        </w:r>
        <w:r w:rsidR="00741734">
          <w:rPr>
            <w:noProof/>
            <w:webHidden/>
          </w:rPr>
        </w:r>
        <w:r w:rsidR="00741734">
          <w:rPr>
            <w:noProof/>
            <w:webHidden/>
          </w:rPr>
          <w:fldChar w:fldCharType="separate"/>
        </w:r>
        <w:r w:rsidR="00480FB3">
          <w:rPr>
            <w:noProof/>
            <w:webHidden/>
          </w:rPr>
          <w:t>13</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25" w:history="1">
        <w:r w:rsidR="00741734" w:rsidRPr="00890B5A">
          <w:rPr>
            <w:rStyle w:val="Hyperlink"/>
            <w:noProof/>
          </w:rPr>
          <w:t>Dritter Teil Messung und Überwachung</w:t>
        </w:r>
        <w:r w:rsidR="00741734">
          <w:rPr>
            <w:noProof/>
            <w:webHidden/>
          </w:rPr>
          <w:tab/>
        </w:r>
        <w:r w:rsidR="00741734">
          <w:rPr>
            <w:noProof/>
            <w:webHidden/>
          </w:rPr>
          <w:fldChar w:fldCharType="begin"/>
        </w:r>
        <w:r w:rsidR="00741734">
          <w:rPr>
            <w:noProof/>
            <w:webHidden/>
          </w:rPr>
          <w:instrText xml:space="preserve"> PAGEREF _Toc333483325 \h </w:instrText>
        </w:r>
        <w:r w:rsidR="00741734">
          <w:rPr>
            <w:noProof/>
            <w:webHidden/>
          </w:rPr>
        </w:r>
        <w:r w:rsidR="00741734">
          <w:rPr>
            <w:noProof/>
            <w:webHidden/>
          </w:rPr>
          <w:fldChar w:fldCharType="separate"/>
        </w:r>
        <w:r w:rsidR="00480FB3">
          <w:rPr>
            <w:noProof/>
            <w:webHidden/>
          </w:rPr>
          <w:t>14</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6" w:history="1">
        <w:r w:rsidR="00741734" w:rsidRPr="00890B5A">
          <w:rPr>
            <w:rStyle w:val="Hyperlink"/>
            <w:noProof/>
          </w:rPr>
          <w:t>§ 13 Messplätze</w:t>
        </w:r>
        <w:r w:rsidR="00741734">
          <w:rPr>
            <w:noProof/>
            <w:webHidden/>
          </w:rPr>
          <w:tab/>
        </w:r>
        <w:r w:rsidR="00741734">
          <w:rPr>
            <w:noProof/>
            <w:webHidden/>
          </w:rPr>
          <w:fldChar w:fldCharType="begin"/>
        </w:r>
        <w:r w:rsidR="00741734">
          <w:rPr>
            <w:noProof/>
            <w:webHidden/>
          </w:rPr>
          <w:instrText xml:space="preserve"> PAGEREF _Toc333483326 \h </w:instrText>
        </w:r>
        <w:r w:rsidR="00741734">
          <w:rPr>
            <w:noProof/>
            <w:webHidden/>
          </w:rPr>
        </w:r>
        <w:r w:rsidR="00741734">
          <w:rPr>
            <w:noProof/>
            <w:webHidden/>
          </w:rPr>
          <w:fldChar w:fldCharType="separate"/>
        </w:r>
        <w:r w:rsidR="00480FB3">
          <w:rPr>
            <w:noProof/>
            <w:webHidden/>
          </w:rPr>
          <w:t>14</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7" w:history="1">
        <w:r w:rsidR="00741734" w:rsidRPr="00890B5A">
          <w:rPr>
            <w:rStyle w:val="Hyperlink"/>
            <w:noProof/>
          </w:rPr>
          <w:t>§ 14 Messverfahren und Messeinrichtungen</w:t>
        </w:r>
        <w:r w:rsidR="00741734">
          <w:rPr>
            <w:noProof/>
            <w:webHidden/>
          </w:rPr>
          <w:tab/>
        </w:r>
        <w:r w:rsidR="00741734">
          <w:rPr>
            <w:noProof/>
            <w:webHidden/>
          </w:rPr>
          <w:fldChar w:fldCharType="begin"/>
        </w:r>
        <w:r w:rsidR="00741734">
          <w:rPr>
            <w:noProof/>
            <w:webHidden/>
          </w:rPr>
          <w:instrText xml:space="preserve"> PAGEREF _Toc333483327 \h </w:instrText>
        </w:r>
        <w:r w:rsidR="00741734">
          <w:rPr>
            <w:noProof/>
            <w:webHidden/>
          </w:rPr>
        </w:r>
        <w:r w:rsidR="00741734">
          <w:rPr>
            <w:noProof/>
            <w:webHidden/>
          </w:rPr>
          <w:fldChar w:fldCharType="separate"/>
        </w:r>
        <w:r w:rsidR="00480FB3">
          <w:rPr>
            <w:noProof/>
            <w:webHidden/>
          </w:rPr>
          <w:t>14</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8" w:history="1">
        <w:r w:rsidR="00741734" w:rsidRPr="00890B5A">
          <w:rPr>
            <w:rStyle w:val="Hyperlink"/>
            <w:noProof/>
          </w:rPr>
          <w:t>§ 15 Kontinuierliche Messungen</w:t>
        </w:r>
        <w:r w:rsidR="00741734">
          <w:rPr>
            <w:noProof/>
            <w:webHidden/>
          </w:rPr>
          <w:tab/>
        </w:r>
        <w:r w:rsidR="00741734">
          <w:rPr>
            <w:noProof/>
            <w:webHidden/>
          </w:rPr>
          <w:fldChar w:fldCharType="begin"/>
        </w:r>
        <w:r w:rsidR="00741734">
          <w:rPr>
            <w:noProof/>
            <w:webHidden/>
          </w:rPr>
          <w:instrText xml:space="preserve"> PAGEREF _Toc333483328 \h </w:instrText>
        </w:r>
        <w:r w:rsidR="00741734">
          <w:rPr>
            <w:noProof/>
            <w:webHidden/>
          </w:rPr>
        </w:r>
        <w:r w:rsidR="00741734">
          <w:rPr>
            <w:noProof/>
            <w:webHidden/>
          </w:rPr>
          <w:fldChar w:fldCharType="separate"/>
        </w:r>
        <w:r w:rsidR="00480FB3">
          <w:rPr>
            <w:noProof/>
            <w:webHidden/>
          </w:rPr>
          <w:t>14</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29" w:history="1">
        <w:r w:rsidR="00741734" w:rsidRPr="00890B5A">
          <w:rPr>
            <w:rStyle w:val="Hyperlink"/>
            <w:noProof/>
          </w:rPr>
          <w:t>§ 16 Auswertung und Beurteilung von kontinuierlichen Messungen</w:t>
        </w:r>
        <w:r w:rsidR="00741734">
          <w:rPr>
            <w:noProof/>
            <w:webHidden/>
          </w:rPr>
          <w:tab/>
        </w:r>
        <w:r w:rsidR="00741734">
          <w:rPr>
            <w:noProof/>
            <w:webHidden/>
          </w:rPr>
          <w:fldChar w:fldCharType="begin"/>
        </w:r>
        <w:r w:rsidR="00741734">
          <w:rPr>
            <w:noProof/>
            <w:webHidden/>
          </w:rPr>
          <w:instrText xml:space="preserve"> PAGEREF _Toc333483329 \h </w:instrText>
        </w:r>
        <w:r w:rsidR="00741734">
          <w:rPr>
            <w:noProof/>
            <w:webHidden/>
          </w:rPr>
        </w:r>
        <w:r w:rsidR="00741734">
          <w:rPr>
            <w:noProof/>
            <w:webHidden/>
          </w:rPr>
          <w:fldChar w:fldCharType="separate"/>
        </w:r>
        <w:r w:rsidR="00480FB3">
          <w:rPr>
            <w:noProof/>
            <w:webHidden/>
          </w:rPr>
          <w:t>15</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0" w:history="1">
        <w:r w:rsidR="00741734" w:rsidRPr="00890B5A">
          <w:rPr>
            <w:rStyle w:val="Hyperlink"/>
            <w:noProof/>
          </w:rPr>
          <w:t>§ 17 Einzelmessungen</w:t>
        </w:r>
        <w:r w:rsidR="00741734">
          <w:rPr>
            <w:noProof/>
            <w:webHidden/>
          </w:rPr>
          <w:tab/>
        </w:r>
        <w:r w:rsidR="00741734">
          <w:rPr>
            <w:noProof/>
            <w:webHidden/>
          </w:rPr>
          <w:fldChar w:fldCharType="begin"/>
        </w:r>
        <w:r w:rsidR="00741734">
          <w:rPr>
            <w:noProof/>
            <w:webHidden/>
          </w:rPr>
          <w:instrText xml:space="preserve"> PAGEREF _Toc333483330 \h </w:instrText>
        </w:r>
        <w:r w:rsidR="00741734">
          <w:rPr>
            <w:noProof/>
            <w:webHidden/>
          </w:rPr>
        </w:r>
        <w:r w:rsidR="00741734">
          <w:rPr>
            <w:noProof/>
            <w:webHidden/>
          </w:rPr>
          <w:fldChar w:fldCharType="separate"/>
        </w:r>
        <w:r w:rsidR="00480FB3">
          <w:rPr>
            <w:noProof/>
            <w:webHidden/>
          </w:rPr>
          <w:t>16</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1" w:history="1">
        <w:r w:rsidR="00741734" w:rsidRPr="00890B5A">
          <w:rPr>
            <w:rStyle w:val="Hyperlink"/>
            <w:noProof/>
          </w:rPr>
          <w:t>§ 18 Berichte und Beurteilung von Einzelmessungen</w:t>
        </w:r>
        <w:r w:rsidR="00741734">
          <w:rPr>
            <w:noProof/>
            <w:webHidden/>
          </w:rPr>
          <w:tab/>
        </w:r>
        <w:r w:rsidR="00741734">
          <w:rPr>
            <w:noProof/>
            <w:webHidden/>
          </w:rPr>
          <w:fldChar w:fldCharType="begin"/>
        </w:r>
        <w:r w:rsidR="00741734">
          <w:rPr>
            <w:noProof/>
            <w:webHidden/>
          </w:rPr>
          <w:instrText xml:space="preserve"> PAGEREF _Toc333483331 \h </w:instrText>
        </w:r>
        <w:r w:rsidR="00741734">
          <w:rPr>
            <w:noProof/>
            <w:webHidden/>
          </w:rPr>
        </w:r>
        <w:r w:rsidR="00741734">
          <w:rPr>
            <w:noProof/>
            <w:webHidden/>
          </w:rPr>
          <w:fldChar w:fldCharType="separate"/>
        </w:r>
        <w:r w:rsidR="00480FB3">
          <w:rPr>
            <w:noProof/>
            <w:webHidden/>
          </w:rPr>
          <w:t>16</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2" w:history="1">
        <w:r w:rsidR="00741734" w:rsidRPr="00890B5A">
          <w:rPr>
            <w:rStyle w:val="Hyperlink"/>
            <w:noProof/>
          </w:rPr>
          <w:t>§ 19 Jährliche Berichte über Emissionen</w:t>
        </w:r>
        <w:r w:rsidR="00741734">
          <w:rPr>
            <w:noProof/>
            <w:webHidden/>
          </w:rPr>
          <w:tab/>
        </w:r>
        <w:r w:rsidR="00741734">
          <w:rPr>
            <w:noProof/>
            <w:webHidden/>
          </w:rPr>
          <w:fldChar w:fldCharType="begin"/>
        </w:r>
        <w:r w:rsidR="00741734">
          <w:rPr>
            <w:noProof/>
            <w:webHidden/>
          </w:rPr>
          <w:instrText xml:space="preserve"> PAGEREF _Toc333483332 \h </w:instrText>
        </w:r>
        <w:r w:rsidR="00741734">
          <w:rPr>
            <w:noProof/>
            <w:webHidden/>
          </w:rPr>
        </w:r>
        <w:r w:rsidR="00741734">
          <w:rPr>
            <w:noProof/>
            <w:webHidden/>
          </w:rPr>
          <w:fldChar w:fldCharType="separate"/>
        </w:r>
        <w:r w:rsidR="00480FB3">
          <w:rPr>
            <w:noProof/>
            <w:webHidden/>
          </w:rPr>
          <w:t>16</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3" w:history="1">
        <w:r w:rsidR="00741734" w:rsidRPr="00890B5A">
          <w:rPr>
            <w:rStyle w:val="Hyperlink"/>
            <w:noProof/>
          </w:rPr>
          <w:t>§ 19a Ermittlung der Jahresmittelwerte, Überwachung und Berichterstattung</w:t>
        </w:r>
        <w:r w:rsidR="00741734">
          <w:rPr>
            <w:noProof/>
            <w:webHidden/>
          </w:rPr>
          <w:tab/>
        </w:r>
        <w:r w:rsidR="00741734">
          <w:rPr>
            <w:noProof/>
            <w:webHidden/>
          </w:rPr>
          <w:fldChar w:fldCharType="begin"/>
        </w:r>
        <w:r w:rsidR="00741734">
          <w:rPr>
            <w:noProof/>
            <w:webHidden/>
          </w:rPr>
          <w:instrText xml:space="preserve"> PAGEREF _Toc333483333 \h </w:instrText>
        </w:r>
        <w:r w:rsidR="00741734">
          <w:rPr>
            <w:noProof/>
            <w:webHidden/>
          </w:rPr>
        </w:r>
        <w:r w:rsidR="00741734">
          <w:rPr>
            <w:noProof/>
            <w:webHidden/>
          </w:rPr>
          <w:fldChar w:fldCharType="separate"/>
        </w:r>
        <w:r w:rsidR="00480FB3">
          <w:rPr>
            <w:noProof/>
            <w:webHidden/>
          </w:rPr>
          <w:t>17</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34" w:history="1">
        <w:r w:rsidR="00741734" w:rsidRPr="00890B5A">
          <w:rPr>
            <w:rStyle w:val="Hyperlink"/>
            <w:noProof/>
          </w:rPr>
          <w:t>Vierter Teil Anforderungen an Altanlagen</w:t>
        </w:r>
        <w:r w:rsidR="00741734">
          <w:rPr>
            <w:noProof/>
            <w:webHidden/>
          </w:rPr>
          <w:tab/>
        </w:r>
        <w:r w:rsidR="00741734">
          <w:rPr>
            <w:noProof/>
            <w:webHidden/>
          </w:rPr>
          <w:fldChar w:fldCharType="begin"/>
        </w:r>
        <w:r w:rsidR="00741734">
          <w:rPr>
            <w:noProof/>
            <w:webHidden/>
          </w:rPr>
          <w:instrText xml:space="preserve"> PAGEREF _Toc333483334 \h </w:instrText>
        </w:r>
        <w:r w:rsidR="00741734">
          <w:rPr>
            <w:noProof/>
            <w:webHidden/>
          </w:rPr>
        </w:r>
        <w:r w:rsidR="00741734">
          <w:rPr>
            <w:noProof/>
            <w:webHidden/>
          </w:rPr>
          <w:fldChar w:fldCharType="separate"/>
        </w:r>
        <w:r w:rsidR="00480FB3">
          <w:rPr>
            <w:noProof/>
            <w:webHidden/>
          </w:rPr>
          <w:t>17</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5" w:history="1">
        <w:r w:rsidR="00741734" w:rsidRPr="00890B5A">
          <w:rPr>
            <w:rStyle w:val="Hyperlink"/>
            <w:noProof/>
          </w:rPr>
          <w:t>§ 20 Übergangsregelung</w:t>
        </w:r>
        <w:r w:rsidR="00741734">
          <w:rPr>
            <w:noProof/>
            <w:webHidden/>
          </w:rPr>
          <w:tab/>
        </w:r>
        <w:r w:rsidR="00741734">
          <w:rPr>
            <w:noProof/>
            <w:webHidden/>
          </w:rPr>
          <w:fldChar w:fldCharType="begin"/>
        </w:r>
        <w:r w:rsidR="00741734">
          <w:rPr>
            <w:noProof/>
            <w:webHidden/>
          </w:rPr>
          <w:instrText xml:space="preserve"> PAGEREF _Toc333483335 \h </w:instrText>
        </w:r>
        <w:r w:rsidR="00741734">
          <w:rPr>
            <w:noProof/>
            <w:webHidden/>
          </w:rPr>
        </w:r>
        <w:r w:rsidR="00741734">
          <w:rPr>
            <w:noProof/>
            <w:webHidden/>
          </w:rPr>
          <w:fldChar w:fldCharType="separate"/>
        </w:r>
        <w:r w:rsidR="00480FB3">
          <w:rPr>
            <w:noProof/>
            <w:webHidden/>
          </w:rPr>
          <w:t>17</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6" w:history="1">
        <w:r w:rsidR="00741734" w:rsidRPr="00890B5A">
          <w:rPr>
            <w:rStyle w:val="Hyperlink"/>
            <w:noProof/>
          </w:rPr>
          <w:t>§ 20a Übergangsregelungen für die Einhaltung von Jahresmittelwerten</w:t>
        </w:r>
        <w:r w:rsidR="00741734">
          <w:rPr>
            <w:noProof/>
            <w:webHidden/>
          </w:rPr>
          <w:tab/>
        </w:r>
        <w:r w:rsidR="00741734">
          <w:rPr>
            <w:noProof/>
            <w:webHidden/>
          </w:rPr>
          <w:fldChar w:fldCharType="begin"/>
        </w:r>
        <w:r w:rsidR="00741734">
          <w:rPr>
            <w:noProof/>
            <w:webHidden/>
          </w:rPr>
          <w:instrText xml:space="preserve"> PAGEREF _Toc333483336 \h </w:instrText>
        </w:r>
        <w:r w:rsidR="00741734">
          <w:rPr>
            <w:noProof/>
            <w:webHidden/>
          </w:rPr>
        </w:r>
        <w:r w:rsidR="00741734">
          <w:rPr>
            <w:noProof/>
            <w:webHidden/>
          </w:rPr>
          <w:fldChar w:fldCharType="separate"/>
        </w:r>
        <w:r w:rsidR="00480FB3">
          <w:rPr>
            <w:noProof/>
            <w:webHidden/>
          </w:rPr>
          <w:t>18</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37" w:history="1">
        <w:r w:rsidR="00741734" w:rsidRPr="00890B5A">
          <w:rPr>
            <w:rStyle w:val="Hyperlink"/>
            <w:noProof/>
          </w:rPr>
          <w:t>Fünfter Teil Gemeinsame Vorschriften</w:t>
        </w:r>
        <w:r w:rsidR="00741734">
          <w:rPr>
            <w:noProof/>
            <w:webHidden/>
          </w:rPr>
          <w:tab/>
        </w:r>
        <w:r w:rsidR="00741734">
          <w:rPr>
            <w:noProof/>
            <w:webHidden/>
          </w:rPr>
          <w:fldChar w:fldCharType="begin"/>
        </w:r>
        <w:r w:rsidR="00741734">
          <w:rPr>
            <w:noProof/>
            <w:webHidden/>
          </w:rPr>
          <w:instrText xml:space="preserve"> PAGEREF _Toc333483337 \h </w:instrText>
        </w:r>
        <w:r w:rsidR="00741734">
          <w:rPr>
            <w:noProof/>
            <w:webHidden/>
          </w:rPr>
        </w:r>
        <w:r w:rsidR="00741734">
          <w:rPr>
            <w:noProof/>
            <w:webHidden/>
          </w:rPr>
          <w:fldChar w:fldCharType="separate"/>
        </w:r>
        <w:r w:rsidR="00480FB3">
          <w:rPr>
            <w:noProof/>
            <w:webHidden/>
          </w:rPr>
          <w:t>18</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8" w:history="1">
        <w:r w:rsidR="00741734" w:rsidRPr="00890B5A">
          <w:rPr>
            <w:rStyle w:val="Hyperlink"/>
            <w:noProof/>
          </w:rPr>
          <w:t>§ 21 Zulassung von Ausnahmen</w:t>
        </w:r>
        <w:r w:rsidR="00741734">
          <w:rPr>
            <w:noProof/>
            <w:webHidden/>
          </w:rPr>
          <w:tab/>
        </w:r>
        <w:r w:rsidR="00741734">
          <w:rPr>
            <w:noProof/>
            <w:webHidden/>
          </w:rPr>
          <w:fldChar w:fldCharType="begin"/>
        </w:r>
        <w:r w:rsidR="00741734">
          <w:rPr>
            <w:noProof/>
            <w:webHidden/>
          </w:rPr>
          <w:instrText xml:space="preserve"> PAGEREF _Toc333483338 \h </w:instrText>
        </w:r>
        <w:r w:rsidR="00741734">
          <w:rPr>
            <w:noProof/>
            <w:webHidden/>
          </w:rPr>
        </w:r>
        <w:r w:rsidR="00741734">
          <w:rPr>
            <w:noProof/>
            <w:webHidden/>
          </w:rPr>
          <w:fldChar w:fldCharType="separate"/>
        </w:r>
        <w:r w:rsidR="00480FB3">
          <w:rPr>
            <w:noProof/>
            <w:webHidden/>
          </w:rPr>
          <w:t>18</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39" w:history="1">
        <w:r w:rsidR="00741734" w:rsidRPr="00890B5A">
          <w:rPr>
            <w:rStyle w:val="Hyperlink"/>
            <w:noProof/>
          </w:rPr>
          <w:t>§ 22 Weitergehende Anforderungen</w:t>
        </w:r>
        <w:r w:rsidR="00741734">
          <w:rPr>
            <w:noProof/>
            <w:webHidden/>
          </w:rPr>
          <w:tab/>
        </w:r>
        <w:r w:rsidR="00741734">
          <w:rPr>
            <w:noProof/>
            <w:webHidden/>
          </w:rPr>
          <w:fldChar w:fldCharType="begin"/>
        </w:r>
        <w:r w:rsidR="00741734">
          <w:rPr>
            <w:noProof/>
            <w:webHidden/>
          </w:rPr>
          <w:instrText xml:space="preserve"> PAGEREF _Toc333483339 \h </w:instrText>
        </w:r>
        <w:r w:rsidR="00741734">
          <w:rPr>
            <w:noProof/>
            <w:webHidden/>
          </w:rPr>
        </w:r>
        <w:r w:rsidR="00741734">
          <w:rPr>
            <w:noProof/>
            <w:webHidden/>
          </w:rPr>
          <w:fldChar w:fldCharType="separate"/>
        </w:r>
        <w:r w:rsidR="00480FB3">
          <w:rPr>
            <w:noProof/>
            <w:webHidden/>
          </w:rPr>
          <w:t>18</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40" w:history="1">
        <w:r w:rsidR="00741734" w:rsidRPr="00890B5A">
          <w:rPr>
            <w:rStyle w:val="Hyperlink"/>
            <w:noProof/>
          </w:rPr>
          <w:t>§ 23 Zugänglichkeit der Normen- und Arbeitsblätter</w:t>
        </w:r>
        <w:r w:rsidR="00741734">
          <w:rPr>
            <w:noProof/>
            <w:webHidden/>
          </w:rPr>
          <w:tab/>
        </w:r>
        <w:r w:rsidR="00741734">
          <w:rPr>
            <w:noProof/>
            <w:webHidden/>
          </w:rPr>
          <w:fldChar w:fldCharType="begin"/>
        </w:r>
        <w:r w:rsidR="00741734">
          <w:rPr>
            <w:noProof/>
            <w:webHidden/>
          </w:rPr>
          <w:instrText xml:space="preserve"> PAGEREF _Toc333483340 \h </w:instrText>
        </w:r>
        <w:r w:rsidR="00741734">
          <w:rPr>
            <w:noProof/>
            <w:webHidden/>
          </w:rPr>
        </w:r>
        <w:r w:rsidR="00741734">
          <w:rPr>
            <w:noProof/>
            <w:webHidden/>
          </w:rPr>
          <w:fldChar w:fldCharType="separate"/>
        </w:r>
        <w:r w:rsidR="00480FB3">
          <w:rPr>
            <w:noProof/>
            <w:webHidden/>
          </w:rPr>
          <w:t>18</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41" w:history="1">
        <w:r w:rsidR="00741734" w:rsidRPr="00890B5A">
          <w:rPr>
            <w:rStyle w:val="Hyperlink"/>
            <w:noProof/>
          </w:rPr>
          <w:t>§ 24 Ordnungswidrigkeiten</w:t>
        </w:r>
        <w:r w:rsidR="00741734">
          <w:rPr>
            <w:noProof/>
            <w:webHidden/>
          </w:rPr>
          <w:tab/>
        </w:r>
        <w:r w:rsidR="00741734">
          <w:rPr>
            <w:noProof/>
            <w:webHidden/>
          </w:rPr>
          <w:fldChar w:fldCharType="begin"/>
        </w:r>
        <w:r w:rsidR="00741734">
          <w:rPr>
            <w:noProof/>
            <w:webHidden/>
          </w:rPr>
          <w:instrText xml:space="preserve"> PAGEREF _Toc333483341 \h </w:instrText>
        </w:r>
        <w:r w:rsidR="00741734">
          <w:rPr>
            <w:noProof/>
            <w:webHidden/>
          </w:rPr>
        </w:r>
        <w:r w:rsidR="00741734">
          <w:rPr>
            <w:noProof/>
            <w:webHidden/>
          </w:rPr>
          <w:fldChar w:fldCharType="separate"/>
        </w:r>
        <w:r w:rsidR="00480FB3">
          <w:rPr>
            <w:noProof/>
            <w:webHidden/>
          </w:rPr>
          <w:t>19</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42" w:history="1">
        <w:r w:rsidR="00741734" w:rsidRPr="00890B5A">
          <w:rPr>
            <w:rStyle w:val="Hyperlink"/>
            <w:noProof/>
          </w:rPr>
          <w:t>Sechster Teil Schlussvorschriften</w:t>
        </w:r>
        <w:r w:rsidR="00741734">
          <w:rPr>
            <w:noProof/>
            <w:webHidden/>
          </w:rPr>
          <w:tab/>
        </w:r>
        <w:r w:rsidR="00741734">
          <w:rPr>
            <w:noProof/>
            <w:webHidden/>
          </w:rPr>
          <w:fldChar w:fldCharType="begin"/>
        </w:r>
        <w:r w:rsidR="00741734">
          <w:rPr>
            <w:noProof/>
            <w:webHidden/>
          </w:rPr>
          <w:instrText xml:space="preserve"> PAGEREF _Toc333483342 \h </w:instrText>
        </w:r>
        <w:r w:rsidR="00741734">
          <w:rPr>
            <w:noProof/>
            <w:webHidden/>
          </w:rPr>
        </w:r>
        <w:r w:rsidR="00741734">
          <w:rPr>
            <w:noProof/>
            <w:webHidden/>
          </w:rPr>
          <w:fldChar w:fldCharType="separate"/>
        </w:r>
        <w:r w:rsidR="00480FB3">
          <w:rPr>
            <w:noProof/>
            <w:webHidden/>
          </w:rPr>
          <w:t>19</w:t>
        </w:r>
        <w:r w:rsidR="00741734">
          <w:rPr>
            <w:noProof/>
            <w:webHidden/>
          </w:rPr>
          <w:fldChar w:fldCharType="end"/>
        </w:r>
      </w:hyperlink>
    </w:p>
    <w:p w:rsidR="00741734" w:rsidRDefault="007E103A">
      <w:pPr>
        <w:pStyle w:val="Verzeichnis3"/>
        <w:tabs>
          <w:tab w:val="clear" w:pos="9638"/>
          <w:tab w:val="right" w:leader="dot" w:pos="9628"/>
        </w:tabs>
        <w:rPr>
          <w:i w:val="0"/>
          <w:iCs/>
          <w:noProof/>
          <w:sz w:val="24"/>
          <w:szCs w:val="24"/>
        </w:rPr>
      </w:pPr>
      <w:hyperlink w:anchor="_Toc333483343" w:history="1">
        <w:r w:rsidR="00741734" w:rsidRPr="00890B5A">
          <w:rPr>
            <w:rStyle w:val="Hyperlink"/>
            <w:noProof/>
          </w:rPr>
          <w:t>§ 25 Inkrafttreten, Außerkrafttreten</w:t>
        </w:r>
        <w:r w:rsidR="00741734">
          <w:rPr>
            <w:noProof/>
            <w:webHidden/>
          </w:rPr>
          <w:tab/>
        </w:r>
        <w:r w:rsidR="00741734">
          <w:rPr>
            <w:noProof/>
            <w:webHidden/>
          </w:rPr>
          <w:fldChar w:fldCharType="begin"/>
        </w:r>
        <w:r w:rsidR="00741734">
          <w:rPr>
            <w:noProof/>
            <w:webHidden/>
          </w:rPr>
          <w:instrText xml:space="preserve"> PAGEREF _Toc333483343 \h </w:instrText>
        </w:r>
        <w:r w:rsidR="00741734">
          <w:rPr>
            <w:noProof/>
            <w:webHidden/>
          </w:rPr>
        </w:r>
        <w:r w:rsidR="00741734">
          <w:rPr>
            <w:noProof/>
            <w:webHidden/>
          </w:rPr>
          <w:fldChar w:fldCharType="separate"/>
        </w:r>
        <w:r w:rsidR="00480FB3">
          <w:rPr>
            <w:noProof/>
            <w:webHidden/>
          </w:rPr>
          <w:t>19</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44" w:history="1">
        <w:r w:rsidR="00741734" w:rsidRPr="00890B5A">
          <w:rPr>
            <w:rStyle w:val="Hyperlink"/>
            <w:noProof/>
          </w:rPr>
          <w:t>Anhang I Äquivalenzfaktoren</w:t>
        </w:r>
        <w:r w:rsidR="00741734">
          <w:rPr>
            <w:noProof/>
            <w:webHidden/>
          </w:rPr>
          <w:tab/>
        </w:r>
        <w:r w:rsidR="00741734">
          <w:rPr>
            <w:noProof/>
            <w:webHidden/>
          </w:rPr>
          <w:fldChar w:fldCharType="begin"/>
        </w:r>
        <w:r w:rsidR="00741734">
          <w:rPr>
            <w:noProof/>
            <w:webHidden/>
          </w:rPr>
          <w:instrText xml:space="preserve"> PAGEREF _Toc333483344 \h </w:instrText>
        </w:r>
        <w:r w:rsidR="00741734">
          <w:rPr>
            <w:noProof/>
            <w:webHidden/>
          </w:rPr>
        </w:r>
        <w:r w:rsidR="00741734">
          <w:rPr>
            <w:noProof/>
            <w:webHidden/>
          </w:rPr>
          <w:fldChar w:fldCharType="separate"/>
        </w:r>
        <w:r w:rsidR="00480FB3">
          <w:rPr>
            <w:noProof/>
            <w:webHidden/>
          </w:rPr>
          <w:t>20</w:t>
        </w:r>
        <w:r w:rsidR="00741734">
          <w:rPr>
            <w:noProof/>
            <w:webHidden/>
          </w:rPr>
          <w:fldChar w:fldCharType="end"/>
        </w:r>
      </w:hyperlink>
    </w:p>
    <w:p w:rsidR="00741734" w:rsidRDefault="007E103A">
      <w:pPr>
        <w:pStyle w:val="Verzeichnis2"/>
        <w:tabs>
          <w:tab w:val="clear" w:pos="9638"/>
          <w:tab w:val="right" w:leader="dot" w:pos="9628"/>
        </w:tabs>
        <w:rPr>
          <w:smallCaps w:val="0"/>
          <w:noProof/>
          <w:sz w:val="24"/>
          <w:szCs w:val="24"/>
        </w:rPr>
      </w:pPr>
      <w:hyperlink w:anchor="_Toc333483345" w:history="1">
        <w:r w:rsidR="00741734" w:rsidRPr="00890B5A">
          <w:rPr>
            <w:rStyle w:val="Hyperlink"/>
            <w:noProof/>
          </w:rPr>
          <w:t>Anhang II Anforderungen an die kontinuierlichen Messeinrichtungen und die Validierung der Messergebnisse</w:t>
        </w:r>
        <w:r w:rsidR="00741734">
          <w:rPr>
            <w:noProof/>
            <w:webHidden/>
          </w:rPr>
          <w:tab/>
        </w:r>
        <w:r w:rsidR="00741734">
          <w:rPr>
            <w:noProof/>
            <w:webHidden/>
          </w:rPr>
          <w:fldChar w:fldCharType="begin"/>
        </w:r>
        <w:r w:rsidR="00741734">
          <w:rPr>
            <w:noProof/>
            <w:webHidden/>
          </w:rPr>
          <w:instrText xml:space="preserve"> PAGEREF _Toc333483345 \h </w:instrText>
        </w:r>
        <w:r w:rsidR="00741734">
          <w:rPr>
            <w:noProof/>
            <w:webHidden/>
          </w:rPr>
        </w:r>
        <w:r w:rsidR="00741734">
          <w:rPr>
            <w:noProof/>
            <w:webHidden/>
          </w:rPr>
          <w:fldChar w:fldCharType="separate"/>
        </w:r>
        <w:r w:rsidR="00480FB3">
          <w:rPr>
            <w:noProof/>
            <w:webHidden/>
          </w:rPr>
          <w:t>21</w:t>
        </w:r>
        <w:r w:rsidR="00741734">
          <w:rPr>
            <w:noProof/>
            <w:webHidden/>
          </w:rPr>
          <w:fldChar w:fldCharType="end"/>
        </w:r>
      </w:hyperlink>
    </w:p>
    <w:p w:rsidR="0059181C" w:rsidRDefault="00741734">
      <w:pPr>
        <w:pStyle w:val="GesAbsatz"/>
      </w:pPr>
      <w:r>
        <w:rPr>
          <w:rFonts w:ascii="Times New Roman" w:hAnsi="Times New Roman"/>
          <w:b/>
          <w:bCs/>
          <w:caps/>
          <w:color w:val="auto"/>
        </w:rPr>
        <w:fldChar w:fldCharType="end"/>
      </w:r>
    </w:p>
    <w:p w:rsidR="0059181C" w:rsidRDefault="0059181C">
      <w:pPr>
        <w:pStyle w:val="berschrift2"/>
      </w:pPr>
      <w:bookmarkStart w:id="2" w:name="_Toc333483310"/>
      <w:r>
        <w:lastRenderedPageBreak/>
        <w:t>Erster Teil</w:t>
      </w:r>
      <w:r>
        <w:br/>
        <w:t>Allgemeine Vorschriften</w:t>
      </w:r>
      <w:bookmarkEnd w:id="2"/>
    </w:p>
    <w:p w:rsidR="0059181C" w:rsidRDefault="0059181C">
      <w:pPr>
        <w:pStyle w:val="berschrift3"/>
      </w:pPr>
      <w:bookmarkStart w:id="3" w:name="_Toc333483311"/>
      <w:r>
        <w:t>§ 1</w:t>
      </w:r>
      <w:r>
        <w:br/>
        <w:t>Anwendungsbereich</w:t>
      </w:r>
      <w:bookmarkEnd w:id="3"/>
    </w:p>
    <w:p w:rsidR="0059181C" w:rsidRDefault="0059181C">
      <w:pPr>
        <w:pStyle w:val="GesAbsatz"/>
      </w:pPr>
      <w:r>
        <w:t>(1) Diese Verordnung gilt für die Errichtung, die Beschaffenheit und den Betrieb von Feuerungsanlagen ei</w:t>
      </w:r>
      <w:r>
        <w:t>n</w:t>
      </w:r>
      <w:r>
        <w:t>schließlich Gasturbinenanlagen sowie Gasturbinenanlagen zum Antrieb von Arbeitsmaschinen mit einer Feuerungswärmeleistung von 50 Megawatt oder mehr für den Einsatz fester, flüssiger oder gasförmiger Brennstoffe.</w:t>
      </w:r>
    </w:p>
    <w:p w:rsidR="0059181C" w:rsidRDefault="0059181C">
      <w:pPr>
        <w:pStyle w:val="GesAbsatz"/>
      </w:pPr>
      <w:r>
        <w:t>(2) Diese Verordnung gilt nicht für</w:t>
      </w:r>
    </w:p>
    <w:p w:rsidR="0059181C" w:rsidRDefault="0059181C">
      <w:pPr>
        <w:pStyle w:val="GesAbsatz"/>
        <w:ind w:left="426" w:hanging="426"/>
      </w:pPr>
      <w:r>
        <w:t>1.</w:t>
      </w:r>
      <w:r>
        <w:tab/>
        <w:t>Feuerungsanlagen, in denen Abgase unmittelbar bei Herstellungsverfahren verwendet werden (z. B. Hochöfen),</w:t>
      </w:r>
    </w:p>
    <w:p w:rsidR="0059181C" w:rsidRDefault="0059181C">
      <w:pPr>
        <w:pStyle w:val="GesAbsatz"/>
        <w:ind w:left="426" w:hanging="426"/>
      </w:pPr>
      <w:r>
        <w:t>2.</w:t>
      </w:r>
      <w:r>
        <w:tab/>
        <w:t>Feuerungsanlagen, in denen Abgase unmittelbar zum Erwärmen, Trocknen oder einer anderen B</w:t>
      </w:r>
      <w:r>
        <w:t>e</w:t>
      </w:r>
      <w:r>
        <w:t>handlung von Gegenständen oder Materialien verwendet werden (z. B. Wärme- oder Wärmebehan</w:t>
      </w:r>
      <w:r>
        <w:t>d</w:t>
      </w:r>
      <w:r>
        <w:t>lungsöfen),</w:t>
      </w:r>
    </w:p>
    <w:p w:rsidR="0059181C" w:rsidRDefault="0059181C">
      <w:pPr>
        <w:pStyle w:val="GesAbsatz"/>
        <w:ind w:left="426" w:hanging="426"/>
      </w:pPr>
      <w:r>
        <w:t>3.</w:t>
      </w:r>
      <w:r>
        <w:tab/>
        <w:t>Nachverbrennungseinrichtungen zur Reinigung von Abgasen durch Verbrennen, soweit sie nicht als unabhängige Feuerungsanlagen betrieben werden,</w:t>
      </w:r>
    </w:p>
    <w:p w:rsidR="0059181C" w:rsidRDefault="0059181C">
      <w:pPr>
        <w:pStyle w:val="GesAbsatz"/>
        <w:ind w:left="426" w:hanging="426"/>
      </w:pPr>
      <w:r>
        <w:t>4.</w:t>
      </w:r>
      <w:r>
        <w:tab/>
        <w:t>Feuerungsanlagen, in denen Katalysatoren für Crackanlagen durch Wärmeeinwirkung gereinigt werden,</w:t>
      </w:r>
    </w:p>
    <w:p w:rsidR="0059181C" w:rsidRDefault="0059181C">
      <w:pPr>
        <w:pStyle w:val="GesAbsatz"/>
        <w:ind w:left="426" w:hanging="426"/>
      </w:pPr>
      <w:r>
        <w:t>5.</w:t>
      </w:r>
      <w:r>
        <w:tab/>
        <w:t>Feuerungsanlagen, in denen Schwefelwasserstoff in Schwefel umgewandelt wird (Clausanlagen),</w:t>
      </w:r>
    </w:p>
    <w:p w:rsidR="0059181C" w:rsidRDefault="0059181C">
      <w:pPr>
        <w:pStyle w:val="GesAbsatz"/>
        <w:ind w:left="426" w:hanging="426"/>
      </w:pPr>
      <w:r>
        <w:t>6.</w:t>
      </w:r>
      <w:r>
        <w:tab/>
        <w:t>Feuerungsanlagen in der chemischen Industrie, die der unmittelbaren Beheizung von Gütern in Reakt</w:t>
      </w:r>
      <w:r>
        <w:t>o</w:t>
      </w:r>
      <w:r>
        <w:t>ren dienen,</w:t>
      </w:r>
    </w:p>
    <w:p w:rsidR="0059181C" w:rsidRDefault="0059181C">
      <w:pPr>
        <w:pStyle w:val="GesAbsatz"/>
        <w:ind w:left="426" w:hanging="426"/>
      </w:pPr>
      <w:r>
        <w:t>7.</w:t>
      </w:r>
      <w:r>
        <w:tab/>
        <w:t>Koksofenunterfeuerungen,</w:t>
      </w:r>
    </w:p>
    <w:p w:rsidR="0059181C" w:rsidRDefault="0059181C">
      <w:pPr>
        <w:pStyle w:val="GesAbsatz"/>
        <w:ind w:left="426" w:hanging="426"/>
      </w:pPr>
      <w:r>
        <w:t>8.</w:t>
      </w:r>
      <w:r>
        <w:tab/>
        <w:t>Winderhitzer,</w:t>
      </w:r>
    </w:p>
    <w:p w:rsidR="0059181C" w:rsidRDefault="0059181C">
      <w:pPr>
        <w:pStyle w:val="GesAbsatz"/>
        <w:ind w:left="426" w:hanging="426"/>
      </w:pPr>
      <w:r>
        <w:t>9.</w:t>
      </w:r>
      <w:r>
        <w:tab/>
        <w:t>Gasturbinenanlagen für den Einsatz auf Offshore-Plattformen,</w:t>
      </w:r>
    </w:p>
    <w:p w:rsidR="0059181C" w:rsidRDefault="0059181C">
      <w:pPr>
        <w:pStyle w:val="GesAbsatz"/>
        <w:tabs>
          <w:tab w:val="clear" w:pos="425"/>
        </w:tabs>
        <w:ind w:left="426" w:hanging="426"/>
      </w:pPr>
      <w:r>
        <w:t>10.</w:t>
      </w:r>
      <w:r>
        <w:tab/>
        <w:t>Verbrennungsmotoranlagen und</w:t>
      </w:r>
    </w:p>
    <w:p w:rsidR="0059181C" w:rsidRDefault="0059181C">
      <w:pPr>
        <w:pStyle w:val="GesAbsatz"/>
        <w:tabs>
          <w:tab w:val="clear" w:pos="425"/>
        </w:tabs>
        <w:ind w:left="426" w:hanging="426"/>
      </w:pPr>
      <w:r>
        <w:t>11.</w:t>
      </w:r>
      <w:r>
        <w:tab/>
        <w:t>Anlagen, soweit sie dem Anwendungsbereich der Siebzehnten Verordnung zur Durchführung des Bu</w:t>
      </w:r>
      <w:r>
        <w:t>n</w:t>
      </w:r>
      <w:r>
        <w:t>des-Immissionsschutzgesetzes in der jeweils gültigen Fassung unterliegen.</w:t>
      </w:r>
    </w:p>
    <w:p w:rsidR="0059181C" w:rsidRDefault="0059181C">
      <w:pPr>
        <w:pStyle w:val="GesAbsatz"/>
      </w:pPr>
      <w:r>
        <w:t>(3) Diese Verordnung enthält Anforderungen, die zur Vorsorge gegen schädliche Umwelteinwirkungen nach § 5 Abs. 1 Nr. 2 des Bundes-Immissionsschutzgesetzes zu erfüllen sind.</w:t>
      </w:r>
    </w:p>
    <w:p w:rsidR="0059181C" w:rsidRDefault="0059181C">
      <w:pPr>
        <w:pStyle w:val="berschrift3"/>
      </w:pPr>
      <w:bookmarkStart w:id="4" w:name="_Toc333483312"/>
      <w:r>
        <w:t>§ 2</w:t>
      </w:r>
      <w:r>
        <w:br/>
        <w:t>Begriffsbestimmungen</w:t>
      </w:r>
      <w:bookmarkEnd w:id="4"/>
    </w:p>
    <w:p w:rsidR="0059181C" w:rsidRDefault="0059181C">
      <w:pPr>
        <w:pStyle w:val="GesAbsatz"/>
      </w:pPr>
      <w:r>
        <w:t>Im Sinne dieser Verordnung sind</w:t>
      </w:r>
    </w:p>
    <w:p w:rsidR="0059181C" w:rsidRDefault="0059181C">
      <w:pPr>
        <w:pStyle w:val="GesAbsatz"/>
      </w:pPr>
      <w:r>
        <w:t>1.</w:t>
      </w:r>
      <w:r>
        <w:tab/>
        <w:t>Abgas</w:t>
      </w:r>
    </w:p>
    <w:p w:rsidR="0059181C" w:rsidRDefault="0059181C">
      <w:pPr>
        <w:pStyle w:val="GesAbsatz"/>
        <w:ind w:left="426"/>
      </w:pPr>
      <w:r>
        <w:t>das Trägergas mit den festen, flüssigen oder gasförmigen Emissionen; der Abgasvolumenstrom ist b</w:t>
      </w:r>
      <w:r>
        <w:t>e</w:t>
      </w:r>
      <w:r>
        <w:t>zogen auf das Abgasvolumen im Normzustand (Temperatur 273,15 K, Druck 101,3 kPa) nach Abzug des Feuchtegehalts an Wasserdampf und wird angegeben in Kubikmeter je Stunde (m</w:t>
      </w:r>
      <w:r>
        <w:rPr>
          <w:szCs w:val="14"/>
          <w:vertAlign w:val="superscript"/>
        </w:rPr>
        <w:t>3</w:t>
      </w:r>
      <w:r>
        <w:t>/h);</w:t>
      </w:r>
    </w:p>
    <w:p w:rsidR="0059181C" w:rsidRDefault="0059181C">
      <w:pPr>
        <w:pStyle w:val="GesAbsatz"/>
      </w:pPr>
      <w:r>
        <w:t>2.</w:t>
      </w:r>
      <w:r>
        <w:tab/>
        <w:t>Abgasreinigungseinrichtung</w:t>
      </w:r>
    </w:p>
    <w:p w:rsidR="0059181C" w:rsidRDefault="0059181C">
      <w:pPr>
        <w:pStyle w:val="GesAbsatz"/>
        <w:ind w:left="426"/>
      </w:pPr>
      <w:r>
        <w:t>der Feuerung nachgeschaltete Einrichtung zur Verminderung von Luftverunreinigungen einschließlich Einrichtungen zur selektiven nichtkatalytischen Reduktion;</w:t>
      </w:r>
    </w:p>
    <w:p w:rsidR="0059181C" w:rsidRDefault="0059181C">
      <w:pPr>
        <w:pStyle w:val="GesAbsatz"/>
      </w:pPr>
      <w:r>
        <w:t>3.</w:t>
      </w:r>
      <w:r>
        <w:tab/>
        <w:t>Altanlage</w:t>
      </w:r>
    </w:p>
    <w:p w:rsidR="0059181C" w:rsidRDefault="0059181C">
      <w:pPr>
        <w:pStyle w:val="GesAbsatz"/>
        <w:ind w:left="426"/>
      </w:pPr>
      <w:r>
        <w:t>eine Anlage,</w:t>
      </w:r>
    </w:p>
    <w:p w:rsidR="0059181C" w:rsidRDefault="0059181C">
      <w:pPr>
        <w:pStyle w:val="GesAbsatz"/>
        <w:tabs>
          <w:tab w:val="clear" w:pos="425"/>
        </w:tabs>
        <w:ind w:left="851" w:hanging="425"/>
      </w:pPr>
      <w:r>
        <w:t>a)</w:t>
      </w:r>
      <w:r>
        <w:tab/>
        <w:t>die nach § 67 Abs. 2 oder § 67a Abs. 1 des Bundes-Immissionsschutzgesetzes oder vor Inkrafttr</w:t>
      </w:r>
      <w:r>
        <w:t>e</w:t>
      </w:r>
      <w:r>
        <w:t>ten des Bundes-Immissionsschutzgesetzes nach § 16 Abs. 4 der Gewerbeordnung anzuzeigen war,</w:t>
      </w:r>
    </w:p>
    <w:p w:rsidR="0059181C" w:rsidRDefault="0059181C">
      <w:pPr>
        <w:pStyle w:val="GesAbsatz"/>
        <w:tabs>
          <w:tab w:val="clear" w:pos="425"/>
        </w:tabs>
        <w:ind w:left="851" w:hanging="425"/>
      </w:pPr>
      <w:r>
        <w:t>b)</w:t>
      </w:r>
      <w:r>
        <w:tab/>
        <w:t xml:space="preserve">für die die erste Genehmigung zur Errichtung und zum Betrieb nach § 4 oder § 16 des Bundes-Immissionsschutzgesetzes vor dem </w:t>
      </w:r>
      <w:smartTag w:uri="urn:schemas-microsoft-com:office:smarttags" w:element="date">
        <w:smartTagPr>
          <w:attr w:name="ls" w:val="trans"/>
          <w:attr w:name="Month" w:val="11"/>
          <w:attr w:name="Day" w:val="27"/>
          <w:attr w:name="Year" w:val="2002"/>
        </w:smartTagPr>
        <w:r>
          <w:t>27. November 2002</w:t>
        </w:r>
      </w:smartTag>
      <w:r>
        <w:t xml:space="preserve"> erteilt worden ist und die vor dem </w:t>
      </w:r>
      <w:smartTag w:uri="urn:schemas-microsoft-com:office:smarttags" w:element="date">
        <w:smartTagPr>
          <w:attr w:name="ls" w:val="trans"/>
          <w:attr w:name="Month" w:val="11"/>
          <w:attr w:name="Day" w:val="27"/>
          <w:attr w:name="Year" w:val="2003"/>
        </w:smartTagPr>
        <w:r>
          <w:t>27. N</w:t>
        </w:r>
        <w:r>
          <w:t>o</w:t>
        </w:r>
        <w:r>
          <w:t>vember 2003</w:t>
        </w:r>
      </w:smartTag>
      <w:r>
        <w:t xml:space="preserve"> in Betrieb gegangen ist oder</w:t>
      </w:r>
    </w:p>
    <w:p w:rsidR="0059181C" w:rsidRDefault="0059181C">
      <w:pPr>
        <w:pStyle w:val="GesAbsatz"/>
        <w:tabs>
          <w:tab w:val="clear" w:pos="425"/>
        </w:tabs>
        <w:ind w:left="851" w:hanging="425"/>
      </w:pPr>
      <w:r>
        <w:t>c)</w:t>
      </w:r>
      <w:r>
        <w:tab/>
        <w:t xml:space="preserve">für die bis zum </w:t>
      </w:r>
      <w:smartTag w:uri="urn:schemas-microsoft-com:office:smarttags" w:element="date">
        <w:smartTagPr>
          <w:attr w:name="ls" w:val="trans"/>
          <w:attr w:name="Month" w:val="11"/>
          <w:attr w:name="Day" w:val="26"/>
          <w:attr w:name="Year" w:val="2002"/>
        </w:smartTagPr>
        <w:r>
          <w:t>26. November 2002</w:t>
        </w:r>
      </w:smartTag>
      <w:r>
        <w:t xml:space="preserve"> ein vollständiger Genehmigungsantrag zur Errichtung und zum Betrieb nach § 4 oder § 16 des Bundes-Immissionsschutzgesetzes gestellt worden ist und die vor dem </w:t>
      </w:r>
      <w:smartTag w:uri="urn:schemas-microsoft-com:office:smarttags" w:element="date">
        <w:smartTagPr>
          <w:attr w:name="ls" w:val="trans"/>
          <w:attr w:name="Month" w:val="11"/>
          <w:attr w:name="Day" w:val="27"/>
          <w:attr w:name="Year" w:val="2003"/>
        </w:smartTagPr>
        <w:r>
          <w:t>27. November 2003</w:t>
        </w:r>
      </w:smartTag>
      <w:r>
        <w:t xml:space="preserve"> in Betrieb gegangen ist;</w:t>
      </w:r>
    </w:p>
    <w:p w:rsidR="0059181C" w:rsidRDefault="0059181C">
      <w:pPr>
        <w:pStyle w:val="GesAbsatz"/>
      </w:pPr>
      <w:r>
        <w:lastRenderedPageBreak/>
        <w:t>4.</w:t>
      </w:r>
      <w:r>
        <w:tab/>
        <w:t>Biobrennstoffe</w:t>
      </w:r>
    </w:p>
    <w:p w:rsidR="0059181C" w:rsidRDefault="0059181C">
      <w:pPr>
        <w:pStyle w:val="GesAbsatz"/>
        <w:tabs>
          <w:tab w:val="clear" w:pos="425"/>
        </w:tabs>
        <w:ind w:left="851" w:hanging="425"/>
      </w:pPr>
      <w:r>
        <w:t>a)</w:t>
      </w:r>
      <w:r>
        <w:tab/>
        <w:t>die Produkte land- oder forstwirtschaftlichen Ursprungs aus pflanzlichem Material oder Teilen d</w:t>
      </w:r>
      <w:r>
        <w:t>a</w:t>
      </w:r>
      <w:r>
        <w:t>von, soweit sie zur Nutzung ihres Energieinhalts verwendet werden, und</w:t>
      </w:r>
    </w:p>
    <w:p w:rsidR="0059181C" w:rsidRDefault="0059181C">
      <w:pPr>
        <w:pStyle w:val="GesAbsatz"/>
        <w:tabs>
          <w:tab w:val="clear" w:pos="425"/>
        </w:tabs>
        <w:ind w:left="851" w:hanging="425"/>
      </w:pPr>
      <w:r>
        <w:t>b)</w:t>
      </w:r>
      <w:r>
        <w:tab/>
        <w:t>die folgenden Abfälle, soweit sie als Brennstoff verwendet werden:</w:t>
      </w:r>
    </w:p>
    <w:p w:rsidR="0059181C" w:rsidRDefault="0059181C">
      <w:pPr>
        <w:pStyle w:val="GesAbsatz"/>
        <w:ind w:left="1276" w:hanging="425"/>
      </w:pPr>
      <w:proofErr w:type="spellStart"/>
      <w:r>
        <w:t>aa</w:t>
      </w:r>
      <w:proofErr w:type="spellEnd"/>
      <w:r>
        <w:t>)</w:t>
      </w:r>
      <w:r>
        <w:tab/>
        <w:t>pflanzliche Abfälle aus der Land- und Forstwirtschaft,</w:t>
      </w:r>
    </w:p>
    <w:p w:rsidR="0059181C" w:rsidRDefault="0059181C">
      <w:pPr>
        <w:pStyle w:val="GesAbsatz"/>
        <w:ind w:left="1276" w:hanging="425"/>
      </w:pPr>
      <w:proofErr w:type="spellStart"/>
      <w:r>
        <w:t>bb</w:t>
      </w:r>
      <w:proofErr w:type="spellEnd"/>
      <w:r>
        <w:t>)</w:t>
      </w:r>
      <w:r>
        <w:tab/>
        <w:t>pflanzliche Abfälle aus der Nahrungsmittelindustrie, soweit die erzeugte Wärme genutzt wird,</w:t>
      </w:r>
    </w:p>
    <w:p w:rsidR="0059181C" w:rsidRDefault="0059181C">
      <w:pPr>
        <w:pStyle w:val="GesAbsatz"/>
        <w:ind w:left="1276" w:hanging="425"/>
      </w:pPr>
      <w:r>
        <w:t>cc)</w:t>
      </w:r>
      <w:r>
        <w:tab/>
        <w:t>faserige pflanzliche Abfälle und Ablaugen aus der Herstellung von natürlichem Zellstoff und von Papier aus Zellstoff, soweit sie am Herstellungsort mitverbrannt werden und die erzeugte Wärme genutzt wird,</w:t>
      </w:r>
    </w:p>
    <w:p w:rsidR="0059181C" w:rsidRDefault="0059181C">
      <w:pPr>
        <w:pStyle w:val="GesAbsatz"/>
        <w:ind w:left="1276" w:hanging="425"/>
      </w:pPr>
      <w:proofErr w:type="spellStart"/>
      <w:r>
        <w:t>dd</w:t>
      </w:r>
      <w:proofErr w:type="spellEnd"/>
      <w:r>
        <w:t>)</w:t>
      </w:r>
      <w:r>
        <w:tab/>
        <w:t>Korkabfälle,</w:t>
      </w:r>
    </w:p>
    <w:p w:rsidR="0059181C" w:rsidRDefault="0059181C">
      <w:pPr>
        <w:pStyle w:val="GesAbsatz"/>
        <w:ind w:left="1276" w:hanging="425"/>
      </w:pPr>
      <w:proofErr w:type="spellStart"/>
      <w:r>
        <w:t>ee</w:t>
      </w:r>
      <w:proofErr w:type="spellEnd"/>
      <w:r>
        <w:t>)</w:t>
      </w:r>
      <w:r>
        <w:tab/>
        <w:t>Holzabfälle, ausgenommen Holzabfälle, die infolge einer Behandlung mit Holzschutzmitteln oder einer Beschichtung halogenorganische Verbindungen oder Schwermetalle enthalten können; hierzu gehören insbesondere Holzabfälle aus Bau- und Abbruchabfällen;</w:t>
      </w:r>
    </w:p>
    <w:p w:rsidR="0059181C" w:rsidRDefault="0059181C">
      <w:pPr>
        <w:pStyle w:val="GesAbsatz"/>
      </w:pPr>
      <w:r>
        <w:t>5.</w:t>
      </w:r>
      <w:r>
        <w:tab/>
        <w:t>Brennstoffe</w:t>
      </w:r>
    </w:p>
    <w:p w:rsidR="0059181C" w:rsidRDefault="0059181C">
      <w:pPr>
        <w:pStyle w:val="GesAbsatz"/>
        <w:ind w:left="426"/>
      </w:pPr>
      <w:r>
        <w:t>alle festen, flüssigen oder gasförmigen brennbaren Stoffe einschließlich ihrer nicht brennbaren Bestan</w:t>
      </w:r>
      <w:r>
        <w:t>d</w:t>
      </w:r>
      <w:r>
        <w:t>teile, ausgenommen brennbare Stoffe, soweit sie dem Anwendungsbereich der Siebzehnten Veror</w:t>
      </w:r>
      <w:r>
        <w:t>d</w:t>
      </w:r>
      <w:r>
        <w:t>nung zur Durchführung des Bundes-Immissionsschutzgesetzes in der jeweils gültigen Fassung unte</w:t>
      </w:r>
      <w:r>
        <w:t>r</w:t>
      </w:r>
      <w:r>
        <w:t>liegen;</w:t>
      </w:r>
    </w:p>
    <w:p w:rsidR="0059181C" w:rsidRDefault="0059181C">
      <w:pPr>
        <w:pStyle w:val="GesAbsatz"/>
      </w:pPr>
      <w:r>
        <w:t>6.</w:t>
      </w:r>
      <w:r>
        <w:tab/>
        <w:t>Dieselkraftstoff</w:t>
      </w:r>
    </w:p>
    <w:p w:rsidR="0059181C" w:rsidRDefault="0059181C">
      <w:pPr>
        <w:pStyle w:val="GesAbsatz"/>
        <w:ind w:left="426"/>
      </w:pPr>
      <w:r>
        <w:t>Dieselkraftstoff nach DIN EN 590 (Ausgabe Februar 2000);</w:t>
      </w:r>
    </w:p>
    <w:p w:rsidR="0059181C" w:rsidRDefault="0059181C">
      <w:pPr>
        <w:pStyle w:val="GesAbsatz"/>
      </w:pPr>
      <w:r>
        <w:t>7.</w:t>
      </w:r>
      <w:r>
        <w:tab/>
        <w:t>Emissionen</w:t>
      </w:r>
    </w:p>
    <w:p w:rsidR="0059181C" w:rsidRDefault="0059181C">
      <w:pPr>
        <w:pStyle w:val="GesAbsatz"/>
        <w:ind w:left="426"/>
      </w:pPr>
      <w:r>
        <w:t>die von einer Anlage ausgehenden Luftverunreinigungen; sie werden angegeben als Massenkonzentr</w:t>
      </w:r>
      <w:r>
        <w:t>a</w:t>
      </w:r>
      <w:r>
        <w:t>tionen in der Einheit Milligramm je Kubikmeter Abgas (mg/m</w:t>
      </w:r>
      <w:r>
        <w:rPr>
          <w:szCs w:val="14"/>
          <w:vertAlign w:val="superscript"/>
        </w:rPr>
        <w:t>3</w:t>
      </w:r>
      <w:r>
        <w:t>) oder Nanogramm je Kubikmeter Abgas (ng/m</w:t>
      </w:r>
      <w:r>
        <w:rPr>
          <w:szCs w:val="14"/>
          <w:vertAlign w:val="superscript"/>
        </w:rPr>
        <w:t>3</w:t>
      </w:r>
      <w:r>
        <w:t>), bezogen auf das Abgasvolumen im Normzustand (Temperatur 273,15 K, Druck 101,3 kPa) nach Abzug des Feuchtegehalts an Wasserdampf; Staubemissionen können auch als Rußzahl ang</w:t>
      </w:r>
      <w:r>
        <w:t>e</w:t>
      </w:r>
      <w:r>
        <w:t>geben werden;</w:t>
      </w:r>
    </w:p>
    <w:p w:rsidR="0059181C" w:rsidRDefault="0059181C">
      <w:pPr>
        <w:pStyle w:val="GesAbsatz"/>
      </w:pPr>
      <w:r>
        <w:t>8.</w:t>
      </w:r>
      <w:r>
        <w:tab/>
        <w:t>Emissionsgrenzwert</w:t>
      </w:r>
    </w:p>
    <w:p w:rsidR="0059181C" w:rsidRDefault="0059181C">
      <w:pPr>
        <w:pStyle w:val="GesAbsatz"/>
        <w:ind w:left="426"/>
      </w:pPr>
      <w:r>
        <w:t>die zulässige Massenkonzentration einer im Abgas einer Anlage enthaltenen Luftverunreinigung, die in die Luft abgeleitet werden darf; sie wird angegeben in der Einheit Milligramm je Kubikmeter Abgas (mg/m</w:t>
      </w:r>
      <w:r>
        <w:rPr>
          <w:szCs w:val="14"/>
          <w:vertAlign w:val="superscript"/>
        </w:rPr>
        <w:t>3</w:t>
      </w:r>
      <w:r>
        <w:t>) oder Nanogramm je Kubikmeter Abgas (ng/m</w:t>
      </w:r>
      <w:r>
        <w:rPr>
          <w:szCs w:val="14"/>
          <w:vertAlign w:val="superscript"/>
        </w:rPr>
        <w:t>3</w:t>
      </w:r>
      <w:r>
        <w:t>) und bezogen auf einen Volumenanteil an Sa</w:t>
      </w:r>
      <w:r>
        <w:t>u</w:t>
      </w:r>
      <w:r>
        <w:t>erstoff im Abgas von 3 vom Hundert bei Feuerungsanlagen für flüssige und gasförmige Brennstoffe, 6 vom Hundert für feste Brennstoffe und 15 vom Hundert bei Gasturbinenanlagen. Dabei ist die im Abgas gemessene Massenkonzentration nach folgender Gleichung umzurechnen:</w:t>
      </w:r>
    </w:p>
    <w:p w:rsidR="0059181C" w:rsidRDefault="009D233A">
      <w:pPr>
        <w:pStyle w:val="GesAbsatz"/>
        <w:ind w:left="426"/>
        <w:rPr>
          <w:szCs w:val="16"/>
        </w:rPr>
      </w:pPr>
      <w:r>
        <w:rPr>
          <w:noProof/>
          <w:szCs w:val="16"/>
        </w:rPr>
        <w:drawing>
          <wp:inline distT="0" distB="0" distL="0" distR="0" wp14:anchorId="00C86C0E" wp14:editId="23E5F35C">
            <wp:extent cx="1038225" cy="342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342900"/>
                    </a:xfrm>
                    <a:prstGeom prst="rect">
                      <a:avLst/>
                    </a:prstGeom>
                    <a:noFill/>
                    <a:ln>
                      <a:noFill/>
                    </a:ln>
                  </pic:spPr>
                </pic:pic>
              </a:graphicData>
            </a:graphic>
          </wp:inline>
        </w:drawing>
      </w:r>
    </w:p>
    <w:p w:rsidR="0059181C" w:rsidRDefault="0059181C">
      <w:pPr>
        <w:pStyle w:val="GesAbsatz"/>
        <w:ind w:left="426"/>
        <w:rPr>
          <w:szCs w:val="16"/>
        </w:rPr>
      </w:pPr>
      <w:r>
        <w:rPr>
          <w:szCs w:val="16"/>
        </w:rPr>
        <w:t>Darin bedeuten:</w:t>
      </w:r>
    </w:p>
    <w:p w:rsidR="0059181C" w:rsidRDefault="0059181C">
      <w:pPr>
        <w:pStyle w:val="GesAbsatz"/>
        <w:tabs>
          <w:tab w:val="clear" w:pos="425"/>
          <w:tab w:val="left" w:pos="993"/>
        </w:tabs>
        <w:ind w:left="426"/>
        <w:rPr>
          <w:szCs w:val="16"/>
        </w:rPr>
      </w:pPr>
      <w:r>
        <w:rPr>
          <w:szCs w:val="16"/>
        </w:rPr>
        <w:t>E</w:t>
      </w:r>
      <w:r>
        <w:rPr>
          <w:szCs w:val="12"/>
          <w:vertAlign w:val="subscript"/>
        </w:rPr>
        <w:t>B</w:t>
      </w:r>
      <w:r>
        <w:rPr>
          <w:szCs w:val="12"/>
        </w:rPr>
        <w:tab/>
      </w:r>
      <w:r>
        <w:rPr>
          <w:szCs w:val="16"/>
        </w:rPr>
        <w:t>Massenkonzentration, bezogen auf den Bezugssauerstoffgehalt</w:t>
      </w:r>
    </w:p>
    <w:p w:rsidR="0059181C" w:rsidRDefault="0059181C">
      <w:pPr>
        <w:pStyle w:val="GesAbsatz"/>
        <w:tabs>
          <w:tab w:val="clear" w:pos="425"/>
          <w:tab w:val="left" w:pos="993"/>
        </w:tabs>
        <w:ind w:left="426"/>
        <w:rPr>
          <w:szCs w:val="16"/>
        </w:rPr>
      </w:pPr>
      <w:r>
        <w:rPr>
          <w:szCs w:val="16"/>
        </w:rPr>
        <w:t>E</w:t>
      </w:r>
      <w:r>
        <w:rPr>
          <w:szCs w:val="12"/>
          <w:vertAlign w:val="subscript"/>
        </w:rPr>
        <w:t>M</w:t>
      </w:r>
      <w:r>
        <w:rPr>
          <w:szCs w:val="12"/>
        </w:rPr>
        <w:tab/>
      </w:r>
      <w:r>
        <w:rPr>
          <w:szCs w:val="16"/>
        </w:rPr>
        <w:t>gemessene Massenkonzentration</w:t>
      </w:r>
    </w:p>
    <w:p w:rsidR="0059181C" w:rsidRDefault="0059181C">
      <w:pPr>
        <w:pStyle w:val="GesAbsatz"/>
        <w:tabs>
          <w:tab w:val="clear" w:pos="425"/>
          <w:tab w:val="left" w:pos="993"/>
        </w:tabs>
        <w:ind w:left="426"/>
        <w:rPr>
          <w:szCs w:val="16"/>
        </w:rPr>
      </w:pPr>
      <w:r>
        <w:rPr>
          <w:szCs w:val="16"/>
        </w:rPr>
        <w:t>O</w:t>
      </w:r>
      <w:r>
        <w:rPr>
          <w:szCs w:val="12"/>
          <w:vertAlign w:val="subscript"/>
        </w:rPr>
        <w:t>B</w:t>
      </w:r>
      <w:r>
        <w:rPr>
          <w:szCs w:val="12"/>
        </w:rPr>
        <w:tab/>
      </w:r>
      <w:r>
        <w:rPr>
          <w:szCs w:val="16"/>
        </w:rPr>
        <w:t>Bezugssauerstoffgehalt</w:t>
      </w:r>
    </w:p>
    <w:p w:rsidR="0059181C" w:rsidRDefault="0059181C">
      <w:pPr>
        <w:pStyle w:val="GesAbsatz"/>
        <w:tabs>
          <w:tab w:val="clear" w:pos="425"/>
          <w:tab w:val="left" w:pos="993"/>
        </w:tabs>
        <w:ind w:left="426"/>
        <w:rPr>
          <w:szCs w:val="16"/>
        </w:rPr>
      </w:pPr>
      <w:r>
        <w:rPr>
          <w:szCs w:val="16"/>
        </w:rPr>
        <w:t>O</w:t>
      </w:r>
      <w:r>
        <w:rPr>
          <w:szCs w:val="12"/>
          <w:vertAlign w:val="subscript"/>
        </w:rPr>
        <w:t>M</w:t>
      </w:r>
      <w:r>
        <w:rPr>
          <w:szCs w:val="12"/>
        </w:rPr>
        <w:tab/>
      </w:r>
      <w:r>
        <w:rPr>
          <w:szCs w:val="16"/>
        </w:rPr>
        <w:t>gemessener Sauerstoffgehalt</w:t>
      </w:r>
    </w:p>
    <w:p w:rsidR="0059181C" w:rsidRDefault="0059181C">
      <w:pPr>
        <w:pStyle w:val="GesAbsatz"/>
        <w:ind w:left="426"/>
        <w:rPr>
          <w:szCs w:val="16"/>
        </w:rPr>
      </w:pPr>
    </w:p>
    <w:p w:rsidR="0059181C" w:rsidRDefault="0059181C">
      <w:pPr>
        <w:pStyle w:val="GesAbsatz"/>
        <w:ind w:left="426"/>
      </w:pPr>
      <w:r>
        <w:t xml:space="preserve">Wird zur Emissionsminderung eine Abgasreinigungseinrichtung eingesetzt, so darf für die Stoffe, für die die Abgasreinigungseinrichtung betrieben wird, die Umrechung nur für die Zeiten erfolgen, in denen der gemessene Sauerstoffgehalt über dem Bezugssauerstoffgehalt liegt; </w:t>
      </w:r>
    </w:p>
    <w:p w:rsidR="0059181C" w:rsidRDefault="0059181C">
      <w:pPr>
        <w:pStyle w:val="GesAbsatz"/>
        <w:ind w:left="426"/>
      </w:pPr>
      <w:r>
        <w:t>Staubemissionsgrenzwerte können auch als zulässige Rußzahl angegeben werden;</w:t>
      </w:r>
    </w:p>
    <w:p w:rsidR="0059181C" w:rsidRDefault="0059181C">
      <w:pPr>
        <w:pStyle w:val="GesAbsatz"/>
      </w:pPr>
      <w:r>
        <w:t>9.</w:t>
      </w:r>
      <w:r>
        <w:tab/>
        <w:t>Erdgas</w:t>
      </w:r>
    </w:p>
    <w:p w:rsidR="0059181C" w:rsidRDefault="0059181C">
      <w:pPr>
        <w:pStyle w:val="GesAbsatz"/>
        <w:ind w:left="426"/>
      </w:pPr>
      <w:r>
        <w:t>natürlich vorkommendes Methangas mit nicht mehr als 20 Volumenprozent an Inertgasen und sonst</w:t>
      </w:r>
      <w:r>
        <w:t>i</w:t>
      </w:r>
      <w:r>
        <w:t>gen Bestandteilen, das den Anforderungen des DVGW-Arbeitsblattes G 260 vom Januar 2000 für Gase der 2. Gasfamilie entspricht;</w:t>
      </w:r>
    </w:p>
    <w:p w:rsidR="0059181C" w:rsidRDefault="0059181C">
      <w:pPr>
        <w:pStyle w:val="GesAbsatz"/>
      </w:pPr>
      <w:r>
        <w:t>10.</w:t>
      </w:r>
      <w:r>
        <w:tab/>
        <w:t>Feuerungsanlage</w:t>
      </w:r>
    </w:p>
    <w:p w:rsidR="0059181C" w:rsidRDefault="0059181C">
      <w:pPr>
        <w:pStyle w:val="GesAbsatz"/>
        <w:ind w:left="426"/>
      </w:pPr>
      <w:r>
        <w:lastRenderedPageBreak/>
        <w:t>jede Anlage, in der Brennstoff zur Nutzung der erzeugten Wärme oxidiert wird;</w:t>
      </w:r>
    </w:p>
    <w:p w:rsidR="0059181C" w:rsidRDefault="0059181C">
      <w:pPr>
        <w:pStyle w:val="GesAbsatz"/>
      </w:pPr>
      <w:r>
        <w:t>11.</w:t>
      </w:r>
      <w:r>
        <w:tab/>
        <w:t>Feuerungswärmeleistung</w:t>
      </w:r>
    </w:p>
    <w:p w:rsidR="0059181C" w:rsidRDefault="0059181C">
      <w:pPr>
        <w:pStyle w:val="GesAbsatz"/>
        <w:ind w:left="426"/>
      </w:pPr>
      <w:r>
        <w:t>der auf den unteren Heizwert bezogene Wärmeinhalt der Brennstoffe, der einer Anlage im Dauerbetrieb je Zeiteinheit zugeführt wird; sie wird angegeben in Megawatt (MW);</w:t>
      </w:r>
    </w:p>
    <w:p w:rsidR="0059181C" w:rsidRDefault="0059181C">
      <w:pPr>
        <w:pStyle w:val="GesAbsatz"/>
      </w:pPr>
      <w:r>
        <w:t>12.</w:t>
      </w:r>
      <w:r>
        <w:tab/>
        <w:t>Gasturbinenanlage</w:t>
      </w:r>
    </w:p>
    <w:p w:rsidR="0059181C" w:rsidRDefault="0059181C">
      <w:pPr>
        <w:pStyle w:val="GesAbsatz"/>
        <w:ind w:left="426"/>
      </w:pPr>
      <w:r>
        <w:t>jede Anlage mit einer rotierenden Maschine, die thermische Energie in mechanische Arbeit umwandelt und in der Hauptsache aus einem Verdichter, aus einer Brennkammer, in der Brennstoff zur Erhitzung des Arbeitsmediums oxidiert wird, und aus einer Turbine besteht;</w:t>
      </w:r>
    </w:p>
    <w:p w:rsidR="0059181C" w:rsidRDefault="0059181C">
      <w:pPr>
        <w:pStyle w:val="GesAbsatz"/>
      </w:pPr>
      <w:r>
        <w:t>13.</w:t>
      </w:r>
      <w:r>
        <w:tab/>
        <w:t>Gemeinsame Anlage</w:t>
      </w:r>
    </w:p>
    <w:p w:rsidR="0059181C" w:rsidRDefault="0059181C">
      <w:pPr>
        <w:pStyle w:val="GesAbsatz"/>
        <w:ind w:left="426"/>
      </w:pPr>
      <w:r>
        <w:t>eine gemeinsame Anlage im Sinne von § 1 Abs. 3 der Vierten Verordnung zur Durchführung des Bu</w:t>
      </w:r>
      <w:r>
        <w:t>n</w:t>
      </w:r>
      <w:r>
        <w:t>des-Immissionsschutzgesetzes, bei der insbesondere mehrere Anlagen so errichtet werden oder eine bestehende Anlage durch eine oder mehrere neue Anlagen so erweitert wird, dass ihre Abgase unter Berücksichtigung des räumlichen und betrieblichen Zusammenhangs über einen gemeinsamen Schornstein abgeleitet werden können;</w:t>
      </w:r>
    </w:p>
    <w:p w:rsidR="0059181C" w:rsidRDefault="0059181C">
      <w:pPr>
        <w:pStyle w:val="GesAbsatz"/>
      </w:pPr>
      <w:r>
        <w:t>14.</w:t>
      </w:r>
      <w:r>
        <w:tab/>
        <w:t>Leichtes Heizöl</w:t>
      </w:r>
    </w:p>
    <w:p w:rsidR="0059181C" w:rsidRDefault="0059181C">
      <w:pPr>
        <w:pStyle w:val="GesAbsatz"/>
        <w:ind w:left="426"/>
      </w:pPr>
      <w:r>
        <w:t>Heizöl EL nach DIN 51603 Teil 1 (Ausgabe März 1998);</w:t>
      </w:r>
    </w:p>
    <w:p w:rsidR="0059181C" w:rsidRDefault="0059181C">
      <w:pPr>
        <w:pStyle w:val="GesAbsatz"/>
      </w:pPr>
      <w:r>
        <w:t>15.</w:t>
      </w:r>
      <w:r>
        <w:tab/>
        <w:t>Mehrstofffeuerung</w:t>
      </w:r>
    </w:p>
    <w:p w:rsidR="0059181C" w:rsidRDefault="0059181C">
      <w:pPr>
        <w:pStyle w:val="GesAbsatz"/>
        <w:ind w:left="426"/>
      </w:pPr>
      <w:r>
        <w:t>Einzelfeuerung, die mit zwei oder mehr Brennstoffen wechselweise betrieben werden kann;</w:t>
      </w:r>
    </w:p>
    <w:p w:rsidR="0059181C" w:rsidRDefault="0059181C">
      <w:pPr>
        <w:pStyle w:val="GesAbsatz"/>
      </w:pPr>
      <w:r>
        <w:t>16.</w:t>
      </w:r>
      <w:r>
        <w:tab/>
        <w:t>Mischfeuerung</w:t>
      </w:r>
    </w:p>
    <w:p w:rsidR="0059181C" w:rsidRDefault="0059181C">
      <w:pPr>
        <w:pStyle w:val="GesAbsatz"/>
        <w:ind w:left="426"/>
      </w:pPr>
      <w:r>
        <w:t>Einzelfeuerung, die mit zwei oder mehr Brennstoffen gleichzeitig betrieben werden kann;</w:t>
      </w:r>
    </w:p>
    <w:p w:rsidR="0059181C" w:rsidRDefault="0059181C">
      <w:pPr>
        <w:pStyle w:val="GesAbsatz"/>
      </w:pPr>
      <w:r>
        <w:t>17.</w:t>
      </w:r>
      <w:r>
        <w:tab/>
        <w:t>Schwefelabscheidegrad</w:t>
      </w:r>
    </w:p>
    <w:p w:rsidR="0059181C" w:rsidRDefault="0059181C">
      <w:pPr>
        <w:pStyle w:val="GesAbsatz"/>
        <w:ind w:left="426"/>
      </w:pPr>
      <w:r>
        <w:t>Verhältnis der Schwefelmenge, die am Standort der Feuerungsanlage nicht in die Luft abgeleitet wird, zu der mit dem Brennstoff zugeführten Schwefelmenge; er wird angegeben als Vomhundertsatz.</w:t>
      </w:r>
    </w:p>
    <w:p w:rsidR="0059181C" w:rsidRDefault="0059181C">
      <w:pPr>
        <w:pStyle w:val="berschrift2"/>
      </w:pPr>
      <w:bookmarkStart w:id="5" w:name="_Toc333483313"/>
      <w:r>
        <w:t>Zweiter Teil</w:t>
      </w:r>
      <w:r>
        <w:br/>
        <w:t>Anforderungen an Errichtung und Betrieb</w:t>
      </w:r>
      <w:bookmarkEnd w:id="5"/>
    </w:p>
    <w:p w:rsidR="0059181C" w:rsidRDefault="0059181C">
      <w:pPr>
        <w:pStyle w:val="berschrift3"/>
      </w:pPr>
      <w:bookmarkStart w:id="6" w:name="_Toc333483314"/>
      <w:r>
        <w:t>§ 3</w:t>
      </w:r>
      <w:r>
        <w:br/>
        <w:t>Emissionsgrenzwerte für Feuerungsanlagen für feste Brennstoffe</w:t>
      </w:r>
      <w:bookmarkEnd w:id="6"/>
    </w:p>
    <w:p w:rsidR="00353A99" w:rsidRDefault="0059181C">
      <w:pPr>
        <w:pStyle w:val="GesAbsatz"/>
      </w:pPr>
      <w:r>
        <w:t>(1) Die Feuerungsanlagen sind so zu errichten und zu betreiben, dass die Anforderungen dieses Absatzes und der Absätze 2 bis 15 eingehalten werden. Der Betr</w:t>
      </w:r>
      <w:r w:rsidR="00353A99">
        <w:t>eiber hat dafür zu sorgen, dass</w:t>
      </w:r>
    </w:p>
    <w:p w:rsidR="0059181C" w:rsidRDefault="0059181C">
      <w:pPr>
        <w:pStyle w:val="GesAbsatz"/>
      </w:pPr>
      <w:r>
        <w:t>1.</w:t>
      </w:r>
      <w:r w:rsidR="00353A99">
        <w:tab/>
      </w:r>
      <w:r>
        <w:t>kein Tagesmittelwert die folgenden Emissionsgrenzwerte überschreitet:</w:t>
      </w:r>
    </w:p>
    <w:p w:rsidR="0059181C" w:rsidRDefault="0059181C" w:rsidP="00353A99">
      <w:pPr>
        <w:pStyle w:val="GesAbsatz"/>
        <w:tabs>
          <w:tab w:val="left" w:pos="7938"/>
        </w:tabs>
        <w:ind w:left="851" w:hanging="425"/>
        <w:rPr>
          <w:szCs w:val="14"/>
        </w:rPr>
      </w:pPr>
      <w:r>
        <w:t>a)</w:t>
      </w:r>
      <w:r>
        <w:tab/>
        <w:t>Gesamtstaub</w:t>
      </w:r>
      <w:r>
        <w:tab/>
        <w:t>20 mg/m</w:t>
      </w:r>
      <w:r>
        <w:rPr>
          <w:szCs w:val="14"/>
          <w:vertAlign w:val="superscript"/>
        </w:rPr>
        <w:t>3</w:t>
      </w:r>
    </w:p>
    <w:p w:rsidR="0059181C" w:rsidRDefault="0059181C" w:rsidP="00353A99">
      <w:pPr>
        <w:pStyle w:val="GesAbsatz"/>
        <w:tabs>
          <w:tab w:val="left" w:pos="7938"/>
        </w:tabs>
        <w:ind w:left="851" w:hanging="425"/>
        <w:rPr>
          <w:szCs w:val="14"/>
        </w:rPr>
      </w:pPr>
      <w:r>
        <w:t>b)</w:t>
      </w:r>
      <w:r>
        <w:tab/>
        <w:t>Quecksilber und seine Verbindungen, angegeben als Quecksilber,</w:t>
      </w:r>
      <w:r>
        <w:tab/>
        <w:t>0,03 mg/m</w:t>
      </w:r>
      <w:r>
        <w:rPr>
          <w:szCs w:val="14"/>
          <w:vertAlign w:val="superscript"/>
        </w:rPr>
        <w:t>3</w:t>
      </w:r>
    </w:p>
    <w:p w:rsidR="0059181C" w:rsidRDefault="0059181C" w:rsidP="00353A99">
      <w:pPr>
        <w:pStyle w:val="GesAbsatz"/>
        <w:tabs>
          <w:tab w:val="left" w:pos="7938"/>
        </w:tabs>
        <w:ind w:left="851" w:hanging="425"/>
      </w:pPr>
      <w:r>
        <w:t>c)</w:t>
      </w:r>
      <w:r>
        <w:tab/>
        <w:t>Kohlenmonoxid bei einer Feuerungswärmeleistung von</w:t>
      </w:r>
    </w:p>
    <w:p w:rsidR="0059181C" w:rsidRDefault="0059181C" w:rsidP="00353A99">
      <w:pPr>
        <w:pStyle w:val="GesAbsatz"/>
        <w:tabs>
          <w:tab w:val="left" w:pos="7938"/>
        </w:tabs>
        <w:ind w:left="851"/>
        <w:rPr>
          <w:color w:val="FFFFFF"/>
          <w:szCs w:val="14"/>
        </w:rPr>
      </w:pPr>
      <w:r>
        <w:t>50 MW bis 100 MW</w:t>
      </w:r>
      <w:r>
        <w:tab/>
        <w:t>150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100 MW</w:t>
      </w:r>
      <w:r>
        <w:tab/>
        <w:t>200 mg/m</w:t>
      </w:r>
      <w:r>
        <w:rPr>
          <w:szCs w:val="14"/>
          <w:vertAlign w:val="superscript"/>
        </w:rPr>
        <w:t>3</w:t>
      </w:r>
      <w:r>
        <w:rPr>
          <w:color w:val="FFFFFF"/>
          <w:szCs w:val="14"/>
        </w:rPr>
        <w:t>;</w:t>
      </w:r>
    </w:p>
    <w:p w:rsidR="0059181C" w:rsidRDefault="0059181C" w:rsidP="00353A99">
      <w:pPr>
        <w:pStyle w:val="GesAbsatz"/>
        <w:ind w:left="851" w:hanging="425"/>
      </w:pPr>
      <w:r>
        <w:t>d)</w:t>
      </w:r>
      <w:r>
        <w:tab/>
        <w:t>Stickstoffmonoxid und Stickstoffdioxid, angegeben als Stickstoffdioxid, bei</w:t>
      </w:r>
    </w:p>
    <w:p w:rsidR="0059181C" w:rsidRDefault="0059181C" w:rsidP="00353A99">
      <w:pPr>
        <w:pStyle w:val="GesAbsatz"/>
        <w:ind w:left="851"/>
      </w:pPr>
      <w:r>
        <w:t>Einsatz von naturbelassenem Holz und einer Feuerungswärmeleistung von</w:t>
      </w:r>
    </w:p>
    <w:p w:rsidR="0059181C" w:rsidRDefault="0059181C" w:rsidP="00353A99">
      <w:pPr>
        <w:pStyle w:val="GesAbsatz"/>
        <w:tabs>
          <w:tab w:val="left" w:pos="7938"/>
        </w:tabs>
        <w:ind w:left="851"/>
        <w:rPr>
          <w:color w:val="FFFFFF"/>
          <w:szCs w:val="14"/>
        </w:rPr>
      </w:pPr>
      <w:r>
        <w:t>50 MW bis 300 MW</w:t>
      </w:r>
      <w:r>
        <w:tab/>
        <w:t>250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300 MW</w:t>
      </w:r>
      <w:r>
        <w:tab/>
        <w:t>200 mg/m</w:t>
      </w:r>
      <w:r>
        <w:rPr>
          <w:szCs w:val="14"/>
          <w:vertAlign w:val="superscript"/>
        </w:rPr>
        <w:t>3</w:t>
      </w:r>
      <w:r>
        <w:rPr>
          <w:color w:val="FFFFFF"/>
          <w:szCs w:val="14"/>
        </w:rPr>
        <w:t>;</w:t>
      </w:r>
    </w:p>
    <w:p w:rsidR="0059181C" w:rsidRDefault="0059181C" w:rsidP="00353A99">
      <w:pPr>
        <w:pStyle w:val="GesAbsatz"/>
        <w:tabs>
          <w:tab w:val="left" w:pos="7938"/>
        </w:tabs>
        <w:ind w:left="851"/>
      </w:pPr>
      <w:r>
        <w:t>Einsatz von sonstigen Biobrennstoffen und einer Feuerungswärmeleistung von</w:t>
      </w:r>
    </w:p>
    <w:p w:rsidR="0059181C" w:rsidRDefault="0059181C" w:rsidP="00353A99">
      <w:pPr>
        <w:pStyle w:val="GesAbsatz"/>
        <w:tabs>
          <w:tab w:val="left" w:pos="7938"/>
        </w:tabs>
        <w:ind w:left="851"/>
        <w:rPr>
          <w:szCs w:val="14"/>
        </w:rPr>
      </w:pPr>
      <w:r>
        <w:t>50 MW bis 100 MW, ausgenommen bei Einsatz in Wirbelschichtfeuerungen,</w:t>
      </w:r>
      <w:r>
        <w:tab/>
        <w:t>350 mg/m</w:t>
      </w:r>
      <w:r>
        <w:rPr>
          <w:szCs w:val="14"/>
          <w:vertAlign w:val="superscript"/>
        </w:rPr>
        <w:t>3</w:t>
      </w:r>
    </w:p>
    <w:p w:rsidR="0059181C" w:rsidRDefault="0059181C" w:rsidP="00353A99">
      <w:pPr>
        <w:pStyle w:val="GesAbsatz"/>
        <w:tabs>
          <w:tab w:val="left" w:pos="7938"/>
        </w:tabs>
        <w:ind w:left="851"/>
        <w:rPr>
          <w:color w:val="FFFFFF"/>
          <w:szCs w:val="14"/>
        </w:rPr>
      </w:pPr>
      <w:r>
        <w:t>mehr als 100 MW bis 300 MW</w:t>
      </w:r>
      <w:r>
        <w:tab/>
        <w:t>300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300 MW</w:t>
      </w:r>
      <w:r>
        <w:tab/>
        <w:t>200 mg/m</w:t>
      </w:r>
      <w:r>
        <w:rPr>
          <w:szCs w:val="14"/>
          <w:vertAlign w:val="superscript"/>
        </w:rPr>
        <w:t>3</w:t>
      </w:r>
      <w:r>
        <w:rPr>
          <w:color w:val="FFFFFF"/>
          <w:szCs w:val="14"/>
        </w:rPr>
        <w:t>;</w:t>
      </w:r>
    </w:p>
    <w:p w:rsidR="0059181C" w:rsidRDefault="0059181C" w:rsidP="00353A99">
      <w:pPr>
        <w:pStyle w:val="GesAbsatz"/>
        <w:tabs>
          <w:tab w:val="left" w:pos="7938"/>
        </w:tabs>
        <w:ind w:left="851"/>
      </w:pPr>
      <w:r>
        <w:t>Wirbelschichtfeuerungen und einer Feuerungswärmeleistung von</w:t>
      </w:r>
    </w:p>
    <w:p w:rsidR="0059181C" w:rsidRDefault="0059181C" w:rsidP="00353A99">
      <w:pPr>
        <w:pStyle w:val="GesAbsatz"/>
        <w:tabs>
          <w:tab w:val="left" w:pos="7938"/>
        </w:tabs>
        <w:ind w:left="851"/>
        <w:rPr>
          <w:color w:val="FFFFFF"/>
          <w:szCs w:val="14"/>
        </w:rPr>
      </w:pPr>
      <w:r>
        <w:t>50 MW bis 100 MW, ausgenommen bei Einsatz von naturbelassenem Holz,</w:t>
      </w:r>
      <w:r>
        <w:tab/>
        <w:t>300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lastRenderedPageBreak/>
        <w:t>mehr als 100 MW</w:t>
      </w:r>
      <w:r>
        <w:tab/>
        <w:t>200 mg/m</w:t>
      </w:r>
      <w:r>
        <w:rPr>
          <w:szCs w:val="14"/>
          <w:vertAlign w:val="superscript"/>
        </w:rPr>
        <w:t>3</w:t>
      </w:r>
      <w:r>
        <w:rPr>
          <w:color w:val="FFFFFF"/>
          <w:szCs w:val="14"/>
        </w:rPr>
        <w:t>;</w:t>
      </w:r>
    </w:p>
    <w:p w:rsidR="0059181C" w:rsidRDefault="0059181C" w:rsidP="00353A99">
      <w:pPr>
        <w:pStyle w:val="GesAbsatz"/>
        <w:tabs>
          <w:tab w:val="left" w:pos="7938"/>
        </w:tabs>
        <w:ind w:left="851"/>
      </w:pPr>
      <w:r>
        <w:t>anderen Brennstoffen oder anderen Feuerungen und einer Feuerungswärmeleistung von</w:t>
      </w:r>
    </w:p>
    <w:p w:rsidR="0059181C" w:rsidRDefault="0059181C" w:rsidP="00353A99">
      <w:pPr>
        <w:pStyle w:val="GesAbsatz"/>
        <w:tabs>
          <w:tab w:val="left" w:pos="7938"/>
        </w:tabs>
        <w:ind w:left="851"/>
        <w:rPr>
          <w:color w:val="FFFFFF"/>
          <w:szCs w:val="14"/>
        </w:rPr>
      </w:pPr>
      <w:r>
        <w:t>50 MW bis 100 MW</w:t>
      </w:r>
      <w:r>
        <w:tab/>
        <w:t>400 mg/m</w:t>
      </w:r>
      <w:r>
        <w:rPr>
          <w:szCs w:val="14"/>
          <w:vertAlign w:val="superscript"/>
        </w:rPr>
        <w:t>3</w:t>
      </w:r>
      <w:r>
        <w:rPr>
          <w:color w:val="FFFFFF"/>
          <w:szCs w:val="14"/>
        </w:rPr>
        <w:t>;</w:t>
      </w:r>
    </w:p>
    <w:p w:rsidR="0059181C" w:rsidRDefault="0059181C" w:rsidP="00353A99">
      <w:pPr>
        <w:pStyle w:val="GesAbsatz"/>
        <w:tabs>
          <w:tab w:val="left" w:pos="7938"/>
        </w:tabs>
        <w:ind w:left="851"/>
        <w:rPr>
          <w:color w:val="FFFFFF"/>
          <w:szCs w:val="14"/>
        </w:rPr>
      </w:pPr>
      <w:r>
        <w:t>mehr als 100 MW</w:t>
      </w:r>
      <w:r>
        <w:tab/>
        <w:t>200 mg/m</w:t>
      </w:r>
      <w:r>
        <w:rPr>
          <w:szCs w:val="14"/>
          <w:vertAlign w:val="superscript"/>
        </w:rPr>
        <w:t>3</w:t>
      </w:r>
      <w:r>
        <w:rPr>
          <w:color w:val="FFFFFF"/>
          <w:szCs w:val="14"/>
        </w:rPr>
        <w:t>;</w:t>
      </w:r>
    </w:p>
    <w:p w:rsidR="0059181C" w:rsidRDefault="0059181C" w:rsidP="00353A99">
      <w:pPr>
        <w:pStyle w:val="GesAbsatz"/>
        <w:ind w:left="851" w:hanging="425"/>
      </w:pPr>
      <w:r>
        <w:t>e)</w:t>
      </w:r>
      <w:r>
        <w:tab/>
        <w:t>Schwefeldioxid und Schwefeltrioxid, angegeben als Schwefeldioxid, bei Einsatz von</w:t>
      </w:r>
    </w:p>
    <w:p w:rsidR="0059181C" w:rsidRDefault="0059181C" w:rsidP="00353A99">
      <w:pPr>
        <w:pStyle w:val="GesAbsatz"/>
        <w:tabs>
          <w:tab w:val="clear" w:pos="425"/>
          <w:tab w:val="left" w:pos="7938"/>
        </w:tabs>
        <w:ind w:left="851"/>
      </w:pPr>
      <w:r>
        <w:t>Biobrennstoffen</w:t>
      </w:r>
      <w:r>
        <w:tab/>
        <w:t>200 mg/m</w:t>
      </w:r>
      <w:r>
        <w:rPr>
          <w:szCs w:val="14"/>
          <w:vertAlign w:val="superscript"/>
        </w:rPr>
        <w:t>3</w:t>
      </w:r>
      <w:r>
        <w:rPr>
          <w:color w:val="FFFFFF"/>
          <w:szCs w:val="14"/>
        </w:rPr>
        <w:t>;</w:t>
      </w:r>
    </w:p>
    <w:p w:rsidR="0059181C" w:rsidRDefault="0059181C" w:rsidP="00353A99">
      <w:pPr>
        <w:pStyle w:val="GesAbsatz"/>
        <w:tabs>
          <w:tab w:val="clear" w:pos="425"/>
          <w:tab w:val="left" w:pos="7938"/>
        </w:tabs>
        <w:ind w:left="851"/>
      </w:pPr>
      <w:r>
        <w:t>anderen Brennstoffen und einer Feuerungswärmeleistung von</w:t>
      </w:r>
    </w:p>
    <w:p w:rsidR="0059181C" w:rsidRDefault="0059181C" w:rsidP="00353A99">
      <w:pPr>
        <w:pStyle w:val="GesAbsatz"/>
        <w:tabs>
          <w:tab w:val="clear" w:pos="425"/>
          <w:tab w:val="left" w:pos="7938"/>
        </w:tabs>
        <w:ind w:left="851"/>
      </w:pPr>
      <w:r>
        <w:t>50 MW bis 100 MW</w:t>
      </w:r>
    </w:p>
    <w:p w:rsidR="0059181C" w:rsidRDefault="0059181C" w:rsidP="00353A99">
      <w:pPr>
        <w:pStyle w:val="GesAbsatz"/>
        <w:tabs>
          <w:tab w:val="left" w:pos="7938"/>
        </w:tabs>
        <w:ind w:left="1276"/>
        <w:rPr>
          <w:color w:val="FFFFFF"/>
          <w:szCs w:val="14"/>
        </w:rPr>
      </w:pPr>
      <w:r>
        <w:t>bei Wirbelschichtfeuerungen</w:t>
      </w:r>
      <w:r>
        <w:tab/>
        <w:t>350 mg/m</w:t>
      </w:r>
      <w:r>
        <w:rPr>
          <w:szCs w:val="14"/>
          <w:vertAlign w:val="superscript"/>
        </w:rPr>
        <w:t>3</w:t>
      </w:r>
      <w:r>
        <w:rPr>
          <w:color w:val="FFFFFF"/>
          <w:szCs w:val="14"/>
        </w:rPr>
        <w:t>;</w:t>
      </w:r>
    </w:p>
    <w:p w:rsidR="0059181C" w:rsidRDefault="0059181C" w:rsidP="00353A99">
      <w:pPr>
        <w:pStyle w:val="GesAbsatz"/>
        <w:tabs>
          <w:tab w:val="left" w:pos="7938"/>
        </w:tabs>
        <w:ind w:left="1276"/>
        <w:rPr>
          <w:color w:val="FFFFFF"/>
          <w:szCs w:val="14"/>
        </w:rPr>
      </w:pPr>
      <w:r>
        <w:t>bei sonstigen Feuerungen</w:t>
      </w:r>
      <w:r>
        <w:tab/>
        <w:t>850 mg/m</w:t>
      </w:r>
      <w:r>
        <w:rPr>
          <w:szCs w:val="14"/>
          <w:vertAlign w:val="superscript"/>
        </w:rPr>
        <w:t>3</w:t>
      </w:r>
      <w:r>
        <w:rPr>
          <w:color w:val="FFFFFF"/>
          <w:szCs w:val="14"/>
        </w:rPr>
        <w:t>;</w:t>
      </w:r>
    </w:p>
    <w:p w:rsidR="0059181C" w:rsidRDefault="0059181C" w:rsidP="00353A99">
      <w:pPr>
        <w:pStyle w:val="GesAbsatz"/>
        <w:tabs>
          <w:tab w:val="clear" w:pos="425"/>
          <w:tab w:val="left" w:pos="851"/>
          <w:tab w:val="left" w:pos="7938"/>
        </w:tabs>
        <w:ind w:left="851"/>
        <w:rPr>
          <w:szCs w:val="14"/>
        </w:rPr>
      </w:pPr>
      <w:r>
        <w:t>mehr als 100 MW</w:t>
      </w:r>
      <w:r>
        <w:tab/>
        <w:t>200 mg/m</w:t>
      </w:r>
      <w:r>
        <w:rPr>
          <w:szCs w:val="14"/>
          <w:vertAlign w:val="superscript"/>
        </w:rPr>
        <w:t>3</w:t>
      </w:r>
      <w:r>
        <w:rPr>
          <w:szCs w:val="14"/>
        </w:rPr>
        <w:t>;</w:t>
      </w:r>
    </w:p>
    <w:p w:rsidR="0059181C" w:rsidRDefault="0059181C">
      <w:pPr>
        <w:pStyle w:val="GesAbsatz"/>
        <w:ind w:left="426"/>
      </w:pPr>
      <w:r>
        <w:t>bei Wirbelschichtfeuerungen mit einer Feuerungswärmeleistung von 50 MW bis 100 MW darf zusätzlich zur Begrenzung der Massenkonzentration ein Schwefelabscheidegrad von mindestens 75 vom Hundert nicht unterschritten werden;</w:t>
      </w:r>
    </w:p>
    <w:p w:rsidR="0059181C" w:rsidRDefault="0059181C">
      <w:pPr>
        <w:pStyle w:val="GesAbsatz"/>
        <w:ind w:left="426"/>
      </w:pPr>
      <w:r>
        <w:t>bei Feuerungsanlagen mit einer Feuerungswärmeleistung von 100 MW oder mehr und für den Einsatz anderer Brennstoffe als Biobrennstoffe darf zusätzlich zur Begrenzung der Massenkonzentration ein Schwefelabscheidegrad von mindestens 85 vom Hundert nicht unterschritten werden;</w:t>
      </w:r>
    </w:p>
    <w:p w:rsidR="0059181C" w:rsidRDefault="0059181C">
      <w:pPr>
        <w:pStyle w:val="GesAbsatz"/>
        <w:ind w:left="360" w:hanging="360"/>
      </w:pPr>
      <w:r>
        <w:t>2.</w:t>
      </w:r>
      <w:r>
        <w:tab/>
        <w:t>kein Halbstundenmittelwert das Doppelte der unter Nummer 1 genannten Emissionsgrenzwerte übe</w:t>
      </w:r>
      <w:r>
        <w:t>r</w:t>
      </w:r>
      <w:r>
        <w:t>schreitet</w:t>
      </w:r>
      <w:r w:rsidR="00353A99">
        <w:t>;</w:t>
      </w:r>
    </w:p>
    <w:p w:rsidR="0059181C" w:rsidRDefault="0059181C">
      <w:pPr>
        <w:pStyle w:val="GesAbsatz"/>
        <w:ind w:left="426" w:hanging="426"/>
      </w:pPr>
      <w:r>
        <w:t>3.</w:t>
      </w:r>
      <w:r>
        <w:tab/>
        <w:t>kein Mittelwert, der über die jeweilige Probenahmezeit gebildet ist, die folgenden Emissionsgrenzwerte überschreitet:</w:t>
      </w:r>
    </w:p>
    <w:p w:rsidR="0059181C" w:rsidRDefault="0059181C" w:rsidP="00353A99">
      <w:pPr>
        <w:pStyle w:val="GesAbsatz"/>
        <w:ind w:left="851" w:hanging="425"/>
        <w:jc w:val="left"/>
      </w:pPr>
      <w:r>
        <w:t>a)</w:t>
      </w:r>
      <w:r>
        <w:tab/>
        <w:t>Cadmium und seine Verbindungen, angegeben als Cadmium,</w:t>
      </w:r>
    </w:p>
    <w:p w:rsidR="0059181C" w:rsidRDefault="0059181C" w:rsidP="00353A99">
      <w:pPr>
        <w:pStyle w:val="GesAbsatz"/>
        <w:ind w:left="851"/>
      </w:pPr>
      <w:r>
        <w:t>Thallium und seine Verbindungen, angegeben als Thallium,</w:t>
      </w:r>
    </w:p>
    <w:p w:rsidR="0059181C" w:rsidRDefault="0059181C">
      <w:pPr>
        <w:pStyle w:val="GesAbsatz"/>
        <w:tabs>
          <w:tab w:val="clear" w:pos="425"/>
          <w:tab w:val="left" w:pos="6237"/>
        </w:tabs>
        <w:jc w:val="left"/>
        <w:rPr>
          <w:szCs w:val="14"/>
        </w:rPr>
      </w:pPr>
      <w:r>
        <w:tab/>
        <w:t>insgesamt 0,05 mg/m</w:t>
      </w:r>
      <w:r>
        <w:rPr>
          <w:szCs w:val="14"/>
          <w:vertAlign w:val="superscript"/>
        </w:rPr>
        <w:t>3</w:t>
      </w:r>
    </w:p>
    <w:p w:rsidR="0059181C" w:rsidRDefault="0059181C" w:rsidP="00353A99">
      <w:pPr>
        <w:pStyle w:val="GesAbsatz"/>
        <w:ind w:left="851" w:hanging="425"/>
      </w:pPr>
      <w:r>
        <w:t>b)</w:t>
      </w:r>
      <w:r>
        <w:tab/>
        <w:t>Antimon und seine Verbindungen, angegeben als Antimon,</w:t>
      </w:r>
    </w:p>
    <w:p w:rsidR="0059181C" w:rsidRDefault="0059181C" w:rsidP="00353A99">
      <w:pPr>
        <w:pStyle w:val="GesAbsatz"/>
        <w:ind w:left="851"/>
      </w:pPr>
      <w:r>
        <w:t>Arsen und seine Verbindungen, angegeben als Arsen,</w:t>
      </w:r>
    </w:p>
    <w:p w:rsidR="0059181C" w:rsidRDefault="0059181C" w:rsidP="00353A99">
      <w:pPr>
        <w:pStyle w:val="GesAbsatz"/>
        <w:ind w:left="851"/>
      </w:pPr>
      <w:r>
        <w:t>Blei und seine Verbindungen, angegeben als Blei,</w:t>
      </w:r>
    </w:p>
    <w:p w:rsidR="0059181C" w:rsidRDefault="0059181C" w:rsidP="00353A99">
      <w:pPr>
        <w:pStyle w:val="GesAbsatz"/>
        <w:ind w:left="851"/>
      </w:pPr>
      <w:r>
        <w:t>Chrom und seine Verbindungen, angegeben als Chrom,</w:t>
      </w:r>
    </w:p>
    <w:p w:rsidR="0059181C" w:rsidRDefault="0059181C" w:rsidP="00353A99">
      <w:pPr>
        <w:pStyle w:val="GesAbsatz"/>
        <w:ind w:left="851"/>
      </w:pPr>
      <w:r>
        <w:t>Cobalt und seine Verbindungen, angegeben als Cobalt,</w:t>
      </w:r>
    </w:p>
    <w:p w:rsidR="0059181C" w:rsidRDefault="0059181C" w:rsidP="00353A99">
      <w:pPr>
        <w:pStyle w:val="GesAbsatz"/>
        <w:ind w:left="851"/>
      </w:pPr>
      <w:r>
        <w:t>Kupfer und seine Verbindungen, angegeben als Kupfer,</w:t>
      </w:r>
    </w:p>
    <w:p w:rsidR="0059181C" w:rsidRDefault="0059181C" w:rsidP="00353A99">
      <w:pPr>
        <w:pStyle w:val="GesAbsatz"/>
        <w:ind w:left="851"/>
      </w:pPr>
      <w:r>
        <w:t>Mangan und seine Verbindungen, angegeben als Mangan,</w:t>
      </w:r>
    </w:p>
    <w:p w:rsidR="0059181C" w:rsidRDefault="0059181C" w:rsidP="00353A99">
      <w:pPr>
        <w:pStyle w:val="GesAbsatz"/>
        <w:ind w:left="851"/>
      </w:pPr>
      <w:r>
        <w:t>Nickel und seine Verbindungen, angegeben als Nickel,</w:t>
      </w:r>
    </w:p>
    <w:p w:rsidR="0059181C" w:rsidRDefault="0059181C" w:rsidP="00353A99">
      <w:pPr>
        <w:pStyle w:val="GesAbsatz"/>
        <w:ind w:left="851"/>
      </w:pPr>
      <w:r>
        <w:t>Vanadium und seine Verbindungen, angegeben als Vanadium,</w:t>
      </w:r>
    </w:p>
    <w:p w:rsidR="0059181C" w:rsidRDefault="0059181C" w:rsidP="00353A99">
      <w:pPr>
        <w:pStyle w:val="GesAbsatz"/>
        <w:ind w:left="851"/>
      </w:pPr>
      <w:r>
        <w:t>Zinn und seine Verbindungen, angegeben als Zinn,</w:t>
      </w:r>
    </w:p>
    <w:p w:rsidR="0059181C" w:rsidRDefault="0059181C">
      <w:pPr>
        <w:pStyle w:val="GesAbsatz"/>
        <w:tabs>
          <w:tab w:val="clear" w:pos="425"/>
          <w:tab w:val="left" w:pos="6237"/>
        </w:tabs>
        <w:jc w:val="left"/>
        <w:rPr>
          <w:szCs w:val="14"/>
        </w:rPr>
      </w:pPr>
      <w:r>
        <w:tab/>
        <w:t>insgesamt 0,5 mg/m</w:t>
      </w:r>
      <w:r>
        <w:rPr>
          <w:szCs w:val="14"/>
          <w:vertAlign w:val="superscript"/>
        </w:rPr>
        <w:t>3</w:t>
      </w:r>
    </w:p>
    <w:p w:rsidR="0059181C" w:rsidRDefault="0059181C" w:rsidP="00353A99">
      <w:pPr>
        <w:pStyle w:val="GesAbsatz"/>
        <w:ind w:left="851" w:hanging="425"/>
      </w:pPr>
      <w:r>
        <w:t>c)</w:t>
      </w:r>
      <w:r>
        <w:tab/>
        <w:t>Arsen und seine Verbindungen (außer Arsenwasserstoff), angegeben als Arsen,</w:t>
      </w:r>
    </w:p>
    <w:p w:rsidR="0059181C" w:rsidRDefault="0059181C" w:rsidP="00353A99">
      <w:pPr>
        <w:pStyle w:val="GesAbsatz"/>
        <w:tabs>
          <w:tab w:val="clear" w:pos="425"/>
        </w:tabs>
        <w:ind w:left="851"/>
      </w:pPr>
      <w:r>
        <w:t>Benzo(a)pyren,</w:t>
      </w:r>
    </w:p>
    <w:p w:rsidR="0059181C" w:rsidRDefault="0059181C" w:rsidP="00353A99">
      <w:pPr>
        <w:pStyle w:val="GesAbsatz"/>
        <w:tabs>
          <w:tab w:val="clear" w:pos="425"/>
        </w:tabs>
        <w:ind w:left="851"/>
      </w:pPr>
      <w:r>
        <w:t>Cadmium und seine Verbindungen, angegeben als Cadmium,</w:t>
      </w:r>
    </w:p>
    <w:p w:rsidR="0059181C" w:rsidRDefault="0059181C" w:rsidP="00353A99">
      <w:pPr>
        <w:pStyle w:val="GesAbsatz"/>
        <w:tabs>
          <w:tab w:val="clear" w:pos="425"/>
        </w:tabs>
        <w:ind w:left="851"/>
      </w:pPr>
      <w:r>
        <w:t>wasserlösliche Cobaltverbindungen, angegeben als Cobalt,</w:t>
      </w:r>
    </w:p>
    <w:p w:rsidR="0059181C" w:rsidRDefault="0059181C" w:rsidP="00353A99">
      <w:pPr>
        <w:pStyle w:val="GesAbsatz"/>
        <w:tabs>
          <w:tab w:val="clear" w:pos="425"/>
        </w:tabs>
        <w:ind w:left="851"/>
      </w:pPr>
      <w:r>
        <w:t>Chrom(VI)</w:t>
      </w:r>
      <w:proofErr w:type="spellStart"/>
      <w:r>
        <w:t>verbindungen</w:t>
      </w:r>
      <w:proofErr w:type="spellEnd"/>
      <w:r>
        <w:t xml:space="preserve"> (außer Bariumchromat und Bleichromat), angegeben als Chrom</w:t>
      </w:r>
    </w:p>
    <w:p w:rsidR="0059181C" w:rsidRDefault="0059181C" w:rsidP="00353A99">
      <w:pPr>
        <w:pStyle w:val="GesAbsatz"/>
        <w:tabs>
          <w:tab w:val="clear" w:pos="425"/>
        </w:tabs>
        <w:ind w:left="851"/>
      </w:pPr>
      <w:r>
        <w:t>oder</w:t>
      </w:r>
    </w:p>
    <w:p w:rsidR="0059181C" w:rsidRDefault="0059181C" w:rsidP="00353A99">
      <w:pPr>
        <w:pStyle w:val="GesAbsatz"/>
        <w:tabs>
          <w:tab w:val="clear" w:pos="425"/>
        </w:tabs>
        <w:ind w:left="851"/>
      </w:pPr>
      <w:r>
        <w:t>Arsen und seine Verbindungen, angegeben als Arsen,</w:t>
      </w:r>
    </w:p>
    <w:p w:rsidR="0059181C" w:rsidRDefault="0059181C" w:rsidP="00353A99">
      <w:pPr>
        <w:pStyle w:val="GesAbsatz"/>
        <w:tabs>
          <w:tab w:val="clear" w:pos="425"/>
        </w:tabs>
        <w:ind w:left="851"/>
        <w:rPr>
          <w:lang w:val="it-IT"/>
        </w:rPr>
      </w:pPr>
      <w:r>
        <w:rPr>
          <w:lang w:val="it-IT"/>
        </w:rPr>
        <w:t>Benzo</w:t>
      </w:r>
      <w:proofErr w:type="gramStart"/>
      <w:r>
        <w:rPr>
          <w:lang w:val="it-IT"/>
        </w:rPr>
        <w:t>(</w:t>
      </w:r>
      <w:proofErr w:type="gramEnd"/>
      <w:r>
        <w:rPr>
          <w:lang w:val="it-IT"/>
        </w:rPr>
        <w:t>a)pyren,</w:t>
      </w:r>
    </w:p>
    <w:p w:rsidR="0059181C" w:rsidRDefault="0059181C" w:rsidP="00353A99">
      <w:pPr>
        <w:pStyle w:val="GesAbsatz"/>
        <w:tabs>
          <w:tab w:val="clear" w:pos="425"/>
        </w:tabs>
        <w:ind w:left="851"/>
      </w:pPr>
      <w:r>
        <w:t>Cadmium und seine Verbindungen, angegeben als Cadmium,</w:t>
      </w:r>
    </w:p>
    <w:p w:rsidR="0059181C" w:rsidRDefault="0059181C" w:rsidP="00353A99">
      <w:pPr>
        <w:pStyle w:val="GesAbsatz"/>
        <w:tabs>
          <w:tab w:val="clear" w:pos="425"/>
        </w:tabs>
        <w:ind w:left="851"/>
      </w:pPr>
      <w:r>
        <w:t>Cobalt und seine Verbindungen, angegeben als Cobalt,</w:t>
      </w:r>
    </w:p>
    <w:p w:rsidR="0059181C" w:rsidRDefault="0059181C" w:rsidP="00353A99">
      <w:pPr>
        <w:pStyle w:val="GesAbsatz"/>
        <w:tabs>
          <w:tab w:val="clear" w:pos="425"/>
        </w:tabs>
        <w:ind w:left="851"/>
      </w:pPr>
      <w:r>
        <w:lastRenderedPageBreak/>
        <w:t>Chrom und seine Verbindungen, angegeben als Chrom,</w:t>
      </w:r>
    </w:p>
    <w:p w:rsidR="0059181C" w:rsidRDefault="0059181C">
      <w:pPr>
        <w:pStyle w:val="GesAbsatz"/>
        <w:tabs>
          <w:tab w:val="clear" w:pos="425"/>
          <w:tab w:val="left" w:pos="6237"/>
        </w:tabs>
        <w:jc w:val="left"/>
        <w:rPr>
          <w:szCs w:val="14"/>
        </w:rPr>
      </w:pPr>
      <w:r>
        <w:tab/>
        <w:t>insgesamt 0,05 mg/m</w:t>
      </w:r>
      <w:r>
        <w:rPr>
          <w:szCs w:val="14"/>
          <w:vertAlign w:val="superscript"/>
        </w:rPr>
        <w:t>3</w:t>
      </w:r>
    </w:p>
    <w:p w:rsidR="0059181C" w:rsidRDefault="0059181C" w:rsidP="00353A99">
      <w:pPr>
        <w:pStyle w:val="GesAbsatz"/>
        <w:tabs>
          <w:tab w:val="clear" w:pos="425"/>
        </w:tabs>
        <w:ind w:left="851"/>
      </w:pPr>
      <w:r>
        <w:t>und</w:t>
      </w:r>
    </w:p>
    <w:p w:rsidR="0059181C" w:rsidRDefault="0059181C" w:rsidP="00353A99">
      <w:pPr>
        <w:pStyle w:val="GesAbsatz"/>
        <w:tabs>
          <w:tab w:val="left" w:pos="6237"/>
        </w:tabs>
        <w:ind w:left="851" w:hanging="425"/>
      </w:pPr>
      <w:r>
        <w:t>d)</w:t>
      </w:r>
      <w:r>
        <w:tab/>
        <w:t>Dioxine und Furane gemäß Anhang I</w:t>
      </w:r>
      <w:r>
        <w:tab/>
        <w:t>0,1 ng/m</w:t>
      </w:r>
      <w:r>
        <w:rPr>
          <w:szCs w:val="14"/>
          <w:vertAlign w:val="superscript"/>
        </w:rPr>
        <w:t>3</w:t>
      </w:r>
      <w:r w:rsidR="00353A99">
        <w:rPr>
          <w:szCs w:val="14"/>
          <w:vertAlign w:val="superscript"/>
        </w:rPr>
        <w:t xml:space="preserve"> </w:t>
      </w:r>
      <w:r w:rsidR="00353A99">
        <w:t>und</w:t>
      </w:r>
    </w:p>
    <w:p w:rsidR="003535DF" w:rsidRDefault="003535DF" w:rsidP="003535DF">
      <w:pPr>
        <w:pStyle w:val="GesAbsatz"/>
        <w:tabs>
          <w:tab w:val="left" w:pos="6237"/>
        </w:tabs>
        <w:ind w:left="426" w:hanging="426"/>
      </w:pPr>
      <w:r>
        <w:t>4.</w:t>
      </w:r>
      <w:r>
        <w:tab/>
        <w:t>kein Jahresmittelwert folgende Emissionsgrenzwerte überschreitet:</w:t>
      </w:r>
    </w:p>
    <w:p w:rsidR="003535DF" w:rsidRDefault="003535DF" w:rsidP="003535DF">
      <w:pPr>
        <w:pStyle w:val="GesAbsatz"/>
        <w:tabs>
          <w:tab w:val="left" w:pos="6237"/>
        </w:tabs>
        <w:ind w:left="426"/>
      </w:pPr>
      <w:r>
        <w:t>Stickstoffmonoxid und Stickstoffdioxid, angegeben als Stickstoffdioxid, bei einer Feuerungswärmelei</w:t>
      </w:r>
      <w:r>
        <w:t>s</w:t>
      </w:r>
      <w:r>
        <w:t>tung von</w:t>
      </w:r>
    </w:p>
    <w:p w:rsidR="003535DF" w:rsidRDefault="003535DF" w:rsidP="003535DF">
      <w:pPr>
        <w:pStyle w:val="GesAbsatz"/>
        <w:tabs>
          <w:tab w:val="clear" w:pos="425"/>
          <w:tab w:val="left" w:pos="7938"/>
        </w:tabs>
        <w:ind w:left="993"/>
      </w:pPr>
      <w:r>
        <w:t>50 MW bis 100 MW</w:t>
      </w:r>
      <w:r>
        <w:tab/>
        <w:t>250 mg/m³</w:t>
      </w:r>
    </w:p>
    <w:p w:rsidR="00353A99" w:rsidRDefault="003535DF" w:rsidP="003535DF">
      <w:pPr>
        <w:pStyle w:val="GesAbsatz"/>
        <w:tabs>
          <w:tab w:val="clear" w:pos="425"/>
          <w:tab w:val="left" w:pos="7938"/>
        </w:tabs>
        <w:ind w:left="993"/>
      </w:pPr>
      <w:r>
        <w:t>mehr als 100 MW</w:t>
      </w:r>
      <w:r>
        <w:tab/>
        <w:t>100 mg/m³.</w:t>
      </w:r>
    </w:p>
    <w:p w:rsidR="003535DF" w:rsidRDefault="003535DF" w:rsidP="003535DF">
      <w:pPr>
        <w:pStyle w:val="GesAbsatz"/>
        <w:tabs>
          <w:tab w:val="clear" w:pos="425"/>
          <w:tab w:val="left" w:pos="7938"/>
        </w:tabs>
      </w:pPr>
      <w:r>
        <w:t>(1a) Absatz 1 Satz 2 Nr. 4 gilt nicht bei ausschließlichem Einsatz von Biobrennstoffen gemäß § 2 Nr. 4.</w:t>
      </w:r>
    </w:p>
    <w:p w:rsidR="0059181C" w:rsidRDefault="0059181C">
      <w:pPr>
        <w:pStyle w:val="GesAbsatz"/>
      </w:pPr>
      <w:r>
        <w:t xml:space="preserve">(2) Die Emissionsgrenzwerte nach Absatz 1 Satz 2 Nr. 3 Buchstabe a bis c gelten nicht für den Einsatz von Kohle, naturbelassenem Holz sowie Holzabfällen gemäß § 2 Nr. 4 Buchstabe b Doppelbuchstabe </w:t>
      </w:r>
      <w:proofErr w:type="spellStart"/>
      <w:r>
        <w:t>ee</w:t>
      </w:r>
      <w:proofErr w:type="spellEnd"/>
      <w:r>
        <w:t>. Der Emissionsgrenzwert nach Absatz 1 Satz 2 Nr. 1 Buchstabe b gilt nicht für Feuerungsanlagen für den Einsatz von naturbelassenem Holz.</w:t>
      </w:r>
    </w:p>
    <w:p w:rsidR="0059181C" w:rsidRDefault="0059181C">
      <w:pPr>
        <w:pStyle w:val="GesAbsatz"/>
      </w:pPr>
      <w:r>
        <w:t>(3) Abweichend von den in Absatz 1 Satz 2 Nr. 1 und 2 festgelegten Emissionsgrenzwerten für Kohlenm</w:t>
      </w:r>
      <w:r>
        <w:t>o</w:t>
      </w:r>
      <w:r>
        <w:t>noxid gilt für Anlagen für den Einsatz von Biobrennstoffen, ausgenommen naturbelassenem Holz, ein Emi</w:t>
      </w:r>
      <w:r>
        <w:t>s</w:t>
      </w:r>
      <w:r>
        <w:t>sionsgrenzwert für Kohlenmonoxid von 250 mg/m</w:t>
      </w:r>
      <w:r>
        <w:rPr>
          <w:szCs w:val="14"/>
          <w:vertAlign w:val="superscript"/>
        </w:rPr>
        <w:t>3</w:t>
      </w:r>
      <w:r>
        <w:rPr>
          <w:szCs w:val="14"/>
        </w:rPr>
        <w:t xml:space="preserve"> </w:t>
      </w:r>
      <w:r>
        <w:t>für den Tagesmittelwert und von 500 mg/m</w:t>
      </w:r>
      <w:r>
        <w:rPr>
          <w:szCs w:val="14"/>
          <w:vertAlign w:val="superscript"/>
        </w:rPr>
        <w:t>3</w:t>
      </w:r>
      <w:r>
        <w:rPr>
          <w:szCs w:val="14"/>
        </w:rPr>
        <w:t xml:space="preserve"> </w:t>
      </w:r>
      <w:r>
        <w:t>für den Halbstundenmittelwert.</w:t>
      </w:r>
    </w:p>
    <w:p w:rsidR="0059181C" w:rsidRDefault="0059181C">
      <w:pPr>
        <w:pStyle w:val="GesAbsatz"/>
      </w:pPr>
      <w:r>
        <w:t>(4) Abweichend von dem in Absatz 1 Satz 2 Nr. 2 bestimmten Emissionsgrenzwert für Quecksilber und seine Verbindungen darf kein Halbstundenmittelwert den Emissionsgrenzwert von 0,05 mg/m</w:t>
      </w:r>
      <w:r>
        <w:rPr>
          <w:szCs w:val="14"/>
        </w:rPr>
        <w:t xml:space="preserve">³ </w:t>
      </w:r>
      <w:r>
        <w:t>überschreiten.</w:t>
      </w:r>
    </w:p>
    <w:p w:rsidR="0059181C" w:rsidRDefault="0059181C">
      <w:pPr>
        <w:pStyle w:val="GesAbsatz"/>
      </w:pPr>
      <w:r>
        <w:t>(5) Abweichend von Absatz 1 Satz 2 Nr. 1 und 2 gilt für die Emissionen an Schwefeldioxid und Schwefeltr</w:t>
      </w:r>
      <w:r>
        <w:t>i</w:t>
      </w:r>
      <w:r>
        <w:t>oxid, angegeben als Schwefeldioxid, dass bei einer Feuerungswärmeleistung von</w:t>
      </w:r>
    </w:p>
    <w:p w:rsidR="0059181C" w:rsidRDefault="0059181C">
      <w:pPr>
        <w:pStyle w:val="GesAbsatz"/>
        <w:ind w:left="426" w:hanging="426"/>
      </w:pPr>
      <w:r>
        <w:t>a)</w:t>
      </w:r>
      <w:r>
        <w:tab/>
        <w:t>50 MW bis 100 MW alternativ ein Schwefelabscheidegrad von mindestens 92 vom Hundert nicht unte</w:t>
      </w:r>
      <w:r>
        <w:t>r</w:t>
      </w:r>
      <w:r>
        <w:t>schritten werden darf,</w:t>
      </w:r>
    </w:p>
    <w:p w:rsidR="0059181C" w:rsidRDefault="0059181C">
      <w:pPr>
        <w:pStyle w:val="GesAbsatz"/>
        <w:ind w:left="426" w:hanging="426"/>
      </w:pPr>
      <w:r>
        <w:t>b)</w:t>
      </w:r>
      <w:r>
        <w:tab/>
        <w:t>mehr als 100 MW bis 300 MW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 nicht überschritten und zusätzlich ein Schwefelabscheidegrad von mindestens 92 vom Hundert als Tagesmittelwert nicht unterschritten werden darf,</w:t>
      </w:r>
    </w:p>
    <w:p w:rsidR="0059181C" w:rsidRDefault="0059181C">
      <w:pPr>
        <w:pStyle w:val="GesAbsatz"/>
        <w:numPr>
          <w:ilvl w:val="0"/>
          <w:numId w:val="1"/>
        </w:numPr>
        <w:tabs>
          <w:tab w:val="clear" w:pos="425"/>
          <w:tab w:val="clear" w:pos="720"/>
        </w:tabs>
        <w:ind w:left="480" w:hanging="480"/>
      </w:pPr>
      <w:r>
        <w:t>mehr als 300 MW ein Emissionsgrenzwert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 nicht überschritten und zusätzlich ein Schwefelabscheidegrad von mi</w:t>
      </w:r>
      <w:r>
        <w:t>n</w:t>
      </w:r>
      <w:r>
        <w:t xml:space="preserve">destens 95 vom Hundert als Tagesmittelwert nicht unterschritten werden darf, </w:t>
      </w:r>
    </w:p>
    <w:p w:rsidR="0059181C" w:rsidRDefault="0059181C">
      <w:pPr>
        <w:pStyle w:val="GesAbsatz"/>
        <w:tabs>
          <w:tab w:val="clear" w:pos="425"/>
        </w:tabs>
      </w:pPr>
      <w:r>
        <w:t>soweit auf Grund des Schwefelgehalts der eingesetzten Brennstoffe die in Absatz 1 genannten Emission</w:t>
      </w:r>
      <w:r>
        <w:t>s</w:t>
      </w:r>
      <w:r>
        <w:t>grenzwerte mit einem verhältnismäßigen Aufwand nicht eingehalten werden können.</w:t>
      </w:r>
    </w:p>
    <w:p w:rsidR="0059181C" w:rsidRDefault="0059181C">
      <w:pPr>
        <w:pStyle w:val="GesAbsatz"/>
      </w:pPr>
      <w:r>
        <w:t>(6) Ergänzend zu Absatz 1 Satz 2 Nr. 1 und 2 gilt für Feuerungsanlagen für den Einsatz von Biobrennsto</w:t>
      </w:r>
      <w:r>
        <w:t>f</w:t>
      </w:r>
      <w:r>
        <w:t>fen, ausgenommen Ablaugen aus dem Sulfitverfahren in der Zellstoffindustrie, für organische Stoffe, ang</w:t>
      </w:r>
      <w:r>
        <w:t>e</w:t>
      </w:r>
      <w:r>
        <w:t>geben als Gesamtkohlenstoff, ein Emissionsgrenzwert von 10 mg/m</w:t>
      </w:r>
      <w:r>
        <w:rPr>
          <w:szCs w:val="14"/>
          <w:vertAlign w:val="superscript"/>
        </w:rPr>
        <w:t>3</w:t>
      </w:r>
      <w:r>
        <w:rPr>
          <w:szCs w:val="14"/>
        </w:rPr>
        <w:t xml:space="preserve"> </w:t>
      </w:r>
      <w:r>
        <w:t>für den Tagesmittelwert und von 20 mg/m</w:t>
      </w:r>
      <w:r>
        <w:rPr>
          <w:szCs w:val="14"/>
          <w:vertAlign w:val="superscript"/>
        </w:rPr>
        <w:t>3</w:t>
      </w:r>
      <w:r>
        <w:rPr>
          <w:szCs w:val="14"/>
        </w:rPr>
        <w:t xml:space="preserve"> </w:t>
      </w:r>
      <w:r>
        <w:t>für den Halbstundenmittelwert.</w:t>
      </w:r>
    </w:p>
    <w:p w:rsidR="0059181C" w:rsidRDefault="0059181C">
      <w:pPr>
        <w:pStyle w:val="GesAbsatz"/>
      </w:pPr>
      <w:r>
        <w:t>(7) Die Emissionsgrenzwerte sind auch bei der Heizflächenreinigung einzuhalten.</w:t>
      </w:r>
    </w:p>
    <w:p w:rsidR="0059181C" w:rsidRDefault="0059181C">
      <w:pPr>
        <w:pStyle w:val="GesAbsatz"/>
      </w:pPr>
      <w:r>
        <w:t>(8) Abweichend von dem unter Absatz 1 Satz 2 Nr. 1 und 2 genannten Emissionsgrenzwert für Gesamtstaub gilt bei Altanlagen mit einer Feuerungswärmeleistung von</w:t>
      </w:r>
    </w:p>
    <w:p w:rsidR="0059181C" w:rsidRDefault="0059181C">
      <w:pPr>
        <w:pStyle w:val="GesAbsatz"/>
        <w:ind w:left="426" w:hanging="426"/>
      </w:pPr>
      <w:r>
        <w:t>a)</w:t>
      </w:r>
      <w:r>
        <w:tab/>
        <w:t xml:space="preserve">50 MW bis 100 MW bis zum </w:t>
      </w:r>
      <w:smartTag w:uri="urn:schemas-microsoft-com:office:smarttags" w:element="date">
        <w:smartTagPr>
          <w:attr w:name="ls" w:val="trans"/>
          <w:attr w:name="Month" w:val="12"/>
          <w:attr w:name="Day" w:val="31"/>
          <w:attr w:name="Year" w:val="2012"/>
        </w:smartTagPr>
        <w:r>
          <w:t>31. Dezember 2012</w:t>
        </w:r>
      </w:smartTag>
      <w:r>
        <w:t xml:space="preserve"> ein Emissionsgrenzwert von 30 mg/m</w:t>
      </w:r>
      <w:r>
        <w:rPr>
          <w:szCs w:val="14"/>
          <w:vertAlign w:val="superscript"/>
        </w:rPr>
        <w:t>3</w:t>
      </w:r>
      <w:r>
        <w:rPr>
          <w:szCs w:val="14"/>
        </w:rPr>
        <w:t xml:space="preserve"> </w:t>
      </w:r>
      <w:r>
        <w:t>für den Tage</w:t>
      </w:r>
      <w:r>
        <w:t>s</w:t>
      </w:r>
      <w:r>
        <w:t>mittelwert und von 60 mg/m</w:t>
      </w:r>
      <w:r>
        <w:rPr>
          <w:szCs w:val="14"/>
          <w:vertAlign w:val="superscript"/>
        </w:rPr>
        <w:t>3</w:t>
      </w:r>
      <w:r>
        <w:rPr>
          <w:szCs w:val="14"/>
        </w:rPr>
        <w:t xml:space="preserve"> </w:t>
      </w:r>
      <w:r>
        <w:t>für den Halbstundenmittelwert,</w:t>
      </w:r>
    </w:p>
    <w:p w:rsidR="0059181C" w:rsidRDefault="0059181C">
      <w:pPr>
        <w:pStyle w:val="GesAbsatz"/>
        <w:ind w:left="426" w:hanging="426"/>
      </w:pPr>
      <w:r>
        <w:t>b)</w:t>
      </w:r>
      <w:r>
        <w:tab/>
        <w:t>mehr als 100 MW ein Emissionsgrenzwert von 20 mg/m</w:t>
      </w:r>
      <w:r>
        <w:rPr>
          <w:szCs w:val="14"/>
          <w:vertAlign w:val="superscript"/>
        </w:rPr>
        <w:t>3</w:t>
      </w:r>
      <w:r>
        <w:rPr>
          <w:szCs w:val="14"/>
        </w:rPr>
        <w:t xml:space="preserve"> </w:t>
      </w:r>
      <w:r>
        <w:t>für den Tagesmittelwert und von 60 mg/m</w:t>
      </w:r>
      <w:r>
        <w:rPr>
          <w:szCs w:val="14"/>
          <w:vertAlign w:val="superscript"/>
        </w:rPr>
        <w:t xml:space="preserve">3 </w:t>
      </w:r>
      <w:r>
        <w:t>für den Halbstundenmittelwert.</w:t>
      </w:r>
    </w:p>
    <w:p w:rsidR="0059181C" w:rsidRDefault="0059181C">
      <w:pPr>
        <w:pStyle w:val="GesAbsatz"/>
      </w:pPr>
      <w:r>
        <w:t>(9) Abweichend von den unter Absatz 1 Satz 2 Nr. 1 und 2 genannten Emissionsgrenzwerten für Kohlenm</w:t>
      </w:r>
      <w:r>
        <w:t>o</w:t>
      </w:r>
      <w:r>
        <w:t>noxid gilt bei Altanlagen mit einer Feuerungswärmeleistung von mehr als 100 MW ein Emissionsgrenzwert von 250 mg/m</w:t>
      </w:r>
      <w:r>
        <w:rPr>
          <w:szCs w:val="14"/>
          <w:vertAlign w:val="superscript"/>
        </w:rPr>
        <w:t>3</w:t>
      </w:r>
      <w:r>
        <w:rPr>
          <w:szCs w:val="14"/>
        </w:rPr>
        <w:t xml:space="preserve"> </w:t>
      </w:r>
      <w:r>
        <w:t>für den Tagesmittelwert und von 500 mg/m</w:t>
      </w:r>
      <w:r>
        <w:rPr>
          <w:szCs w:val="14"/>
          <w:vertAlign w:val="superscript"/>
        </w:rPr>
        <w:t>3</w:t>
      </w:r>
      <w:r>
        <w:rPr>
          <w:szCs w:val="14"/>
        </w:rPr>
        <w:t xml:space="preserve"> </w:t>
      </w:r>
      <w:r>
        <w:t>für den Halbstundenmittelwert.</w:t>
      </w:r>
    </w:p>
    <w:p w:rsidR="0059181C" w:rsidRDefault="0059181C">
      <w:pPr>
        <w:pStyle w:val="GesAbsatz"/>
      </w:pPr>
      <w:r>
        <w:t>(10) Abweichend von den unter Absatz 1 Satz 2 Nr. 1 und 2 genannten Emissionsgrenzwerten für Stic</w:t>
      </w:r>
      <w:r>
        <w:t>k</w:t>
      </w:r>
      <w:r>
        <w:t>stoffmonoxid und Stickstoffdioxid, angegeben als Stickstoffdioxid, gilt bei Altanlagen mit einer Feuerung</w:t>
      </w:r>
      <w:r>
        <w:t>s</w:t>
      </w:r>
      <w:r>
        <w:t>wärmeleistung von</w:t>
      </w:r>
    </w:p>
    <w:p w:rsidR="0059181C" w:rsidRDefault="0059181C">
      <w:pPr>
        <w:pStyle w:val="GesAbsatz"/>
        <w:ind w:left="426" w:hanging="426"/>
      </w:pPr>
      <w:r>
        <w:t>a)</w:t>
      </w:r>
      <w:r>
        <w:tab/>
        <w:t>50 MW bis 100 MW ein Emissionsgrenzwert von 500 mg/m</w:t>
      </w:r>
      <w:r>
        <w:rPr>
          <w:szCs w:val="14"/>
          <w:vertAlign w:val="superscript"/>
        </w:rPr>
        <w:t>3</w:t>
      </w:r>
      <w:r>
        <w:rPr>
          <w:szCs w:val="14"/>
        </w:rPr>
        <w:t xml:space="preserve"> </w:t>
      </w:r>
      <w:r>
        <w:t>für den Tagesmittelwert und 1 000 mg/m</w:t>
      </w:r>
      <w:r>
        <w:rPr>
          <w:szCs w:val="14"/>
          <w:vertAlign w:val="superscript"/>
        </w:rPr>
        <w:t>3</w:t>
      </w:r>
      <w:r>
        <w:rPr>
          <w:szCs w:val="14"/>
        </w:rPr>
        <w:t xml:space="preserve"> </w:t>
      </w:r>
      <w:r>
        <w:t>für den Halbstundenmittelwert,</w:t>
      </w:r>
    </w:p>
    <w:p w:rsidR="0059181C" w:rsidRDefault="0059181C">
      <w:pPr>
        <w:pStyle w:val="GesAbsatz"/>
        <w:ind w:left="426" w:hanging="426"/>
      </w:pPr>
      <w:r>
        <w:lastRenderedPageBreak/>
        <w:t>b)</w:t>
      </w:r>
      <w:r>
        <w:tab/>
        <w:t>über 100 MW bis 300 MW ein Emissionsgrenzwert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w:t>
      </w:r>
    </w:p>
    <w:p w:rsidR="0059181C" w:rsidRDefault="0059181C">
      <w:pPr>
        <w:pStyle w:val="GesAbsatz"/>
      </w:pPr>
      <w:r>
        <w:t>(11) Abweichend von den unter Absatz 1 Satz 2 Nr. 1 und 2 genannten Emissionsgrenzwerten für Stic</w:t>
      </w:r>
      <w:r>
        <w:t>k</w:t>
      </w:r>
      <w:r>
        <w:t>stoffmonoxid und Stickstoffdioxid, angegeben als Stickstoffdioxid, gilt bei Altanlagen mit einer Feuerung</w:t>
      </w:r>
      <w:r>
        <w:t>s</w:t>
      </w:r>
      <w:r>
        <w:t>wärmeleistung von mehr als 300 MW für den Einsatz von Kohle, bei denen aus sicherheitstechnischen Gründen ein Zusatzbrenner mit flüssigen Brennstoffen erforderlich ist, ein Emissionsgrenzwert von 200 mg/m</w:t>
      </w:r>
      <w:r>
        <w:rPr>
          <w:szCs w:val="14"/>
          <w:vertAlign w:val="superscript"/>
        </w:rPr>
        <w:t>3</w:t>
      </w:r>
      <w:r>
        <w:rPr>
          <w:szCs w:val="14"/>
        </w:rPr>
        <w:t xml:space="preserve"> </w:t>
      </w:r>
      <w:r>
        <w:t>für den Tagesmittelwert und von 400 mg/m</w:t>
      </w:r>
      <w:r>
        <w:rPr>
          <w:szCs w:val="14"/>
          <w:vertAlign w:val="superscript"/>
        </w:rPr>
        <w:t>3</w:t>
      </w:r>
      <w:r>
        <w:rPr>
          <w:szCs w:val="14"/>
        </w:rPr>
        <w:t xml:space="preserve"> </w:t>
      </w:r>
      <w:r>
        <w:t>für den Halbstundenmittelwert.</w:t>
      </w:r>
    </w:p>
    <w:p w:rsidR="0059181C" w:rsidRDefault="0059181C">
      <w:pPr>
        <w:pStyle w:val="GesAbsatz"/>
      </w:pPr>
      <w:r>
        <w:t>(12) Abweichend von den unter Absatz 1 Satz 2 Nr. 1 und 2 genannten Emissionsgrenzwerten für Schwefe</w:t>
      </w:r>
      <w:r>
        <w:t>l</w:t>
      </w:r>
      <w:r>
        <w:t>dioxid und Schwefeltrioxid, angegeben als Schwefeldioxid, gilt bei Altanlagen, ausgenommen Wirbelschich</w:t>
      </w:r>
      <w:r>
        <w:t>t</w:t>
      </w:r>
      <w:r>
        <w:t>feuerungen, bei einer Feuerungswärmeleistung von 50 MW bis 300 MW bei Einsatz von</w:t>
      </w:r>
    </w:p>
    <w:p w:rsidR="0059181C" w:rsidRDefault="0059181C">
      <w:pPr>
        <w:pStyle w:val="GesAbsatz"/>
        <w:ind w:left="426" w:hanging="426"/>
      </w:pPr>
      <w:r>
        <w:t>a)</w:t>
      </w:r>
      <w:r>
        <w:tab/>
        <w:t>Steinkohle ein Emissionsgrenzwert von 1 200 mg/m</w:t>
      </w:r>
      <w:r>
        <w:rPr>
          <w:szCs w:val="14"/>
          <w:vertAlign w:val="superscript"/>
        </w:rPr>
        <w:t xml:space="preserve">3 </w:t>
      </w:r>
      <w:r>
        <w:t>für den Tagesmittelwert und von 2 400 mg/m</w:t>
      </w:r>
      <w:r>
        <w:rPr>
          <w:szCs w:val="14"/>
          <w:vertAlign w:val="superscript"/>
        </w:rPr>
        <w:t>3</w:t>
      </w:r>
      <w:r>
        <w:rPr>
          <w:szCs w:val="14"/>
        </w:rPr>
        <w:t xml:space="preserve"> </w:t>
      </w:r>
      <w:r>
        <w:t>für den Halbstundenmittelwert und</w:t>
      </w:r>
    </w:p>
    <w:p w:rsidR="0059181C" w:rsidRDefault="0059181C">
      <w:pPr>
        <w:pStyle w:val="GesAbsatz"/>
        <w:ind w:left="426" w:hanging="426"/>
      </w:pPr>
      <w:r>
        <w:t>b)</w:t>
      </w:r>
      <w:r>
        <w:tab/>
        <w:t>Braunkohle ein Emissionsgrenzwert von 1 000 mg/m</w:t>
      </w:r>
      <w:r>
        <w:rPr>
          <w:szCs w:val="14"/>
          <w:vertAlign w:val="superscript"/>
        </w:rPr>
        <w:t xml:space="preserve">3 </w:t>
      </w:r>
      <w:r>
        <w:t>für den Tagesmittelwert und von 2 000 mg/m</w:t>
      </w:r>
      <w:r>
        <w:rPr>
          <w:szCs w:val="14"/>
          <w:vertAlign w:val="superscript"/>
        </w:rPr>
        <w:t>3</w:t>
      </w:r>
      <w:r>
        <w:rPr>
          <w:szCs w:val="14"/>
        </w:rPr>
        <w:t xml:space="preserve"> </w:t>
      </w:r>
      <w:r>
        <w:t>für den Halbstundenmittelwert.</w:t>
      </w:r>
    </w:p>
    <w:p w:rsidR="0059181C" w:rsidRDefault="0059181C">
      <w:pPr>
        <w:pStyle w:val="GesAbsatz"/>
      </w:pPr>
      <w:r>
        <w:t>Bei einer Feuerungswärmeleistung von mehr als 100 MW bis 300 MW darf zusätzlich zur Begrenzung der Massenkonzentration ein Schwefelabscheidegrad von mindestens 60 vom Hundert nicht unterschritten we</w:t>
      </w:r>
      <w:r>
        <w:t>r</w:t>
      </w:r>
      <w:r>
        <w:t>den.</w:t>
      </w:r>
    </w:p>
    <w:p w:rsidR="0059181C" w:rsidRDefault="0059181C">
      <w:pPr>
        <w:pStyle w:val="GesAbsatz"/>
      </w:pPr>
      <w:r>
        <w:t>(13) Abweichend von den unter Absatz 1 Satz 2 Nr. 1 und 2 genannten Emissionsgrenzwerten für Schwefe</w:t>
      </w:r>
      <w:r>
        <w:t>l</w:t>
      </w:r>
      <w:r>
        <w:t>dioxid und Schwefeltrioxid, angegeben als Schwefeldioxid, gilt bei Altanlagen für Wirbelschichtfeuerungen mit einer Feuerungswärmeleistung von mehr als 100 MW bis 300 MW ein Emissionsgrenzwert von 350 mg/m</w:t>
      </w:r>
      <w:r>
        <w:rPr>
          <w:szCs w:val="14"/>
          <w:vertAlign w:val="superscript"/>
        </w:rPr>
        <w:t>3</w:t>
      </w:r>
      <w:r>
        <w:rPr>
          <w:szCs w:val="14"/>
        </w:rPr>
        <w:t xml:space="preserve"> </w:t>
      </w:r>
      <w:r>
        <w:t>für den Tagesmittelwert und von 700 mg/m</w:t>
      </w:r>
      <w:r>
        <w:rPr>
          <w:szCs w:val="14"/>
          <w:vertAlign w:val="superscript"/>
        </w:rPr>
        <w:t>3</w:t>
      </w:r>
      <w:r>
        <w:rPr>
          <w:szCs w:val="14"/>
        </w:rPr>
        <w:t xml:space="preserve"> </w:t>
      </w:r>
      <w:r>
        <w:t>für den Halbstundenmittelwert sowie ein Schwefela</w:t>
      </w:r>
      <w:r>
        <w:t>b</w:t>
      </w:r>
      <w:r>
        <w:t>scheidegrad von mindestens 75 vom Hundert.</w:t>
      </w:r>
    </w:p>
    <w:p w:rsidR="0059181C" w:rsidRDefault="0059181C">
      <w:pPr>
        <w:pStyle w:val="GesAbsatz"/>
      </w:pPr>
      <w:r>
        <w:t>(14) Abweichend von den unter Absatz 1 Satz 2 Nr. 1 und 2 in Verbindung mit Absatz 5 Buchstabe b g</w:t>
      </w:r>
      <w:r>
        <w:t>e</w:t>
      </w:r>
      <w:r>
        <w:t>nannten Emissionsgrenzwerten für Schwefeldioxid und Schwefeltrioxid, angegeben als Schwefeldioxid, gilt bei Altanlagen für den Einsatz von Ablaugen aus dem Sulfitverfahren in der Zellstoffindustrie mit einer Feu</w:t>
      </w:r>
      <w:r>
        <w:t>e</w:t>
      </w:r>
      <w:r>
        <w:t>rungswärmeleistung von mehr als 100 MW bis 300 MW im Normalbetrieb ein Emissionsgrenzwert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w:t>
      </w:r>
    </w:p>
    <w:p w:rsidR="0059181C" w:rsidRDefault="0059181C">
      <w:pPr>
        <w:pStyle w:val="GesAbsatz"/>
      </w:pPr>
      <w:r>
        <w:t>(15) Abweichend von den unter Absatz 1 Satz 2 Nr. 1 und 2 genannten Emissionsgrenzwerten für Schwefe</w:t>
      </w:r>
      <w:r>
        <w:t>l</w:t>
      </w:r>
      <w:r>
        <w:t>dioxid und Schwefeltrioxid, angegeben als Schwefeldioxid, gilt für Altanlagen mit einer Feuerungswärmelei</w:t>
      </w:r>
      <w:r>
        <w:t>s</w:t>
      </w:r>
      <w:r>
        <w:t>tung von mehr als 300 MW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w:t>
      </w:r>
    </w:p>
    <w:p w:rsidR="0059181C" w:rsidRDefault="0059181C">
      <w:pPr>
        <w:pStyle w:val="berschrift3"/>
      </w:pPr>
      <w:bookmarkStart w:id="7" w:name="_Toc333483315"/>
      <w:r>
        <w:t>§ 4</w:t>
      </w:r>
      <w:r>
        <w:br/>
        <w:t>Emissionsgrenzwerte für Feuerungsanlagen für flüssige Brennstoffe</w:t>
      </w:r>
      <w:bookmarkEnd w:id="7"/>
    </w:p>
    <w:p w:rsidR="0059181C" w:rsidRDefault="0059181C">
      <w:pPr>
        <w:pStyle w:val="GesAbsatz"/>
      </w:pPr>
      <w:r>
        <w:t>(1) Die Feuerungsanlagen sind so zu errichten und zu betreiben, dass die Anforderungen dieses Absatzes und der Absätze 2 bis 10 eingehalten werden. Der Betreiber hat dafür zu sorgen, dass</w:t>
      </w:r>
    </w:p>
    <w:p w:rsidR="0059181C" w:rsidRDefault="0059181C">
      <w:pPr>
        <w:pStyle w:val="GesAbsatz"/>
      </w:pPr>
      <w:r>
        <w:t>1.</w:t>
      </w:r>
      <w:r>
        <w:tab/>
        <w:t>kein Tagesmittelwert die folgenden Emissionsgrenzwerte überschreitet:</w:t>
      </w:r>
    </w:p>
    <w:p w:rsidR="0059181C" w:rsidRDefault="0059181C">
      <w:pPr>
        <w:pStyle w:val="GesAbsatz"/>
        <w:tabs>
          <w:tab w:val="left" w:pos="7371"/>
        </w:tabs>
        <w:ind w:left="426" w:hanging="426"/>
        <w:rPr>
          <w:color w:val="FFFFFF"/>
        </w:rPr>
      </w:pPr>
      <w:r>
        <w:t>a)</w:t>
      </w:r>
      <w:r>
        <w:tab/>
        <w:t>Gesamtstaub</w:t>
      </w:r>
      <w:r>
        <w:tab/>
        <w:t>20 mg/m</w:t>
      </w:r>
      <w:r>
        <w:rPr>
          <w:szCs w:val="14"/>
          <w:vertAlign w:val="superscript"/>
        </w:rPr>
        <w:t>3</w:t>
      </w:r>
      <w:r>
        <w:rPr>
          <w:color w:val="FFFFFF"/>
        </w:rPr>
        <w:t>;</w:t>
      </w:r>
    </w:p>
    <w:p w:rsidR="0059181C" w:rsidRDefault="0059181C">
      <w:pPr>
        <w:pStyle w:val="GesAbsatz"/>
        <w:tabs>
          <w:tab w:val="left" w:pos="7371"/>
        </w:tabs>
        <w:ind w:left="426" w:hanging="426"/>
        <w:rPr>
          <w:color w:val="FFFFFF"/>
        </w:rPr>
      </w:pPr>
      <w:r>
        <w:t>b)</w:t>
      </w:r>
      <w:r>
        <w:tab/>
        <w:t>Kohlenmonoxid</w:t>
      </w:r>
      <w:r>
        <w:tab/>
        <w:t>80 mg/m</w:t>
      </w:r>
      <w:r>
        <w:rPr>
          <w:szCs w:val="14"/>
          <w:vertAlign w:val="superscript"/>
        </w:rPr>
        <w:t>3</w:t>
      </w:r>
      <w:r>
        <w:rPr>
          <w:color w:val="FFFFFF"/>
        </w:rPr>
        <w:t>;</w:t>
      </w:r>
    </w:p>
    <w:p w:rsidR="0059181C" w:rsidRDefault="0059181C">
      <w:pPr>
        <w:pStyle w:val="GesAbsatz"/>
        <w:ind w:left="426" w:hanging="426"/>
        <w:jc w:val="left"/>
      </w:pPr>
      <w:r>
        <w:t>c)</w:t>
      </w:r>
      <w:r>
        <w:tab/>
        <w:t>Stickstoffmonoxid und Stickstoffdioxid, angegeben als Stickstoffdioxid,</w:t>
      </w:r>
      <w:r>
        <w:br/>
        <w:t>bei einer Feuerungswärmeleistung von</w:t>
      </w:r>
    </w:p>
    <w:p w:rsidR="0059181C" w:rsidRDefault="0059181C">
      <w:pPr>
        <w:pStyle w:val="GesAbsatz"/>
        <w:tabs>
          <w:tab w:val="clear" w:pos="425"/>
        </w:tabs>
        <w:ind w:left="851" w:hanging="425"/>
      </w:pPr>
      <w:proofErr w:type="spellStart"/>
      <w:r>
        <w:t>aa</w:t>
      </w:r>
      <w:proofErr w:type="spellEnd"/>
      <w:r>
        <w:t>)</w:t>
      </w:r>
      <w:r>
        <w:tab/>
        <w:t>50 MW bis 100 MW und bei Einsatz von</w:t>
      </w:r>
    </w:p>
    <w:p w:rsidR="0059181C" w:rsidRDefault="0059181C">
      <w:pPr>
        <w:pStyle w:val="GesAbsatz"/>
        <w:ind w:left="1276" w:hanging="425"/>
        <w:jc w:val="left"/>
      </w:pPr>
      <w:r>
        <w:t>–</w:t>
      </w:r>
      <w:r>
        <w:tab/>
        <w:t xml:space="preserve">leichtem Heizöl bei Kesseln mit einem Einstellwert der </w:t>
      </w:r>
      <w:r>
        <w:br/>
        <w:t xml:space="preserve">Sicherheitseinrichtung (z. B. Sicherheitstemperaturbegrenzer, </w:t>
      </w:r>
      <w:r>
        <w:br/>
        <w:t>Sicherheitsdruckventil) gegen Überschreitung</w:t>
      </w:r>
    </w:p>
    <w:p w:rsidR="0059181C" w:rsidRDefault="0059181C">
      <w:pPr>
        <w:pStyle w:val="GesAbsatz"/>
        <w:tabs>
          <w:tab w:val="left" w:pos="7371"/>
        </w:tabs>
        <w:ind w:left="1701" w:hanging="425"/>
        <w:jc w:val="left"/>
        <w:rPr>
          <w:color w:val="FFFFFF"/>
        </w:rPr>
      </w:pPr>
      <w:r>
        <w:t>– –</w:t>
      </w:r>
      <w:r>
        <w:tab/>
        <w:t>einer Temperatur von weniger als 383,15 K</w:t>
      </w:r>
      <w:r>
        <w:br/>
        <w:t>oder eines Überdrucks von weniger als 0,05 MPa</w:t>
      </w:r>
      <w:r>
        <w:tab/>
        <w:t>180 mg/m</w:t>
      </w:r>
      <w:r>
        <w:rPr>
          <w:szCs w:val="14"/>
          <w:vertAlign w:val="superscript"/>
        </w:rPr>
        <w:t>3</w:t>
      </w:r>
      <w:r>
        <w:rPr>
          <w:color w:val="FFFFFF"/>
        </w:rPr>
        <w:t>;</w:t>
      </w:r>
    </w:p>
    <w:p w:rsidR="0059181C" w:rsidRDefault="0059181C">
      <w:pPr>
        <w:pStyle w:val="GesAbsatz"/>
        <w:tabs>
          <w:tab w:val="left" w:pos="7371"/>
        </w:tabs>
        <w:ind w:left="1701" w:hanging="425"/>
        <w:jc w:val="left"/>
        <w:rPr>
          <w:color w:val="FFFFFF"/>
        </w:rPr>
      </w:pPr>
      <w:r>
        <w:t>– –</w:t>
      </w:r>
      <w:r>
        <w:tab/>
        <w:t xml:space="preserve">einer Temperatur von 383,75 K bis 483,15 K oder </w:t>
      </w:r>
      <w:r>
        <w:br/>
        <w:t>eines Überdrucks von 0,05 MPa bis 1,8 MPa</w:t>
      </w:r>
      <w:r>
        <w:tab/>
        <w:t>200 mg/m</w:t>
      </w:r>
      <w:r>
        <w:rPr>
          <w:szCs w:val="14"/>
          <w:vertAlign w:val="superscript"/>
        </w:rPr>
        <w:t>3</w:t>
      </w:r>
      <w:r>
        <w:rPr>
          <w:color w:val="FFFFFF"/>
        </w:rPr>
        <w:t>;</w:t>
      </w:r>
    </w:p>
    <w:p w:rsidR="0059181C" w:rsidRDefault="0059181C">
      <w:pPr>
        <w:pStyle w:val="GesAbsatz"/>
        <w:tabs>
          <w:tab w:val="left" w:pos="7371"/>
        </w:tabs>
        <w:ind w:left="1701" w:hanging="425"/>
        <w:jc w:val="left"/>
        <w:rPr>
          <w:color w:val="FFFFFF"/>
        </w:rPr>
      </w:pPr>
      <w:r>
        <w:t>– –</w:t>
      </w:r>
      <w:r>
        <w:tab/>
        <w:t>einer Temperatur von mehr als 483,15 K oder eines</w:t>
      </w:r>
      <w:r>
        <w:br/>
        <w:t>Überdrucks von mehr als 1,8 MPa</w:t>
      </w:r>
      <w:r>
        <w:tab/>
        <w:t>250 mg/m</w:t>
      </w:r>
      <w:r>
        <w:rPr>
          <w:szCs w:val="14"/>
          <w:vertAlign w:val="superscript"/>
        </w:rPr>
        <w:t>3</w:t>
      </w:r>
      <w:r>
        <w:rPr>
          <w:color w:val="FFFFFF"/>
        </w:rPr>
        <w:t>;</w:t>
      </w:r>
    </w:p>
    <w:p w:rsidR="0059181C" w:rsidRDefault="0059181C">
      <w:pPr>
        <w:pStyle w:val="GesAbsatz"/>
        <w:ind w:left="1276"/>
      </w:pPr>
      <w:r>
        <w:t>bezogen auf den Referenzwert an organisch gebundenem Stickstoff von 140 mg/kg nach A</w:t>
      </w:r>
      <w:r>
        <w:t>n</w:t>
      </w:r>
      <w:r>
        <w:t>hang B der DIN EN 267 (Ausgabe November 1999). Der organisch gebundene Stickstoffge</w:t>
      </w:r>
      <w:r>
        <w:t>h</w:t>
      </w:r>
      <w:r>
        <w:t>alt des Brennstoffs ist nach DIN 51444 (Ausgabe 2003) zu bestimmen. Die gemessenen Ma</w:t>
      </w:r>
      <w:r>
        <w:t>s</w:t>
      </w:r>
      <w:r>
        <w:lastRenderedPageBreak/>
        <w:t>senkonzentrationen an Stickstoffmonoxid und Stickstoffdioxid, angegeben als Stickstoffdioxid, sind auf den Referenzwert an organisch gebundenem Stickstoff sowie auf die Bezugsbedi</w:t>
      </w:r>
      <w:r>
        <w:t>n</w:t>
      </w:r>
      <w:r>
        <w:t>gungen 10 g/kg Luftfeuchte und 20 °C Verbrennungslufttemperatur umzurechnen;</w:t>
      </w:r>
    </w:p>
    <w:p w:rsidR="0059181C" w:rsidRDefault="0059181C" w:rsidP="005410B1">
      <w:pPr>
        <w:pStyle w:val="GesAbsatz"/>
        <w:tabs>
          <w:tab w:val="clear" w:pos="425"/>
          <w:tab w:val="left" w:pos="1418"/>
          <w:tab w:val="left" w:pos="7371"/>
        </w:tabs>
        <w:ind w:left="851"/>
        <w:rPr>
          <w:color w:val="FFFFFF"/>
        </w:rPr>
      </w:pPr>
      <w:r>
        <w:t>–</w:t>
      </w:r>
      <w:r>
        <w:tab/>
        <w:t>anderen flüssigen Brennstoffen</w:t>
      </w:r>
      <w:r w:rsidR="005410B1">
        <w:tab/>
      </w:r>
      <w:r>
        <w:t>350 mg/m</w:t>
      </w:r>
      <w:r>
        <w:rPr>
          <w:szCs w:val="14"/>
          <w:vertAlign w:val="superscript"/>
        </w:rPr>
        <w:t>3</w:t>
      </w:r>
      <w:r>
        <w:rPr>
          <w:color w:val="FFFFFF"/>
        </w:rPr>
        <w:t>;</w:t>
      </w:r>
    </w:p>
    <w:p w:rsidR="0059181C" w:rsidRDefault="0059181C">
      <w:pPr>
        <w:pStyle w:val="GesAbsatz"/>
        <w:tabs>
          <w:tab w:val="clear" w:pos="425"/>
          <w:tab w:val="left" w:pos="7371"/>
        </w:tabs>
        <w:ind w:left="851" w:hanging="425"/>
        <w:rPr>
          <w:color w:val="FFFFFF"/>
        </w:rPr>
      </w:pPr>
      <w:proofErr w:type="spellStart"/>
      <w:r>
        <w:t>bb</w:t>
      </w:r>
      <w:proofErr w:type="spellEnd"/>
      <w:r>
        <w:t>)</w:t>
      </w:r>
      <w:r>
        <w:tab/>
        <w:t>mehr als 100 MW bis 300 MW</w:t>
      </w:r>
      <w:r>
        <w:tab/>
        <w:t>200 mg/m</w:t>
      </w:r>
      <w:r>
        <w:rPr>
          <w:szCs w:val="14"/>
          <w:vertAlign w:val="superscript"/>
        </w:rPr>
        <w:t>3</w:t>
      </w:r>
      <w:r>
        <w:rPr>
          <w:color w:val="FFFFFF"/>
        </w:rPr>
        <w:t>;</w:t>
      </w:r>
    </w:p>
    <w:p w:rsidR="0059181C" w:rsidRDefault="0059181C">
      <w:pPr>
        <w:pStyle w:val="GesAbsatz"/>
        <w:tabs>
          <w:tab w:val="clear" w:pos="425"/>
          <w:tab w:val="left" w:pos="7371"/>
        </w:tabs>
        <w:ind w:left="851" w:hanging="425"/>
        <w:rPr>
          <w:color w:val="FFFFFF"/>
        </w:rPr>
      </w:pPr>
      <w:r>
        <w:t>cc)</w:t>
      </w:r>
      <w:r>
        <w:tab/>
        <w:t>mehr als 300 MW</w:t>
      </w:r>
      <w:r>
        <w:tab/>
        <w:t>150 mg/m</w:t>
      </w:r>
      <w:r>
        <w:rPr>
          <w:szCs w:val="14"/>
          <w:vertAlign w:val="superscript"/>
        </w:rPr>
        <w:t>3</w:t>
      </w:r>
      <w:r>
        <w:rPr>
          <w:color w:val="FFFFFF"/>
        </w:rPr>
        <w:t>;</w:t>
      </w:r>
    </w:p>
    <w:p w:rsidR="0059181C" w:rsidRDefault="0059181C">
      <w:pPr>
        <w:pStyle w:val="GesAbsatz"/>
        <w:ind w:left="426" w:hanging="426"/>
        <w:jc w:val="left"/>
      </w:pPr>
      <w:r>
        <w:t>d)</w:t>
      </w:r>
      <w:r>
        <w:tab/>
        <w:t xml:space="preserve">Schwefeldioxid und Schwefeltrioxid, angegeben als Schwefeldioxid, </w:t>
      </w:r>
      <w:r>
        <w:br/>
        <w:t>bei einer Feuerungswärmeleistung von</w:t>
      </w:r>
    </w:p>
    <w:p w:rsidR="0059181C" w:rsidRDefault="0059181C">
      <w:pPr>
        <w:pStyle w:val="GesAbsatz"/>
        <w:tabs>
          <w:tab w:val="left" w:pos="7371"/>
        </w:tabs>
        <w:ind w:left="426"/>
        <w:rPr>
          <w:color w:val="FFFFFF"/>
        </w:rPr>
      </w:pPr>
      <w:r>
        <w:t>50 MW bis 100 MW</w:t>
      </w:r>
      <w:r>
        <w:tab/>
        <w:t>850 mg/m</w:t>
      </w:r>
      <w:r>
        <w:rPr>
          <w:szCs w:val="14"/>
          <w:vertAlign w:val="superscript"/>
        </w:rPr>
        <w:t>3</w:t>
      </w:r>
      <w:r>
        <w:rPr>
          <w:color w:val="FFFFFF"/>
        </w:rPr>
        <w:t>;</w:t>
      </w:r>
    </w:p>
    <w:p w:rsidR="0059181C" w:rsidRDefault="0059181C">
      <w:pPr>
        <w:pStyle w:val="GesAbsatz"/>
        <w:tabs>
          <w:tab w:val="left" w:pos="7371"/>
        </w:tabs>
        <w:ind w:left="426"/>
        <w:jc w:val="left"/>
        <w:rPr>
          <w:szCs w:val="14"/>
        </w:rPr>
      </w:pPr>
      <w:r>
        <w:t>mehr als 100 MW bis 300 MW</w:t>
      </w:r>
      <w:r>
        <w:tab/>
        <w:t>400 – 200 mg/m</w:t>
      </w:r>
      <w:r>
        <w:rPr>
          <w:szCs w:val="14"/>
          <w:vertAlign w:val="superscript"/>
        </w:rPr>
        <w:t xml:space="preserve">3 </w:t>
      </w:r>
      <w:r>
        <w:rPr>
          <w:szCs w:val="14"/>
          <w:vertAlign w:val="superscript"/>
        </w:rPr>
        <w:br/>
      </w:r>
      <w:r>
        <w:rPr>
          <w:szCs w:val="14"/>
          <w:vertAlign w:val="superscript"/>
        </w:rPr>
        <w:tab/>
      </w:r>
      <w:r>
        <w:t>(lineare Abnahme)</w:t>
      </w:r>
    </w:p>
    <w:p w:rsidR="0059181C" w:rsidRDefault="0059181C">
      <w:pPr>
        <w:pStyle w:val="GesAbsatz"/>
        <w:tabs>
          <w:tab w:val="left" w:pos="7371"/>
        </w:tabs>
        <w:ind w:left="426"/>
      </w:pPr>
      <w:r>
        <w:t>mehr als 300 MW</w:t>
      </w:r>
      <w:r>
        <w:tab/>
        <w:t>200 mg/m</w:t>
      </w:r>
      <w:r>
        <w:rPr>
          <w:szCs w:val="14"/>
          <w:vertAlign w:val="superscript"/>
        </w:rPr>
        <w:t>3</w:t>
      </w:r>
      <w:r>
        <w:t>;</w:t>
      </w:r>
    </w:p>
    <w:p w:rsidR="0059181C" w:rsidRDefault="0059181C">
      <w:pPr>
        <w:pStyle w:val="GesAbsatz"/>
        <w:ind w:left="426"/>
      </w:pPr>
      <w:r>
        <w:t>bei Feuerungsanlagen mit einer Feuerungswärmeleistung von mehr als 100 MW darf zusätzlich zur B</w:t>
      </w:r>
      <w:r>
        <w:t>e</w:t>
      </w:r>
      <w:r>
        <w:t xml:space="preserve">grenzung der Massenkonzentration ein Schwefelabscheidegrad von mindestens 85 vom Hundert nicht unterschritten werden; </w:t>
      </w:r>
    </w:p>
    <w:p w:rsidR="0059181C" w:rsidRDefault="0059181C">
      <w:pPr>
        <w:pStyle w:val="GesAbsatz"/>
        <w:ind w:left="426" w:hanging="426"/>
      </w:pPr>
      <w:r>
        <w:t>2.</w:t>
      </w:r>
      <w:r>
        <w:tab/>
        <w:t>kein Halbstundenmittelwert das Doppelte der unter Nummer 1 genannten Emissionsgrenzwerte übe</w:t>
      </w:r>
      <w:r>
        <w:t>r</w:t>
      </w:r>
      <w:r>
        <w:t>schreitet</w:t>
      </w:r>
      <w:r w:rsidR="003535DF">
        <w:t>;</w:t>
      </w:r>
    </w:p>
    <w:p w:rsidR="0059181C" w:rsidRDefault="0059181C">
      <w:pPr>
        <w:pStyle w:val="GesAbsatz"/>
        <w:ind w:left="426" w:hanging="426"/>
      </w:pPr>
      <w:r>
        <w:t>3.</w:t>
      </w:r>
      <w:r>
        <w:tab/>
        <w:t xml:space="preserve">kein Mittelwert, der über die jeweilige Probenahmezeit gebildet ist, die folgenden Emissionsgrenzwerte überschreitet: </w:t>
      </w:r>
    </w:p>
    <w:p w:rsidR="0059181C" w:rsidRDefault="0059181C">
      <w:pPr>
        <w:pStyle w:val="GesAbsatz"/>
      </w:pPr>
      <w:r>
        <w:t>a)</w:t>
      </w:r>
      <w:r>
        <w:tab/>
        <w:t>Cadmium und seine Verbindungen, angegeben als Cadmium,</w:t>
      </w:r>
    </w:p>
    <w:p w:rsidR="0059181C" w:rsidRDefault="0059181C">
      <w:pPr>
        <w:pStyle w:val="GesAbsatz"/>
        <w:ind w:left="426"/>
      </w:pPr>
      <w:r>
        <w:t>Thallium und seine Verbindungen, angegeben als Thallium,</w:t>
      </w:r>
    </w:p>
    <w:p w:rsidR="0059181C" w:rsidRDefault="0059181C">
      <w:pPr>
        <w:pStyle w:val="GesAbsatz"/>
        <w:tabs>
          <w:tab w:val="clear" w:pos="425"/>
          <w:tab w:val="left" w:pos="6804"/>
        </w:tabs>
        <w:rPr>
          <w:color w:val="FFFFFF"/>
        </w:rPr>
      </w:pPr>
      <w:r>
        <w:tab/>
        <w:t>insgesamt 0,05 mg/m</w:t>
      </w:r>
      <w:r>
        <w:rPr>
          <w:szCs w:val="14"/>
          <w:vertAlign w:val="superscript"/>
        </w:rPr>
        <w:t>3</w:t>
      </w:r>
      <w:r>
        <w:rPr>
          <w:color w:val="FFFFFF"/>
        </w:rPr>
        <w:t>;</w:t>
      </w:r>
    </w:p>
    <w:p w:rsidR="0059181C" w:rsidRDefault="0059181C">
      <w:pPr>
        <w:pStyle w:val="GesAbsatz"/>
      </w:pPr>
      <w:r>
        <w:t>b)</w:t>
      </w:r>
      <w:r>
        <w:tab/>
        <w:t>Antimon und seine Verbindungen, angegeben als Antimon,</w:t>
      </w:r>
    </w:p>
    <w:p w:rsidR="0059181C" w:rsidRDefault="0059181C">
      <w:pPr>
        <w:pStyle w:val="GesAbsatz"/>
        <w:ind w:left="426"/>
      </w:pPr>
      <w:r>
        <w:t>Arsen und seine Verbindungen, angegeben als Arsen,</w:t>
      </w:r>
    </w:p>
    <w:p w:rsidR="0059181C" w:rsidRDefault="0059181C">
      <w:pPr>
        <w:pStyle w:val="GesAbsatz"/>
        <w:ind w:left="426"/>
      </w:pPr>
      <w:r>
        <w:t>Blei und seine Verbindungen, angegeben als Blei,</w:t>
      </w:r>
    </w:p>
    <w:p w:rsidR="0059181C" w:rsidRDefault="0059181C">
      <w:pPr>
        <w:pStyle w:val="GesAbsatz"/>
        <w:ind w:left="426"/>
      </w:pPr>
      <w:r>
        <w:t>Chrom und seine Verbindungen, angegeben als Chrom,</w:t>
      </w:r>
    </w:p>
    <w:p w:rsidR="0059181C" w:rsidRDefault="0059181C">
      <w:pPr>
        <w:pStyle w:val="GesAbsatz"/>
        <w:ind w:left="426"/>
      </w:pPr>
      <w:r>
        <w:t>Cobalt und seine Verbindungen, angegeben als Cobalt,</w:t>
      </w:r>
    </w:p>
    <w:p w:rsidR="0059181C" w:rsidRDefault="0059181C">
      <w:pPr>
        <w:pStyle w:val="GesAbsatz"/>
        <w:ind w:left="426"/>
      </w:pPr>
      <w:r>
        <w:t>Kupfer und seine Verbindungen, angegeben als Kupfer,</w:t>
      </w:r>
    </w:p>
    <w:p w:rsidR="0059181C" w:rsidRDefault="0059181C">
      <w:pPr>
        <w:pStyle w:val="GesAbsatz"/>
        <w:ind w:left="426"/>
      </w:pPr>
      <w:r>
        <w:t>Mangan und seine Verbindungen, angegeben als Mangan,</w:t>
      </w:r>
    </w:p>
    <w:p w:rsidR="0059181C" w:rsidRDefault="0059181C">
      <w:pPr>
        <w:pStyle w:val="GesAbsatz"/>
        <w:ind w:left="426"/>
      </w:pPr>
      <w:r>
        <w:t>Nickel und seine Verbindungen, angegeben als Nickel,</w:t>
      </w:r>
    </w:p>
    <w:p w:rsidR="0059181C" w:rsidRDefault="0059181C">
      <w:pPr>
        <w:pStyle w:val="GesAbsatz"/>
        <w:ind w:left="426"/>
      </w:pPr>
      <w:r>
        <w:t>Vanadium und seine Verbindungen, angegeben als Vanadium,</w:t>
      </w:r>
    </w:p>
    <w:p w:rsidR="0059181C" w:rsidRDefault="0059181C">
      <w:pPr>
        <w:pStyle w:val="GesAbsatz"/>
        <w:ind w:left="426"/>
      </w:pPr>
      <w:r>
        <w:t xml:space="preserve">Zinn und seine Verbindungen, angegeben als Zinn, </w:t>
      </w:r>
    </w:p>
    <w:p w:rsidR="0059181C" w:rsidRDefault="0059181C">
      <w:pPr>
        <w:pStyle w:val="GesAbsatz"/>
        <w:tabs>
          <w:tab w:val="clear" w:pos="425"/>
          <w:tab w:val="left" w:pos="6804"/>
        </w:tabs>
        <w:rPr>
          <w:color w:val="FFFFFF"/>
        </w:rPr>
      </w:pPr>
      <w:r>
        <w:tab/>
        <w:t>insgesamt 0,5 mg/m</w:t>
      </w:r>
      <w:r>
        <w:rPr>
          <w:szCs w:val="14"/>
          <w:vertAlign w:val="superscript"/>
        </w:rPr>
        <w:t>3</w:t>
      </w:r>
      <w:r>
        <w:rPr>
          <w:color w:val="FFFFFF"/>
        </w:rPr>
        <w:t>;</w:t>
      </w:r>
    </w:p>
    <w:p w:rsidR="0059181C" w:rsidRDefault="0059181C">
      <w:pPr>
        <w:pStyle w:val="GesAbsatz"/>
        <w:ind w:left="426" w:hanging="426"/>
        <w:jc w:val="left"/>
      </w:pPr>
      <w:r>
        <w:t>c)</w:t>
      </w:r>
      <w:r>
        <w:tab/>
        <w:t>Arsen und seine Verbindungen (außer Arsenwasserstoff),</w:t>
      </w:r>
      <w:r>
        <w:br/>
        <w:t>angegeben als Arsen,</w:t>
      </w:r>
    </w:p>
    <w:p w:rsidR="0059181C" w:rsidRDefault="0059181C">
      <w:pPr>
        <w:pStyle w:val="GesAbsatz"/>
        <w:ind w:left="426"/>
        <w:rPr>
          <w:lang w:val="it-IT"/>
        </w:rPr>
      </w:pPr>
      <w:r>
        <w:rPr>
          <w:lang w:val="it-IT"/>
        </w:rPr>
        <w:t>Benzo</w:t>
      </w:r>
      <w:proofErr w:type="gramStart"/>
      <w:r>
        <w:rPr>
          <w:lang w:val="it-IT"/>
        </w:rPr>
        <w:t>(</w:t>
      </w:r>
      <w:proofErr w:type="gramEnd"/>
      <w:r>
        <w:rPr>
          <w:lang w:val="it-IT"/>
        </w:rPr>
        <w:t>a)pyren,</w:t>
      </w:r>
    </w:p>
    <w:p w:rsidR="0059181C" w:rsidRDefault="0059181C">
      <w:pPr>
        <w:pStyle w:val="GesAbsatz"/>
        <w:ind w:left="426"/>
      </w:pPr>
      <w:r>
        <w:t>Cadmium und seine Verbindungen, angegeben als Cadmium,</w:t>
      </w:r>
    </w:p>
    <w:p w:rsidR="0059181C" w:rsidRDefault="0059181C">
      <w:pPr>
        <w:pStyle w:val="GesAbsatz"/>
        <w:ind w:left="426"/>
      </w:pPr>
      <w:r>
        <w:t>wasserlösliche Cobaltverbindungen, angegeben als Cobalt,</w:t>
      </w:r>
    </w:p>
    <w:p w:rsidR="0059181C" w:rsidRDefault="0059181C">
      <w:pPr>
        <w:pStyle w:val="GesAbsatz"/>
        <w:ind w:left="426"/>
        <w:jc w:val="left"/>
      </w:pPr>
      <w:r>
        <w:t>Chrom(VI)</w:t>
      </w:r>
      <w:proofErr w:type="spellStart"/>
      <w:r>
        <w:t>verbindungen</w:t>
      </w:r>
      <w:proofErr w:type="spellEnd"/>
      <w:r>
        <w:t xml:space="preserve"> (außer Bariumchromat und Bleichromat), angegeben als Chrom, </w:t>
      </w:r>
    </w:p>
    <w:p w:rsidR="0059181C" w:rsidRDefault="0059181C">
      <w:pPr>
        <w:pStyle w:val="GesAbsatz"/>
        <w:ind w:left="426"/>
        <w:jc w:val="left"/>
      </w:pPr>
      <w:r>
        <w:t>oder</w:t>
      </w:r>
    </w:p>
    <w:p w:rsidR="0059181C" w:rsidRDefault="0059181C">
      <w:pPr>
        <w:pStyle w:val="GesAbsatz"/>
        <w:ind w:left="426"/>
      </w:pPr>
      <w:r>
        <w:t>Arsen und seine Verbindungen, angegeben als Arsen,</w:t>
      </w:r>
    </w:p>
    <w:p w:rsidR="0059181C" w:rsidRDefault="0059181C">
      <w:pPr>
        <w:pStyle w:val="GesAbsatz"/>
        <w:ind w:left="426"/>
        <w:rPr>
          <w:lang w:val="it-IT"/>
        </w:rPr>
      </w:pPr>
      <w:r>
        <w:rPr>
          <w:lang w:val="it-IT"/>
        </w:rPr>
        <w:t>Benzo</w:t>
      </w:r>
      <w:proofErr w:type="gramStart"/>
      <w:r>
        <w:rPr>
          <w:lang w:val="it-IT"/>
        </w:rPr>
        <w:t>(</w:t>
      </w:r>
      <w:proofErr w:type="gramEnd"/>
      <w:r>
        <w:rPr>
          <w:lang w:val="it-IT"/>
        </w:rPr>
        <w:t>a)pyren,</w:t>
      </w:r>
    </w:p>
    <w:p w:rsidR="0059181C" w:rsidRDefault="0059181C">
      <w:pPr>
        <w:pStyle w:val="GesAbsatz"/>
        <w:ind w:left="426"/>
      </w:pPr>
      <w:r>
        <w:t>Cadmium und seine Verbindungen, angegeben als Cadmium,</w:t>
      </w:r>
    </w:p>
    <w:p w:rsidR="0059181C" w:rsidRDefault="0059181C">
      <w:pPr>
        <w:pStyle w:val="GesAbsatz"/>
        <w:ind w:left="426"/>
      </w:pPr>
      <w:r>
        <w:t>Cobalt und seine Verbindungen, angegeben als Cobalt,</w:t>
      </w:r>
    </w:p>
    <w:p w:rsidR="0059181C" w:rsidRDefault="0059181C">
      <w:pPr>
        <w:pStyle w:val="GesAbsatz"/>
        <w:ind w:left="426"/>
      </w:pPr>
      <w:r>
        <w:t>Chrom und seine Verbindungen, angegeben als Chrom,</w:t>
      </w:r>
    </w:p>
    <w:p w:rsidR="0059181C" w:rsidRDefault="0059181C">
      <w:pPr>
        <w:pStyle w:val="GesAbsatz"/>
        <w:tabs>
          <w:tab w:val="clear" w:pos="425"/>
          <w:tab w:val="left" w:pos="6804"/>
        </w:tabs>
        <w:rPr>
          <w:color w:val="FFFFFF"/>
          <w:szCs w:val="14"/>
        </w:rPr>
      </w:pPr>
      <w:r>
        <w:tab/>
        <w:t>insgesamt 0,05 mg/m</w:t>
      </w:r>
      <w:r>
        <w:rPr>
          <w:szCs w:val="14"/>
          <w:vertAlign w:val="superscript"/>
        </w:rPr>
        <w:t>3</w:t>
      </w:r>
      <w:r>
        <w:rPr>
          <w:color w:val="FFFFFF"/>
          <w:szCs w:val="14"/>
        </w:rPr>
        <w:t>;</w:t>
      </w:r>
    </w:p>
    <w:p w:rsidR="0059181C" w:rsidRDefault="0059181C">
      <w:pPr>
        <w:pStyle w:val="GesAbsatz"/>
        <w:ind w:left="426"/>
      </w:pPr>
      <w:r>
        <w:lastRenderedPageBreak/>
        <w:t>und</w:t>
      </w:r>
    </w:p>
    <w:p w:rsidR="0059181C" w:rsidRDefault="0059181C">
      <w:pPr>
        <w:pStyle w:val="GesAbsatz"/>
        <w:tabs>
          <w:tab w:val="left" w:pos="6804"/>
        </w:tabs>
      </w:pPr>
      <w:r>
        <w:t>d)</w:t>
      </w:r>
      <w:r>
        <w:tab/>
        <w:t>Dioxine und Furane gemäß Anhang I</w:t>
      </w:r>
      <w:r>
        <w:tab/>
        <w:t>0,1 ng/m</w:t>
      </w:r>
      <w:r>
        <w:rPr>
          <w:szCs w:val="14"/>
          <w:vertAlign w:val="superscript"/>
        </w:rPr>
        <w:t>3</w:t>
      </w:r>
      <w:r w:rsidR="009448ED" w:rsidRPr="009448ED">
        <w:t xml:space="preserve"> </w:t>
      </w:r>
      <w:r w:rsidR="005E2268">
        <w:t>und</w:t>
      </w:r>
    </w:p>
    <w:p w:rsidR="005E2268" w:rsidRDefault="005E2268" w:rsidP="005E2268">
      <w:pPr>
        <w:pStyle w:val="GesAbsatz"/>
        <w:tabs>
          <w:tab w:val="left" w:pos="6804"/>
        </w:tabs>
      </w:pPr>
      <w:r>
        <w:t>4.</w:t>
      </w:r>
      <w:r>
        <w:tab/>
        <w:t>kein Jahresmittelwert folgende Emissionsgrenzwerte überschreitet:</w:t>
      </w:r>
    </w:p>
    <w:p w:rsidR="005E2268" w:rsidRDefault="005E2268" w:rsidP="005E2268">
      <w:pPr>
        <w:pStyle w:val="GesAbsatz"/>
        <w:tabs>
          <w:tab w:val="left" w:pos="6804"/>
        </w:tabs>
        <w:ind w:left="426"/>
      </w:pPr>
      <w:r>
        <w:t>Stickstoffmonoxid und Stickstoffdioxid, angegeben als Stickstoffdioxid, bei einer Feuerungswärmelei</w:t>
      </w:r>
      <w:r>
        <w:t>s</w:t>
      </w:r>
      <w:r>
        <w:t>tung von</w:t>
      </w:r>
    </w:p>
    <w:p w:rsidR="005E2268" w:rsidRDefault="005E2268" w:rsidP="005E2268">
      <w:pPr>
        <w:pStyle w:val="GesAbsatz"/>
        <w:tabs>
          <w:tab w:val="left" w:pos="6804"/>
        </w:tabs>
        <w:ind w:left="851"/>
      </w:pPr>
      <w:r>
        <w:t>50 MW bis 100 MW</w:t>
      </w:r>
      <w:r>
        <w:tab/>
        <w:t>250 mg/m³</w:t>
      </w:r>
    </w:p>
    <w:p w:rsidR="005E2268" w:rsidRDefault="005E2268" w:rsidP="005E2268">
      <w:pPr>
        <w:pStyle w:val="GesAbsatz"/>
        <w:tabs>
          <w:tab w:val="left" w:pos="6804"/>
        </w:tabs>
        <w:ind w:left="851"/>
      </w:pPr>
      <w:r>
        <w:t>mehr als 100 MW</w:t>
      </w:r>
      <w:r>
        <w:tab/>
        <w:t>100 mg/m³.</w:t>
      </w:r>
    </w:p>
    <w:p w:rsidR="005E2268" w:rsidRDefault="005E2268" w:rsidP="005E2268">
      <w:pPr>
        <w:pStyle w:val="GesAbsatz"/>
        <w:tabs>
          <w:tab w:val="left" w:pos="6804"/>
        </w:tabs>
      </w:pPr>
      <w:r>
        <w:t>(1a) Abweichend von Absatz 1 Satz 2 Nr. 4 gelten die Anforderungen nicht für Anlagen, die ausschließlich zur Abdeckung der Spitzenlast bei der Energieversorgung während bis zu 300 Stunden im Jahr dienen. Der Betreiber einer Anlage nach Satz 1 hat bis zum 31. März eines Jahres für das vorhergehende Jahr einen Nachweis über die Einhaltung der Betriebszeit zu führen und der zuständigen Behörde auf Verlangen vorz</w:t>
      </w:r>
      <w:r>
        <w:t>u</w:t>
      </w:r>
      <w:r>
        <w:t>legen. Die Nachweise sind fünf Jahre nach Ende des Nachweiszeitraums aufzubewahren.</w:t>
      </w:r>
    </w:p>
    <w:p w:rsidR="005E2268" w:rsidRDefault="005E2268" w:rsidP="005E2268">
      <w:pPr>
        <w:pStyle w:val="GesAbsatz"/>
        <w:tabs>
          <w:tab w:val="left" w:pos="6804"/>
        </w:tabs>
      </w:pPr>
      <w:r>
        <w:t>(1b) Abweichend von Absatz 1 Satz 2 Nr. 4 gelten die Anforderungen nicht für Anlagen, in denen Destillat</w:t>
      </w:r>
      <w:r>
        <w:t>i</w:t>
      </w:r>
      <w:r>
        <w:t>ons- und Konversionsrückstände zum Eigenverbrauch in Raffinerien eingesetzt werden.</w:t>
      </w:r>
    </w:p>
    <w:p w:rsidR="0059181C" w:rsidRDefault="0059181C">
      <w:pPr>
        <w:pStyle w:val="GesAbsatz"/>
      </w:pPr>
      <w:r>
        <w:t>(2) Abweichend von den unter Absatz 1 Satz 2 Nr. 1 genannten Emissionsgrenzwerten für Gesamtstaub gilt für den Einsatz von leichtem Heizöl oder vergleichbaren flüssigen Brennstoffen die Rußzahl 1.</w:t>
      </w:r>
    </w:p>
    <w:p w:rsidR="0059181C" w:rsidRDefault="0059181C">
      <w:pPr>
        <w:pStyle w:val="GesAbsatz"/>
      </w:pPr>
      <w:r>
        <w:t>(3) Beim Einsatz von leichtem Heizöl oder vergleichbaren flüssigen Brennstoffen, die die Anforderungen der Dritten Verordnung zur Durchführung des Bundes-Immissionsschutzgesetzes in der jeweils gültigen Fa</w:t>
      </w:r>
      <w:r>
        <w:t>s</w:t>
      </w:r>
      <w:r>
        <w:t>sung bezüglich des Schwefelgehaltes erfüllen, findet der in Absatz 1 Satz 2 Nr. 1 Buchstabe d genannte Schwefel</w:t>
      </w:r>
      <w:r>
        <w:softHyphen/>
        <w:t>abscheidegrad keine Anwendung.</w:t>
      </w:r>
    </w:p>
    <w:p w:rsidR="0059181C" w:rsidRDefault="0059181C">
      <w:pPr>
        <w:pStyle w:val="GesAbsatz"/>
      </w:pPr>
      <w:r>
        <w:t>(4) Die Emissionsgrenzwerte nach Absatz 1 Satz 2 Nr. 3 gelten nicht beim Einsatz von leichtem Heizöl oder vergleichbaren flüssigen Brennstoffen, die die Anforderungen der Dritten Verordnung zur Durchführung des Bundes-Immissionsschutzgesetzes in der jeweils gültigen Fassung erfüllen.</w:t>
      </w:r>
    </w:p>
    <w:p w:rsidR="0059181C" w:rsidRDefault="0059181C">
      <w:pPr>
        <w:pStyle w:val="GesAbsatz"/>
      </w:pPr>
      <w:r>
        <w:t>(5) Abweichend von Absatz 1 Satz 2 Nr. 3 Buchstabe b gilt für Anlagen, in denen Destillations- und Konve</w:t>
      </w:r>
      <w:r>
        <w:t>r</w:t>
      </w:r>
      <w:r>
        <w:t>sionsrückstände zum Eigenverbrauch in Raffinerien eingesetzt werden, der Emissionsgrenzwert ohne die Berücksichtigung von Vanadium; für Vanadium und seine Verbindungen, angegeben als Vanadium, gilt ein Emissionsgrenzwert von 1,0 mg/m</w:t>
      </w:r>
      <w:r>
        <w:rPr>
          <w:szCs w:val="14"/>
          <w:vertAlign w:val="superscript"/>
        </w:rPr>
        <w:t>3</w:t>
      </w:r>
      <w:r>
        <w:t>.</w:t>
      </w:r>
    </w:p>
    <w:p w:rsidR="0059181C" w:rsidRDefault="0059181C">
      <w:pPr>
        <w:pStyle w:val="GesAbsatz"/>
      </w:pPr>
      <w:r>
        <w:t>(6) Die Emissionsgrenzwerte sind auch bei der Heizflächenreinigung einzuhalten.</w:t>
      </w:r>
    </w:p>
    <w:p w:rsidR="0059181C" w:rsidRDefault="0059181C">
      <w:pPr>
        <w:pStyle w:val="GesAbsatz"/>
      </w:pPr>
      <w:r>
        <w:t>(7) Abweichend von den unter Absatz 1 Satz 2 Nr. 1 und 2 genannten Emissionsgrenzwerten für Stickstof</w:t>
      </w:r>
      <w:r>
        <w:t>f</w:t>
      </w:r>
      <w:r>
        <w:t>monoxid und Stickstoffdioxid, angegeben als Stickstoffdioxid, gilt bei Altanlagen für den Einsatz von leichtem Heizöl mit einer Feuerungswärmeleistung von 50 MW bis 100 MW, die ausschließlich zur Abdeckung der Spitzenlast bei der Energieversorgung während bis zu 300 Stunden im Jahr dienen,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 Der Betreiber einer solchen Anlage hat der zuständigen Behörde jeweils bis zum 31. März eines Jahres für das vorherg</w:t>
      </w:r>
      <w:r>
        <w:t>e</w:t>
      </w:r>
      <w:r>
        <w:t>hende Jahr einen Nachweis über die Einhaltung der Betriebszeit vorzulegen.</w:t>
      </w:r>
    </w:p>
    <w:p w:rsidR="0059181C" w:rsidRDefault="0059181C">
      <w:pPr>
        <w:pStyle w:val="GesAbsatz"/>
      </w:pPr>
      <w:r>
        <w:t>(8) Abweichend von den unter Absatz 1 Satz 2 Nr. 1 und 2 genannten Emissionsgrenzwerten für Stickstof</w:t>
      </w:r>
      <w:r>
        <w:t>f</w:t>
      </w:r>
      <w:r>
        <w:t>monoxid und Stickstoffdioxid, angegeben als Stickstoffdioxid, gilt bei Altanlagen mit einer Feuerungswärm</w:t>
      </w:r>
      <w:r>
        <w:t>e</w:t>
      </w:r>
      <w:r>
        <w:t>leistung von mehr als 50 MW bis 300 MW für flüssige Brennstoffe außer leichtem Heizöl ein Emission</w:t>
      </w:r>
      <w:r>
        <w:t>s</w:t>
      </w:r>
      <w:r>
        <w:t>grenzwert von 400 mg/m</w:t>
      </w:r>
      <w:r>
        <w:rPr>
          <w:szCs w:val="14"/>
          <w:vertAlign w:val="superscript"/>
        </w:rPr>
        <w:t>3</w:t>
      </w:r>
      <w:r>
        <w:rPr>
          <w:szCs w:val="14"/>
        </w:rPr>
        <w:t xml:space="preserve"> </w:t>
      </w:r>
      <w:r>
        <w:t>für den Tagesmittelwert und von 800 mg/m</w:t>
      </w:r>
      <w:r>
        <w:rPr>
          <w:szCs w:val="14"/>
          <w:vertAlign w:val="superscript"/>
        </w:rPr>
        <w:t>3</w:t>
      </w:r>
      <w:r>
        <w:rPr>
          <w:szCs w:val="14"/>
        </w:rPr>
        <w:t xml:space="preserve"> </w:t>
      </w:r>
      <w:r>
        <w:t>für den Halbstundenmittelwert.</w:t>
      </w:r>
    </w:p>
    <w:p w:rsidR="0059181C" w:rsidRDefault="0059181C">
      <w:pPr>
        <w:pStyle w:val="GesAbsatz"/>
      </w:pPr>
      <w:r>
        <w:t>(9) Abweichend von den unter Absatz 1 Satz 2 Nr. 1 und 2 genannten Emissionsgrenzwerten für Schwefe</w:t>
      </w:r>
      <w:r>
        <w:t>l</w:t>
      </w:r>
      <w:r>
        <w:t>dioxid und Schwefeltrioxid, angegeben als Schwefeldioxid, gilt bei Altanlagen für den Einsatz anderer flüss</w:t>
      </w:r>
      <w:r>
        <w:t>i</w:t>
      </w:r>
      <w:r>
        <w:t>ger Brennstoffe als leichtes Heizöl oder vergleichbare flüssige Brennstoffe mit einer Feuerungswärmelei</w:t>
      </w:r>
      <w:r>
        <w:t>s</w:t>
      </w:r>
      <w:r>
        <w:t>tung von mehr als 100 MW bis 300 MW ein Emissionsgrenzwert von 850 mg/m</w:t>
      </w:r>
      <w:r>
        <w:rPr>
          <w:szCs w:val="14"/>
          <w:vertAlign w:val="superscript"/>
        </w:rPr>
        <w:t>3</w:t>
      </w:r>
      <w:r>
        <w:rPr>
          <w:szCs w:val="14"/>
        </w:rPr>
        <w:t xml:space="preserve"> </w:t>
      </w:r>
      <w:r>
        <w:t>für den Tagesmittelwert und von 1 700 mg/m</w:t>
      </w:r>
      <w:r>
        <w:rPr>
          <w:szCs w:val="14"/>
          <w:vertAlign w:val="superscript"/>
        </w:rPr>
        <w:t>3</w:t>
      </w:r>
      <w:r>
        <w:rPr>
          <w:szCs w:val="14"/>
        </w:rPr>
        <w:t xml:space="preserve"> </w:t>
      </w:r>
      <w:r>
        <w:t>für den Halbstundenmittelwert sowie ein Schwefelabscheidegrad von mindestens 60 vom Hundert.</w:t>
      </w:r>
    </w:p>
    <w:p w:rsidR="0059181C" w:rsidRDefault="0059181C">
      <w:pPr>
        <w:pStyle w:val="GesAbsatz"/>
      </w:pPr>
      <w:r>
        <w:t>(10) Abweichend von den unter Absatz 1 Satz 2 Nr. 1 und 2 genannten Emissionsgrenzwerten für Schwefe</w:t>
      </w:r>
      <w:r>
        <w:t>l</w:t>
      </w:r>
      <w:r>
        <w:t>dioxid und Schwefeltrioxid, angegeben als Schwefeldioxid, gilt bei Altanlagen mit einer Feuerungswärmelei</w:t>
      </w:r>
      <w:r>
        <w:t>s</w:t>
      </w:r>
      <w:r>
        <w:t>tung von mehr als 300 MW ein Emissionsgrenzwert von 300 mg/m</w:t>
      </w:r>
      <w:r>
        <w:rPr>
          <w:szCs w:val="14"/>
          <w:vertAlign w:val="superscript"/>
        </w:rPr>
        <w:t>3</w:t>
      </w:r>
      <w:r>
        <w:rPr>
          <w:szCs w:val="14"/>
        </w:rPr>
        <w:t xml:space="preserve"> </w:t>
      </w:r>
      <w:r>
        <w:t>für den Tagesmittelwert und von 600 mg/m</w:t>
      </w:r>
      <w:r>
        <w:rPr>
          <w:szCs w:val="14"/>
          <w:vertAlign w:val="superscript"/>
        </w:rPr>
        <w:t>3</w:t>
      </w:r>
      <w:r>
        <w:rPr>
          <w:szCs w:val="14"/>
        </w:rPr>
        <w:t xml:space="preserve"> </w:t>
      </w:r>
      <w:r>
        <w:t>für den Halbstundenmittelwert.</w:t>
      </w:r>
    </w:p>
    <w:p w:rsidR="0059181C" w:rsidRDefault="0059181C">
      <w:pPr>
        <w:pStyle w:val="berschrift3"/>
      </w:pPr>
      <w:bookmarkStart w:id="8" w:name="_Toc333483316"/>
      <w:r>
        <w:t>§ 5</w:t>
      </w:r>
      <w:r>
        <w:br/>
        <w:t>Emissionsgrenzwerte für Feuerungsanlagen für gasförmige Brennstoffe</w:t>
      </w:r>
      <w:bookmarkEnd w:id="8"/>
    </w:p>
    <w:p w:rsidR="0059181C" w:rsidRDefault="0059181C">
      <w:pPr>
        <w:pStyle w:val="GesAbsatz"/>
      </w:pPr>
      <w:r>
        <w:t>(1) Die Feuerungsanlagen sind so zu errichten und zu betreiben, dass die Anforderungen dieses Absatzes und der Absätze 2 bis 5 eingehalten werden. Der Betreiber hat dafür zu sorgen, dass</w:t>
      </w:r>
    </w:p>
    <w:p w:rsidR="0059181C" w:rsidRDefault="0059181C">
      <w:pPr>
        <w:pStyle w:val="GesAbsatz"/>
      </w:pPr>
      <w:r>
        <w:lastRenderedPageBreak/>
        <w:t>1.</w:t>
      </w:r>
      <w:r>
        <w:tab/>
        <w:t>kein Tagesmittelwert die folgenden Emissionsgrenzwerte überschreitet:</w:t>
      </w:r>
    </w:p>
    <w:p w:rsidR="0059181C" w:rsidRDefault="0059181C">
      <w:pPr>
        <w:pStyle w:val="GesAbsatz"/>
        <w:tabs>
          <w:tab w:val="left" w:pos="7371"/>
        </w:tabs>
        <w:rPr>
          <w:szCs w:val="14"/>
        </w:rPr>
      </w:pPr>
      <w:r>
        <w:t>a)</w:t>
      </w:r>
      <w:r>
        <w:tab/>
        <w:t>Gesamtstaub bei Einsatz von Hochofengas oder Koksofengas</w:t>
      </w:r>
      <w:r>
        <w:tab/>
        <w:t>10 mg/m</w:t>
      </w:r>
      <w:r>
        <w:rPr>
          <w:szCs w:val="14"/>
          <w:vertAlign w:val="superscript"/>
        </w:rPr>
        <w:t>3</w:t>
      </w:r>
    </w:p>
    <w:p w:rsidR="0059181C" w:rsidRDefault="0059181C">
      <w:pPr>
        <w:pStyle w:val="GesAbsatz"/>
        <w:tabs>
          <w:tab w:val="left" w:pos="7371"/>
        </w:tabs>
        <w:ind w:left="426"/>
        <w:rPr>
          <w:szCs w:val="14"/>
        </w:rPr>
      </w:pPr>
      <w:r>
        <w:t>sonstigen gasförmigen Brennstoffen</w:t>
      </w:r>
      <w:r>
        <w:tab/>
        <w:t>5 mg/m</w:t>
      </w:r>
      <w:r>
        <w:rPr>
          <w:szCs w:val="14"/>
          <w:vertAlign w:val="superscript"/>
        </w:rPr>
        <w:t>3</w:t>
      </w:r>
    </w:p>
    <w:p w:rsidR="0059181C" w:rsidRDefault="0059181C">
      <w:pPr>
        <w:pStyle w:val="GesAbsatz"/>
        <w:tabs>
          <w:tab w:val="left" w:pos="7371"/>
        </w:tabs>
        <w:rPr>
          <w:szCs w:val="14"/>
        </w:rPr>
      </w:pPr>
      <w:r>
        <w:t>b)</w:t>
      </w:r>
      <w:r>
        <w:tab/>
        <w:t>Kohlenmonoxid bei Einsatz von Gasen der öffentlichen Gasversorgung</w:t>
      </w:r>
      <w:r>
        <w:tab/>
        <w:t>50 mg/m</w:t>
      </w:r>
      <w:r>
        <w:rPr>
          <w:szCs w:val="14"/>
          <w:vertAlign w:val="superscript"/>
        </w:rPr>
        <w:t>3</w:t>
      </w:r>
    </w:p>
    <w:p w:rsidR="0059181C" w:rsidRDefault="0059181C">
      <w:pPr>
        <w:pStyle w:val="GesAbsatz"/>
        <w:tabs>
          <w:tab w:val="left" w:pos="7371"/>
        </w:tabs>
        <w:ind w:left="426"/>
        <w:rPr>
          <w:szCs w:val="14"/>
        </w:rPr>
      </w:pPr>
      <w:r>
        <w:t>Hochofengas oder Koksofengas</w:t>
      </w:r>
      <w:r>
        <w:tab/>
        <w:t>100 mg/m</w:t>
      </w:r>
      <w:r>
        <w:rPr>
          <w:szCs w:val="14"/>
          <w:vertAlign w:val="superscript"/>
        </w:rPr>
        <w:t>3</w:t>
      </w:r>
    </w:p>
    <w:p w:rsidR="0059181C" w:rsidRDefault="0059181C">
      <w:pPr>
        <w:pStyle w:val="GesAbsatz"/>
        <w:tabs>
          <w:tab w:val="left" w:pos="7371"/>
        </w:tabs>
        <w:ind w:left="426"/>
        <w:rPr>
          <w:szCs w:val="14"/>
        </w:rPr>
      </w:pPr>
      <w:r>
        <w:t>sonstigen gasförmigen Brennstoffen</w:t>
      </w:r>
      <w:r>
        <w:tab/>
        <w:t>80 mg/m</w:t>
      </w:r>
      <w:r>
        <w:rPr>
          <w:szCs w:val="14"/>
          <w:vertAlign w:val="superscript"/>
        </w:rPr>
        <w:t>3</w:t>
      </w:r>
    </w:p>
    <w:p w:rsidR="0059181C" w:rsidRDefault="0059181C">
      <w:pPr>
        <w:pStyle w:val="GesAbsatz"/>
        <w:ind w:left="426" w:hanging="426"/>
        <w:jc w:val="left"/>
      </w:pPr>
      <w:r>
        <w:t>c)</w:t>
      </w:r>
      <w:r>
        <w:tab/>
        <w:t xml:space="preserve">Stickstoffdioxid und Stickstoffmonoxid, angegeben als Stickstoffdioxid, </w:t>
      </w:r>
      <w:r>
        <w:br/>
        <w:t>bei einer Feuerungswärmeleistung von</w:t>
      </w:r>
    </w:p>
    <w:p w:rsidR="0059181C" w:rsidRDefault="0059181C">
      <w:pPr>
        <w:pStyle w:val="GesAbsatz"/>
        <w:tabs>
          <w:tab w:val="clear" w:pos="425"/>
        </w:tabs>
        <w:ind w:left="851" w:hanging="425"/>
      </w:pPr>
      <w:proofErr w:type="spellStart"/>
      <w:r>
        <w:t>aa</w:t>
      </w:r>
      <w:proofErr w:type="spellEnd"/>
      <w:r>
        <w:t>)</w:t>
      </w:r>
      <w:r>
        <w:tab/>
        <w:t>50 MW bis 300 MW und bei Einsatz von</w:t>
      </w:r>
    </w:p>
    <w:p w:rsidR="0059181C" w:rsidRDefault="0059181C">
      <w:pPr>
        <w:pStyle w:val="GesAbsatz"/>
        <w:ind w:left="1276" w:hanging="425"/>
        <w:jc w:val="left"/>
      </w:pPr>
      <w:r>
        <w:t>–</w:t>
      </w:r>
      <w:r>
        <w:tab/>
        <w:t xml:space="preserve">Gasen der öffentlichen Gasversorgung bei Kesseln mit einem </w:t>
      </w:r>
      <w:r>
        <w:br/>
        <w:t xml:space="preserve">Einstellwert der Sicherheitseinrichtung </w:t>
      </w:r>
      <w:r>
        <w:br/>
        <w:t xml:space="preserve">(z. B. Sicherheitstemperaturbegrenzer, Sicherheitsdruckventil) </w:t>
      </w:r>
      <w:r>
        <w:br/>
        <w:t>gegen Überschreitung</w:t>
      </w:r>
    </w:p>
    <w:p w:rsidR="0059181C" w:rsidRDefault="0059181C">
      <w:pPr>
        <w:pStyle w:val="GesAbsatz"/>
        <w:tabs>
          <w:tab w:val="left" w:pos="7371"/>
        </w:tabs>
        <w:ind w:left="1701" w:hanging="425"/>
        <w:jc w:val="left"/>
        <w:rPr>
          <w:szCs w:val="14"/>
        </w:rPr>
      </w:pPr>
      <w:r>
        <w:t>–</w:t>
      </w:r>
      <w:r>
        <w:tab/>
        <w:t xml:space="preserve">einer Temperatur von weniger als 383,15 K oder eines </w:t>
      </w:r>
      <w:r>
        <w:br/>
        <w:t>Überdrucks von weniger als 0,05 MPa</w:t>
      </w:r>
      <w:r>
        <w:tab/>
        <w:t>100 mg/m</w:t>
      </w:r>
      <w:r>
        <w:rPr>
          <w:szCs w:val="14"/>
          <w:vertAlign w:val="superscript"/>
        </w:rPr>
        <w:t>3</w:t>
      </w:r>
    </w:p>
    <w:p w:rsidR="0059181C" w:rsidRDefault="0059181C">
      <w:pPr>
        <w:pStyle w:val="GesAbsatz"/>
        <w:tabs>
          <w:tab w:val="left" w:pos="7371"/>
        </w:tabs>
        <w:ind w:left="1701" w:hanging="425"/>
        <w:jc w:val="left"/>
        <w:rPr>
          <w:szCs w:val="14"/>
        </w:rPr>
      </w:pPr>
      <w:r>
        <w:t>–</w:t>
      </w:r>
      <w:r w:rsidR="00DF5306">
        <w:tab/>
      </w:r>
      <w:r>
        <w:t xml:space="preserve">einer Temperatur von 383,15 K bis 483,15 K oder eines </w:t>
      </w:r>
      <w:r>
        <w:br/>
        <w:t>Überdrucks von 0,05 MPa bis 1,8 MPa</w:t>
      </w:r>
      <w:r>
        <w:tab/>
        <w:t>110 mg/m</w:t>
      </w:r>
      <w:r>
        <w:rPr>
          <w:szCs w:val="14"/>
          <w:vertAlign w:val="superscript"/>
        </w:rPr>
        <w:t>3</w:t>
      </w:r>
    </w:p>
    <w:p w:rsidR="0059181C" w:rsidRDefault="0059181C">
      <w:pPr>
        <w:pStyle w:val="GesAbsatz"/>
        <w:tabs>
          <w:tab w:val="left" w:pos="7371"/>
        </w:tabs>
        <w:ind w:left="1701" w:hanging="425"/>
        <w:jc w:val="left"/>
        <w:rPr>
          <w:szCs w:val="14"/>
        </w:rPr>
      </w:pPr>
      <w:r>
        <w:t>–</w:t>
      </w:r>
      <w:r w:rsidR="00DF5306">
        <w:tab/>
      </w:r>
      <w:r>
        <w:t xml:space="preserve">einer Temperatur von mehr als 483,15 K oder eines </w:t>
      </w:r>
      <w:r>
        <w:br/>
        <w:t>Überdrucks von mehr als 1,8 MPa</w:t>
      </w:r>
      <w:r>
        <w:tab/>
        <w:t>150 mg/m</w:t>
      </w:r>
      <w:r>
        <w:rPr>
          <w:szCs w:val="14"/>
          <w:vertAlign w:val="superscript"/>
        </w:rPr>
        <w:t>3</w:t>
      </w:r>
    </w:p>
    <w:p w:rsidR="0059181C" w:rsidRDefault="0059181C">
      <w:pPr>
        <w:pStyle w:val="GesAbsatz"/>
        <w:tabs>
          <w:tab w:val="left" w:pos="7371"/>
        </w:tabs>
        <w:ind w:left="1276" w:hanging="425"/>
        <w:jc w:val="left"/>
        <w:rPr>
          <w:szCs w:val="14"/>
        </w:rPr>
      </w:pPr>
      <w:r>
        <w:t>–</w:t>
      </w:r>
      <w:r>
        <w:tab/>
        <w:t>sonstigen Gasen</w:t>
      </w:r>
      <w:r>
        <w:tab/>
        <w:t>200 mg/m</w:t>
      </w:r>
      <w:r>
        <w:rPr>
          <w:szCs w:val="14"/>
          <w:vertAlign w:val="superscript"/>
        </w:rPr>
        <w:t>3</w:t>
      </w:r>
    </w:p>
    <w:p w:rsidR="0059181C" w:rsidRDefault="0059181C">
      <w:pPr>
        <w:pStyle w:val="GesAbsatz"/>
        <w:tabs>
          <w:tab w:val="clear" w:pos="425"/>
          <w:tab w:val="left" w:pos="7371"/>
        </w:tabs>
        <w:ind w:left="851" w:hanging="425"/>
        <w:rPr>
          <w:szCs w:val="14"/>
        </w:rPr>
      </w:pPr>
      <w:proofErr w:type="spellStart"/>
      <w:r>
        <w:t>bb</w:t>
      </w:r>
      <w:proofErr w:type="spellEnd"/>
      <w:r>
        <w:t>)</w:t>
      </w:r>
      <w:r>
        <w:tab/>
        <w:t>mehr als 300 MW</w:t>
      </w:r>
      <w:r>
        <w:tab/>
        <w:t>100 mg/m</w:t>
      </w:r>
      <w:r>
        <w:rPr>
          <w:szCs w:val="14"/>
          <w:vertAlign w:val="superscript"/>
        </w:rPr>
        <w:t>3</w:t>
      </w:r>
    </w:p>
    <w:p w:rsidR="0059181C" w:rsidRDefault="0059181C">
      <w:pPr>
        <w:pStyle w:val="GesAbsatz"/>
        <w:tabs>
          <w:tab w:val="left" w:pos="7371"/>
        </w:tabs>
        <w:ind w:left="426" w:hanging="426"/>
        <w:jc w:val="left"/>
        <w:rPr>
          <w:color w:val="FFFFFF"/>
        </w:rPr>
      </w:pPr>
      <w:r>
        <w:t>d)</w:t>
      </w:r>
      <w:r>
        <w:tab/>
        <w:t xml:space="preserve">Schwefeldioxid und Schwefeltrioxid, angegeben als Schwefeldioxid, </w:t>
      </w:r>
      <w:r>
        <w:br/>
        <w:t>bei Einsatz von Flüssiggas</w:t>
      </w:r>
      <w:r>
        <w:tab/>
        <w:t>5 mg/m</w:t>
      </w:r>
      <w:r>
        <w:rPr>
          <w:szCs w:val="14"/>
          <w:vertAlign w:val="superscript"/>
        </w:rPr>
        <w:t>3</w:t>
      </w:r>
      <w:r>
        <w:rPr>
          <w:color w:val="FFFFFF"/>
        </w:rPr>
        <w:t>;</w:t>
      </w:r>
    </w:p>
    <w:p w:rsidR="0059181C" w:rsidRDefault="0059181C">
      <w:pPr>
        <w:pStyle w:val="GesAbsatz"/>
        <w:tabs>
          <w:tab w:val="left" w:pos="7371"/>
        </w:tabs>
        <w:ind w:left="426"/>
        <w:rPr>
          <w:color w:val="FFFFFF"/>
        </w:rPr>
      </w:pPr>
      <w:r>
        <w:t>Koksofengas mit niedrigem Heizwert</w:t>
      </w:r>
      <w:r>
        <w:tab/>
        <w:t>350 mg/m</w:t>
      </w:r>
      <w:r>
        <w:rPr>
          <w:szCs w:val="14"/>
          <w:vertAlign w:val="superscript"/>
        </w:rPr>
        <w:t>3</w:t>
      </w:r>
      <w:r>
        <w:rPr>
          <w:color w:val="FFFFFF"/>
        </w:rPr>
        <w:t>;</w:t>
      </w:r>
    </w:p>
    <w:p w:rsidR="0059181C" w:rsidRDefault="0059181C">
      <w:pPr>
        <w:pStyle w:val="GesAbsatz"/>
        <w:tabs>
          <w:tab w:val="left" w:pos="7371"/>
        </w:tabs>
        <w:ind w:left="426"/>
        <w:rPr>
          <w:color w:val="FFFFFF"/>
        </w:rPr>
      </w:pPr>
      <w:r>
        <w:t>Hochofengas mit niedrigem Heizwert</w:t>
      </w:r>
      <w:r>
        <w:tab/>
        <w:t>200 mg/m</w:t>
      </w:r>
      <w:r>
        <w:rPr>
          <w:szCs w:val="14"/>
          <w:vertAlign w:val="superscript"/>
        </w:rPr>
        <w:t>3</w:t>
      </w:r>
      <w:r>
        <w:rPr>
          <w:color w:val="FFFFFF"/>
        </w:rPr>
        <w:t>;</w:t>
      </w:r>
    </w:p>
    <w:p w:rsidR="0059181C" w:rsidRDefault="0059181C">
      <w:pPr>
        <w:pStyle w:val="GesAbsatz"/>
        <w:tabs>
          <w:tab w:val="left" w:pos="7371"/>
        </w:tabs>
        <w:ind w:left="426"/>
      </w:pPr>
      <w:r>
        <w:t>sonstigen gasförmigen Brennstoffen</w:t>
      </w:r>
      <w:r>
        <w:tab/>
        <w:t>35 mg/m</w:t>
      </w:r>
      <w:r>
        <w:rPr>
          <w:szCs w:val="14"/>
          <w:vertAlign w:val="superscript"/>
        </w:rPr>
        <w:t>3</w:t>
      </w:r>
      <w:r>
        <w:t>;</w:t>
      </w:r>
    </w:p>
    <w:p w:rsidR="0059181C" w:rsidRDefault="0059181C">
      <w:pPr>
        <w:pStyle w:val="GesAbsatz"/>
        <w:ind w:left="426" w:hanging="426"/>
      </w:pPr>
      <w:r>
        <w:t>2.</w:t>
      </w:r>
      <w:r>
        <w:tab/>
        <w:t>kein Halbstundenmittelwert das Doppelte der unter Nummer 1 genannten Emissionsgrenzwerte übe</w:t>
      </w:r>
      <w:r>
        <w:t>r</w:t>
      </w:r>
      <w:r>
        <w:t>schreitet.</w:t>
      </w:r>
    </w:p>
    <w:p w:rsidR="0059181C" w:rsidRDefault="0059181C">
      <w:pPr>
        <w:pStyle w:val="GesAbsatz"/>
      </w:pPr>
      <w:r>
        <w:t>(2) Abweichend von Absatz 1 Satz 2 Nr. 1 und 2 gilt bei Altanlagen mit einer Feuerungswärmeleistung von mehr als 300 MW für den Einsatz von Hochofengas oder Koksofengas für Stickstoffdioxid und Stickstoffm</w:t>
      </w:r>
      <w:r>
        <w:t>o</w:t>
      </w:r>
      <w:r>
        <w:t>noxid, angegeben als Stickstoffdioxid, ein Emissionsgrenzwert von 135 mg/m</w:t>
      </w:r>
      <w:r>
        <w:rPr>
          <w:szCs w:val="14"/>
          <w:vertAlign w:val="superscript"/>
        </w:rPr>
        <w:t>3</w:t>
      </w:r>
      <w:r>
        <w:rPr>
          <w:szCs w:val="14"/>
        </w:rPr>
        <w:t xml:space="preserve"> </w:t>
      </w:r>
      <w:r>
        <w:t>für den Tagesmittelwert und von 270 mg/m</w:t>
      </w:r>
      <w:r>
        <w:rPr>
          <w:szCs w:val="14"/>
          <w:vertAlign w:val="superscript"/>
        </w:rPr>
        <w:t>3</w:t>
      </w:r>
      <w:r>
        <w:rPr>
          <w:szCs w:val="14"/>
        </w:rPr>
        <w:t xml:space="preserve"> </w:t>
      </w:r>
      <w:r>
        <w:t>für den Halbstundenmittelwert.</w:t>
      </w:r>
    </w:p>
    <w:p w:rsidR="0059181C" w:rsidRDefault="0059181C">
      <w:pPr>
        <w:pStyle w:val="GesAbsatz"/>
      </w:pPr>
      <w:r>
        <w:t>(3) Abweichend von den unter Absatz 1 Satz 2 Nr. 1 und 2 genannten Emissionsgrenzwerten für Stickstof</w:t>
      </w:r>
      <w:r>
        <w:t>f</w:t>
      </w:r>
      <w:r>
        <w:t>monoxid und Stickstoffdioxid, angegeben als Stickstoffdioxid, gilt bei Altanlagen für den Einsatz von Erdgas mit einer Feuerungswärmeleistung von 50 MW bis 100 MW ein Emissionsgrenzwert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Halbstundenmittelwert.</w:t>
      </w:r>
    </w:p>
    <w:p w:rsidR="0059181C" w:rsidRDefault="0059181C">
      <w:pPr>
        <w:pStyle w:val="GesAbsatz"/>
      </w:pPr>
      <w:r>
        <w:t>(4) Abweichend von Absatz 1 Satz 2 Nr. 1 und 2 gilt bei Altanlagen zum Reformieren von Erdgas oder zur Herstellung von Alkenen durch Spalten von Kohlenwasserstoffen für Stickstoffmonoxid und Stickstoffdioxid, angegeben als Stickstoffdioxid, mit einer Feuerungswärmeleistung von mehr als 100 MW bis 300 MW ein Emissionsgrenzwert von 200 mg/m</w:t>
      </w:r>
      <w:r>
        <w:rPr>
          <w:szCs w:val="14"/>
          <w:vertAlign w:val="superscript"/>
        </w:rPr>
        <w:t>3</w:t>
      </w:r>
      <w:r>
        <w:rPr>
          <w:szCs w:val="14"/>
        </w:rPr>
        <w:t xml:space="preserve"> </w:t>
      </w:r>
      <w:r>
        <w:t>für den Tagesmittelwert und von 400 mg/m</w:t>
      </w:r>
      <w:r>
        <w:rPr>
          <w:szCs w:val="14"/>
          <w:vertAlign w:val="superscript"/>
        </w:rPr>
        <w:t>3</w:t>
      </w:r>
      <w:r>
        <w:rPr>
          <w:szCs w:val="14"/>
        </w:rPr>
        <w:t xml:space="preserve"> </w:t>
      </w:r>
      <w:r>
        <w:t>für den Halbstundenmitte</w:t>
      </w:r>
      <w:r>
        <w:t>l</w:t>
      </w:r>
      <w:r>
        <w:t>wert und mit einer Feuerungswärmeleistung von mehr als 300 MW ein Emissionsgrenzwert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Halbstundenmittelwert.</w:t>
      </w:r>
    </w:p>
    <w:p w:rsidR="0059181C" w:rsidRDefault="0059181C">
      <w:pPr>
        <w:pStyle w:val="GesAbsatz"/>
      </w:pPr>
      <w:r>
        <w:t>(5) Abweichend von Absatz 1 Satz 2 Nr. 1 und 2 gilt bei Altanlagen in Raffinerien, in denen sonstige Gase eingesetzt werden, für Stickstoffmonoxid und Stickstoffdioxid, angegeben als Stickstoffdioxid, mit einer Fe</w:t>
      </w:r>
      <w:r>
        <w:t>u</w:t>
      </w:r>
      <w:r>
        <w:t>erungswärmeleistung von 50 MW bis 300 MW ein Emissionsgrenzwert von 300 mg/m</w:t>
      </w:r>
      <w:r>
        <w:rPr>
          <w:szCs w:val="14"/>
          <w:vertAlign w:val="superscript"/>
        </w:rPr>
        <w:t>3</w:t>
      </w:r>
      <w:r>
        <w:rPr>
          <w:szCs w:val="14"/>
        </w:rPr>
        <w:t xml:space="preserve"> </w:t>
      </w:r>
      <w:r>
        <w:t>für den Tagesmitte</w:t>
      </w:r>
      <w:r>
        <w:t>l</w:t>
      </w:r>
      <w:r>
        <w:t>wert und von 600 mg/m</w:t>
      </w:r>
      <w:r>
        <w:rPr>
          <w:szCs w:val="14"/>
          <w:vertAlign w:val="superscript"/>
        </w:rPr>
        <w:t>3</w:t>
      </w:r>
      <w:r>
        <w:rPr>
          <w:szCs w:val="14"/>
        </w:rPr>
        <w:t xml:space="preserve"> </w:t>
      </w:r>
      <w:r>
        <w:t>für den Halbstundenmittelwert.</w:t>
      </w:r>
    </w:p>
    <w:p w:rsidR="0059181C" w:rsidRDefault="0059181C">
      <w:pPr>
        <w:pStyle w:val="berschrift3"/>
      </w:pPr>
      <w:bookmarkStart w:id="9" w:name="_Toc333483317"/>
      <w:r>
        <w:t>§ 6</w:t>
      </w:r>
      <w:r>
        <w:br/>
        <w:t>Emissionsgrenzwerte für Gasturbinenanlagen</w:t>
      </w:r>
      <w:bookmarkEnd w:id="9"/>
    </w:p>
    <w:p w:rsidR="0059181C" w:rsidRDefault="0059181C">
      <w:pPr>
        <w:pStyle w:val="GesAbsatz"/>
      </w:pPr>
      <w:r>
        <w:t>(1) Gasturbinenanlagen sind so zu errichten und zu betreiben, dass die Anforderungen dieses Absatzes und der Absätze 2 bis 11 eingehalten werden. Der Betreiber hat dafür zu sorgen, dass</w:t>
      </w:r>
    </w:p>
    <w:p w:rsidR="0059181C" w:rsidRDefault="0059181C">
      <w:pPr>
        <w:pStyle w:val="GesAbsatz"/>
      </w:pPr>
      <w:r>
        <w:lastRenderedPageBreak/>
        <w:t>1.</w:t>
      </w:r>
      <w:r>
        <w:tab/>
        <w:t>kein Tagesmittelwert die folgenden Emissionsgrenzwerte überschreitet:</w:t>
      </w:r>
    </w:p>
    <w:p w:rsidR="0059181C" w:rsidRDefault="0059181C">
      <w:pPr>
        <w:pStyle w:val="GesAbsatz"/>
      </w:pPr>
      <w:r>
        <w:t>a)</w:t>
      </w:r>
      <w:r>
        <w:tab/>
        <w:t>Stickstoffdioxid und Stickstoffmonoxid, angegeben als Stickstoffdioxid, bei Einsatz von</w:t>
      </w:r>
    </w:p>
    <w:p w:rsidR="0059181C" w:rsidRDefault="0059181C">
      <w:pPr>
        <w:pStyle w:val="GesAbsatz"/>
        <w:ind w:left="426"/>
      </w:pPr>
      <w:r>
        <w:t>Erdgas in</w:t>
      </w:r>
    </w:p>
    <w:p w:rsidR="0059181C" w:rsidRDefault="0059181C">
      <w:pPr>
        <w:pStyle w:val="GesAbsatz"/>
        <w:tabs>
          <w:tab w:val="left" w:pos="7371"/>
        </w:tabs>
        <w:ind w:left="851"/>
        <w:rPr>
          <w:color w:val="FFFFFF"/>
          <w:szCs w:val="14"/>
        </w:rPr>
      </w:pPr>
      <w:r>
        <w:t>Anlagen mit Kraft-Wärme Kopplung mit einem Gesamtwirkungsgrad im Jahresdurchschnitt von mindestens 75 vom Hundert</w:t>
      </w:r>
      <w:r>
        <w:tab/>
        <w:t>75 mg/m</w:t>
      </w:r>
      <w:r>
        <w:rPr>
          <w:szCs w:val="14"/>
          <w:vertAlign w:val="superscript"/>
        </w:rPr>
        <w:t>3</w:t>
      </w:r>
      <w:r>
        <w:rPr>
          <w:color w:val="FFFFFF"/>
          <w:szCs w:val="14"/>
        </w:rPr>
        <w:t>;</w:t>
      </w:r>
    </w:p>
    <w:p w:rsidR="0059181C" w:rsidRDefault="0059181C">
      <w:pPr>
        <w:pStyle w:val="GesAbsatz"/>
        <w:tabs>
          <w:tab w:val="left" w:pos="7371"/>
        </w:tabs>
        <w:ind w:left="851"/>
        <w:rPr>
          <w:color w:val="FFFFFF"/>
          <w:szCs w:val="14"/>
        </w:rPr>
      </w:pPr>
      <w:r>
        <w:t>Anlagen im Kombibetrieb mit einem elektrischen Gesamtwirkungsgrad im Jahresdurchschnitt von mindestens 55 vom Hundert</w:t>
      </w:r>
      <w:r>
        <w:tab/>
        <w:t>75 mg/m</w:t>
      </w:r>
      <w:r>
        <w:rPr>
          <w:szCs w:val="14"/>
          <w:vertAlign w:val="superscript"/>
        </w:rPr>
        <w:t>3</w:t>
      </w:r>
      <w:r>
        <w:rPr>
          <w:color w:val="FFFFFF"/>
          <w:szCs w:val="14"/>
        </w:rPr>
        <w:t>;</w:t>
      </w:r>
    </w:p>
    <w:p w:rsidR="0059181C" w:rsidRDefault="0059181C">
      <w:pPr>
        <w:pStyle w:val="GesAbsatz"/>
        <w:tabs>
          <w:tab w:val="left" w:pos="7371"/>
        </w:tabs>
        <w:ind w:left="851"/>
        <w:rPr>
          <w:color w:val="FFFFFF"/>
          <w:szCs w:val="14"/>
        </w:rPr>
      </w:pPr>
      <w:r>
        <w:t>Anlagen zum Antrieb von Arbeitsmaschinen</w:t>
      </w:r>
      <w:r>
        <w:tab/>
        <w:t>75 mg/m</w:t>
      </w:r>
      <w:r>
        <w:rPr>
          <w:szCs w:val="14"/>
          <w:vertAlign w:val="superscript"/>
        </w:rPr>
        <w:t>3</w:t>
      </w:r>
      <w:r>
        <w:rPr>
          <w:color w:val="FFFFFF"/>
          <w:szCs w:val="14"/>
        </w:rPr>
        <w:t>;</w:t>
      </w:r>
    </w:p>
    <w:p w:rsidR="0059181C" w:rsidRDefault="0059181C">
      <w:pPr>
        <w:pStyle w:val="GesAbsatz"/>
        <w:tabs>
          <w:tab w:val="left" w:pos="7371"/>
        </w:tabs>
        <w:ind w:left="851"/>
        <w:rPr>
          <w:color w:val="FFFFFF"/>
          <w:szCs w:val="14"/>
        </w:rPr>
      </w:pPr>
      <w:r>
        <w:t>sonstigen Anlagen</w:t>
      </w:r>
      <w:r>
        <w:tab/>
        <w:t>50 mg/m</w:t>
      </w:r>
      <w:r>
        <w:rPr>
          <w:szCs w:val="14"/>
          <w:vertAlign w:val="superscript"/>
        </w:rPr>
        <w:t>3</w:t>
      </w:r>
      <w:r>
        <w:rPr>
          <w:color w:val="FFFFFF"/>
          <w:szCs w:val="14"/>
        </w:rPr>
        <w:t>;</w:t>
      </w:r>
    </w:p>
    <w:p w:rsidR="0059181C" w:rsidRDefault="0059181C">
      <w:pPr>
        <w:pStyle w:val="GesAbsatz"/>
        <w:tabs>
          <w:tab w:val="left" w:pos="7371"/>
        </w:tabs>
        <w:ind w:left="851"/>
        <w:jc w:val="left"/>
        <w:rPr>
          <w:color w:val="FFFFFF"/>
          <w:szCs w:val="14"/>
        </w:rPr>
      </w:pPr>
      <w:r>
        <w:t xml:space="preserve">sonstigen gasförmigen Brennstoffen oder leichtem </w:t>
      </w:r>
      <w:r>
        <w:br/>
        <w:t>Heizöl oder Dieselkraftstoff</w:t>
      </w:r>
      <w:r>
        <w:tab/>
        <w:t>120 mg/m</w:t>
      </w:r>
      <w:r>
        <w:rPr>
          <w:szCs w:val="14"/>
          <w:vertAlign w:val="superscript"/>
        </w:rPr>
        <w:t>3</w:t>
      </w:r>
      <w:r>
        <w:rPr>
          <w:color w:val="FFFFFF"/>
          <w:szCs w:val="14"/>
        </w:rPr>
        <w:t>;</w:t>
      </w:r>
    </w:p>
    <w:p w:rsidR="0059181C" w:rsidRDefault="0059181C">
      <w:pPr>
        <w:pStyle w:val="GesAbsatz"/>
        <w:tabs>
          <w:tab w:val="left" w:pos="7371"/>
        </w:tabs>
        <w:rPr>
          <w:szCs w:val="14"/>
        </w:rPr>
      </w:pPr>
      <w:r>
        <w:t>b)</w:t>
      </w:r>
      <w:r>
        <w:tab/>
        <w:t>Kohlenmonoxid</w:t>
      </w:r>
      <w:r>
        <w:tab/>
        <w:t>100 mg/m</w:t>
      </w:r>
      <w:r>
        <w:rPr>
          <w:szCs w:val="14"/>
          <w:vertAlign w:val="superscript"/>
        </w:rPr>
        <w:t>3</w:t>
      </w:r>
      <w:r>
        <w:rPr>
          <w:szCs w:val="14"/>
        </w:rPr>
        <w:t xml:space="preserve"> ;</w:t>
      </w:r>
    </w:p>
    <w:p w:rsidR="0059181C" w:rsidRDefault="0059181C">
      <w:pPr>
        <w:pStyle w:val="GesAbsatz"/>
        <w:tabs>
          <w:tab w:val="clear" w:pos="425"/>
          <w:tab w:val="left" w:pos="426"/>
        </w:tabs>
        <w:ind w:left="426" w:hanging="426"/>
      </w:pPr>
      <w:r>
        <w:t>2.</w:t>
      </w:r>
      <w:r>
        <w:tab/>
        <w:t>kein Halbstundenmittelwert das Doppelte der unter Nummer 1 genannten Emissionsgrenzwerte übe</w:t>
      </w:r>
      <w:r>
        <w:t>r</w:t>
      </w:r>
      <w:r>
        <w:t>schreitet</w:t>
      </w:r>
      <w:r w:rsidR="005E2268">
        <w:t xml:space="preserve"> und</w:t>
      </w:r>
    </w:p>
    <w:p w:rsidR="005E2268" w:rsidRDefault="005E2268" w:rsidP="005E2268">
      <w:pPr>
        <w:pStyle w:val="GesAbsatz"/>
        <w:tabs>
          <w:tab w:val="clear" w:pos="425"/>
          <w:tab w:val="left" w:pos="426"/>
        </w:tabs>
        <w:ind w:left="426" w:hanging="426"/>
      </w:pPr>
      <w:r>
        <w:t>3.</w:t>
      </w:r>
      <w:r>
        <w:tab/>
        <w:t>kein Jahresmittelwert die folgenden Emissionsgrenzwerte überschreitet:</w:t>
      </w:r>
    </w:p>
    <w:p w:rsidR="005E2268" w:rsidRDefault="005E2268" w:rsidP="005E2268">
      <w:pPr>
        <w:pStyle w:val="GesAbsatz"/>
        <w:tabs>
          <w:tab w:val="clear" w:pos="425"/>
          <w:tab w:val="left" w:pos="426"/>
        </w:tabs>
        <w:ind w:left="426"/>
      </w:pPr>
      <w:r>
        <w:t>Stickstoffdioxid und Stickstoffmonoxid, angegeben als Stickstoffdioxid, bei einer Feuerungswärmelei</w:t>
      </w:r>
      <w:r>
        <w:t>s</w:t>
      </w:r>
      <w:r>
        <w:t>tung von mehr als 100 MW und bei Einsatz von Gasen der öffentlichen Gasversorgung in</w:t>
      </w:r>
    </w:p>
    <w:p w:rsidR="005E2268" w:rsidRDefault="005E2268" w:rsidP="005E2268">
      <w:pPr>
        <w:pStyle w:val="GesAbsatz"/>
        <w:tabs>
          <w:tab w:val="clear" w:pos="425"/>
          <w:tab w:val="left" w:pos="7371"/>
        </w:tabs>
        <w:ind w:left="851" w:hanging="425"/>
      </w:pPr>
      <w:r>
        <w:t>a)</w:t>
      </w:r>
      <w:r>
        <w:tab/>
        <w:t>Anlagen mit Kraft-Wärme-Kopplung mit einem Gesamtwirkungsgrad im Jahresdurchschnitt von mindestens 75 vom Hundert</w:t>
      </w:r>
      <w:r>
        <w:tab/>
        <w:t>50 mg/m³</w:t>
      </w:r>
    </w:p>
    <w:p w:rsidR="005E2268" w:rsidRDefault="005E2268" w:rsidP="005E2268">
      <w:pPr>
        <w:pStyle w:val="GesAbsatz"/>
        <w:tabs>
          <w:tab w:val="clear" w:pos="425"/>
          <w:tab w:val="left" w:pos="7371"/>
        </w:tabs>
        <w:ind w:left="851" w:hanging="425"/>
      </w:pPr>
      <w:r>
        <w:t>b)</w:t>
      </w:r>
      <w:r>
        <w:tab/>
        <w:t>Anlagen im Kombibetrieb mit einem elektrischen Gesamtwirkungsgrad im Jahresdurchschnitt von mindestens 55 vom Hundert</w:t>
      </w:r>
      <w:r>
        <w:tab/>
        <w:t>50 mg/m³</w:t>
      </w:r>
    </w:p>
    <w:p w:rsidR="005E2268" w:rsidRDefault="005E2268" w:rsidP="005E2268">
      <w:pPr>
        <w:pStyle w:val="GesAbsatz"/>
        <w:tabs>
          <w:tab w:val="clear" w:pos="425"/>
          <w:tab w:val="left" w:pos="7371"/>
        </w:tabs>
        <w:ind w:left="851" w:hanging="425"/>
      </w:pPr>
      <w:r>
        <w:t>c)</w:t>
      </w:r>
      <w:r>
        <w:tab/>
        <w:t>Anlagen zum Antrieb von Arbeitsmaschinen</w:t>
      </w:r>
      <w:r>
        <w:tab/>
        <w:t>50 mg/m³</w:t>
      </w:r>
    </w:p>
    <w:p w:rsidR="005E2268" w:rsidRDefault="005E2268" w:rsidP="005E2268">
      <w:pPr>
        <w:pStyle w:val="GesAbsatz"/>
        <w:tabs>
          <w:tab w:val="clear" w:pos="425"/>
          <w:tab w:val="left" w:pos="7371"/>
        </w:tabs>
        <w:ind w:left="851" w:hanging="425"/>
      </w:pPr>
      <w:r>
        <w:t>d)</w:t>
      </w:r>
      <w:r>
        <w:tab/>
        <w:t>sonstigen Anlagen</w:t>
      </w:r>
      <w:r>
        <w:tab/>
        <w:t>35 mg/m³.</w:t>
      </w:r>
    </w:p>
    <w:p w:rsidR="0059181C" w:rsidRDefault="0059181C">
      <w:pPr>
        <w:pStyle w:val="GesAbsatz"/>
      </w:pPr>
      <w:r>
        <w:t>(2) Die Emissionsgrenzwerte gelten bei Betrieb ab einer Last von 70 vom Hundert, unter ISO-Bedingungen (Temperatur 288,15 K, Druck 101,3 kPa, relative Luftfeuchte 60 vom Hundert).</w:t>
      </w:r>
    </w:p>
    <w:p w:rsidR="0059181C" w:rsidRDefault="0059181C">
      <w:pPr>
        <w:pStyle w:val="GesAbsatz"/>
      </w:pPr>
      <w:r>
        <w:t>(3) Abweichend von Absatz 1 Satz 2 Nr. 1 Buchstabe a ist beim Einsatz von Erdgas zur Erzeugung elektr</w:t>
      </w:r>
      <w:r>
        <w:t>i</w:t>
      </w:r>
      <w:r>
        <w:t>scher Energie bei Gasturbinen im Solobetrieb, deren Wirkungsgrad unter ISO-Bedingungen mehr als 35 vom Hundert beträgt, der Emissionsgrenzwert von 50 mg/m</w:t>
      </w:r>
      <w:r>
        <w:rPr>
          <w:szCs w:val="14"/>
          <w:vertAlign w:val="superscript"/>
        </w:rPr>
        <w:t>3</w:t>
      </w:r>
      <w:r>
        <w:rPr>
          <w:szCs w:val="14"/>
        </w:rPr>
        <w:t xml:space="preserve"> </w:t>
      </w:r>
      <w:r>
        <w:t>entsprechend der prozentualen Wirkungsgr</w:t>
      </w:r>
      <w:r>
        <w:t>a</w:t>
      </w:r>
      <w:r>
        <w:t>derhöhung heraufzusetzen. Ein Emissionsgrenzwert von 75 mg/m</w:t>
      </w:r>
      <w:r>
        <w:rPr>
          <w:szCs w:val="14"/>
          <w:vertAlign w:val="superscript"/>
        </w:rPr>
        <w:t>3</w:t>
      </w:r>
      <w:r>
        <w:rPr>
          <w:szCs w:val="14"/>
        </w:rPr>
        <w:t xml:space="preserve"> </w:t>
      </w:r>
      <w:r>
        <w:t>darf nicht überschritten werden.</w:t>
      </w:r>
    </w:p>
    <w:p w:rsidR="005E2268" w:rsidRDefault="005E2268" w:rsidP="005E2268">
      <w:pPr>
        <w:pStyle w:val="GesAbsatz"/>
      </w:pPr>
      <w:r>
        <w:t>(3a) Abweichend von Absatz 1 Satz 2 Nr. 3 Buchstabe d ist beim Einsatz von Erdgas zur Erzeugung elektr</w:t>
      </w:r>
      <w:r>
        <w:t>i</w:t>
      </w:r>
      <w:r>
        <w:t>scher Energie bei Gasturbinen im Solobetrieb, deren Wirkungsgrad unter ISO-Bedingungen mehr als 35 vom Hundert beträgt, der Emissionsgrenzwert von 35 mg/m³ entsprechend der prozentualen Wirkungsgr</w:t>
      </w:r>
      <w:r>
        <w:t>a</w:t>
      </w:r>
      <w:r>
        <w:t>derhöhung heraufzusetzen. Ein Emissionsgrenzwert von 50 mg/m³ darf nicht überschritten werden.</w:t>
      </w:r>
    </w:p>
    <w:p w:rsidR="0059181C" w:rsidRDefault="0059181C">
      <w:pPr>
        <w:pStyle w:val="GesAbsatz"/>
      </w:pPr>
      <w:r>
        <w:t>(4) Bei Einsatz flüssiger Brennstoffe darf die Rußzahl im Dauerbetrieb den Wert 2 und beim Anfahren den Wert 4 nicht überschreiten.</w:t>
      </w:r>
    </w:p>
    <w:p w:rsidR="0059181C" w:rsidRDefault="0059181C">
      <w:pPr>
        <w:pStyle w:val="GesAbsatz"/>
      </w:pPr>
      <w:r>
        <w:t>(5) Bei Einsatz flüssiger Brennstoffe dürfen bei Gasturbinen nur leichtes Heizöl oder Dieselkraftstoff nach der Dritten Verordnung zur Durchführung des Bundes-Immissionsschutzgesetzes in der jeweils gültigen Fa</w:t>
      </w:r>
      <w:r>
        <w:t>s</w:t>
      </w:r>
      <w:r>
        <w:t>sung verwendet werden oder es sind gleichwertige Maßnahmen zur Emissionsminderung von Schwefelox</w:t>
      </w:r>
      <w:r>
        <w:t>i</w:t>
      </w:r>
      <w:r>
        <w:t>den anzuwenden.</w:t>
      </w:r>
    </w:p>
    <w:p w:rsidR="0059181C" w:rsidRDefault="0059181C">
      <w:pPr>
        <w:pStyle w:val="GesAbsatz"/>
      </w:pPr>
      <w:r>
        <w:t>(6) Bei Einsatz gasförmiger Brennstoffe gelten für Schwefeldioxid und Schwefeltrioxid die Anforderungen von § 5 Abs. 1 Satz 2 Nr. 1 Buchstabe d und Nr. 2 mit der Maßgabe, dass die Emissionsgrenzwerte auf e</w:t>
      </w:r>
      <w:r>
        <w:t>i</w:t>
      </w:r>
      <w:r>
        <w:t>nen Bezugssauerstoffgehalt von 15 vom Hundert umzurechnen sind.</w:t>
      </w:r>
    </w:p>
    <w:p w:rsidR="0059181C" w:rsidRDefault="0059181C">
      <w:pPr>
        <w:pStyle w:val="GesAbsatz"/>
      </w:pPr>
      <w:r>
        <w:t>(7) Bei Gasturbinen, die dem Notbetrieb während bis zu 300 Stunden im Jahr dienen, finden die Absätze 1 bis 3 keine Anwendung. Der Betreiber einer solchen Gasturbine hat der zuständigen Behörde jeweils bis zum 31. März eines Jahres für das vorhergehende Jahr einen Nachweis über die Einhaltung der Betriebszeit vorzulegen.</w:t>
      </w:r>
    </w:p>
    <w:p w:rsidR="0059181C" w:rsidRDefault="0059181C">
      <w:pPr>
        <w:pStyle w:val="GesAbsatz"/>
      </w:pPr>
      <w:r>
        <w:t>(8) Abweichend von den in Absatz 1 Satz 2 Nr. 1 und 2 festgelegten Emissionsgrenzwerten für Stickstoffd</w:t>
      </w:r>
      <w:r>
        <w:t>i</w:t>
      </w:r>
      <w:r>
        <w:t>oxid und Stickstoffmonoxid, angegeben als Stickstoffdioxid, gilt für eine Einzelgasturbine mit einer Feu</w:t>
      </w:r>
      <w:r>
        <w:t>e</w:t>
      </w:r>
      <w:r>
        <w:t>rungswärmeleistung von weniger als 50 MW in Anlagen mit Kraft-Wärme-Kopplung mit einem Gesamtwi</w:t>
      </w:r>
      <w:r>
        <w:t>r</w:t>
      </w:r>
      <w:r>
        <w:t>kungsgrad von mindestens 75 vom Hundert, in Anlagen im Kombibetrieb mit einem elektrischen Wirkung</w:t>
      </w:r>
      <w:r>
        <w:t>s</w:t>
      </w:r>
      <w:r>
        <w:t>grad im Jahresdurchschnitt von mindestens 55 vom Hundert oder in Anlagen zum Antrieb von Arbeitsm</w:t>
      </w:r>
      <w:r>
        <w:t>a</w:t>
      </w:r>
      <w:r>
        <w:t xml:space="preserve">schinen, die Bestandteil einer gemeinsamen Anlage mit einer Feuerungswärmeleistung von 50 MW oder </w:t>
      </w:r>
      <w:r>
        <w:lastRenderedPageBreak/>
        <w:t>mehr ist, beim Einsatz von sonstigen gasförmigen oder von flüssigen Brennstoffen, dass ein Emission</w:t>
      </w:r>
      <w:r>
        <w:t>s</w:t>
      </w:r>
      <w:r>
        <w:t>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Halbstundenmittelwert nicht überschritten wird.</w:t>
      </w:r>
    </w:p>
    <w:p w:rsidR="005E2268" w:rsidRDefault="005E2268" w:rsidP="005E2268">
      <w:pPr>
        <w:pStyle w:val="GesAbsatz"/>
      </w:pPr>
      <w:r>
        <w:t>(8a) Abweichend von Absatz 1 Satz 2 Nr. 3 gilt der festgelegte Emissionsgrenzwert nicht für eine Einzelga</w:t>
      </w:r>
      <w:r>
        <w:t>s</w:t>
      </w:r>
      <w:r>
        <w:t>turbine mit einer Feuerungswärmeleistung von weniger als 50 MW in Anlagen mit Kraft-Wärme-Kopplung mit einem Gesamtwirkungsgrad im Jahresdurchschnitt von mindestens 75 vom Hundert, in Anlagen im Komb</w:t>
      </w:r>
      <w:r>
        <w:t>i</w:t>
      </w:r>
      <w:r>
        <w:t>betrieb mit einem elektrischen Gesamtwirkungsgrad im Jahresdurchschnitt von mindestens 55 vom Hundert oder in Anlagen zum Antrieb von Arbeitsmaschinen, die Bestandteil einer gemeinsamen Anlage mit einer Feuerungswärmeleistung von mehr als 100 MW ist.</w:t>
      </w:r>
    </w:p>
    <w:p w:rsidR="0059181C" w:rsidRDefault="0059181C">
      <w:pPr>
        <w:pStyle w:val="GesAbsatz"/>
      </w:pPr>
      <w:r>
        <w:t>(9) Abweichend von Absatz 1 Satz 2 Nr. 1 Buchstabe a und Nr. 2 gilt bei Altanlagen beim Einsatz von Er</w:t>
      </w:r>
      <w:r>
        <w:t>d</w:t>
      </w:r>
      <w:r>
        <w:t>gas ein Emissionsgrenzwert von 75 mg/m</w:t>
      </w:r>
      <w:r>
        <w:rPr>
          <w:szCs w:val="14"/>
          <w:vertAlign w:val="superscript"/>
        </w:rPr>
        <w:t>3</w:t>
      </w:r>
      <w:r>
        <w:rPr>
          <w:szCs w:val="14"/>
        </w:rPr>
        <w:t xml:space="preserve"> </w:t>
      </w:r>
      <w:r>
        <w:t>für den Tagesmittelwert und von 150 mg/m</w:t>
      </w:r>
      <w:r>
        <w:rPr>
          <w:szCs w:val="14"/>
          <w:vertAlign w:val="superscript"/>
        </w:rPr>
        <w:t>3</w:t>
      </w:r>
      <w:r>
        <w:rPr>
          <w:szCs w:val="14"/>
        </w:rPr>
        <w:t xml:space="preserve"> </w:t>
      </w:r>
      <w:r>
        <w:t>für den Halbstu</w:t>
      </w:r>
      <w:r>
        <w:t>n</w:t>
      </w:r>
      <w:r>
        <w:t>denmittelwert und beim Einsatz von sonstigen gasförmigen Brennstoffen oder leichtem Heizöl oder Diese</w:t>
      </w:r>
      <w:r>
        <w:t>l</w:t>
      </w:r>
      <w:r>
        <w:t>kraftstoff ein Emissionsgrenzwert von 150 mg/m</w:t>
      </w:r>
      <w:r>
        <w:rPr>
          <w:szCs w:val="14"/>
          <w:vertAlign w:val="superscript"/>
        </w:rPr>
        <w:t>3</w:t>
      </w:r>
      <w:r>
        <w:rPr>
          <w:szCs w:val="14"/>
        </w:rPr>
        <w:t xml:space="preserve"> </w:t>
      </w:r>
      <w:r>
        <w:t>für den Tagesmittelwert und von 300 mg/m</w:t>
      </w:r>
      <w:r>
        <w:rPr>
          <w:szCs w:val="14"/>
          <w:vertAlign w:val="superscript"/>
        </w:rPr>
        <w:t>3</w:t>
      </w:r>
      <w:r>
        <w:rPr>
          <w:szCs w:val="14"/>
        </w:rPr>
        <w:t xml:space="preserve"> </w:t>
      </w:r>
      <w:r>
        <w:t>für den Hal</w:t>
      </w:r>
      <w:r>
        <w:t>b</w:t>
      </w:r>
      <w:r>
        <w:t>stundenmittelwert. Für Einzelaggregate in Altanlagen mit einem Massenstrom an Stickstoffoxiden von bis zu 20 Mg/a, angegeben als Stickstoffdioxid, finden die Anforderungen zur Begrenzung der Emissionen an Stickstoffoxiden keine Anwendung. Der Betreiber eines solchen Einzelaggregates hat der zuständigen B</w:t>
      </w:r>
      <w:r>
        <w:t>e</w:t>
      </w:r>
      <w:r>
        <w:t>hörde jeweils bis zum 31. März eines Jahres für das vorhergehende Jahr einen Nachweis über die Einha</w:t>
      </w:r>
      <w:r>
        <w:t>l</w:t>
      </w:r>
      <w:r>
        <w:t xml:space="preserve">tung des Massenstromes vorzulegen. </w:t>
      </w:r>
    </w:p>
    <w:p w:rsidR="0059181C" w:rsidRDefault="0059181C">
      <w:pPr>
        <w:pStyle w:val="GesAbsatz"/>
      </w:pPr>
      <w:r>
        <w:t>(10) Bei Altanlagen, die ausschließlich der Abdeckung der Spitzenlast bei der Energieversorgung während bis zu 300 Stunden im Jahr dienen, finden die Absätze 1 bis 3 keine Anwendung. Der Betreiber einer so</w:t>
      </w:r>
      <w:r>
        <w:t>l</w:t>
      </w:r>
      <w:r>
        <w:t>chen Gasturbine hat der zuständigen Behörde jeweils bis zum 31. März eines Jahres für das vorhergehende Jahr einen Nachweis über die Einhaltung der Betriebszeit vorzulegen.</w:t>
      </w:r>
    </w:p>
    <w:p w:rsidR="0059181C" w:rsidRDefault="0059181C">
      <w:pPr>
        <w:pStyle w:val="GesAbsatz"/>
      </w:pPr>
      <w:r>
        <w:t>(11) Bei Altanlagen, die während bis zu 120 Stunden im Jahr mit leichtem Heizöl oder Dieselkraftstoff betri</w:t>
      </w:r>
      <w:r>
        <w:t>e</w:t>
      </w:r>
      <w:r>
        <w:t>ben werden, finden die Absätze 1 bis 3 für leichtes Heizöl oder Dieselkraftstoff keine Anwendung. Der B</w:t>
      </w:r>
      <w:r>
        <w:t>e</w:t>
      </w:r>
      <w:r>
        <w:t>treiber einer solchen Gasturbine hat der zuständigen Behörde jeweils bis zum 31. März eines Jahres für das vorhergehende Jahr einen Nachweis über die Einhaltung der Betriebszeit vorzulegen.</w:t>
      </w:r>
    </w:p>
    <w:p w:rsidR="0059181C" w:rsidRDefault="0059181C">
      <w:pPr>
        <w:pStyle w:val="berschrift3"/>
      </w:pPr>
      <w:bookmarkStart w:id="10" w:name="_Toc333483318"/>
      <w:r>
        <w:t>§ 7</w:t>
      </w:r>
      <w:r>
        <w:br/>
        <w:t>Kraft-Wärme-Kopplung</w:t>
      </w:r>
      <w:bookmarkEnd w:id="10"/>
    </w:p>
    <w:p w:rsidR="0059181C" w:rsidRDefault="0059181C">
      <w:pPr>
        <w:pStyle w:val="GesAbsatz"/>
      </w:pPr>
      <w:r>
        <w:t>Der Betreiber hat bei der Errichtung oder der wesentlichen Änderung einer Anlage Maßnahmen zur Kraft-Wärme-Kopplung durchzuführen, es sei denn, dies ist technisch nicht möglich oder unverhältnismäßig. Dies ist der zuständigen Behörde darzulegen.</w:t>
      </w:r>
    </w:p>
    <w:p w:rsidR="0059181C" w:rsidRDefault="0059181C">
      <w:pPr>
        <w:pStyle w:val="berschrift3"/>
      </w:pPr>
      <w:bookmarkStart w:id="11" w:name="_Toc333483319"/>
      <w:r>
        <w:t>§ 8</w:t>
      </w:r>
      <w:r>
        <w:br/>
        <w:t>Betrieb mit mehreren Brennstoffen</w:t>
      </w:r>
      <w:bookmarkEnd w:id="11"/>
    </w:p>
    <w:p w:rsidR="0059181C" w:rsidRDefault="0059181C">
      <w:pPr>
        <w:pStyle w:val="GesAbsatz"/>
      </w:pPr>
      <w:r>
        <w:t>(1) Die Feuerungsanlagen und Gasturbinenanlagen sind bei Betrieb mit mehreren Brennstoffen so zu betre</w:t>
      </w:r>
      <w:r>
        <w:t>i</w:t>
      </w:r>
      <w:r>
        <w:t>ben, dass die Anforderungen dieses Absatzes und der Absätze 2 bis 5 eingehalten werden. Der Betreiber hat dafür zu sorgen, dass</w:t>
      </w:r>
    </w:p>
    <w:p w:rsidR="0059181C" w:rsidRDefault="0059181C">
      <w:pPr>
        <w:pStyle w:val="GesAbsatz"/>
        <w:ind w:left="426" w:hanging="426"/>
      </w:pPr>
      <w:r>
        <w:t>1.</w:t>
      </w:r>
      <w:r>
        <w:tab/>
        <w:t>kein Tagesmittelwert den sich aus den Absätzen 2 bis 5 ergebenden Emissionsgrenzwert und</w:t>
      </w:r>
    </w:p>
    <w:p w:rsidR="0059181C" w:rsidRDefault="0059181C">
      <w:pPr>
        <w:pStyle w:val="GesAbsatz"/>
        <w:ind w:left="426" w:hanging="426"/>
      </w:pPr>
      <w:r>
        <w:t>2.</w:t>
      </w:r>
      <w:r>
        <w:tab/>
        <w:t>kein Halbstundenmittelwert das Doppelte des unter Nummer 1 genannten Emissionsgrenzwertes übe</w:t>
      </w:r>
      <w:r>
        <w:t>r</w:t>
      </w:r>
      <w:r>
        <w:t>schreitet.</w:t>
      </w:r>
    </w:p>
    <w:p w:rsidR="0059181C" w:rsidRDefault="0059181C">
      <w:pPr>
        <w:pStyle w:val="GesAbsatz"/>
      </w:pPr>
      <w:r>
        <w:t>(2) Bei Mischfeuerungen sind die für den jeweiligen Brennstoff festzulegenden Emissionsgrenzwerte und der jeweilige Bezugssauerstoffgehalt nach dem Verhältnis der mit diesem Brennstoff zugeführten Feuerung</w:t>
      </w:r>
      <w:r>
        <w:t>s</w:t>
      </w:r>
      <w:r>
        <w:t>wärmeleistung zur insgesamt zugeführten Feuerungswärmeleistung zu ermitteln. Die für die Feuerungsanl</w:t>
      </w:r>
      <w:r>
        <w:t>a</w:t>
      </w:r>
      <w:r>
        <w:t>ge maßgeblichen Emissionsgrenzwerte ergeben sich durch Addition der nach Satz 1 ermittelten Werte.</w:t>
      </w:r>
    </w:p>
    <w:p w:rsidR="0059181C" w:rsidRDefault="0059181C">
      <w:pPr>
        <w:pStyle w:val="GesAbsatz"/>
      </w:pPr>
      <w:r>
        <w:t>(3) Bei Mischfeuerungen in Feuerungsanlagen, in denen Destillations- und Konversionsrückstände zum E</w:t>
      </w:r>
      <w:r>
        <w:t>i</w:t>
      </w:r>
      <w:r>
        <w:t>genverbrauch in Raffinerien eingesetzt werden, gilt,</w:t>
      </w:r>
    </w:p>
    <w:p w:rsidR="0059181C" w:rsidRDefault="0059181C">
      <w:pPr>
        <w:pStyle w:val="GesAbsatz"/>
        <w:ind w:left="426" w:hanging="426"/>
      </w:pPr>
      <w:r>
        <w:t>a)</w:t>
      </w:r>
      <w:r>
        <w:tab/>
        <w:t>sofern die mit dem Brennstoff mit dem höchsten Emissionsgrenzwert zugeführte Feuerungswärmelei</w:t>
      </w:r>
      <w:r>
        <w:t>s</w:t>
      </w:r>
      <w:r>
        <w:t>tung mindestens 50 vom Hundert der insgesamt zugeführten Feuerungswärmeleistung ausmacht, der Emissionsgrenzwert für den Brennstoff mit dem höchsten Emissionsgrenzwert,</w:t>
      </w:r>
    </w:p>
    <w:p w:rsidR="0059181C" w:rsidRDefault="0059181C">
      <w:pPr>
        <w:pStyle w:val="GesAbsatz"/>
        <w:ind w:left="426" w:hanging="426"/>
      </w:pPr>
      <w:r>
        <w:t>b)</w:t>
      </w:r>
      <w:r>
        <w:tab/>
        <w:t>im Übrigen Absatz 1 mit der Maßgabe, dass als Emissionsgrenzwert für den Brennstoff mit dem höch</w:t>
      </w:r>
      <w:r>
        <w:t>s</w:t>
      </w:r>
      <w:r>
        <w:t>ten Emissionsgrenzwert das Doppelte dieses Wertes abzüglich des Emissionsgrenzwertes für den Brennstoff mit dem niedrigsten Emissionsgrenzwert angesetzt wird.</w:t>
      </w:r>
    </w:p>
    <w:p w:rsidR="0059181C" w:rsidRDefault="0059181C">
      <w:pPr>
        <w:pStyle w:val="GesAbsatz"/>
      </w:pPr>
      <w:r>
        <w:t>Abweichend von Satz 1 kann innerhalb einer Raffinerie die zuständige Behörde auf Antrag für Schwefeldi</w:t>
      </w:r>
      <w:r>
        <w:t>o</w:t>
      </w:r>
      <w:r>
        <w:t>xid und Schwefeltrioxid, angegeben als Schwefeldioxid, einen Emissionsgrenzwert von 600 mg/m</w:t>
      </w:r>
      <w:r>
        <w:rPr>
          <w:szCs w:val="14"/>
          <w:vertAlign w:val="superscript"/>
        </w:rPr>
        <w:t>3</w:t>
      </w:r>
      <w:r>
        <w:rPr>
          <w:szCs w:val="14"/>
        </w:rPr>
        <w:t xml:space="preserve"> </w:t>
      </w:r>
      <w:r>
        <w:t>für den Tagesmittelwert und von 1 200 mg/m</w:t>
      </w:r>
      <w:r>
        <w:rPr>
          <w:szCs w:val="14"/>
          <w:vertAlign w:val="superscript"/>
        </w:rPr>
        <w:t>3</w:t>
      </w:r>
      <w:r>
        <w:rPr>
          <w:szCs w:val="14"/>
        </w:rPr>
        <w:t xml:space="preserve"> </w:t>
      </w:r>
      <w:r>
        <w:t>für den Halbstundenmittelwert als über die Abgasvolumenströme g</w:t>
      </w:r>
      <w:r>
        <w:t>e</w:t>
      </w:r>
      <w:r>
        <w:lastRenderedPageBreak/>
        <w:t>wichteten Durchschnittswert über alle Prozessfeuerungsanlagen, ungeachtet des verwendeten Brennstoffs, zulassen.</w:t>
      </w:r>
    </w:p>
    <w:p w:rsidR="0059181C" w:rsidRDefault="0059181C">
      <w:pPr>
        <w:pStyle w:val="GesAbsatz"/>
      </w:pPr>
      <w:r>
        <w:t>(4) Bei Mehrstofffeuerungen gelten die Anforderungen für den jeweils eingesetzten Brennstoff.</w:t>
      </w:r>
    </w:p>
    <w:p w:rsidR="0059181C" w:rsidRDefault="0059181C">
      <w:pPr>
        <w:pStyle w:val="GesAbsatz"/>
      </w:pPr>
      <w:r>
        <w:t>(5) Bei Gasturbinenanlagen gelten die Absätze 2 und 4 entsprechend.</w:t>
      </w:r>
    </w:p>
    <w:p w:rsidR="0059181C" w:rsidRDefault="0059181C">
      <w:pPr>
        <w:pStyle w:val="berschrift3"/>
      </w:pPr>
      <w:bookmarkStart w:id="12" w:name="_Toc333483320"/>
      <w:r>
        <w:t>§ 9</w:t>
      </w:r>
      <w:r>
        <w:br/>
        <w:t>Wesentliche Änderung und Erweiterung von Anlagen</w:t>
      </w:r>
      <w:bookmarkEnd w:id="12"/>
    </w:p>
    <w:p w:rsidR="0059181C" w:rsidRDefault="0059181C">
      <w:pPr>
        <w:pStyle w:val="GesAbsatz"/>
      </w:pPr>
      <w:r>
        <w:t>Wird eine Anlage wesentlich geändert, finden die Anforderungen der §§ 3 bis 8 auf die Anlagenteile und Verfahrensschritte, die geändert werden sollen, sowie auf die Anlagenteile und Verfahrensschritte, auf die sich die Änderung auswirken wird, sofort Anwendung. Für die Anforderungen ist die Gesamtleistung der Anlage maßgeblich.</w:t>
      </w:r>
    </w:p>
    <w:p w:rsidR="00DF5306" w:rsidRDefault="00DF5306" w:rsidP="007E103A">
      <w:pPr>
        <w:pStyle w:val="berschrift3"/>
      </w:pPr>
      <w:bookmarkStart w:id="13" w:name="_Toc333483321"/>
      <w:r>
        <w:t>§ 9a</w:t>
      </w:r>
      <w:r>
        <w:br/>
        <w:t>Anlagen zur Abscheidung und Kompression von Kohlendioxid</w:t>
      </w:r>
      <w:bookmarkEnd w:id="13"/>
    </w:p>
    <w:p w:rsidR="00DF5306" w:rsidRDefault="00DF5306" w:rsidP="00DF5306">
      <w:pPr>
        <w:pStyle w:val="GesAbsatz"/>
      </w:pPr>
      <w:r>
        <w:t>(1) Vor der erstmaligen Genehmigung der Errichtung oder des Betriebs einer Anlage zur Erzeugung von Strom mit einer elektrischen Nennleistung von 300 Megawatt oder mehr hat der Betreiber zu prüfen, ob g</w:t>
      </w:r>
      <w:r>
        <w:t>e</w:t>
      </w:r>
      <w:r>
        <w:t>eignete Kohlendioxidspeicher zur Verfügung stehen und ob der Zugang zu Anlagen für den Transport des Kohlendioxids sowie die Nachrüstung von Anlagen für die Abscheidung und Kompression von Kohlendioxid technisch möglich und wirtschaftlich zumutbar sind. Dies gilt entsprechend für die Änderung oder Erweit</w:t>
      </w:r>
      <w:r>
        <w:t>e</w:t>
      </w:r>
      <w:r>
        <w:t>rung einer Anlage um eine elektrische Nennleistung von 300 Megawatt oder mehr.</w:t>
      </w:r>
    </w:p>
    <w:p w:rsidR="00DF5306" w:rsidRDefault="00DF5306" w:rsidP="00DF5306">
      <w:pPr>
        <w:pStyle w:val="GesAbsatz"/>
      </w:pPr>
      <w:r>
        <w:t>(2) Sind die in Absatz 1 genannten Voraussetzungen erfüllt, hat der Betreiber auf dem Betriebsgelände eine hinreichend große Fläche für die Nachrüstung der errichteten Anlage mit den für die Abscheidung und Ko</w:t>
      </w:r>
      <w:r>
        <w:t>m</w:t>
      </w:r>
      <w:r>
        <w:t>pression von Kohlendioxid erforderlichen Anlagen freizuhalten.</w:t>
      </w:r>
    </w:p>
    <w:p w:rsidR="0059181C" w:rsidRDefault="0059181C">
      <w:pPr>
        <w:pStyle w:val="berschrift3"/>
      </w:pPr>
      <w:bookmarkStart w:id="14" w:name="_Toc333483322"/>
      <w:r>
        <w:t>§ 10</w:t>
      </w:r>
      <w:r>
        <w:br/>
        <w:t>Begrenzung von Emissionen bei Lagerungs- und Transportvorgängen</w:t>
      </w:r>
      <w:bookmarkEnd w:id="14"/>
    </w:p>
    <w:p w:rsidR="0059181C" w:rsidRDefault="0059181C">
      <w:pPr>
        <w:pStyle w:val="GesAbsatz"/>
      </w:pPr>
      <w:r>
        <w:t>(1) Bei der Lagerung und beim Transport von Stoffen sind nach näherer Bestimmung der zuständigen B</w:t>
      </w:r>
      <w:r>
        <w:t>e</w:t>
      </w:r>
      <w:r>
        <w:t>hörde Maßnahmen zur Begrenzung der Emissionen nach den Anforderungen der Technischen Anleitung zur Reinhaltung der Luft zu treffen.</w:t>
      </w:r>
    </w:p>
    <w:p w:rsidR="0059181C" w:rsidRDefault="0059181C">
      <w:pPr>
        <w:pStyle w:val="GesAbsatz"/>
      </w:pPr>
      <w:r>
        <w:t>(2) Staubförmige Emissionen, die beim Entleeren von Filteranlagen entstehen können, sind dadurch zu ve</w:t>
      </w:r>
      <w:r>
        <w:t>r</w:t>
      </w:r>
      <w:r>
        <w:t>mindern, dass die Stäube in geschlossene Behältnisse abgezogen oder an den Austragsstellen befeuchtet werden.</w:t>
      </w:r>
    </w:p>
    <w:p w:rsidR="0059181C" w:rsidRDefault="0059181C">
      <w:pPr>
        <w:pStyle w:val="GesAbsatz"/>
      </w:pPr>
      <w:r>
        <w:t>(3) Für staubförmige Verbrennungsrückstände sind geschlossene Transporteinrichtungen und geschlossene Zwischenlager zu verwenden.</w:t>
      </w:r>
    </w:p>
    <w:p w:rsidR="0059181C" w:rsidRDefault="0059181C">
      <w:pPr>
        <w:pStyle w:val="berschrift3"/>
      </w:pPr>
      <w:bookmarkStart w:id="15" w:name="_Toc333483323"/>
      <w:r>
        <w:t>§ 11</w:t>
      </w:r>
      <w:r>
        <w:br/>
        <w:t>Ableitbedingungen für Abgase</w:t>
      </w:r>
      <w:bookmarkEnd w:id="15"/>
    </w:p>
    <w:p w:rsidR="0059181C" w:rsidRDefault="0059181C">
      <w:pPr>
        <w:pStyle w:val="GesAbsatz"/>
      </w:pPr>
      <w:r>
        <w:t>Die Abgase sind in kontrollierter Weise so abzuleiten, dass ein ungestörter Abtransport mit der freien Luf</w:t>
      </w:r>
      <w:r>
        <w:t>t</w:t>
      </w:r>
      <w:r>
        <w:t>strömung ermöglicht wird. Zur Ermittlung der Ableitungshöhen sind die Anforderungen der Technischen A</w:t>
      </w:r>
      <w:r>
        <w:t>n</w:t>
      </w:r>
      <w:r>
        <w:t>leitung zur Reinhaltung der Luft in der jeweils gültigen Fassung heranzuziehen. Die näheren Bestimmungen sind in der Genehmigung festzulegen.</w:t>
      </w:r>
    </w:p>
    <w:p w:rsidR="0059181C" w:rsidRDefault="0059181C">
      <w:pPr>
        <w:pStyle w:val="berschrift3"/>
      </w:pPr>
      <w:bookmarkStart w:id="16" w:name="_Toc333483324"/>
      <w:r>
        <w:t>§ 12</w:t>
      </w:r>
      <w:r>
        <w:br/>
        <w:t>Störungen an Abgasreinigungseinrichtungen</w:t>
      </w:r>
      <w:bookmarkEnd w:id="16"/>
    </w:p>
    <w:p w:rsidR="0059181C" w:rsidRDefault="0059181C">
      <w:pPr>
        <w:pStyle w:val="GesAbsatz"/>
      </w:pPr>
      <w:r>
        <w:t>(1) Der Betreiber einer Anlage hat bei einer Betriebsstörung an einer Abgasreinigungseinrichtung oder bei ihrem Ausfall unverzüglich die erforderlichen Maßnahmen für einen ordnungsgemäßen Betrieb zu treffen. Er hat den Betrieb der Anlage einzuschränken oder sie außer Betrieb zu nehmen, wenn ein ordnungsgemäßer Betrieb nicht innerhalb von 24 Stunden sichergestellt werden kann. In jedem Fall hat er die zuständige B</w:t>
      </w:r>
      <w:r>
        <w:t>e</w:t>
      </w:r>
      <w:r>
        <w:t>hörde unverzüglich, spätestens innerhalb von 48 Stunden zu unterrichten.</w:t>
      </w:r>
    </w:p>
    <w:p w:rsidR="0059181C" w:rsidRDefault="0059181C">
      <w:pPr>
        <w:pStyle w:val="GesAbsatz"/>
      </w:pPr>
      <w:r>
        <w:t>(2) Die zuständige Behörde hat in der Genehmigung geeignete Maßnahmen für den Fall einer Betriebsst</w:t>
      </w:r>
      <w:r>
        <w:t>ö</w:t>
      </w:r>
      <w:r>
        <w:t>rung an der Abgasreinigungseinrichtung oder ihrem Ausfall vorzusehen. Bei Ausfall einer Abgasreinigung</w:t>
      </w:r>
      <w:r>
        <w:t>s</w:t>
      </w:r>
      <w:r>
        <w:t>einrichtung darf eine Anlage während eines Zwölf-Monats-Zeitraumes höchstens 120 Stunden ohne diese Abgasreinigungseinrichtung betrieben werden.</w:t>
      </w:r>
    </w:p>
    <w:p w:rsidR="0059181C" w:rsidRDefault="0059181C">
      <w:pPr>
        <w:pStyle w:val="berschrift2"/>
      </w:pPr>
      <w:bookmarkStart w:id="17" w:name="_Toc333483325"/>
      <w:r>
        <w:lastRenderedPageBreak/>
        <w:t>Dritter Teil</w:t>
      </w:r>
      <w:r>
        <w:br/>
        <w:t>Messung und Überwachung</w:t>
      </w:r>
      <w:bookmarkEnd w:id="17"/>
    </w:p>
    <w:p w:rsidR="0059181C" w:rsidRDefault="0059181C">
      <w:pPr>
        <w:pStyle w:val="berschrift3"/>
      </w:pPr>
      <w:bookmarkStart w:id="18" w:name="_Toc333483326"/>
      <w:r>
        <w:t>§ 13</w:t>
      </w:r>
      <w:r>
        <w:br/>
        <w:t>Messplätze</w:t>
      </w:r>
      <w:bookmarkEnd w:id="18"/>
    </w:p>
    <w:p w:rsidR="0059181C" w:rsidRDefault="0059181C">
      <w:pPr>
        <w:pStyle w:val="GesAbsatz"/>
      </w:pPr>
      <w:r>
        <w:t>Für die Messungen sind nach näherer Bestimmung der zuständigen Behörde Messplätze einzurichten; diese sollen ausreichend groß, leicht begehbar und so beschaffen sein sowie so ausgewählt werden, dass repr</w:t>
      </w:r>
      <w:r>
        <w:t>ä</w:t>
      </w:r>
      <w:r>
        <w:t>sentative und einwandfreie Messungen gewährleistet sind.</w:t>
      </w:r>
    </w:p>
    <w:p w:rsidR="0059181C" w:rsidRDefault="0059181C">
      <w:pPr>
        <w:pStyle w:val="berschrift3"/>
      </w:pPr>
      <w:bookmarkStart w:id="19" w:name="_Toc333483327"/>
      <w:r>
        <w:t>§ 14</w:t>
      </w:r>
      <w:r>
        <w:br/>
        <w:t>Messverfahren und Messeinrichtungen</w:t>
      </w:r>
      <w:bookmarkEnd w:id="19"/>
    </w:p>
    <w:p w:rsidR="0059181C" w:rsidRDefault="0059181C">
      <w:pPr>
        <w:pStyle w:val="GesAbsatz"/>
      </w:pPr>
      <w:r>
        <w:t>(1) Für Messungen zur Feststellung der Emissionen sowie zur Ermittlung der Bezugs- oder Betriebsgrößen sind die dem Stand der Messtechnik entsprechenden Messverfahren und geeigneten Messeinrichtungen nach näherer Bestimmung durch die zuständige Behörde anzuwenden oder zu verwenden. Die Probenahme und Analyse aller Schadstoffe sowie die Referenzmessverfahren zur Kalibrierung automatischer Messsy</w:t>
      </w:r>
      <w:r>
        <w:t>s</w:t>
      </w:r>
      <w:r>
        <w:t>teme sind nach CEN-Normen durchzuführen. Sind keine CEN-Normen verfügbar, so werden ISO-Normen, nationale Normen oder sonstige internationale Normen angewandt, die sicherstellen, dass Daten von gleichwertiger wissenschaftlicher Qualität ermittelt werden.</w:t>
      </w:r>
    </w:p>
    <w:p w:rsidR="0059181C" w:rsidRDefault="0059181C">
      <w:pPr>
        <w:pStyle w:val="GesAbsatz"/>
      </w:pPr>
      <w:r>
        <w:t>(2) Der Betreiber hat den ordnungsgemäßen Einbau von Messeinrichtungen zur kontinuierlichen Überw</w:t>
      </w:r>
      <w:r>
        <w:t>a</w:t>
      </w:r>
      <w:r>
        <w:t>chung vor ihrer Inbetriebnahme der zuständigen Behörde durch die Bescheinigung einer für Kalibrierungen von der dafür zuständigen Behörde bekannt gegebenen Stelle nachzuweisen.</w:t>
      </w:r>
    </w:p>
    <w:p w:rsidR="0059181C" w:rsidRDefault="0059181C">
      <w:pPr>
        <w:pStyle w:val="GesAbsatz"/>
      </w:pPr>
      <w:r>
        <w:t>(3) Der Betreiber hat Messeinrichtungen, die zur kontinuierlichen Feststellung der Emissionen und der B</w:t>
      </w:r>
      <w:r>
        <w:t>e</w:t>
      </w:r>
      <w:r>
        <w:t>triebsgrößen eingesetzt werden, durch eine für Kalibrierungen von der dafür zuständigen Behörde bekannt gegebene Stelle kalibrieren und jährlich einmal auf Funktionsfähigkeit prüfen (Parallelmessung unter Ve</w:t>
      </w:r>
      <w:r>
        <w:t>r</w:t>
      </w:r>
      <w:r>
        <w:t>wendung der Referenzmethode) zu lassen. Die Kalibrierung nach Errichtung oder wesentlicher Änderung ist nach Erreichen des ungestörten Betriebes, jedoch frühestens nach dreimonatigem Betrieb und spätestens sechs Monate nach Inbetriebnahme, und anschließend wiederkehrend spätestens alle drei Jahre durchfü</w:t>
      </w:r>
      <w:r>
        <w:t>h</w:t>
      </w:r>
      <w:r>
        <w:t>ren zu lassen. Die Berichte über das Ergebnis der Kalibrierung und der Prüfung der Funktionsfähigkeit sind der zuständigen Behörde innerhalb von zwölf Wochen nach Kalibrierung und Prüfung vorzulegen.</w:t>
      </w:r>
    </w:p>
    <w:p w:rsidR="0059181C" w:rsidRDefault="0059181C">
      <w:pPr>
        <w:pStyle w:val="berschrift3"/>
      </w:pPr>
      <w:bookmarkStart w:id="20" w:name="_Toc333483328"/>
      <w:r>
        <w:t>§ 15</w:t>
      </w:r>
      <w:r>
        <w:br/>
        <w:t>Kontinuierliche Messungen</w:t>
      </w:r>
      <w:bookmarkEnd w:id="20"/>
    </w:p>
    <w:p w:rsidR="0059181C" w:rsidRDefault="0059181C">
      <w:pPr>
        <w:pStyle w:val="GesAbsatz"/>
      </w:pPr>
      <w:r>
        <w:t>(1) Der Betreiber hat</w:t>
      </w:r>
    </w:p>
    <w:p w:rsidR="0059181C" w:rsidRDefault="0059181C">
      <w:pPr>
        <w:pStyle w:val="GesAbsatz"/>
        <w:ind w:left="426" w:hanging="426"/>
      </w:pPr>
      <w:r>
        <w:t>1.</w:t>
      </w:r>
      <w:r>
        <w:tab/>
        <w:t>die Massenkonzentration der Emissionen an Gesamtstaub, Quecksilber, Gesamtkohlenstoff, Kohle</w:t>
      </w:r>
      <w:r>
        <w:t>n</w:t>
      </w:r>
      <w:r>
        <w:t>monoxid, Stickstoffmonoxid, Stickstoffdioxid, Schwefeldioxid, Schwefeltrioxid und die Rußzahl, soweit Emissionsgrenzwerte oder eine Begrenzung der Rußzahl festgelegt sind,</w:t>
      </w:r>
    </w:p>
    <w:p w:rsidR="0059181C" w:rsidRDefault="0059181C">
      <w:pPr>
        <w:pStyle w:val="GesAbsatz"/>
        <w:ind w:left="426" w:hanging="426"/>
      </w:pPr>
      <w:r>
        <w:t>2.</w:t>
      </w:r>
      <w:r>
        <w:tab/>
        <w:t>den Volumengehalt an Sauerstoff im Abgas und</w:t>
      </w:r>
    </w:p>
    <w:p w:rsidR="0059181C" w:rsidRDefault="0059181C">
      <w:pPr>
        <w:pStyle w:val="GesAbsatz"/>
        <w:ind w:left="426" w:hanging="426"/>
      </w:pPr>
      <w:r>
        <w:t>3.</w:t>
      </w:r>
      <w:r>
        <w:tab/>
        <w:t>die zur Beurteilung des ordnungsgemäßen Betriebs erforderlichen Betriebsgrößen, insbesondere Lei</w:t>
      </w:r>
      <w:r>
        <w:t>s</w:t>
      </w:r>
      <w:r>
        <w:t>tung, Abgastemperatur, Abgasvolumenstrom, Feuchtegehalt und Druck,</w:t>
      </w:r>
    </w:p>
    <w:p w:rsidR="0059181C" w:rsidRDefault="0059181C">
      <w:pPr>
        <w:pStyle w:val="GesAbsatz"/>
      </w:pPr>
      <w:r>
        <w:t>kontinuierlich zu ermitteln, zu registrieren, gemäß § 16 Abs. 1 auszuwerten und im Falle von § 16 Abs. 2 Satz 3 zu übermitteln. Der Betreiber hat hierzu die Anlagen vor Inbetriebnahme mit geeigneten Mess- und Auswerteeinrichtungen auszurüsten. Die Gesamtstaubemission ist ohne Beitrag des Schwefeltrioxids zum Messwert auszuweisen.</w:t>
      </w:r>
    </w:p>
    <w:p w:rsidR="0059181C" w:rsidRDefault="0059181C">
      <w:pPr>
        <w:pStyle w:val="GesAbsatz"/>
      </w:pPr>
      <w:r>
        <w:t>(2) Messeinrichtungen für den Feuchtegehalt sind nicht notwendig, soweit das Abgas vor der Ermittlung der Massenkonzentration der Emissionen getrocknet wird. Ergibt sich auf Grund der Bauart und Betriebsweise von Nass-Abgasentschwefelungsanlagen infolge des Sättigungszustandes des Abgases und der konstanten Abgastemperatur, dass der Feuchtegehalt im Abgas an der Messstelle einen konstanten Wert annimmt, soll die zuständige Behörde auf die kontinuierliche Messung des Feuchtegehaltes verzichten und die Verwe</w:t>
      </w:r>
      <w:r>
        <w:t>n</w:t>
      </w:r>
      <w:r>
        <w:t>dung des in Einzelmessungen ermittelten Wertes zulassen. In diesem Fall hat der Betreiber Nachweise über das Vorliegen der vorgenannten Voraussetzungen bei der Kalibrierung zu führen und der zuständigen B</w:t>
      </w:r>
      <w:r>
        <w:t>e</w:t>
      </w:r>
      <w:r>
        <w:t>hörde auf Verlangen vorzulegen. Der Betreiber hat die Nachweise fünf Jahre nach Kalibrierung aufzubewa</w:t>
      </w:r>
      <w:r>
        <w:t>h</w:t>
      </w:r>
      <w:r>
        <w:t>ren.</w:t>
      </w:r>
    </w:p>
    <w:p w:rsidR="0059181C" w:rsidRDefault="0059181C">
      <w:pPr>
        <w:pStyle w:val="GesAbsatz"/>
      </w:pPr>
      <w:r>
        <w:t>(3) Ergibt sich auf Grund der Einsatzstoffe, der Bauart, der Betriebsweise oder von Einzelmessungen, dass der Anteil des Stickstoffdioxids an den Stickstoffoxidemissionen unter 5 vom Hundert liegt, soll die zuständ</w:t>
      </w:r>
      <w:r>
        <w:t>i</w:t>
      </w:r>
      <w:r>
        <w:t>ge Behörde auf die kontinuierliche Messung des Stickstoffdioxids verzichten und die Bestimmung des A</w:t>
      </w:r>
      <w:r>
        <w:t>n</w:t>
      </w:r>
      <w:r>
        <w:t>teils durch Berechnung zulassen. In diesem Fall hat der Betreiber Nachweise über den Anteil des Stickstof</w:t>
      </w:r>
      <w:r>
        <w:t>f</w:t>
      </w:r>
      <w:r>
        <w:lastRenderedPageBreak/>
        <w:t>dioxids bei der Kalibrierung zu führen und der zuständigen Behörde auf Verlangen vorzulegen. Der Betreiber hat die Nachweise fünf Jahre nach der Kalibrierung aufzubewahren.</w:t>
      </w:r>
    </w:p>
    <w:p w:rsidR="0059181C" w:rsidRDefault="0059181C">
      <w:pPr>
        <w:pStyle w:val="GesAbsatz"/>
      </w:pPr>
      <w:r>
        <w:t>(4) Wird die Massenkonzentration an Schwefeldioxid kontinuierlich gemessen, kann die Massenkonzentrat</w:t>
      </w:r>
      <w:r>
        <w:t>i</w:t>
      </w:r>
      <w:r>
        <w:t>on an Schwefeltrioxid bei der Kalibrierung ermittelt und durch Berechnung berücksichtigt werden.</w:t>
      </w:r>
    </w:p>
    <w:p w:rsidR="0059181C" w:rsidRDefault="0059181C">
      <w:pPr>
        <w:pStyle w:val="GesAbsatz"/>
      </w:pPr>
      <w:r>
        <w:t>(5) Abweichend von Absatz 1 sind bei Feuerungsanlagen, die ausschließlich mit Erdgas betrieben werden, Messungen zur Feststellung der Emissionen von Gesamtstaub nicht erforderlich. Bei Betrieb mit anderen gasförmigen Brennstoffen sind Messungen nicht erforderlich, wenn die Emissionsgrenzwerte durch den Ei</w:t>
      </w:r>
      <w:r>
        <w:t>n</w:t>
      </w:r>
      <w:r>
        <w:t>satz entsprechender Brennstoffe eingehalten werden. In diesem Fall hat der Betreiber für jedes Kalenderjahr Nachweise über den Staubgehalt der eingesetzten Brennstoffe zu führen und der zuständigen Behörde auf Verlangen vorzulegen. Die Nachweise sind fünf Jahre nach Ende des Nachweiszeitraums nach Satz 3 au</w:t>
      </w:r>
      <w:r>
        <w:t>f</w:t>
      </w:r>
      <w:r>
        <w:t>zubewahren.</w:t>
      </w:r>
    </w:p>
    <w:p w:rsidR="0059181C" w:rsidRDefault="0059181C">
      <w:pPr>
        <w:pStyle w:val="GesAbsatz"/>
      </w:pPr>
      <w:r>
        <w:t>(6) Abweichend von Absatz 1 sind bei Feuerungsanlagen und Gasturbinenanlagen, die ausschließlich mit leichtem Heizöl, Dieselkraftstoff oder Erdgas betrieben werden, Messungen zur Feststellung der Emissionen an Schwefeloxiden nicht erforderlich. Bei Betrieb mit anderen flüssigen oder gasförmigen Brennstoffen sind Messungen zur Feststellung der Emissionen an Schwefeloxiden nicht erforderlich, wenn die Emission</w:t>
      </w:r>
      <w:r>
        <w:t>s</w:t>
      </w:r>
      <w:r>
        <w:t>grenzwerte durch den Einsatz entsprechender Brennstoffe eingehalten werden. In diesem Fall hat der B</w:t>
      </w:r>
      <w:r>
        <w:t>e</w:t>
      </w:r>
      <w:r>
        <w:t>treiber für jedes Kalenderjahr Nachweise über den Schwefelgehalt und den unteren Heizwert der eingeset</w:t>
      </w:r>
      <w:r>
        <w:t>z</w:t>
      </w:r>
      <w:r>
        <w:t>ten Brennstoffe zu führen und der zuständigen Behörde auf Verlangen vorzulegen. Die Nachweise sind fünf Jahre nach Ende des Nachweiszeitraums nach Satz 3 aufzubewahren.</w:t>
      </w:r>
    </w:p>
    <w:p w:rsidR="0059181C" w:rsidRDefault="0059181C">
      <w:pPr>
        <w:pStyle w:val="GesAbsatz"/>
      </w:pPr>
      <w:r>
        <w:t>(7) Abweichend von Absatz 1 sind bei Feuerungsanlagen, die ausschließlich mit Biobrennstoffen betrieben werden, Messungen zur Feststellung an Schwefeloxiden nicht erforderlich, wenn die Emissionsgrenzwerte durch den Einsatz entsprechender Brennstoffe eingehalten werden. In diesem Fall hat der Betreiber für j</w:t>
      </w:r>
      <w:r>
        <w:t>e</w:t>
      </w:r>
      <w:r>
        <w:t>des Kalenderjahr Nachweise über den Schwefelgehalt und den unteren Heizwert der eingesetzten Bren</w:t>
      </w:r>
      <w:r>
        <w:t>n</w:t>
      </w:r>
      <w:r>
        <w:t>stoffe zu führen und der zuständigen Behörde auf Verlangen vorzulegen. Die Nachweise sind fünf Jahre nach Ende des Nachweiszeitraums nach Satz 2 aufzubewahren.</w:t>
      </w:r>
    </w:p>
    <w:p w:rsidR="0059181C" w:rsidRDefault="0059181C">
      <w:pPr>
        <w:pStyle w:val="GesAbsatz"/>
      </w:pPr>
      <w:r>
        <w:t>(8) Abweichend von Absatz 1 sind bei erdgasbetriebenen Gasturbinen mit einer Feuerungswärmeleistung von weniger als 100 MW Messungen zur Feststellung der Emissionen an Kohlenmonoxid, Stickstoffmonoxid und Stickstoffdioxid nicht erforderlich, wenn durch andere Prüfungen, insbesondere der Prozessbedingu</w:t>
      </w:r>
      <w:r>
        <w:t>n</w:t>
      </w:r>
      <w:r>
        <w:t>gen, sichergestellt ist, dass die Emissionsgrenzwerte eingehalten werden. In diesem Fall hat der Betreiber alle drei Jahre Nachweise über die Korrelation zwischen den Prüfungen und den Emissionsgrenzwerten zu führen und der zuständigen Behörde auf Verlangen vorzulegen. Die Nachweise sind fünf Jahre nach Ende des Nachweiszeitraums nach Satz 2 aufzubewahren.</w:t>
      </w:r>
    </w:p>
    <w:p w:rsidR="0059181C" w:rsidRDefault="0059181C">
      <w:pPr>
        <w:pStyle w:val="GesAbsatz"/>
      </w:pPr>
      <w:r>
        <w:t>(9) Für Quecksilber und seine Verbindungen, angegeben als Quecksilber, soll die zuständige Behörde auf Antrag auf die kontinuierliche Messung verzichten, wenn durch regelmäßige Kontrollen der Brennstoffe z</w:t>
      </w:r>
      <w:r>
        <w:t>u</w:t>
      </w:r>
      <w:r>
        <w:t>verlässig nachgewiesen ist, dass die Emissionsgrenzwerte nach § 3 für Quecksilber und seine Verbindu</w:t>
      </w:r>
      <w:r>
        <w:t>n</w:t>
      </w:r>
      <w:r>
        <w:t>gen nur zu weniger als 50 vom Hundert in Anspruch genommen werden.</w:t>
      </w:r>
    </w:p>
    <w:p w:rsidR="0059181C" w:rsidRDefault="0059181C">
      <w:pPr>
        <w:pStyle w:val="GesAbsatz"/>
      </w:pPr>
      <w:r>
        <w:t>(10) Der Betreiber hat zur Ermittlung des Schwefelabscheidegrades neben der Messung der Emissionen an Schwefeldioxid und Schwefeltrioxid im Abgas den Schwefelgehalt im eingesetzten Brennstoff regelmäßig zu ermitteln. Dabei wird die Art des Nachweises der Einhaltung der Schwefelabscheidegrade als Tagesmitte</w:t>
      </w:r>
      <w:r>
        <w:t>l</w:t>
      </w:r>
      <w:r>
        <w:t>wert durch die zuständige Behörde näher bestimmt.</w:t>
      </w:r>
    </w:p>
    <w:p w:rsidR="0059181C" w:rsidRDefault="0059181C">
      <w:pPr>
        <w:pStyle w:val="GesAbsatz"/>
      </w:pPr>
      <w:r>
        <w:t>(11) Die Nachweise in den Fällen der Absätze 2, 3 und 5 bis 8 sind durch Verfahren entsprechend einschl</w:t>
      </w:r>
      <w:r>
        <w:t>ä</w:t>
      </w:r>
      <w:r>
        <w:t>giger CEN-Normen oder, soweit keine CEN-Normen vorhanden sind, anhand nachgewiesen gleichwertiger Verfahren zu erbringen. Das Verfahren ist der zuständigen Behörde anzuzeigen und von dieser billigen zu lassen. Die Billigung gilt als erteilt, wenn die zuständige Behörde nicht innerhalb einer Frist von vier Wochen widerspricht.</w:t>
      </w:r>
    </w:p>
    <w:p w:rsidR="0059181C" w:rsidRDefault="0059181C">
      <w:pPr>
        <w:pStyle w:val="berschrift3"/>
      </w:pPr>
      <w:bookmarkStart w:id="21" w:name="_Toc333483329"/>
      <w:r>
        <w:t>§ 16</w:t>
      </w:r>
      <w:r>
        <w:br/>
        <w:t>Auswertung und Beurteilung von kontinuierlichen Messungen</w:t>
      </w:r>
      <w:bookmarkEnd w:id="21"/>
    </w:p>
    <w:p w:rsidR="0059181C" w:rsidRDefault="0059181C">
      <w:pPr>
        <w:pStyle w:val="GesAbsatz"/>
      </w:pPr>
      <w:r>
        <w:t>(1) Während des Betriebes der Anlage ist aus den Messwerten für jede aufeinander folgende halbe Stunde der Halbstundenmittelwert zu bilden und auf den Bezugssauerstoffgehalt umzurechnen. Aus den Halbstu</w:t>
      </w:r>
      <w:r>
        <w:t>n</w:t>
      </w:r>
      <w:r>
        <w:t>denmittelwerten ist für jeden Tag der Tagesmittelwert, bezogen auf die tägliche Betriebszeit, zu bilden. Für An- und Abfahrvorgänge, bei denen ein Überschreiten des Zweifachen der festgelegten Emissionsbegre</w:t>
      </w:r>
      <w:r>
        <w:t>n</w:t>
      </w:r>
      <w:r>
        <w:t>zungen nicht verhindert werden kann, sind Sonderregelungen zu treffen.</w:t>
      </w:r>
    </w:p>
    <w:p w:rsidR="0059181C" w:rsidRDefault="0059181C">
      <w:pPr>
        <w:pStyle w:val="GesAbsatz"/>
      </w:pPr>
      <w:r>
        <w:t xml:space="preserve">(2) Über die Ergebnisse der kontinuierlichen Messungen hat der Betreiber für jedes Kalenderjahr einen Messbericht zu erstellen und bis zum 31. März des Folgejahres der zuständigen Behörde vorzulegen. Der Betreiber muss den Bericht nach Satz 1 sowie die zugehörigen Aufzeichnungen der Messgeräte fünf Jahre nach Ende des Berichtszeitraums nach Satz 1 aufbewahren. Soweit die Messergebnisse durch geeignete </w:t>
      </w:r>
      <w:r>
        <w:lastRenderedPageBreak/>
        <w:t>telemetrische Übermittlung der zuständigen Behörde vorliegen, entfällt die Pflicht aus Satz 1 zur Vorlage des Messberichts an die zuständige Behörde.</w:t>
      </w:r>
    </w:p>
    <w:p w:rsidR="0059181C" w:rsidRDefault="0059181C">
      <w:pPr>
        <w:pStyle w:val="GesAbsatz"/>
      </w:pPr>
      <w:r>
        <w:t>(3) Die Emissionsgrenzwerte sind eingehalten, wenn kein Ergebnis eines nach Anhang II validierten Tages- und Halbstundenmittelwertes den jeweils maßgebenden Emissionsgrenzwert nach den §§ 3 bis 6 und 8 überschreitet und kein Ergebnis den Schwefelabscheidegrad nach § 3 oder § 4 unterschreitet.</w:t>
      </w:r>
    </w:p>
    <w:p w:rsidR="0059181C" w:rsidRDefault="0059181C">
      <w:pPr>
        <w:pStyle w:val="berschrift3"/>
      </w:pPr>
      <w:bookmarkStart w:id="22" w:name="_Toc333483330"/>
      <w:r>
        <w:t>§ 17</w:t>
      </w:r>
      <w:r>
        <w:br/>
        <w:t>Einzelmessungen</w:t>
      </w:r>
      <w:bookmarkEnd w:id="22"/>
    </w:p>
    <w:p w:rsidR="0059181C" w:rsidRDefault="0059181C">
      <w:pPr>
        <w:pStyle w:val="GesAbsatz"/>
      </w:pPr>
      <w:r>
        <w:t>(1) Der Betreiber hat nach Errichtung oder wesentlicher Änderung der Anlage Messungen von einer nach § 26 des Bundes-Immissionsschutzgesetzes bekannt gegebenen Stelle zur Feststellung, ob die Anforderu</w:t>
      </w:r>
      <w:r>
        <w:t>n</w:t>
      </w:r>
      <w:r>
        <w:t>gen nach § 3 Abs. 1 Nr. 3 und § 4 Abs. 1 Nr. 3 erfüllt werden, durchführen zu lassen. Die Messungen sind nach Erreichen des ungestörten Betriebes, jedoch frühestens nach dreimonatigem Betrieb und spätestens sechs Monate nach Inbetriebnahme, und anschließend wiederkehrend spätestens alle drei Jahre minde</w:t>
      </w:r>
      <w:r>
        <w:t>s</w:t>
      </w:r>
      <w:r>
        <w:t>tens an drei Tagen durchführen zu lassen (Wiederholungsmessungen). Die Messungen sollen vorgeno</w:t>
      </w:r>
      <w:r>
        <w:t>m</w:t>
      </w:r>
      <w:r>
        <w:t xml:space="preserve">men werden, wenn die Anlagen mit der höchsten Leistung betrieben werden, für die sie bei den während der Messung verwendeten Einsatzstoffen für den Dauerbetrieb zugelassen sind. </w:t>
      </w:r>
    </w:p>
    <w:p w:rsidR="0059181C" w:rsidRDefault="0059181C">
      <w:pPr>
        <w:pStyle w:val="GesAbsatz"/>
      </w:pPr>
      <w:r>
        <w:t>(2) Abweichend von Absatz 1 Satz 1 sind Messungen im Falle einer wesentlichen Änderung nicht erforde</w:t>
      </w:r>
      <w:r>
        <w:t>r</w:t>
      </w:r>
      <w:r>
        <w:t>lich, wenn der Betreiber einer bestehenden Anlage gegenüber der zuständigen Behörde belegt, dass die durchgeführten Maßnahmen keine oder offensichtlich geringe Auswirkungen auf die Verbrennungsbedi</w:t>
      </w:r>
      <w:r>
        <w:t>n</w:t>
      </w:r>
      <w:r>
        <w:t>gungen und auf die Emissionen haben.</w:t>
      </w:r>
    </w:p>
    <w:p w:rsidR="0059181C" w:rsidRDefault="0059181C">
      <w:pPr>
        <w:pStyle w:val="GesAbsatz"/>
      </w:pPr>
      <w:r>
        <w:t xml:space="preserve">(3) Die Probenahmezeit für Messungen zur Bestimmung der Stoffe nach § 3 Abs. 1 Nr. 3 Buchstabe a bis c und § 4 Abs. 1 Nr. 3 Buchstabe a bis c beträgt mindestens eine halbe Stunde; sie soll zwei Stunden nicht überschreiten. Für die Messungen zur Bestimmung der Stoffe nach § 3 Abs. 1 Nr. 3 Buchstabe d und § 4 Abs. 1 Nr. 3 Buchstabe d beträgt die Probenahmezeit mindestens sechs Stunden; sie soll acht Stunden nicht überschreiten. </w:t>
      </w:r>
    </w:p>
    <w:p w:rsidR="0059181C" w:rsidRDefault="0059181C">
      <w:pPr>
        <w:pStyle w:val="GesAbsatz"/>
      </w:pPr>
      <w:r>
        <w:t>(4) Abweichend von Absatz 1 Satz 2 sind bei Feuerungsanlagen für feste und flüssige Brennstoffe die Wi</w:t>
      </w:r>
      <w:r>
        <w:t>e</w:t>
      </w:r>
      <w:r>
        <w:t>derholungsmessungen zur Feststellung der Emissionen an Stoffen nach § 3 Abs. 1 Nr. 3 und § 4 Abs. 1 Nr. 3 nicht erforderlich, wenn durch regelmäßige Kontrollen der Brennstoffe, insbesondere bei Einsatz neuer Brennstoffe, und der Fahrweise zuverlässig nachgewiesen ist, dass die Emissionen weniger als 50 vom Hundert der Emissionsgrenzwerte betragen. In diesem Fall hat der Betreiber für jedes Kalenderjahr entspr</w:t>
      </w:r>
      <w:r>
        <w:t>e</w:t>
      </w:r>
      <w:r>
        <w:t>chende Nachweise zu führen und der zuständigen Behörde auf Verlangen vorzulegen. Der Betreiber hat die Nachweise fünf Jahre nach Ende des Nachweiszeitraums nach Satz 2 aufzubewahren.</w:t>
      </w:r>
    </w:p>
    <w:p w:rsidR="0059181C" w:rsidRDefault="0059181C">
      <w:pPr>
        <w:pStyle w:val="berschrift3"/>
      </w:pPr>
      <w:bookmarkStart w:id="23" w:name="_Toc333483331"/>
      <w:r>
        <w:t>§ 18</w:t>
      </w:r>
      <w:r>
        <w:br/>
        <w:t>Berichte und Beurteilung von Einzelmessungen</w:t>
      </w:r>
      <w:bookmarkEnd w:id="23"/>
    </w:p>
    <w:p w:rsidR="0059181C" w:rsidRDefault="0059181C">
      <w:pPr>
        <w:pStyle w:val="GesAbsatz"/>
      </w:pPr>
      <w:r>
        <w:t>(1) Der Betreiber hat über die Ergebnisse der Messungen nach § 17 einen Messbericht gemäß Satz 2 zu erstellen und der zuständigen Behörde unverzüglich vorzulegen. Der Messbericht muss Angaben über die Messplanung, das Ergebnis jeder Einzelmessung, das verwendete Messverfahren und die Betriebsbedi</w:t>
      </w:r>
      <w:r>
        <w:t>n</w:t>
      </w:r>
      <w:r>
        <w:t>gungen, die für die Beurteilung der Messergebnisse von Bedeutung sind, enthalten.</w:t>
      </w:r>
    </w:p>
    <w:p w:rsidR="0059181C" w:rsidRDefault="0059181C">
      <w:pPr>
        <w:pStyle w:val="GesAbsatz"/>
      </w:pPr>
      <w:r>
        <w:t>(2) Die Emissionsgrenzwerte gelten als eingehalten, wenn kein Ergebnis einer Einzelmessung einen Mitte</w:t>
      </w:r>
      <w:r>
        <w:t>l</w:t>
      </w:r>
      <w:r>
        <w:t>wert nach § 3 oder § 4 überschreitet.</w:t>
      </w:r>
    </w:p>
    <w:p w:rsidR="0059181C" w:rsidRDefault="0059181C">
      <w:pPr>
        <w:pStyle w:val="berschrift3"/>
      </w:pPr>
      <w:bookmarkStart w:id="24" w:name="_Toc333483332"/>
      <w:r>
        <w:t>§ 19</w:t>
      </w:r>
      <w:r>
        <w:br/>
        <w:t>Jährliche Berichte über Emissionen</w:t>
      </w:r>
      <w:bookmarkEnd w:id="24"/>
    </w:p>
    <w:p w:rsidR="0059181C" w:rsidRDefault="0059181C">
      <w:pPr>
        <w:pStyle w:val="GesAbsatz"/>
      </w:pPr>
      <w:r>
        <w:t xml:space="preserve">(1) Der Betreiber einer Anlage hat der zuständigen Behörde erstmals für das Jahr 2004 und dann jährlich jeweils bis zum 31. </w:t>
      </w:r>
      <w:r w:rsidR="00BE3012">
        <w:t xml:space="preserve">Mai </w:t>
      </w:r>
      <w:r>
        <w:t>des Folgejahres für jede einzelne Anlage eine Aufstellung der jährlichen Emissionen an Schwefeloxiden, Stickstoffoxiden und Gesamtstaub sowie den Gesamtenergieeinsatz vorzulegen. Dieser ist auf den unteren Heizwert zu beziehen und nach den Brennstoffarten Biobrennstoffe, sonstige feste Brennstoffe, flüssige Brennstoffe, Erdgas und sonstige gasförmige Brennstoffe aufzuschlüsseln.</w:t>
      </w:r>
    </w:p>
    <w:p w:rsidR="0059181C" w:rsidRDefault="0059181C">
      <w:pPr>
        <w:pStyle w:val="GesAbsatz"/>
      </w:pPr>
      <w:r>
        <w:t>(2) Der Betreiber hat ergänzend eine Zusammenfassung der Ergebnisse dieser Aufstellungen für einen B</w:t>
      </w:r>
      <w:r>
        <w:t>e</w:t>
      </w:r>
      <w:r>
        <w:t xml:space="preserve">richtszeitraum von drei Jahren, beginnend mit den Jahren 2004 bis 2006, jeweils bis zum 31. </w:t>
      </w:r>
      <w:r w:rsidR="00BE3012">
        <w:t xml:space="preserve">Mai </w:t>
      </w:r>
      <w:r>
        <w:t>des Folg</w:t>
      </w:r>
      <w:r>
        <w:t>e</w:t>
      </w:r>
      <w:r>
        <w:t>jahres der zuständigen Behörde vorzulegen.</w:t>
      </w:r>
    </w:p>
    <w:p w:rsidR="0059181C" w:rsidRDefault="0059181C">
      <w:pPr>
        <w:pStyle w:val="GesAbsatz"/>
      </w:pPr>
      <w:r>
        <w:t>(3) Der Bericht nach Absatz 1 und eine Aufstellung der Zusammenfassungen nach Absatz 2, in der die Emissionen aus Raffinerien gesondert ausgewiesen sind, ist dem Bundesministerium für Umwelt, Natu</w:t>
      </w:r>
      <w:r>
        <w:t>r</w:t>
      </w:r>
      <w:r>
        <w:t>schutz und Reaktorsicherheit zur Weiterleitung an die Kommission der Europäischen Gemeinschaften zuz</w:t>
      </w:r>
      <w:r>
        <w:t>u</w:t>
      </w:r>
      <w:r>
        <w:t>leiten.</w:t>
      </w:r>
    </w:p>
    <w:p w:rsidR="005E2268" w:rsidRDefault="005E2268" w:rsidP="005E2268">
      <w:pPr>
        <w:pStyle w:val="berschrift3"/>
      </w:pPr>
      <w:bookmarkStart w:id="25" w:name="_Toc333483333"/>
      <w:r>
        <w:lastRenderedPageBreak/>
        <w:t>§ 19a</w:t>
      </w:r>
      <w:r>
        <w:br/>
        <w:t>Ermittlung der Jahresmittelwerte, Überwachung und Berichterstattung</w:t>
      </w:r>
      <w:bookmarkEnd w:id="25"/>
    </w:p>
    <w:p w:rsidR="005E2268" w:rsidRDefault="005E2268" w:rsidP="005E2268">
      <w:pPr>
        <w:pStyle w:val="GesAbsatz"/>
      </w:pPr>
      <w:r>
        <w:t>(1) Die Jahresmittelwerte werden auf der Grundlage der gemäß der Genehmigung der Anlage zu ermittel</w:t>
      </w:r>
      <w:r>
        <w:t>n</w:t>
      </w:r>
      <w:r>
        <w:t>den jeweiligen Tagesmittelwerte berechnet; hierzu sind die Tagesmittelwerte eines Kalenderjahres zusa</w:t>
      </w:r>
      <w:r>
        <w:t>m</w:t>
      </w:r>
      <w:r>
        <w:t>menzuzählen und durch die Anzahl der Tagesmittelwerte zu teilen. Der Betreiber hat für jedes Kalenderjahr einen Nachweis über die Jahresmittelwerte zu führen und der zuständigen Behörde auf Verlangen vorzul</w:t>
      </w:r>
      <w:r>
        <w:t>e</w:t>
      </w:r>
      <w:r>
        <w:t>gen. Die Nachweise sind fünf Jahre nach Ende des Nachweiszeitraums aufzubewahren.</w:t>
      </w:r>
    </w:p>
    <w:p w:rsidR="005E2268" w:rsidRDefault="005E2268" w:rsidP="005E2268">
      <w:pPr>
        <w:pStyle w:val="GesAbsatz"/>
      </w:pPr>
      <w:r>
        <w:t>(2) Die Emissionsgrenzwerte sind eingehalten, wenn kein Jahresmittelwert einen Emissionsgrenzwert nach § 3 Abs. 1 Satz 2 Nr. 4, § 4 Abs. 1 Satz 2 Nr. 4 und § 6 Abs. 1 Satz 2 Nr. 3 überschreitet.</w:t>
      </w:r>
    </w:p>
    <w:p w:rsidR="005E2268" w:rsidRDefault="005E2268" w:rsidP="005E2268">
      <w:pPr>
        <w:pStyle w:val="GesAbsatz"/>
      </w:pPr>
      <w:r>
        <w:t>(3) Abweichend von den Absätzen 1 und 2 ist bei erdgasbetriebenen Gasturbinen mit einer Feuerungswä</w:t>
      </w:r>
      <w:r>
        <w:t>r</w:t>
      </w:r>
      <w:r>
        <w:t>meleistung von weniger als 100 MW die Ermittlung von Jahresmittelwerten für Stickstoffmonoxid und Stic</w:t>
      </w:r>
      <w:r>
        <w:t>k</w:t>
      </w:r>
      <w:r>
        <w:t>stoffdioxid nicht erforderlich, wenn durch andere Prüfungen, insbesondere der Prozessbedingungen, siche</w:t>
      </w:r>
      <w:r>
        <w:t>r</w:t>
      </w:r>
      <w:r>
        <w:t>gestellt ist, dass die Emissionsgrenzwerte eingehalten werden. In diesem Fall hat der Betreiber alle drei Jahre Nachweise über die Korrelation zwischen den Prüfungen und den Emissionsgrenzwerten zu führen und der zuständigen Behörde auf Verlangen vorzulegen. Die Nachweise sind fünf Jahre nach Ende des Nachweiszeitraums nach Satz 2 aufzubewahren.</w:t>
      </w:r>
    </w:p>
    <w:p w:rsidR="0059181C" w:rsidRDefault="0059181C">
      <w:pPr>
        <w:pStyle w:val="berschrift2"/>
      </w:pPr>
      <w:bookmarkStart w:id="26" w:name="_Toc333483334"/>
      <w:r>
        <w:t>Vierter Teil</w:t>
      </w:r>
      <w:r>
        <w:br/>
        <w:t>Anforderungen an Altanlagen</w:t>
      </w:r>
      <w:bookmarkEnd w:id="26"/>
    </w:p>
    <w:p w:rsidR="0059181C" w:rsidRDefault="0059181C">
      <w:pPr>
        <w:pStyle w:val="berschrift3"/>
      </w:pPr>
      <w:bookmarkStart w:id="27" w:name="_Toc333483335"/>
      <w:r>
        <w:t>§ 20</w:t>
      </w:r>
      <w:r>
        <w:br/>
        <w:t>Übergangsregelung</w:t>
      </w:r>
      <w:bookmarkEnd w:id="27"/>
    </w:p>
    <w:p w:rsidR="0059181C" w:rsidRDefault="0059181C">
      <w:pPr>
        <w:pStyle w:val="GesAbsatz"/>
      </w:pPr>
      <w:r>
        <w:t>(1) Vorbehaltlich der Regelung des Satzes 2 gelten für Altanlagen</w:t>
      </w:r>
    </w:p>
    <w:p w:rsidR="0059181C" w:rsidRDefault="0059181C">
      <w:pPr>
        <w:pStyle w:val="GesAbsatz"/>
        <w:ind w:left="426" w:hanging="426"/>
      </w:pPr>
      <w:r>
        <w:t>a)</w:t>
      </w:r>
      <w:r>
        <w:tab/>
        <w:t xml:space="preserve">die Anforderungen dieser Verordnung ab dem </w:t>
      </w:r>
      <w:smartTag w:uri="urn:schemas-microsoft-com:office:smarttags" w:element="date">
        <w:smartTagPr>
          <w:attr w:name="ls" w:val="trans"/>
          <w:attr w:name="Month" w:val="11"/>
          <w:attr w:name="Day" w:val="1"/>
          <w:attr w:name="Year" w:val="2007"/>
        </w:smartTagPr>
        <w:r>
          <w:t>1. November 2007</w:t>
        </w:r>
      </w:smartTag>
      <w:r>
        <w:t>,</w:t>
      </w:r>
    </w:p>
    <w:p w:rsidR="0059181C" w:rsidRDefault="0059181C">
      <w:pPr>
        <w:pStyle w:val="GesAbsatz"/>
        <w:ind w:left="426" w:hanging="426"/>
      </w:pPr>
      <w:r>
        <w:t>b)</w:t>
      </w:r>
      <w:r>
        <w:tab/>
        <w:t xml:space="preserve">die Anforderungen nach § 6 Abs. 9 ab dem </w:t>
      </w:r>
      <w:smartTag w:uri="urn:schemas-microsoft-com:office:smarttags" w:element="date">
        <w:smartTagPr>
          <w:attr w:name="ls" w:val="trans"/>
          <w:attr w:name="Month" w:val="10"/>
          <w:attr w:name="Day" w:val="1"/>
          <w:attr w:name="Year" w:val="2012"/>
        </w:smartTagPr>
        <w:r>
          <w:t>1. Oktober 2012</w:t>
        </w:r>
      </w:smartTag>
      <w:r>
        <w:t>,</w:t>
      </w:r>
    </w:p>
    <w:p w:rsidR="0059181C" w:rsidRDefault="0059181C">
      <w:pPr>
        <w:pStyle w:val="GesAbsatz"/>
        <w:ind w:left="426" w:hanging="426"/>
      </w:pPr>
      <w:r>
        <w:t>c)</w:t>
      </w:r>
      <w:r>
        <w:tab/>
        <w:t xml:space="preserve">die Anforderungen nach § 6 Abs. 1 Satz 2 Nr. 1 Buchstabe a in Verbindung mit § 6 Abs. 9 sowie die Anforderungen nach § 6 Abs. 1 Satz 2 Nr. 1 Buchstabe b und Nr. 2 für erdgasbetriebene Gasturbinen zum Antrieb von Arbeitsmaschinen für den physikalischen Transport und die Speicherung von Erdgas ab dem </w:t>
      </w:r>
      <w:smartTag w:uri="urn:schemas-microsoft-com:office:smarttags" w:element="date">
        <w:smartTagPr>
          <w:attr w:name="ls" w:val="trans"/>
          <w:attr w:name="Month" w:val="10"/>
          <w:attr w:name="Day" w:val="1"/>
          <w:attr w:name="Year" w:val="2015"/>
        </w:smartTagPr>
        <w:r>
          <w:t>1. Oktober 2015</w:t>
        </w:r>
      </w:smartTag>
      <w:r>
        <w:t>.</w:t>
      </w:r>
    </w:p>
    <w:p w:rsidR="0059181C" w:rsidRDefault="0059181C">
      <w:pPr>
        <w:pStyle w:val="GesAbsatz"/>
      </w:pPr>
      <w:r>
        <w:t xml:space="preserve">Die Anforderungen des Dritten Teils dieser Verordnung gelten ab dem </w:t>
      </w:r>
      <w:smartTag w:uri="urn:schemas-microsoft-com:office:smarttags" w:element="date">
        <w:smartTagPr>
          <w:attr w:name="ls" w:val="trans"/>
          <w:attr w:name="Month" w:val="11"/>
          <w:attr w:name="Day" w:val="27"/>
          <w:attr w:name="Year" w:val="2004"/>
        </w:smartTagPr>
        <w:r>
          <w:t>27. November 2004</w:t>
        </w:r>
      </w:smartTag>
      <w:r>
        <w:t>.</w:t>
      </w:r>
    </w:p>
    <w:p w:rsidR="0059181C" w:rsidRDefault="0059181C">
      <w:pPr>
        <w:pStyle w:val="GesAbsatz"/>
      </w:pPr>
      <w:r>
        <w:t xml:space="preserve">(2) Vorbehaltlich der Regelung des Satzes 4 gelten für Altanlagen die Anforderungen der Verordnung über Großfeuerungsanlagen vom </w:t>
      </w:r>
      <w:smartTag w:uri="urn:schemas-microsoft-com:office:smarttags" w:element="date">
        <w:smartTagPr>
          <w:attr w:name="ls" w:val="trans"/>
          <w:attr w:name="Month" w:val="6"/>
          <w:attr w:name="Day" w:val="22"/>
          <w:attr w:name="Year" w:val="1983"/>
        </w:smartTagPr>
        <w:r>
          <w:t>22. Juni 1983</w:t>
        </w:r>
      </w:smartTag>
      <w:r>
        <w:t xml:space="preserve"> (BGBl. I S. 719), zuletzt geändert durch Artikel 6 des Gesetzes vom </w:t>
      </w:r>
      <w:smartTag w:uri="urn:schemas-microsoft-com:office:smarttags" w:element="date">
        <w:smartTagPr>
          <w:attr w:name="ls" w:val="trans"/>
          <w:attr w:name="Month" w:val="5"/>
          <w:attr w:name="Day" w:val="3"/>
          <w:attr w:name="Year" w:val="2000"/>
        </w:smartTagPr>
        <w:r>
          <w:t>3. Mai 2000</w:t>
        </w:r>
      </w:smartTag>
      <w:r>
        <w:t xml:space="preserve"> (BGBl. I S. 632), jeweils bis zu dem in Absatz 1 Satz 1 genannten Zeitpunkt. Abweichend von Satz 1 gelten bis zu diesem Zeitpunkt die Anforderungen aus der Richtlinie 2001/80/EG des Europä</w:t>
      </w:r>
      <w:r>
        <w:t>i</w:t>
      </w:r>
      <w:r>
        <w:t xml:space="preserve">schen Parlaments und des Rates vom </w:t>
      </w:r>
      <w:smartTag w:uri="urn:schemas-microsoft-com:office:smarttags" w:element="date">
        <w:smartTagPr>
          <w:attr w:name="ls" w:val="trans"/>
          <w:attr w:name="Month" w:val="10"/>
          <w:attr w:name="Day" w:val="23"/>
          <w:attr w:name="Year" w:val="2001"/>
        </w:smartTagPr>
        <w:r>
          <w:t>23. Oktober 2001</w:t>
        </w:r>
      </w:smartTag>
      <w:r>
        <w:t xml:space="preserve"> zur Begrenzung von Schadstoffemissionen von Großfeuerungsanlagen in die Luft (ABl. EG Nr. L 309 S. 1), soweit sie über die Anforderungen der in Satz 1 genannten oder der vorliegenden Verordnung hinausgehen. Gleiches gilt für im Einzelfall durch die zustä</w:t>
      </w:r>
      <w:r>
        <w:t>n</w:t>
      </w:r>
      <w:r>
        <w:t>dige Behörde gestellte Anforderungen zur Vorsorge gegen schädliche Umwelteinwirkungen durch Luftveru</w:t>
      </w:r>
      <w:r>
        <w:t>n</w:t>
      </w:r>
      <w:r>
        <w:t>reinigungen. Die Anforderungen des Vierten Teils der in Satz 1 genannten Verordnung gelten bis zum 26. November 2004.</w:t>
      </w:r>
    </w:p>
    <w:p w:rsidR="0059181C" w:rsidRDefault="0059181C">
      <w:pPr>
        <w:pStyle w:val="GesAbsatz"/>
      </w:pPr>
      <w:r>
        <w:t xml:space="preserve">(3) Wenn ein Betreiber einer Altanlage bis zum </w:t>
      </w:r>
      <w:smartTag w:uri="urn:schemas-microsoft-com:office:smarttags" w:element="date">
        <w:smartTagPr>
          <w:attr w:name="ls" w:val="trans"/>
          <w:attr w:name="Month" w:val="12"/>
          <w:attr w:name="Day" w:val="31"/>
          <w:attr w:name="Year" w:val="2006"/>
        </w:smartTagPr>
        <w:r>
          <w:t>31. Dezember 2006</w:t>
        </w:r>
      </w:smartTag>
      <w:r>
        <w:t xml:space="preserve"> gegenüber der zuständigen Behörde schriftlich erklärt, dass er diese Altanlage unter Verzicht auf die Berechtigung zum Betrieb aus der Gene</w:t>
      </w:r>
      <w:r>
        <w:t>h</w:t>
      </w:r>
      <w:r>
        <w:t xml:space="preserve">migung bis zum </w:t>
      </w:r>
      <w:smartTag w:uri="urn:schemas-microsoft-com:office:smarttags" w:element="date">
        <w:smartTagPr>
          <w:attr w:name="ls" w:val="trans"/>
          <w:attr w:name="Month" w:val="12"/>
          <w:attr w:name="Day" w:val="31"/>
          <w:attr w:name="Year" w:val="2012"/>
        </w:smartTagPr>
        <w:r>
          <w:t>31. Dezember 2012</w:t>
        </w:r>
      </w:smartTag>
      <w:r>
        <w:t xml:space="preserve"> stilllegt, findet Absatz 1 Satz 1 keine Anwendung. Bis zu diesem Zei</w:t>
      </w:r>
      <w:r>
        <w:t>t</w:t>
      </w:r>
      <w:r>
        <w:t xml:space="preserve">punkt gelten die Anforderungen der Verordnung über Großfeuerungsanlagen. Abweichend von Satz 2 gelten bis zu diesem Zeitpunkt die Anforderungen aus der Richtlinie 2001/80/EG des Europäischen Parlaments und des Rates vom </w:t>
      </w:r>
      <w:smartTag w:uri="urn:schemas-microsoft-com:office:smarttags" w:element="date">
        <w:smartTagPr>
          <w:attr w:name="ls" w:val="trans"/>
          <w:attr w:name="Month" w:val="10"/>
          <w:attr w:name="Day" w:val="23"/>
          <w:attr w:name="Year" w:val="2001"/>
        </w:smartTagPr>
        <w:r>
          <w:t>23. Oktober 2001</w:t>
        </w:r>
      </w:smartTag>
      <w:r>
        <w:t xml:space="preserve"> zur Begrenzung von Schadstoffemissionen von Großfeuerungsanlagen in die Luft (ABl. EG Nr. L 309 S. 1), soweit sie über die Anforderungen der in Satz 2 genannten oder der vorli</w:t>
      </w:r>
      <w:r>
        <w:t>e</w:t>
      </w:r>
      <w:r>
        <w:t>genden Verordnung hinausgehen. Gleiches gilt für im Einzelfall durch die zuständige Behörde gestellte A</w:t>
      </w:r>
      <w:r>
        <w:t>n</w:t>
      </w:r>
      <w:r>
        <w:t>forderungen zur Vorsorge gegen schädliche Umwelteinwirkungen durch Luftverunreinigungen. Gibt der B</w:t>
      </w:r>
      <w:r>
        <w:t>e</w:t>
      </w:r>
      <w:r>
        <w:t xml:space="preserve">treiber keine Erklärung ab, gelten die Anforderungen für einen unbefristeten Betrieb. </w:t>
      </w:r>
    </w:p>
    <w:p w:rsidR="0059181C" w:rsidRDefault="0059181C">
      <w:pPr>
        <w:pStyle w:val="GesAbsatz"/>
      </w:pPr>
      <w:r>
        <w:t xml:space="preserve">(4) Abweichend von Absatz 1 Satz 1 Buchstabe a gilt für eine Altanlage, die auf Grund der Verordnung über Großfeuerungsanlagen nachgerüstet wurde und die über </w:t>
      </w:r>
      <w:smartTag w:uri="urn:schemas-microsoft-com:office:smarttags" w:element="date">
        <w:smartTagPr>
          <w:attr w:name="ls" w:val="trans"/>
          <w:attr w:name="Month" w:val="12"/>
          <w:attr w:name="Day" w:val="31"/>
          <w:attr w:name="Year" w:val="2012"/>
        </w:smartTagPr>
        <w:r>
          <w:t>den 31. Dezember 2012</w:t>
        </w:r>
      </w:smartTag>
      <w:r>
        <w:t xml:space="preserve"> hinaus betrieben werden soll, eine Frist bis zum </w:t>
      </w:r>
      <w:smartTag w:uri="urn:schemas-microsoft-com:office:smarttags" w:element="date">
        <w:smartTagPr>
          <w:attr w:name="ls" w:val="trans"/>
          <w:attr w:name="Month" w:val="12"/>
          <w:attr w:name="Day" w:val="31"/>
          <w:attr w:name="Year" w:val="2010"/>
        </w:smartTagPr>
        <w:r>
          <w:t>31. Dezember 2010</w:t>
        </w:r>
      </w:smartTag>
      <w:r>
        <w:t>. Absatz 2 Satz 1 bis 3 gilt entsprechend.</w:t>
      </w:r>
    </w:p>
    <w:p w:rsidR="005E2268" w:rsidRDefault="005E2268" w:rsidP="005E2268">
      <w:pPr>
        <w:pStyle w:val="berschrift3"/>
      </w:pPr>
      <w:bookmarkStart w:id="28" w:name="_Toc333483336"/>
      <w:r>
        <w:lastRenderedPageBreak/>
        <w:t>§ 20a</w:t>
      </w:r>
      <w:r>
        <w:br/>
        <w:t>Übergangsregelungen für die Einhaltung von Jahresmittelwerten</w:t>
      </w:r>
      <w:bookmarkEnd w:id="28"/>
    </w:p>
    <w:p w:rsidR="005E2268" w:rsidRDefault="005E2268" w:rsidP="005E2268">
      <w:pPr>
        <w:pStyle w:val="GesAbsatz"/>
      </w:pPr>
      <w:r>
        <w:t>(1) Die Forderungen zur Einhaltung von Jahresmittelwerten für Stickstoffmonoxid und Stickstoffdioxid, ang</w:t>
      </w:r>
      <w:r>
        <w:t>e</w:t>
      </w:r>
      <w:r>
        <w:t>geben als Stickstoffdioxid, sowie die Anforderungen nach § 19a gelten für Anlagen, die nach dem 31. D</w:t>
      </w:r>
      <w:r>
        <w:t>e</w:t>
      </w:r>
      <w:r>
        <w:t>zember 2012 in Betrieb gehen.</w:t>
      </w:r>
    </w:p>
    <w:p w:rsidR="005E2268" w:rsidRDefault="005E2268" w:rsidP="005E2268">
      <w:pPr>
        <w:pStyle w:val="GesAbsatz"/>
      </w:pPr>
      <w:r>
        <w:t>(2) Wird eine Anlage nach dem 31. Dezember 2012 wesentlich geändert, gelten die Forderungen zur Einha</w:t>
      </w:r>
      <w:r>
        <w:t>l</w:t>
      </w:r>
      <w:r>
        <w:t>tung von Jahresmittelwerten für Stickstoffmonoxid und Stickstoffdioxid, angegeben als Stickstoffdioxid, sowie die Anforderungen nach § 19a entsprechend für die Anlagenteile und Verfahrensschritte, die geändert we</w:t>
      </w:r>
      <w:r>
        <w:t>r</w:t>
      </w:r>
      <w:r>
        <w:t>den sollen, sowie für die Anlagenteile und Verfahrensschritte, auf die sich die Änderung auswirken wird.</w:t>
      </w:r>
    </w:p>
    <w:p w:rsidR="005E2268" w:rsidRDefault="005E2268" w:rsidP="005E2268">
      <w:pPr>
        <w:pStyle w:val="GesAbsatz"/>
      </w:pPr>
      <w:r>
        <w:t>(3) Abweichend von Absatz 1 gelten die Forderungen zur Einhaltung von Jahresmittelwerten für Stickstof</w:t>
      </w:r>
      <w:r>
        <w:t>f</w:t>
      </w:r>
      <w:r>
        <w:t>monoxid und Stickstoffdioxid, angegeben als Stickstoffdioxid, sowie die Anforderungen nach § 19a nicht für Anlagen,</w:t>
      </w:r>
    </w:p>
    <w:p w:rsidR="005E2268" w:rsidRDefault="005E2268" w:rsidP="0014630B">
      <w:pPr>
        <w:pStyle w:val="GesAbsatz"/>
        <w:ind w:left="426" w:hanging="426"/>
      </w:pPr>
      <w:r>
        <w:t>1.</w:t>
      </w:r>
      <w:r>
        <w:tab/>
        <w:t>für die bis zum 31. Dezember 2010 ein vollständiger</w:t>
      </w:r>
      <w:r w:rsidR="0014630B">
        <w:t xml:space="preserve"> </w:t>
      </w:r>
      <w:r>
        <w:t>Genehmigungsantrag zur Errichtung und</w:t>
      </w:r>
      <w:r w:rsidR="0014630B">
        <w:t xml:space="preserve"> </w:t>
      </w:r>
      <w:r>
        <w:t>zum B</w:t>
      </w:r>
      <w:r>
        <w:t>e</w:t>
      </w:r>
      <w:r>
        <w:t>trieb nach § 4 oder § 16 des Bundes-Immissionsschutzgesetzes</w:t>
      </w:r>
      <w:r w:rsidR="0014630B">
        <w:t xml:space="preserve"> </w:t>
      </w:r>
      <w:r>
        <w:t>gestellt worden ist oder</w:t>
      </w:r>
      <w:r w:rsidR="0014630B">
        <w:t xml:space="preserve"> </w:t>
      </w:r>
      <w:r>
        <w:t>mit deren E</w:t>
      </w:r>
      <w:r>
        <w:t>r</w:t>
      </w:r>
      <w:r>
        <w:t>richtung vor dem 31. Dezember 2011</w:t>
      </w:r>
      <w:r w:rsidR="0014630B">
        <w:t xml:space="preserve"> </w:t>
      </w:r>
      <w:r>
        <w:t>begonnen worden ist, und</w:t>
      </w:r>
    </w:p>
    <w:p w:rsidR="005E2268" w:rsidRDefault="005E2268" w:rsidP="005E2268">
      <w:pPr>
        <w:pStyle w:val="GesAbsatz"/>
      </w:pPr>
      <w:r>
        <w:t>2.</w:t>
      </w:r>
      <w:r w:rsidR="0014630B">
        <w:tab/>
      </w:r>
      <w:r>
        <w:t>die den Betrieb vor dem 31. Dezember 2013 aufgenommen</w:t>
      </w:r>
      <w:r w:rsidR="0014630B">
        <w:t xml:space="preserve"> </w:t>
      </w:r>
      <w:r>
        <w:t>haben.</w:t>
      </w:r>
    </w:p>
    <w:p w:rsidR="0059181C" w:rsidRDefault="0059181C">
      <w:pPr>
        <w:pStyle w:val="berschrift2"/>
      </w:pPr>
      <w:bookmarkStart w:id="29" w:name="_Toc333483337"/>
      <w:r>
        <w:t>Fünfter Teil</w:t>
      </w:r>
      <w:r>
        <w:br/>
        <w:t>Gemeinsame Vorschriften</w:t>
      </w:r>
      <w:bookmarkEnd w:id="29"/>
    </w:p>
    <w:p w:rsidR="0059181C" w:rsidRDefault="0059181C">
      <w:pPr>
        <w:pStyle w:val="berschrift3"/>
      </w:pPr>
      <w:bookmarkStart w:id="30" w:name="_Toc333483338"/>
      <w:r>
        <w:t>§ 21</w:t>
      </w:r>
      <w:r>
        <w:br/>
        <w:t>Zulassung von Ausnahmen</w:t>
      </w:r>
      <w:bookmarkEnd w:id="30"/>
    </w:p>
    <w:p w:rsidR="0059181C" w:rsidRDefault="0059181C">
      <w:pPr>
        <w:pStyle w:val="GesAbsatz"/>
      </w:pPr>
      <w:r>
        <w:t>(1) Die zuständige Behörde kann auf Antrag des Betreibers Ausnahmen von Vorschriften dieser Verordnung zulassen, soweit unter Berücksichtigung der besonderen Umstände des Einzelfalls</w:t>
      </w:r>
    </w:p>
    <w:p w:rsidR="0059181C" w:rsidRDefault="0059181C">
      <w:pPr>
        <w:pStyle w:val="GesAbsatz"/>
        <w:ind w:left="426" w:hanging="426"/>
      </w:pPr>
      <w:r>
        <w:t>1.</w:t>
      </w:r>
      <w:r>
        <w:tab/>
        <w:t>einzelne Anforderungen der Verordnung nicht oder nur mit unverhältnismäßigem Aufwand erfüllbar sind,</w:t>
      </w:r>
    </w:p>
    <w:p w:rsidR="0059181C" w:rsidRDefault="0059181C">
      <w:pPr>
        <w:pStyle w:val="GesAbsatz"/>
        <w:ind w:left="426" w:hanging="426"/>
      </w:pPr>
      <w:r>
        <w:t>2.</w:t>
      </w:r>
      <w:r>
        <w:tab/>
        <w:t>im Übrigen die dem Stand der Technik entsprechenden Maßnahmen zur Emissionsbegrenzung ang</w:t>
      </w:r>
      <w:r>
        <w:t>e</w:t>
      </w:r>
      <w:r>
        <w:t>wandt werden,</w:t>
      </w:r>
    </w:p>
    <w:p w:rsidR="0059181C" w:rsidRDefault="0059181C">
      <w:pPr>
        <w:pStyle w:val="GesAbsatz"/>
        <w:ind w:left="426" w:hanging="426"/>
      </w:pPr>
      <w:r>
        <w:t>3.</w:t>
      </w:r>
      <w:r>
        <w:tab/>
        <w:t>die Schornsteinhöhe nach der TA Luft in der jeweils gültigen Fassung auch für den als Ausnahme zug</w:t>
      </w:r>
      <w:r>
        <w:t>e</w:t>
      </w:r>
      <w:r>
        <w:t>lassenen Emissionsgrenzwert ausgelegt ist, es sei denn, auch insoweit liegen die Voraussetzungen der Nummer 1 vor, und</w:t>
      </w:r>
    </w:p>
    <w:p w:rsidR="0059181C" w:rsidRDefault="0059181C">
      <w:pPr>
        <w:pStyle w:val="GesAbsatz"/>
        <w:ind w:left="426" w:hanging="426"/>
      </w:pPr>
      <w:r>
        <w:t>4.</w:t>
      </w:r>
      <w:r>
        <w:tab/>
        <w:t xml:space="preserve">die Ausnahmen den Anforderungen aus der Richtlinie 2001/80/EG des Europäischen Parlaments und des Rates vom </w:t>
      </w:r>
      <w:smartTag w:uri="urn:schemas-microsoft-com:office:smarttags" w:element="date">
        <w:smartTagPr>
          <w:attr w:name="ls" w:val="trans"/>
          <w:attr w:name="Month" w:val="10"/>
          <w:attr w:name="Day" w:val="23"/>
          <w:attr w:name="Year" w:val="2001"/>
        </w:smartTagPr>
        <w:r>
          <w:t>23. Oktober 2001</w:t>
        </w:r>
      </w:smartTag>
      <w:r>
        <w:t xml:space="preserve"> zur Begrenzung von Schadstoffemissionen von Großfeuerungsanl</w:t>
      </w:r>
      <w:r>
        <w:t>a</w:t>
      </w:r>
      <w:r>
        <w:t>gen in die Luft (ABl. EG Nr. L 309 S. 1) nicht entgegenstehen.</w:t>
      </w:r>
    </w:p>
    <w:p w:rsidR="0059181C" w:rsidRDefault="0059181C">
      <w:pPr>
        <w:pStyle w:val="GesAbsatz"/>
      </w:pPr>
      <w:r>
        <w:t>(2) Soweit in Übereinstimmung mit der Richtlinie 2001/80/EG Ausnahmen erteilt werden, die eine Bericht</w:t>
      </w:r>
      <w:r>
        <w:t>s</w:t>
      </w:r>
      <w:r>
        <w:t>pflicht an die Kommission der Europäischen Gemeinschaften auslösen, ist eine Ausfertigung der Ausna</w:t>
      </w:r>
      <w:r>
        <w:t>h</w:t>
      </w:r>
      <w:r>
        <w:t>megenehmigung nach Satz 1 dem Bundesministerium für Umwelt, Naturschutz und Reaktorsicherheit u</w:t>
      </w:r>
      <w:r>
        <w:t>n</w:t>
      </w:r>
      <w:r>
        <w:t>verzüglich zur Weiterleitung an die Kommission der Europäischen Gemeinschaften zuzuleiten.</w:t>
      </w:r>
    </w:p>
    <w:p w:rsidR="0059181C" w:rsidRDefault="0059181C">
      <w:pPr>
        <w:pStyle w:val="berschrift3"/>
      </w:pPr>
      <w:bookmarkStart w:id="31" w:name="_Toc333483339"/>
      <w:r>
        <w:t>§ 22</w:t>
      </w:r>
      <w:r>
        <w:br/>
        <w:t>Weitergehende Anforderungen</w:t>
      </w:r>
      <w:bookmarkEnd w:id="31"/>
    </w:p>
    <w:p w:rsidR="0059181C" w:rsidRDefault="0059181C">
      <w:pPr>
        <w:pStyle w:val="GesAbsatz"/>
      </w:pPr>
      <w:r>
        <w:t>(1) Die Befugnisse der zuständigen Behörde, andere oder weitergehende Anforderungen, insbesondere zur Vermeidung schädlicher Umwelteinwirkungen nach § 5 Abs. 1 Nr. 1 des Bundes-Immissionsschutzgesetzes, zu treffen, bleiben unberührt.</w:t>
      </w:r>
    </w:p>
    <w:p w:rsidR="0059181C" w:rsidRDefault="0059181C">
      <w:pPr>
        <w:pStyle w:val="GesAbsatz"/>
      </w:pPr>
      <w:r>
        <w:t>(2) Wurden bei einer Anlage im Einzelfall bereits Anforderungen zur Vorsorge gegen schädliche Umweltei</w:t>
      </w:r>
      <w:r>
        <w:t>n</w:t>
      </w:r>
      <w:r>
        <w:t>wirkungen durch Luftverunreinigungen getroffen, die über die Anforderungen dieser Verordnung hinausg</w:t>
      </w:r>
      <w:r>
        <w:t>e</w:t>
      </w:r>
      <w:r>
        <w:t>hen, sind sie weiterhin maßgeblich.</w:t>
      </w:r>
    </w:p>
    <w:p w:rsidR="0059181C" w:rsidRDefault="0059181C">
      <w:pPr>
        <w:pStyle w:val="berschrift3"/>
      </w:pPr>
      <w:bookmarkStart w:id="32" w:name="_Toc333483340"/>
      <w:r>
        <w:t>§ 23</w:t>
      </w:r>
      <w:r>
        <w:br/>
        <w:t>Zugänglichkeit der Normen- und Arbeitsblätter</w:t>
      </w:r>
      <w:bookmarkEnd w:id="32"/>
    </w:p>
    <w:p w:rsidR="0059181C" w:rsidRDefault="0059181C">
      <w:pPr>
        <w:pStyle w:val="GesAbsatz"/>
      </w:pPr>
      <w:r>
        <w:t>Die in den §§ 2 und 4 genannten DIN-Normen sowie die in § 15 genannten CEN-Normen sind bei der Beuth Verlag GmbH, Berlin, zu beziehen. Das in § 2 genannte DVGW-Arbeitsblatt ist bei der Wirtschafts- und Ve</w:t>
      </w:r>
      <w:r>
        <w:t>r</w:t>
      </w:r>
      <w:r>
        <w:t xml:space="preserve">lagsgesellschaft Gas und Wasser mbH, Bonn, zu beziehen. Die genannten Normen sowie das genannte </w:t>
      </w:r>
      <w:r>
        <w:lastRenderedPageBreak/>
        <w:t>Arbeitsblatt sind bei dem Deutschen Patent- und Markenamt in München archivmäßig gesichert niederg</w:t>
      </w:r>
      <w:r>
        <w:t>e</w:t>
      </w:r>
      <w:r>
        <w:t>legt.</w:t>
      </w:r>
    </w:p>
    <w:p w:rsidR="0059181C" w:rsidRDefault="0059181C">
      <w:pPr>
        <w:pStyle w:val="berschrift3"/>
      </w:pPr>
      <w:bookmarkStart w:id="33" w:name="_Toc333483341"/>
      <w:r>
        <w:t>§ 24</w:t>
      </w:r>
      <w:r>
        <w:br/>
        <w:t>Ordnungswidrigkeiten</w:t>
      </w:r>
      <w:bookmarkEnd w:id="33"/>
    </w:p>
    <w:p w:rsidR="0059181C" w:rsidRDefault="0014630B">
      <w:pPr>
        <w:pStyle w:val="GesAbsatz"/>
      </w:pPr>
      <w:r>
        <w:t xml:space="preserve">(1) </w:t>
      </w:r>
      <w:r w:rsidR="0059181C">
        <w:t>Ordnungswidrig im Sinne des § 62 Abs. 1 Nr. 2 des Bundes-Immissionsschutzgesetzes handelt, wer vorsätzlich oder fahrlässig</w:t>
      </w:r>
    </w:p>
    <w:p w:rsidR="0059181C" w:rsidRDefault="0059181C">
      <w:pPr>
        <w:pStyle w:val="GesAbsatz"/>
        <w:ind w:left="426" w:hanging="426"/>
      </w:pPr>
      <w:r>
        <w:t>1.</w:t>
      </w:r>
      <w:r>
        <w:tab/>
        <w:t>entgegen § 3 Abs. 1 Satz 1, § 4 Abs. 1 Satz 1, § 5 Abs. 1 Satz 1, § 6 Abs. 1 Satz 1 oder § 8 Abs. 1 Satz 1 eine dort genannte Anlage nicht richtig errichtet oder nicht richtig betreibt,</w:t>
      </w:r>
    </w:p>
    <w:p w:rsidR="0059181C" w:rsidRDefault="0059181C">
      <w:pPr>
        <w:pStyle w:val="GesAbsatz"/>
        <w:ind w:left="426" w:hanging="426"/>
      </w:pPr>
      <w:r>
        <w:t>2.</w:t>
      </w:r>
      <w:r>
        <w:tab/>
        <w:t>entgegen § 12 Abs. 1 Satz 1 eine Maßnahme nicht oder nicht rechtzeitig trifft,</w:t>
      </w:r>
    </w:p>
    <w:p w:rsidR="0059181C" w:rsidRDefault="0059181C">
      <w:pPr>
        <w:pStyle w:val="GesAbsatz"/>
        <w:ind w:left="426" w:hanging="426"/>
      </w:pPr>
      <w:r>
        <w:t>3.</w:t>
      </w:r>
      <w:r>
        <w:tab/>
        <w:t>entgegen § 12 Abs. 1 Satz 2 den Betrieb einer Anlage nicht oder nicht rechtzeitig einschränkt oder die Anlage nicht oder nicht rechtzeitig außer Betrieb nimmt,</w:t>
      </w:r>
    </w:p>
    <w:p w:rsidR="0059181C" w:rsidRDefault="0059181C">
      <w:pPr>
        <w:pStyle w:val="GesAbsatz"/>
        <w:ind w:left="426" w:hanging="426"/>
      </w:pPr>
      <w:r>
        <w:t>4.</w:t>
      </w:r>
      <w:r>
        <w:tab/>
        <w:t>entgegen § 12 Abs. 1 Satz 3 die zuständige Behörde nicht, nicht richtig, nicht vollständig oder nicht rechtzeitig unterrichtet,</w:t>
      </w:r>
    </w:p>
    <w:p w:rsidR="0059181C" w:rsidRDefault="0059181C">
      <w:pPr>
        <w:pStyle w:val="GesAbsatz"/>
      </w:pPr>
      <w:r>
        <w:t>5.</w:t>
      </w:r>
      <w:r>
        <w:tab/>
        <w:t>entgegen § 12 Abs. 2 Satz 2 eine Anlage betreibt,</w:t>
      </w:r>
    </w:p>
    <w:p w:rsidR="0059181C" w:rsidRDefault="0059181C">
      <w:pPr>
        <w:pStyle w:val="GesAbsatz"/>
      </w:pPr>
      <w:r>
        <w:t>6.</w:t>
      </w:r>
      <w:r>
        <w:tab/>
        <w:t>entgegen § 14 Abs. 2 Satz 1 eine Bescheinigung nicht oder nicht rechtzeitig vorlegt,</w:t>
      </w:r>
    </w:p>
    <w:p w:rsidR="0059181C" w:rsidRDefault="0059181C">
      <w:pPr>
        <w:pStyle w:val="GesAbsatz"/>
        <w:ind w:left="426" w:hanging="426"/>
      </w:pPr>
      <w:r>
        <w:t>7.</w:t>
      </w:r>
      <w:r>
        <w:tab/>
        <w:t>entgegen § 14 Abs. 3 Satz 1 oder 2 eine Messeinrichtung nicht oder nicht rechtzeitig prüfen lässt oder eine Kalibrierung nicht oder nicht rechtzeitig durchführen lässt,</w:t>
      </w:r>
    </w:p>
    <w:p w:rsidR="0059181C" w:rsidRDefault="0059181C">
      <w:pPr>
        <w:pStyle w:val="GesAbsatz"/>
        <w:ind w:left="426" w:hanging="426"/>
      </w:pPr>
      <w:r>
        <w:t>8.</w:t>
      </w:r>
      <w:r>
        <w:tab/>
        <w:t>entgegen § 14 Abs. 3 Satz 3, § 16 Abs. 2 Satz 1, § 18 Abs. 1 Satz 1 oder § 19 Abs. 1 oder 2 einen B</w:t>
      </w:r>
      <w:r>
        <w:t>e</w:t>
      </w:r>
      <w:r>
        <w:t>richt, eine Aufstellung oder eine Zusammenfassung nicht, nicht richtig, nicht vollständig oder nicht rechtzeitig vorlegt,</w:t>
      </w:r>
    </w:p>
    <w:p w:rsidR="0059181C" w:rsidRDefault="0059181C">
      <w:pPr>
        <w:pStyle w:val="GesAbsatz"/>
        <w:ind w:left="426" w:hanging="426"/>
      </w:pPr>
      <w:r>
        <w:t>9.</w:t>
      </w:r>
      <w:r>
        <w:tab/>
        <w:t>entgegen § 15 Abs. 1 Satz 1 die Massenkonzentration der Emissionen, den Volumengehalt an Saue</w:t>
      </w:r>
      <w:r>
        <w:t>r</w:t>
      </w:r>
      <w:r>
        <w:t xml:space="preserve">stoff oder eine dort genannte Betriebsgröße nicht, nicht richtig oder nicht vollständig auswertet oder nicht, nicht richtig oder nicht vollständig übermittelt, </w:t>
      </w:r>
    </w:p>
    <w:p w:rsidR="0059181C" w:rsidRDefault="0059181C">
      <w:pPr>
        <w:pStyle w:val="GesAbsatz"/>
        <w:tabs>
          <w:tab w:val="clear" w:pos="425"/>
        </w:tabs>
        <w:ind w:left="426" w:hanging="426"/>
      </w:pPr>
      <w:r>
        <w:t>10.</w:t>
      </w:r>
      <w:r>
        <w:tab/>
        <w:t>entgegen § 15 Abs. 1 Satz 2 eine Anlage nicht, nicht richtig oder nicht rechtzeitig ausrüstet,</w:t>
      </w:r>
    </w:p>
    <w:p w:rsidR="0059181C" w:rsidRDefault="0059181C">
      <w:pPr>
        <w:pStyle w:val="GesAbsatz"/>
        <w:tabs>
          <w:tab w:val="clear" w:pos="425"/>
        </w:tabs>
        <w:ind w:left="426" w:hanging="426"/>
      </w:pPr>
      <w:r>
        <w:t>11.</w:t>
      </w:r>
      <w:r>
        <w:tab/>
        <w:t>entgegen § 15 Abs. 2 Satz 3 oder 4, Abs. 3 Satz 2 oder 3, Abs. 5 Satz 3 oder 4, Abs. 6 Satz 3 oder 4 oder Abs. 7 Satz 2 oder 3 oder § 17 Abs. 4 Satz 2 oder 3 einen Nachweis nicht führt, nicht oder nicht rechtzeitig vorlegt oder nicht oder nicht mindestens fünf Jahre aufbewahrt,</w:t>
      </w:r>
    </w:p>
    <w:p w:rsidR="0059181C" w:rsidRDefault="0059181C">
      <w:pPr>
        <w:pStyle w:val="GesAbsatz"/>
        <w:tabs>
          <w:tab w:val="clear" w:pos="425"/>
        </w:tabs>
        <w:ind w:left="426" w:hanging="426"/>
      </w:pPr>
      <w:r>
        <w:t>12.</w:t>
      </w:r>
      <w:r>
        <w:tab/>
        <w:t>entgegen § 16 Abs. 2 Satz 2 einen Bericht oder eine Aufzeichnung nicht oder nicht mindestens fünf Jahre aufbewahrt oder</w:t>
      </w:r>
    </w:p>
    <w:p w:rsidR="0059181C" w:rsidRDefault="0059181C">
      <w:pPr>
        <w:pStyle w:val="GesAbsatz"/>
        <w:tabs>
          <w:tab w:val="clear" w:pos="425"/>
        </w:tabs>
        <w:ind w:left="426" w:hanging="426"/>
      </w:pPr>
      <w:r>
        <w:t>13.</w:t>
      </w:r>
      <w:r>
        <w:tab/>
        <w:t>entgegen § 17 Abs. 1 Satz 1 oder 2 eine Messung nicht oder nicht rechtzeitig durchführen lässt.</w:t>
      </w:r>
    </w:p>
    <w:p w:rsidR="0014630B" w:rsidRDefault="0014630B" w:rsidP="0014630B">
      <w:pPr>
        <w:pStyle w:val="GesAbsatz"/>
        <w:tabs>
          <w:tab w:val="clear" w:pos="425"/>
        </w:tabs>
      </w:pPr>
      <w:r>
        <w:t>(2) Ordnungswidrig im Sinne des § 62 Abs. 1 Nr. 7 des Bundes-Immissionsschutzgesetzes handelt, wer vorsätzlich oder fahrlässig entgegen § 4 Abs. 1a Satz 2 oder 3 oder § 19a Abs. 3 Satz 2 oder 3 einen Nac</w:t>
      </w:r>
      <w:r>
        <w:t>h</w:t>
      </w:r>
      <w:r>
        <w:t>weis nicht, nicht richtig oder nicht vollständig führt, nicht oder nicht rechtzeitig vorlegt oder nicht oder nicht mindestens fünf Jahre aufbewahrt.</w:t>
      </w:r>
    </w:p>
    <w:p w:rsidR="0059181C" w:rsidRDefault="0059181C">
      <w:pPr>
        <w:pStyle w:val="berschrift2"/>
      </w:pPr>
      <w:bookmarkStart w:id="34" w:name="_Toc333483342"/>
      <w:r>
        <w:t>Sechster Teil</w:t>
      </w:r>
      <w:r>
        <w:br/>
        <w:t>Schlussvorschriften</w:t>
      </w:r>
      <w:bookmarkEnd w:id="34"/>
    </w:p>
    <w:p w:rsidR="0059181C" w:rsidRDefault="0059181C">
      <w:pPr>
        <w:pStyle w:val="berschrift3"/>
      </w:pPr>
      <w:bookmarkStart w:id="35" w:name="_Toc333483343"/>
      <w:r>
        <w:t>§ 25</w:t>
      </w:r>
      <w:r>
        <w:br/>
        <w:t>Inkrafttreten, Außerkrafttreten</w:t>
      </w:r>
      <w:bookmarkEnd w:id="35"/>
    </w:p>
    <w:p w:rsidR="0059181C" w:rsidRDefault="0059181C">
      <w:pPr>
        <w:pStyle w:val="GesAbsatz"/>
      </w:pPr>
      <w:r>
        <w:t>Diese Verordnung tritt am Tag nach der Verkündung in Kraft. Gleichzeitig tritt die Verordnung über Großfe</w:t>
      </w:r>
      <w:r>
        <w:t>u</w:t>
      </w:r>
      <w:r>
        <w:t xml:space="preserve">erungsanlagen vom </w:t>
      </w:r>
      <w:smartTag w:uri="urn:schemas-microsoft-com:office:smarttags" w:element="date">
        <w:smartTagPr>
          <w:attr w:name="ls" w:val="trans"/>
          <w:attr w:name="Month" w:val="6"/>
          <w:attr w:name="Day" w:val="22"/>
          <w:attr w:name="Year" w:val="1983"/>
        </w:smartTagPr>
        <w:r>
          <w:t>22. Juni 1983</w:t>
        </w:r>
      </w:smartTag>
      <w:r>
        <w:t xml:space="preserve"> (BGBl. I S. 719), geändert durch Artikel 6 des Gesetzes vom </w:t>
      </w:r>
      <w:smartTag w:uri="urn:schemas-microsoft-com:office:smarttags" w:element="date">
        <w:smartTagPr>
          <w:attr w:name="ls" w:val="trans"/>
          <w:attr w:name="Month" w:val="5"/>
          <w:attr w:name="Day" w:val="3"/>
          <w:attr w:name="Year" w:val="2000"/>
        </w:smartTagPr>
        <w:r>
          <w:t>3. Mai 2000</w:t>
        </w:r>
      </w:smartTag>
      <w:r>
        <w:t xml:space="preserve"> (BGBl. I S. 632), außer Kraft.</w:t>
      </w:r>
    </w:p>
    <w:p w:rsidR="0059181C" w:rsidRDefault="0059181C">
      <w:pPr>
        <w:pStyle w:val="GesAbsatz"/>
      </w:pPr>
    </w:p>
    <w:p w:rsidR="0059181C" w:rsidRDefault="0059181C">
      <w:pPr>
        <w:pStyle w:val="berschrift2"/>
        <w:jc w:val="left"/>
      </w:pPr>
      <w:r>
        <w:br w:type="page"/>
      </w:r>
      <w:bookmarkStart w:id="36" w:name="_Toc333483344"/>
      <w:r>
        <w:lastRenderedPageBreak/>
        <w:t>Anhang I</w:t>
      </w:r>
      <w:r>
        <w:br/>
        <w:t>Äquivalenzfaktoren</w:t>
      </w:r>
      <w:bookmarkEnd w:id="36"/>
    </w:p>
    <w:p w:rsidR="0059181C" w:rsidRDefault="0059181C">
      <w:pPr>
        <w:pStyle w:val="GesAbsatz"/>
      </w:pPr>
    </w:p>
    <w:p w:rsidR="0059181C" w:rsidRDefault="0059181C">
      <w:pPr>
        <w:pStyle w:val="GesAbsatz"/>
      </w:pPr>
      <w:r>
        <w:t>Für den nach § 3 Abs. 1 Nr. 3 Buchstabe d oder § 4 Abs. 1 Nr. 3 Buchstabe d zu bildenden Summenwert sind die im Abgas ermittelten Konzentrationen der nachstehend genannten Dioxine und Furane mit den a</w:t>
      </w:r>
      <w:r>
        <w:t>n</w:t>
      </w:r>
      <w:r>
        <w:t>gegebenen Äquivalenzfaktoren zu multiplizieren und zu summieren:</w:t>
      </w:r>
    </w:p>
    <w:tbl>
      <w:tblPr>
        <w:tblW w:w="0" w:type="auto"/>
        <w:tblInd w:w="8" w:type="dxa"/>
        <w:tblLayout w:type="fixed"/>
        <w:tblCellMar>
          <w:left w:w="113" w:type="dxa"/>
          <w:right w:w="0" w:type="dxa"/>
        </w:tblCellMar>
        <w:tblLook w:val="0000" w:firstRow="0" w:lastRow="0" w:firstColumn="0" w:lastColumn="0" w:noHBand="0" w:noVBand="0"/>
      </w:tblPr>
      <w:tblGrid>
        <w:gridCol w:w="5220"/>
        <w:gridCol w:w="2300"/>
      </w:tblGrid>
      <w:tr w:rsidR="0059181C">
        <w:tc>
          <w:tcPr>
            <w:tcW w:w="5220" w:type="dxa"/>
          </w:tcPr>
          <w:p w:rsidR="0059181C" w:rsidRDefault="0059181C">
            <w:pPr>
              <w:pStyle w:val="GesAbsatz"/>
              <w:jc w:val="center"/>
              <w:rPr>
                <w:rFonts w:cs="Arial"/>
                <w:b/>
                <w:bCs/>
              </w:rPr>
            </w:pPr>
            <w:r>
              <w:rPr>
                <w:rFonts w:cs="Arial"/>
                <w:b/>
                <w:bCs/>
              </w:rPr>
              <w:t>Stoff</w:t>
            </w:r>
          </w:p>
        </w:tc>
        <w:tc>
          <w:tcPr>
            <w:tcW w:w="2300" w:type="dxa"/>
          </w:tcPr>
          <w:p w:rsidR="0059181C" w:rsidRDefault="0059181C">
            <w:pPr>
              <w:pStyle w:val="GesAbsatz"/>
              <w:jc w:val="center"/>
              <w:rPr>
                <w:rFonts w:cs="Arial"/>
                <w:b/>
                <w:bCs/>
              </w:rPr>
            </w:pPr>
            <w:r>
              <w:rPr>
                <w:rFonts w:cs="Arial"/>
                <w:b/>
                <w:bCs/>
              </w:rPr>
              <w:t>Äquivalenzfaktor</w:t>
            </w:r>
          </w:p>
        </w:tc>
      </w:tr>
      <w:tr w:rsidR="0059181C">
        <w:tc>
          <w:tcPr>
            <w:tcW w:w="5220" w:type="dxa"/>
          </w:tcPr>
          <w:p w:rsidR="0059181C" w:rsidRDefault="0059181C">
            <w:pPr>
              <w:pStyle w:val="GesAbsatz"/>
              <w:rPr>
                <w:rFonts w:cs="Arial"/>
                <w:szCs w:val="18"/>
              </w:rPr>
            </w:pPr>
            <w:r>
              <w:rPr>
                <w:rFonts w:cs="Arial"/>
                <w:szCs w:val="18"/>
              </w:rPr>
              <w:t>2,3,7,8-Tetrachlordibenzodioxin (TCDD)</w:t>
            </w:r>
          </w:p>
        </w:tc>
        <w:tc>
          <w:tcPr>
            <w:tcW w:w="2300" w:type="dxa"/>
          </w:tcPr>
          <w:p w:rsidR="0059181C" w:rsidRDefault="0059181C">
            <w:pPr>
              <w:pStyle w:val="GesAbsatz"/>
              <w:jc w:val="center"/>
              <w:rPr>
                <w:rFonts w:cs="Arial"/>
                <w:szCs w:val="18"/>
              </w:rPr>
            </w:pPr>
            <w:r>
              <w:rPr>
                <w:rFonts w:cs="Arial"/>
                <w:szCs w:val="18"/>
              </w:rPr>
              <w:t>1</w:t>
            </w:r>
          </w:p>
        </w:tc>
      </w:tr>
      <w:tr w:rsidR="0059181C">
        <w:tc>
          <w:tcPr>
            <w:tcW w:w="5220" w:type="dxa"/>
          </w:tcPr>
          <w:p w:rsidR="0059181C" w:rsidRDefault="0059181C">
            <w:pPr>
              <w:pStyle w:val="GesAbsatz"/>
              <w:rPr>
                <w:rFonts w:cs="Arial"/>
                <w:szCs w:val="18"/>
              </w:rPr>
            </w:pPr>
            <w:r>
              <w:rPr>
                <w:rFonts w:cs="Arial"/>
                <w:szCs w:val="18"/>
              </w:rPr>
              <w:t>1,2,3,7,8-Pentachlordibenzodioxin (PeCDD)</w:t>
            </w:r>
          </w:p>
        </w:tc>
        <w:tc>
          <w:tcPr>
            <w:tcW w:w="2300" w:type="dxa"/>
          </w:tcPr>
          <w:p w:rsidR="0059181C" w:rsidRDefault="0059181C">
            <w:pPr>
              <w:pStyle w:val="GesAbsatz"/>
              <w:jc w:val="center"/>
              <w:rPr>
                <w:rFonts w:cs="Arial"/>
                <w:szCs w:val="18"/>
              </w:rPr>
            </w:pPr>
            <w:r>
              <w:rPr>
                <w:rFonts w:cs="Arial"/>
                <w:szCs w:val="18"/>
              </w:rPr>
              <w:t>0,5</w:t>
            </w:r>
          </w:p>
        </w:tc>
      </w:tr>
      <w:tr w:rsidR="0059181C">
        <w:tc>
          <w:tcPr>
            <w:tcW w:w="5220" w:type="dxa"/>
          </w:tcPr>
          <w:p w:rsidR="0059181C" w:rsidRDefault="0059181C">
            <w:pPr>
              <w:pStyle w:val="GesAbsatz"/>
              <w:rPr>
                <w:rFonts w:cs="Arial"/>
                <w:szCs w:val="18"/>
              </w:rPr>
            </w:pPr>
            <w:r>
              <w:rPr>
                <w:rFonts w:cs="Arial"/>
                <w:szCs w:val="18"/>
              </w:rPr>
              <w:t>1,2,3,4,7,8-Hexachlordibenzodioxin (HxCDD)</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1,2,3,7,8,9-Hexachlordibenzodioxin (HxCDD)</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1,2,3,6,7,8-Hexachlordibenzodioxin (HxCDD)</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1,2,3,4,6,7,8-Heptachlordibenzodioxin (HpCDD)</w:t>
            </w:r>
          </w:p>
        </w:tc>
        <w:tc>
          <w:tcPr>
            <w:tcW w:w="2300" w:type="dxa"/>
          </w:tcPr>
          <w:p w:rsidR="0059181C" w:rsidRDefault="0059181C">
            <w:pPr>
              <w:pStyle w:val="GesAbsatz"/>
              <w:jc w:val="center"/>
              <w:rPr>
                <w:rFonts w:cs="Arial"/>
                <w:szCs w:val="18"/>
              </w:rPr>
            </w:pPr>
            <w:r>
              <w:rPr>
                <w:rFonts w:cs="Arial"/>
                <w:szCs w:val="18"/>
              </w:rPr>
              <w:t>0,01</w:t>
            </w:r>
          </w:p>
        </w:tc>
      </w:tr>
      <w:tr w:rsidR="0059181C">
        <w:tc>
          <w:tcPr>
            <w:tcW w:w="5220" w:type="dxa"/>
          </w:tcPr>
          <w:p w:rsidR="0059181C" w:rsidRDefault="0059181C">
            <w:pPr>
              <w:pStyle w:val="GesAbsatz"/>
              <w:rPr>
                <w:rFonts w:cs="Arial"/>
                <w:szCs w:val="18"/>
              </w:rPr>
            </w:pPr>
            <w:r>
              <w:rPr>
                <w:rFonts w:cs="Arial"/>
                <w:szCs w:val="18"/>
              </w:rPr>
              <w:t>Octachlordibenzodioxin (OCDD)</w:t>
            </w:r>
          </w:p>
        </w:tc>
        <w:tc>
          <w:tcPr>
            <w:tcW w:w="2300" w:type="dxa"/>
          </w:tcPr>
          <w:p w:rsidR="0059181C" w:rsidRDefault="0059181C">
            <w:pPr>
              <w:pStyle w:val="GesAbsatz"/>
              <w:jc w:val="center"/>
              <w:rPr>
                <w:rFonts w:cs="Arial"/>
                <w:szCs w:val="18"/>
              </w:rPr>
            </w:pPr>
            <w:r>
              <w:rPr>
                <w:rFonts w:cs="Arial"/>
                <w:szCs w:val="18"/>
              </w:rPr>
              <w:t>0,001</w:t>
            </w:r>
          </w:p>
        </w:tc>
      </w:tr>
      <w:tr w:rsidR="0059181C">
        <w:tc>
          <w:tcPr>
            <w:tcW w:w="5220" w:type="dxa"/>
          </w:tcPr>
          <w:p w:rsidR="0059181C" w:rsidRDefault="0059181C">
            <w:pPr>
              <w:pStyle w:val="GesAbsatz"/>
              <w:rPr>
                <w:rFonts w:cs="Arial"/>
                <w:szCs w:val="18"/>
              </w:rPr>
            </w:pPr>
            <w:r>
              <w:rPr>
                <w:rFonts w:cs="Arial"/>
                <w:szCs w:val="18"/>
              </w:rPr>
              <w:t>2,3,7,8-Tetrachlordibenzofuran (TCDF)</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2,3,4,7,8-Pentachlordibenzofuran (PeCDF)</w:t>
            </w:r>
          </w:p>
        </w:tc>
        <w:tc>
          <w:tcPr>
            <w:tcW w:w="2300" w:type="dxa"/>
          </w:tcPr>
          <w:p w:rsidR="0059181C" w:rsidRDefault="0059181C">
            <w:pPr>
              <w:pStyle w:val="GesAbsatz"/>
              <w:jc w:val="center"/>
              <w:rPr>
                <w:rFonts w:cs="Arial"/>
                <w:szCs w:val="18"/>
              </w:rPr>
            </w:pPr>
            <w:r>
              <w:rPr>
                <w:rFonts w:cs="Arial"/>
                <w:szCs w:val="18"/>
              </w:rPr>
              <w:t>0,5</w:t>
            </w:r>
          </w:p>
        </w:tc>
      </w:tr>
      <w:tr w:rsidR="0059181C">
        <w:tc>
          <w:tcPr>
            <w:tcW w:w="5220" w:type="dxa"/>
          </w:tcPr>
          <w:p w:rsidR="0059181C" w:rsidRDefault="0059181C">
            <w:pPr>
              <w:pStyle w:val="GesAbsatz"/>
              <w:rPr>
                <w:rFonts w:cs="Arial"/>
                <w:szCs w:val="18"/>
              </w:rPr>
            </w:pPr>
            <w:r>
              <w:rPr>
                <w:rFonts w:cs="Arial"/>
                <w:szCs w:val="18"/>
              </w:rPr>
              <w:t>1,2,3,7,8-Pentachlordibenzofuran (PeCDF)</w:t>
            </w:r>
          </w:p>
        </w:tc>
        <w:tc>
          <w:tcPr>
            <w:tcW w:w="2300" w:type="dxa"/>
          </w:tcPr>
          <w:p w:rsidR="0059181C" w:rsidRDefault="0059181C">
            <w:pPr>
              <w:pStyle w:val="GesAbsatz"/>
              <w:jc w:val="center"/>
              <w:rPr>
                <w:rFonts w:cs="Arial"/>
                <w:szCs w:val="18"/>
              </w:rPr>
            </w:pPr>
            <w:r>
              <w:rPr>
                <w:rFonts w:cs="Arial"/>
                <w:szCs w:val="18"/>
              </w:rPr>
              <w:t>0,05</w:t>
            </w:r>
          </w:p>
        </w:tc>
      </w:tr>
      <w:tr w:rsidR="0059181C">
        <w:tc>
          <w:tcPr>
            <w:tcW w:w="5220" w:type="dxa"/>
          </w:tcPr>
          <w:p w:rsidR="0059181C" w:rsidRDefault="0059181C">
            <w:pPr>
              <w:pStyle w:val="GesAbsatz"/>
              <w:rPr>
                <w:rFonts w:cs="Arial"/>
                <w:szCs w:val="18"/>
              </w:rPr>
            </w:pPr>
            <w:r>
              <w:rPr>
                <w:rFonts w:cs="Arial"/>
                <w:szCs w:val="18"/>
              </w:rPr>
              <w:t>1,2,3,4,7,8-Hexachlordibenzofuran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1,2,3,7,8,9-Hexachlordibenzofuran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1,2,3,6,7,8-Hexachlordibenzofuran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2,3,4,6,7,8-Hexachlordibenzofuran (HxCDF)</w:t>
            </w:r>
          </w:p>
        </w:tc>
        <w:tc>
          <w:tcPr>
            <w:tcW w:w="2300" w:type="dxa"/>
          </w:tcPr>
          <w:p w:rsidR="0059181C" w:rsidRDefault="0059181C">
            <w:pPr>
              <w:pStyle w:val="GesAbsatz"/>
              <w:jc w:val="center"/>
              <w:rPr>
                <w:rFonts w:cs="Arial"/>
                <w:szCs w:val="18"/>
              </w:rPr>
            </w:pPr>
            <w:r>
              <w:rPr>
                <w:rFonts w:cs="Arial"/>
                <w:szCs w:val="18"/>
              </w:rPr>
              <w:t>0,1</w:t>
            </w:r>
          </w:p>
        </w:tc>
      </w:tr>
      <w:tr w:rsidR="0059181C">
        <w:tc>
          <w:tcPr>
            <w:tcW w:w="5220" w:type="dxa"/>
          </w:tcPr>
          <w:p w:rsidR="0059181C" w:rsidRDefault="0059181C">
            <w:pPr>
              <w:pStyle w:val="GesAbsatz"/>
              <w:rPr>
                <w:rFonts w:cs="Arial"/>
                <w:szCs w:val="18"/>
              </w:rPr>
            </w:pPr>
            <w:r>
              <w:rPr>
                <w:rFonts w:cs="Arial"/>
                <w:szCs w:val="18"/>
              </w:rPr>
              <w:t>1,2,3,4,6,7,8-Heptachlordibenzofuran (HpCDF)</w:t>
            </w:r>
          </w:p>
        </w:tc>
        <w:tc>
          <w:tcPr>
            <w:tcW w:w="2300" w:type="dxa"/>
          </w:tcPr>
          <w:p w:rsidR="0059181C" w:rsidRDefault="0059181C">
            <w:pPr>
              <w:pStyle w:val="GesAbsatz"/>
              <w:jc w:val="center"/>
              <w:rPr>
                <w:rFonts w:cs="Arial"/>
                <w:szCs w:val="18"/>
              </w:rPr>
            </w:pPr>
            <w:r>
              <w:rPr>
                <w:rFonts w:cs="Arial"/>
                <w:szCs w:val="18"/>
              </w:rPr>
              <w:t>0,01</w:t>
            </w:r>
          </w:p>
        </w:tc>
      </w:tr>
      <w:tr w:rsidR="0059181C">
        <w:tc>
          <w:tcPr>
            <w:tcW w:w="5220" w:type="dxa"/>
          </w:tcPr>
          <w:p w:rsidR="0059181C" w:rsidRDefault="0059181C">
            <w:pPr>
              <w:pStyle w:val="GesAbsatz"/>
              <w:rPr>
                <w:rFonts w:cs="Arial"/>
                <w:szCs w:val="18"/>
              </w:rPr>
            </w:pPr>
            <w:r>
              <w:rPr>
                <w:rFonts w:cs="Arial"/>
                <w:szCs w:val="18"/>
              </w:rPr>
              <w:t>1,2,3,4,7,8,9-Heptachlordibenzofuran (HpCDF)</w:t>
            </w:r>
          </w:p>
        </w:tc>
        <w:tc>
          <w:tcPr>
            <w:tcW w:w="2300" w:type="dxa"/>
          </w:tcPr>
          <w:p w:rsidR="0059181C" w:rsidRDefault="0059181C">
            <w:pPr>
              <w:pStyle w:val="GesAbsatz"/>
              <w:jc w:val="center"/>
              <w:rPr>
                <w:rFonts w:cs="Arial"/>
                <w:szCs w:val="18"/>
              </w:rPr>
            </w:pPr>
            <w:r>
              <w:rPr>
                <w:rFonts w:cs="Arial"/>
                <w:szCs w:val="18"/>
              </w:rPr>
              <w:t>0,01</w:t>
            </w:r>
          </w:p>
        </w:tc>
      </w:tr>
      <w:tr w:rsidR="0059181C">
        <w:tc>
          <w:tcPr>
            <w:tcW w:w="5220" w:type="dxa"/>
          </w:tcPr>
          <w:p w:rsidR="0059181C" w:rsidRDefault="0059181C">
            <w:pPr>
              <w:pStyle w:val="GesAbsatz"/>
              <w:rPr>
                <w:rFonts w:cs="Arial"/>
                <w:szCs w:val="18"/>
              </w:rPr>
            </w:pPr>
            <w:r>
              <w:rPr>
                <w:rFonts w:cs="Arial"/>
                <w:szCs w:val="18"/>
              </w:rPr>
              <w:t>Octachlordibenzofuran (OCDF)</w:t>
            </w:r>
          </w:p>
        </w:tc>
        <w:tc>
          <w:tcPr>
            <w:tcW w:w="2300" w:type="dxa"/>
          </w:tcPr>
          <w:p w:rsidR="0059181C" w:rsidRDefault="0059181C">
            <w:pPr>
              <w:pStyle w:val="GesAbsatz"/>
              <w:jc w:val="center"/>
              <w:rPr>
                <w:rFonts w:cs="Arial"/>
                <w:szCs w:val="18"/>
                <w:lang w:val="en-GB"/>
              </w:rPr>
            </w:pPr>
            <w:r>
              <w:rPr>
                <w:rFonts w:cs="Arial"/>
                <w:szCs w:val="18"/>
                <w:lang w:val="en-GB"/>
              </w:rPr>
              <w:t>0,001</w:t>
            </w:r>
          </w:p>
        </w:tc>
      </w:tr>
    </w:tbl>
    <w:p w:rsidR="0059181C" w:rsidRDefault="0059181C">
      <w:pPr>
        <w:tabs>
          <w:tab w:val="clear" w:pos="425"/>
        </w:tabs>
        <w:spacing w:before="0" w:after="0"/>
        <w:jc w:val="left"/>
        <w:rPr>
          <w:rFonts w:ascii="Times New Roman" w:hAnsi="Times New Roman"/>
          <w:sz w:val="24"/>
          <w:szCs w:val="24"/>
          <w:lang w:val="en-GB"/>
        </w:rPr>
      </w:pPr>
    </w:p>
    <w:p w:rsidR="0059181C" w:rsidRDefault="0059181C">
      <w:pPr>
        <w:pStyle w:val="berschrift2"/>
        <w:jc w:val="left"/>
      </w:pPr>
      <w:r>
        <w:rPr>
          <w:rFonts w:ascii="Times New Roman" w:hAnsi="Times New Roman"/>
          <w:szCs w:val="24"/>
        </w:rPr>
        <w:br w:type="page"/>
      </w:r>
      <w:bookmarkStart w:id="37" w:name="_Toc333483345"/>
      <w:r>
        <w:lastRenderedPageBreak/>
        <w:t>Anhang II</w:t>
      </w:r>
      <w:r>
        <w:br/>
        <w:t>Anforderungen an die kontinuierlichen Messeinrichtungen und die Validierung der Messergebnisse</w:t>
      </w:r>
      <w:bookmarkEnd w:id="37"/>
    </w:p>
    <w:p w:rsidR="0059181C" w:rsidRDefault="0059181C">
      <w:pPr>
        <w:pStyle w:val="GesAbsatz"/>
        <w:rPr>
          <w:rFonts w:cs="Arial"/>
        </w:rPr>
      </w:pPr>
      <w:r>
        <w:rPr>
          <w:rFonts w:cs="Arial"/>
        </w:rPr>
        <w:t>Der Wert des Konfidenzintervalls von 95 vom Hundert eines einzelnen Messergebnisses darf an der für den Tagesmittelwert festgelegten Emissionsbegrenzung die folgenden Vomhundertsätze dieser Emissionsb</w:t>
      </w:r>
      <w:r>
        <w:rPr>
          <w:rFonts w:cs="Arial"/>
        </w:rPr>
        <w:t>e</w:t>
      </w:r>
      <w:r>
        <w:rPr>
          <w:rFonts w:cs="Arial"/>
        </w:rPr>
        <w:t>grenzung nicht überschreiten:</w:t>
      </w:r>
    </w:p>
    <w:p w:rsidR="0059181C" w:rsidRDefault="0059181C">
      <w:pPr>
        <w:pStyle w:val="GesAbsatz"/>
        <w:tabs>
          <w:tab w:val="left" w:pos="6804"/>
        </w:tabs>
        <w:rPr>
          <w:rFonts w:cs="Arial"/>
        </w:rPr>
      </w:pPr>
      <w:r>
        <w:rPr>
          <w:rFonts w:cs="Arial"/>
        </w:rPr>
        <w:t>Kohlenmonoxid</w:t>
      </w:r>
      <w:r>
        <w:rPr>
          <w:rFonts w:cs="Arial"/>
        </w:rPr>
        <w:tab/>
        <w:t>10 vom Hundert</w:t>
      </w:r>
    </w:p>
    <w:p w:rsidR="0059181C" w:rsidRDefault="0059181C">
      <w:pPr>
        <w:pStyle w:val="GesAbsatz"/>
        <w:tabs>
          <w:tab w:val="left" w:pos="6804"/>
        </w:tabs>
        <w:rPr>
          <w:rFonts w:cs="Arial"/>
        </w:rPr>
      </w:pPr>
      <w:r>
        <w:rPr>
          <w:rFonts w:cs="Arial"/>
        </w:rPr>
        <w:t>Schwefeldioxid</w:t>
      </w:r>
      <w:r>
        <w:rPr>
          <w:rFonts w:cs="Arial"/>
        </w:rPr>
        <w:tab/>
        <w:t>20 vom Hundert</w:t>
      </w:r>
    </w:p>
    <w:p w:rsidR="0059181C" w:rsidRDefault="0059181C">
      <w:pPr>
        <w:pStyle w:val="GesAbsatz"/>
        <w:tabs>
          <w:tab w:val="left" w:pos="6804"/>
        </w:tabs>
        <w:rPr>
          <w:rFonts w:cs="Arial"/>
        </w:rPr>
      </w:pPr>
      <w:r>
        <w:rPr>
          <w:rFonts w:cs="Arial"/>
        </w:rPr>
        <w:t>Stickstoffoxide</w:t>
      </w:r>
      <w:r>
        <w:rPr>
          <w:rFonts w:cs="Arial"/>
        </w:rPr>
        <w:tab/>
        <w:t>20 vom Hundert</w:t>
      </w:r>
    </w:p>
    <w:p w:rsidR="0059181C" w:rsidRDefault="0059181C">
      <w:pPr>
        <w:pStyle w:val="GesAbsatz"/>
        <w:tabs>
          <w:tab w:val="left" w:pos="6804"/>
        </w:tabs>
        <w:rPr>
          <w:rFonts w:cs="Arial"/>
        </w:rPr>
      </w:pPr>
      <w:r>
        <w:rPr>
          <w:rFonts w:cs="Arial"/>
        </w:rPr>
        <w:t>Gesamtstaub</w:t>
      </w:r>
      <w:r>
        <w:rPr>
          <w:rFonts w:cs="Arial"/>
        </w:rPr>
        <w:tab/>
        <w:t>30 vom Hundert</w:t>
      </w:r>
    </w:p>
    <w:p w:rsidR="0059181C" w:rsidRDefault="0059181C">
      <w:pPr>
        <w:pStyle w:val="GesAbsatz"/>
        <w:tabs>
          <w:tab w:val="left" w:pos="6804"/>
        </w:tabs>
        <w:rPr>
          <w:rFonts w:cs="Arial"/>
        </w:rPr>
      </w:pPr>
      <w:r>
        <w:rPr>
          <w:rFonts w:cs="Arial"/>
        </w:rPr>
        <w:t>Organisch gebundener Gesamtkohlenstoff</w:t>
      </w:r>
      <w:r>
        <w:rPr>
          <w:rFonts w:cs="Arial"/>
        </w:rPr>
        <w:tab/>
        <w:t>30 vom Hundert</w:t>
      </w:r>
    </w:p>
    <w:p w:rsidR="0059181C" w:rsidRDefault="0059181C">
      <w:pPr>
        <w:pStyle w:val="GesAbsatz"/>
        <w:tabs>
          <w:tab w:val="left" w:pos="6804"/>
        </w:tabs>
        <w:rPr>
          <w:rFonts w:cs="Arial"/>
        </w:rPr>
      </w:pPr>
      <w:r>
        <w:rPr>
          <w:rFonts w:cs="Arial"/>
        </w:rPr>
        <w:t>Quecksilber</w:t>
      </w:r>
      <w:r>
        <w:rPr>
          <w:rFonts w:cs="Arial"/>
        </w:rPr>
        <w:tab/>
        <w:t>40 vom Hundert</w:t>
      </w:r>
    </w:p>
    <w:p w:rsidR="0059181C" w:rsidRDefault="0059181C">
      <w:pPr>
        <w:pStyle w:val="GesAbsatz"/>
        <w:rPr>
          <w:rFonts w:cs="Arial"/>
        </w:rPr>
      </w:pPr>
      <w:r>
        <w:rPr>
          <w:rFonts w:cs="Arial"/>
        </w:rPr>
        <w:t>Die validierten Halbstunden- und Tagesmittelwerte werden auf Grund der gemessenen Halbstundenmitte</w:t>
      </w:r>
      <w:r>
        <w:rPr>
          <w:rFonts w:cs="Arial"/>
        </w:rPr>
        <w:t>l</w:t>
      </w:r>
      <w:r>
        <w:rPr>
          <w:rFonts w:cs="Arial"/>
        </w:rPr>
        <w:t>werte und nach Abzug der in der Kalibrierung ermittelten Messunsicherheit bestimmt. Jeder Tag, an dem mehr als sechs Halbstundenmittelwerte wegen Störung oder Wartung des kontinuierlichen Messsystems ungültig sind, wird für ungültig erklärt. Werden mehr als zehn Tage im Jahr wegen solcher Situationen für ungültig erklärt, hat die zuständige Behörde den Betreiber zu verpflichten, geeignete Maßnahmen einzule</w:t>
      </w:r>
      <w:r>
        <w:rPr>
          <w:rFonts w:cs="Arial"/>
        </w:rPr>
        <w:t>i</w:t>
      </w:r>
      <w:r>
        <w:rPr>
          <w:rFonts w:cs="Arial"/>
        </w:rPr>
        <w:t>ten, um die Zuverlässigkeit des kontinuierlichen Überwachungssystems zu verbessern.</w:t>
      </w:r>
    </w:p>
    <w:p w:rsidR="0059181C" w:rsidRDefault="0059181C">
      <w:pPr>
        <w:pStyle w:val="GesAbsatz"/>
        <w:rPr>
          <w:rFonts w:cs="Arial"/>
        </w:rPr>
      </w:pPr>
    </w:p>
    <w:p w:rsidR="0059181C" w:rsidRDefault="0059181C">
      <w:pPr>
        <w:pStyle w:val="GesAbsatz"/>
        <w:rPr>
          <w:rFonts w:cs="Arial"/>
        </w:rPr>
      </w:pPr>
    </w:p>
    <w:p w:rsidR="0059181C" w:rsidRPr="00E2370D" w:rsidRDefault="0059181C">
      <w:pPr>
        <w:pStyle w:val="GesAbsatz"/>
        <w:rPr>
          <w:rFonts w:cs="Arial"/>
          <w:b/>
          <w:sz w:val="22"/>
          <w:szCs w:val="22"/>
        </w:rPr>
      </w:pPr>
      <w:bookmarkStart w:id="38" w:name="Gesetzeshistorie"/>
      <w:bookmarkEnd w:id="38"/>
      <w:r w:rsidRPr="00E2370D">
        <w:rPr>
          <w:rFonts w:cs="Arial"/>
          <w:b/>
          <w:sz w:val="22"/>
          <w:szCs w:val="22"/>
        </w:rPr>
        <w:t>Änderungen:</w:t>
      </w:r>
    </w:p>
    <w:p w:rsidR="0059181C" w:rsidRDefault="004F224D" w:rsidP="004F224D">
      <w:pPr>
        <w:pStyle w:val="GesAbsatz"/>
        <w:tabs>
          <w:tab w:val="clear" w:pos="425"/>
          <w:tab w:val="left" w:pos="3969"/>
        </w:tabs>
      </w:pPr>
      <w:r>
        <w:t>20.07.2004</w:t>
      </w:r>
      <w:r>
        <w:tab/>
      </w:r>
      <w:r w:rsidRPr="009D233A">
        <w:t>BGBl. I Nr.</w:t>
      </w:r>
      <w:r w:rsidR="00E33D1E" w:rsidRPr="009D233A">
        <w:t xml:space="preserve"> 37</w:t>
      </w:r>
      <w:r w:rsidRPr="009D233A">
        <w:t xml:space="preserve"> S. 1717</w:t>
      </w:r>
      <w:r>
        <w:t xml:space="preserve"> Ursprungsfassung</w:t>
      </w:r>
    </w:p>
    <w:p w:rsidR="004F224D" w:rsidRDefault="00E33D1E" w:rsidP="004F224D">
      <w:pPr>
        <w:pStyle w:val="GesAbsatz"/>
        <w:tabs>
          <w:tab w:val="clear" w:pos="425"/>
          <w:tab w:val="left" w:pos="3969"/>
        </w:tabs>
      </w:pPr>
      <w:r>
        <w:t>15.11.2004</w:t>
      </w:r>
      <w:r w:rsidR="004F224D">
        <w:tab/>
      </w:r>
      <w:r w:rsidR="004F224D" w:rsidRPr="009D233A">
        <w:t>BGBl. I Nr.</w:t>
      </w:r>
      <w:r w:rsidRPr="009D233A">
        <w:t xml:space="preserve"> 59</w:t>
      </w:r>
      <w:r w:rsidR="004F224D" w:rsidRPr="009D233A">
        <w:t xml:space="preserve"> S. 2847</w:t>
      </w:r>
      <w:r w:rsidRPr="00E33D1E">
        <w:t xml:space="preserve"> </w:t>
      </w:r>
      <w:r>
        <w:t>Berichtigung</w:t>
      </w:r>
    </w:p>
    <w:p w:rsidR="00E33D1E" w:rsidRDefault="00E33D1E" w:rsidP="004F224D">
      <w:pPr>
        <w:pStyle w:val="GesAbsatz"/>
        <w:tabs>
          <w:tab w:val="clear" w:pos="425"/>
          <w:tab w:val="left" w:pos="3969"/>
        </w:tabs>
      </w:pPr>
      <w:r>
        <w:t>06.06.2007</w:t>
      </w:r>
      <w:r>
        <w:tab/>
      </w:r>
      <w:r w:rsidRPr="009D233A">
        <w:t>BGBl. I Nr. 25 S. 1002, 1004</w:t>
      </w:r>
      <w:r w:rsidR="00BE3012">
        <w:t xml:space="preserve"> Inkrafttreten 13.6.2007</w:t>
      </w:r>
    </w:p>
    <w:p w:rsidR="008246FC" w:rsidRDefault="008246FC" w:rsidP="004F224D">
      <w:pPr>
        <w:pStyle w:val="GesAbsatz"/>
        <w:tabs>
          <w:tab w:val="clear" w:pos="425"/>
          <w:tab w:val="left" w:pos="3969"/>
        </w:tabs>
      </w:pPr>
      <w:r>
        <w:t>27.01.2009</w:t>
      </w:r>
      <w:r>
        <w:tab/>
      </w:r>
      <w:r w:rsidRPr="009D233A">
        <w:t>BGBl. I Nr. 5 S. 129</w:t>
      </w:r>
      <w:r>
        <w:t xml:space="preserve"> Inkrafttreten 31.01.2009</w:t>
      </w:r>
    </w:p>
    <w:p w:rsidR="0001533C" w:rsidRDefault="0001533C" w:rsidP="004F224D">
      <w:pPr>
        <w:pStyle w:val="GesAbsatz"/>
        <w:tabs>
          <w:tab w:val="clear" w:pos="425"/>
          <w:tab w:val="left" w:pos="3969"/>
        </w:tabs>
      </w:pPr>
      <w:r>
        <w:t>17.08.2012</w:t>
      </w:r>
      <w:r>
        <w:tab/>
      </w:r>
      <w:r w:rsidRPr="009D233A">
        <w:t>BGBl. I Nr. 38 S. 1726, 1752</w:t>
      </w:r>
      <w:r>
        <w:t xml:space="preserve"> Inkrafttreten 24.08.2012</w:t>
      </w:r>
    </w:p>
    <w:p w:rsidR="00E33D1E" w:rsidRDefault="00E33D1E" w:rsidP="004F224D">
      <w:pPr>
        <w:pStyle w:val="GesAbsatz"/>
        <w:tabs>
          <w:tab w:val="clear" w:pos="425"/>
          <w:tab w:val="left" w:pos="3969"/>
        </w:tabs>
      </w:pPr>
    </w:p>
    <w:p w:rsidR="0059181C" w:rsidRDefault="0059181C">
      <w:pPr>
        <w:pStyle w:val="GesAbsatz"/>
        <w:rPr>
          <w:rFonts w:cs="Arial"/>
        </w:rPr>
      </w:pPr>
    </w:p>
    <w:p w:rsidR="00A142B2" w:rsidRDefault="00A142B2" w:rsidP="00A142B2">
      <w:pPr>
        <w:tabs>
          <w:tab w:val="clear" w:pos="425"/>
          <w:tab w:val="left" w:pos="3969"/>
        </w:tabs>
      </w:pPr>
      <w:bookmarkStart w:id="39" w:name="Materialien"/>
      <w:bookmarkEnd w:id="39"/>
    </w:p>
    <w:p w:rsidR="00B26BA0" w:rsidRDefault="00B26BA0" w:rsidP="00466704"/>
    <w:sectPr w:rsidR="00B26BA0">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96" w:rsidRDefault="002F4A96">
      <w:r>
        <w:separator/>
      </w:r>
    </w:p>
  </w:endnote>
  <w:endnote w:type="continuationSeparator" w:id="0">
    <w:p w:rsidR="002F4A96" w:rsidRDefault="002F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D" w:rsidRDefault="00E2370D">
    <w:pPr>
      <w:pStyle w:val="Fuzeile"/>
      <w:framePr w:wrap="around" w:vAnchor="text" w:hAnchor="margin" w:xAlign="right" w:y="1"/>
    </w:pPr>
    <w:r>
      <w:fldChar w:fldCharType="begin"/>
    </w:r>
    <w:r>
      <w:instrText xml:space="preserve">PAGE  </w:instrText>
    </w:r>
    <w:r>
      <w:fldChar w:fldCharType="end"/>
    </w:r>
  </w:p>
  <w:p w:rsidR="00E2370D" w:rsidRDefault="00E237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D" w:rsidRPr="009D233A" w:rsidRDefault="00E2370D" w:rsidP="009D233A">
    <w:pPr>
      <w:pStyle w:val="Fuzeile"/>
    </w:pPr>
    <w:r>
      <w:tab/>
      <w:t>20.</w:t>
    </w:r>
    <w:r w:rsidR="00F85B86">
      <w:t>0</w:t>
    </w:r>
    <w:r>
      <w:t xml:space="preserve">7.2004 (BGBl. I. S. </w:t>
    </w:r>
    <w:r w:rsidRPr="009D233A">
      <w:t xml:space="preserve">1717, </w:t>
    </w:r>
    <w:proofErr w:type="spellStart"/>
    <w:r w:rsidRPr="009D233A">
      <w:t>ber</w:t>
    </w:r>
    <w:proofErr w:type="spellEnd"/>
    <w:r w:rsidRPr="009D233A">
      <w:t>. S. 2847 / FNA 2129-8-13)</w:t>
    </w:r>
    <w:r w:rsidRPr="009D233A">
      <w:tab/>
      <w:t xml:space="preserve">Seite </w:t>
    </w:r>
    <w:r w:rsidRPr="009D233A">
      <w:fldChar w:fldCharType="begin"/>
    </w:r>
    <w:r w:rsidRPr="009D233A">
      <w:instrText xml:space="preserve"> PAGE  \* MERGEFORMAT </w:instrText>
    </w:r>
    <w:r w:rsidRPr="009D233A">
      <w:fldChar w:fldCharType="separate"/>
    </w:r>
    <w:r w:rsidR="007E103A">
      <w:rPr>
        <w:noProof/>
      </w:rPr>
      <w:t>1</w:t>
    </w:r>
    <w:r w:rsidRPr="009D233A">
      <w:fldChar w:fldCharType="end"/>
    </w:r>
  </w:p>
  <w:p w:rsidR="00E2370D" w:rsidRDefault="00E2370D" w:rsidP="009D233A">
    <w:pPr>
      <w:pStyle w:val="Fuzeile"/>
    </w:pPr>
    <w:r w:rsidRPr="009D233A">
      <w:tab/>
      <w:t>Stand 17</w:t>
    </w:r>
    <w:r>
      <w:t>.08.2012 (BGBl. I S. 1726, 1752)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96" w:rsidRDefault="002F4A96">
      <w:r>
        <w:separator/>
      </w:r>
    </w:p>
  </w:footnote>
  <w:footnote w:type="continuationSeparator" w:id="0">
    <w:p w:rsidR="002F4A96" w:rsidRDefault="002F4A96">
      <w:r>
        <w:continuationSeparator/>
      </w:r>
    </w:p>
  </w:footnote>
  <w:footnote w:id="1">
    <w:p w:rsidR="00E2370D" w:rsidRDefault="00E2370D">
      <w:pPr>
        <w:pStyle w:val="GesAbsatz"/>
        <w:rPr>
          <w:sz w:val="16"/>
        </w:rPr>
      </w:pPr>
      <w:r>
        <w:rPr>
          <w:sz w:val="16"/>
        </w:rPr>
        <w:sym w:font="Symbol" w:char="F02A"/>
      </w:r>
      <w:r>
        <w:rPr>
          <w:sz w:val="16"/>
        </w:rPr>
        <w:t xml:space="preserve"> Die Verordnung dient der Umsetzung der Richtlinie 2001/80/EG des Europäischen Parlaments und des Rates vom </w:t>
      </w:r>
      <w:smartTag w:uri="urn:schemas-microsoft-com:office:smarttags" w:element="date">
        <w:smartTagPr>
          <w:attr w:name="Year" w:val="2001"/>
          <w:attr w:name="Day" w:val="23"/>
          <w:attr w:name="Month" w:val="10"/>
          <w:attr w:name="ls" w:val="trans"/>
        </w:smartTagPr>
        <w:r>
          <w:rPr>
            <w:sz w:val="16"/>
          </w:rPr>
          <w:t>23. Oktober 2001</w:t>
        </w:r>
      </w:smartTag>
      <w:r>
        <w:rPr>
          <w:sz w:val="16"/>
        </w:rPr>
        <w:t xml:space="preserve"> zur Begrenzung von Schadstoffemissionen von Großfeuerungsanlagen in die Luft (ABl. EG Nr. L 309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D" w:rsidRDefault="0038648B" w:rsidP="009D233A">
    <w:pPr>
      <w:pStyle w:val="Kopfzeile0"/>
    </w:pPr>
    <w:r>
      <w:t>Archiv6.65</w:t>
    </w:r>
  </w:p>
  <w:p w:rsidR="00E2370D" w:rsidRDefault="00E2370D">
    <w:pPr>
      <w:pStyle w:val="Kopfzeile"/>
    </w:pPr>
    <w:r>
      <w:t>13. BImSchV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226"/>
    <w:multiLevelType w:val="hybridMultilevel"/>
    <w:tmpl w:val="A54835C0"/>
    <w:lvl w:ilvl="0" w:tplc="80A4ABF0">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9"/>
    <w:rsid w:val="00007F65"/>
    <w:rsid w:val="0001533C"/>
    <w:rsid w:val="00020B1B"/>
    <w:rsid w:val="00075D9D"/>
    <w:rsid w:val="000A1187"/>
    <w:rsid w:val="000E343A"/>
    <w:rsid w:val="00143F94"/>
    <w:rsid w:val="0014630B"/>
    <w:rsid w:val="001663EA"/>
    <w:rsid w:val="001829AE"/>
    <w:rsid w:val="001A0548"/>
    <w:rsid w:val="001B47E8"/>
    <w:rsid w:val="00294010"/>
    <w:rsid w:val="002F1C78"/>
    <w:rsid w:val="002F4A96"/>
    <w:rsid w:val="002F6BF8"/>
    <w:rsid w:val="0032235F"/>
    <w:rsid w:val="003535DF"/>
    <w:rsid w:val="00353A99"/>
    <w:rsid w:val="0038648B"/>
    <w:rsid w:val="00466704"/>
    <w:rsid w:val="00475E3A"/>
    <w:rsid w:val="00480FB3"/>
    <w:rsid w:val="004839A0"/>
    <w:rsid w:val="004F224D"/>
    <w:rsid w:val="005256FB"/>
    <w:rsid w:val="005410B1"/>
    <w:rsid w:val="0059181C"/>
    <w:rsid w:val="005E2268"/>
    <w:rsid w:val="006440B2"/>
    <w:rsid w:val="006D0C8A"/>
    <w:rsid w:val="006D706F"/>
    <w:rsid w:val="007067AC"/>
    <w:rsid w:val="00741734"/>
    <w:rsid w:val="00741C7E"/>
    <w:rsid w:val="0074698D"/>
    <w:rsid w:val="007D26F2"/>
    <w:rsid w:val="007D6588"/>
    <w:rsid w:val="007E103A"/>
    <w:rsid w:val="008246FC"/>
    <w:rsid w:val="00876DEB"/>
    <w:rsid w:val="00902EB3"/>
    <w:rsid w:val="00913209"/>
    <w:rsid w:val="009378AD"/>
    <w:rsid w:val="009448ED"/>
    <w:rsid w:val="009A4EBE"/>
    <w:rsid w:val="009D233A"/>
    <w:rsid w:val="009E14D5"/>
    <w:rsid w:val="00A142B2"/>
    <w:rsid w:val="00B1745D"/>
    <w:rsid w:val="00B244E0"/>
    <w:rsid w:val="00B26BA0"/>
    <w:rsid w:val="00B37A48"/>
    <w:rsid w:val="00B93A19"/>
    <w:rsid w:val="00BD0D7A"/>
    <w:rsid w:val="00BE3012"/>
    <w:rsid w:val="00BF7870"/>
    <w:rsid w:val="00C4334A"/>
    <w:rsid w:val="00D67FD7"/>
    <w:rsid w:val="00D9032B"/>
    <w:rsid w:val="00D908AA"/>
    <w:rsid w:val="00DB4D73"/>
    <w:rsid w:val="00DF5306"/>
    <w:rsid w:val="00E2370D"/>
    <w:rsid w:val="00E256F0"/>
    <w:rsid w:val="00E33D1E"/>
    <w:rsid w:val="00E43361"/>
    <w:rsid w:val="00E93CAC"/>
    <w:rsid w:val="00EE2CC8"/>
    <w:rsid w:val="00EE3D7D"/>
    <w:rsid w:val="00EF4E58"/>
    <w:rsid w:val="00EF533F"/>
    <w:rsid w:val="00F3031F"/>
    <w:rsid w:val="00F85B86"/>
    <w:rsid w:val="00FE05A2"/>
    <w:rsid w:val="00FE1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D233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D233A"/>
    <w:pPr>
      <w:keepNext/>
      <w:spacing w:after="120"/>
      <w:jc w:val="center"/>
      <w:outlineLvl w:val="0"/>
    </w:pPr>
    <w:rPr>
      <w:b/>
      <w:kern w:val="28"/>
      <w:sz w:val="28"/>
    </w:rPr>
  </w:style>
  <w:style w:type="paragraph" w:styleId="berschrift2">
    <w:name w:val="heading 2"/>
    <w:basedOn w:val="Standard"/>
    <w:next w:val="GesAbsatz"/>
    <w:qFormat/>
    <w:rsid w:val="009D233A"/>
    <w:pPr>
      <w:keepNext/>
      <w:spacing w:before="240"/>
      <w:jc w:val="center"/>
      <w:outlineLvl w:val="1"/>
    </w:pPr>
    <w:rPr>
      <w:b/>
      <w:sz w:val="24"/>
    </w:rPr>
  </w:style>
  <w:style w:type="paragraph" w:styleId="berschrift3">
    <w:name w:val="heading 3"/>
    <w:basedOn w:val="Standard"/>
    <w:next w:val="GesAbsatz"/>
    <w:qFormat/>
    <w:rsid w:val="009D233A"/>
    <w:pPr>
      <w:keepNext/>
      <w:spacing w:before="240" w:after="180"/>
      <w:jc w:val="center"/>
      <w:outlineLvl w:val="2"/>
    </w:pPr>
    <w:rPr>
      <w:b/>
    </w:rPr>
  </w:style>
  <w:style w:type="paragraph" w:styleId="berschrift4">
    <w:name w:val="heading 4"/>
    <w:basedOn w:val="Standard"/>
    <w:next w:val="Standard"/>
    <w:rsid w:val="009D233A"/>
    <w:pPr>
      <w:keepNext/>
      <w:spacing w:before="240"/>
      <w:outlineLvl w:val="3"/>
    </w:pPr>
  </w:style>
  <w:style w:type="paragraph" w:styleId="berschrift5">
    <w:name w:val="heading 5"/>
    <w:basedOn w:val="Standard"/>
    <w:next w:val="Standard"/>
    <w:rsid w:val="009D233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9D233A"/>
    <w:pPr>
      <w:tabs>
        <w:tab w:val="center" w:pos="4536"/>
        <w:tab w:val="right" w:pos="9072"/>
      </w:tabs>
      <w:spacing w:before="0" w:after="120"/>
      <w:jc w:val="right"/>
    </w:pPr>
  </w:style>
  <w:style w:type="paragraph" w:styleId="Fuzeile">
    <w:name w:val="footer"/>
    <w:basedOn w:val="Standard"/>
    <w:qFormat/>
    <w:rsid w:val="009D233A"/>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9D233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D233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D233A"/>
    <w:pPr>
      <w:spacing w:before="0" w:after="0"/>
    </w:pPr>
    <w:rPr>
      <w:sz w:val="16"/>
    </w:rPr>
  </w:style>
  <w:style w:type="paragraph" w:styleId="Verzeichnis1">
    <w:name w:val="toc 1"/>
    <w:basedOn w:val="Verzeichnis3"/>
    <w:next w:val="Standard"/>
    <w:semiHidden/>
    <w:rsid w:val="009D233A"/>
    <w:pPr>
      <w:spacing w:before="120" w:after="120"/>
      <w:ind w:left="0"/>
    </w:pPr>
    <w:rPr>
      <w:b/>
      <w:i w:val="0"/>
      <w:caps/>
    </w:rPr>
  </w:style>
  <w:style w:type="paragraph" w:customStyle="1" w:styleId="GesAbsatz">
    <w:name w:val="GesAbsatz"/>
    <w:basedOn w:val="Standard"/>
    <w:qFormat/>
    <w:rsid w:val="009D233A"/>
    <w:pPr>
      <w:spacing w:before="100"/>
    </w:pPr>
    <w:rPr>
      <w:color w:val="000000"/>
    </w:rPr>
  </w:style>
  <w:style w:type="paragraph" w:styleId="Verzeichnis4">
    <w:name w:val="toc 4"/>
    <w:basedOn w:val="Standard"/>
    <w:next w:val="Standard"/>
    <w:semiHidden/>
    <w:rsid w:val="009D233A"/>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D233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D233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D233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D233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D233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D233A"/>
    <w:rPr>
      <w:color w:val="0000FF"/>
      <w:u w:val="single"/>
    </w:rPr>
  </w:style>
  <w:style w:type="character" w:styleId="BesuchterHyperlink">
    <w:name w:val="FollowedHyperlink"/>
    <w:rPr>
      <w:color w:val="800080"/>
      <w:u w:val="single"/>
    </w:rPr>
  </w:style>
  <w:style w:type="character" w:styleId="Funotenzeichen">
    <w:name w:val="footnote reference"/>
    <w:qFormat/>
    <w:rsid w:val="009D233A"/>
    <w:rPr>
      <w:sz w:val="20"/>
      <w:szCs w:val="20"/>
      <w:vertAlign w:val="superscript"/>
    </w:rPr>
  </w:style>
  <w:style w:type="paragraph" w:customStyle="1" w:styleId="Kopfzeile0">
    <w:name w:val="Kopfzeile0"/>
    <w:basedOn w:val="Standard"/>
    <w:next w:val="Kopfzeile"/>
    <w:qFormat/>
    <w:rsid w:val="009D233A"/>
    <w:pPr>
      <w:spacing w:before="0" w:after="0"/>
      <w:jc w:val="right"/>
    </w:pPr>
    <w:rPr>
      <w:b/>
      <w:sz w:val="24"/>
    </w:rPr>
  </w:style>
  <w:style w:type="character" w:styleId="Seitenzahl">
    <w:name w:val="page number"/>
    <w:rsid w:val="009D233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D233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D233A"/>
    <w:pPr>
      <w:keepNext/>
      <w:spacing w:after="120"/>
      <w:jc w:val="center"/>
      <w:outlineLvl w:val="0"/>
    </w:pPr>
    <w:rPr>
      <w:b/>
      <w:kern w:val="28"/>
      <w:sz w:val="28"/>
    </w:rPr>
  </w:style>
  <w:style w:type="paragraph" w:styleId="berschrift2">
    <w:name w:val="heading 2"/>
    <w:basedOn w:val="Standard"/>
    <w:next w:val="GesAbsatz"/>
    <w:qFormat/>
    <w:rsid w:val="009D233A"/>
    <w:pPr>
      <w:keepNext/>
      <w:spacing w:before="240"/>
      <w:jc w:val="center"/>
      <w:outlineLvl w:val="1"/>
    </w:pPr>
    <w:rPr>
      <w:b/>
      <w:sz w:val="24"/>
    </w:rPr>
  </w:style>
  <w:style w:type="paragraph" w:styleId="berschrift3">
    <w:name w:val="heading 3"/>
    <w:basedOn w:val="Standard"/>
    <w:next w:val="GesAbsatz"/>
    <w:qFormat/>
    <w:rsid w:val="009D233A"/>
    <w:pPr>
      <w:keepNext/>
      <w:spacing w:before="240" w:after="180"/>
      <w:jc w:val="center"/>
      <w:outlineLvl w:val="2"/>
    </w:pPr>
    <w:rPr>
      <w:b/>
    </w:rPr>
  </w:style>
  <w:style w:type="paragraph" w:styleId="berschrift4">
    <w:name w:val="heading 4"/>
    <w:basedOn w:val="Standard"/>
    <w:next w:val="Standard"/>
    <w:rsid w:val="009D233A"/>
    <w:pPr>
      <w:keepNext/>
      <w:spacing w:before="240"/>
      <w:outlineLvl w:val="3"/>
    </w:pPr>
  </w:style>
  <w:style w:type="paragraph" w:styleId="berschrift5">
    <w:name w:val="heading 5"/>
    <w:basedOn w:val="Standard"/>
    <w:next w:val="Standard"/>
    <w:rsid w:val="009D233A"/>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9D233A"/>
    <w:pPr>
      <w:tabs>
        <w:tab w:val="center" w:pos="4536"/>
        <w:tab w:val="right" w:pos="9072"/>
      </w:tabs>
      <w:spacing w:before="0" w:after="120"/>
      <w:jc w:val="right"/>
    </w:pPr>
  </w:style>
  <w:style w:type="paragraph" w:styleId="Fuzeile">
    <w:name w:val="footer"/>
    <w:basedOn w:val="Standard"/>
    <w:qFormat/>
    <w:rsid w:val="009D233A"/>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9D233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D233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D233A"/>
    <w:pPr>
      <w:spacing w:before="0" w:after="0"/>
    </w:pPr>
    <w:rPr>
      <w:sz w:val="16"/>
    </w:rPr>
  </w:style>
  <w:style w:type="paragraph" w:styleId="Verzeichnis1">
    <w:name w:val="toc 1"/>
    <w:basedOn w:val="Verzeichnis3"/>
    <w:next w:val="Standard"/>
    <w:semiHidden/>
    <w:rsid w:val="009D233A"/>
    <w:pPr>
      <w:spacing w:before="120" w:after="120"/>
      <w:ind w:left="0"/>
    </w:pPr>
    <w:rPr>
      <w:b/>
      <w:i w:val="0"/>
      <w:caps/>
    </w:rPr>
  </w:style>
  <w:style w:type="paragraph" w:customStyle="1" w:styleId="GesAbsatz">
    <w:name w:val="GesAbsatz"/>
    <w:basedOn w:val="Standard"/>
    <w:qFormat/>
    <w:rsid w:val="009D233A"/>
    <w:pPr>
      <w:spacing w:before="100"/>
    </w:pPr>
    <w:rPr>
      <w:color w:val="000000"/>
    </w:rPr>
  </w:style>
  <w:style w:type="paragraph" w:styleId="Verzeichnis4">
    <w:name w:val="toc 4"/>
    <w:basedOn w:val="Standard"/>
    <w:next w:val="Standard"/>
    <w:semiHidden/>
    <w:rsid w:val="009D233A"/>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9D233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D233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D233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D233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D233A"/>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D233A"/>
    <w:rPr>
      <w:color w:val="0000FF"/>
      <w:u w:val="single"/>
    </w:rPr>
  </w:style>
  <w:style w:type="character" w:styleId="BesuchterHyperlink">
    <w:name w:val="FollowedHyperlink"/>
    <w:rPr>
      <w:color w:val="800080"/>
      <w:u w:val="single"/>
    </w:rPr>
  </w:style>
  <w:style w:type="character" w:styleId="Funotenzeichen">
    <w:name w:val="footnote reference"/>
    <w:qFormat/>
    <w:rsid w:val="009D233A"/>
    <w:rPr>
      <w:sz w:val="20"/>
      <w:szCs w:val="20"/>
      <w:vertAlign w:val="superscript"/>
    </w:rPr>
  </w:style>
  <w:style w:type="paragraph" w:customStyle="1" w:styleId="Kopfzeile0">
    <w:name w:val="Kopfzeile0"/>
    <w:basedOn w:val="Standard"/>
    <w:next w:val="Kopfzeile"/>
    <w:qFormat/>
    <w:rsid w:val="009D233A"/>
    <w:pPr>
      <w:spacing w:before="0" w:after="0"/>
      <w:jc w:val="right"/>
    </w:pPr>
    <w:rPr>
      <w:b/>
      <w:sz w:val="24"/>
    </w:rPr>
  </w:style>
  <w:style w:type="character" w:styleId="Seitenzahl">
    <w:name w:val="page number"/>
    <w:rsid w:val="009D233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21</Pages>
  <Words>9468</Words>
  <Characters>62457</Characters>
  <Application>Microsoft Office Word</Application>
  <DocSecurity>0</DocSecurity>
  <Lines>520</Lines>
  <Paragraphs>143</Paragraphs>
  <ScaleCrop>false</ScaleCrop>
  <HeadingPairs>
    <vt:vector size="2" baseType="variant">
      <vt:variant>
        <vt:lpstr>Titel</vt:lpstr>
      </vt:variant>
      <vt:variant>
        <vt:i4>1</vt:i4>
      </vt:variant>
    </vt:vector>
  </HeadingPairs>
  <TitlesOfParts>
    <vt:vector size="1" baseType="lpstr">
      <vt:lpstr>13. BImSchV</vt:lpstr>
    </vt:vector>
  </TitlesOfParts>
  <Company>LANUV NRW</Company>
  <LinksUpToDate>false</LinksUpToDate>
  <CharactersWithSpaces>71782</CharactersWithSpaces>
  <SharedDoc>false</SharedDoc>
  <HLinks>
    <vt:vector size="324" baseType="variant">
      <vt:variant>
        <vt:i4>1572888</vt:i4>
      </vt:variant>
      <vt:variant>
        <vt:i4>273</vt:i4>
      </vt:variant>
      <vt:variant>
        <vt:i4>0</vt:i4>
      </vt:variant>
      <vt:variant>
        <vt:i4>5</vt:i4>
      </vt:variant>
      <vt:variant>
        <vt:lpwstr>http://igsvtu.lanuv.nrw.de/VTUP=6/dokus/601060/601060ar3.doc</vt:lpwstr>
      </vt:variant>
      <vt:variant>
        <vt:lpwstr/>
      </vt:variant>
      <vt:variant>
        <vt:i4>1638424</vt:i4>
      </vt:variant>
      <vt:variant>
        <vt:i4>270</vt:i4>
      </vt:variant>
      <vt:variant>
        <vt:i4>0</vt:i4>
      </vt:variant>
      <vt:variant>
        <vt:i4>5</vt:i4>
      </vt:variant>
      <vt:variant>
        <vt:lpwstr>http://igsvtu.lanuv.nrw.de/VTUP=6/dokus/601060/601060ar2.doc</vt:lpwstr>
      </vt:variant>
      <vt:variant>
        <vt:lpwstr/>
      </vt:variant>
      <vt:variant>
        <vt:i4>1703960</vt:i4>
      </vt:variant>
      <vt:variant>
        <vt:i4>267</vt:i4>
      </vt:variant>
      <vt:variant>
        <vt:i4>0</vt:i4>
      </vt:variant>
      <vt:variant>
        <vt:i4>5</vt:i4>
      </vt:variant>
      <vt:variant>
        <vt:lpwstr>http://igsvtu.lanuv.nrw.de/VTUP=6/dokus/601060/601060ar1.doc</vt:lpwstr>
      </vt:variant>
      <vt:variant>
        <vt:lpwstr/>
      </vt:variant>
      <vt:variant>
        <vt:i4>6291566</vt:i4>
      </vt:variant>
      <vt:variant>
        <vt:i4>264</vt:i4>
      </vt:variant>
      <vt:variant>
        <vt:i4>0</vt:i4>
      </vt:variant>
      <vt:variant>
        <vt:i4>5</vt:i4>
      </vt:variant>
      <vt:variant>
        <vt:lpwstr>http://igsvtu.lanuv.nrw.de/VTUP=6/dokus/601060/1610993.pdf</vt:lpwstr>
      </vt:variant>
      <vt:variant>
        <vt:lpwstr/>
      </vt:variant>
      <vt:variant>
        <vt:i4>7274597</vt:i4>
      </vt:variant>
      <vt:variant>
        <vt:i4>261</vt:i4>
      </vt:variant>
      <vt:variant>
        <vt:i4>0</vt:i4>
      </vt:variant>
      <vt:variant>
        <vt:i4>5</vt:i4>
      </vt:variant>
      <vt:variant>
        <vt:lpwstr>http://igsvtu.lanuv.nrw.de/VTUP=6/dokus/601060/1503420.pdf</vt:lpwstr>
      </vt:variant>
      <vt:variant>
        <vt:lpwstr/>
      </vt:variant>
      <vt:variant>
        <vt:i4>6357094</vt:i4>
      </vt:variant>
      <vt:variant>
        <vt:i4>258</vt:i4>
      </vt:variant>
      <vt:variant>
        <vt:i4>0</vt:i4>
      </vt:variant>
      <vt:variant>
        <vt:i4>5</vt:i4>
      </vt:variant>
      <vt:variant>
        <vt:lpwstr>http://igsvtu.lanuv.nrw.de/VTUP=6/dokus/601060/1502802.pdf</vt:lpwstr>
      </vt:variant>
      <vt:variant>
        <vt:lpwstr/>
      </vt:variant>
      <vt:variant>
        <vt:i4>6815855</vt:i4>
      </vt:variant>
      <vt:variant>
        <vt:i4>255</vt:i4>
      </vt:variant>
      <vt:variant>
        <vt:i4>0</vt:i4>
      </vt:variant>
      <vt:variant>
        <vt:i4>5</vt:i4>
      </vt:variant>
      <vt:variant>
        <vt:lpwstr>http://igsvtu.lanuv.nrw.de/VTUP=6/dokus/601060/1502596.pdf</vt:lpwstr>
      </vt:variant>
      <vt:variant>
        <vt:lpwstr/>
      </vt:variant>
      <vt:variant>
        <vt:i4>7274594</vt:i4>
      </vt:variant>
      <vt:variant>
        <vt:i4>252</vt:i4>
      </vt:variant>
      <vt:variant>
        <vt:i4>0</vt:i4>
      </vt:variant>
      <vt:variant>
        <vt:i4>5</vt:i4>
      </vt:variant>
      <vt:variant>
        <vt:lpwstr>http://igsvtu.lanuv.nrw.de/VTUP=6/dokus/601060/1501074.pdf</vt:lpwstr>
      </vt:variant>
      <vt:variant>
        <vt:lpwstr/>
      </vt:variant>
      <vt:variant>
        <vt:i4>7274594</vt:i4>
      </vt:variant>
      <vt:variant>
        <vt:i4>249</vt:i4>
      </vt:variant>
      <vt:variant>
        <vt:i4>0</vt:i4>
      </vt:variant>
      <vt:variant>
        <vt:i4>5</vt:i4>
      </vt:variant>
      <vt:variant>
        <vt:lpwstr>http://igsvtu.lanuv.nrw.de/VTUP=6/dokus/601060/1501074.pdf</vt:lpwstr>
      </vt:variant>
      <vt:variant>
        <vt:lpwstr/>
      </vt:variant>
      <vt:variant>
        <vt:i4>5177455</vt:i4>
      </vt:variant>
      <vt:variant>
        <vt:i4>246</vt:i4>
      </vt:variant>
      <vt:variant>
        <vt:i4>0</vt:i4>
      </vt:variant>
      <vt:variant>
        <vt:i4>5</vt:i4>
      </vt:variant>
      <vt:variant>
        <vt:lpwstr>http://www.bgbl.de/Xaver/start.xav?startbk=Bundesanzeiger_BGBl&amp;start=//*%5b@attr_id='bgbl112s1726.pdf'%5d</vt:lpwstr>
      </vt:variant>
      <vt:variant>
        <vt:lpwstr/>
      </vt:variant>
      <vt:variant>
        <vt:i4>4522087</vt:i4>
      </vt:variant>
      <vt:variant>
        <vt:i4>243</vt:i4>
      </vt:variant>
      <vt:variant>
        <vt:i4>0</vt:i4>
      </vt:variant>
      <vt:variant>
        <vt:i4>5</vt:i4>
      </vt:variant>
      <vt:variant>
        <vt:lpwstr>http://www.bgbl.de/Xaver/start.xav?startbk=Bundesanzeiger_BGBl&amp;start=//*%5b@attr_id='bgbl109s0129.pdf'%5d</vt:lpwstr>
      </vt:variant>
      <vt:variant>
        <vt:lpwstr/>
      </vt:variant>
      <vt:variant>
        <vt:i4>4718701</vt:i4>
      </vt:variant>
      <vt:variant>
        <vt:i4>240</vt:i4>
      </vt:variant>
      <vt:variant>
        <vt:i4>0</vt:i4>
      </vt:variant>
      <vt:variant>
        <vt:i4>5</vt:i4>
      </vt:variant>
      <vt:variant>
        <vt:lpwstr>http://www.bgbl.de/Xaver/start.xav?startbk=Bundesanzeiger_BGBl&amp;start=//*%5b@attr_id='bgbl107s1002.pdf'%5d</vt:lpwstr>
      </vt:variant>
      <vt:variant>
        <vt:lpwstr/>
      </vt:variant>
      <vt:variant>
        <vt:i4>4980832</vt:i4>
      </vt:variant>
      <vt:variant>
        <vt:i4>237</vt:i4>
      </vt:variant>
      <vt:variant>
        <vt:i4>0</vt:i4>
      </vt:variant>
      <vt:variant>
        <vt:i4>5</vt:i4>
      </vt:variant>
      <vt:variant>
        <vt:lpwstr>http://www.bgbl.de/Xaver/start.xav?startbk=Bundesanzeiger_BGBl&amp;start=//*%5b@attr_id='bgbl104s2847.pdf'%5d</vt:lpwstr>
      </vt:variant>
      <vt:variant>
        <vt:lpwstr/>
      </vt:variant>
      <vt:variant>
        <vt:i4>4849775</vt:i4>
      </vt:variant>
      <vt:variant>
        <vt:i4>234</vt:i4>
      </vt:variant>
      <vt:variant>
        <vt:i4>0</vt:i4>
      </vt:variant>
      <vt:variant>
        <vt:i4>5</vt:i4>
      </vt:variant>
      <vt:variant>
        <vt:lpwstr>http://www.bgbl.de/Xaver/start.xav?startbk=Bundesanzeiger_BGBl&amp;start=//*%5b@attr_id='bgbl104s1717.pdf'%5d</vt:lpwstr>
      </vt:variant>
      <vt:variant>
        <vt:lpwstr/>
      </vt:variant>
      <vt:variant>
        <vt:i4>1507387</vt:i4>
      </vt:variant>
      <vt:variant>
        <vt:i4>227</vt:i4>
      </vt:variant>
      <vt:variant>
        <vt:i4>0</vt:i4>
      </vt:variant>
      <vt:variant>
        <vt:i4>5</vt:i4>
      </vt:variant>
      <vt:variant>
        <vt:lpwstr/>
      </vt:variant>
      <vt:variant>
        <vt:lpwstr>_Toc333483345</vt:lpwstr>
      </vt:variant>
      <vt:variant>
        <vt:i4>1507387</vt:i4>
      </vt:variant>
      <vt:variant>
        <vt:i4>221</vt:i4>
      </vt:variant>
      <vt:variant>
        <vt:i4>0</vt:i4>
      </vt:variant>
      <vt:variant>
        <vt:i4>5</vt:i4>
      </vt:variant>
      <vt:variant>
        <vt:lpwstr/>
      </vt:variant>
      <vt:variant>
        <vt:lpwstr>_Toc333483344</vt:lpwstr>
      </vt:variant>
      <vt:variant>
        <vt:i4>1507387</vt:i4>
      </vt:variant>
      <vt:variant>
        <vt:i4>215</vt:i4>
      </vt:variant>
      <vt:variant>
        <vt:i4>0</vt:i4>
      </vt:variant>
      <vt:variant>
        <vt:i4>5</vt:i4>
      </vt:variant>
      <vt:variant>
        <vt:lpwstr/>
      </vt:variant>
      <vt:variant>
        <vt:lpwstr>_Toc333483343</vt:lpwstr>
      </vt:variant>
      <vt:variant>
        <vt:i4>1507387</vt:i4>
      </vt:variant>
      <vt:variant>
        <vt:i4>209</vt:i4>
      </vt:variant>
      <vt:variant>
        <vt:i4>0</vt:i4>
      </vt:variant>
      <vt:variant>
        <vt:i4>5</vt:i4>
      </vt:variant>
      <vt:variant>
        <vt:lpwstr/>
      </vt:variant>
      <vt:variant>
        <vt:lpwstr>_Toc333483342</vt:lpwstr>
      </vt:variant>
      <vt:variant>
        <vt:i4>1507387</vt:i4>
      </vt:variant>
      <vt:variant>
        <vt:i4>203</vt:i4>
      </vt:variant>
      <vt:variant>
        <vt:i4>0</vt:i4>
      </vt:variant>
      <vt:variant>
        <vt:i4>5</vt:i4>
      </vt:variant>
      <vt:variant>
        <vt:lpwstr/>
      </vt:variant>
      <vt:variant>
        <vt:lpwstr>_Toc333483341</vt:lpwstr>
      </vt:variant>
      <vt:variant>
        <vt:i4>1507387</vt:i4>
      </vt:variant>
      <vt:variant>
        <vt:i4>197</vt:i4>
      </vt:variant>
      <vt:variant>
        <vt:i4>0</vt:i4>
      </vt:variant>
      <vt:variant>
        <vt:i4>5</vt:i4>
      </vt:variant>
      <vt:variant>
        <vt:lpwstr/>
      </vt:variant>
      <vt:variant>
        <vt:lpwstr>_Toc333483340</vt:lpwstr>
      </vt:variant>
      <vt:variant>
        <vt:i4>1048635</vt:i4>
      </vt:variant>
      <vt:variant>
        <vt:i4>191</vt:i4>
      </vt:variant>
      <vt:variant>
        <vt:i4>0</vt:i4>
      </vt:variant>
      <vt:variant>
        <vt:i4>5</vt:i4>
      </vt:variant>
      <vt:variant>
        <vt:lpwstr/>
      </vt:variant>
      <vt:variant>
        <vt:lpwstr>_Toc333483339</vt:lpwstr>
      </vt:variant>
      <vt:variant>
        <vt:i4>1048635</vt:i4>
      </vt:variant>
      <vt:variant>
        <vt:i4>185</vt:i4>
      </vt:variant>
      <vt:variant>
        <vt:i4>0</vt:i4>
      </vt:variant>
      <vt:variant>
        <vt:i4>5</vt:i4>
      </vt:variant>
      <vt:variant>
        <vt:lpwstr/>
      </vt:variant>
      <vt:variant>
        <vt:lpwstr>_Toc333483338</vt:lpwstr>
      </vt:variant>
      <vt:variant>
        <vt:i4>1048635</vt:i4>
      </vt:variant>
      <vt:variant>
        <vt:i4>179</vt:i4>
      </vt:variant>
      <vt:variant>
        <vt:i4>0</vt:i4>
      </vt:variant>
      <vt:variant>
        <vt:i4>5</vt:i4>
      </vt:variant>
      <vt:variant>
        <vt:lpwstr/>
      </vt:variant>
      <vt:variant>
        <vt:lpwstr>_Toc333483337</vt:lpwstr>
      </vt:variant>
      <vt:variant>
        <vt:i4>1048635</vt:i4>
      </vt:variant>
      <vt:variant>
        <vt:i4>173</vt:i4>
      </vt:variant>
      <vt:variant>
        <vt:i4>0</vt:i4>
      </vt:variant>
      <vt:variant>
        <vt:i4>5</vt:i4>
      </vt:variant>
      <vt:variant>
        <vt:lpwstr/>
      </vt:variant>
      <vt:variant>
        <vt:lpwstr>_Toc333483336</vt:lpwstr>
      </vt:variant>
      <vt:variant>
        <vt:i4>1048635</vt:i4>
      </vt:variant>
      <vt:variant>
        <vt:i4>167</vt:i4>
      </vt:variant>
      <vt:variant>
        <vt:i4>0</vt:i4>
      </vt:variant>
      <vt:variant>
        <vt:i4>5</vt:i4>
      </vt:variant>
      <vt:variant>
        <vt:lpwstr/>
      </vt:variant>
      <vt:variant>
        <vt:lpwstr>_Toc333483335</vt:lpwstr>
      </vt:variant>
      <vt:variant>
        <vt:i4>1048635</vt:i4>
      </vt:variant>
      <vt:variant>
        <vt:i4>161</vt:i4>
      </vt:variant>
      <vt:variant>
        <vt:i4>0</vt:i4>
      </vt:variant>
      <vt:variant>
        <vt:i4>5</vt:i4>
      </vt:variant>
      <vt:variant>
        <vt:lpwstr/>
      </vt:variant>
      <vt:variant>
        <vt:lpwstr>_Toc333483334</vt:lpwstr>
      </vt:variant>
      <vt:variant>
        <vt:i4>1048635</vt:i4>
      </vt:variant>
      <vt:variant>
        <vt:i4>155</vt:i4>
      </vt:variant>
      <vt:variant>
        <vt:i4>0</vt:i4>
      </vt:variant>
      <vt:variant>
        <vt:i4>5</vt:i4>
      </vt:variant>
      <vt:variant>
        <vt:lpwstr/>
      </vt:variant>
      <vt:variant>
        <vt:lpwstr>_Toc333483333</vt:lpwstr>
      </vt:variant>
      <vt:variant>
        <vt:i4>1048635</vt:i4>
      </vt:variant>
      <vt:variant>
        <vt:i4>149</vt:i4>
      </vt:variant>
      <vt:variant>
        <vt:i4>0</vt:i4>
      </vt:variant>
      <vt:variant>
        <vt:i4>5</vt:i4>
      </vt:variant>
      <vt:variant>
        <vt:lpwstr/>
      </vt:variant>
      <vt:variant>
        <vt:lpwstr>_Toc333483332</vt:lpwstr>
      </vt:variant>
      <vt:variant>
        <vt:i4>1048635</vt:i4>
      </vt:variant>
      <vt:variant>
        <vt:i4>143</vt:i4>
      </vt:variant>
      <vt:variant>
        <vt:i4>0</vt:i4>
      </vt:variant>
      <vt:variant>
        <vt:i4>5</vt:i4>
      </vt:variant>
      <vt:variant>
        <vt:lpwstr/>
      </vt:variant>
      <vt:variant>
        <vt:lpwstr>_Toc333483331</vt:lpwstr>
      </vt:variant>
      <vt:variant>
        <vt:i4>1048635</vt:i4>
      </vt:variant>
      <vt:variant>
        <vt:i4>137</vt:i4>
      </vt:variant>
      <vt:variant>
        <vt:i4>0</vt:i4>
      </vt:variant>
      <vt:variant>
        <vt:i4>5</vt:i4>
      </vt:variant>
      <vt:variant>
        <vt:lpwstr/>
      </vt:variant>
      <vt:variant>
        <vt:lpwstr>_Toc333483330</vt:lpwstr>
      </vt:variant>
      <vt:variant>
        <vt:i4>1114171</vt:i4>
      </vt:variant>
      <vt:variant>
        <vt:i4>131</vt:i4>
      </vt:variant>
      <vt:variant>
        <vt:i4>0</vt:i4>
      </vt:variant>
      <vt:variant>
        <vt:i4>5</vt:i4>
      </vt:variant>
      <vt:variant>
        <vt:lpwstr/>
      </vt:variant>
      <vt:variant>
        <vt:lpwstr>_Toc333483329</vt:lpwstr>
      </vt:variant>
      <vt:variant>
        <vt:i4>1114171</vt:i4>
      </vt:variant>
      <vt:variant>
        <vt:i4>125</vt:i4>
      </vt:variant>
      <vt:variant>
        <vt:i4>0</vt:i4>
      </vt:variant>
      <vt:variant>
        <vt:i4>5</vt:i4>
      </vt:variant>
      <vt:variant>
        <vt:lpwstr/>
      </vt:variant>
      <vt:variant>
        <vt:lpwstr>_Toc333483328</vt:lpwstr>
      </vt:variant>
      <vt:variant>
        <vt:i4>1114171</vt:i4>
      </vt:variant>
      <vt:variant>
        <vt:i4>119</vt:i4>
      </vt:variant>
      <vt:variant>
        <vt:i4>0</vt:i4>
      </vt:variant>
      <vt:variant>
        <vt:i4>5</vt:i4>
      </vt:variant>
      <vt:variant>
        <vt:lpwstr/>
      </vt:variant>
      <vt:variant>
        <vt:lpwstr>_Toc333483327</vt:lpwstr>
      </vt:variant>
      <vt:variant>
        <vt:i4>1114171</vt:i4>
      </vt:variant>
      <vt:variant>
        <vt:i4>113</vt:i4>
      </vt:variant>
      <vt:variant>
        <vt:i4>0</vt:i4>
      </vt:variant>
      <vt:variant>
        <vt:i4>5</vt:i4>
      </vt:variant>
      <vt:variant>
        <vt:lpwstr/>
      </vt:variant>
      <vt:variant>
        <vt:lpwstr>_Toc333483326</vt:lpwstr>
      </vt:variant>
      <vt:variant>
        <vt:i4>1114171</vt:i4>
      </vt:variant>
      <vt:variant>
        <vt:i4>107</vt:i4>
      </vt:variant>
      <vt:variant>
        <vt:i4>0</vt:i4>
      </vt:variant>
      <vt:variant>
        <vt:i4>5</vt:i4>
      </vt:variant>
      <vt:variant>
        <vt:lpwstr/>
      </vt:variant>
      <vt:variant>
        <vt:lpwstr>_Toc333483325</vt:lpwstr>
      </vt:variant>
      <vt:variant>
        <vt:i4>1114171</vt:i4>
      </vt:variant>
      <vt:variant>
        <vt:i4>101</vt:i4>
      </vt:variant>
      <vt:variant>
        <vt:i4>0</vt:i4>
      </vt:variant>
      <vt:variant>
        <vt:i4>5</vt:i4>
      </vt:variant>
      <vt:variant>
        <vt:lpwstr/>
      </vt:variant>
      <vt:variant>
        <vt:lpwstr>_Toc333483324</vt:lpwstr>
      </vt:variant>
      <vt:variant>
        <vt:i4>1114171</vt:i4>
      </vt:variant>
      <vt:variant>
        <vt:i4>95</vt:i4>
      </vt:variant>
      <vt:variant>
        <vt:i4>0</vt:i4>
      </vt:variant>
      <vt:variant>
        <vt:i4>5</vt:i4>
      </vt:variant>
      <vt:variant>
        <vt:lpwstr/>
      </vt:variant>
      <vt:variant>
        <vt:lpwstr>_Toc333483323</vt:lpwstr>
      </vt:variant>
      <vt:variant>
        <vt:i4>1114171</vt:i4>
      </vt:variant>
      <vt:variant>
        <vt:i4>89</vt:i4>
      </vt:variant>
      <vt:variant>
        <vt:i4>0</vt:i4>
      </vt:variant>
      <vt:variant>
        <vt:i4>5</vt:i4>
      </vt:variant>
      <vt:variant>
        <vt:lpwstr/>
      </vt:variant>
      <vt:variant>
        <vt:lpwstr>_Toc333483322</vt:lpwstr>
      </vt:variant>
      <vt:variant>
        <vt:i4>1114171</vt:i4>
      </vt:variant>
      <vt:variant>
        <vt:i4>83</vt:i4>
      </vt:variant>
      <vt:variant>
        <vt:i4>0</vt:i4>
      </vt:variant>
      <vt:variant>
        <vt:i4>5</vt:i4>
      </vt:variant>
      <vt:variant>
        <vt:lpwstr/>
      </vt:variant>
      <vt:variant>
        <vt:lpwstr>_Toc333483321</vt:lpwstr>
      </vt:variant>
      <vt:variant>
        <vt:i4>1114171</vt:i4>
      </vt:variant>
      <vt:variant>
        <vt:i4>77</vt:i4>
      </vt:variant>
      <vt:variant>
        <vt:i4>0</vt:i4>
      </vt:variant>
      <vt:variant>
        <vt:i4>5</vt:i4>
      </vt:variant>
      <vt:variant>
        <vt:lpwstr/>
      </vt:variant>
      <vt:variant>
        <vt:lpwstr>_Toc333483320</vt:lpwstr>
      </vt:variant>
      <vt:variant>
        <vt:i4>1179707</vt:i4>
      </vt:variant>
      <vt:variant>
        <vt:i4>71</vt:i4>
      </vt:variant>
      <vt:variant>
        <vt:i4>0</vt:i4>
      </vt:variant>
      <vt:variant>
        <vt:i4>5</vt:i4>
      </vt:variant>
      <vt:variant>
        <vt:lpwstr/>
      </vt:variant>
      <vt:variant>
        <vt:lpwstr>_Toc333483319</vt:lpwstr>
      </vt:variant>
      <vt:variant>
        <vt:i4>1179707</vt:i4>
      </vt:variant>
      <vt:variant>
        <vt:i4>65</vt:i4>
      </vt:variant>
      <vt:variant>
        <vt:i4>0</vt:i4>
      </vt:variant>
      <vt:variant>
        <vt:i4>5</vt:i4>
      </vt:variant>
      <vt:variant>
        <vt:lpwstr/>
      </vt:variant>
      <vt:variant>
        <vt:lpwstr>_Toc333483318</vt:lpwstr>
      </vt:variant>
      <vt:variant>
        <vt:i4>1179707</vt:i4>
      </vt:variant>
      <vt:variant>
        <vt:i4>59</vt:i4>
      </vt:variant>
      <vt:variant>
        <vt:i4>0</vt:i4>
      </vt:variant>
      <vt:variant>
        <vt:i4>5</vt:i4>
      </vt:variant>
      <vt:variant>
        <vt:lpwstr/>
      </vt:variant>
      <vt:variant>
        <vt:lpwstr>_Toc333483317</vt:lpwstr>
      </vt:variant>
      <vt:variant>
        <vt:i4>1179707</vt:i4>
      </vt:variant>
      <vt:variant>
        <vt:i4>53</vt:i4>
      </vt:variant>
      <vt:variant>
        <vt:i4>0</vt:i4>
      </vt:variant>
      <vt:variant>
        <vt:i4>5</vt:i4>
      </vt:variant>
      <vt:variant>
        <vt:lpwstr/>
      </vt:variant>
      <vt:variant>
        <vt:lpwstr>_Toc333483316</vt:lpwstr>
      </vt:variant>
      <vt:variant>
        <vt:i4>1179707</vt:i4>
      </vt:variant>
      <vt:variant>
        <vt:i4>47</vt:i4>
      </vt:variant>
      <vt:variant>
        <vt:i4>0</vt:i4>
      </vt:variant>
      <vt:variant>
        <vt:i4>5</vt:i4>
      </vt:variant>
      <vt:variant>
        <vt:lpwstr/>
      </vt:variant>
      <vt:variant>
        <vt:lpwstr>_Toc333483315</vt:lpwstr>
      </vt:variant>
      <vt:variant>
        <vt:i4>1179707</vt:i4>
      </vt:variant>
      <vt:variant>
        <vt:i4>41</vt:i4>
      </vt:variant>
      <vt:variant>
        <vt:i4>0</vt:i4>
      </vt:variant>
      <vt:variant>
        <vt:i4>5</vt:i4>
      </vt:variant>
      <vt:variant>
        <vt:lpwstr/>
      </vt:variant>
      <vt:variant>
        <vt:lpwstr>_Toc333483314</vt:lpwstr>
      </vt:variant>
      <vt:variant>
        <vt:i4>1179707</vt:i4>
      </vt:variant>
      <vt:variant>
        <vt:i4>35</vt:i4>
      </vt:variant>
      <vt:variant>
        <vt:i4>0</vt:i4>
      </vt:variant>
      <vt:variant>
        <vt:i4>5</vt:i4>
      </vt:variant>
      <vt:variant>
        <vt:lpwstr/>
      </vt:variant>
      <vt:variant>
        <vt:lpwstr>_Toc333483313</vt:lpwstr>
      </vt:variant>
      <vt:variant>
        <vt:i4>1179707</vt:i4>
      </vt:variant>
      <vt:variant>
        <vt:i4>29</vt:i4>
      </vt:variant>
      <vt:variant>
        <vt:i4>0</vt:i4>
      </vt:variant>
      <vt:variant>
        <vt:i4>5</vt:i4>
      </vt:variant>
      <vt:variant>
        <vt:lpwstr/>
      </vt:variant>
      <vt:variant>
        <vt:lpwstr>_Toc333483312</vt:lpwstr>
      </vt:variant>
      <vt:variant>
        <vt:i4>1179707</vt:i4>
      </vt:variant>
      <vt:variant>
        <vt:i4>23</vt:i4>
      </vt:variant>
      <vt:variant>
        <vt:i4>0</vt:i4>
      </vt:variant>
      <vt:variant>
        <vt:i4>5</vt:i4>
      </vt:variant>
      <vt:variant>
        <vt:lpwstr/>
      </vt:variant>
      <vt:variant>
        <vt:lpwstr>_Toc333483311</vt:lpwstr>
      </vt:variant>
      <vt:variant>
        <vt:i4>1179707</vt:i4>
      </vt:variant>
      <vt:variant>
        <vt:i4>17</vt:i4>
      </vt:variant>
      <vt:variant>
        <vt:i4>0</vt:i4>
      </vt:variant>
      <vt:variant>
        <vt:i4>5</vt:i4>
      </vt:variant>
      <vt:variant>
        <vt:lpwstr/>
      </vt:variant>
      <vt:variant>
        <vt:lpwstr>_Toc333483310</vt:lpwstr>
      </vt:variant>
      <vt:variant>
        <vt:i4>1245243</vt:i4>
      </vt:variant>
      <vt:variant>
        <vt:i4>11</vt:i4>
      </vt:variant>
      <vt:variant>
        <vt:i4>0</vt:i4>
      </vt:variant>
      <vt:variant>
        <vt:i4>5</vt:i4>
      </vt:variant>
      <vt:variant>
        <vt:lpwstr/>
      </vt:variant>
      <vt:variant>
        <vt:lpwstr>_Toc333483309</vt:lpwstr>
      </vt:variant>
      <vt:variant>
        <vt:i4>7667941</vt:i4>
      </vt:variant>
      <vt:variant>
        <vt:i4>6</vt:i4>
      </vt:variant>
      <vt:variant>
        <vt:i4>0</vt:i4>
      </vt:variant>
      <vt:variant>
        <vt:i4>5</vt:i4>
      </vt:variant>
      <vt:variant>
        <vt:lpwstr/>
      </vt:variant>
      <vt:variant>
        <vt:lpwstr>ÄltereFassungen</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BImSchV</dc:title>
  <dc:subject/>
  <dc:creator>LANUV NRW</dc:creator>
  <cp:keywords/>
  <dc:description>durchgesehen 12.2005</dc:description>
  <cp:lastModifiedBy>rueter</cp:lastModifiedBy>
  <cp:revision>6</cp:revision>
  <cp:lastPrinted>2000-08-28T10:31:00Z</cp:lastPrinted>
  <dcterms:created xsi:type="dcterms:W3CDTF">2014-01-15T08:56:00Z</dcterms:created>
  <dcterms:modified xsi:type="dcterms:W3CDTF">2015-07-14T12:56:00Z</dcterms:modified>
</cp:coreProperties>
</file>